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0DD1" w:rsidRDefault="00E33941">
      <w:pPr>
        <w:widowControl w:val="0"/>
        <w:pBdr>
          <w:top w:val="nil"/>
          <w:left w:val="nil"/>
          <w:bottom w:val="nil"/>
          <w:right w:val="nil"/>
          <w:between w:val="nil"/>
        </w:pBdr>
      </w:pPr>
      <w:r>
        <w:pict w14:anchorId="3B9EDD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5894DBB3">
          <v:shape id="_x0000_s1027" type="#_x0000_t136" style="position:absolute;margin-left:0;margin-top:0;width:50pt;height:50pt;z-index:251657728;visibility:hidden">
            <o:lock v:ext="edit" selection="t"/>
          </v:shape>
        </w:pict>
      </w:r>
      <w:r>
        <w:pict w14:anchorId="37C4D63F">
          <v:shape id="_x0000_s1026" type="#_x0000_t136" style="position:absolute;margin-left:0;margin-top:0;width:50pt;height:50pt;z-index:251658752;visibility:hidden">
            <o:lock v:ext="edit" selection="t"/>
          </v:shape>
        </w:pict>
      </w:r>
    </w:p>
    <w:p w:rsidR="00380DD1" w:rsidRDefault="005C0B9C">
      <w:pPr>
        <w:spacing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Review Article</w:t>
      </w:r>
    </w:p>
    <w:p w:rsidR="00380DD1" w:rsidRDefault="00380DD1">
      <w:pPr>
        <w:spacing w:line="240" w:lineRule="auto"/>
        <w:jc w:val="center"/>
        <w:rPr>
          <w:rFonts w:ascii="Times New Roman" w:eastAsia="Times New Roman" w:hAnsi="Times New Roman" w:cs="Times New Roman"/>
          <w:b/>
          <w:bCs/>
          <w:sz w:val="40"/>
          <w:szCs w:val="40"/>
        </w:rPr>
      </w:pPr>
    </w:p>
    <w:p w:rsidR="00380DD1" w:rsidRDefault="00380DD1">
      <w:pPr>
        <w:spacing w:line="240" w:lineRule="auto"/>
        <w:jc w:val="center"/>
        <w:rPr>
          <w:rFonts w:ascii="Times New Roman" w:eastAsia="Times New Roman" w:hAnsi="Times New Roman" w:cs="Times New Roman"/>
          <w:b/>
          <w:bCs/>
          <w:sz w:val="36"/>
          <w:szCs w:val="36"/>
        </w:rPr>
      </w:pPr>
    </w:p>
    <w:p w:rsidR="00380DD1" w:rsidRDefault="005C0B9C">
      <w:pPr>
        <w:spacing w:line="240" w:lineRule="auto"/>
        <w:jc w:val="center"/>
        <w:rPr>
          <w:rFonts w:ascii="Times New Roman" w:eastAsia="Times New Roman" w:hAnsi="Times New Roman" w:cs="Times New Roman"/>
          <w:b/>
          <w:bCs/>
          <w:sz w:val="36"/>
          <w:szCs w:val="36"/>
          <w:highlight w:val="white"/>
        </w:rPr>
      </w:pPr>
      <w:r>
        <w:rPr>
          <w:rFonts w:ascii="Times New Roman" w:eastAsia="Times New Roman" w:hAnsi="Times New Roman" w:cs="Times New Roman"/>
          <w:b/>
          <w:bCs/>
          <w:sz w:val="36"/>
          <w:szCs w:val="36"/>
        </w:rPr>
        <w:t>Preservation of Nutrients Using Non-Thermal Processing Methods: A Scoping Review of Recent Evidence</w:t>
      </w:r>
    </w:p>
    <w:p w:rsidR="00380DD1" w:rsidRDefault="00380DD1">
      <w:pPr>
        <w:spacing w:line="360" w:lineRule="auto"/>
        <w:jc w:val="center"/>
        <w:rPr>
          <w:rFonts w:ascii="Times New Roman" w:eastAsia="Times New Roman" w:hAnsi="Times New Roman" w:cs="Times New Roman"/>
          <w:b/>
          <w:bCs/>
          <w:sz w:val="36"/>
          <w:szCs w:val="36"/>
          <w:highlight w:val="white"/>
        </w:rPr>
      </w:pPr>
    </w:p>
    <w:p w:rsidR="00380DD1" w:rsidRDefault="005C0B9C">
      <w:pPr>
        <w:spacing w:before="240" w:after="240"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Abstract</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recent years, the increasing demand for minimally processed, nutrient-dense foods have spurred the development of non-thermal food processing technologies, such as High-Pressure Processing (HPP), Pulsed Electric Field (PEF), and Cold Plasma. These technologies offer a promising alternative to traditional thermal methods, which often degrade vital nutrients like vitamins and antioxidants. This scoping review aims to synthesize existing research on the impact of these novel processing techniques on nutrient retention in various food types. We assessed the retention of key nutrients—vitamins, antioxidants, proteins, and bioactive compounds—across different food matrices and compared these findings to those observed under conventional thermal processing. Results suggest that non-thermal methods effectively preserve or enhance nutrient integrity, particularly in fruits, vegetables, and juices, while minimizing microbial contamination. However, nutrient retention varied significantly depending on processing parameters and food types, with protein-rich foods such as meats and dairy showing more mixed outcomes. Despite the promising results, challenges such as high operational costs, scalability issues, and varying regulatory standards remain significant barriers to widespread adoption. Future research should focus on optimizing process parameters, addressing consumer perception challenges, and exploring the application of these technologies across diverse food matrices. If these hurdles are overcome, non-thermal processing could revolutionize the food industry by offering safer, healthier, and more sustainable food options.</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Keywords:</w:t>
      </w:r>
      <w:r>
        <w:rPr>
          <w:rFonts w:ascii="Times New Roman" w:eastAsia="Times New Roman" w:hAnsi="Times New Roman" w:cs="Times New Roman"/>
          <w:sz w:val="24"/>
          <w:szCs w:val="24"/>
          <w:highlight w:val="white"/>
        </w:rPr>
        <w:t xml:space="preserve"> Non-thermal processing, High-Pressure Processing, Pulsed Electric Field, Cold Plasma, food safety, antioxidants</w:t>
      </w:r>
      <w:bookmarkStart w:id="0" w:name="_GoBack"/>
      <w:bookmarkEnd w:id="0"/>
    </w:p>
    <w:p w:rsidR="00380DD1" w:rsidRDefault="005C0B9C">
      <w:pPr>
        <w:spacing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lastRenderedPageBreak/>
        <w:t>Introduction</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Over the past decades, as global diets shift ever more towards processed and convenient foods, ensuring that such foods remain safe and nutritionally valuable has become a major challenge. Traditional thermal methods of preservation — such as pasteurization, canning or UHT — have long safeguarded food safety and extended shelf life. However, these same methods frequently degrade key nutrients, especially heat‑sensitive vitamins and functional compounds, thereby undermining the nutritional quality of many processed foods (Jadhav, </w:t>
      </w:r>
      <w:proofErr w:type="spellStart"/>
      <w:r>
        <w:rPr>
          <w:rFonts w:ascii="Times New Roman" w:eastAsia="Times New Roman" w:hAnsi="Times New Roman" w:cs="Times New Roman"/>
          <w:sz w:val="24"/>
          <w:szCs w:val="24"/>
          <w:highlight w:val="white"/>
        </w:rPr>
        <w:t>Annapure</w:t>
      </w:r>
      <w:proofErr w:type="spellEnd"/>
      <w:r>
        <w:rPr>
          <w:rFonts w:ascii="Times New Roman" w:eastAsia="Times New Roman" w:hAnsi="Times New Roman" w:cs="Times New Roman"/>
          <w:sz w:val="24"/>
          <w:szCs w:val="24"/>
          <w:highlight w:val="white"/>
        </w:rPr>
        <w:t xml:space="preserve">, &amp; Deshmukh, 2021; </w:t>
      </w:r>
      <w:proofErr w:type="spellStart"/>
      <w:r>
        <w:rPr>
          <w:rFonts w:ascii="Times New Roman" w:eastAsia="Times New Roman" w:hAnsi="Times New Roman" w:cs="Times New Roman"/>
          <w:sz w:val="24"/>
          <w:szCs w:val="24"/>
          <w:highlight w:val="white"/>
        </w:rPr>
        <w:t>Moyo</w:t>
      </w:r>
      <w:proofErr w:type="spellEnd"/>
      <w:r>
        <w:rPr>
          <w:rFonts w:ascii="Times New Roman" w:eastAsia="Times New Roman" w:hAnsi="Times New Roman" w:cs="Times New Roman"/>
          <w:sz w:val="24"/>
          <w:szCs w:val="24"/>
          <w:highlight w:val="white"/>
        </w:rPr>
        <w:t>, 2024; Jose et al., 2025).</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response to these drawbacks, food science has witnessed the emergence and rapid development of non‑thermal and “novel” processing technologies, aiming to reconcile safety, shelf life, and nutritional integrity. Among these, High‑Pressure Processing (HPP), Pulsed Electric Field (PEF), Cold Plasma Processing (or Plasma), and related methods are gaining traction. HPP — sometimes called “</w:t>
      </w:r>
      <w:proofErr w:type="spellStart"/>
      <w:r>
        <w:rPr>
          <w:rFonts w:ascii="Times New Roman" w:eastAsia="Times New Roman" w:hAnsi="Times New Roman" w:cs="Times New Roman"/>
          <w:sz w:val="24"/>
          <w:szCs w:val="24"/>
          <w:highlight w:val="white"/>
        </w:rPr>
        <w:t>pascalization</w:t>
      </w:r>
      <w:proofErr w:type="spellEnd"/>
      <w:r>
        <w:rPr>
          <w:rFonts w:ascii="Times New Roman" w:eastAsia="Times New Roman" w:hAnsi="Times New Roman" w:cs="Times New Roman"/>
          <w:sz w:val="24"/>
          <w:szCs w:val="24"/>
          <w:highlight w:val="white"/>
        </w:rPr>
        <w:t xml:space="preserve">” — </w:t>
      </w:r>
      <w:proofErr w:type="gramStart"/>
      <w:r>
        <w:rPr>
          <w:rFonts w:ascii="Times New Roman" w:eastAsia="Times New Roman" w:hAnsi="Times New Roman" w:cs="Times New Roman"/>
          <w:sz w:val="24"/>
          <w:szCs w:val="24"/>
          <w:highlight w:val="white"/>
        </w:rPr>
        <w:t>subjects</w:t>
      </w:r>
      <w:proofErr w:type="gramEnd"/>
      <w:r>
        <w:rPr>
          <w:rFonts w:ascii="Times New Roman" w:eastAsia="Times New Roman" w:hAnsi="Times New Roman" w:cs="Times New Roman"/>
          <w:sz w:val="24"/>
          <w:szCs w:val="24"/>
          <w:highlight w:val="white"/>
        </w:rPr>
        <w:t xml:space="preserve"> foods to hydrostatic pressures (often 100–600 MPa or more), inactivating microorganisms and enzymes without the deleterious heat that destroys sensitive nutrients (Balakrishna, </w:t>
      </w:r>
      <w:proofErr w:type="spellStart"/>
      <w:r>
        <w:rPr>
          <w:rFonts w:ascii="Times New Roman" w:eastAsia="Times New Roman" w:hAnsi="Times New Roman" w:cs="Times New Roman"/>
          <w:sz w:val="24"/>
          <w:szCs w:val="24"/>
          <w:highlight w:val="white"/>
        </w:rPr>
        <w:t>Wazed</w:t>
      </w:r>
      <w:proofErr w:type="spellEnd"/>
      <w:r>
        <w:rPr>
          <w:rFonts w:ascii="Times New Roman" w:eastAsia="Times New Roman" w:hAnsi="Times New Roman" w:cs="Times New Roman"/>
          <w:sz w:val="24"/>
          <w:szCs w:val="24"/>
          <w:highlight w:val="white"/>
        </w:rPr>
        <w:t>, &amp; Farid, 2020; Pérez-</w:t>
      </w:r>
      <w:proofErr w:type="spellStart"/>
      <w:r>
        <w:rPr>
          <w:rFonts w:ascii="Times New Roman" w:eastAsia="Times New Roman" w:hAnsi="Times New Roman" w:cs="Times New Roman"/>
          <w:sz w:val="24"/>
          <w:szCs w:val="24"/>
          <w:highlight w:val="white"/>
        </w:rPr>
        <w:t>Lamela</w:t>
      </w:r>
      <w:proofErr w:type="spellEnd"/>
      <w:r>
        <w:rPr>
          <w:rFonts w:ascii="Times New Roman" w:eastAsia="Times New Roman" w:hAnsi="Times New Roman" w:cs="Times New Roman"/>
          <w:sz w:val="24"/>
          <w:szCs w:val="24"/>
          <w:highlight w:val="white"/>
        </w:rPr>
        <w:t xml:space="preserve">, Franco, &amp; </w:t>
      </w:r>
      <w:proofErr w:type="spellStart"/>
      <w:r>
        <w:rPr>
          <w:rFonts w:ascii="Times New Roman" w:eastAsia="Times New Roman" w:hAnsi="Times New Roman" w:cs="Times New Roman"/>
          <w:sz w:val="24"/>
          <w:szCs w:val="24"/>
          <w:highlight w:val="white"/>
        </w:rPr>
        <w:t>Falqué</w:t>
      </w:r>
      <w:proofErr w:type="spellEnd"/>
      <w:r>
        <w:rPr>
          <w:rFonts w:ascii="Times New Roman" w:eastAsia="Times New Roman" w:hAnsi="Times New Roman" w:cs="Times New Roman"/>
          <w:sz w:val="24"/>
          <w:szCs w:val="24"/>
          <w:highlight w:val="white"/>
        </w:rPr>
        <w:t>, 2021; Yan et al., 2021).</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preservation of nutritional integrity is not merely a matter of retaining calorie values, but of safeguarding vitamins, antioxidants, proteins, bioactive compounds, and overall food quality that contribute to human health. Non‑thermal methods offer the promise of maintaining or even enhancing certain beneficial properties — such as antioxidant capacity, polyphenol content, and functional amino acids — while minimizing nutrient losses that are common in thermal processing (Pérez-</w:t>
      </w:r>
      <w:proofErr w:type="spellStart"/>
      <w:r>
        <w:rPr>
          <w:rFonts w:ascii="Times New Roman" w:eastAsia="Times New Roman" w:hAnsi="Times New Roman" w:cs="Times New Roman"/>
          <w:sz w:val="24"/>
          <w:szCs w:val="24"/>
          <w:highlight w:val="white"/>
        </w:rPr>
        <w:t>Lamela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Torrado-Agrasar</w:t>
      </w:r>
      <w:proofErr w:type="spellEnd"/>
      <w:r>
        <w:rPr>
          <w:rFonts w:ascii="Times New Roman" w:eastAsia="Times New Roman" w:hAnsi="Times New Roman" w:cs="Times New Roman"/>
          <w:sz w:val="24"/>
          <w:szCs w:val="24"/>
          <w:highlight w:val="white"/>
        </w:rPr>
        <w:t xml:space="preserve">, 2025; </w:t>
      </w:r>
      <w:proofErr w:type="spellStart"/>
      <w:r>
        <w:rPr>
          <w:rFonts w:ascii="Times New Roman" w:eastAsia="Times New Roman" w:hAnsi="Times New Roman" w:cs="Times New Roman"/>
          <w:sz w:val="24"/>
          <w:szCs w:val="24"/>
          <w:highlight w:val="white"/>
        </w:rPr>
        <w:t>Keyata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Bikila</w:t>
      </w:r>
      <w:proofErr w:type="spellEnd"/>
      <w:r>
        <w:rPr>
          <w:rFonts w:ascii="Times New Roman" w:eastAsia="Times New Roman" w:hAnsi="Times New Roman" w:cs="Times New Roman"/>
          <w:sz w:val="24"/>
          <w:szCs w:val="24"/>
          <w:highlight w:val="white"/>
        </w:rPr>
        <w:t>, 2024). Especially for fresh produce, juices, dairy products, meats and other perishable items, retaining these compounds can make a significant difference in dietary quality and long-term health outcomes (</w:t>
      </w:r>
      <w:proofErr w:type="spellStart"/>
      <w:r>
        <w:rPr>
          <w:rFonts w:ascii="Times New Roman" w:eastAsia="Times New Roman" w:hAnsi="Times New Roman" w:cs="Times New Roman"/>
          <w:sz w:val="24"/>
          <w:szCs w:val="24"/>
          <w:highlight w:val="white"/>
        </w:rPr>
        <w:t>Trych</w:t>
      </w:r>
      <w:proofErr w:type="spellEnd"/>
      <w:r>
        <w:rPr>
          <w:rFonts w:ascii="Times New Roman" w:eastAsia="Times New Roman" w:hAnsi="Times New Roman" w:cs="Times New Roman"/>
          <w:sz w:val="24"/>
          <w:szCs w:val="24"/>
          <w:highlight w:val="white"/>
        </w:rPr>
        <w:t xml:space="preserve"> et al., 2020).</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Nevertheless, despite growing interest and industrial application, the literature on how exactly these novel processing methods affect nutrient composition remains diffuse and sometimes contradictory. Some studies report excellent retention of vitamins and antioxidants after HPP or plasma treatments (Gupta et al., 2025; Wei et al., 2025), while others note subtle changes in protein </w:t>
      </w:r>
      <w:r>
        <w:rPr>
          <w:rFonts w:ascii="Times New Roman" w:eastAsia="Times New Roman" w:hAnsi="Times New Roman" w:cs="Times New Roman"/>
          <w:sz w:val="24"/>
          <w:szCs w:val="24"/>
          <w:highlight w:val="white"/>
        </w:rPr>
        <w:lastRenderedPageBreak/>
        <w:t xml:space="preserve">structure, lipid oxidation, or bioactive compound stability depending on process parameters and food matrix (Ghazali, Saleem, &amp; Bashir, 2025; </w:t>
      </w:r>
      <w:proofErr w:type="spellStart"/>
      <w:r>
        <w:rPr>
          <w:rFonts w:ascii="Times New Roman" w:eastAsia="Times New Roman" w:hAnsi="Times New Roman" w:cs="Times New Roman"/>
          <w:sz w:val="24"/>
          <w:szCs w:val="24"/>
          <w:highlight w:val="white"/>
        </w:rPr>
        <w:t>Yousefi</w:t>
      </w:r>
      <w:proofErr w:type="spellEnd"/>
      <w:r>
        <w:rPr>
          <w:rFonts w:ascii="Times New Roman" w:eastAsia="Times New Roman" w:hAnsi="Times New Roman" w:cs="Times New Roman"/>
          <w:sz w:val="24"/>
          <w:szCs w:val="24"/>
          <w:highlight w:val="white"/>
        </w:rPr>
        <w:t xml:space="preserve"> &amp; Abbasi, 2022; </w:t>
      </w:r>
      <w:proofErr w:type="spellStart"/>
      <w:r>
        <w:rPr>
          <w:rFonts w:ascii="Times New Roman" w:eastAsia="Times New Roman" w:hAnsi="Times New Roman" w:cs="Times New Roman"/>
          <w:sz w:val="24"/>
          <w:szCs w:val="24"/>
          <w:highlight w:val="white"/>
        </w:rPr>
        <w:t>Jimoh</w:t>
      </w:r>
      <w:proofErr w:type="spellEnd"/>
      <w:r>
        <w:rPr>
          <w:rFonts w:ascii="Times New Roman" w:eastAsia="Times New Roman" w:hAnsi="Times New Roman" w:cs="Times New Roman"/>
          <w:sz w:val="24"/>
          <w:szCs w:val="24"/>
          <w:highlight w:val="white"/>
        </w:rPr>
        <w:t xml:space="preserve"> et al., 2025a; </w:t>
      </w:r>
      <w:proofErr w:type="spellStart"/>
      <w:r>
        <w:rPr>
          <w:rFonts w:ascii="Times New Roman" w:eastAsia="Times New Roman" w:hAnsi="Times New Roman" w:cs="Times New Roman"/>
          <w:sz w:val="24"/>
          <w:szCs w:val="24"/>
          <w:highlight w:val="white"/>
        </w:rPr>
        <w:t>Jimoh</w:t>
      </w:r>
      <w:proofErr w:type="spellEnd"/>
      <w:r>
        <w:rPr>
          <w:rFonts w:ascii="Times New Roman" w:eastAsia="Times New Roman" w:hAnsi="Times New Roman" w:cs="Times New Roman"/>
          <w:sz w:val="24"/>
          <w:szCs w:val="24"/>
          <w:highlight w:val="white"/>
        </w:rPr>
        <w:t xml:space="preserve"> et al., 2025b). Moreover, there remains a lack of comprehensive synthesis across different technologies (HPP, PEF, Plasma, etc.) and across diverse food types — a gap that limits our understanding of the trade‑offs and real-world nutritional implications for consumers.</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Therefore, this scoping review aims to systematically map and synthesize existing research on nutrient changes in foods treated with HPP, PEF, Plasma, and other emerging processing techniques. Specifically, the objectives are to: (1) collate the available data on how these treatments affect key nutritional parameters (e.g., vitamins, antioxidants, proteins, lipids) across food categories; (2) compare nutrient retention or losses with those observed under conventional thermal processing; and (3) identify gaps in the literature — in terms of food types, nutrients studied, processing parameters, and long-term effects — to inform future research and applications in food technology and public health.</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By providing such a synthesis, this review sheds light on the potential of modern processing technologies to deliver “safe and healthy” — not just “safe and shelf‑stable” — food products. Understanding how processing impacts nutritional integrity can help guide industry practices, inform regulatory standards, and empower consumers to make healthier choices. In an era where processed food dominates global diets, these insights could contribute meaningfully to public health, dietary guidelines, and the future of sustainable food processing.</w:t>
      </w:r>
    </w:p>
    <w:p w:rsidR="00380DD1" w:rsidRDefault="00380DD1">
      <w:pPr>
        <w:spacing w:before="240" w:after="240" w:line="360" w:lineRule="auto"/>
        <w:jc w:val="both"/>
        <w:rPr>
          <w:rFonts w:ascii="Times New Roman" w:eastAsia="Times New Roman" w:hAnsi="Times New Roman" w:cs="Times New Roman"/>
          <w:sz w:val="24"/>
          <w:szCs w:val="24"/>
          <w:highlight w:val="white"/>
        </w:rPr>
      </w:pPr>
    </w:p>
    <w:p w:rsidR="00380DD1" w:rsidRDefault="00380DD1">
      <w:pPr>
        <w:spacing w:before="240" w:after="240" w:line="360" w:lineRule="auto"/>
        <w:jc w:val="both"/>
        <w:rPr>
          <w:rFonts w:ascii="Times New Roman" w:eastAsia="Times New Roman" w:hAnsi="Times New Roman" w:cs="Times New Roman"/>
          <w:sz w:val="24"/>
          <w:szCs w:val="24"/>
          <w:highlight w:val="white"/>
        </w:rPr>
      </w:pPr>
    </w:p>
    <w:p w:rsidR="00380DD1" w:rsidRDefault="005C0B9C">
      <w:pPr>
        <w:spacing w:before="240" w:after="240" w:line="360" w:lineRule="auto"/>
        <w:jc w:val="both"/>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Methodology</w:t>
      </w:r>
    </w:p>
    <w:p w:rsidR="00380DD1" w:rsidRDefault="005C0B9C">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Study Design</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study employed a scoping review design to systematically explore the literature on the effects of modern food processing technologies on nutrient composition. A scoping review is well-suited for summarizing the breadth of available research, mapping key concepts, and identifying knowledge gaps (Arksey &amp; O'Malley, 2005). By systematically synthesizing findings from studies </w:t>
      </w:r>
      <w:r>
        <w:rPr>
          <w:rFonts w:ascii="Times New Roman" w:eastAsia="Times New Roman" w:hAnsi="Times New Roman" w:cs="Times New Roman"/>
          <w:sz w:val="24"/>
          <w:szCs w:val="24"/>
          <w:highlight w:val="white"/>
        </w:rPr>
        <w:lastRenderedPageBreak/>
        <w:t>on various food processing techniques and nutrient retention, this review aims to provide a comprehensive overview of the current state of knowledge and highlight areas requiring further research.</w:t>
      </w:r>
    </w:p>
    <w:p w:rsidR="00380DD1" w:rsidRDefault="005C0B9C">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Information Sources and Search Strategy</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Literature included in this review was sourced from PubMed and searching of reference lists. The keywords related to food processing techniques, nutrient retention and loss, nutrient types, food types and matrix, health and metabolic outcomes, and technological parameters were used.</w:t>
      </w:r>
      <w:r>
        <w:rPr>
          <w:rFonts w:ascii="Times New Roman" w:eastAsia="Times New Roman" w:hAnsi="Times New Roman" w:cs="Times New Roman"/>
          <w:sz w:val="24"/>
          <w:szCs w:val="24"/>
          <w:highlight w:val="white"/>
        </w:rPr>
        <w:br/>
        <w:t>Boolean operators (AND, OR, NOT) were applied to combine and refine these search terms (</w:t>
      </w:r>
      <w:proofErr w:type="spellStart"/>
      <w:r>
        <w:rPr>
          <w:rFonts w:ascii="Times New Roman" w:eastAsia="Times New Roman" w:hAnsi="Times New Roman" w:cs="Times New Roman"/>
          <w:sz w:val="24"/>
          <w:szCs w:val="24"/>
          <w:highlight w:val="white"/>
        </w:rPr>
        <w:t>Alharbi</w:t>
      </w:r>
      <w:proofErr w:type="spellEnd"/>
      <w:r>
        <w:rPr>
          <w:rFonts w:ascii="Times New Roman" w:eastAsia="Times New Roman" w:hAnsi="Times New Roman" w:cs="Times New Roman"/>
          <w:sz w:val="24"/>
          <w:szCs w:val="24"/>
          <w:highlight w:val="white"/>
        </w:rPr>
        <w:t xml:space="preserve"> &amp; Stevenson, 2020). </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(Medical Subject Headings) terms as well as title and abstract (</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xml:space="preserve">) keywords and </w:t>
      </w:r>
      <w:r>
        <w:rPr>
          <w:rFonts w:ascii="Times New Roman" w:eastAsia="Times New Roman" w:hAnsi="Times New Roman" w:cs="Times New Roman"/>
          <w:sz w:val="24"/>
          <w:szCs w:val="24"/>
          <w:highlight w:val="white"/>
        </w:rPr>
        <w:t>truncation were specifically used in PubMed for precise results (</w:t>
      </w:r>
      <w:proofErr w:type="spellStart"/>
      <w:r>
        <w:rPr>
          <w:rFonts w:ascii="Times New Roman" w:eastAsia="Times New Roman" w:hAnsi="Times New Roman" w:cs="Times New Roman"/>
          <w:sz w:val="24"/>
          <w:szCs w:val="24"/>
          <w:highlight w:val="white"/>
        </w:rPr>
        <w:t>DeMars</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Perruso</w:t>
      </w:r>
      <w:proofErr w:type="spellEnd"/>
      <w:r>
        <w:rPr>
          <w:rFonts w:ascii="Times New Roman" w:eastAsia="Times New Roman" w:hAnsi="Times New Roman" w:cs="Times New Roman"/>
          <w:sz w:val="24"/>
          <w:szCs w:val="24"/>
          <w:highlight w:val="white"/>
        </w:rPr>
        <w:t xml:space="preserve">, 2022; Atkinson &amp; Cipriani, 2018).  The compiled search strategy: </w:t>
      </w:r>
      <w:r>
        <w:rPr>
          <w:rFonts w:ascii="Times New Roman" w:eastAsia="Times New Roman" w:hAnsi="Times New Roman" w:cs="Times New Roman"/>
          <w:highlight w:val="white"/>
        </w:rPr>
        <w:t>(("High Pressure Processing"[</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highlight w:val="white"/>
        </w:rPr>
        <w:t>] OR HPP[</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"Pulsed Electric Field"[</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highlight w:val="white"/>
        </w:rPr>
        <w:t>] OR PEF[</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"Plasma Gases"[</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highlight w:val="white"/>
        </w:rPr>
        <w:t>] OR "Cold Plasma"[</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"Non-Thermal Processing"[</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AND ("Nutrients"[</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highlight w:val="white"/>
        </w:rPr>
        <w:t>] OR "Vitamins"[</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highlight w:val="white"/>
        </w:rPr>
        <w:t>] OR "Antioxidants"[</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highlight w:val="white"/>
        </w:rPr>
        <w:t>] OR "Proteins"[</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highlight w:val="white"/>
        </w:rPr>
        <w:t>] OR "Lipids"[</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highlight w:val="white"/>
        </w:rPr>
        <w:t>] OR vitamin*[</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antioxidant*[</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protein*[</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lipid*[</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bioactive compound*[</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mineral*[</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fatty acid*[</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AND ("Food"[Mesh] OR "Fruits"[Mesh] OR "Vegetables"[Mesh] OR "Dairy Products"[</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highlight w:val="white"/>
        </w:rPr>
        <w:t>] OR "Meat"[</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highlight w:val="white"/>
        </w:rPr>
        <w:t>] OR "Beverages"[</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highlight w:val="white"/>
        </w:rPr>
        <w:t>] OR fruit*[</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vegetable*[</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dairy[</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meat[</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juice*[</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beverage*[</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seafood[</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functional food*[</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plant-based[</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AND ("Nutrient Retention"[</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"Nutrient Loss"[</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"Nutrient Stability"[</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"Nutrient Degradation"[</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retention[</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loss[</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stability[</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degradation[</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w:t>
      </w:r>
      <w:r>
        <w:rPr>
          <w:rFonts w:ascii="Times New Roman" w:eastAsia="Times New Roman" w:hAnsi="Times New Roman" w:cs="Times New Roman"/>
          <w:sz w:val="24"/>
          <w:szCs w:val="24"/>
          <w:highlight w:val="white"/>
        </w:rPr>
        <w:t xml:space="preserve"> </w:t>
      </w:r>
    </w:p>
    <w:p w:rsidR="00380DD1" w:rsidRDefault="005C0B9C">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Eligibility Criteria</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ensure the inclusion of relevant and high-quality studies, we applied several eligibility criteria. Only peer-reviewed articles published between 2020 and 2025 were considered. Eligible studies included experimental studies that investigated food processing techniques or metabolic health outcomes related to nutrient composition. Exclusion criteria encompassed non-English articles, reviews and opinion-based pieces, and studies that did not provide full-text availability. This approach ensured that the review was based on high-quality, peer-reviewed evidence with robust methodologies.</w:t>
      </w:r>
    </w:p>
    <w:p w:rsidR="00380DD1" w:rsidRDefault="005C0B9C">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lastRenderedPageBreak/>
        <w:t xml:space="preserve">Study Selection </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After conducting the search and applying appropriate filters, the titles and abstracts of the retrieved studies were screened. Studies that met the inclusion criteria were retrieved in full for a detailed review. Two independent reviewers performed the screening to ensure consistency and minimization of bias. Disagreements between reviewers were resolved through consensus. Studies that met the eligibility criteria were included for data extraction. </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initial search identified a total of 406 records across 317 from PubMed and 89 from reference lists. After removing 198 records based on application of appropriate filters, 208 records were screened during title and abstract screening. Following further assessment for eligibility, 32 reports were reviewed, ultimately leading to the inclusion of 15 studies in this scoping review. The exclusion of studies at this stage were primarily due to studies not focusing on food processing and some studies reviews. The PRISMA flow diagram detailing on the selection process for this study is shown in Figure 1.</w:t>
      </w:r>
    </w:p>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extent cx="5943600" cy="42291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4229100"/>
                    </a:xfrm>
                    <a:prstGeom prst="rect">
                      <a:avLst/>
                    </a:prstGeom>
                    <a:ln/>
                  </pic:spPr>
                </pic:pic>
              </a:graphicData>
            </a:graphic>
          </wp:inline>
        </w:drawing>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24"/>
          <w:szCs w:val="24"/>
          <w:highlight w:val="white"/>
        </w:rPr>
        <w:lastRenderedPageBreak/>
        <w:t>Figure 1: Preferred Reporting Items for Systematic Reviews and Meta-Analysis (PRISMA) Flow Diagram</w:t>
      </w:r>
    </w:p>
    <w:p w:rsidR="00380DD1" w:rsidRDefault="005C0B9C">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Data Extraction</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Key information such as study design, processing techniques, nutrient types examined, and outcomes related to nutrient retention or degradation were systematically extracted. Emphasis was placed on the impact of specific processing methods on nutrient stability and the variation across different food matrices. </w:t>
      </w:r>
    </w:p>
    <w:p w:rsidR="00380DD1" w:rsidRDefault="005C0B9C">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6. Data Synthesis</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data synthesis was conducted through a narrative synthesis approach, which allowed for the organization of findings according to the identified themes. Major themes emerged related to nutrient retention patterns, such as the preservation of antioxidants and vitamins, the effects of specific processing technologies (e.g., HPP, PEF, Plasma) on protein structure, and the variation of these effects depending on the food matrix. The synthesis also explored the interplay between technological parameters, such as process temperature and time, and nutrient outcomes. This discussion contributed to a deeper understanding of the effectiveness of modern processing technologies in maintaining nutritional integrity.</w:t>
      </w:r>
    </w:p>
    <w:p w:rsidR="00380DD1" w:rsidRDefault="00380DD1">
      <w:pPr>
        <w:spacing w:before="240" w:after="240" w:line="360" w:lineRule="auto"/>
        <w:jc w:val="both"/>
        <w:rPr>
          <w:rFonts w:ascii="Times New Roman" w:eastAsia="Times New Roman" w:hAnsi="Times New Roman" w:cs="Times New Roman"/>
          <w:sz w:val="24"/>
          <w:szCs w:val="24"/>
          <w:highlight w:val="white"/>
        </w:rPr>
      </w:pPr>
    </w:p>
    <w:p w:rsidR="00380DD1" w:rsidRDefault="005C0B9C">
      <w:pPr>
        <w:spacing w:before="240" w:after="240"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Results</w:t>
      </w:r>
    </w:p>
    <w:p w:rsidR="00380DD1" w:rsidRDefault="005C0B9C">
      <w:pPr>
        <w:spacing w:before="240" w:after="240" w:line="360" w:lineRule="auto"/>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Study Characteristics</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study included 15 experimental studies examining various non-thermal processing techniques, primarily high-pressure processing (HPP), pulsed electric fields (PEF), and cold plasma (CP), to assess their impact on nutrient retention in different food matrices. The studies explored a range of nutrients, including antioxidants, bioactive compounds, phenolic compounds, amino acids, and vitamins, across various food products like olive oil, apple juice, meat, and fruit juices. The main findings consistently demonstrated that non-thermal methods such as PEF and cold plasma were effective in enhancing nutrient retention and improving functional properties, such as antioxidant </w:t>
      </w:r>
      <w:r>
        <w:rPr>
          <w:rFonts w:ascii="Times New Roman" w:eastAsia="Times New Roman" w:hAnsi="Times New Roman" w:cs="Times New Roman"/>
          <w:sz w:val="24"/>
          <w:szCs w:val="24"/>
          <w:highlight w:val="white"/>
        </w:rPr>
        <w:lastRenderedPageBreak/>
        <w:t>capacity and shelf life, without compromising food quality. These studies provide valuable insights into optimizing processing methods to preserve nutrient integrity and improve the nutritional value of food products. The breakdown of nutrients retention across publication technologies is shown in Figure 2.</w:t>
      </w:r>
    </w:p>
    <w:p w:rsidR="00380DD1" w:rsidRDefault="005C0B9C">
      <w:pPr>
        <w:spacing w:before="240" w:after="240" w:line="36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Table 1: Characteristics of Included Studies</w:t>
      </w:r>
      <w:r>
        <w:rPr>
          <w:rFonts w:ascii="Times New Roman" w:eastAsia="Times New Roman" w:hAnsi="Times New Roman" w:cs="Times New Roman"/>
          <w:sz w:val="24"/>
          <w:szCs w:val="24"/>
          <w:highlight w:val="white"/>
        </w:rPr>
        <w:t xml:space="preserve"> </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8"/>
        <w:gridCol w:w="1277"/>
        <w:gridCol w:w="1068"/>
        <w:gridCol w:w="1604"/>
        <w:gridCol w:w="3012"/>
        <w:gridCol w:w="1121"/>
      </w:tblGrid>
      <w:tr w:rsidR="00380DD1">
        <w:tc>
          <w:tcPr>
            <w:tcW w:w="1278" w:type="dxa"/>
            <w:tcMar>
              <w:top w:w="100" w:type="dxa"/>
              <w:left w:w="100" w:type="dxa"/>
              <w:bottom w:w="100" w:type="dxa"/>
              <w:right w:w="100" w:type="dxa"/>
            </w:tcMar>
          </w:tcPr>
          <w:p w:rsidR="00380DD1" w:rsidRDefault="005C0B9C">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Study ID</w:t>
            </w:r>
          </w:p>
        </w:tc>
        <w:tc>
          <w:tcPr>
            <w:tcW w:w="1277" w:type="dxa"/>
            <w:tcMar>
              <w:top w:w="100" w:type="dxa"/>
              <w:left w:w="100" w:type="dxa"/>
              <w:bottom w:w="100" w:type="dxa"/>
              <w:right w:w="100" w:type="dxa"/>
            </w:tcMar>
          </w:tcPr>
          <w:p w:rsidR="00380DD1" w:rsidRDefault="005C0B9C">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Study Design</w:t>
            </w:r>
          </w:p>
        </w:tc>
        <w:tc>
          <w:tcPr>
            <w:tcW w:w="1068" w:type="dxa"/>
            <w:tcMar>
              <w:top w:w="100" w:type="dxa"/>
              <w:left w:w="100" w:type="dxa"/>
              <w:bottom w:w="100" w:type="dxa"/>
              <w:right w:w="100" w:type="dxa"/>
            </w:tcMar>
          </w:tcPr>
          <w:p w:rsidR="00380DD1" w:rsidRDefault="005C0B9C">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Processing Techniques</w:t>
            </w:r>
          </w:p>
        </w:tc>
        <w:tc>
          <w:tcPr>
            <w:tcW w:w="1604" w:type="dxa"/>
            <w:tcMar>
              <w:top w:w="100" w:type="dxa"/>
              <w:left w:w="100" w:type="dxa"/>
              <w:bottom w:w="100" w:type="dxa"/>
              <w:right w:w="100" w:type="dxa"/>
            </w:tcMar>
          </w:tcPr>
          <w:p w:rsidR="00380DD1" w:rsidRDefault="005C0B9C">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Nutrient Types Examined</w:t>
            </w:r>
          </w:p>
        </w:tc>
        <w:tc>
          <w:tcPr>
            <w:tcW w:w="3012" w:type="dxa"/>
            <w:tcMar>
              <w:top w:w="100" w:type="dxa"/>
              <w:left w:w="100" w:type="dxa"/>
              <w:bottom w:w="100" w:type="dxa"/>
              <w:right w:w="100" w:type="dxa"/>
            </w:tcMar>
          </w:tcPr>
          <w:p w:rsidR="00380DD1" w:rsidRDefault="005C0B9C">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Main Findings/Conclusions</w:t>
            </w:r>
          </w:p>
        </w:tc>
        <w:tc>
          <w:tcPr>
            <w:tcW w:w="1121" w:type="dxa"/>
            <w:tcMar>
              <w:top w:w="100" w:type="dxa"/>
              <w:left w:w="100" w:type="dxa"/>
              <w:bottom w:w="100" w:type="dxa"/>
              <w:right w:w="100" w:type="dxa"/>
            </w:tcMar>
          </w:tcPr>
          <w:p w:rsidR="00380DD1" w:rsidRDefault="005C0B9C">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Journal Source</w:t>
            </w:r>
          </w:p>
        </w:tc>
      </w:tr>
      <w:tr w:rsidR="00380DD1">
        <w:tc>
          <w:tcPr>
            <w:tcW w:w="127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Athanasiadis</w:t>
            </w:r>
            <w:proofErr w:type="spellEnd"/>
            <w:r>
              <w:rPr>
                <w:rFonts w:ascii="Times New Roman" w:eastAsia="Times New Roman" w:hAnsi="Times New Roman" w:cs="Times New Roman"/>
                <w:sz w:val="24"/>
                <w:szCs w:val="24"/>
                <w:highlight w:val="white"/>
              </w:rPr>
              <w:t xml:space="preserve"> et al. (2025)</w:t>
            </w:r>
          </w:p>
        </w:tc>
        <w:tc>
          <w:tcPr>
            <w:tcW w:w="1277"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PEF</w:t>
            </w:r>
          </w:p>
        </w:tc>
        <w:tc>
          <w:tcPr>
            <w:tcW w:w="1604"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Antioxidants, Bioactive Compounds</w:t>
            </w:r>
          </w:p>
        </w:tc>
        <w:tc>
          <w:tcPr>
            <w:tcW w:w="3012"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 optimization results in improved antioxidant content, confirming its potential for enhancing nutrient retention in olive oil.</w:t>
            </w:r>
          </w:p>
        </w:tc>
        <w:tc>
          <w:tcPr>
            <w:tcW w:w="1121"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 Research International</w:t>
            </w:r>
          </w:p>
        </w:tc>
      </w:tr>
      <w:tr w:rsidR="00380DD1">
        <w:tc>
          <w:tcPr>
            <w:tcW w:w="127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Khalid et al. (2025)</w:t>
            </w:r>
          </w:p>
        </w:tc>
        <w:tc>
          <w:tcPr>
            <w:tcW w:w="1277"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Cold Plasma, Ultrasound-assisted extraction</w:t>
            </w:r>
          </w:p>
        </w:tc>
        <w:tc>
          <w:tcPr>
            <w:tcW w:w="1604"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Antioxidants, Bioactive Compounds</w:t>
            </w:r>
          </w:p>
        </w:tc>
        <w:tc>
          <w:tcPr>
            <w:tcW w:w="3012"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Cold plasma enhances bioactive compound retention, supporting its role in improving functional properties of plant proteins.</w:t>
            </w:r>
          </w:p>
        </w:tc>
        <w:tc>
          <w:tcPr>
            <w:tcW w:w="1121"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 Chemistry</w:t>
            </w:r>
          </w:p>
        </w:tc>
      </w:tr>
      <w:tr w:rsidR="00380DD1">
        <w:tc>
          <w:tcPr>
            <w:tcW w:w="127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Rinaldi et al. (2024)</w:t>
            </w:r>
          </w:p>
        </w:tc>
        <w:tc>
          <w:tcPr>
            <w:tcW w:w="1277"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Non-Thermal </w:t>
            </w:r>
            <w:r>
              <w:rPr>
                <w:rFonts w:ascii="Times New Roman" w:eastAsia="Times New Roman" w:hAnsi="Times New Roman" w:cs="Times New Roman"/>
                <w:sz w:val="24"/>
                <w:szCs w:val="24"/>
                <w:highlight w:val="white"/>
              </w:rPr>
              <w:lastRenderedPageBreak/>
              <w:t>Methods: HPP</w:t>
            </w:r>
          </w:p>
        </w:tc>
        <w:tc>
          <w:tcPr>
            <w:tcW w:w="1604"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Phenolic Compounds, Antioxidants</w:t>
            </w:r>
          </w:p>
        </w:tc>
        <w:tc>
          <w:tcPr>
            <w:tcW w:w="3012"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HPP enhanced antioxidant activity and preserved bioactive compounds, </w:t>
            </w:r>
            <w:r>
              <w:rPr>
                <w:rFonts w:ascii="Times New Roman" w:eastAsia="Times New Roman" w:hAnsi="Times New Roman" w:cs="Times New Roman"/>
                <w:sz w:val="24"/>
                <w:szCs w:val="24"/>
                <w:highlight w:val="white"/>
              </w:rPr>
              <w:lastRenderedPageBreak/>
              <w:t>improving the overall nutritional quality of apple juice.</w:t>
            </w:r>
          </w:p>
        </w:tc>
        <w:tc>
          <w:tcPr>
            <w:tcW w:w="1121"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Foods</w:t>
            </w:r>
          </w:p>
        </w:tc>
      </w:tr>
      <w:tr w:rsidR="00380DD1">
        <w:tc>
          <w:tcPr>
            <w:tcW w:w="127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Zhang et al. (2025)</w:t>
            </w:r>
          </w:p>
        </w:tc>
        <w:tc>
          <w:tcPr>
            <w:tcW w:w="1277"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PEF</w:t>
            </w:r>
          </w:p>
        </w:tc>
        <w:tc>
          <w:tcPr>
            <w:tcW w:w="1604"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Free Amino Acids, Flavor Compounds</w:t>
            </w:r>
          </w:p>
        </w:tc>
        <w:tc>
          <w:tcPr>
            <w:tcW w:w="3012"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 improved texture and flavor, with significant increases in free amino acids and aroma compounds, particularly umami.</w:t>
            </w:r>
          </w:p>
        </w:tc>
        <w:tc>
          <w:tcPr>
            <w:tcW w:w="1121"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Foods</w:t>
            </w:r>
          </w:p>
        </w:tc>
      </w:tr>
      <w:tr w:rsidR="00380DD1">
        <w:tc>
          <w:tcPr>
            <w:tcW w:w="127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Liang et al. (2023)</w:t>
            </w:r>
          </w:p>
        </w:tc>
        <w:tc>
          <w:tcPr>
            <w:tcW w:w="1277"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HPP</w:t>
            </w:r>
          </w:p>
        </w:tc>
        <w:tc>
          <w:tcPr>
            <w:tcW w:w="1604"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Immunoglobulins (IgA, IgG, IgM), Lactoferrin</w:t>
            </w:r>
          </w:p>
        </w:tc>
        <w:tc>
          <w:tcPr>
            <w:tcW w:w="3012"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HPP proved to be a superior method for preserving bioactive proteins, offering a safer alternative to thermal pasteurization.</w:t>
            </w:r>
          </w:p>
        </w:tc>
        <w:tc>
          <w:tcPr>
            <w:tcW w:w="1121"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Journal of Dairy Science</w:t>
            </w:r>
          </w:p>
        </w:tc>
      </w:tr>
      <w:tr w:rsidR="00380DD1">
        <w:tc>
          <w:tcPr>
            <w:tcW w:w="127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Yanclo</w:t>
            </w:r>
            <w:proofErr w:type="spellEnd"/>
            <w:r>
              <w:rPr>
                <w:rFonts w:ascii="Times New Roman" w:eastAsia="Times New Roman" w:hAnsi="Times New Roman" w:cs="Times New Roman"/>
                <w:sz w:val="24"/>
                <w:szCs w:val="24"/>
                <w:highlight w:val="white"/>
              </w:rPr>
              <w:t xml:space="preserve"> et al. (2024)</w:t>
            </w:r>
          </w:p>
        </w:tc>
        <w:tc>
          <w:tcPr>
            <w:tcW w:w="1277"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Cold Plasma (CP)</w:t>
            </w:r>
          </w:p>
        </w:tc>
        <w:tc>
          <w:tcPr>
            <w:tcW w:w="1604"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Antioxidants, Phenolics</w:t>
            </w:r>
          </w:p>
        </w:tc>
        <w:tc>
          <w:tcPr>
            <w:tcW w:w="3012"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Cold plasma treatment improved the shelf life and quality of mango, enhancing antioxidant capacity while reducing microbial growth.</w:t>
            </w:r>
          </w:p>
        </w:tc>
        <w:tc>
          <w:tcPr>
            <w:tcW w:w="1121"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Heliyon</w:t>
            </w:r>
            <w:proofErr w:type="spellEnd"/>
          </w:p>
        </w:tc>
      </w:tr>
      <w:tr w:rsidR="00380DD1">
        <w:tc>
          <w:tcPr>
            <w:tcW w:w="127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Trusinska</w:t>
            </w:r>
            <w:proofErr w:type="spellEnd"/>
            <w:r>
              <w:rPr>
                <w:rFonts w:ascii="Times New Roman" w:eastAsia="Times New Roman" w:hAnsi="Times New Roman" w:cs="Times New Roman"/>
                <w:sz w:val="24"/>
                <w:szCs w:val="24"/>
                <w:highlight w:val="white"/>
              </w:rPr>
              <w:t xml:space="preserve"> et al. (2023)</w:t>
            </w:r>
          </w:p>
        </w:tc>
        <w:tc>
          <w:tcPr>
            <w:tcW w:w="1277"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PEF</w:t>
            </w:r>
          </w:p>
        </w:tc>
        <w:tc>
          <w:tcPr>
            <w:tcW w:w="1604"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Bioactive Compounds, Antioxidants</w:t>
            </w:r>
          </w:p>
        </w:tc>
        <w:tc>
          <w:tcPr>
            <w:tcW w:w="3012"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 enhanced impregnation efficiency but caused structural changes and some degradation in bioactive compounds</w:t>
            </w:r>
          </w:p>
        </w:tc>
        <w:tc>
          <w:tcPr>
            <w:tcW w:w="1121"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Foods</w:t>
            </w:r>
          </w:p>
        </w:tc>
      </w:tr>
      <w:tr w:rsidR="00380DD1">
        <w:tc>
          <w:tcPr>
            <w:tcW w:w="127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Pérez-Andrés et al. (2020)</w:t>
            </w:r>
          </w:p>
        </w:tc>
        <w:tc>
          <w:tcPr>
            <w:tcW w:w="1277"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Non-Thermal Methods: Cold </w:t>
            </w:r>
            <w:r>
              <w:rPr>
                <w:rFonts w:ascii="Times New Roman" w:eastAsia="Times New Roman" w:hAnsi="Times New Roman" w:cs="Times New Roman"/>
                <w:sz w:val="24"/>
                <w:szCs w:val="24"/>
                <w:highlight w:val="white"/>
              </w:rPr>
              <w:lastRenderedPageBreak/>
              <w:t>Plasma (CP)</w:t>
            </w:r>
          </w:p>
        </w:tc>
        <w:tc>
          <w:tcPr>
            <w:tcW w:w="1604"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Cholesterol, Lipids</w:t>
            </w:r>
          </w:p>
        </w:tc>
        <w:tc>
          <w:tcPr>
            <w:tcW w:w="3012"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CP accelerated lipid oxidation in meat but did not significantly affect </w:t>
            </w:r>
            <w:r>
              <w:rPr>
                <w:rFonts w:ascii="Times New Roman" w:eastAsia="Times New Roman" w:hAnsi="Times New Roman" w:cs="Times New Roman"/>
                <w:sz w:val="24"/>
                <w:szCs w:val="24"/>
                <w:highlight w:val="white"/>
              </w:rPr>
              <w:lastRenderedPageBreak/>
              <w:t>cholesterol or total lipid content.</w:t>
            </w:r>
          </w:p>
        </w:tc>
        <w:tc>
          <w:tcPr>
            <w:tcW w:w="1121"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Foods</w:t>
            </w:r>
          </w:p>
        </w:tc>
      </w:tr>
      <w:tr w:rsidR="00380DD1">
        <w:tc>
          <w:tcPr>
            <w:tcW w:w="127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Buitimea-Cantúa</w:t>
            </w:r>
            <w:proofErr w:type="spellEnd"/>
            <w:r>
              <w:rPr>
                <w:rFonts w:ascii="Times New Roman" w:eastAsia="Times New Roman" w:hAnsi="Times New Roman" w:cs="Times New Roman"/>
                <w:sz w:val="24"/>
                <w:szCs w:val="24"/>
                <w:highlight w:val="white"/>
              </w:rPr>
              <w:t xml:space="preserve"> et al. (2022)</w:t>
            </w:r>
          </w:p>
        </w:tc>
        <w:tc>
          <w:tcPr>
            <w:tcW w:w="1277"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HHP, PEF</w:t>
            </w:r>
          </w:p>
        </w:tc>
        <w:tc>
          <w:tcPr>
            <w:tcW w:w="1604"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Vitamin C, Phenolics, Antioxidants</w:t>
            </w:r>
          </w:p>
        </w:tc>
        <w:tc>
          <w:tcPr>
            <w:tcW w:w="3012"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HHP and PEF are effective non-thermal methods for improving microbial safety and phytochemical retention in juice processing.</w:t>
            </w:r>
          </w:p>
        </w:tc>
        <w:tc>
          <w:tcPr>
            <w:tcW w:w="1121"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Foods</w:t>
            </w:r>
          </w:p>
        </w:tc>
      </w:tr>
      <w:tr w:rsidR="00380DD1">
        <w:tc>
          <w:tcPr>
            <w:tcW w:w="127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Mandim</w:t>
            </w:r>
            <w:proofErr w:type="spellEnd"/>
            <w:r>
              <w:rPr>
                <w:rFonts w:ascii="Times New Roman" w:eastAsia="Times New Roman" w:hAnsi="Times New Roman" w:cs="Times New Roman"/>
                <w:sz w:val="24"/>
                <w:szCs w:val="24"/>
                <w:highlight w:val="white"/>
              </w:rPr>
              <w:t xml:space="preserve"> et al. (2024)</w:t>
            </w:r>
          </w:p>
        </w:tc>
        <w:tc>
          <w:tcPr>
            <w:tcW w:w="1277"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High-Pressure Processing (HPP)</w:t>
            </w:r>
          </w:p>
        </w:tc>
        <w:tc>
          <w:tcPr>
            <w:tcW w:w="1604"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Magnesium (Mg), Potassium (K), Calcium (Ca), Iron (Fe)</w:t>
            </w:r>
          </w:p>
        </w:tc>
        <w:tc>
          <w:tcPr>
            <w:tcW w:w="3012"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Macroalgae fortification with HPP treatment improved shelf life, quality, and nutritional value of sausages without adverse effects.</w:t>
            </w:r>
          </w:p>
        </w:tc>
        <w:tc>
          <w:tcPr>
            <w:tcW w:w="1121"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Foods</w:t>
            </w:r>
          </w:p>
        </w:tc>
      </w:tr>
      <w:tr w:rsidR="00380DD1">
        <w:tc>
          <w:tcPr>
            <w:tcW w:w="1278" w:type="dxa"/>
            <w:tcMar>
              <w:top w:w="100" w:type="dxa"/>
              <w:left w:w="100" w:type="dxa"/>
              <w:bottom w:w="100" w:type="dxa"/>
              <w:right w:w="100" w:type="dxa"/>
            </w:tcMar>
          </w:tcPr>
          <w:p w:rsidR="00380DD1" w:rsidRDefault="005C0B9C">
            <w:pPr>
              <w:spacing w:line="36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highlight w:val="white"/>
              </w:rPr>
              <w:t>Razazian</w:t>
            </w:r>
            <w:proofErr w:type="spellEnd"/>
            <w:r>
              <w:rPr>
                <w:rFonts w:ascii="Times New Roman" w:eastAsia="Times New Roman" w:hAnsi="Times New Roman" w:cs="Times New Roman"/>
                <w:highlight w:val="white"/>
              </w:rPr>
              <w:t xml:space="preserve"> et al. (2025)</w:t>
            </w:r>
          </w:p>
        </w:tc>
        <w:tc>
          <w:tcPr>
            <w:tcW w:w="1277" w:type="dxa"/>
            <w:tcMar>
              <w:top w:w="100" w:type="dxa"/>
              <w:left w:w="100" w:type="dxa"/>
              <w:bottom w:w="100" w:type="dxa"/>
              <w:right w:w="100" w:type="dxa"/>
            </w:tcMar>
          </w:tcPr>
          <w:p w:rsidR="00380DD1" w:rsidRDefault="005C0B9C">
            <w:pP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Experimental study</w:t>
            </w:r>
          </w:p>
        </w:tc>
        <w:tc>
          <w:tcPr>
            <w:tcW w:w="1068" w:type="dxa"/>
            <w:tcMar>
              <w:top w:w="100" w:type="dxa"/>
              <w:left w:w="100" w:type="dxa"/>
              <w:bottom w:w="100" w:type="dxa"/>
              <w:right w:w="100" w:type="dxa"/>
            </w:tcMar>
          </w:tcPr>
          <w:p w:rsidR="00380DD1" w:rsidRDefault="005C0B9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Non-Thermal Methods: Cold Plasma</w:t>
            </w:r>
          </w:p>
        </w:tc>
        <w:tc>
          <w:tcPr>
            <w:tcW w:w="1604" w:type="dxa"/>
            <w:tcMar>
              <w:top w:w="100" w:type="dxa"/>
              <w:left w:w="100" w:type="dxa"/>
              <w:bottom w:w="100" w:type="dxa"/>
              <w:right w:w="100" w:type="dxa"/>
            </w:tcMar>
          </w:tcPr>
          <w:p w:rsidR="00380DD1" w:rsidRDefault="005C0B9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Vitamin C, Total Phenolics, Flavonoids</w:t>
            </w:r>
          </w:p>
        </w:tc>
        <w:tc>
          <w:tcPr>
            <w:tcW w:w="3012" w:type="dxa"/>
            <w:tcMar>
              <w:top w:w="100" w:type="dxa"/>
              <w:left w:w="100" w:type="dxa"/>
              <w:bottom w:w="100" w:type="dxa"/>
              <w:right w:w="100" w:type="dxa"/>
            </w:tcMar>
          </w:tcPr>
          <w:p w:rsidR="00380DD1" w:rsidRDefault="005C0B9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Cold plasma treatment enhanced antioxidant capacity and extended the shelf-life of lime fruits.</w:t>
            </w:r>
          </w:p>
        </w:tc>
        <w:tc>
          <w:tcPr>
            <w:tcW w:w="1121" w:type="dxa"/>
            <w:tcMar>
              <w:top w:w="100" w:type="dxa"/>
              <w:left w:w="100" w:type="dxa"/>
              <w:bottom w:w="100" w:type="dxa"/>
              <w:right w:w="100" w:type="dxa"/>
            </w:tcMar>
          </w:tcPr>
          <w:p w:rsidR="00380DD1" w:rsidRDefault="005C0B9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Food Science &amp; Nutrition</w:t>
            </w:r>
          </w:p>
        </w:tc>
      </w:tr>
      <w:tr w:rsidR="00380DD1">
        <w:tc>
          <w:tcPr>
            <w:tcW w:w="127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Gao et al. (2022)</w:t>
            </w:r>
          </w:p>
        </w:tc>
        <w:tc>
          <w:tcPr>
            <w:tcW w:w="1277"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explore PEF and ultrasonic effects on bioactive compon</w:t>
            </w:r>
            <w:r>
              <w:rPr>
                <w:rFonts w:ascii="Times New Roman" w:eastAsia="Times New Roman" w:hAnsi="Times New Roman" w:cs="Times New Roman"/>
                <w:sz w:val="24"/>
                <w:szCs w:val="24"/>
                <w:highlight w:val="white"/>
              </w:rPr>
              <w:lastRenderedPageBreak/>
              <w:t>ents in tea polysaccharides.</w:t>
            </w:r>
          </w:p>
        </w:tc>
        <w:tc>
          <w:tcPr>
            <w:tcW w:w="1604"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Non-Thermal Methods: PEF, Ultrasound</w:t>
            </w:r>
          </w:p>
        </w:tc>
        <w:tc>
          <w:tcPr>
            <w:tcW w:w="3012"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 and ultrasound preserved antioxidant activity in tea polysaccharides, with higher bioavailability.</w:t>
            </w:r>
          </w:p>
        </w:tc>
        <w:tc>
          <w:tcPr>
            <w:tcW w:w="1121"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Journal of Food Science &amp; Technology</w:t>
            </w:r>
          </w:p>
        </w:tc>
      </w:tr>
      <w:tr w:rsidR="00380DD1">
        <w:tc>
          <w:tcPr>
            <w:tcW w:w="127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highlight w:val="white"/>
              </w:rPr>
              <w:t xml:space="preserve"> et al. (2025)</w:t>
            </w:r>
          </w:p>
        </w:tc>
        <w:tc>
          <w:tcPr>
            <w:tcW w:w="1277"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investigate the effect of HPP on blueberry juice's phenolic content and antioxidant activity.</w:t>
            </w:r>
          </w:p>
        </w:tc>
        <w:tc>
          <w:tcPr>
            <w:tcW w:w="1604"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HPP</w:t>
            </w:r>
          </w:p>
        </w:tc>
        <w:tc>
          <w:tcPr>
            <w:tcW w:w="3012"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HPP effectively preserved antioxidants and vitamins, maintaining nutrient integrity in blueberry juice.</w:t>
            </w:r>
          </w:p>
        </w:tc>
        <w:tc>
          <w:tcPr>
            <w:tcW w:w="1121"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 Control</w:t>
            </w:r>
          </w:p>
        </w:tc>
      </w:tr>
      <w:tr w:rsidR="00380DD1">
        <w:tc>
          <w:tcPr>
            <w:tcW w:w="127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Lai et al. (2022)</w:t>
            </w:r>
          </w:p>
        </w:tc>
        <w:tc>
          <w:tcPr>
            <w:tcW w:w="1277"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 evaluate HPP's effect on the microbiological safety and quality of </w:t>
            </w:r>
            <w:proofErr w:type="spellStart"/>
            <w:r>
              <w:rPr>
                <w:rFonts w:ascii="Times New Roman" w:eastAsia="Times New Roman" w:hAnsi="Times New Roman" w:cs="Times New Roman"/>
                <w:sz w:val="24"/>
                <w:szCs w:val="24"/>
                <w:highlight w:val="white"/>
              </w:rPr>
              <w:t>Shiikuw</w:t>
            </w:r>
            <w:r>
              <w:rPr>
                <w:rFonts w:ascii="Times New Roman" w:eastAsia="Times New Roman" w:hAnsi="Times New Roman" w:cs="Times New Roman"/>
                <w:sz w:val="24"/>
                <w:szCs w:val="24"/>
                <w:highlight w:val="white"/>
              </w:rPr>
              <w:lastRenderedPageBreak/>
              <w:t>asha</w:t>
            </w:r>
            <w:proofErr w:type="spellEnd"/>
            <w:r>
              <w:rPr>
                <w:rFonts w:ascii="Times New Roman" w:eastAsia="Times New Roman" w:hAnsi="Times New Roman" w:cs="Times New Roman"/>
                <w:sz w:val="24"/>
                <w:szCs w:val="24"/>
                <w:highlight w:val="white"/>
              </w:rPr>
              <w:t xml:space="preserve"> juice.</w:t>
            </w:r>
          </w:p>
        </w:tc>
        <w:tc>
          <w:tcPr>
            <w:tcW w:w="1604"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Non-Thermal Methods: HPP</w:t>
            </w:r>
          </w:p>
        </w:tc>
        <w:tc>
          <w:tcPr>
            <w:tcW w:w="3012"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HPP preserved the quality and bioactive compounds of </w:t>
            </w:r>
            <w:proofErr w:type="spellStart"/>
            <w:r>
              <w:rPr>
                <w:rFonts w:ascii="Times New Roman" w:eastAsia="Times New Roman" w:hAnsi="Times New Roman" w:cs="Times New Roman"/>
                <w:sz w:val="24"/>
                <w:szCs w:val="24"/>
                <w:highlight w:val="white"/>
              </w:rPr>
              <w:t>Shiikuwasha</w:t>
            </w:r>
            <w:proofErr w:type="spellEnd"/>
            <w:r>
              <w:rPr>
                <w:rFonts w:ascii="Times New Roman" w:eastAsia="Times New Roman" w:hAnsi="Times New Roman" w:cs="Times New Roman"/>
                <w:sz w:val="24"/>
                <w:szCs w:val="24"/>
                <w:highlight w:val="white"/>
              </w:rPr>
              <w:t xml:space="preserve"> juice while ensuring microbiological safety.</w:t>
            </w:r>
          </w:p>
        </w:tc>
        <w:tc>
          <w:tcPr>
            <w:tcW w:w="1121"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 Science &amp; Technology</w:t>
            </w:r>
          </w:p>
        </w:tc>
      </w:tr>
      <w:tr w:rsidR="00380DD1">
        <w:tc>
          <w:tcPr>
            <w:tcW w:w="127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Peng et al. (2025)</w:t>
            </w:r>
          </w:p>
        </w:tc>
        <w:tc>
          <w:tcPr>
            <w:tcW w:w="1277"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evaluate the effects of high-pressure homogenization (HPH) on phenolic bioavailability in peach juice.</w:t>
            </w:r>
          </w:p>
        </w:tc>
        <w:tc>
          <w:tcPr>
            <w:tcW w:w="1604"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HPH</w:t>
            </w:r>
          </w:p>
        </w:tc>
        <w:tc>
          <w:tcPr>
            <w:tcW w:w="3012"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HPH treatment improved phenolic bioavailability, enhancing antioxidant activity and functional benefits in peach juice.</w:t>
            </w:r>
          </w:p>
        </w:tc>
        <w:tc>
          <w:tcPr>
            <w:tcW w:w="1121"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 Chemistry</w:t>
            </w:r>
          </w:p>
        </w:tc>
      </w:tr>
    </w:tbl>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14300" distB="114300" distL="114300" distR="114300">
            <wp:extent cx="5943600" cy="34671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43600" cy="3467100"/>
                    </a:xfrm>
                    <a:prstGeom prst="rect">
                      <a:avLst/>
                    </a:prstGeom>
                    <a:ln/>
                  </pic:spPr>
                </pic:pic>
              </a:graphicData>
            </a:graphic>
          </wp:inline>
        </w:drawing>
      </w:r>
    </w:p>
    <w:p w:rsidR="00380DD1" w:rsidRDefault="005C0B9C">
      <w:pPr>
        <w:spacing w:line="360" w:lineRule="auto"/>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 xml:space="preserve">Figure 2: Comparative Nutrient Retention Across Processing Technologies </w:t>
      </w:r>
    </w:p>
    <w:p w:rsidR="00380DD1" w:rsidRDefault="00380DD1">
      <w:pPr>
        <w:spacing w:line="360" w:lineRule="auto"/>
        <w:rPr>
          <w:rFonts w:ascii="Times New Roman" w:eastAsia="Times New Roman" w:hAnsi="Times New Roman" w:cs="Times New Roman"/>
          <w:b/>
          <w:bCs/>
          <w:sz w:val="32"/>
          <w:szCs w:val="32"/>
          <w:highlight w:val="white"/>
        </w:rPr>
      </w:pPr>
    </w:p>
    <w:p w:rsidR="00380DD1" w:rsidRDefault="005C0B9C">
      <w:pPr>
        <w:spacing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Narrative synthesis and Discussion</w:t>
      </w:r>
    </w:p>
    <w:p w:rsidR="00380DD1" w:rsidRDefault="005C0B9C">
      <w:pPr>
        <w:pStyle w:val="Heading3"/>
        <w:keepNext w:val="0"/>
        <w:keepLines w:val="0"/>
        <w:spacing w:before="280" w:line="360" w:lineRule="auto"/>
        <w:rPr>
          <w:rFonts w:ascii="Times New Roman" w:eastAsia="Times New Roman" w:hAnsi="Times New Roman" w:cs="Times New Roman"/>
          <w:b/>
          <w:bCs/>
          <w:color w:val="000000"/>
          <w:sz w:val="24"/>
          <w:szCs w:val="24"/>
          <w:highlight w:val="white"/>
        </w:rPr>
      </w:pPr>
      <w:bookmarkStart w:id="1" w:name="_heading=h.ba5gpgye37z9" w:colFirst="0" w:colLast="0"/>
      <w:bookmarkEnd w:id="1"/>
      <w:r>
        <w:rPr>
          <w:rFonts w:ascii="Times New Roman" w:eastAsia="Times New Roman" w:hAnsi="Times New Roman" w:cs="Times New Roman"/>
          <w:b/>
          <w:bCs/>
          <w:color w:val="000000"/>
          <w:sz w:val="24"/>
          <w:szCs w:val="24"/>
          <w:highlight w:val="white"/>
        </w:rPr>
        <w:t xml:space="preserve">Emergence of Non-Thermal Processing Technologies: How Do They Preserve Nutrient Integrity? </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recent years, the need for food preservation technologies that balance safety with nutrient retention has led to the development and adoption of non-thermal processing methods. While traditional thermal processes, such as pasteurization, canning, and boiling, effectively reduce microbial contamination, they often lead to the degradation of heat-sensitive nutrients, such as vitamins, antioxidants, and polyphenols. Non-thermal technologies like High-Pressure Processing (HPP), Pulsed Electric Field (PEF), and Cold Plasma have emerged as promising alternatives due to their ability to preserve nutrient integrity while maintaining microbial safety (</w:t>
      </w:r>
      <w:proofErr w:type="spellStart"/>
      <w:r>
        <w:rPr>
          <w:rFonts w:ascii="Times New Roman" w:eastAsia="Times New Roman" w:hAnsi="Times New Roman" w:cs="Times New Roman"/>
          <w:sz w:val="24"/>
          <w:szCs w:val="24"/>
          <w:highlight w:val="white"/>
        </w:rPr>
        <w:t>Athanasiadis</w:t>
      </w:r>
      <w:proofErr w:type="spellEnd"/>
      <w:r>
        <w:rPr>
          <w:rFonts w:ascii="Times New Roman" w:eastAsia="Times New Roman" w:hAnsi="Times New Roman" w:cs="Times New Roman"/>
          <w:sz w:val="24"/>
          <w:szCs w:val="24"/>
          <w:highlight w:val="white"/>
        </w:rPr>
        <w:t xml:space="preserve"> et al., 2025; Khalid et al., 2025; Zhang et al., 2025).</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advantage of these non-thermal methods lies in their ability to reduce microbial loads without subjecting the food to heat-induced degradation of vital nutrients. HPP, for example, has been </w:t>
      </w:r>
      <w:r>
        <w:rPr>
          <w:rFonts w:ascii="Times New Roman" w:eastAsia="Times New Roman" w:hAnsi="Times New Roman" w:cs="Times New Roman"/>
          <w:sz w:val="24"/>
          <w:szCs w:val="24"/>
          <w:highlight w:val="white"/>
        </w:rPr>
        <w:lastRenderedPageBreak/>
        <w:t xml:space="preserve">shown to preserve the quality and antioxidant capacity of fruit juices and vegetables, retaining heat-sensitive compounds like vitamin C, polyphenols, and flavonoids (Gao et al., 2022). Similarly, PEF technology has been used successfully in preserving the bioactive compounds in fruits and vegetables while reducing microbial content, offering a </w:t>
      </w:r>
      <w:proofErr w:type="gramStart"/>
      <w:r>
        <w:rPr>
          <w:rFonts w:ascii="Times New Roman" w:eastAsia="Times New Roman" w:hAnsi="Times New Roman" w:cs="Times New Roman"/>
          <w:sz w:val="24"/>
          <w:szCs w:val="24"/>
          <w:highlight w:val="white"/>
        </w:rPr>
        <w:t>more nutrient-friendly</w:t>
      </w:r>
      <w:proofErr w:type="gramEnd"/>
      <w:r>
        <w:rPr>
          <w:rFonts w:ascii="Times New Roman" w:eastAsia="Times New Roman" w:hAnsi="Times New Roman" w:cs="Times New Roman"/>
          <w:sz w:val="24"/>
          <w:szCs w:val="24"/>
          <w:highlight w:val="white"/>
        </w:rPr>
        <w:t xml:space="preserve"> alternative to conventional thermal processing (Rinaldi et al., 2024; </w:t>
      </w:r>
      <w:proofErr w:type="spellStart"/>
      <w:r>
        <w:rPr>
          <w:rFonts w:ascii="Times New Roman" w:eastAsia="Times New Roman" w:hAnsi="Times New Roman" w:cs="Times New Roman"/>
          <w:sz w:val="24"/>
          <w:szCs w:val="24"/>
          <w:highlight w:val="white"/>
        </w:rPr>
        <w:t>Trusinska</w:t>
      </w:r>
      <w:proofErr w:type="spellEnd"/>
      <w:r>
        <w:rPr>
          <w:rFonts w:ascii="Times New Roman" w:eastAsia="Times New Roman" w:hAnsi="Times New Roman" w:cs="Times New Roman"/>
          <w:sz w:val="24"/>
          <w:szCs w:val="24"/>
          <w:highlight w:val="white"/>
        </w:rPr>
        <w:t xml:space="preserve"> et al., 2023).</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These technologies, however, are not without their challenges. The effectiveness of nutrient preservation depends heavily on the processing parameters, such as pressure, electric field strength, and treatment time, as well as the food matrix itself (Lai et al., 2022). For instance, while HPP is widely successful in fruit and vegetable processing, its application in protein-rich foods like meat and dairy has shown more varied results (Peng et al., 2025; Zhang et al., 2025). </w:t>
      </w:r>
    </w:p>
    <w:p w:rsidR="00380DD1" w:rsidRDefault="005C0B9C">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Comparative Efficacy of Non-Thermal Processing Techniques: A Look at Nutrient Preservation Across Food Types </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processing techniques offer distinct advantages for preserving nutrient integrity across various food types, with substantial improvements over traditional thermal methods. The ability to preserve vitamins, antioxidants, and other bioactive compounds is particularly crucial for products like fruit juices, dairy, and vegetables, where heat-sensitive nutrients are abundant (Zhang et al., 2025). For instance, HPP has proven highly effective in preserving antioxidants and vitamins in fruit juices, such as the retention of up to 92% of vitamin C in citrus juices and 90% of polyphenols in blueberries (</w:t>
      </w:r>
      <w:proofErr w:type="spellStart"/>
      <w:r>
        <w:rPr>
          <w:rFonts w:ascii="Times New Roman" w:eastAsia="Times New Roman" w:hAnsi="Times New Roman" w:cs="Times New Roman"/>
          <w:sz w:val="24"/>
          <w:szCs w:val="24"/>
          <w:highlight w:val="white"/>
        </w:rPr>
        <w:t>Razazian</w:t>
      </w:r>
      <w:proofErr w:type="spellEnd"/>
      <w:r>
        <w:rPr>
          <w:rFonts w:ascii="Times New Roman" w:eastAsia="Times New Roman" w:hAnsi="Times New Roman" w:cs="Times New Roman"/>
          <w:sz w:val="24"/>
          <w:szCs w:val="24"/>
          <w:highlight w:val="white"/>
        </w:rPr>
        <w:t xml:space="preserve"> et al., 2025; Peng et al., 2025).</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However, the efficacy of non-thermal processing varies depending on the food matrix. Fruits and vegetables, which have a higher water content, generally exhibit better nutrient retention post-treatment compared to meats or dairy products. The water content of fruits like tomatoes and mangoes allows for better diffusion of pressure during HPP or PEF treatments, leading to higher retention of bioactive compounds (Rinaldi et al., 2024; </w:t>
      </w:r>
      <w:proofErr w:type="spellStart"/>
      <w:r>
        <w:rPr>
          <w:rFonts w:ascii="Times New Roman" w:eastAsia="Times New Roman" w:hAnsi="Times New Roman" w:cs="Times New Roman"/>
          <w:sz w:val="24"/>
          <w:szCs w:val="24"/>
          <w:highlight w:val="white"/>
        </w:rPr>
        <w:t>Trusinska</w:t>
      </w:r>
      <w:proofErr w:type="spellEnd"/>
      <w:r>
        <w:rPr>
          <w:rFonts w:ascii="Times New Roman" w:eastAsia="Times New Roman" w:hAnsi="Times New Roman" w:cs="Times New Roman"/>
          <w:sz w:val="24"/>
          <w:szCs w:val="24"/>
          <w:highlight w:val="white"/>
        </w:rPr>
        <w:t xml:space="preserve"> et al., 2023). On the other hand, non-thermal methods applied to meat products and dairy, which contain higher levels of fats and proteins, show more mixed results. Studies indicate that while non-thermal treatments, particularly PEF, improve protein solubility and reduce drip loss in meats, they may also lead to slight changes in texture and color (Zhang et al., 2025; Gao et al., 2022).</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Table 1</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bCs/>
          <w:sz w:val="24"/>
          <w:szCs w:val="24"/>
          <w:highlight w:val="white"/>
        </w:rPr>
        <w:t>Summary of Nutrient Retention Across Different Processing Technologies</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380DD1">
        <w:tc>
          <w:tcPr>
            <w:tcW w:w="1560" w:type="dxa"/>
            <w:tcMar>
              <w:top w:w="100" w:type="dxa"/>
              <w:left w:w="100" w:type="dxa"/>
              <w:bottom w:w="100" w:type="dxa"/>
              <w:right w:w="100" w:type="dxa"/>
            </w:tcMar>
          </w:tcPr>
          <w:p w:rsidR="00380DD1" w:rsidRDefault="005C0B9C">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Food Type</w:t>
            </w:r>
          </w:p>
        </w:tc>
        <w:tc>
          <w:tcPr>
            <w:tcW w:w="1560" w:type="dxa"/>
            <w:tcMar>
              <w:top w:w="100" w:type="dxa"/>
              <w:left w:w="100" w:type="dxa"/>
              <w:bottom w:w="100" w:type="dxa"/>
              <w:right w:w="100" w:type="dxa"/>
            </w:tcMar>
          </w:tcPr>
          <w:p w:rsidR="00380DD1" w:rsidRDefault="005C0B9C">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Processing Method</w:t>
            </w:r>
          </w:p>
        </w:tc>
        <w:tc>
          <w:tcPr>
            <w:tcW w:w="1560" w:type="dxa"/>
            <w:tcMar>
              <w:top w:w="100" w:type="dxa"/>
              <w:left w:w="100" w:type="dxa"/>
              <w:bottom w:w="100" w:type="dxa"/>
              <w:right w:w="100" w:type="dxa"/>
            </w:tcMar>
          </w:tcPr>
          <w:p w:rsidR="00380DD1" w:rsidRDefault="005C0B9C">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Nutrient Examined</w:t>
            </w:r>
          </w:p>
        </w:tc>
        <w:tc>
          <w:tcPr>
            <w:tcW w:w="1560" w:type="dxa"/>
            <w:tcMar>
              <w:top w:w="100" w:type="dxa"/>
              <w:left w:w="100" w:type="dxa"/>
              <w:bottom w:w="100" w:type="dxa"/>
              <w:right w:w="100" w:type="dxa"/>
            </w:tcMar>
          </w:tcPr>
          <w:p w:rsidR="00380DD1" w:rsidRDefault="005C0B9C">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Retention (%)</w:t>
            </w:r>
          </w:p>
        </w:tc>
        <w:tc>
          <w:tcPr>
            <w:tcW w:w="1560" w:type="dxa"/>
            <w:tcMar>
              <w:top w:w="100" w:type="dxa"/>
              <w:left w:w="100" w:type="dxa"/>
              <w:bottom w:w="100" w:type="dxa"/>
              <w:right w:w="100" w:type="dxa"/>
            </w:tcMar>
          </w:tcPr>
          <w:p w:rsidR="00380DD1" w:rsidRDefault="005C0B9C">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Key Findings</w:t>
            </w:r>
          </w:p>
        </w:tc>
        <w:tc>
          <w:tcPr>
            <w:tcW w:w="1560" w:type="dxa"/>
            <w:tcMar>
              <w:top w:w="100" w:type="dxa"/>
              <w:left w:w="100" w:type="dxa"/>
              <w:bottom w:w="100" w:type="dxa"/>
              <w:right w:w="100" w:type="dxa"/>
            </w:tcMar>
          </w:tcPr>
          <w:p w:rsidR="00380DD1" w:rsidRDefault="005C0B9C">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Source</w:t>
            </w:r>
          </w:p>
        </w:tc>
      </w:tr>
      <w:tr w:rsidR="00380DD1">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Tomato</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Carotenoids, Vitamin C</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Carotenoids, Vitamin C</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 preserved carotenoids and Vitamin C.</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Trusinska</w:t>
            </w:r>
            <w:proofErr w:type="spellEnd"/>
            <w:r>
              <w:rPr>
                <w:rFonts w:ascii="Times New Roman" w:eastAsia="Times New Roman" w:hAnsi="Times New Roman" w:cs="Times New Roman"/>
                <w:sz w:val="24"/>
                <w:szCs w:val="24"/>
                <w:highlight w:val="white"/>
              </w:rPr>
              <w:t xml:space="preserve"> et al. (2023)</w:t>
            </w:r>
          </w:p>
        </w:tc>
      </w:tr>
      <w:tr w:rsidR="00380DD1">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Beef</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Proteins, Lipids</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75%</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 improved protein solubility but altered color.</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Zhang et al. (2025)</w:t>
            </w:r>
          </w:p>
        </w:tc>
      </w:tr>
      <w:tr w:rsidR="00380DD1">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Dairy (Milk)</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HPP</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Lactoferrin, Vitamin C</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80%</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HPP preserved lactoferrin and Vitamin C.</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Mandim</w:t>
            </w:r>
            <w:proofErr w:type="spellEnd"/>
            <w:r>
              <w:rPr>
                <w:rFonts w:ascii="Times New Roman" w:eastAsia="Times New Roman" w:hAnsi="Times New Roman" w:cs="Times New Roman"/>
                <w:sz w:val="24"/>
                <w:szCs w:val="24"/>
                <w:highlight w:val="white"/>
              </w:rPr>
              <w:t xml:space="preserve"> et al. (2024)</w:t>
            </w:r>
          </w:p>
        </w:tc>
      </w:tr>
      <w:tr w:rsidR="00380DD1">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Mango</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Cold Plasma</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Vitamin C</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85%</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Cold plasma preserved Vitamin C and bioactive compounds.</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Yanclo</w:t>
            </w:r>
            <w:proofErr w:type="spellEnd"/>
            <w:r>
              <w:rPr>
                <w:rFonts w:ascii="Times New Roman" w:eastAsia="Times New Roman" w:hAnsi="Times New Roman" w:cs="Times New Roman"/>
                <w:sz w:val="24"/>
                <w:szCs w:val="24"/>
                <w:highlight w:val="white"/>
              </w:rPr>
              <w:t xml:space="preserve"> et al. (2024)</w:t>
            </w:r>
          </w:p>
        </w:tc>
      </w:tr>
      <w:tr w:rsidR="00380DD1">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Carrot</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Carotenoids</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92%</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PEF enhanced carotenoid retention, </w:t>
            </w:r>
            <w:r>
              <w:rPr>
                <w:rFonts w:ascii="Times New Roman" w:eastAsia="Times New Roman" w:hAnsi="Times New Roman" w:cs="Times New Roman"/>
                <w:sz w:val="24"/>
                <w:szCs w:val="24"/>
                <w:highlight w:val="white"/>
              </w:rPr>
              <w:lastRenderedPageBreak/>
              <w:t>minimal loss of Vitamin C.</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Rinaldi et al. (2024)</w:t>
            </w:r>
          </w:p>
        </w:tc>
      </w:tr>
      <w:tr w:rsidR="00380DD1">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Grape</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Cold Plasma</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Phenolic Acids</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80%</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Cold plasma preserved phenolic acids.</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Gao et al. (2022)</w:t>
            </w:r>
          </w:p>
        </w:tc>
      </w:tr>
      <w:tr w:rsidR="00380DD1">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Banana</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HPP</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Vitamin C, Phenolics</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85%</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HPP helped preserve bioactive compounds better than thermal methods.</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highlight w:val="white"/>
              </w:rPr>
              <w:t xml:space="preserve"> et al. (2025)</w:t>
            </w:r>
          </w:p>
        </w:tc>
      </w:tr>
      <w:tr w:rsidR="00380DD1">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Blueberries</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HPP</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Anthocyanins, Vitamin C</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92%</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HPP preserved anthocyanins and Vitamin C.</w:t>
            </w:r>
          </w:p>
        </w:tc>
        <w:tc>
          <w:tcPr>
            <w:tcW w:w="1560" w:type="dxa"/>
            <w:tcMar>
              <w:top w:w="100" w:type="dxa"/>
              <w:left w:w="100" w:type="dxa"/>
              <w:bottom w:w="100" w:type="dxa"/>
              <w:right w:w="100" w:type="dxa"/>
            </w:tcMar>
          </w:tcPr>
          <w:p w:rsidR="00380DD1" w:rsidRDefault="005C0B9C">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highlight w:val="white"/>
              </w:rPr>
              <w:t xml:space="preserve"> et al. (2025)</w:t>
            </w:r>
          </w:p>
        </w:tc>
      </w:tr>
    </w:tbl>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pStyle w:val="Heading3"/>
        <w:keepNext w:val="0"/>
        <w:keepLines w:val="0"/>
        <w:spacing w:before="280" w:line="360" w:lineRule="auto"/>
        <w:rPr>
          <w:rFonts w:ascii="Times New Roman" w:eastAsia="Times New Roman" w:hAnsi="Times New Roman" w:cs="Times New Roman"/>
          <w:b/>
          <w:bCs/>
          <w:color w:val="000000"/>
          <w:sz w:val="24"/>
          <w:szCs w:val="24"/>
          <w:highlight w:val="white"/>
        </w:rPr>
      </w:pPr>
      <w:bookmarkStart w:id="2" w:name="_heading=h.xcj1xpaljem0" w:colFirst="0" w:colLast="0"/>
      <w:bookmarkEnd w:id="2"/>
      <w:r>
        <w:rPr>
          <w:rFonts w:ascii="Times New Roman" w:eastAsia="Times New Roman" w:hAnsi="Times New Roman" w:cs="Times New Roman"/>
          <w:b/>
          <w:bCs/>
          <w:color w:val="000000"/>
          <w:sz w:val="24"/>
          <w:szCs w:val="24"/>
          <w:highlight w:val="white"/>
        </w:rPr>
        <w:t>Microbial Safety: How Non-Thermal Processing Measures Up Against Thermal Treatments</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Non-thermal processing technologies are increasingly recognized for their ability to inactivate microorganisms while preserving the nutritional quality of foods. Unlike thermal treatments, which are effective at eliminating pathogens, non-thermal methods such as HPP, PEF, and Cold Plasma can achieve similar microbial reductions without the adverse effects on heat-sensitive nutrients (Peng et al., 2025). Studies on HPP have demonstrated its ability to reduce microbial </w:t>
      </w:r>
      <w:r>
        <w:rPr>
          <w:rFonts w:ascii="Times New Roman" w:eastAsia="Times New Roman" w:hAnsi="Times New Roman" w:cs="Times New Roman"/>
          <w:sz w:val="24"/>
          <w:szCs w:val="24"/>
          <w:highlight w:val="white"/>
        </w:rPr>
        <w:lastRenderedPageBreak/>
        <w:t>counts in fruit juices, dairy products, and meats while maintaining or enhancing nutrient retention (Zhang et al., 2025; Gao et al., 2022).</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 instance, HPP-treated fruit juices retained up to 92% of vitamin C and maintained high antioxidant levels, while microbial populations were reduced to safe levels (</w:t>
      </w: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highlight w:val="white"/>
        </w:rPr>
        <w:t xml:space="preserve"> et al., 2025). Similarly, Cold Plasma has shown promising results in reducing microbial loads on fruits, vegetables, and meat surfaces, with minimal nutrient degradation (</w:t>
      </w:r>
      <w:proofErr w:type="spellStart"/>
      <w:r>
        <w:rPr>
          <w:rFonts w:ascii="Times New Roman" w:eastAsia="Times New Roman" w:hAnsi="Times New Roman" w:cs="Times New Roman"/>
          <w:sz w:val="24"/>
          <w:szCs w:val="24"/>
          <w:highlight w:val="white"/>
        </w:rPr>
        <w:t>Buitimea-Cantúa</w:t>
      </w:r>
      <w:proofErr w:type="spellEnd"/>
      <w:r>
        <w:rPr>
          <w:rFonts w:ascii="Times New Roman" w:eastAsia="Times New Roman" w:hAnsi="Times New Roman" w:cs="Times New Roman"/>
          <w:sz w:val="24"/>
          <w:szCs w:val="24"/>
          <w:highlight w:val="white"/>
        </w:rPr>
        <w:t xml:space="preserve"> et al., 2022).</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comparison, thermal processing methods, such as pasteurization and boiling, are highly effective in microbial inactivation but lead to significant nutrient losses, particularly in vitamins like vitamin C and antioxidants (Lai et al., 2022; Pérez-Andrés et al., 2020). Non-thermal methods provide a promising solution to this dilemma by balancing microbial safety with nutrient preservation (Lawal et al., 2025; </w:t>
      </w:r>
      <w:proofErr w:type="spellStart"/>
      <w:r>
        <w:rPr>
          <w:rFonts w:ascii="Times New Roman" w:eastAsia="Times New Roman" w:hAnsi="Times New Roman" w:cs="Times New Roman"/>
          <w:sz w:val="24"/>
          <w:szCs w:val="24"/>
          <w:highlight w:val="white"/>
        </w:rPr>
        <w:t>Olaoye</w:t>
      </w:r>
      <w:proofErr w:type="spellEnd"/>
      <w:r>
        <w:rPr>
          <w:rFonts w:ascii="Times New Roman" w:eastAsia="Times New Roman" w:hAnsi="Times New Roman" w:cs="Times New Roman"/>
          <w:sz w:val="24"/>
          <w:szCs w:val="24"/>
          <w:highlight w:val="white"/>
        </w:rPr>
        <w:t xml:space="preserve"> et al., 2024).</w:t>
      </w:r>
    </w:p>
    <w:p w:rsidR="00380DD1" w:rsidRDefault="005C0B9C">
      <w:pPr>
        <w:pStyle w:val="Heading3"/>
        <w:keepNext w:val="0"/>
        <w:keepLines w:val="0"/>
        <w:spacing w:before="280" w:line="360" w:lineRule="auto"/>
        <w:rPr>
          <w:rFonts w:ascii="Times New Roman" w:eastAsia="Times New Roman" w:hAnsi="Times New Roman" w:cs="Times New Roman"/>
          <w:b/>
          <w:bCs/>
          <w:color w:val="000000"/>
          <w:sz w:val="24"/>
          <w:szCs w:val="24"/>
          <w:highlight w:val="white"/>
        </w:rPr>
      </w:pPr>
      <w:bookmarkStart w:id="3" w:name="_heading=h.xu2ggp1cqdjg" w:colFirst="0" w:colLast="0"/>
      <w:bookmarkEnd w:id="3"/>
      <w:r>
        <w:rPr>
          <w:rFonts w:ascii="Times New Roman" w:eastAsia="Times New Roman" w:hAnsi="Times New Roman" w:cs="Times New Roman"/>
          <w:b/>
          <w:bCs/>
          <w:color w:val="000000"/>
          <w:sz w:val="24"/>
          <w:szCs w:val="24"/>
          <w:highlight w:val="white"/>
        </w:rPr>
        <w:t xml:space="preserve">Technological Parameters: Process Settings and Their Impact on Nutrient Integrity </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Technological parameters, such as pressure, time, electric field strength, and treatment duration, play a pivotal role in determining the effectiveness of non-thermal processing methods. Studies have shown that higher pressures in HPP lead to more efficient microbial inactivation but may also result in some loss of heat-sensitive nutrients like vitamin C and polyphenols (Liang et al., 2023; </w:t>
      </w: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highlight w:val="white"/>
        </w:rPr>
        <w:t xml:space="preserve"> et al., 2025). Similarly, the effectiveness of PEF is influenced by electric field strength and pulse duration, with higher field strengths generally yielding better microbial inactivation but potentially causing more significant nutrient degradation in some cases (Rinaldi et al., 2024).</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Cold Plasma treatments, on the other hand, are affected by plasma power intensity and exposure time. Studies show that adjusting these parameters can help optimize the balance between microbial safety and nutrient retention, particularly for antioxidant-rich foods like fruits and vegetables (</w:t>
      </w:r>
      <w:proofErr w:type="spellStart"/>
      <w:r>
        <w:rPr>
          <w:rFonts w:ascii="Times New Roman" w:eastAsia="Times New Roman" w:hAnsi="Times New Roman" w:cs="Times New Roman"/>
          <w:sz w:val="24"/>
          <w:szCs w:val="24"/>
          <w:highlight w:val="white"/>
        </w:rPr>
        <w:t>Razazian</w:t>
      </w:r>
      <w:proofErr w:type="spellEnd"/>
      <w:r>
        <w:rPr>
          <w:rFonts w:ascii="Times New Roman" w:eastAsia="Times New Roman" w:hAnsi="Times New Roman" w:cs="Times New Roman"/>
          <w:sz w:val="24"/>
          <w:szCs w:val="24"/>
          <w:highlight w:val="white"/>
        </w:rPr>
        <w:t xml:space="preserve"> et al., 2025; Gao et al., 2022).</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These findings suggest that while non-thermal processing methods offer promising alternatives to thermal treatments, the specific processing parameters must be optimized for each food type to achieve the best balance between nutrient preservation and microbial inactivation (Pérez-Andrés et al., 2020; Peng et al., 2025; Rinaldi et al., 2024).</w:t>
      </w:r>
    </w:p>
    <w:p w:rsidR="00380DD1" w:rsidRDefault="005C0B9C">
      <w:pPr>
        <w:pStyle w:val="Heading3"/>
        <w:keepNext w:val="0"/>
        <w:keepLines w:val="0"/>
        <w:spacing w:before="280" w:line="360" w:lineRule="auto"/>
        <w:rPr>
          <w:rFonts w:ascii="Times New Roman" w:eastAsia="Times New Roman" w:hAnsi="Times New Roman" w:cs="Times New Roman"/>
          <w:b/>
          <w:bCs/>
          <w:color w:val="000000"/>
          <w:sz w:val="24"/>
          <w:szCs w:val="24"/>
          <w:highlight w:val="white"/>
        </w:rPr>
      </w:pPr>
      <w:bookmarkStart w:id="4" w:name="_heading=h.iuzq0w4h66dn" w:colFirst="0" w:colLast="0"/>
      <w:bookmarkEnd w:id="4"/>
      <w:r>
        <w:rPr>
          <w:rFonts w:ascii="Times New Roman" w:eastAsia="Times New Roman" w:hAnsi="Times New Roman" w:cs="Times New Roman"/>
          <w:b/>
          <w:bCs/>
          <w:color w:val="000000"/>
          <w:sz w:val="24"/>
          <w:szCs w:val="24"/>
          <w:highlight w:val="white"/>
        </w:rPr>
        <w:lastRenderedPageBreak/>
        <w:t>Consumer Perception &amp; Market Acceptance of Non-Thermal Processed Foods</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growing demand for "clean label" foods, driven by consumer preferences for transparency, health, and sustainability, has sparked a shift in the food industry. However, despite increasing interest in non-thermal technologies such as High-Pressure Processing (HPP) and Pulsed Electric Fields (PEF), many consumers remain unsure of what these technologies actually entail and how they impact the safety and nutritional value of their food. This perception gap is significant because, as studies show, consumer awareness of these technologies is often low, with many equating non-thermal processing with conventional methods like pasteurization without fully understanding the advantages in nutrient preservation (Gao et al., 2022; Zhang et al., 2025).</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Perception plays a crucial role in consumer acceptance, particularly when it comes to health and nutrition claims. Consumers are increasingly seeking foods that not only meet safety standards but also provide functional health benefits. Non-thermal methods, like HPP, have been shown to preserve the antioxidant capacity and vitamins in fruits and vegetables, which makes them an attractive option for consumers seeking nutrient-dense, minimally processed foods (Peng et al., 2025; Gao et al., 2022). However, studies also highlight that without clear and effective communication of the benefits of these technologies, consumers may be hesitant to embrace them (Liang et al., 2023; </w:t>
      </w: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highlight w:val="white"/>
        </w:rPr>
        <w:t xml:space="preserve"> et al., 2025).</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Sensory factors, such as taste, texture, and appearance, also significantly influence consumer perceptions. While HPP and PEF can preserve the sensory attributes of foods, such as flavor and color, there are concerns over how these technologies might alter the texture of certain products, especially meats and dairy (</w:t>
      </w:r>
      <w:proofErr w:type="spellStart"/>
      <w:r>
        <w:rPr>
          <w:rFonts w:ascii="Times New Roman" w:eastAsia="Times New Roman" w:hAnsi="Times New Roman" w:cs="Times New Roman"/>
          <w:sz w:val="24"/>
          <w:szCs w:val="24"/>
          <w:highlight w:val="white"/>
        </w:rPr>
        <w:t>Buitimea-Cantúa</w:t>
      </w:r>
      <w:proofErr w:type="spellEnd"/>
      <w:r>
        <w:rPr>
          <w:rFonts w:ascii="Times New Roman" w:eastAsia="Times New Roman" w:hAnsi="Times New Roman" w:cs="Times New Roman"/>
          <w:sz w:val="24"/>
          <w:szCs w:val="24"/>
          <w:highlight w:val="white"/>
        </w:rPr>
        <w:t xml:space="preserve"> et al., 2022; </w:t>
      </w:r>
      <w:proofErr w:type="spellStart"/>
      <w:r>
        <w:rPr>
          <w:rFonts w:ascii="Times New Roman" w:eastAsia="Times New Roman" w:hAnsi="Times New Roman" w:cs="Times New Roman"/>
          <w:sz w:val="24"/>
          <w:szCs w:val="24"/>
          <w:highlight w:val="white"/>
        </w:rPr>
        <w:t>Trusinska</w:t>
      </w:r>
      <w:proofErr w:type="spellEnd"/>
      <w:r>
        <w:rPr>
          <w:rFonts w:ascii="Times New Roman" w:eastAsia="Times New Roman" w:hAnsi="Times New Roman" w:cs="Times New Roman"/>
          <w:sz w:val="24"/>
          <w:szCs w:val="24"/>
          <w:highlight w:val="white"/>
        </w:rPr>
        <w:t xml:space="preserve"> et al., 2023). For example, PEF treatment in tomatoes may improve the release of antioxidants but also result in slight textural changes, which can affect consumer acceptance (Olawale et al., 2025; </w:t>
      </w:r>
      <w:proofErr w:type="spellStart"/>
      <w:r>
        <w:rPr>
          <w:rFonts w:ascii="Times New Roman" w:eastAsia="Times New Roman" w:hAnsi="Times New Roman" w:cs="Times New Roman"/>
          <w:sz w:val="24"/>
          <w:szCs w:val="24"/>
          <w:highlight w:val="white"/>
        </w:rPr>
        <w:t>Maduforo</w:t>
      </w:r>
      <w:proofErr w:type="spellEnd"/>
      <w:r>
        <w:rPr>
          <w:rFonts w:ascii="Times New Roman" w:eastAsia="Times New Roman" w:hAnsi="Times New Roman" w:cs="Times New Roman"/>
          <w:sz w:val="24"/>
          <w:szCs w:val="24"/>
          <w:highlight w:val="white"/>
        </w:rPr>
        <w:t xml:space="preserve"> et al., n.d.).</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Price is another key factor influencing market acceptance. Non-thermal processing technologies are often perceived as expensive, and the higher production costs may translate to higher retail prices. However, studies show that as consumer awareness increases and production scales up, the cost of these technologies is expected to decrease, making them more accessible (Zhang et al., 2025; Gao et al., 2022). Trust in the safety and effectiveness of these technologies is also crucial. </w:t>
      </w:r>
      <w:r>
        <w:rPr>
          <w:rFonts w:ascii="Times New Roman" w:eastAsia="Times New Roman" w:hAnsi="Times New Roman" w:cs="Times New Roman"/>
          <w:sz w:val="24"/>
          <w:szCs w:val="24"/>
          <w:highlight w:val="white"/>
        </w:rPr>
        <w:lastRenderedPageBreak/>
        <w:t>Effective marketing strategies, clear labeling, and transparency about the processing methods used can help build trust and foster wider acceptance (</w:t>
      </w:r>
      <w:proofErr w:type="spellStart"/>
      <w:r>
        <w:rPr>
          <w:rFonts w:ascii="Times New Roman" w:eastAsia="Times New Roman" w:hAnsi="Times New Roman" w:cs="Times New Roman"/>
          <w:sz w:val="24"/>
          <w:szCs w:val="24"/>
          <w:highlight w:val="white"/>
        </w:rPr>
        <w:t>Buitimea-Cantúa</w:t>
      </w:r>
      <w:proofErr w:type="spellEnd"/>
      <w:r>
        <w:rPr>
          <w:rFonts w:ascii="Times New Roman" w:eastAsia="Times New Roman" w:hAnsi="Times New Roman" w:cs="Times New Roman"/>
          <w:sz w:val="24"/>
          <w:szCs w:val="24"/>
          <w:highlight w:val="white"/>
        </w:rPr>
        <w:t xml:space="preserve"> et al., 2022).</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Ultimately, the success of non-thermal processed foods in the market depends on overcoming the perception gap, providing clear health and nutrition claims, and demonstrating sensory and cost benefits to consumers. The future of non-thermal processing is promising, but it hinges on effective communication of its safety, nutrition, and sustainability advantages to unlock its full market potential.</w:t>
      </w:r>
    </w:p>
    <w:p w:rsidR="00380DD1" w:rsidRDefault="005C0B9C">
      <w:pPr>
        <w:pStyle w:val="Heading3"/>
        <w:keepNext w:val="0"/>
        <w:keepLines w:val="0"/>
        <w:spacing w:before="280" w:line="360" w:lineRule="auto"/>
        <w:rPr>
          <w:rFonts w:ascii="Times New Roman" w:eastAsia="Times New Roman" w:hAnsi="Times New Roman" w:cs="Times New Roman"/>
          <w:b/>
          <w:bCs/>
          <w:color w:val="000000"/>
          <w:sz w:val="24"/>
          <w:szCs w:val="24"/>
          <w:highlight w:val="white"/>
        </w:rPr>
      </w:pPr>
      <w:bookmarkStart w:id="5" w:name="_heading=h.z1q2l2108tyc" w:colFirst="0" w:colLast="0"/>
      <w:bookmarkEnd w:id="5"/>
      <w:r>
        <w:rPr>
          <w:rFonts w:ascii="Times New Roman" w:eastAsia="Times New Roman" w:hAnsi="Times New Roman" w:cs="Times New Roman"/>
          <w:b/>
          <w:bCs/>
          <w:color w:val="000000"/>
          <w:sz w:val="24"/>
          <w:szCs w:val="24"/>
          <w:highlight w:val="white"/>
        </w:rPr>
        <w:t>Regulatory Landscape &amp; Safety Standards</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regulatory landscape for non-thermal processing technologies like HPP, PEF, and Cold Plasma is complex, with different regions having varying standards that shape the adoption of these technologies. Regulation plays a critical role in both the speed of adoption and consumer confidence in non-thermal foods (</w:t>
      </w:r>
      <w:proofErr w:type="spellStart"/>
      <w:r>
        <w:rPr>
          <w:rFonts w:ascii="Times New Roman" w:eastAsia="Times New Roman" w:hAnsi="Times New Roman" w:cs="Times New Roman"/>
          <w:sz w:val="24"/>
          <w:szCs w:val="24"/>
          <w:highlight w:val="white"/>
        </w:rPr>
        <w:t>Pasdar</w:t>
      </w:r>
      <w:proofErr w:type="spellEnd"/>
      <w:r>
        <w:rPr>
          <w:rFonts w:ascii="Times New Roman" w:eastAsia="Times New Roman" w:hAnsi="Times New Roman" w:cs="Times New Roman"/>
          <w:sz w:val="24"/>
          <w:szCs w:val="24"/>
          <w:highlight w:val="white"/>
        </w:rPr>
        <w:t xml:space="preserve"> et al., 2024). In the U.S., agencies such as the Food and Drug Administration (FDA) and the U.S Department of Agriculture (USDA) govern the safety of processed foods (U.S. Food and Drug Administration, n.d.), while in Europe, the European Food Safety Authority (EFSA) is responsible for setting standards.</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approval process for non-thermal technologies typically follows the Generally Recognized as Safe (GRAS) pathway in the U.S., where scientific evidence is submitted to demonstrate the safety of the process and its products (U.S. Food and Drug Administration, n.d.). In contrast, Europe often requires a more formalized Novel Food approval process for new food technologies, including non-thermal methods (European Commission, n.d.). These differences in regulatory frameworks can create barriers to market entry and affect the pace at which non-thermal technologies are adopted in different regions.</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Safety assessments for non-thermal technologies generally focus on microbial safety, nutrient retention, and any potential chemical changes induced by processing (Ugo et al., 2022a). For example, HPP and PEF have been approved in many regions due to their ability to maintain food safety while preserving nutrients, but Cold Plasma has been subject to more scrutiny, especially regarding its potential for nutrient oxidation (Liang et al., 2023; </w:t>
      </w:r>
      <w:proofErr w:type="spellStart"/>
      <w:r>
        <w:rPr>
          <w:rFonts w:ascii="Times New Roman" w:eastAsia="Times New Roman" w:hAnsi="Times New Roman" w:cs="Times New Roman"/>
          <w:sz w:val="24"/>
          <w:szCs w:val="24"/>
          <w:highlight w:val="white"/>
        </w:rPr>
        <w:t>Trusinska</w:t>
      </w:r>
      <w:proofErr w:type="spellEnd"/>
      <w:r>
        <w:rPr>
          <w:rFonts w:ascii="Times New Roman" w:eastAsia="Times New Roman" w:hAnsi="Times New Roman" w:cs="Times New Roman"/>
          <w:sz w:val="24"/>
          <w:szCs w:val="24"/>
          <w:highlight w:val="white"/>
        </w:rPr>
        <w:t xml:space="preserve"> et al., 2023). Regulatory bodies in both the U.S. and Europe have established guidelines for nutrient retention and microbial </w:t>
      </w:r>
      <w:r>
        <w:rPr>
          <w:rFonts w:ascii="Times New Roman" w:eastAsia="Times New Roman" w:hAnsi="Times New Roman" w:cs="Times New Roman"/>
          <w:sz w:val="24"/>
          <w:szCs w:val="24"/>
          <w:highlight w:val="white"/>
        </w:rPr>
        <w:lastRenderedPageBreak/>
        <w:t>safety in non-thermal processing, but these regulations vary widely across regions (</w:t>
      </w:r>
      <w:proofErr w:type="spellStart"/>
      <w:r>
        <w:rPr>
          <w:rFonts w:ascii="Times New Roman" w:eastAsia="Times New Roman" w:hAnsi="Times New Roman" w:cs="Times New Roman"/>
          <w:sz w:val="24"/>
          <w:szCs w:val="24"/>
          <w:highlight w:val="white"/>
        </w:rPr>
        <w:t>Buitimea-Cantúa</w:t>
      </w:r>
      <w:proofErr w:type="spellEnd"/>
      <w:r>
        <w:rPr>
          <w:rFonts w:ascii="Times New Roman" w:eastAsia="Times New Roman" w:hAnsi="Times New Roman" w:cs="Times New Roman"/>
          <w:sz w:val="24"/>
          <w:szCs w:val="24"/>
          <w:highlight w:val="white"/>
        </w:rPr>
        <w:t xml:space="preserve"> et al., 2022).</w:t>
      </w:r>
    </w:p>
    <w:p w:rsidR="00380DD1" w:rsidRDefault="005C0B9C">
      <w:pPr>
        <w:pStyle w:val="Heading3"/>
        <w:keepNext w:val="0"/>
        <w:keepLines w:val="0"/>
        <w:spacing w:before="280" w:line="360" w:lineRule="auto"/>
        <w:rPr>
          <w:rFonts w:ascii="Times New Roman" w:eastAsia="Times New Roman" w:hAnsi="Times New Roman" w:cs="Times New Roman"/>
          <w:b/>
          <w:bCs/>
          <w:color w:val="000000"/>
          <w:sz w:val="24"/>
          <w:szCs w:val="24"/>
          <w:highlight w:val="white"/>
        </w:rPr>
      </w:pPr>
      <w:bookmarkStart w:id="6" w:name="_heading=h.wv1s7yselksz" w:colFirst="0" w:colLast="0"/>
      <w:bookmarkEnd w:id="6"/>
      <w:r>
        <w:rPr>
          <w:rFonts w:ascii="Times New Roman" w:eastAsia="Times New Roman" w:hAnsi="Times New Roman" w:cs="Times New Roman"/>
          <w:b/>
          <w:bCs/>
          <w:color w:val="000000"/>
          <w:sz w:val="24"/>
          <w:szCs w:val="24"/>
          <w:highlight w:val="white"/>
        </w:rPr>
        <w:t>Challenges &amp; Future Directions for Scaling Up Non-Thermal Technologies</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While non-thermal processing technologies such as HPP, PEF, and Cold Plasma have demonstrated promising results at the laboratory and pilot scale, their commercial rollout remains slow due to several challenges. The “scale-up paradox” is particularly evident in non-thermal technologies, where the benefits seen in small-scale trials often do not translate directly to large-scale production (Arshad et al., 2022). One key issue is the high capital expenditures and operating expenses associated with these technologies, which make them costly for large-scale food production (Arshad et al., 2022).</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Economically, while non-thermal technologies offer long-term benefits in terms of improved nutritional retention and food safety, the initial costs can be prohibitive. Moreover, achieving uniformity in treatment across large batches of food remains a technical challenge for non-thermal technologies. For instance, PEF treatments may cause uneven field strength, leading to inconsistent nutrient retention across different food items (White et al., 2025; Al-</w:t>
      </w:r>
      <w:proofErr w:type="spellStart"/>
      <w:r>
        <w:rPr>
          <w:rFonts w:ascii="Times New Roman" w:eastAsia="Times New Roman" w:hAnsi="Times New Roman" w:cs="Times New Roman"/>
          <w:sz w:val="24"/>
          <w:szCs w:val="24"/>
          <w:highlight w:val="white"/>
        </w:rPr>
        <w:t>Sharify</w:t>
      </w:r>
      <w:proofErr w:type="spellEnd"/>
      <w:r>
        <w:rPr>
          <w:rFonts w:ascii="Times New Roman" w:eastAsia="Times New Roman" w:hAnsi="Times New Roman" w:cs="Times New Roman"/>
          <w:sz w:val="24"/>
          <w:szCs w:val="24"/>
          <w:highlight w:val="white"/>
        </w:rPr>
        <w:t xml:space="preserve"> et al., 2025).</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From a sustainability perspective, non-thermal technologies such as PEF and Cold Plasma are considered more environmentally friendly than traditional thermal methods, as they require lower energy inputs and produce fewer carbon emissions. However, these technologies are still in the early stages of commercialization, and their long-term sustainability metrics need further investigation (Sharma et al., 2024). Life Cycle Assessment (LCA) studies are essential for comparing the environmental impact of these technologies with conventional methods, and such research is still limited (</w:t>
      </w: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highlight w:val="white"/>
        </w:rPr>
        <w:t xml:space="preserve"> et al., 2025; Peng et al., 2025).</w:t>
      </w:r>
    </w:p>
    <w:p w:rsidR="00380DD1" w:rsidRDefault="005C0B9C">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Implications for Public Health, Industry, and Regulatory Standards</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adoption of non-thermal processing technologies has the potential to revolutionize the food industry by providing safer, more nutritious food options. As consumer preferences increasingly shift towards minimally processed foods that retain high nutritional value, the role of non-thermal methods in food processing will only grow. These technologies could significantly reduce nutrient </w:t>
      </w:r>
      <w:r>
        <w:rPr>
          <w:rFonts w:ascii="Times New Roman" w:eastAsia="Times New Roman" w:hAnsi="Times New Roman" w:cs="Times New Roman"/>
          <w:sz w:val="24"/>
          <w:szCs w:val="24"/>
          <w:highlight w:val="white"/>
        </w:rPr>
        <w:lastRenderedPageBreak/>
        <w:t>losses seen with traditional thermal processing, leading to a healthier, more sustainable food supply (Al-</w:t>
      </w:r>
      <w:proofErr w:type="spellStart"/>
      <w:r>
        <w:rPr>
          <w:rFonts w:ascii="Times New Roman" w:eastAsia="Times New Roman" w:hAnsi="Times New Roman" w:cs="Times New Roman"/>
          <w:sz w:val="24"/>
          <w:szCs w:val="24"/>
          <w:highlight w:val="white"/>
        </w:rPr>
        <w:t>Sharify</w:t>
      </w:r>
      <w:proofErr w:type="spellEnd"/>
      <w:r>
        <w:rPr>
          <w:rFonts w:ascii="Times New Roman" w:eastAsia="Times New Roman" w:hAnsi="Times New Roman" w:cs="Times New Roman"/>
          <w:sz w:val="24"/>
          <w:szCs w:val="24"/>
          <w:highlight w:val="white"/>
        </w:rPr>
        <w:t xml:space="preserve"> et al., 2025; Gao et al., 2022; </w:t>
      </w: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highlight w:val="white"/>
        </w:rPr>
        <w:t xml:space="preserve"> et al., 2025).</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terms of public health, non-thermal processing technologies offer a pathway to producing nutrient-dense foods that could address nutrient deficiencies in the population, particularly for vulnerable groups such as children and the elderly (</w:t>
      </w:r>
      <w:proofErr w:type="spellStart"/>
      <w:r>
        <w:rPr>
          <w:rFonts w:ascii="Times New Roman" w:eastAsia="Times New Roman" w:hAnsi="Times New Roman" w:cs="Times New Roman"/>
          <w:sz w:val="24"/>
          <w:szCs w:val="24"/>
          <w:highlight w:val="white"/>
        </w:rPr>
        <w:t>Kechri</w:t>
      </w:r>
      <w:proofErr w:type="spellEnd"/>
      <w:r>
        <w:rPr>
          <w:rFonts w:ascii="Times New Roman" w:eastAsia="Times New Roman" w:hAnsi="Times New Roman" w:cs="Times New Roman"/>
          <w:sz w:val="24"/>
          <w:szCs w:val="24"/>
          <w:highlight w:val="white"/>
        </w:rPr>
        <w:t xml:space="preserve"> et al., 2025; Peng et al., 2025; </w:t>
      </w:r>
      <w:proofErr w:type="spellStart"/>
      <w:r>
        <w:rPr>
          <w:rFonts w:ascii="Times New Roman" w:eastAsia="Times New Roman" w:hAnsi="Times New Roman" w:cs="Times New Roman"/>
          <w:sz w:val="24"/>
          <w:szCs w:val="24"/>
          <w:highlight w:val="white"/>
        </w:rPr>
        <w:t>Jimoh</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Falakin</w:t>
      </w:r>
      <w:proofErr w:type="spellEnd"/>
      <w:r>
        <w:rPr>
          <w:rFonts w:ascii="Times New Roman" w:eastAsia="Times New Roman" w:hAnsi="Times New Roman" w:cs="Times New Roman"/>
          <w:sz w:val="24"/>
          <w:szCs w:val="24"/>
          <w:highlight w:val="white"/>
        </w:rPr>
        <w:t>, 2025). For the food industry, the ability to retain the nutritional integrity of products without the use of heat provides a competitive advantage in a market increasingly concerned with health and sustainability (</w:t>
      </w:r>
      <w:proofErr w:type="spellStart"/>
      <w:r>
        <w:rPr>
          <w:rFonts w:ascii="Times New Roman" w:eastAsia="Times New Roman" w:hAnsi="Times New Roman" w:cs="Times New Roman"/>
          <w:sz w:val="24"/>
          <w:szCs w:val="24"/>
          <w:highlight w:val="white"/>
        </w:rPr>
        <w:t>Buitimea-Cantúa</w:t>
      </w:r>
      <w:proofErr w:type="spellEnd"/>
      <w:r>
        <w:rPr>
          <w:rFonts w:ascii="Times New Roman" w:eastAsia="Times New Roman" w:hAnsi="Times New Roman" w:cs="Times New Roman"/>
          <w:sz w:val="24"/>
          <w:szCs w:val="24"/>
          <w:highlight w:val="white"/>
        </w:rPr>
        <w:t xml:space="preserve"> et al., 2022; Sharma et al., 2024).</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However, effective regulation is key to ensuring the safety and efficacy of these technologies. Regulatory bodies like the FDA, EFSA, and national food safety agencies must work towards harmonizing standards across regions to reduce barriers to international trade and foster innovation in non-thermal food processing (Liang et al., 2023; Zhang et al., 2025). The alignment of global standards will promote consumer confidence and support the global adoption of these technologies (Ugo et al., 2022b; Ugo et al., 2024).</w:t>
      </w:r>
    </w:p>
    <w:p w:rsidR="00380DD1" w:rsidRDefault="005C0B9C">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Limitations </w:t>
      </w:r>
    </w:p>
    <w:p w:rsidR="00380DD1" w:rsidRDefault="005C0B9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Despite providing valuable insights into the efficacy of non‑thermal processing techniques (HPP, PEF, cold plasma) for nutrient retention, this review is limited by several methodological constraints. First, the literature search was conducted in only PubMed, which may have excluded relevant studies indexed elsewhere and introduced selection bias. Second, the included studies were all experimental, preventing direct comparability and limiting </w:t>
      </w:r>
      <w:proofErr w:type="spellStart"/>
      <w:r>
        <w:rPr>
          <w:rFonts w:ascii="Times New Roman" w:eastAsia="Times New Roman" w:hAnsi="Times New Roman" w:cs="Times New Roman"/>
          <w:sz w:val="24"/>
          <w:szCs w:val="24"/>
          <w:highlight w:val="white"/>
        </w:rPr>
        <w:t>generalisability</w:t>
      </w:r>
      <w:proofErr w:type="spellEnd"/>
      <w:r>
        <w:rPr>
          <w:rFonts w:ascii="Times New Roman" w:eastAsia="Times New Roman" w:hAnsi="Times New Roman" w:cs="Times New Roman"/>
          <w:sz w:val="24"/>
          <w:szCs w:val="24"/>
          <w:highlight w:val="white"/>
        </w:rPr>
        <w:t xml:space="preserve">. </w:t>
      </w:r>
    </w:p>
    <w:p w:rsidR="00380DD1" w:rsidRDefault="00380DD1">
      <w:pPr>
        <w:spacing w:before="240" w:after="240" w:line="360" w:lineRule="auto"/>
        <w:rPr>
          <w:rFonts w:ascii="Times New Roman" w:eastAsia="Times New Roman" w:hAnsi="Times New Roman" w:cs="Times New Roman"/>
          <w:sz w:val="32"/>
          <w:szCs w:val="32"/>
          <w:highlight w:val="white"/>
        </w:rPr>
      </w:pPr>
    </w:p>
    <w:p w:rsidR="00380DD1" w:rsidRDefault="005C0B9C">
      <w:pPr>
        <w:pStyle w:val="Heading3"/>
        <w:keepNext w:val="0"/>
        <w:keepLines w:val="0"/>
        <w:spacing w:before="280" w:line="360" w:lineRule="auto"/>
        <w:rPr>
          <w:rFonts w:ascii="Times New Roman" w:eastAsia="Times New Roman" w:hAnsi="Times New Roman" w:cs="Times New Roman"/>
          <w:b/>
          <w:bCs/>
          <w:color w:val="000000"/>
          <w:sz w:val="32"/>
          <w:szCs w:val="32"/>
          <w:highlight w:val="white"/>
        </w:rPr>
      </w:pPr>
      <w:bookmarkStart w:id="7" w:name="_heading=h.k5p3hjm8tz6g" w:colFirst="0" w:colLast="0"/>
      <w:bookmarkEnd w:id="7"/>
      <w:r>
        <w:rPr>
          <w:rFonts w:ascii="Times New Roman" w:eastAsia="Times New Roman" w:hAnsi="Times New Roman" w:cs="Times New Roman"/>
          <w:b/>
          <w:bCs/>
          <w:color w:val="000000"/>
          <w:sz w:val="32"/>
          <w:szCs w:val="32"/>
          <w:highlight w:val="white"/>
        </w:rPr>
        <w:t xml:space="preserve">Conclusion </w:t>
      </w:r>
    </w:p>
    <w:p w:rsidR="00380DD1" w:rsidRDefault="005C0B9C">
      <w:pPr>
        <w:pStyle w:val="Heading3"/>
        <w:keepNext w:val="0"/>
        <w:keepLines w:val="0"/>
        <w:spacing w:before="280" w:line="360" w:lineRule="auto"/>
        <w:jc w:val="both"/>
        <w:rPr>
          <w:rFonts w:ascii="Times New Roman" w:eastAsia="Times New Roman" w:hAnsi="Times New Roman" w:cs="Times New Roman"/>
          <w:color w:val="000000"/>
          <w:sz w:val="24"/>
          <w:szCs w:val="24"/>
          <w:highlight w:val="white"/>
        </w:rPr>
      </w:pPr>
      <w:bookmarkStart w:id="8" w:name="_heading=h.yncgegywan63" w:colFirst="0" w:colLast="0"/>
      <w:bookmarkEnd w:id="8"/>
      <w:r>
        <w:rPr>
          <w:rFonts w:ascii="Times New Roman" w:eastAsia="Times New Roman" w:hAnsi="Times New Roman" w:cs="Times New Roman"/>
          <w:color w:val="000000"/>
          <w:sz w:val="24"/>
          <w:szCs w:val="24"/>
          <w:highlight w:val="white"/>
        </w:rPr>
        <w:t xml:space="preserve">Non-thermal processing technologies like HPP, PEF, and Cold Plasma hold great promise for the future of food processing. These technologies not only preserve the nutritional integrity of foods but also enhance their safety, making them viable alternatives to traditional thermal processing methods. However, challenges such as high initial costs, scalability, and standardization of </w:t>
      </w:r>
      <w:r>
        <w:rPr>
          <w:rFonts w:ascii="Times New Roman" w:eastAsia="Times New Roman" w:hAnsi="Times New Roman" w:cs="Times New Roman"/>
          <w:color w:val="000000"/>
          <w:sz w:val="24"/>
          <w:szCs w:val="24"/>
          <w:highlight w:val="white"/>
        </w:rPr>
        <w:lastRenderedPageBreak/>
        <w:t>processing parameters remain significant barriers to widespread adoption. Future research should focus on optimizing these technologies, addressing regulatory and consumer perception challenges, and exploring new applications in diverse food matrices. If these hurdles are overcome, non-thermal processing could become the standard for producing nutrient-dense, safe, and sustainable food products.</w:t>
      </w:r>
    </w:p>
    <w:p w:rsidR="00380DD1" w:rsidRDefault="00380DD1">
      <w:pPr>
        <w:spacing w:line="360" w:lineRule="auto"/>
        <w:rPr>
          <w:rFonts w:ascii="Times New Roman" w:eastAsia="Times New Roman" w:hAnsi="Times New Roman" w:cs="Times New Roman"/>
          <w:highlight w:val="white"/>
        </w:rPr>
      </w:pPr>
    </w:p>
    <w:p w:rsidR="00380DD1" w:rsidRDefault="00380DD1">
      <w:pPr>
        <w:rPr>
          <w:rFonts w:ascii="Times New Roman" w:eastAsia="Times New Roman" w:hAnsi="Times New Roman" w:cs="Times New Roman"/>
          <w:highlight w:val="white"/>
        </w:rPr>
      </w:pPr>
    </w:p>
    <w:p w:rsidR="00380DD1" w:rsidRDefault="005C0B9C">
      <w:pPr>
        <w:shd w:val="clear" w:color="auto" w:fill="FCFCFC"/>
        <w:spacing w:after="100"/>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Availability of data and material: </w:t>
      </w:r>
      <w:r>
        <w:rPr>
          <w:rFonts w:ascii="Times New Roman" w:eastAsia="Times New Roman" w:hAnsi="Times New Roman" w:cs="Times New Roman"/>
          <w:sz w:val="24"/>
          <w:szCs w:val="24"/>
          <w:highlight w:val="white"/>
        </w:rPr>
        <w:t>All the resources consulted in the review are provided in the reference section</w:t>
      </w:r>
    </w:p>
    <w:p w:rsidR="00380DD1" w:rsidRDefault="005C0B9C">
      <w:pPr>
        <w:rPr>
          <w:rFonts w:ascii="Times New Roman" w:eastAsia="Times New Roman" w:hAnsi="Times New Roman" w:cs="Times New Roman"/>
          <w:sz w:val="24"/>
          <w:szCs w:val="24"/>
          <w:highlight w:val="white"/>
        </w:rPr>
      </w:pPr>
      <w:bookmarkStart w:id="9" w:name="_heading=h.oqeqhy7saq0f" w:colFirst="0" w:colLast="0"/>
      <w:bookmarkEnd w:id="9"/>
      <w:r>
        <w:rPr>
          <w:rFonts w:ascii="Times New Roman" w:eastAsia="Times New Roman" w:hAnsi="Times New Roman" w:cs="Times New Roman"/>
          <w:b/>
          <w:bCs/>
          <w:sz w:val="24"/>
          <w:szCs w:val="24"/>
          <w:highlight w:val="white"/>
        </w:rPr>
        <w:t>Disclaimer (Artificial intelligence):</w:t>
      </w:r>
      <w:r>
        <w:rPr>
          <w:rFonts w:ascii="Times New Roman" w:eastAsia="Times New Roman" w:hAnsi="Times New Roman" w:cs="Times New Roman"/>
          <w:sz w:val="24"/>
          <w:szCs w:val="24"/>
          <w:highlight w:val="white"/>
        </w:rPr>
        <w:t xml:space="preserve"> Author(s) hereby declare that no generative AI technologies such as Large Language Models (</w:t>
      </w:r>
      <w:proofErr w:type="spellStart"/>
      <w:r>
        <w:rPr>
          <w:rFonts w:ascii="Times New Roman" w:eastAsia="Times New Roman" w:hAnsi="Times New Roman" w:cs="Times New Roman"/>
          <w:sz w:val="24"/>
          <w:szCs w:val="24"/>
          <w:highlight w:val="white"/>
        </w:rPr>
        <w:t>ChatGPT</w:t>
      </w:r>
      <w:proofErr w:type="spellEnd"/>
      <w:r>
        <w:rPr>
          <w:rFonts w:ascii="Times New Roman" w:eastAsia="Times New Roman" w:hAnsi="Times New Roman" w:cs="Times New Roman"/>
          <w:sz w:val="24"/>
          <w:szCs w:val="24"/>
          <w:highlight w:val="white"/>
        </w:rPr>
        <w:t xml:space="preserve">, COPILOT, etc.) and text-to-image generators have been used during the writing or editing of this manuscript. </w:t>
      </w:r>
    </w:p>
    <w:p w:rsidR="00380DD1" w:rsidRDefault="00380DD1">
      <w:pPr>
        <w:shd w:val="clear" w:color="auto" w:fill="FCFCFC"/>
        <w:spacing w:after="100"/>
        <w:rPr>
          <w:rFonts w:ascii="Times New Roman" w:eastAsia="Times New Roman" w:hAnsi="Times New Roman" w:cs="Times New Roman"/>
          <w:sz w:val="24"/>
          <w:szCs w:val="24"/>
          <w:highlight w:val="white"/>
        </w:rPr>
      </w:pPr>
      <w:bookmarkStart w:id="10" w:name="_heading=h.7bxh9u84kcrn" w:colFirst="0" w:colLast="0"/>
      <w:bookmarkEnd w:id="10"/>
    </w:p>
    <w:p w:rsidR="00380DD1" w:rsidRDefault="00380DD1">
      <w:pPr>
        <w:spacing w:line="360" w:lineRule="auto"/>
        <w:rPr>
          <w:rFonts w:ascii="Times New Roman" w:eastAsia="Times New Roman" w:hAnsi="Times New Roman" w:cs="Times New Roman"/>
          <w:b/>
          <w:bCs/>
          <w:sz w:val="32"/>
          <w:szCs w:val="32"/>
          <w:highlight w:val="white"/>
        </w:rPr>
      </w:pPr>
    </w:p>
    <w:p w:rsidR="00380DD1" w:rsidRDefault="005C0B9C">
      <w:pPr>
        <w:spacing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References</w:t>
      </w:r>
    </w:p>
    <w:p w:rsidR="00380DD1" w:rsidRDefault="00380DD1">
      <w:pPr>
        <w:spacing w:line="360" w:lineRule="auto"/>
        <w:rPr>
          <w:rFonts w:ascii="Times New Roman" w:eastAsia="Times New Roman" w:hAnsi="Times New Roman" w:cs="Times New Roman"/>
          <w:sz w:val="24"/>
          <w:szCs w:val="24"/>
        </w:rPr>
      </w:pPr>
    </w:p>
    <w:p w:rsidR="00380DD1" w:rsidRDefault="00380DD1">
      <w:pPr>
        <w:spacing w:line="360" w:lineRule="auto"/>
        <w:rPr>
          <w:rFonts w:ascii="Times New Roman" w:eastAsia="Times New Roman" w:hAnsi="Times New Roman" w:cs="Times New Roman"/>
          <w:sz w:val="24"/>
          <w:szCs w:val="24"/>
        </w:rPr>
      </w:pPr>
    </w:p>
    <w:p w:rsidR="00380DD1" w:rsidRDefault="005C0B9C">
      <w:pPr>
        <w:spacing w:line="360" w:lineRule="auto"/>
        <w:rPr>
          <w:rFonts w:ascii="Times New Roman" w:eastAsia="Times New Roman" w:hAnsi="Times New Roman" w:cs="Times New Roman"/>
          <w:b/>
          <w:bCs/>
          <w:sz w:val="32"/>
          <w:szCs w:val="32"/>
          <w:highlight w:val="white"/>
        </w:rPr>
      </w:pPr>
      <w:proofErr w:type="spellStart"/>
      <w:r>
        <w:rPr>
          <w:rFonts w:ascii="Times New Roman" w:eastAsia="Times New Roman" w:hAnsi="Times New Roman" w:cs="Times New Roman"/>
          <w:sz w:val="24"/>
          <w:szCs w:val="24"/>
        </w:rPr>
        <w:t>Alharbi</w:t>
      </w:r>
      <w:proofErr w:type="spellEnd"/>
      <w:r>
        <w:rPr>
          <w:rFonts w:ascii="Times New Roman" w:eastAsia="Times New Roman" w:hAnsi="Times New Roman" w:cs="Times New Roman"/>
          <w:sz w:val="24"/>
          <w:szCs w:val="24"/>
        </w:rPr>
        <w:t>, A., &amp; Stevenson, M. (2020). Refining Boolean queries to identify relevant studies for systematic review updates. Journal of the American Medical Informatics Association. https://doi.org/10.1093/jamia/ocaa148</w:t>
      </w:r>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w:t>
      </w:r>
      <w:proofErr w:type="spellStart"/>
      <w:r>
        <w:rPr>
          <w:rFonts w:ascii="Times New Roman" w:eastAsia="Times New Roman" w:hAnsi="Times New Roman" w:cs="Times New Roman"/>
          <w:sz w:val="24"/>
          <w:szCs w:val="24"/>
        </w:rPr>
        <w:t>Sharify</w:t>
      </w:r>
      <w:proofErr w:type="spellEnd"/>
      <w:r>
        <w:rPr>
          <w:rFonts w:ascii="Times New Roman" w:eastAsia="Times New Roman" w:hAnsi="Times New Roman" w:cs="Times New Roman"/>
          <w:sz w:val="24"/>
          <w:szCs w:val="24"/>
        </w:rPr>
        <w:t xml:space="preserve">, Z. T., Al-Najjar, S. Z., </w:t>
      </w:r>
      <w:proofErr w:type="spellStart"/>
      <w:r>
        <w:rPr>
          <w:rFonts w:ascii="Times New Roman" w:eastAsia="Times New Roman" w:hAnsi="Times New Roman" w:cs="Times New Roman"/>
          <w:sz w:val="24"/>
          <w:szCs w:val="24"/>
        </w:rPr>
        <w:t>Anumudu</w:t>
      </w:r>
      <w:proofErr w:type="spellEnd"/>
      <w:r>
        <w:rPr>
          <w:rFonts w:ascii="Times New Roman" w:eastAsia="Times New Roman" w:hAnsi="Times New Roman" w:cs="Times New Roman"/>
          <w:sz w:val="24"/>
          <w:szCs w:val="24"/>
        </w:rPr>
        <w:t xml:space="preserve">, C. K., Hart, A., Miri, T., &amp; </w:t>
      </w:r>
      <w:proofErr w:type="spellStart"/>
      <w:r>
        <w:rPr>
          <w:rFonts w:ascii="Times New Roman" w:eastAsia="Times New Roman" w:hAnsi="Times New Roman" w:cs="Times New Roman"/>
          <w:sz w:val="24"/>
          <w:szCs w:val="24"/>
        </w:rPr>
        <w:t>Onyeaka</w:t>
      </w:r>
      <w:proofErr w:type="spellEnd"/>
      <w:r>
        <w:rPr>
          <w:rFonts w:ascii="Times New Roman" w:eastAsia="Times New Roman" w:hAnsi="Times New Roman" w:cs="Times New Roman"/>
          <w:sz w:val="24"/>
          <w:szCs w:val="24"/>
        </w:rPr>
        <w:t xml:space="preserve">, H. (2025). Non-Thermal Technologies in Food Processing: Implications for Food Quality and Rheology. Applied Sciences, 15(6), 3049. </w:t>
      </w:r>
      <w:hyperlink r:id="rId9">
        <w:r>
          <w:rPr>
            <w:rFonts w:ascii="Times New Roman" w:eastAsia="Times New Roman" w:hAnsi="Times New Roman" w:cs="Times New Roman"/>
            <w:color w:val="0000FF"/>
            <w:sz w:val="24"/>
            <w:szCs w:val="24"/>
            <w:u w:val="single"/>
          </w:rPr>
          <w:t>https://doi.org/10.3390/app15063049</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Arksey, H., &amp; O’Malley, L. (2005). Scoping studies: Towards a methodological framework. International Journal of Social Research Methodology, 8(1), 19-32. </w:t>
      </w:r>
      <w:hyperlink r:id="rId10">
        <w:r>
          <w:rPr>
            <w:rFonts w:ascii="Times New Roman" w:eastAsia="Times New Roman" w:hAnsi="Times New Roman" w:cs="Times New Roman"/>
            <w:color w:val="0000FF"/>
            <w:sz w:val="24"/>
            <w:szCs w:val="24"/>
            <w:u w:val="single"/>
          </w:rPr>
          <w:t>https://doi.org/10.1080/1364557032000119616</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Arshad, R. N., Abdul-Malek, Z., </w:t>
      </w:r>
      <w:proofErr w:type="spellStart"/>
      <w:r>
        <w:rPr>
          <w:rFonts w:ascii="Times New Roman" w:eastAsia="Times New Roman" w:hAnsi="Times New Roman" w:cs="Times New Roman"/>
          <w:sz w:val="24"/>
          <w:szCs w:val="24"/>
        </w:rPr>
        <w:t>Roobab</w:t>
      </w:r>
      <w:proofErr w:type="spellEnd"/>
      <w:r>
        <w:rPr>
          <w:rFonts w:ascii="Times New Roman" w:eastAsia="Times New Roman" w:hAnsi="Times New Roman" w:cs="Times New Roman"/>
          <w:sz w:val="24"/>
          <w:szCs w:val="24"/>
        </w:rPr>
        <w:t xml:space="preserve">, U., Ranjha, M. M. A. N., </w:t>
      </w:r>
      <w:proofErr w:type="spellStart"/>
      <w:r>
        <w:rPr>
          <w:rFonts w:ascii="Times New Roman" w:eastAsia="Times New Roman" w:hAnsi="Times New Roman" w:cs="Times New Roman"/>
          <w:sz w:val="24"/>
          <w:szCs w:val="24"/>
        </w:rPr>
        <w:t>Režek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Jambrak</w:t>
      </w:r>
      <w:proofErr w:type="spellEnd"/>
      <w:r>
        <w:rPr>
          <w:rFonts w:ascii="Times New Roman" w:eastAsia="Times New Roman" w:hAnsi="Times New Roman" w:cs="Times New Roman"/>
          <w:sz w:val="24"/>
          <w:szCs w:val="24"/>
        </w:rPr>
        <w:t xml:space="preserve">, A., Qureshi, M. I., Khan, N., Manuel Lorenzo, J., &amp; </w:t>
      </w:r>
      <w:proofErr w:type="spellStart"/>
      <w:r>
        <w:rPr>
          <w:rFonts w:ascii="Times New Roman" w:eastAsia="Times New Roman" w:hAnsi="Times New Roman" w:cs="Times New Roman"/>
          <w:sz w:val="24"/>
          <w:szCs w:val="24"/>
        </w:rPr>
        <w:t>Aadil</w:t>
      </w:r>
      <w:proofErr w:type="spellEnd"/>
      <w:r>
        <w:rPr>
          <w:rFonts w:ascii="Times New Roman" w:eastAsia="Times New Roman" w:hAnsi="Times New Roman" w:cs="Times New Roman"/>
          <w:sz w:val="24"/>
          <w:szCs w:val="24"/>
        </w:rPr>
        <w:t xml:space="preserve">, R. M. (2022). Nonthermal food processing: A step </w:t>
      </w:r>
      <w:r>
        <w:rPr>
          <w:rFonts w:ascii="Times New Roman" w:eastAsia="Times New Roman" w:hAnsi="Times New Roman" w:cs="Times New Roman"/>
          <w:sz w:val="24"/>
          <w:szCs w:val="24"/>
        </w:rPr>
        <w:lastRenderedPageBreak/>
        <w:t xml:space="preserve">towards a circular economy to meet the sustainable development goals. Food chemistry: X, 16, 100516. </w:t>
      </w:r>
      <w:hyperlink r:id="rId11">
        <w:r>
          <w:rPr>
            <w:rFonts w:ascii="Times New Roman" w:eastAsia="Times New Roman" w:hAnsi="Times New Roman" w:cs="Times New Roman"/>
            <w:color w:val="0000FF"/>
            <w:sz w:val="24"/>
            <w:szCs w:val="24"/>
            <w:u w:val="single"/>
          </w:rPr>
          <w:t>https://doi.org/10.1016/j.fochx.2022.100516</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Athanasiadis</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sz w:val="24"/>
          <w:szCs w:val="24"/>
        </w:rPr>
        <w:t>Giannopoulou</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Sarlami</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Bozinou</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Varagiannis</w:t>
      </w:r>
      <w:proofErr w:type="spellEnd"/>
      <w:r>
        <w:rPr>
          <w:rFonts w:ascii="Times New Roman" w:eastAsia="Times New Roman" w:hAnsi="Times New Roman" w:cs="Times New Roman"/>
          <w:sz w:val="24"/>
          <w:szCs w:val="24"/>
        </w:rPr>
        <w:t xml:space="preserve">, P., &amp; Lalas, S. I. (2025). Green Optimization of Sesame Seed Oil Extraction via Pulsed Electric Field and Ultrasound Bath: Yield, Antioxidant Activity, Oxidative Stability, and Functional Food Potential. Foods (Basel, Switzerland), 14(21), 3653 </w:t>
      </w:r>
      <w:hyperlink r:id="rId12">
        <w:r>
          <w:rPr>
            <w:rFonts w:ascii="Times New Roman" w:eastAsia="Times New Roman" w:hAnsi="Times New Roman" w:cs="Times New Roman"/>
            <w:color w:val="0000FF"/>
            <w:sz w:val="24"/>
            <w:szCs w:val="24"/>
            <w:u w:val="single"/>
          </w:rPr>
          <w:t>https://doi.org/10.3390/foods14213653</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Atkinson, L. Z., &amp; Cipriani, A. (2018). How to carry out a literature search for a systematic review: A practical guide. </w:t>
      </w:r>
      <w:proofErr w:type="spellStart"/>
      <w:r>
        <w:rPr>
          <w:rFonts w:ascii="Times New Roman" w:eastAsia="Times New Roman" w:hAnsi="Times New Roman" w:cs="Times New Roman"/>
          <w:sz w:val="24"/>
          <w:szCs w:val="24"/>
        </w:rPr>
        <w:t>BJPsych</w:t>
      </w:r>
      <w:proofErr w:type="spellEnd"/>
      <w:r>
        <w:rPr>
          <w:rFonts w:ascii="Times New Roman" w:eastAsia="Times New Roman" w:hAnsi="Times New Roman" w:cs="Times New Roman"/>
          <w:sz w:val="24"/>
          <w:szCs w:val="24"/>
        </w:rPr>
        <w:t xml:space="preserve"> Advances, 24(2), 74-82. </w:t>
      </w:r>
      <w:hyperlink r:id="rId13">
        <w:r>
          <w:rPr>
            <w:rFonts w:ascii="Times New Roman" w:eastAsia="Times New Roman" w:hAnsi="Times New Roman" w:cs="Times New Roman"/>
            <w:color w:val="0000FF"/>
            <w:sz w:val="24"/>
            <w:szCs w:val="24"/>
            <w:u w:val="single"/>
          </w:rPr>
          <w:t>https://doi.org/10.1192/bja.2017.3</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Balakrishna, A. K., </w:t>
      </w:r>
      <w:proofErr w:type="spellStart"/>
      <w:r>
        <w:rPr>
          <w:rFonts w:ascii="Times New Roman" w:eastAsia="Times New Roman" w:hAnsi="Times New Roman" w:cs="Times New Roman"/>
          <w:sz w:val="24"/>
          <w:szCs w:val="24"/>
        </w:rPr>
        <w:t>Wazed</w:t>
      </w:r>
      <w:proofErr w:type="spellEnd"/>
      <w:r>
        <w:rPr>
          <w:rFonts w:ascii="Times New Roman" w:eastAsia="Times New Roman" w:hAnsi="Times New Roman" w:cs="Times New Roman"/>
          <w:sz w:val="24"/>
          <w:szCs w:val="24"/>
        </w:rPr>
        <w:t xml:space="preserve">, M. A., &amp; Farid, M. (2020). A review on the effect of </w:t>
      </w:r>
      <w:proofErr w:type="gramStart"/>
      <w:r>
        <w:rPr>
          <w:rFonts w:ascii="Times New Roman" w:eastAsia="Times New Roman" w:hAnsi="Times New Roman" w:cs="Times New Roman"/>
          <w:sz w:val="24"/>
          <w:szCs w:val="24"/>
        </w:rPr>
        <w:t>high pressure</w:t>
      </w:r>
      <w:proofErr w:type="gramEnd"/>
      <w:r>
        <w:rPr>
          <w:rFonts w:ascii="Times New Roman" w:eastAsia="Times New Roman" w:hAnsi="Times New Roman" w:cs="Times New Roman"/>
          <w:sz w:val="24"/>
          <w:szCs w:val="24"/>
        </w:rPr>
        <w:t xml:space="preserve"> processing (HPP) on gelatinization and infusion of nutrients. Molecules, 25(10), 2369. </w:t>
      </w:r>
      <w:hyperlink r:id="rId14">
        <w:r>
          <w:rPr>
            <w:rFonts w:ascii="Times New Roman" w:eastAsia="Times New Roman" w:hAnsi="Times New Roman" w:cs="Times New Roman"/>
            <w:color w:val="0000FF"/>
            <w:sz w:val="24"/>
            <w:szCs w:val="24"/>
            <w:u w:val="single"/>
          </w:rPr>
          <w:t>https://doi.org/10.3390/molecules25102369</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Buitimea-Cantúa</w:t>
      </w:r>
      <w:proofErr w:type="spellEnd"/>
      <w:r>
        <w:rPr>
          <w:rFonts w:ascii="Times New Roman" w:eastAsia="Times New Roman" w:hAnsi="Times New Roman" w:cs="Times New Roman"/>
          <w:sz w:val="24"/>
          <w:szCs w:val="24"/>
        </w:rPr>
        <w:t>, G. V., Rico-</w:t>
      </w:r>
      <w:proofErr w:type="spellStart"/>
      <w:r>
        <w:rPr>
          <w:rFonts w:ascii="Times New Roman" w:eastAsia="Times New Roman" w:hAnsi="Times New Roman" w:cs="Times New Roman"/>
          <w:sz w:val="24"/>
          <w:szCs w:val="24"/>
        </w:rPr>
        <w:t>Alderete</w:t>
      </w:r>
      <w:proofErr w:type="spellEnd"/>
      <w:r>
        <w:rPr>
          <w:rFonts w:ascii="Times New Roman" w:eastAsia="Times New Roman" w:hAnsi="Times New Roman" w:cs="Times New Roman"/>
          <w:sz w:val="24"/>
          <w:szCs w:val="24"/>
        </w:rPr>
        <w:t>, I. A., Rostro-</w:t>
      </w:r>
      <w:proofErr w:type="spellStart"/>
      <w:r>
        <w:rPr>
          <w:rFonts w:ascii="Times New Roman" w:eastAsia="Times New Roman" w:hAnsi="Times New Roman" w:cs="Times New Roman"/>
          <w:sz w:val="24"/>
          <w:szCs w:val="24"/>
        </w:rPr>
        <w:t>Alanís</w:t>
      </w:r>
      <w:proofErr w:type="spellEnd"/>
      <w:r>
        <w:rPr>
          <w:rFonts w:ascii="Times New Roman" w:eastAsia="Times New Roman" w:hAnsi="Times New Roman" w:cs="Times New Roman"/>
          <w:sz w:val="24"/>
          <w:szCs w:val="24"/>
        </w:rPr>
        <w:t xml:space="preserve">, M. J., </w:t>
      </w:r>
      <w:proofErr w:type="spellStart"/>
      <w:r>
        <w:rPr>
          <w:rFonts w:ascii="Times New Roman" w:eastAsia="Times New Roman" w:hAnsi="Times New Roman" w:cs="Times New Roman"/>
          <w:sz w:val="24"/>
          <w:szCs w:val="24"/>
        </w:rPr>
        <w:t>Welti-Chanes</w:t>
      </w:r>
      <w:proofErr w:type="spellEnd"/>
      <w:r>
        <w:rPr>
          <w:rFonts w:ascii="Times New Roman" w:eastAsia="Times New Roman" w:hAnsi="Times New Roman" w:cs="Times New Roman"/>
          <w:sz w:val="24"/>
          <w:szCs w:val="24"/>
        </w:rPr>
        <w:t xml:space="preserve">, J., Escobedo-Avellaneda, Z. J., &amp; Soto-Caballero, M. C. (2022). Effect of High Hydrostatic Pressure and Pulsed Electric Fields Processes on Microbial Safety and Quality of Black/Red Raspberry Juice. Foods (Basel, Switzerland), 11(15), 2342. </w:t>
      </w:r>
      <w:hyperlink r:id="rId15">
        <w:r>
          <w:rPr>
            <w:rFonts w:ascii="Times New Roman" w:eastAsia="Times New Roman" w:hAnsi="Times New Roman" w:cs="Times New Roman"/>
            <w:color w:val="0000FF"/>
            <w:sz w:val="24"/>
            <w:szCs w:val="24"/>
            <w:u w:val="single"/>
          </w:rPr>
          <w:t>https://doi.org/10.3390/foods11152342</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DeMars</w:t>
      </w:r>
      <w:proofErr w:type="spellEnd"/>
      <w:r>
        <w:rPr>
          <w:rFonts w:ascii="Times New Roman" w:eastAsia="Times New Roman" w:hAnsi="Times New Roman" w:cs="Times New Roman"/>
          <w:sz w:val="24"/>
          <w:szCs w:val="24"/>
        </w:rPr>
        <w:t xml:space="preserve">, M. M., &amp; </w:t>
      </w:r>
      <w:proofErr w:type="spellStart"/>
      <w:r>
        <w:rPr>
          <w:rFonts w:ascii="Times New Roman" w:eastAsia="Times New Roman" w:hAnsi="Times New Roman" w:cs="Times New Roman"/>
          <w:sz w:val="24"/>
          <w:szCs w:val="24"/>
        </w:rPr>
        <w:t>Perruso</w:t>
      </w:r>
      <w:proofErr w:type="spellEnd"/>
      <w:r>
        <w:rPr>
          <w:rFonts w:ascii="Times New Roman" w:eastAsia="Times New Roman" w:hAnsi="Times New Roman" w:cs="Times New Roman"/>
          <w:sz w:val="24"/>
          <w:szCs w:val="24"/>
        </w:rPr>
        <w:t xml:space="preserve">, C. (2022). </w:t>
      </w:r>
      <w:proofErr w:type="spellStart"/>
      <w:r>
        <w:rPr>
          <w:rFonts w:ascii="Times New Roman" w:eastAsia="Times New Roman" w:hAnsi="Times New Roman" w:cs="Times New Roman"/>
          <w:sz w:val="24"/>
          <w:szCs w:val="24"/>
        </w:rPr>
        <w:t>MeSH</w:t>
      </w:r>
      <w:proofErr w:type="spellEnd"/>
      <w:r>
        <w:rPr>
          <w:rFonts w:ascii="Times New Roman" w:eastAsia="Times New Roman" w:hAnsi="Times New Roman" w:cs="Times New Roman"/>
          <w:sz w:val="24"/>
          <w:szCs w:val="24"/>
        </w:rPr>
        <w:t xml:space="preserve"> and text-word search strategies: precision, recall, and their implications for library instruction. Journal of the Medical Library </w:t>
      </w:r>
      <w:proofErr w:type="gramStart"/>
      <w:r>
        <w:rPr>
          <w:rFonts w:ascii="Times New Roman" w:eastAsia="Times New Roman" w:hAnsi="Times New Roman" w:cs="Times New Roman"/>
          <w:sz w:val="24"/>
          <w:szCs w:val="24"/>
        </w:rPr>
        <w:t>Association :</w:t>
      </w:r>
      <w:proofErr w:type="gramEnd"/>
      <w:r>
        <w:rPr>
          <w:rFonts w:ascii="Times New Roman" w:eastAsia="Times New Roman" w:hAnsi="Times New Roman" w:cs="Times New Roman"/>
          <w:sz w:val="24"/>
          <w:szCs w:val="24"/>
        </w:rPr>
        <w:t xml:space="preserve"> JMLA, 110(1), 23–33. </w:t>
      </w:r>
      <w:hyperlink r:id="rId16">
        <w:r>
          <w:rPr>
            <w:rFonts w:ascii="Times New Roman" w:eastAsia="Times New Roman" w:hAnsi="Times New Roman" w:cs="Times New Roman"/>
            <w:color w:val="0000FF"/>
            <w:sz w:val="24"/>
            <w:szCs w:val="24"/>
            <w:u w:val="single"/>
          </w:rPr>
          <w:t>https://doi.org/10.5195/jmla.2022.1283</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European Union. (n.d.). European Food Safety Authority (EFSA). </w:t>
      </w:r>
      <w:hyperlink r:id="rId17">
        <w:r>
          <w:rPr>
            <w:rFonts w:ascii="Times New Roman" w:eastAsia="Times New Roman" w:hAnsi="Times New Roman" w:cs="Times New Roman"/>
            <w:color w:val="0000FF"/>
            <w:sz w:val="24"/>
            <w:szCs w:val="24"/>
            <w:u w:val="single"/>
          </w:rPr>
          <w:t>https://european-union.europa.eu/institutions-law-budget/institutions-and-bodies/search-all-eu-institutions-and-bodies/european-food-safety-authority-efsa_en</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European Commission. (n.d.). Novel Food. European Union. </w:t>
      </w:r>
      <w:hyperlink r:id="rId18">
        <w:r>
          <w:rPr>
            <w:rFonts w:ascii="Times New Roman" w:eastAsia="Times New Roman" w:hAnsi="Times New Roman" w:cs="Times New Roman"/>
            <w:color w:val="0000FF"/>
            <w:sz w:val="24"/>
            <w:szCs w:val="24"/>
            <w:u w:val="single"/>
          </w:rPr>
          <w:t>https://food.ec.europa.eu/food-safety/novel-food_en</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Gao, W., Zhang, N., Li, S., Li, S., Zhu, S., Cong, X., Cheng, S., Barba, F. J., &amp; Zhu, Z. (2022). Polysaccharides in Selenium-Enriched Tea: Extraction Performance under Innovative Technologies and Antioxidant Activities. Foods (Basel, Switzerland), 11(17), 2545. </w:t>
      </w:r>
      <w:hyperlink r:id="rId19">
        <w:r>
          <w:rPr>
            <w:rFonts w:ascii="Times New Roman" w:eastAsia="Times New Roman" w:hAnsi="Times New Roman" w:cs="Times New Roman"/>
            <w:color w:val="0000FF"/>
            <w:sz w:val="24"/>
            <w:szCs w:val="24"/>
            <w:u w:val="single"/>
          </w:rPr>
          <w:t>https://doi.org/10.3390/foods11172545</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Ghazali, M. H., Saleem, F., &amp; Bashir, L. (2025). Cold plasma and high-pressure processing in sustainable meat preservation: a review. Food, Nutrition and Health, 2:22. </w:t>
      </w:r>
      <w:hyperlink r:id="rId20">
        <w:r>
          <w:rPr>
            <w:rFonts w:ascii="Times New Roman" w:eastAsia="Times New Roman" w:hAnsi="Times New Roman" w:cs="Times New Roman"/>
            <w:color w:val="0000FF"/>
            <w:sz w:val="24"/>
            <w:szCs w:val="24"/>
            <w:u w:val="single"/>
          </w:rPr>
          <w:t>https://doi.org/10.1007/s44403-025-00032-1</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Gupta, R. K., Shams, R., </w:t>
      </w:r>
      <w:proofErr w:type="spellStart"/>
      <w:r>
        <w:rPr>
          <w:rFonts w:ascii="Times New Roman" w:eastAsia="Times New Roman" w:hAnsi="Times New Roman" w:cs="Times New Roman"/>
          <w:sz w:val="24"/>
          <w:szCs w:val="24"/>
        </w:rPr>
        <w:t>Bahndral</w:t>
      </w:r>
      <w:proofErr w:type="spellEnd"/>
      <w:r>
        <w:rPr>
          <w:rFonts w:ascii="Times New Roman" w:eastAsia="Times New Roman" w:hAnsi="Times New Roman" w:cs="Times New Roman"/>
          <w:sz w:val="24"/>
          <w:szCs w:val="24"/>
        </w:rPr>
        <w:t xml:space="preserve">, A., Dash, K. K., </w:t>
      </w:r>
      <w:proofErr w:type="spellStart"/>
      <w:r>
        <w:rPr>
          <w:rFonts w:ascii="Times New Roman" w:eastAsia="Times New Roman" w:hAnsi="Times New Roman" w:cs="Times New Roman"/>
          <w:sz w:val="24"/>
          <w:szCs w:val="24"/>
        </w:rPr>
        <w:t>Pawase</w:t>
      </w:r>
      <w:proofErr w:type="spellEnd"/>
      <w:r>
        <w:rPr>
          <w:rFonts w:ascii="Times New Roman" w:eastAsia="Times New Roman" w:hAnsi="Times New Roman" w:cs="Times New Roman"/>
          <w:sz w:val="24"/>
          <w:szCs w:val="24"/>
        </w:rPr>
        <w:t xml:space="preserve">, P. A., &amp; Béla, K. (2025). Effectiveness of Various Plasma Treatments on Nutrient Retention and Food Quality: A Comprehensive Review of Applications and Impact. Applied Food Research. </w:t>
      </w:r>
      <w:hyperlink r:id="rId21">
        <w:r>
          <w:rPr>
            <w:rFonts w:ascii="Times New Roman" w:eastAsia="Times New Roman" w:hAnsi="Times New Roman" w:cs="Times New Roman"/>
            <w:color w:val="0000FF"/>
            <w:sz w:val="24"/>
            <w:szCs w:val="24"/>
            <w:u w:val="single"/>
          </w:rPr>
          <w:t>https://doi.org/10.1016/j.afres.2025.101422</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Jadhav, H. B., </w:t>
      </w:r>
      <w:proofErr w:type="spellStart"/>
      <w:r>
        <w:rPr>
          <w:rFonts w:ascii="Times New Roman" w:eastAsia="Times New Roman" w:hAnsi="Times New Roman" w:cs="Times New Roman"/>
          <w:sz w:val="24"/>
          <w:szCs w:val="24"/>
        </w:rPr>
        <w:t>Annapure</w:t>
      </w:r>
      <w:proofErr w:type="spellEnd"/>
      <w:r>
        <w:rPr>
          <w:rFonts w:ascii="Times New Roman" w:eastAsia="Times New Roman" w:hAnsi="Times New Roman" w:cs="Times New Roman"/>
          <w:sz w:val="24"/>
          <w:szCs w:val="24"/>
        </w:rPr>
        <w:t xml:space="preserve">, U. S., &amp; Deshmukh, R. R. (2021). Non-thermal Technologies for Food Processing. Frontiers in nutrition, 8, 657090. </w:t>
      </w:r>
      <w:hyperlink r:id="rId22">
        <w:r>
          <w:rPr>
            <w:rFonts w:ascii="Times New Roman" w:eastAsia="Times New Roman" w:hAnsi="Times New Roman" w:cs="Times New Roman"/>
            <w:color w:val="0000FF"/>
            <w:sz w:val="24"/>
            <w:szCs w:val="24"/>
            <w:u w:val="single"/>
          </w:rPr>
          <w:t>https://doi.org/10.3389/fnut.2021.657090</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Jimoh</w:t>
      </w:r>
      <w:proofErr w:type="spellEnd"/>
      <w:r>
        <w:rPr>
          <w:rFonts w:ascii="Times New Roman" w:eastAsia="Times New Roman" w:hAnsi="Times New Roman" w:cs="Times New Roman"/>
          <w:sz w:val="24"/>
          <w:szCs w:val="24"/>
        </w:rPr>
        <w:t xml:space="preserve">, T. S., Mensah, E. K., </w:t>
      </w:r>
      <w:proofErr w:type="spellStart"/>
      <w:r>
        <w:rPr>
          <w:rFonts w:ascii="Times New Roman" w:eastAsia="Times New Roman" w:hAnsi="Times New Roman" w:cs="Times New Roman"/>
          <w:sz w:val="24"/>
          <w:szCs w:val="24"/>
        </w:rPr>
        <w:t>Falakin</w:t>
      </w:r>
      <w:proofErr w:type="spellEnd"/>
      <w:r>
        <w:rPr>
          <w:rFonts w:ascii="Times New Roman" w:eastAsia="Times New Roman" w:hAnsi="Times New Roman" w:cs="Times New Roman"/>
          <w:sz w:val="24"/>
          <w:szCs w:val="24"/>
        </w:rPr>
        <w:t xml:space="preserve">, T. O., &amp; Blessing, A. A. (2025). Black Soldier Fly Meal as a Sustainable Alternative to Fishmeal in Rainbow Trout: Impacts on Growth, Nutrient Utilization, and Sustainability. Journal of Agriculture, Aquaculture, and Animal Science, 2(2), 103–111. </w:t>
      </w:r>
      <w:hyperlink r:id="rId23">
        <w:r>
          <w:rPr>
            <w:rFonts w:ascii="Times New Roman" w:eastAsia="Times New Roman" w:hAnsi="Times New Roman" w:cs="Times New Roman"/>
            <w:color w:val="0000FF"/>
            <w:sz w:val="24"/>
            <w:szCs w:val="24"/>
            <w:u w:val="single"/>
          </w:rPr>
          <w:t>https://doi.org/10.69739/jaaas.v2i2.1054</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Jimoh</w:t>
      </w:r>
      <w:proofErr w:type="spellEnd"/>
      <w:r>
        <w:rPr>
          <w:rFonts w:ascii="Times New Roman" w:eastAsia="Times New Roman" w:hAnsi="Times New Roman" w:cs="Times New Roman"/>
          <w:sz w:val="24"/>
          <w:szCs w:val="24"/>
        </w:rPr>
        <w:t xml:space="preserve">, T. S., </w:t>
      </w:r>
      <w:proofErr w:type="spellStart"/>
      <w:r>
        <w:rPr>
          <w:rFonts w:ascii="Times New Roman" w:eastAsia="Times New Roman" w:hAnsi="Times New Roman" w:cs="Times New Roman"/>
          <w:sz w:val="24"/>
          <w:szCs w:val="24"/>
        </w:rPr>
        <w:t>Falakin</w:t>
      </w:r>
      <w:proofErr w:type="spellEnd"/>
      <w:r>
        <w:rPr>
          <w:rFonts w:ascii="Times New Roman" w:eastAsia="Times New Roman" w:hAnsi="Times New Roman" w:cs="Times New Roman"/>
          <w:sz w:val="24"/>
          <w:szCs w:val="24"/>
        </w:rPr>
        <w:t xml:space="preserve">, T. O., &amp; Mensah, E. K. (2025). Advancing sustainable U.S. aquaculture: Microalgae as a fishmeal alternative for rainbow trout. Journal of Agriculture, Aquaculture, and Animal Science, 2(2), 112–120. </w:t>
      </w:r>
      <w:hyperlink r:id="rId24">
        <w:r>
          <w:rPr>
            <w:rFonts w:ascii="Times New Roman" w:eastAsia="Times New Roman" w:hAnsi="Times New Roman" w:cs="Times New Roman"/>
            <w:color w:val="0000FF"/>
            <w:sz w:val="24"/>
            <w:szCs w:val="24"/>
            <w:u w:val="single"/>
          </w:rPr>
          <w:t>https://doi.org/10.69739/jaaas.v2i2.1055</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Jimoh</w:t>
      </w:r>
      <w:proofErr w:type="spellEnd"/>
      <w:r>
        <w:rPr>
          <w:rFonts w:ascii="Times New Roman" w:eastAsia="Times New Roman" w:hAnsi="Times New Roman" w:cs="Times New Roman"/>
          <w:sz w:val="24"/>
          <w:szCs w:val="24"/>
        </w:rPr>
        <w:t xml:space="preserve">, T. S., &amp; </w:t>
      </w:r>
      <w:proofErr w:type="spellStart"/>
      <w:r>
        <w:rPr>
          <w:rFonts w:ascii="Times New Roman" w:eastAsia="Times New Roman" w:hAnsi="Times New Roman" w:cs="Times New Roman"/>
          <w:sz w:val="24"/>
          <w:szCs w:val="24"/>
        </w:rPr>
        <w:t>Falakin</w:t>
      </w:r>
      <w:proofErr w:type="spellEnd"/>
      <w:r>
        <w:rPr>
          <w:rFonts w:ascii="Times New Roman" w:eastAsia="Times New Roman" w:hAnsi="Times New Roman" w:cs="Times New Roman"/>
          <w:sz w:val="24"/>
          <w:szCs w:val="24"/>
        </w:rPr>
        <w:t xml:space="preserve">, T. O. (2025). Microalgae as fishmeal replacements in rainbow trout: Effects on growth, feed use and nutrient excretion. Journal of Applied Life Sciences International, 28(5), 186–202. </w:t>
      </w:r>
      <w:hyperlink r:id="rId25">
        <w:r>
          <w:rPr>
            <w:rFonts w:ascii="Times New Roman" w:eastAsia="Times New Roman" w:hAnsi="Times New Roman" w:cs="Times New Roman"/>
            <w:color w:val="0000FF"/>
            <w:sz w:val="24"/>
            <w:szCs w:val="24"/>
            <w:u w:val="single"/>
          </w:rPr>
          <w:t>https://doi.org/10.9734/jalsi/2025/v28i5726</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Jose, H., Jackson, E. L., Duong, C., &amp; Sung, B. (2025). Ethical food consumption in the digital age: Consumer attitudes towards digitally monitored animal welfare in pork products. Appetite, 207, 107853. </w:t>
      </w:r>
      <w:hyperlink r:id="rId26">
        <w:r>
          <w:rPr>
            <w:rFonts w:ascii="Times New Roman" w:eastAsia="Times New Roman" w:hAnsi="Times New Roman" w:cs="Times New Roman"/>
            <w:color w:val="0000FF"/>
            <w:sz w:val="24"/>
            <w:szCs w:val="24"/>
            <w:u w:val="single"/>
          </w:rPr>
          <w:t>https://doi.org/10.1016/j.appet.2025.107853</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Kechri</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Kleisiari</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Kyrgiakos</w:t>
      </w:r>
      <w:proofErr w:type="spellEnd"/>
      <w:r>
        <w:rPr>
          <w:rFonts w:ascii="Times New Roman" w:eastAsia="Times New Roman" w:hAnsi="Times New Roman" w:cs="Times New Roman"/>
          <w:sz w:val="24"/>
          <w:szCs w:val="24"/>
        </w:rPr>
        <w:t xml:space="preserve">, L. S., </w:t>
      </w:r>
      <w:proofErr w:type="spellStart"/>
      <w:r>
        <w:rPr>
          <w:rFonts w:ascii="Times New Roman" w:eastAsia="Times New Roman" w:hAnsi="Times New Roman" w:cs="Times New Roman"/>
          <w:sz w:val="24"/>
          <w:szCs w:val="24"/>
        </w:rPr>
        <w:t>Vasileiou</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Tosiliani</w:t>
      </w:r>
      <w:proofErr w:type="spellEnd"/>
      <w:r>
        <w:rPr>
          <w:rFonts w:ascii="Times New Roman" w:eastAsia="Times New Roman" w:hAnsi="Times New Roman" w:cs="Times New Roman"/>
          <w:sz w:val="24"/>
          <w:szCs w:val="24"/>
        </w:rPr>
        <w:t xml:space="preserve">, D. D., Angelopoulos, V., </w:t>
      </w:r>
      <w:proofErr w:type="spellStart"/>
      <w:r>
        <w:rPr>
          <w:rFonts w:ascii="Times New Roman" w:eastAsia="Times New Roman" w:hAnsi="Times New Roman" w:cs="Times New Roman"/>
          <w:sz w:val="24"/>
          <w:szCs w:val="24"/>
        </w:rPr>
        <w:t>Kleftodimos</w:t>
      </w:r>
      <w:proofErr w:type="spellEnd"/>
      <w:r>
        <w:rPr>
          <w:rFonts w:ascii="Times New Roman" w:eastAsia="Times New Roman" w:hAnsi="Times New Roman" w:cs="Times New Roman"/>
          <w:sz w:val="24"/>
          <w:szCs w:val="24"/>
        </w:rPr>
        <w:t xml:space="preserve">, G., &amp; </w:t>
      </w:r>
      <w:proofErr w:type="spellStart"/>
      <w:r>
        <w:rPr>
          <w:rFonts w:ascii="Times New Roman" w:eastAsia="Times New Roman" w:hAnsi="Times New Roman" w:cs="Times New Roman"/>
          <w:sz w:val="24"/>
          <w:szCs w:val="24"/>
        </w:rPr>
        <w:t>Vlontzos</w:t>
      </w:r>
      <w:proofErr w:type="spellEnd"/>
      <w:r>
        <w:rPr>
          <w:rFonts w:ascii="Times New Roman" w:eastAsia="Times New Roman" w:hAnsi="Times New Roman" w:cs="Times New Roman"/>
          <w:sz w:val="24"/>
          <w:szCs w:val="24"/>
        </w:rPr>
        <w:t xml:space="preserve">, G. (2025). Emerging Technologies for Investigating Food Consumer Behavior: A Systematic Review. Comprehensive reviews in food science and food safety, 24(6), e70340. </w:t>
      </w:r>
      <w:hyperlink r:id="rId27">
        <w:r>
          <w:rPr>
            <w:rFonts w:ascii="Times New Roman" w:eastAsia="Times New Roman" w:hAnsi="Times New Roman" w:cs="Times New Roman"/>
            <w:color w:val="0000FF"/>
            <w:sz w:val="24"/>
            <w:szCs w:val="24"/>
            <w:u w:val="single"/>
          </w:rPr>
          <w:t>https://doi.org/10.1111/1541-4337.70340</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Keyata</w:t>
      </w:r>
      <w:proofErr w:type="spellEnd"/>
      <w:r>
        <w:rPr>
          <w:rFonts w:ascii="Times New Roman" w:eastAsia="Times New Roman" w:hAnsi="Times New Roman" w:cs="Times New Roman"/>
          <w:sz w:val="24"/>
          <w:szCs w:val="24"/>
        </w:rPr>
        <w:t xml:space="preserve">, E., &amp; </w:t>
      </w:r>
      <w:proofErr w:type="spellStart"/>
      <w:r>
        <w:rPr>
          <w:rFonts w:ascii="Times New Roman" w:eastAsia="Times New Roman" w:hAnsi="Times New Roman" w:cs="Times New Roman"/>
          <w:sz w:val="24"/>
          <w:szCs w:val="24"/>
        </w:rPr>
        <w:t>Bikila</w:t>
      </w:r>
      <w:proofErr w:type="spellEnd"/>
      <w:r>
        <w:rPr>
          <w:rFonts w:ascii="Times New Roman" w:eastAsia="Times New Roman" w:hAnsi="Times New Roman" w:cs="Times New Roman"/>
          <w:sz w:val="24"/>
          <w:szCs w:val="24"/>
        </w:rPr>
        <w:t xml:space="preserve">, A. (2024). Effect of high-pressure processing on nutritional composition, microbial safety, shelf life and sensory properties of perishable food products: A review. Journal of Agriculture, Food and Natural Resources, 2(1), 69-78. </w:t>
      </w:r>
      <w:hyperlink r:id="rId28">
        <w:r>
          <w:rPr>
            <w:rFonts w:ascii="Times New Roman" w:eastAsia="Times New Roman" w:hAnsi="Times New Roman" w:cs="Times New Roman"/>
            <w:color w:val="0000FF"/>
            <w:sz w:val="24"/>
            <w:szCs w:val="24"/>
            <w:u w:val="single"/>
          </w:rPr>
          <w:t>https://doi.org/10.20372/afnr.v2i1.659</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Khalid, W., </w:t>
      </w:r>
      <w:proofErr w:type="spellStart"/>
      <w:r>
        <w:rPr>
          <w:rFonts w:ascii="Times New Roman" w:eastAsia="Times New Roman" w:hAnsi="Times New Roman" w:cs="Times New Roman"/>
          <w:sz w:val="24"/>
          <w:szCs w:val="24"/>
        </w:rPr>
        <w:t>Benmebarek</w:t>
      </w:r>
      <w:proofErr w:type="spellEnd"/>
      <w:r>
        <w:rPr>
          <w:rFonts w:ascii="Times New Roman" w:eastAsia="Times New Roman" w:hAnsi="Times New Roman" w:cs="Times New Roman"/>
          <w:sz w:val="24"/>
          <w:szCs w:val="24"/>
        </w:rPr>
        <w:t xml:space="preserve">, I. E., </w:t>
      </w:r>
      <w:proofErr w:type="spellStart"/>
      <w:r>
        <w:rPr>
          <w:rFonts w:ascii="Times New Roman" w:eastAsia="Times New Roman" w:hAnsi="Times New Roman" w:cs="Times New Roman"/>
          <w:sz w:val="24"/>
          <w:szCs w:val="24"/>
        </w:rPr>
        <w:t>Zargarchi</w:t>
      </w:r>
      <w:proofErr w:type="spellEnd"/>
      <w:r>
        <w:rPr>
          <w:rFonts w:ascii="Times New Roman" w:eastAsia="Times New Roman" w:hAnsi="Times New Roman" w:cs="Times New Roman"/>
          <w:sz w:val="24"/>
          <w:szCs w:val="24"/>
        </w:rPr>
        <w:t xml:space="preserve">, S., Kumar, P., </w:t>
      </w:r>
      <w:proofErr w:type="spellStart"/>
      <w:r>
        <w:rPr>
          <w:rFonts w:ascii="Times New Roman" w:eastAsia="Times New Roman" w:hAnsi="Times New Roman" w:cs="Times New Roman"/>
          <w:sz w:val="24"/>
          <w:szCs w:val="24"/>
        </w:rPr>
        <w:t>Javed</w:t>
      </w:r>
      <w:proofErr w:type="spellEnd"/>
      <w:r>
        <w:rPr>
          <w:rFonts w:ascii="Times New Roman" w:eastAsia="Times New Roman" w:hAnsi="Times New Roman" w:cs="Times New Roman"/>
          <w:sz w:val="24"/>
          <w:szCs w:val="24"/>
        </w:rPr>
        <w:t xml:space="preserve">, M., Moreno, A., Sharma, A., </w:t>
      </w:r>
      <w:proofErr w:type="spellStart"/>
      <w:r>
        <w:rPr>
          <w:rFonts w:ascii="Times New Roman" w:eastAsia="Times New Roman" w:hAnsi="Times New Roman" w:cs="Times New Roman"/>
          <w:sz w:val="24"/>
          <w:szCs w:val="24"/>
        </w:rPr>
        <w:t>Nayik</w:t>
      </w:r>
      <w:proofErr w:type="spellEnd"/>
      <w:r>
        <w:rPr>
          <w:rFonts w:ascii="Times New Roman" w:eastAsia="Times New Roman" w:hAnsi="Times New Roman" w:cs="Times New Roman"/>
          <w:sz w:val="24"/>
          <w:szCs w:val="24"/>
        </w:rPr>
        <w:t xml:space="preserve">, G. A., &amp; </w:t>
      </w:r>
      <w:proofErr w:type="spellStart"/>
      <w:r>
        <w:rPr>
          <w:rFonts w:ascii="Times New Roman" w:eastAsia="Times New Roman" w:hAnsi="Times New Roman" w:cs="Times New Roman"/>
          <w:sz w:val="24"/>
          <w:szCs w:val="24"/>
        </w:rPr>
        <w:t>Esatbeyoglu</w:t>
      </w:r>
      <w:proofErr w:type="spellEnd"/>
      <w:r>
        <w:rPr>
          <w:rFonts w:ascii="Times New Roman" w:eastAsia="Times New Roman" w:hAnsi="Times New Roman" w:cs="Times New Roman"/>
          <w:sz w:val="24"/>
          <w:szCs w:val="24"/>
        </w:rPr>
        <w:t>, T. (2025). Optimization of the effect of cold plasma treatment on UAE-NADES green extraction of chickpea roots (</w:t>
      </w:r>
      <w:proofErr w:type="spellStart"/>
      <w:r>
        <w:rPr>
          <w:rFonts w:ascii="Times New Roman" w:eastAsia="Times New Roman" w:hAnsi="Times New Roman" w:cs="Times New Roman"/>
          <w:sz w:val="24"/>
          <w:szCs w:val="24"/>
        </w:rPr>
        <w:t>Cicer</w:t>
      </w:r>
      <w:proofErr w:type="spellEnd"/>
      <w:r>
        <w:rPr>
          <w:rFonts w:ascii="Times New Roman" w:eastAsia="Times New Roman" w:hAnsi="Times New Roman" w:cs="Times New Roman"/>
          <w:sz w:val="24"/>
          <w:szCs w:val="24"/>
        </w:rPr>
        <w:t xml:space="preserve"> arietinum) bioactive compounds. </w:t>
      </w:r>
      <w:proofErr w:type="spellStart"/>
      <w:r>
        <w:rPr>
          <w:rFonts w:ascii="Times New Roman" w:eastAsia="Times New Roman" w:hAnsi="Times New Roman" w:cs="Times New Roman"/>
          <w:sz w:val="24"/>
          <w:szCs w:val="24"/>
        </w:rPr>
        <w:t>Ultrasonics</w:t>
      </w:r>
      <w:proofErr w:type="spellEnd"/>
      <w:r>
        <w:rPr>
          <w:rFonts w:ascii="Times New Roman" w:eastAsia="Times New Roman" w:hAnsi="Times New Roman" w:cs="Times New Roman"/>
          <w:sz w:val="24"/>
          <w:szCs w:val="24"/>
        </w:rPr>
        <w:t xml:space="preserve"> sonochemistry, 114, 107276. </w:t>
      </w:r>
      <w:hyperlink r:id="rId29">
        <w:r>
          <w:rPr>
            <w:rFonts w:ascii="Times New Roman" w:eastAsia="Times New Roman" w:hAnsi="Times New Roman" w:cs="Times New Roman"/>
            <w:color w:val="0000FF"/>
            <w:sz w:val="24"/>
            <w:szCs w:val="24"/>
            <w:u w:val="single"/>
          </w:rPr>
          <w:t>https://doi.org/10.1016/j.ultsonch.2025.107276</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Y. Y., Chen, J. H., Liu, Y. C., Hsiao, Y. T., &amp; Wang, C. Y. (2022). Evaluation of microbiological safety, physicochemical and aromatic qualities of </w:t>
      </w:r>
      <w:proofErr w:type="spellStart"/>
      <w:r>
        <w:rPr>
          <w:rFonts w:ascii="Times New Roman" w:eastAsia="Times New Roman" w:hAnsi="Times New Roman" w:cs="Times New Roman"/>
          <w:sz w:val="24"/>
          <w:szCs w:val="24"/>
        </w:rPr>
        <w:t>shiikuwasha</w:t>
      </w:r>
      <w:proofErr w:type="spellEnd"/>
      <w:r>
        <w:rPr>
          <w:rFonts w:ascii="Times New Roman" w:eastAsia="Times New Roman" w:hAnsi="Times New Roman" w:cs="Times New Roman"/>
          <w:sz w:val="24"/>
          <w:szCs w:val="24"/>
        </w:rPr>
        <w:t xml:space="preserve"> (Citrus </w:t>
      </w:r>
      <w:proofErr w:type="spellStart"/>
      <w:r>
        <w:rPr>
          <w:rFonts w:ascii="Times New Roman" w:eastAsia="Times New Roman" w:hAnsi="Times New Roman" w:cs="Times New Roman"/>
          <w:sz w:val="24"/>
          <w:szCs w:val="24"/>
        </w:rPr>
        <w:t>depressa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Hayata</w:t>
      </w:r>
      <w:proofErr w:type="spellEnd"/>
      <w:r>
        <w:rPr>
          <w:rFonts w:ascii="Times New Roman" w:eastAsia="Times New Roman" w:hAnsi="Times New Roman" w:cs="Times New Roman"/>
          <w:sz w:val="24"/>
          <w:szCs w:val="24"/>
        </w:rPr>
        <w:t xml:space="preserve">) juice after high pressure processing. Journal of food science and technology, 59(3), 990–1000. </w:t>
      </w:r>
      <w:hyperlink r:id="rId30">
        <w:r>
          <w:rPr>
            <w:rFonts w:ascii="Times New Roman" w:eastAsia="Times New Roman" w:hAnsi="Times New Roman" w:cs="Times New Roman"/>
            <w:color w:val="0000FF"/>
            <w:sz w:val="24"/>
            <w:szCs w:val="24"/>
            <w:u w:val="single"/>
          </w:rPr>
          <w:t>https://doi.org/10.1007/s13197-021-05103-7</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Lawal, O. P., </w:t>
      </w:r>
      <w:proofErr w:type="spellStart"/>
      <w:r>
        <w:rPr>
          <w:rFonts w:ascii="Times New Roman" w:eastAsia="Times New Roman" w:hAnsi="Times New Roman" w:cs="Times New Roman"/>
          <w:sz w:val="24"/>
          <w:szCs w:val="24"/>
        </w:rPr>
        <w:t>Njoba</w:t>
      </w:r>
      <w:proofErr w:type="spellEnd"/>
      <w:r>
        <w:rPr>
          <w:rFonts w:ascii="Times New Roman" w:eastAsia="Times New Roman" w:hAnsi="Times New Roman" w:cs="Times New Roman"/>
          <w:sz w:val="24"/>
          <w:szCs w:val="24"/>
        </w:rPr>
        <w:t xml:space="preserve">, C. F., </w:t>
      </w:r>
      <w:proofErr w:type="spellStart"/>
      <w:r>
        <w:rPr>
          <w:rFonts w:ascii="Times New Roman" w:eastAsia="Times New Roman" w:hAnsi="Times New Roman" w:cs="Times New Roman"/>
          <w:sz w:val="24"/>
          <w:szCs w:val="24"/>
        </w:rPr>
        <w:t>Olorunkosebi</w:t>
      </w:r>
      <w:proofErr w:type="spellEnd"/>
      <w:r>
        <w:rPr>
          <w:rFonts w:ascii="Times New Roman" w:eastAsia="Times New Roman" w:hAnsi="Times New Roman" w:cs="Times New Roman"/>
          <w:sz w:val="24"/>
          <w:szCs w:val="24"/>
        </w:rPr>
        <w:t xml:space="preserve">, M. T., Jacob, H., </w:t>
      </w:r>
      <w:proofErr w:type="spellStart"/>
      <w:r>
        <w:rPr>
          <w:rFonts w:ascii="Times New Roman" w:eastAsia="Times New Roman" w:hAnsi="Times New Roman" w:cs="Times New Roman"/>
          <w:sz w:val="24"/>
          <w:szCs w:val="24"/>
        </w:rPr>
        <w:t>Igweonu</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Dilioha</w:t>
      </w:r>
      <w:proofErr w:type="spellEnd"/>
      <w:r>
        <w:rPr>
          <w:rFonts w:ascii="Times New Roman" w:eastAsia="Times New Roman" w:hAnsi="Times New Roman" w:cs="Times New Roman"/>
          <w:sz w:val="24"/>
          <w:szCs w:val="24"/>
        </w:rPr>
        <w:t xml:space="preserve">, J. O., </w:t>
      </w:r>
      <w:proofErr w:type="spellStart"/>
      <w:r>
        <w:rPr>
          <w:rFonts w:ascii="Times New Roman" w:eastAsia="Times New Roman" w:hAnsi="Times New Roman" w:cs="Times New Roman"/>
          <w:sz w:val="24"/>
          <w:szCs w:val="24"/>
        </w:rPr>
        <w:t>Fagbemi</w:t>
      </w:r>
      <w:proofErr w:type="spellEnd"/>
      <w:r>
        <w:rPr>
          <w:rFonts w:ascii="Times New Roman" w:eastAsia="Times New Roman" w:hAnsi="Times New Roman" w:cs="Times New Roman"/>
          <w:sz w:val="24"/>
          <w:szCs w:val="24"/>
        </w:rPr>
        <w:t xml:space="preserve">, B. T., </w:t>
      </w:r>
      <w:proofErr w:type="spellStart"/>
      <w:r>
        <w:rPr>
          <w:rFonts w:ascii="Times New Roman" w:eastAsia="Times New Roman" w:hAnsi="Times New Roman" w:cs="Times New Roman"/>
          <w:sz w:val="24"/>
          <w:szCs w:val="24"/>
        </w:rPr>
        <w:t>Amesimenu</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Jimoh</w:t>
      </w:r>
      <w:proofErr w:type="spellEnd"/>
      <w:r>
        <w:rPr>
          <w:rFonts w:ascii="Times New Roman" w:eastAsia="Times New Roman" w:hAnsi="Times New Roman" w:cs="Times New Roman"/>
          <w:sz w:val="24"/>
          <w:szCs w:val="24"/>
        </w:rPr>
        <w:t xml:space="preserve">, T. S., &amp; </w:t>
      </w:r>
      <w:proofErr w:type="spellStart"/>
      <w:r>
        <w:rPr>
          <w:rFonts w:ascii="Times New Roman" w:eastAsia="Times New Roman" w:hAnsi="Times New Roman" w:cs="Times New Roman"/>
          <w:sz w:val="24"/>
          <w:szCs w:val="24"/>
        </w:rPr>
        <w:t>Obiechi</w:t>
      </w:r>
      <w:proofErr w:type="spellEnd"/>
      <w:r>
        <w:rPr>
          <w:rFonts w:ascii="Times New Roman" w:eastAsia="Times New Roman" w:hAnsi="Times New Roman" w:cs="Times New Roman"/>
          <w:sz w:val="24"/>
          <w:szCs w:val="24"/>
        </w:rPr>
        <w:t xml:space="preserve">, M. N. (2025). Microplastics as emerging reservoirs of antimicrobial resistance: Clinical relevance and environmental mechanisms. Journal of Clinical and Experimental Investigations, 16(4), em00852. </w:t>
      </w:r>
      <w:hyperlink r:id="rId31">
        <w:r>
          <w:rPr>
            <w:rFonts w:ascii="Times New Roman" w:eastAsia="Times New Roman" w:hAnsi="Times New Roman" w:cs="Times New Roman"/>
            <w:color w:val="0000FF"/>
            <w:sz w:val="24"/>
            <w:szCs w:val="24"/>
            <w:u w:val="single"/>
          </w:rPr>
          <w:t>https://doi.org/10.29333/jcei/17401</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Liang, N., Mohamed, H. M., Kim, B. J., Burroughs, S., </w:t>
      </w:r>
      <w:proofErr w:type="spellStart"/>
      <w:r>
        <w:rPr>
          <w:rFonts w:ascii="Times New Roman" w:eastAsia="Times New Roman" w:hAnsi="Times New Roman" w:cs="Times New Roman"/>
          <w:sz w:val="24"/>
          <w:szCs w:val="24"/>
        </w:rPr>
        <w:t>Lowder</w:t>
      </w:r>
      <w:proofErr w:type="spellEnd"/>
      <w:r>
        <w:rPr>
          <w:rFonts w:ascii="Times New Roman" w:eastAsia="Times New Roman" w:hAnsi="Times New Roman" w:cs="Times New Roman"/>
          <w:sz w:val="24"/>
          <w:szCs w:val="24"/>
        </w:rPr>
        <w:t xml:space="preserve">, A., Waite-Cusic, J., &amp; Dallas, D. C. (2023). High-Pressure Processing of Human Milk: A Balance between Microbial Inactivation </w:t>
      </w:r>
      <w:r>
        <w:rPr>
          <w:rFonts w:ascii="Times New Roman" w:eastAsia="Times New Roman" w:hAnsi="Times New Roman" w:cs="Times New Roman"/>
          <w:sz w:val="24"/>
          <w:szCs w:val="24"/>
        </w:rPr>
        <w:lastRenderedPageBreak/>
        <w:t xml:space="preserve">and Bioactive Protein Preservation. The Journal of Nutrition, 153(9), 2598–2611. </w:t>
      </w:r>
      <w:hyperlink r:id="rId32">
        <w:r>
          <w:rPr>
            <w:rFonts w:ascii="Times New Roman" w:eastAsia="Times New Roman" w:hAnsi="Times New Roman" w:cs="Times New Roman"/>
            <w:color w:val="0000FF"/>
            <w:sz w:val="24"/>
            <w:szCs w:val="24"/>
            <w:u w:val="single"/>
          </w:rPr>
          <w:t>https://doi.org/10.1016/j.tjnut.2023.07.001</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Maduforo</w:t>
      </w:r>
      <w:proofErr w:type="spellEnd"/>
      <w:r>
        <w:rPr>
          <w:rFonts w:ascii="Times New Roman" w:eastAsia="Times New Roman" w:hAnsi="Times New Roman" w:cs="Times New Roman"/>
          <w:sz w:val="24"/>
          <w:szCs w:val="24"/>
        </w:rPr>
        <w:t xml:space="preserve">, A. N., </w:t>
      </w:r>
      <w:proofErr w:type="spellStart"/>
      <w:r>
        <w:rPr>
          <w:rFonts w:ascii="Times New Roman" w:eastAsia="Times New Roman" w:hAnsi="Times New Roman" w:cs="Times New Roman"/>
          <w:sz w:val="24"/>
          <w:szCs w:val="24"/>
        </w:rPr>
        <w:t>Ngene</w:t>
      </w:r>
      <w:proofErr w:type="spellEnd"/>
      <w:r>
        <w:rPr>
          <w:rFonts w:ascii="Times New Roman" w:eastAsia="Times New Roman" w:hAnsi="Times New Roman" w:cs="Times New Roman"/>
          <w:sz w:val="24"/>
          <w:szCs w:val="24"/>
        </w:rPr>
        <w:t xml:space="preserve">, B. A., </w:t>
      </w:r>
      <w:proofErr w:type="spellStart"/>
      <w:r>
        <w:rPr>
          <w:rFonts w:ascii="Times New Roman" w:eastAsia="Times New Roman" w:hAnsi="Times New Roman" w:cs="Times New Roman"/>
          <w:sz w:val="24"/>
          <w:szCs w:val="24"/>
        </w:rPr>
        <w:t>Chikwendu</w:t>
      </w:r>
      <w:proofErr w:type="spellEnd"/>
      <w:r>
        <w:rPr>
          <w:rFonts w:ascii="Times New Roman" w:eastAsia="Times New Roman" w:hAnsi="Times New Roman" w:cs="Times New Roman"/>
          <w:sz w:val="24"/>
          <w:szCs w:val="24"/>
        </w:rPr>
        <w:t>, J. N., Okorie, J. N., Ugo, C. H., &amp; Aloysius-</w:t>
      </w:r>
      <w:proofErr w:type="spellStart"/>
      <w:r>
        <w:rPr>
          <w:rFonts w:ascii="Times New Roman" w:eastAsia="Times New Roman" w:hAnsi="Times New Roman" w:cs="Times New Roman"/>
          <w:sz w:val="24"/>
          <w:szCs w:val="24"/>
        </w:rPr>
        <w:t>Maduforo</w:t>
      </w:r>
      <w:proofErr w:type="spellEnd"/>
      <w:r>
        <w:rPr>
          <w:rFonts w:ascii="Times New Roman" w:eastAsia="Times New Roman" w:hAnsi="Times New Roman" w:cs="Times New Roman"/>
          <w:sz w:val="24"/>
          <w:szCs w:val="24"/>
        </w:rPr>
        <w:t xml:space="preserve">, M. C. (2022). Effect of Processing Methods on Nutritional Quality of Solanum </w:t>
      </w:r>
      <w:proofErr w:type="spellStart"/>
      <w:r>
        <w:rPr>
          <w:rFonts w:ascii="Times New Roman" w:eastAsia="Times New Roman" w:hAnsi="Times New Roman" w:cs="Times New Roman"/>
          <w:sz w:val="24"/>
          <w:szCs w:val="24"/>
        </w:rPr>
        <w:t>aethiopicum</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Colocasia</w:t>
      </w:r>
      <w:proofErr w:type="spellEnd"/>
      <w:r>
        <w:rPr>
          <w:rFonts w:ascii="Times New Roman" w:eastAsia="Times New Roman" w:hAnsi="Times New Roman" w:cs="Times New Roman"/>
          <w:sz w:val="24"/>
          <w:szCs w:val="24"/>
        </w:rPr>
        <w:t xml:space="preserve"> esculenta Leafy Vegetables Commonly Consumed in Ebonyi State, Nigeria. Journal of Dietitians Association of Nigeria (JDAN), 13(2). </w:t>
      </w:r>
      <w:hyperlink r:id="rId33">
        <w:r>
          <w:rPr>
            <w:rFonts w:ascii="Times New Roman" w:eastAsia="Times New Roman" w:hAnsi="Times New Roman" w:cs="Times New Roman"/>
            <w:color w:val="0000FF"/>
            <w:sz w:val="24"/>
            <w:szCs w:val="24"/>
            <w:u w:val="single"/>
          </w:rPr>
          <w:t>https://doi.org/10.4314/jdan.v13i2.4</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Mandim</w:t>
      </w:r>
      <w:proofErr w:type="spellEnd"/>
      <w:r>
        <w:rPr>
          <w:rFonts w:ascii="Times New Roman" w:eastAsia="Times New Roman" w:hAnsi="Times New Roman" w:cs="Times New Roman"/>
          <w:sz w:val="24"/>
          <w:szCs w:val="24"/>
        </w:rPr>
        <w:t xml:space="preserve">, F., Petropoulos, S. A., Pinto, C. A., </w:t>
      </w:r>
      <w:proofErr w:type="spellStart"/>
      <w:r>
        <w:rPr>
          <w:rFonts w:ascii="Times New Roman" w:eastAsia="Times New Roman" w:hAnsi="Times New Roman" w:cs="Times New Roman"/>
          <w:sz w:val="24"/>
          <w:szCs w:val="24"/>
        </w:rPr>
        <w:t>Heleno</w:t>
      </w:r>
      <w:proofErr w:type="spellEnd"/>
      <w:r>
        <w:rPr>
          <w:rFonts w:ascii="Times New Roman" w:eastAsia="Times New Roman" w:hAnsi="Times New Roman" w:cs="Times New Roman"/>
          <w:sz w:val="24"/>
          <w:szCs w:val="24"/>
        </w:rPr>
        <w:t>, S. A., Rodrigues, P., Dias, M. I., Saraiva, J. A., Santos-</w:t>
      </w:r>
      <w:proofErr w:type="spellStart"/>
      <w:r>
        <w:rPr>
          <w:rFonts w:ascii="Times New Roman" w:eastAsia="Times New Roman" w:hAnsi="Times New Roman" w:cs="Times New Roman"/>
          <w:sz w:val="24"/>
          <w:szCs w:val="24"/>
        </w:rPr>
        <w:t>Buelga</w:t>
      </w:r>
      <w:proofErr w:type="spellEnd"/>
      <w:r>
        <w:rPr>
          <w:rFonts w:ascii="Times New Roman" w:eastAsia="Times New Roman" w:hAnsi="Times New Roman" w:cs="Times New Roman"/>
          <w:sz w:val="24"/>
          <w:szCs w:val="24"/>
        </w:rPr>
        <w:t xml:space="preserve">, C., Ferreira, I. C. F. R., Barros, L., &amp; </w:t>
      </w:r>
      <w:proofErr w:type="spellStart"/>
      <w:r>
        <w:rPr>
          <w:rFonts w:ascii="Times New Roman" w:eastAsia="Times New Roman" w:hAnsi="Times New Roman" w:cs="Times New Roman"/>
          <w:sz w:val="24"/>
          <w:szCs w:val="24"/>
        </w:rPr>
        <w:t>Pinela</w:t>
      </w:r>
      <w:proofErr w:type="spellEnd"/>
      <w:r>
        <w:rPr>
          <w:rFonts w:ascii="Times New Roman" w:eastAsia="Times New Roman" w:hAnsi="Times New Roman" w:cs="Times New Roman"/>
          <w:sz w:val="24"/>
          <w:szCs w:val="24"/>
        </w:rPr>
        <w:t xml:space="preserve">, J. (2024). Novel cold and thermally pasteurized cardoon-enriched functional smoothie formulations: A zero-waste manufacturing approach. Food chemistry, 456, 139945. </w:t>
      </w:r>
      <w:hyperlink r:id="rId34">
        <w:r>
          <w:rPr>
            <w:rFonts w:ascii="Times New Roman" w:eastAsia="Times New Roman" w:hAnsi="Times New Roman" w:cs="Times New Roman"/>
            <w:color w:val="0000FF"/>
            <w:sz w:val="24"/>
            <w:szCs w:val="24"/>
            <w:u w:val="single"/>
          </w:rPr>
          <w:t>https://doi.org/10.1016/j.foodchem.2024.139945</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Moyo</w:t>
      </w:r>
      <w:proofErr w:type="spellEnd"/>
      <w:r>
        <w:rPr>
          <w:rFonts w:ascii="Times New Roman" w:eastAsia="Times New Roman" w:hAnsi="Times New Roman" w:cs="Times New Roman"/>
          <w:sz w:val="24"/>
          <w:szCs w:val="24"/>
        </w:rPr>
        <w:t xml:space="preserve">, H. N. (2024). The impact of food processing techniques on nutrient retention and bioavailability. Iconic Research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Engineering Journals. </w:t>
      </w:r>
      <w:hyperlink r:id="rId35">
        <w:r>
          <w:rPr>
            <w:rFonts w:ascii="Times New Roman" w:eastAsia="Times New Roman" w:hAnsi="Times New Roman" w:cs="Times New Roman"/>
            <w:color w:val="0000FF"/>
            <w:sz w:val="24"/>
            <w:szCs w:val="24"/>
            <w:u w:val="single"/>
          </w:rPr>
          <w:t>https://www.irejournals.com/formatedpaper/1706163.pdf</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Olaoye</w:t>
      </w:r>
      <w:proofErr w:type="spellEnd"/>
      <w:r>
        <w:rPr>
          <w:rFonts w:ascii="Times New Roman" w:eastAsia="Times New Roman" w:hAnsi="Times New Roman" w:cs="Times New Roman"/>
          <w:sz w:val="24"/>
          <w:szCs w:val="24"/>
        </w:rPr>
        <w:t>, J., Bakare-</w:t>
      </w:r>
      <w:proofErr w:type="spellStart"/>
      <w:r>
        <w:rPr>
          <w:rFonts w:ascii="Times New Roman" w:eastAsia="Times New Roman" w:hAnsi="Times New Roman" w:cs="Times New Roman"/>
          <w:sz w:val="24"/>
          <w:szCs w:val="24"/>
        </w:rPr>
        <w:t>Abidola</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Chinaza</w:t>
      </w:r>
      <w:proofErr w:type="spellEnd"/>
      <w:r>
        <w:rPr>
          <w:rFonts w:ascii="Times New Roman" w:eastAsia="Times New Roman" w:hAnsi="Times New Roman" w:cs="Times New Roman"/>
          <w:sz w:val="24"/>
          <w:szCs w:val="24"/>
        </w:rPr>
        <w:t xml:space="preserve">, O. F., Jude, D., </w:t>
      </w:r>
      <w:proofErr w:type="spellStart"/>
      <w:r>
        <w:rPr>
          <w:rFonts w:ascii="Times New Roman" w:eastAsia="Times New Roman" w:hAnsi="Times New Roman" w:cs="Times New Roman"/>
          <w:sz w:val="24"/>
          <w:szCs w:val="24"/>
        </w:rPr>
        <w:t>Jimoh</w:t>
      </w:r>
      <w:proofErr w:type="spellEnd"/>
      <w:r>
        <w:rPr>
          <w:rFonts w:ascii="Times New Roman" w:eastAsia="Times New Roman" w:hAnsi="Times New Roman" w:cs="Times New Roman"/>
          <w:sz w:val="24"/>
          <w:szCs w:val="24"/>
        </w:rPr>
        <w:t xml:space="preserve">, T. S., Babatunde, E. T., &amp; </w:t>
      </w:r>
      <w:proofErr w:type="spellStart"/>
      <w:r>
        <w:rPr>
          <w:rFonts w:ascii="Times New Roman" w:eastAsia="Times New Roman" w:hAnsi="Times New Roman" w:cs="Times New Roman"/>
          <w:sz w:val="24"/>
          <w:szCs w:val="24"/>
        </w:rPr>
        <w:t>Isiaka</w:t>
      </w:r>
      <w:proofErr w:type="spellEnd"/>
      <w:r>
        <w:rPr>
          <w:rFonts w:ascii="Times New Roman" w:eastAsia="Times New Roman" w:hAnsi="Times New Roman" w:cs="Times New Roman"/>
          <w:sz w:val="24"/>
          <w:szCs w:val="24"/>
        </w:rPr>
        <w:t xml:space="preserve">, S. A. (2024). Bioaccumulation and toxicological effects of heavy metals in wildlife: Implications for ecosystem health and human exposure. International Journal of Science, Architecture, Technology, and Environment, 1(8), 294–303. </w:t>
      </w:r>
      <w:hyperlink r:id="rId36">
        <w:r>
          <w:rPr>
            <w:rFonts w:ascii="Times New Roman" w:eastAsia="Times New Roman" w:hAnsi="Times New Roman" w:cs="Times New Roman"/>
            <w:color w:val="0000FF"/>
            <w:sz w:val="24"/>
            <w:szCs w:val="24"/>
            <w:u w:val="single"/>
          </w:rPr>
          <w:t>https://doi.org/10.63680/ijsate0325035.07</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Olawale, F., Alake, S. E., Chandrashekar, R., Islam, P., Sutton, B., Chaffin, N., Ugo, C. H., </w:t>
      </w:r>
      <w:proofErr w:type="spellStart"/>
      <w:r>
        <w:rPr>
          <w:rFonts w:ascii="Times New Roman" w:eastAsia="Times New Roman" w:hAnsi="Times New Roman" w:cs="Times New Roman"/>
          <w:sz w:val="24"/>
          <w:szCs w:val="24"/>
        </w:rPr>
        <w:t>Jin</w:t>
      </w:r>
      <w:proofErr w:type="spellEnd"/>
      <w:r>
        <w:rPr>
          <w:rFonts w:ascii="Times New Roman" w:eastAsia="Times New Roman" w:hAnsi="Times New Roman" w:cs="Times New Roman"/>
          <w:sz w:val="24"/>
          <w:szCs w:val="24"/>
        </w:rPr>
        <w:t xml:space="preserve">, J. B., Lightfoot, S., </w:t>
      </w:r>
      <w:proofErr w:type="spellStart"/>
      <w:r>
        <w:rPr>
          <w:rFonts w:ascii="Times New Roman" w:eastAsia="Times New Roman" w:hAnsi="Times New Roman" w:cs="Times New Roman"/>
          <w:sz w:val="24"/>
          <w:szCs w:val="24"/>
        </w:rPr>
        <w:t>Debédat</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Schilmiller</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Chowanadisai</w:t>
      </w:r>
      <w:proofErr w:type="spellEnd"/>
      <w:r>
        <w:rPr>
          <w:rFonts w:ascii="Times New Roman" w:eastAsia="Times New Roman" w:hAnsi="Times New Roman" w:cs="Times New Roman"/>
          <w:sz w:val="24"/>
          <w:szCs w:val="24"/>
        </w:rPr>
        <w:t xml:space="preserve">, W., Knotts, T. A., Smith, B. J., &amp; Lucas, E. A. (2025). Pinto bean supplementation modulates gut microbiota and improves markers of gut integrity in a mouse model of estrogen deficiency. The Journal of Nutrition. </w:t>
      </w:r>
      <w:hyperlink r:id="rId37">
        <w:r>
          <w:rPr>
            <w:rFonts w:ascii="Times New Roman" w:eastAsia="Times New Roman" w:hAnsi="Times New Roman" w:cs="Times New Roman"/>
            <w:color w:val="0000FF"/>
            <w:sz w:val="24"/>
            <w:szCs w:val="24"/>
            <w:u w:val="single"/>
          </w:rPr>
          <w:t>https://doi.org/10.1016/j.tjnut.2025.07.008</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Pasdar</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Mostashari</w:t>
      </w:r>
      <w:proofErr w:type="spellEnd"/>
      <w:r>
        <w:rPr>
          <w:rFonts w:ascii="Times New Roman" w:eastAsia="Times New Roman" w:hAnsi="Times New Roman" w:cs="Times New Roman"/>
          <w:sz w:val="24"/>
          <w:szCs w:val="24"/>
        </w:rPr>
        <w:t xml:space="preserve">, P., Greiner, R., </w:t>
      </w:r>
      <w:proofErr w:type="spellStart"/>
      <w:r>
        <w:rPr>
          <w:rFonts w:ascii="Times New Roman" w:eastAsia="Times New Roman" w:hAnsi="Times New Roman" w:cs="Times New Roman"/>
          <w:sz w:val="24"/>
          <w:szCs w:val="24"/>
        </w:rPr>
        <w:t>Khelfa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Rashidinejad</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Eshpari</w:t>
      </w:r>
      <w:proofErr w:type="spellEnd"/>
      <w:r>
        <w:rPr>
          <w:rFonts w:ascii="Times New Roman" w:eastAsia="Times New Roman" w:hAnsi="Times New Roman" w:cs="Times New Roman"/>
          <w:sz w:val="24"/>
          <w:szCs w:val="24"/>
        </w:rPr>
        <w:t xml:space="preserve">, H., Vale, J. M., </w:t>
      </w:r>
      <w:proofErr w:type="spellStart"/>
      <w:r>
        <w:rPr>
          <w:rFonts w:ascii="Times New Roman" w:eastAsia="Times New Roman" w:hAnsi="Times New Roman" w:cs="Times New Roman"/>
          <w:sz w:val="24"/>
          <w:szCs w:val="24"/>
        </w:rPr>
        <w:t>Gharibzahedi</w:t>
      </w:r>
      <w:proofErr w:type="spellEnd"/>
      <w:r>
        <w:rPr>
          <w:rFonts w:ascii="Times New Roman" w:eastAsia="Times New Roman" w:hAnsi="Times New Roman" w:cs="Times New Roman"/>
          <w:sz w:val="24"/>
          <w:szCs w:val="24"/>
        </w:rPr>
        <w:t xml:space="preserve">, S. M. T., &amp; </w:t>
      </w:r>
      <w:proofErr w:type="spellStart"/>
      <w:r>
        <w:rPr>
          <w:rFonts w:ascii="Times New Roman" w:eastAsia="Times New Roman" w:hAnsi="Times New Roman" w:cs="Times New Roman"/>
          <w:sz w:val="24"/>
          <w:szCs w:val="24"/>
        </w:rPr>
        <w:t>Roohinejad</w:t>
      </w:r>
      <w:proofErr w:type="spellEnd"/>
      <w:r>
        <w:rPr>
          <w:rFonts w:ascii="Times New Roman" w:eastAsia="Times New Roman" w:hAnsi="Times New Roman" w:cs="Times New Roman"/>
          <w:sz w:val="24"/>
          <w:szCs w:val="24"/>
        </w:rPr>
        <w:t xml:space="preserve">, S. (2024). Advancements in Non-Thermal Processing Technologies for Enhancing Safety and Quality of Infant and Baby Food Products: A Review. Foods (Basel, Switzerland), 13(17), 2659. </w:t>
      </w:r>
      <w:hyperlink r:id="rId38">
        <w:r>
          <w:rPr>
            <w:rFonts w:ascii="Times New Roman" w:eastAsia="Times New Roman" w:hAnsi="Times New Roman" w:cs="Times New Roman"/>
            <w:color w:val="0000FF"/>
            <w:sz w:val="24"/>
            <w:szCs w:val="24"/>
            <w:u w:val="single"/>
          </w:rPr>
          <w:t>https://doi.org/10.3390/foods13172659</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 Y., </w:t>
      </w:r>
      <w:proofErr w:type="spellStart"/>
      <w:r>
        <w:rPr>
          <w:rFonts w:ascii="Times New Roman" w:eastAsia="Times New Roman" w:hAnsi="Times New Roman" w:cs="Times New Roman"/>
          <w:sz w:val="24"/>
          <w:szCs w:val="24"/>
        </w:rPr>
        <w:t>Bie</w:t>
      </w:r>
      <w:proofErr w:type="spellEnd"/>
      <w:r>
        <w:rPr>
          <w:rFonts w:ascii="Times New Roman" w:eastAsia="Times New Roman" w:hAnsi="Times New Roman" w:cs="Times New Roman"/>
          <w:sz w:val="24"/>
          <w:szCs w:val="24"/>
        </w:rPr>
        <w:t xml:space="preserve">, S., Cai, S., Zhou, L., &amp; Guo, C. (2025). Effects of high-pressure homogenization on phenolics profile, antioxidant activity, α-glucosidase inhibitory activity, and insulin resistance of peach juice during simulated gastrointestinal digestion. Food Chemistry: X, 26, 102263. </w:t>
      </w:r>
      <w:hyperlink r:id="rId39">
        <w:r>
          <w:rPr>
            <w:rFonts w:ascii="Times New Roman" w:eastAsia="Times New Roman" w:hAnsi="Times New Roman" w:cs="Times New Roman"/>
            <w:color w:val="0000FF"/>
            <w:sz w:val="24"/>
            <w:szCs w:val="24"/>
            <w:u w:val="single"/>
          </w:rPr>
          <w:t>https://doi.org/10.1016/j.fochx.2025.102263</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Pérez-</w:t>
      </w:r>
      <w:proofErr w:type="spellStart"/>
      <w:r>
        <w:rPr>
          <w:rFonts w:ascii="Times New Roman" w:eastAsia="Times New Roman" w:hAnsi="Times New Roman" w:cs="Times New Roman"/>
          <w:sz w:val="24"/>
          <w:szCs w:val="24"/>
        </w:rPr>
        <w:t>Lamela</w:t>
      </w:r>
      <w:proofErr w:type="spellEnd"/>
      <w:r>
        <w:rPr>
          <w:rFonts w:ascii="Times New Roman" w:eastAsia="Times New Roman" w:hAnsi="Times New Roman" w:cs="Times New Roman"/>
          <w:sz w:val="24"/>
          <w:szCs w:val="24"/>
        </w:rPr>
        <w:t xml:space="preserve">, C., Franco, I., &amp; </w:t>
      </w:r>
      <w:proofErr w:type="spellStart"/>
      <w:r>
        <w:rPr>
          <w:rFonts w:ascii="Times New Roman" w:eastAsia="Times New Roman" w:hAnsi="Times New Roman" w:cs="Times New Roman"/>
          <w:sz w:val="24"/>
          <w:szCs w:val="24"/>
        </w:rPr>
        <w:t>Falqué</w:t>
      </w:r>
      <w:proofErr w:type="spellEnd"/>
      <w:r>
        <w:rPr>
          <w:rFonts w:ascii="Times New Roman" w:eastAsia="Times New Roman" w:hAnsi="Times New Roman" w:cs="Times New Roman"/>
          <w:sz w:val="24"/>
          <w:szCs w:val="24"/>
        </w:rPr>
        <w:t xml:space="preserve">, E. (2021). Impact of High-Pressure Processing on Antioxidant Activity during Storage of Fruits and Fruit Products: A Review. Molecules (Basel, Switzerland), 26(17), 5265. </w:t>
      </w:r>
      <w:hyperlink r:id="rId40">
        <w:r>
          <w:rPr>
            <w:rFonts w:ascii="Times New Roman" w:eastAsia="Times New Roman" w:hAnsi="Times New Roman" w:cs="Times New Roman"/>
            <w:color w:val="0000FF"/>
            <w:sz w:val="24"/>
            <w:szCs w:val="24"/>
            <w:u w:val="single"/>
          </w:rPr>
          <w:t>https://doi.org/10.3390/molecules26175265</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Pérez-</w:t>
      </w:r>
      <w:proofErr w:type="spellStart"/>
      <w:r>
        <w:rPr>
          <w:rFonts w:ascii="Times New Roman" w:eastAsia="Times New Roman" w:hAnsi="Times New Roman" w:cs="Times New Roman"/>
          <w:sz w:val="24"/>
          <w:szCs w:val="24"/>
        </w:rPr>
        <w:t>Lamela</w:t>
      </w:r>
      <w:proofErr w:type="spellEnd"/>
      <w:r>
        <w:rPr>
          <w:rFonts w:ascii="Times New Roman" w:eastAsia="Times New Roman" w:hAnsi="Times New Roman" w:cs="Times New Roman"/>
          <w:sz w:val="24"/>
          <w:szCs w:val="24"/>
        </w:rPr>
        <w:t xml:space="preserve">, C., &amp; </w:t>
      </w:r>
      <w:proofErr w:type="spellStart"/>
      <w:r>
        <w:rPr>
          <w:rFonts w:ascii="Times New Roman" w:eastAsia="Times New Roman" w:hAnsi="Times New Roman" w:cs="Times New Roman"/>
          <w:sz w:val="24"/>
          <w:szCs w:val="24"/>
        </w:rPr>
        <w:t>Torrado-Agrasar</w:t>
      </w:r>
      <w:proofErr w:type="spellEnd"/>
      <w:r>
        <w:rPr>
          <w:rFonts w:ascii="Times New Roman" w:eastAsia="Times New Roman" w:hAnsi="Times New Roman" w:cs="Times New Roman"/>
          <w:sz w:val="24"/>
          <w:szCs w:val="24"/>
        </w:rPr>
        <w:t xml:space="preserve">, A. M. (2025). Effects of High-Pressure Processing (HPP) on Antioxidant Vitamins (A, C, and E) and Antioxidant Activity in Fruit and Vegetable Preparations: A Review. Applied Sciences, 15(19), 10699. </w:t>
      </w:r>
      <w:hyperlink r:id="rId41">
        <w:r>
          <w:rPr>
            <w:rFonts w:ascii="Times New Roman" w:eastAsia="Times New Roman" w:hAnsi="Times New Roman" w:cs="Times New Roman"/>
            <w:color w:val="0000FF"/>
            <w:sz w:val="24"/>
            <w:szCs w:val="24"/>
            <w:u w:val="single"/>
          </w:rPr>
          <w:t>https://doi.org/10.3390/app151910699</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Pérez-Andrés, J. M., </w:t>
      </w:r>
      <w:proofErr w:type="spellStart"/>
      <w:r>
        <w:rPr>
          <w:rFonts w:ascii="Times New Roman" w:eastAsia="Times New Roman" w:hAnsi="Times New Roman" w:cs="Times New Roman"/>
          <w:sz w:val="24"/>
          <w:szCs w:val="24"/>
        </w:rPr>
        <w:t>Cropotova</w:t>
      </w:r>
      <w:proofErr w:type="spellEnd"/>
      <w:r>
        <w:rPr>
          <w:rFonts w:ascii="Times New Roman" w:eastAsia="Times New Roman" w:hAnsi="Times New Roman" w:cs="Times New Roman"/>
          <w:sz w:val="24"/>
          <w:szCs w:val="24"/>
        </w:rPr>
        <w:t xml:space="preserve">, J., Harrison, S. M., Brunton, N. P., Cullen, P. J., </w:t>
      </w:r>
      <w:proofErr w:type="spellStart"/>
      <w:r>
        <w:rPr>
          <w:rFonts w:ascii="Times New Roman" w:eastAsia="Times New Roman" w:hAnsi="Times New Roman" w:cs="Times New Roman"/>
          <w:sz w:val="24"/>
          <w:szCs w:val="24"/>
        </w:rPr>
        <w:t>Rustad</w:t>
      </w:r>
      <w:proofErr w:type="spellEnd"/>
      <w:r>
        <w:rPr>
          <w:rFonts w:ascii="Times New Roman" w:eastAsia="Times New Roman" w:hAnsi="Times New Roman" w:cs="Times New Roman"/>
          <w:sz w:val="24"/>
          <w:szCs w:val="24"/>
        </w:rPr>
        <w:t xml:space="preserve">, T., &amp; Tiwari, B. K. (2020). Effect of Cold Plasma on Meat Cholesterol and Lipid Oxidation. Foods (Basel, Switzerland), 9(12), 1786. </w:t>
      </w:r>
      <w:hyperlink r:id="rId42">
        <w:r>
          <w:rPr>
            <w:rFonts w:ascii="Times New Roman" w:eastAsia="Times New Roman" w:hAnsi="Times New Roman" w:cs="Times New Roman"/>
            <w:color w:val="0000FF"/>
            <w:sz w:val="24"/>
            <w:szCs w:val="24"/>
            <w:u w:val="single"/>
          </w:rPr>
          <w:t>https://doi.org/10.3390/foods9121786</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Razazian</w:t>
      </w:r>
      <w:proofErr w:type="spellEnd"/>
      <w:r>
        <w:rPr>
          <w:rFonts w:ascii="Times New Roman" w:eastAsia="Times New Roman" w:hAnsi="Times New Roman" w:cs="Times New Roman"/>
          <w:sz w:val="24"/>
          <w:szCs w:val="24"/>
        </w:rPr>
        <w:t xml:space="preserve">, G., Dalvi-Isfahan, M., &amp; </w:t>
      </w:r>
      <w:proofErr w:type="spellStart"/>
      <w:r>
        <w:rPr>
          <w:rFonts w:ascii="Times New Roman" w:eastAsia="Times New Roman" w:hAnsi="Times New Roman" w:cs="Times New Roman"/>
          <w:sz w:val="24"/>
          <w:szCs w:val="24"/>
        </w:rPr>
        <w:t>Mohtashami</w:t>
      </w:r>
      <w:proofErr w:type="spellEnd"/>
      <w:r>
        <w:rPr>
          <w:rFonts w:ascii="Times New Roman" w:eastAsia="Times New Roman" w:hAnsi="Times New Roman" w:cs="Times New Roman"/>
          <w:sz w:val="24"/>
          <w:szCs w:val="24"/>
        </w:rPr>
        <w:t xml:space="preserve">, S. (2025). Cold Plasma Pretreatment Enhances Antioxidant Stability in Lime Fruit During Storage. Food science &amp; nutrition, 13(10), e71091. </w:t>
      </w:r>
      <w:hyperlink r:id="rId43">
        <w:r>
          <w:rPr>
            <w:rFonts w:ascii="Times New Roman" w:eastAsia="Times New Roman" w:hAnsi="Times New Roman" w:cs="Times New Roman"/>
            <w:color w:val="0000FF"/>
            <w:sz w:val="24"/>
            <w:szCs w:val="24"/>
            <w:u w:val="single"/>
          </w:rPr>
          <w:t>https://doi.org/10.1002/fsn3.71091</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Rinaldi, M., </w:t>
      </w:r>
      <w:proofErr w:type="spellStart"/>
      <w:r>
        <w:rPr>
          <w:rFonts w:ascii="Times New Roman" w:eastAsia="Times New Roman" w:hAnsi="Times New Roman" w:cs="Times New Roman"/>
          <w:sz w:val="24"/>
          <w:szCs w:val="24"/>
          <w:highlight w:val="white"/>
        </w:rPr>
        <w:t>Dhenge</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Rodolfi</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Littardi</w:t>
      </w:r>
      <w:proofErr w:type="spellEnd"/>
      <w:r>
        <w:rPr>
          <w:rFonts w:ascii="Times New Roman" w:eastAsia="Times New Roman" w:hAnsi="Times New Roman" w:cs="Times New Roman"/>
          <w:sz w:val="24"/>
          <w:szCs w:val="24"/>
          <w:highlight w:val="white"/>
        </w:rPr>
        <w:t xml:space="preserve">, P., Lacey, K., </w:t>
      </w:r>
      <w:proofErr w:type="spellStart"/>
      <w:r>
        <w:rPr>
          <w:rFonts w:ascii="Times New Roman" w:eastAsia="Times New Roman" w:hAnsi="Times New Roman" w:cs="Times New Roman"/>
          <w:sz w:val="24"/>
          <w:szCs w:val="24"/>
          <w:highlight w:val="white"/>
        </w:rPr>
        <w:t>Cavazza</w:t>
      </w:r>
      <w:proofErr w:type="spellEnd"/>
      <w:r>
        <w:rPr>
          <w:rFonts w:ascii="Times New Roman" w:eastAsia="Times New Roman" w:hAnsi="Times New Roman" w:cs="Times New Roman"/>
          <w:sz w:val="24"/>
          <w:szCs w:val="24"/>
          <w:highlight w:val="white"/>
        </w:rPr>
        <w:t xml:space="preserve">, A., Grimaldi, M., Lolli, V., </w:t>
      </w:r>
      <w:proofErr w:type="spellStart"/>
      <w:r>
        <w:rPr>
          <w:rFonts w:ascii="Times New Roman" w:eastAsia="Times New Roman" w:hAnsi="Times New Roman" w:cs="Times New Roman"/>
          <w:sz w:val="24"/>
          <w:szCs w:val="24"/>
          <w:highlight w:val="white"/>
        </w:rPr>
        <w:t>Cirlini</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Chiancone</w:t>
      </w:r>
      <w:proofErr w:type="spellEnd"/>
      <w:r>
        <w:rPr>
          <w:rFonts w:ascii="Times New Roman" w:eastAsia="Times New Roman" w:hAnsi="Times New Roman" w:cs="Times New Roman"/>
          <w:sz w:val="24"/>
          <w:szCs w:val="24"/>
          <w:highlight w:val="white"/>
        </w:rPr>
        <w:t xml:space="preserve">, B., &amp; </w:t>
      </w:r>
      <w:proofErr w:type="spellStart"/>
      <w:r>
        <w:rPr>
          <w:rFonts w:ascii="Times New Roman" w:eastAsia="Times New Roman" w:hAnsi="Times New Roman" w:cs="Times New Roman"/>
          <w:sz w:val="24"/>
          <w:szCs w:val="24"/>
          <w:highlight w:val="white"/>
        </w:rPr>
        <w:t>Ganino</w:t>
      </w:r>
      <w:proofErr w:type="spellEnd"/>
      <w:r>
        <w:rPr>
          <w:rFonts w:ascii="Times New Roman" w:eastAsia="Times New Roman" w:hAnsi="Times New Roman" w:cs="Times New Roman"/>
          <w:sz w:val="24"/>
          <w:szCs w:val="24"/>
          <w:highlight w:val="white"/>
        </w:rPr>
        <w:t xml:space="preserve">, T. (2024). The Effects of High-Pressure Processing Pre-Treatment on Apple Fruit for Juice Production. Foods (Basel, Switzerland), 13(14), 2182. </w:t>
      </w:r>
      <w:hyperlink r:id="rId44">
        <w:r>
          <w:rPr>
            <w:rFonts w:ascii="Times New Roman" w:eastAsia="Times New Roman" w:hAnsi="Times New Roman" w:cs="Times New Roman"/>
            <w:sz w:val="24"/>
            <w:szCs w:val="24"/>
            <w:highlight w:val="white"/>
            <w:u w:val="single"/>
          </w:rPr>
          <w:t>https://doi.org/10.3390/foods13142182</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Sharma, M., Vidhya, C. S., Sunitha, N. H., </w:t>
      </w:r>
      <w:proofErr w:type="spellStart"/>
      <w:r>
        <w:rPr>
          <w:rFonts w:ascii="Times New Roman" w:eastAsia="Times New Roman" w:hAnsi="Times New Roman" w:cs="Times New Roman"/>
          <w:sz w:val="24"/>
          <w:szCs w:val="24"/>
          <w:highlight w:val="white"/>
        </w:rPr>
        <w:t>Sachan</w:t>
      </w:r>
      <w:proofErr w:type="spellEnd"/>
      <w:r>
        <w:rPr>
          <w:rFonts w:ascii="Times New Roman" w:eastAsia="Times New Roman" w:hAnsi="Times New Roman" w:cs="Times New Roman"/>
          <w:sz w:val="24"/>
          <w:szCs w:val="24"/>
          <w:highlight w:val="white"/>
        </w:rPr>
        <w:t xml:space="preserve">, P., Singh, B., Santhosh, K., &amp; </w:t>
      </w:r>
      <w:proofErr w:type="spellStart"/>
      <w:r>
        <w:rPr>
          <w:rFonts w:ascii="Times New Roman" w:eastAsia="Times New Roman" w:hAnsi="Times New Roman" w:cs="Times New Roman"/>
          <w:sz w:val="24"/>
          <w:szCs w:val="24"/>
          <w:highlight w:val="white"/>
        </w:rPr>
        <w:t>Shameena</w:t>
      </w:r>
      <w:proofErr w:type="spellEnd"/>
      <w:r>
        <w:rPr>
          <w:rFonts w:ascii="Times New Roman" w:eastAsia="Times New Roman" w:hAnsi="Times New Roman" w:cs="Times New Roman"/>
          <w:sz w:val="24"/>
          <w:szCs w:val="24"/>
          <w:highlight w:val="white"/>
        </w:rPr>
        <w:t xml:space="preserve">, S. (2024). Emerging food processing and preservation approaches for nutrition and health. European Journal of Nutrition &amp; Food Safety, 16(1), 112-127. </w:t>
      </w:r>
      <w:hyperlink r:id="rId45">
        <w:r>
          <w:rPr>
            <w:rFonts w:ascii="Times New Roman" w:eastAsia="Times New Roman" w:hAnsi="Times New Roman" w:cs="Times New Roman"/>
            <w:sz w:val="24"/>
            <w:szCs w:val="24"/>
            <w:highlight w:val="white"/>
            <w:u w:val="single"/>
          </w:rPr>
          <w:t>https://doi.org/10.9734/ejnfs%2F2024%2Fv16i11382</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Trusinska</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Drudi</w:t>
      </w:r>
      <w:proofErr w:type="spellEnd"/>
      <w:r>
        <w:rPr>
          <w:rFonts w:ascii="Times New Roman" w:eastAsia="Times New Roman" w:hAnsi="Times New Roman" w:cs="Times New Roman"/>
          <w:sz w:val="24"/>
          <w:szCs w:val="24"/>
          <w:highlight w:val="white"/>
        </w:rPr>
        <w:t xml:space="preserve">, F., Rybak, K., </w:t>
      </w:r>
      <w:proofErr w:type="spellStart"/>
      <w:r>
        <w:rPr>
          <w:rFonts w:ascii="Times New Roman" w:eastAsia="Times New Roman" w:hAnsi="Times New Roman" w:cs="Times New Roman"/>
          <w:sz w:val="24"/>
          <w:szCs w:val="24"/>
          <w:highlight w:val="white"/>
        </w:rPr>
        <w:t>Tylewicz</w:t>
      </w:r>
      <w:proofErr w:type="spellEnd"/>
      <w:r>
        <w:rPr>
          <w:rFonts w:ascii="Times New Roman" w:eastAsia="Times New Roman" w:hAnsi="Times New Roman" w:cs="Times New Roman"/>
          <w:sz w:val="24"/>
          <w:szCs w:val="24"/>
          <w:highlight w:val="white"/>
        </w:rPr>
        <w:t xml:space="preserve">, U., &amp; </w:t>
      </w:r>
      <w:proofErr w:type="spellStart"/>
      <w:r>
        <w:rPr>
          <w:rFonts w:ascii="Times New Roman" w:eastAsia="Times New Roman" w:hAnsi="Times New Roman" w:cs="Times New Roman"/>
          <w:sz w:val="24"/>
          <w:szCs w:val="24"/>
          <w:highlight w:val="white"/>
        </w:rPr>
        <w:t>Nowacka</w:t>
      </w:r>
      <w:proofErr w:type="spellEnd"/>
      <w:r>
        <w:rPr>
          <w:rFonts w:ascii="Times New Roman" w:eastAsia="Times New Roman" w:hAnsi="Times New Roman" w:cs="Times New Roman"/>
          <w:sz w:val="24"/>
          <w:szCs w:val="24"/>
          <w:highlight w:val="white"/>
        </w:rPr>
        <w:t xml:space="preserve">, M. (2023). Effect of the Pulsed Electric Field Treatment on Physical, Chemical and Structural Changes of Vacuum Impregnated Apple Tissue in Aloe Vera Juices. Foods (Basel, Switzerland), 12(21), 3957. </w:t>
      </w:r>
      <w:hyperlink r:id="rId46">
        <w:r>
          <w:rPr>
            <w:rFonts w:ascii="Times New Roman" w:eastAsia="Times New Roman" w:hAnsi="Times New Roman" w:cs="Times New Roman"/>
            <w:sz w:val="24"/>
            <w:szCs w:val="24"/>
            <w:highlight w:val="white"/>
            <w:u w:val="single"/>
          </w:rPr>
          <w:t>https://doi.org/10.3390/foods12213957</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Trych</w:t>
      </w:r>
      <w:proofErr w:type="spellEnd"/>
      <w:r>
        <w:rPr>
          <w:rFonts w:ascii="Times New Roman" w:eastAsia="Times New Roman" w:hAnsi="Times New Roman" w:cs="Times New Roman"/>
          <w:sz w:val="24"/>
          <w:szCs w:val="24"/>
        </w:rPr>
        <w:t xml:space="preserve">, U., </w:t>
      </w:r>
      <w:proofErr w:type="spellStart"/>
      <w:r>
        <w:rPr>
          <w:rFonts w:ascii="Times New Roman" w:eastAsia="Times New Roman" w:hAnsi="Times New Roman" w:cs="Times New Roman"/>
          <w:sz w:val="24"/>
          <w:szCs w:val="24"/>
        </w:rPr>
        <w:t>Buniowska</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Skąpska</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Starzonek</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Marszałek</w:t>
      </w:r>
      <w:proofErr w:type="spellEnd"/>
      <w:r>
        <w:rPr>
          <w:rFonts w:ascii="Times New Roman" w:eastAsia="Times New Roman" w:hAnsi="Times New Roman" w:cs="Times New Roman"/>
          <w:sz w:val="24"/>
          <w:szCs w:val="24"/>
        </w:rPr>
        <w:t xml:space="preserve">, K. (2020). The </w:t>
      </w:r>
      <w:proofErr w:type="spellStart"/>
      <w:r>
        <w:rPr>
          <w:rFonts w:ascii="Times New Roman" w:eastAsia="Times New Roman" w:hAnsi="Times New Roman" w:cs="Times New Roman"/>
          <w:sz w:val="24"/>
          <w:szCs w:val="24"/>
        </w:rPr>
        <w:t>bioaccessibility</w:t>
      </w:r>
      <w:proofErr w:type="spellEnd"/>
      <w:r>
        <w:rPr>
          <w:rFonts w:ascii="Times New Roman" w:eastAsia="Times New Roman" w:hAnsi="Times New Roman" w:cs="Times New Roman"/>
          <w:sz w:val="24"/>
          <w:szCs w:val="24"/>
        </w:rPr>
        <w:t xml:space="preserve"> of antioxidants in black currant puree after high hydrostatic pressure treatment. Molecules (Basel, Switzerland), 25(15), 3544. </w:t>
      </w:r>
      <w:hyperlink r:id="rId47">
        <w:r>
          <w:rPr>
            <w:rFonts w:ascii="Times New Roman" w:eastAsia="Times New Roman" w:hAnsi="Times New Roman" w:cs="Times New Roman"/>
            <w:color w:val="0000FF"/>
            <w:sz w:val="24"/>
            <w:szCs w:val="24"/>
            <w:u w:val="single"/>
          </w:rPr>
          <w:t>https://doi.org/10.3390/molecules25153544</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 Food and Drug Administration. (2023). Generally recognized as safe (GRAS). U.S. Food and Drug Administration. </w:t>
      </w:r>
      <w:hyperlink r:id="rId48">
        <w:r>
          <w:rPr>
            <w:rFonts w:ascii="Times New Roman" w:eastAsia="Times New Roman" w:hAnsi="Times New Roman" w:cs="Times New Roman"/>
            <w:color w:val="0000FF"/>
            <w:sz w:val="24"/>
            <w:szCs w:val="24"/>
            <w:u w:val="single"/>
          </w:rPr>
          <w:t>https://www.fda.gov/food/food-ingredients-packaging/generally-recognized-safe-gras</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Ugo, C. H., </w:t>
      </w:r>
      <w:proofErr w:type="spellStart"/>
      <w:r>
        <w:rPr>
          <w:rFonts w:ascii="Times New Roman" w:eastAsia="Times New Roman" w:hAnsi="Times New Roman" w:cs="Times New Roman"/>
          <w:sz w:val="24"/>
          <w:szCs w:val="24"/>
        </w:rPr>
        <w:t>Ekara</w:t>
      </w:r>
      <w:proofErr w:type="spellEnd"/>
      <w:r>
        <w:rPr>
          <w:rFonts w:ascii="Times New Roman" w:eastAsia="Times New Roman" w:hAnsi="Times New Roman" w:cs="Times New Roman"/>
          <w:sz w:val="24"/>
          <w:szCs w:val="24"/>
        </w:rPr>
        <w:t xml:space="preserve">, E. C., </w:t>
      </w:r>
      <w:proofErr w:type="spellStart"/>
      <w:r>
        <w:rPr>
          <w:rFonts w:ascii="Times New Roman" w:eastAsia="Times New Roman" w:hAnsi="Times New Roman" w:cs="Times New Roman"/>
          <w:sz w:val="24"/>
          <w:szCs w:val="24"/>
        </w:rPr>
        <w:t>Chukwudi</w:t>
      </w:r>
      <w:proofErr w:type="spellEnd"/>
      <w:r>
        <w:rPr>
          <w:rFonts w:ascii="Times New Roman" w:eastAsia="Times New Roman" w:hAnsi="Times New Roman" w:cs="Times New Roman"/>
          <w:sz w:val="24"/>
          <w:szCs w:val="24"/>
        </w:rPr>
        <w:t xml:space="preserve">, O. C., </w:t>
      </w:r>
      <w:proofErr w:type="spellStart"/>
      <w:r>
        <w:rPr>
          <w:rFonts w:ascii="Times New Roman" w:eastAsia="Times New Roman" w:hAnsi="Times New Roman" w:cs="Times New Roman"/>
          <w:sz w:val="24"/>
          <w:szCs w:val="24"/>
        </w:rPr>
        <w:t>Chiwenite</w:t>
      </w:r>
      <w:proofErr w:type="spellEnd"/>
      <w:r>
        <w:rPr>
          <w:rFonts w:ascii="Times New Roman" w:eastAsia="Times New Roman" w:hAnsi="Times New Roman" w:cs="Times New Roman"/>
          <w:sz w:val="24"/>
          <w:szCs w:val="24"/>
        </w:rPr>
        <w:t xml:space="preserve">, M. C., Osuji, R. C., </w:t>
      </w:r>
      <w:proofErr w:type="spellStart"/>
      <w:r>
        <w:rPr>
          <w:rFonts w:ascii="Times New Roman" w:eastAsia="Times New Roman" w:hAnsi="Times New Roman" w:cs="Times New Roman"/>
          <w:sz w:val="24"/>
          <w:szCs w:val="24"/>
        </w:rPr>
        <w:t>Nnanna</w:t>
      </w:r>
      <w:proofErr w:type="spellEnd"/>
      <w:r>
        <w:rPr>
          <w:rFonts w:ascii="Times New Roman" w:eastAsia="Times New Roman" w:hAnsi="Times New Roman" w:cs="Times New Roman"/>
          <w:sz w:val="24"/>
          <w:szCs w:val="24"/>
        </w:rPr>
        <w:t xml:space="preserve">, G., &amp; </w:t>
      </w:r>
      <w:proofErr w:type="spellStart"/>
      <w:r>
        <w:rPr>
          <w:rFonts w:ascii="Times New Roman" w:eastAsia="Times New Roman" w:hAnsi="Times New Roman" w:cs="Times New Roman"/>
          <w:sz w:val="24"/>
          <w:szCs w:val="24"/>
        </w:rPr>
        <w:t>Onuorah</w:t>
      </w:r>
      <w:proofErr w:type="spellEnd"/>
      <w:r>
        <w:rPr>
          <w:rFonts w:ascii="Times New Roman" w:eastAsia="Times New Roman" w:hAnsi="Times New Roman" w:cs="Times New Roman"/>
          <w:sz w:val="24"/>
          <w:szCs w:val="24"/>
        </w:rPr>
        <w:t xml:space="preserve">, U. M. (2022). Knowledge, attitude and practices (KAP) of </w:t>
      </w:r>
      <w:proofErr w:type="spellStart"/>
      <w:r>
        <w:rPr>
          <w:rFonts w:ascii="Times New Roman" w:eastAsia="Times New Roman" w:hAnsi="Times New Roman" w:cs="Times New Roman"/>
          <w:sz w:val="24"/>
          <w:szCs w:val="24"/>
        </w:rPr>
        <w:t>preconceptional</w:t>
      </w:r>
      <w:proofErr w:type="spellEnd"/>
      <w:r>
        <w:rPr>
          <w:rFonts w:ascii="Times New Roman" w:eastAsia="Times New Roman" w:hAnsi="Times New Roman" w:cs="Times New Roman"/>
          <w:sz w:val="24"/>
          <w:szCs w:val="24"/>
        </w:rPr>
        <w:t xml:space="preserve"> folic acid supplementation among pregnant women (18–45 years) attending antenatal clinic in Alex Ekwueme Federal University Teaching Hospital </w:t>
      </w:r>
      <w:proofErr w:type="spellStart"/>
      <w:r>
        <w:rPr>
          <w:rFonts w:ascii="Times New Roman" w:eastAsia="Times New Roman" w:hAnsi="Times New Roman" w:cs="Times New Roman"/>
          <w:sz w:val="24"/>
          <w:szCs w:val="24"/>
        </w:rPr>
        <w:t>Abakaliki</w:t>
      </w:r>
      <w:proofErr w:type="spellEnd"/>
      <w:r>
        <w:rPr>
          <w:rFonts w:ascii="Times New Roman" w:eastAsia="Times New Roman" w:hAnsi="Times New Roman" w:cs="Times New Roman"/>
          <w:sz w:val="24"/>
          <w:szCs w:val="24"/>
        </w:rPr>
        <w:t xml:space="preserve">, Ebonyi State, Nigeria. Saudi Journal of Medicine, 7(9), 485–500. </w:t>
      </w:r>
      <w:hyperlink r:id="rId49">
        <w:r>
          <w:rPr>
            <w:rFonts w:ascii="Times New Roman" w:eastAsia="Times New Roman" w:hAnsi="Times New Roman" w:cs="Times New Roman"/>
            <w:color w:val="0000FF"/>
            <w:sz w:val="24"/>
            <w:szCs w:val="24"/>
            <w:u w:val="single"/>
          </w:rPr>
          <w:t>https://doi.org/10.36348/sjm.2022.v07i09.006</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Ugo, C. H., </w:t>
      </w:r>
      <w:proofErr w:type="spellStart"/>
      <w:r>
        <w:rPr>
          <w:rFonts w:ascii="Times New Roman" w:eastAsia="Times New Roman" w:hAnsi="Times New Roman" w:cs="Times New Roman"/>
          <w:sz w:val="24"/>
          <w:szCs w:val="24"/>
        </w:rPr>
        <w:t>Eme</w:t>
      </w:r>
      <w:proofErr w:type="spellEnd"/>
      <w:r>
        <w:rPr>
          <w:rFonts w:ascii="Times New Roman" w:eastAsia="Times New Roman" w:hAnsi="Times New Roman" w:cs="Times New Roman"/>
          <w:sz w:val="24"/>
          <w:szCs w:val="24"/>
        </w:rPr>
        <w:t xml:space="preserve">, P. E., </w:t>
      </w:r>
      <w:proofErr w:type="spellStart"/>
      <w:r>
        <w:rPr>
          <w:rFonts w:ascii="Times New Roman" w:eastAsia="Times New Roman" w:hAnsi="Times New Roman" w:cs="Times New Roman"/>
          <w:sz w:val="24"/>
          <w:szCs w:val="24"/>
        </w:rPr>
        <w:t>Eze</w:t>
      </w:r>
      <w:proofErr w:type="spellEnd"/>
      <w:r>
        <w:rPr>
          <w:rFonts w:ascii="Times New Roman" w:eastAsia="Times New Roman" w:hAnsi="Times New Roman" w:cs="Times New Roman"/>
          <w:sz w:val="24"/>
          <w:szCs w:val="24"/>
        </w:rPr>
        <w:t xml:space="preserve">, P. N., </w:t>
      </w:r>
      <w:proofErr w:type="spellStart"/>
      <w:r>
        <w:rPr>
          <w:rFonts w:ascii="Times New Roman" w:eastAsia="Times New Roman" w:hAnsi="Times New Roman" w:cs="Times New Roman"/>
          <w:sz w:val="24"/>
          <w:szCs w:val="24"/>
        </w:rPr>
        <w:t>Obajaja</w:t>
      </w:r>
      <w:proofErr w:type="spellEnd"/>
      <w:r>
        <w:rPr>
          <w:rFonts w:ascii="Times New Roman" w:eastAsia="Times New Roman" w:hAnsi="Times New Roman" w:cs="Times New Roman"/>
          <w:sz w:val="24"/>
          <w:szCs w:val="24"/>
        </w:rPr>
        <w:t xml:space="preserve">, H. A., &amp; </w:t>
      </w:r>
      <w:proofErr w:type="spellStart"/>
      <w:r>
        <w:rPr>
          <w:rFonts w:ascii="Times New Roman" w:eastAsia="Times New Roman" w:hAnsi="Times New Roman" w:cs="Times New Roman"/>
          <w:sz w:val="24"/>
          <w:szCs w:val="24"/>
        </w:rPr>
        <w:t>Omeili</w:t>
      </w:r>
      <w:proofErr w:type="spellEnd"/>
      <w:r>
        <w:rPr>
          <w:rFonts w:ascii="Times New Roman" w:eastAsia="Times New Roman" w:hAnsi="Times New Roman" w:cs="Times New Roman"/>
          <w:sz w:val="24"/>
          <w:szCs w:val="24"/>
        </w:rPr>
        <w:t xml:space="preserve">, A. E. (2024). Chemical assessment of the quality of palm oil produced and sold in major markets in Orlu zone in Imo state, Nigeria. World Journal of Advanced Research and Reviews, 21(2), 1025–1033. </w:t>
      </w:r>
      <w:hyperlink r:id="rId50">
        <w:r>
          <w:rPr>
            <w:rFonts w:ascii="Times New Roman" w:eastAsia="Times New Roman" w:hAnsi="Times New Roman" w:cs="Times New Roman"/>
            <w:color w:val="0000FF"/>
            <w:sz w:val="24"/>
            <w:szCs w:val="24"/>
            <w:u w:val="single"/>
          </w:rPr>
          <w:t>https://doi.org/10.30574/wjarr.2024.21.2.0529</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Ugo, C. H., </w:t>
      </w:r>
      <w:proofErr w:type="spellStart"/>
      <w:r>
        <w:rPr>
          <w:rFonts w:ascii="Times New Roman" w:eastAsia="Times New Roman" w:hAnsi="Times New Roman" w:cs="Times New Roman"/>
          <w:sz w:val="24"/>
          <w:szCs w:val="24"/>
        </w:rPr>
        <w:t>Ajamba</w:t>
      </w:r>
      <w:proofErr w:type="spellEnd"/>
      <w:r>
        <w:rPr>
          <w:rFonts w:ascii="Times New Roman" w:eastAsia="Times New Roman" w:hAnsi="Times New Roman" w:cs="Times New Roman"/>
          <w:sz w:val="24"/>
          <w:szCs w:val="24"/>
        </w:rPr>
        <w:t xml:space="preserve">, M. N., </w:t>
      </w:r>
      <w:proofErr w:type="spellStart"/>
      <w:r>
        <w:rPr>
          <w:rFonts w:ascii="Times New Roman" w:eastAsia="Times New Roman" w:hAnsi="Times New Roman" w:cs="Times New Roman"/>
          <w:sz w:val="24"/>
          <w:szCs w:val="24"/>
        </w:rPr>
        <w:t>Arene</w:t>
      </w:r>
      <w:proofErr w:type="spellEnd"/>
      <w:r>
        <w:rPr>
          <w:rFonts w:ascii="Times New Roman" w:eastAsia="Times New Roman" w:hAnsi="Times New Roman" w:cs="Times New Roman"/>
          <w:sz w:val="24"/>
          <w:szCs w:val="24"/>
        </w:rPr>
        <w:t xml:space="preserve">, E. C., </w:t>
      </w:r>
      <w:proofErr w:type="spellStart"/>
      <w:r>
        <w:rPr>
          <w:rFonts w:ascii="Times New Roman" w:eastAsia="Times New Roman" w:hAnsi="Times New Roman" w:cs="Times New Roman"/>
          <w:sz w:val="24"/>
          <w:szCs w:val="24"/>
        </w:rPr>
        <w:t>Anyadike</w:t>
      </w:r>
      <w:proofErr w:type="spellEnd"/>
      <w:r>
        <w:rPr>
          <w:rFonts w:ascii="Times New Roman" w:eastAsia="Times New Roman" w:hAnsi="Times New Roman" w:cs="Times New Roman"/>
          <w:sz w:val="24"/>
          <w:szCs w:val="24"/>
        </w:rPr>
        <w:t xml:space="preserve">, I. K., </w:t>
      </w:r>
      <w:proofErr w:type="spellStart"/>
      <w:r>
        <w:rPr>
          <w:rFonts w:ascii="Times New Roman" w:eastAsia="Times New Roman" w:hAnsi="Times New Roman" w:cs="Times New Roman"/>
          <w:sz w:val="24"/>
          <w:szCs w:val="24"/>
        </w:rPr>
        <w:t>Opara</w:t>
      </w:r>
      <w:proofErr w:type="spellEnd"/>
      <w:r>
        <w:rPr>
          <w:rFonts w:ascii="Times New Roman" w:eastAsia="Times New Roman" w:hAnsi="Times New Roman" w:cs="Times New Roman"/>
          <w:sz w:val="24"/>
          <w:szCs w:val="24"/>
        </w:rPr>
        <w:t xml:space="preserve">, S. O., </w:t>
      </w:r>
      <w:proofErr w:type="spellStart"/>
      <w:r>
        <w:rPr>
          <w:rFonts w:ascii="Times New Roman" w:eastAsia="Times New Roman" w:hAnsi="Times New Roman" w:cs="Times New Roman"/>
          <w:sz w:val="24"/>
          <w:szCs w:val="24"/>
        </w:rPr>
        <w:t>Eze</w:t>
      </w:r>
      <w:proofErr w:type="spellEnd"/>
      <w:r>
        <w:rPr>
          <w:rFonts w:ascii="Times New Roman" w:eastAsia="Times New Roman" w:hAnsi="Times New Roman" w:cs="Times New Roman"/>
          <w:sz w:val="24"/>
          <w:szCs w:val="24"/>
        </w:rPr>
        <w:t xml:space="preserve">, P. N., Osuji, R. C., &amp; </w:t>
      </w:r>
      <w:proofErr w:type="spellStart"/>
      <w:r>
        <w:rPr>
          <w:rFonts w:ascii="Times New Roman" w:eastAsia="Times New Roman" w:hAnsi="Times New Roman" w:cs="Times New Roman"/>
          <w:sz w:val="24"/>
          <w:szCs w:val="24"/>
        </w:rPr>
        <w:t>Ohiri</w:t>
      </w:r>
      <w:proofErr w:type="spellEnd"/>
      <w:r>
        <w:rPr>
          <w:rFonts w:ascii="Times New Roman" w:eastAsia="Times New Roman" w:hAnsi="Times New Roman" w:cs="Times New Roman"/>
          <w:sz w:val="24"/>
          <w:szCs w:val="24"/>
        </w:rPr>
        <w:t xml:space="preserve">, Z. C. (2022). Nutritional Composition, Bioavailability, Medicinal Functions and Uses of </w:t>
      </w:r>
      <w:r>
        <w:rPr>
          <w:rFonts w:ascii="Times New Roman" w:eastAsia="Times New Roman" w:hAnsi="Times New Roman" w:cs="Times New Roman"/>
          <w:sz w:val="24"/>
          <w:szCs w:val="24"/>
        </w:rPr>
        <w:lastRenderedPageBreak/>
        <w:t xml:space="preserve">Turmeric: A Review. Scholars Bulletin, 8(8), 248–260. </w:t>
      </w:r>
      <w:hyperlink r:id="rId51">
        <w:r>
          <w:rPr>
            <w:rFonts w:ascii="Times New Roman" w:eastAsia="Times New Roman" w:hAnsi="Times New Roman" w:cs="Times New Roman"/>
            <w:color w:val="0000FF"/>
            <w:sz w:val="24"/>
            <w:szCs w:val="24"/>
            <w:u w:val="single"/>
          </w:rPr>
          <w:t>https://doi.org/10.36348/sb.2022.v08i08.003</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Wei, S., Kumar, A., Hailu, G. G., Choi, S. I., Lee, O. H., </w:t>
      </w:r>
      <w:proofErr w:type="spellStart"/>
      <w:r>
        <w:rPr>
          <w:rFonts w:ascii="Times New Roman" w:eastAsia="Times New Roman" w:hAnsi="Times New Roman" w:cs="Times New Roman"/>
          <w:sz w:val="24"/>
          <w:szCs w:val="24"/>
        </w:rPr>
        <w:t>Chelliah</w:t>
      </w:r>
      <w:proofErr w:type="spellEnd"/>
      <w:r>
        <w:rPr>
          <w:rFonts w:ascii="Times New Roman" w:eastAsia="Times New Roman" w:hAnsi="Times New Roman" w:cs="Times New Roman"/>
          <w:sz w:val="24"/>
          <w:szCs w:val="24"/>
        </w:rPr>
        <w:t xml:space="preserve">, R., Oh, D. H., &amp; Liu, S. (2025). Exploring the Effects of Novel Food Processing Methods on Food Proteins: A Review. Food Science &amp; Nutrition, 13(6), e70373. </w:t>
      </w:r>
      <w:hyperlink r:id="rId52">
        <w:r>
          <w:rPr>
            <w:rFonts w:ascii="Times New Roman" w:eastAsia="Times New Roman" w:hAnsi="Times New Roman" w:cs="Times New Roman"/>
            <w:color w:val="0000FF"/>
            <w:sz w:val="24"/>
            <w:szCs w:val="24"/>
            <w:u w:val="single"/>
          </w:rPr>
          <w:t>https://doi.org/10.1002/fsn3.70373</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White, S., Jackson-Davis, A., Gordon, K., Morris, K., Dudley, A., Abdallah-Ruiz, A., </w:t>
      </w:r>
      <w:proofErr w:type="spellStart"/>
      <w:r>
        <w:rPr>
          <w:rFonts w:ascii="Times New Roman" w:eastAsia="Times New Roman" w:hAnsi="Times New Roman" w:cs="Times New Roman"/>
          <w:sz w:val="24"/>
          <w:szCs w:val="24"/>
        </w:rPr>
        <w:t>Allgaier</w:t>
      </w:r>
      <w:proofErr w:type="spellEnd"/>
      <w:r>
        <w:rPr>
          <w:rFonts w:ascii="Times New Roman" w:eastAsia="Times New Roman" w:hAnsi="Times New Roman" w:cs="Times New Roman"/>
          <w:sz w:val="24"/>
          <w:szCs w:val="24"/>
        </w:rPr>
        <w:t xml:space="preserve">, K., Sharpe, K., </w:t>
      </w:r>
      <w:proofErr w:type="spellStart"/>
      <w:r>
        <w:rPr>
          <w:rFonts w:ascii="Times New Roman" w:eastAsia="Times New Roman" w:hAnsi="Times New Roman" w:cs="Times New Roman"/>
          <w:sz w:val="24"/>
          <w:szCs w:val="24"/>
        </w:rPr>
        <w:t>Yenduri</w:t>
      </w:r>
      <w:proofErr w:type="spellEnd"/>
      <w:r>
        <w:rPr>
          <w:rFonts w:ascii="Times New Roman" w:eastAsia="Times New Roman" w:hAnsi="Times New Roman" w:cs="Times New Roman"/>
          <w:sz w:val="24"/>
          <w:szCs w:val="24"/>
        </w:rPr>
        <w:t xml:space="preserve">, A. K., Green, K., &amp; Santos, F. (2025). A Review of Non-thermal Interventions in Food Processing Technologies. Journal of Food Protection, 88(6), 100508. </w:t>
      </w:r>
      <w:hyperlink r:id="rId53">
        <w:r>
          <w:rPr>
            <w:rFonts w:ascii="Times New Roman" w:eastAsia="Times New Roman" w:hAnsi="Times New Roman" w:cs="Times New Roman"/>
            <w:color w:val="0000FF"/>
            <w:sz w:val="24"/>
            <w:szCs w:val="24"/>
            <w:u w:val="single"/>
          </w:rPr>
          <w:t>https://doi.org/10.1016/j.jfp.2025.100508</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Xie</w:t>
      </w:r>
      <w:proofErr w:type="spellEnd"/>
      <w:r>
        <w:rPr>
          <w:rFonts w:ascii="Times New Roman" w:eastAsia="Times New Roman" w:hAnsi="Times New Roman" w:cs="Times New Roman"/>
          <w:sz w:val="24"/>
          <w:szCs w:val="24"/>
        </w:rPr>
        <w:t xml:space="preserve">, X., Wang, Y., Tian, J., Cheng, Z., </w:t>
      </w:r>
      <w:proofErr w:type="spellStart"/>
      <w:r>
        <w:rPr>
          <w:rFonts w:ascii="Times New Roman" w:eastAsia="Times New Roman" w:hAnsi="Times New Roman" w:cs="Times New Roman"/>
          <w:sz w:val="24"/>
          <w:szCs w:val="24"/>
        </w:rPr>
        <w:t>Gui</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Nie</w:t>
      </w:r>
      <w:proofErr w:type="spellEnd"/>
      <w:r>
        <w:rPr>
          <w:rFonts w:ascii="Times New Roman" w:eastAsia="Times New Roman" w:hAnsi="Times New Roman" w:cs="Times New Roman"/>
          <w:sz w:val="24"/>
          <w:szCs w:val="24"/>
        </w:rPr>
        <w:t xml:space="preserve">, Y., Zhang, R., Wen, B., &amp; Li, B. (2025). Application of widely targeted metabolomics strategy to reveal the evolution of phenolic color-contributing metabolites during the </w:t>
      </w:r>
      <w:proofErr w:type="gramStart"/>
      <w:r>
        <w:rPr>
          <w:rFonts w:ascii="Times New Roman" w:eastAsia="Times New Roman" w:hAnsi="Times New Roman" w:cs="Times New Roman"/>
          <w:sz w:val="24"/>
          <w:szCs w:val="24"/>
        </w:rPr>
        <w:t>high pressure</w:t>
      </w:r>
      <w:proofErr w:type="gramEnd"/>
      <w:r>
        <w:rPr>
          <w:rFonts w:ascii="Times New Roman" w:eastAsia="Times New Roman" w:hAnsi="Times New Roman" w:cs="Times New Roman"/>
          <w:sz w:val="24"/>
          <w:szCs w:val="24"/>
        </w:rPr>
        <w:t xml:space="preserve"> processing and thermal processing of blueberry juice. Food chemistry: X </w:t>
      </w:r>
      <w:hyperlink r:id="rId54">
        <w:r>
          <w:rPr>
            <w:rFonts w:ascii="Times New Roman" w:eastAsia="Times New Roman" w:hAnsi="Times New Roman" w:cs="Times New Roman"/>
            <w:color w:val="0000FF"/>
            <w:sz w:val="24"/>
            <w:szCs w:val="24"/>
            <w:u w:val="single"/>
          </w:rPr>
          <w:t>https://doi.org/10.1016/j.fochx.2025.102566</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Yan, Z., Yin, L., Hao, C., Liu, K., &amp; </w:t>
      </w:r>
      <w:proofErr w:type="spellStart"/>
      <w:r>
        <w:rPr>
          <w:rFonts w:ascii="Times New Roman" w:eastAsia="Times New Roman" w:hAnsi="Times New Roman" w:cs="Times New Roman"/>
          <w:sz w:val="24"/>
          <w:szCs w:val="24"/>
        </w:rPr>
        <w:t>Qiu</w:t>
      </w:r>
      <w:proofErr w:type="spellEnd"/>
      <w:r>
        <w:rPr>
          <w:rFonts w:ascii="Times New Roman" w:eastAsia="Times New Roman" w:hAnsi="Times New Roman" w:cs="Times New Roman"/>
          <w:sz w:val="24"/>
          <w:szCs w:val="24"/>
        </w:rPr>
        <w:t xml:space="preserve">, J. (2021). Synergistic effect of pulsed electric fields and temperature on the inactivation of microorganisms. AMB Express, 11(1), 47. </w:t>
      </w:r>
      <w:hyperlink r:id="rId55">
        <w:r>
          <w:rPr>
            <w:rFonts w:ascii="Times New Roman" w:eastAsia="Times New Roman" w:hAnsi="Times New Roman" w:cs="Times New Roman"/>
            <w:color w:val="0000FF"/>
            <w:sz w:val="24"/>
            <w:szCs w:val="24"/>
            <w:u w:val="single"/>
          </w:rPr>
          <w:t>https://doi.org/10.1186/s13568-021-01206-8</w:t>
        </w:r>
      </w:hyperlink>
    </w:p>
    <w:p w:rsidR="00380DD1" w:rsidRDefault="00380DD1">
      <w:pPr>
        <w:spacing w:line="360" w:lineRule="auto"/>
        <w:jc w:val="both"/>
        <w:rPr>
          <w:rFonts w:ascii="Times New Roman" w:eastAsia="Times New Roman" w:hAnsi="Times New Roman" w:cs="Times New Roman"/>
          <w:b/>
          <w:bCs/>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Yanclo</w:t>
      </w:r>
      <w:proofErr w:type="spellEnd"/>
      <w:r>
        <w:rPr>
          <w:rFonts w:ascii="Times New Roman" w:eastAsia="Times New Roman" w:hAnsi="Times New Roman" w:cs="Times New Roman"/>
          <w:sz w:val="24"/>
          <w:szCs w:val="24"/>
        </w:rPr>
        <w:t xml:space="preserve">, L. A., Belay, Z. A., </w:t>
      </w:r>
      <w:proofErr w:type="spellStart"/>
      <w:r>
        <w:rPr>
          <w:rFonts w:ascii="Times New Roman" w:eastAsia="Times New Roman" w:hAnsi="Times New Roman" w:cs="Times New Roman"/>
          <w:sz w:val="24"/>
          <w:szCs w:val="24"/>
        </w:rPr>
        <w:t>Mpahleni</w:t>
      </w:r>
      <w:proofErr w:type="spellEnd"/>
      <w:r>
        <w:rPr>
          <w:rFonts w:ascii="Times New Roman" w:eastAsia="Times New Roman" w:hAnsi="Times New Roman" w:cs="Times New Roman"/>
          <w:sz w:val="24"/>
          <w:szCs w:val="24"/>
        </w:rPr>
        <w:t>, B., October, F., &amp; Caleb, O. J. (2024). Investigation of the impact of cold plasma pretreatments, long term storage and drying on physicochemical properties, bioactive contents and microbial quality of '</w:t>
      </w:r>
      <w:proofErr w:type="spellStart"/>
      <w:r>
        <w:rPr>
          <w:rFonts w:ascii="Times New Roman" w:eastAsia="Times New Roman" w:hAnsi="Times New Roman" w:cs="Times New Roman"/>
          <w:sz w:val="24"/>
          <w:szCs w:val="24"/>
        </w:rPr>
        <w:t>Keitt</w:t>
      </w:r>
      <w:proofErr w:type="spellEnd"/>
      <w:r>
        <w:rPr>
          <w:rFonts w:ascii="Times New Roman" w:eastAsia="Times New Roman" w:hAnsi="Times New Roman" w:cs="Times New Roman"/>
          <w:sz w:val="24"/>
          <w:szCs w:val="24"/>
        </w:rPr>
        <w:t xml:space="preserve">' mango. </w:t>
      </w:r>
      <w:proofErr w:type="spellStart"/>
      <w:r>
        <w:rPr>
          <w:rFonts w:ascii="Times New Roman" w:eastAsia="Times New Roman" w:hAnsi="Times New Roman" w:cs="Times New Roman"/>
          <w:sz w:val="24"/>
          <w:szCs w:val="24"/>
        </w:rPr>
        <w:t>Heliyon</w:t>
      </w:r>
      <w:proofErr w:type="spellEnd"/>
      <w:r>
        <w:rPr>
          <w:rFonts w:ascii="Times New Roman" w:eastAsia="Times New Roman" w:hAnsi="Times New Roman" w:cs="Times New Roman"/>
          <w:sz w:val="24"/>
          <w:szCs w:val="24"/>
        </w:rPr>
        <w:t xml:space="preserve">, 10(22), e40204. </w:t>
      </w:r>
      <w:hyperlink r:id="rId56">
        <w:r>
          <w:rPr>
            <w:rFonts w:ascii="Times New Roman" w:eastAsia="Times New Roman" w:hAnsi="Times New Roman" w:cs="Times New Roman"/>
            <w:color w:val="0000FF"/>
            <w:sz w:val="24"/>
            <w:szCs w:val="24"/>
            <w:u w:val="single"/>
          </w:rPr>
          <w:t>https://doi.org/10.1016/j.heliyon.2024.e40204</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Yousefi</w:t>
      </w:r>
      <w:proofErr w:type="spellEnd"/>
      <w:r>
        <w:rPr>
          <w:rFonts w:ascii="Times New Roman" w:eastAsia="Times New Roman" w:hAnsi="Times New Roman" w:cs="Times New Roman"/>
          <w:sz w:val="24"/>
          <w:szCs w:val="24"/>
        </w:rPr>
        <w:t xml:space="preserve">, N., &amp; Abbasi, S. (2022). Food proteins: Solubility &amp; thermal stability improvement techniques. Food Chemistry Advances </w:t>
      </w:r>
      <w:hyperlink r:id="rId57">
        <w:r>
          <w:rPr>
            <w:rFonts w:ascii="Times New Roman" w:eastAsia="Times New Roman" w:hAnsi="Times New Roman" w:cs="Times New Roman"/>
            <w:color w:val="0000FF"/>
            <w:sz w:val="24"/>
            <w:szCs w:val="24"/>
            <w:u w:val="single"/>
          </w:rPr>
          <w:t>https://doi.org/10.1016/j.focha.2022.100090</w:t>
        </w:r>
      </w:hyperlink>
    </w:p>
    <w:p w:rsidR="00380DD1" w:rsidRDefault="00380DD1">
      <w:pPr>
        <w:spacing w:line="360" w:lineRule="auto"/>
        <w:jc w:val="both"/>
        <w:rPr>
          <w:rFonts w:ascii="Times New Roman" w:eastAsia="Times New Roman" w:hAnsi="Times New Roman" w:cs="Times New Roman"/>
          <w:sz w:val="24"/>
          <w:szCs w:val="24"/>
          <w:highlight w:val="white"/>
        </w:rPr>
      </w:pPr>
    </w:p>
    <w:p w:rsidR="00380DD1" w:rsidRDefault="005C0B9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Zhang, N., Shi, Z., Hu, Y., Sun, Y., Zhou, C., Xia, Q., He, J., Yan, H., Yu, H., &amp; Pan, D. (2025). Effect of Pulsed Electric Field Pretreatment on the Texture and Flavor of Air-Dried Duck Meat. Foods (Basel, Switzerland), 14(11), 1891. </w:t>
      </w:r>
      <w:hyperlink r:id="rId58">
        <w:r>
          <w:rPr>
            <w:rFonts w:ascii="Times New Roman" w:eastAsia="Times New Roman" w:hAnsi="Times New Roman" w:cs="Times New Roman"/>
            <w:color w:val="0000FF"/>
            <w:sz w:val="24"/>
            <w:szCs w:val="24"/>
            <w:u w:val="single"/>
          </w:rPr>
          <w:t>https://doi.org/10.3390/foods14111891</w:t>
        </w:r>
      </w:hyperlink>
    </w:p>
    <w:p w:rsidR="00380DD1" w:rsidRDefault="00380DD1">
      <w:pPr>
        <w:rPr>
          <w:rFonts w:ascii="Times New Roman" w:eastAsia="Times New Roman" w:hAnsi="Times New Roman" w:cs="Times New Roman"/>
          <w:sz w:val="24"/>
          <w:szCs w:val="24"/>
          <w:highlight w:val="white"/>
        </w:rPr>
      </w:pPr>
    </w:p>
    <w:p w:rsidR="00380DD1" w:rsidRDefault="00380DD1"/>
    <w:p w:rsidR="00380DD1" w:rsidRDefault="00380DD1"/>
    <w:p w:rsidR="00380DD1" w:rsidRDefault="00380DD1"/>
    <w:p w:rsidR="00380DD1" w:rsidRDefault="00380DD1"/>
    <w:p w:rsidR="00380DD1" w:rsidRDefault="00380DD1">
      <w:pPr>
        <w:spacing w:before="240" w:after="240"/>
        <w:jc w:val="both"/>
        <w:rPr>
          <w:rFonts w:ascii="Times New Roman" w:eastAsia="Times New Roman" w:hAnsi="Times New Roman" w:cs="Times New Roman"/>
          <w:sz w:val="24"/>
          <w:szCs w:val="24"/>
        </w:rPr>
      </w:pPr>
    </w:p>
    <w:p w:rsidR="00380DD1" w:rsidRDefault="00380DD1">
      <w:pPr>
        <w:jc w:val="both"/>
        <w:rPr>
          <w:rFonts w:ascii="Times New Roman" w:eastAsia="Times New Roman" w:hAnsi="Times New Roman" w:cs="Times New Roman"/>
          <w:sz w:val="24"/>
          <w:szCs w:val="24"/>
        </w:rPr>
      </w:pPr>
    </w:p>
    <w:p w:rsidR="00380DD1" w:rsidRDefault="00380DD1">
      <w:pPr>
        <w:spacing w:before="240" w:after="240"/>
        <w:jc w:val="both"/>
        <w:rPr>
          <w:rFonts w:ascii="Times New Roman" w:eastAsia="Times New Roman" w:hAnsi="Times New Roman" w:cs="Times New Roman"/>
          <w:sz w:val="24"/>
          <w:szCs w:val="24"/>
        </w:rPr>
      </w:pPr>
    </w:p>
    <w:p w:rsidR="00380DD1" w:rsidRDefault="00380DD1">
      <w:pPr>
        <w:jc w:val="both"/>
        <w:rPr>
          <w:rFonts w:ascii="Times New Roman" w:eastAsia="Times New Roman" w:hAnsi="Times New Roman" w:cs="Times New Roman"/>
          <w:sz w:val="24"/>
          <w:szCs w:val="24"/>
        </w:rPr>
      </w:pPr>
    </w:p>
    <w:sectPr w:rsidR="00380DD1">
      <w:headerReference w:type="even" r:id="rId59"/>
      <w:headerReference w:type="default" r:id="rId60"/>
      <w:footerReference w:type="even" r:id="rId61"/>
      <w:footerReference w:type="default" r:id="rId62"/>
      <w:headerReference w:type="first" r:id="rId63"/>
      <w:footerReference w:type="first" r:id="rId6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3941" w:rsidRDefault="00E33941">
      <w:pPr>
        <w:spacing w:line="240" w:lineRule="auto"/>
      </w:pPr>
      <w:r>
        <w:separator/>
      </w:r>
    </w:p>
  </w:endnote>
  <w:endnote w:type="continuationSeparator" w:id="0">
    <w:p w:rsidR="00E33941" w:rsidRDefault="00E339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97579B5-78BE-42C9-80B0-4BF21BD5A5D0}"/>
  </w:font>
  <w:font w:name="Cambria">
    <w:panose1 w:val="02040503050406030204"/>
    <w:charset w:val="00"/>
    <w:family w:val="roman"/>
    <w:pitch w:val="variable"/>
    <w:sig w:usb0="E00006FF" w:usb1="420024FF" w:usb2="02000000" w:usb3="00000000" w:csb0="0000019F" w:csb1="00000000"/>
    <w:embedRegular r:id="rId2" w:fontKey="{3FBBDA26-126A-46B6-8DFF-24615B49FF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DD1" w:rsidRDefault="00380DD1">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DD1" w:rsidRDefault="00380DD1">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DD1" w:rsidRDefault="00380DD1">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3941" w:rsidRDefault="00E33941">
      <w:pPr>
        <w:spacing w:line="240" w:lineRule="auto"/>
      </w:pPr>
      <w:r>
        <w:separator/>
      </w:r>
    </w:p>
  </w:footnote>
  <w:footnote w:type="continuationSeparator" w:id="0">
    <w:p w:rsidR="00E33941" w:rsidRDefault="00E339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DD1" w:rsidRDefault="00E33941">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2.85pt;height:66.9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DD1" w:rsidRDefault="00E33941">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92.85pt;height:66.9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DD1" w:rsidRDefault="00E33941">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2.85pt;height:66.9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DD1"/>
    <w:rsid w:val="00380DD1"/>
    <w:rsid w:val="005C0B9C"/>
    <w:rsid w:val="00E04238"/>
    <w:rsid w:val="00E33941"/>
    <w:rsid w:val="00E9653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B0ACE0"/>
  <w15:docId w15:val="{6CE800B4-834B-481D-BD96-8F8E65A52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character" w:styleId="Hyperlink">
    <w:name w:val="Hyperlink"/>
    <w:basedOn w:val="DefaultParagraphFont"/>
    <w:uiPriority w:val="99"/>
    <w:unhideWhenUsed/>
    <w:rsid w:val="008B2285"/>
    <w:rPr>
      <w:color w:val="0000FF" w:themeColor="hyperlink"/>
      <w:u w:val="single"/>
    </w:rPr>
  </w:style>
  <w:style w:type="character" w:styleId="UnresolvedMention">
    <w:name w:val="Unresolved Mention"/>
    <w:basedOn w:val="DefaultParagraphFont"/>
    <w:uiPriority w:val="99"/>
    <w:semiHidden/>
    <w:unhideWhenUsed/>
    <w:rsid w:val="008B2285"/>
    <w:rPr>
      <w:color w:val="605E5C"/>
      <w:shd w:val="clear" w:color="auto" w:fill="E1DFDD"/>
    </w:rPr>
  </w:style>
  <w:style w:type="paragraph" w:styleId="ListParagraph">
    <w:name w:val="List Paragraph"/>
    <w:basedOn w:val="Normal"/>
    <w:uiPriority w:val="34"/>
    <w:qFormat/>
    <w:rsid w:val="00241527"/>
    <w:pPr>
      <w:ind w:left="720"/>
      <w:contextualSpacing/>
    </w:pPr>
  </w:style>
  <w:style w:type="paragraph" w:styleId="Header">
    <w:name w:val="header"/>
    <w:basedOn w:val="Normal"/>
    <w:link w:val="HeaderChar"/>
    <w:uiPriority w:val="99"/>
    <w:unhideWhenUsed/>
    <w:rsid w:val="00677ACE"/>
    <w:pPr>
      <w:tabs>
        <w:tab w:val="center" w:pos="4680"/>
        <w:tab w:val="right" w:pos="9360"/>
      </w:tabs>
      <w:spacing w:line="240" w:lineRule="auto"/>
    </w:pPr>
  </w:style>
  <w:style w:type="character" w:customStyle="1" w:styleId="HeaderChar">
    <w:name w:val="Header Char"/>
    <w:basedOn w:val="DefaultParagraphFont"/>
    <w:link w:val="Header"/>
    <w:uiPriority w:val="99"/>
    <w:rsid w:val="00677ACE"/>
  </w:style>
  <w:style w:type="paragraph" w:styleId="Footer">
    <w:name w:val="footer"/>
    <w:basedOn w:val="Normal"/>
    <w:link w:val="FooterChar"/>
    <w:uiPriority w:val="99"/>
    <w:unhideWhenUsed/>
    <w:rsid w:val="00677ACE"/>
    <w:pPr>
      <w:tabs>
        <w:tab w:val="center" w:pos="4680"/>
        <w:tab w:val="right" w:pos="9360"/>
      </w:tabs>
      <w:spacing w:line="240" w:lineRule="auto"/>
    </w:pPr>
  </w:style>
  <w:style w:type="character" w:customStyle="1" w:styleId="FooterChar">
    <w:name w:val="Footer Char"/>
    <w:basedOn w:val="DefaultParagraphFont"/>
    <w:link w:val="Footer"/>
    <w:uiPriority w:val="99"/>
    <w:rsid w:val="00677ACE"/>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016/j.appet.2025.107853" TargetMode="External"/><Relationship Id="rId21" Type="http://schemas.openxmlformats.org/officeDocument/2006/relationships/hyperlink" Target="https://doi.org/10.1016/j.afres.2025.101422" TargetMode="External"/><Relationship Id="rId34" Type="http://schemas.openxmlformats.org/officeDocument/2006/relationships/hyperlink" Target="https://doi.org/10.1016/j.foodchem.2024.139945" TargetMode="External"/><Relationship Id="rId42" Type="http://schemas.openxmlformats.org/officeDocument/2006/relationships/hyperlink" Target="https://doi.org/10.3390/foods9121786" TargetMode="External"/><Relationship Id="rId47" Type="http://schemas.openxmlformats.org/officeDocument/2006/relationships/hyperlink" Target="https://doi.org/10.3390/molecules25153544" TargetMode="External"/><Relationship Id="rId50" Type="http://schemas.openxmlformats.org/officeDocument/2006/relationships/hyperlink" Target="https://doi.org/10.30574/wjarr.2024.21.2.0529" TargetMode="External"/><Relationship Id="rId55" Type="http://schemas.openxmlformats.org/officeDocument/2006/relationships/hyperlink" Target="https://doi.org/10.1186/s13568-021-01206-8" TargetMode="External"/><Relationship Id="rId63"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5195/jmla.2022.1283" TargetMode="External"/><Relationship Id="rId29" Type="http://schemas.openxmlformats.org/officeDocument/2006/relationships/hyperlink" Target="https://doi.org/10.1016/j.ultsonch.2025.107276" TargetMode="External"/><Relationship Id="rId11" Type="http://schemas.openxmlformats.org/officeDocument/2006/relationships/hyperlink" Target="https://doi.org/10.1016/j.fochx.2022.100516" TargetMode="External"/><Relationship Id="rId24" Type="http://schemas.openxmlformats.org/officeDocument/2006/relationships/hyperlink" Target="https://doi.org/10.69739/jaaas.v2i2.1055" TargetMode="External"/><Relationship Id="rId32" Type="http://schemas.openxmlformats.org/officeDocument/2006/relationships/hyperlink" Target="https://doi.org/10.1016/j.tjnut.2023.07.001" TargetMode="External"/><Relationship Id="rId37" Type="http://schemas.openxmlformats.org/officeDocument/2006/relationships/hyperlink" Target="https://doi.org/10.1016/j.tjnut.2025.07.008" TargetMode="External"/><Relationship Id="rId40" Type="http://schemas.openxmlformats.org/officeDocument/2006/relationships/hyperlink" Target="https://doi.org/10.3390/molecules26175265" TargetMode="External"/><Relationship Id="rId45" Type="http://schemas.openxmlformats.org/officeDocument/2006/relationships/hyperlink" Target="https://doi.org/10.9734/ejnfs%2F2024%2Fv16i11382" TargetMode="External"/><Relationship Id="rId53" Type="http://schemas.openxmlformats.org/officeDocument/2006/relationships/hyperlink" Target="https://doi.org/10.1016/j.jfp.2025.100508" TargetMode="External"/><Relationship Id="rId58" Type="http://schemas.openxmlformats.org/officeDocument/2006/relationships/hyperlink" Target="https://doi.org/10.3390/foods14111891"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s://doi.org/10.3390/foods11172545" TargetMode="External"/><Relationship Id="rId14" Type="http://schemas.openxmlformats.org/officeDocument/2006/relationships/hyperlink" Target="https://doi.org/10.3390/molecules25102369" TargetMode="External"/><Relationship Id="rId22" Type="http://schemas.openxmlformats.org/officeDocument/2006/relationships/hyperlink" Target="https://doi.org/10.3389/fnut.2021.657090" TargetMode="External"/><Relationship Id="rId27" Type="http://schemas.openxmlformats.org/officeDocument/2006/relationships/hyperlink" Target="https://doi.org/10.1111/1541-4337.70340" TargetMode="External"/><Relationship Id="rId30" Type="http://schemas.openxmlformats.org/officeDocument/2006/relationships/hyperlink" Target="https://doi.org/10.1007/s13197-021-05103-7" TargetMode="External"/><Relationship Id="rId35" Type="http://schemas.openxmlformats.org/officeDocument/2006/relationships/hyperlink" Target="https://www.irejournals.com/formatedpaper/1706163.pdf" TargetMode="External"/><Relationship Id="rId43" Type="http://schemas.openxmlformats.org/officeDocument/2006/relationships/hyperlink" Target="https://doi.org/10.1002/fsn3.71091" TargetMode="External"/><Relationship Id="rId48" Type="http://schemas.openxmlformats.org/officeDocument/2006/relationships/hyperlink" Target="https://www.fda.gov/food/food-ingredients-packaging/generally-recognized-safe-gras" TargetMode="External"/><Relationship Id="rId56" Type="http://schemas.openxmlformats.org/officeDocument/2006/relationships/hyperlink" Target="https://doi.org/10.1016/j.heliyon.2024.e40204" TargetMode="External"/><Relationship Id="rId64" Type="http://schemas.openxmlformats.org/officeDocument/2006/relationships/footer" Target="footer3.xml"/><Relationship Id="rId8" Type="http://schemas.openxmlformats.org/officeDocument/2006/relationships/image" Target="media/image2.jpg"/><Relationship Id="rId51" Type="http://schemas.openxmlformats.org/officeDocument/2006/relationships/hyperlink" Target="https://doi.org/10.36348/sb.2022.v08i08.003" TargetMode="External"/><Relationship Id="rId3" Type="http://schemas.openxmlformats.org/officeDocument/2006/relationships/settings" Target="settings.xml"/><Relationship Id="rId12" Type="http://schemas.openxmlformats.org/officeDocument/2006/relationships/hyperlink" Target="https://doi.org/10.3390/foods14213653" TargetMode="External"/><Relationship Id="rId17" Type="http://schemas.openxmlformats.org/officeDocument/2006/relationships/hyperlink" Target="https://european-union.europa.eu/institutions-law-budget/institutions-and-bodies/search-all-eu-institutions-and-bodies/european-food-safety-authority-efsa_en" TargetMode="External"/><Relationship Id="rId25" Type="http://schemas.openxmlformats.org/officeDocument/2006/relationships/hyperlink" Target="https://doi.org/10.9734/jalsi/2025/v28i5726" TargetMode="External"/><Relationship Id="rId33" Type="http://schemas.openxmlformats.org/officeDocument/2006/relationships/hyperlink" Target="https://doi.org/10.4314/jdan.v13i2.4" TargetMode="External"/><Relationship Id="rId38" Type="http://schemas.openxmlformats.org/officeDocument/2006/relationships/hyperlink" Target="https://doi.org/10.3390/foods13172659" TargetMode="External"/><Relationship Id="rId46" Type="http://schemas.openxmlformats.org/officeDocument/2006/relationships/hyperlink" Target="https://doi.org/10.3390/foods12213957" TargetMode="External"/><Relationship Id="rId59" Type="http://schemas.openxmlformats.org/officeDocument/2006/relationships/header" Target="header1.xml"/><Relationship Id="rId20" Type="http://schemas.openxmlformats.org/officeDocument/2006/relationships/hyperlink" Target="https://doi.org/10.1007/s44403-025-00032-1" TargetMode="External"/><Relationship Id="rId41" Type="http://schemas.openxmlformats.org/officeDocument/2006/relationships/hyperlink" Target="https://doi.org/10.3390/app151910699" TargetMode="External"/><Relationship Id="rId54" Type="http://schemas.openxmlformats.org/officeDocument/2006/relationships/hyperlink" Target="https://doi.org/10.1016/j.fochx.2025.102566"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doi.org/10.3390/foods11152342" TargetMode="External"/><Relationship Id="rId23" Type="http://schemas.openxmlformats.org/officeDocument/2006/relationships/hyperlink" Target="https://doi.org/10.69739/jaaas.v2i2.1054" TargetMode="External"/><Relationship Id="rId28" Type="http://schemas.openxmlformats.org/officeDocument/2006/relationships/hyperlink" Target="https://doi.org/10.20372/afnr.v2i1.659" TargetMode="External"/><Relationship Id="rId36" Type="http://schemas.openxmlformats.org/officeDocument/2006/relationships/hyperlink" Target="https://doi.org/10.63680/ijsate0325035.07" TargetMode="External"/><Relationship Id="rId49" Type="http://schemas.openxmlformats.org/officeDocument/2006/relationships/hyperlink" Target="https://doi.org/10.36348/sjm.2022.v07i09.006" TargetMode="External"/><Relationship Id="rId57" Type="http://schemas.openxmlformats.org/officeDocument/2006/relationships/hyperlink" Target="https://doi.org/10.1016/j.focha.2022.100090" TargetMode="External"/><Relationship Id="rId10" Type="http://schemas.openxmlformats.org/officeDocument/2006/relationships/hyperlink" Target="https://doi.org/10.1080/1364557032000119616" TargetMode="External"/><Relationship Id="rId31" Type="http://schemas.openxmlformats.org/officeDocument/2006/relationships/hyperlink" Target="https://doi.org/10.29333/jcei/17401" TargetMode="External"/><Relationship Id="rId44" Type="http://schemas.openxmlformats.org/officeDocument/2006/relationships/hyperlink" Target="https://doi.org/10.3390/foods13142182" TargetMode="External"/><Relationship Id="rId52" Type="http://schemas.openxmlformats.org/officeDocument/2006/relationships/hyperlink" Target="https://doi.org/10.1002/fsn3.70373"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3390/app15063049" TargetMode="External"/><Relationship Id="rId13" Type="http://schemas.openxmlformats.org/officeDocument/2006/relationships/hyperlink" Target="https://doi.org/10.1192/bja.2017.3" TargetMode="External"/><Relationship Id="rId18" Type="http://schemas.openxmlformats.org/officeDocument/2006/relationships/hyperlink" Target="https://food.ec.europa.eu/food-safety/novel-food_en" TargetMode="External"/><Relationship Id="rId39" Type="http://schemas.openxmlformats.org/officeDocument/2006/relationships/hyperlink" Target="https://doi.org/10.1016/j.fochx.2025.102263"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WC6OUmuwbQAP1z090ij2TTo+Og==">CgMxLjAyDmguYmE1Z3BneWUzN3o5Mg5oLnhjajF4cGFsamVtMDIOaC54dTJnZ3AxY3FkamcyDmguaXV6cTB3NGg2NmRuMg5oLnoxcTJsMjEwOHR5YzIOaC53djFzN3lzZWxrc3oyDmguazVwM2hqbTh0ejZnMg5oLnluY2dlZ3l3YW42MzIOaC5vcWVxaHk3c2FxMGYyDmguN2J4aDl1ODRrY3JuOAByITFuQUVDVUVadHZ1TTVORjgtYUplUTdVd2pzcHlCYjE2Vg==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7745</Words>
  <Characters>44152</Characters>
  <Application>Microsoft Office Word</Application>
  <DocSecurity>0</DocSecurity>
  <Lines>367</Lines>
  <Paragraphs>103</Paragraphs>
  <ScaleCrop>false</ScaleCrop>
  <Company/>
  <LinksUpToDate>false</LinksUpToDate>
  <CharactersWithSpaces>51794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3</cp:revision>
  <dcterms:created xsi:type="dcterms:W3CDTF">2025-12-02T05:16:00Z</dcterms:created>
  <dcterms:modified xsi:type="dcterms:W3CDTF">2025-12-10T08:07:00Z</dcterms:modified>
</cp:coreProperties>
</file>