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66E" w:rsidRDefault="00306B52">
      <w:pPr>
        <w:pStyle w:val="Author"/>
        <w:spacing w:line="240" w:lineRule="auto"/>
        <w:rPr>
          <w:rFonts w:ascii="Arial" w:hAnsi="Arial" w:cs="Arial"/>
          <w:bCs/>
          <w:iCs/>
          <w:kern w:val="28"/>
          <w:sz w:val="36"/>
        </w:rPr>
      </w:pPr>
      <w:r>
        <w:rPr>
          <w:rFonts w:ascii="Arial" w:hAnsi="Arial" w:cs="Arial"/>
          <w:bCs/>
          <w:iCs/>
          <w:kern w:val="28"/>
          <w:sz w:val="36"/>
        </w:rPr>
        <w:t xml:space="preserve">Dietary Red </w:t>
      </w:r>
      <w:r>
        <w:rPr>
          <w:rFonts w:ascii="Arial" w:hAnsi="Arial" w:cs="Arial"/>
          <w:bCs/>
          <w:i/>
          <w:kern w:val="28"/>
          <w:sz w:val="36"/>
        </w:rPr>
        <w:t>Amaranth</w:t>
      </w:r>
      <w:r>
        <w:rPr>
          <w:rFonts w:ascii="Arial" w:hAnsi="Arial" w:cs="Arial"/>
          <w:bCs/>
          <w:iCs/>
          <w:kern w:val="28"/>
          <w:sz w:val="36"/>
        </w:rPr>
        <w:t xml:space="preserve"> Flour Enhances Growth of Sand Lobster (</w:t>
      </w:r>
      <w:r>
        <w:rPr>
          <w:rFonts w:ascii="Arial" w:hAnsi="Arial" w:cs="Arial"/>
          <w:bCs/>
          <w:i/>
          <w:iCs/>
          <w:kern w:val="28"/>
          <w:sz w:val="36"/>
        </w:rPr>
        <w:t>Panulirus</w:t>
      </w:r>
      <w:r>
        <w:rPr>
          <w:rFonts w:ascii="Arial" w:hAnsi="Arial" w:cs="Arial"/>
          <w:bCs/>
          <w:iCs/>
          <w:kern w:val="28"/>
          <w:sz w:val="36"/>
        </w:rPr>
        <w:t xml:space="preserve"> </w:t>
      </w:r>
      <w:r>
        <w:rPr>
          <w:rFonts w:ascii="Arial" w:hAnsi="Arial" w:cs="Arial"/>
          <w:bCs/>
          <w:i/>
          <w:iCs/>
          <w:kern w:val="28"/>
          <w:sz w:val="36"/>
        </w:rPr>
        <w:t>homarus</w:t>
      </w:r>
      <w:r>
        <w:rPr>
          <w:rFonts w:ascii="Arial" w:hAnsi="Arial" w:cs="Arial"/>
          <w:bCs/>
          <w:iCs/>
          <w:kern w:val="28"/>
          <w:sz w:val="36"/>
        </w:rPr>
        <w:t>) Seedings</w:t>
      </w:r>
    </w:p>
    <w:p w:rsidR="0083466E" w:rsidRDefault="0083466E">
      <w:pPr>
        <w:pStyle w:val="Author"/>
        <w:spacing w:line="240" w:lineRule="auto"/>
        <w:rPr>
          <w:rFonts w:ascii="Arial" w:hAnsi="Arial" w:cs="Arial"/>
        </w:rPr>
      </w:pPr>
    </w:p>
    <w:p w:rsidR="0083466E" w:rsidRDefault="0083466E">
      <w:pPr>
        <w:pStyle w:val="Author"/>
        <w:spacing w:line="240" w:lineRule="auto"/>
        <w:rPr>
          <w:rFonts w:ascii="Arial" w:hAnsi="Arial" w:cs="Arial"/>
        </w:rPr>
      </w:pPr>
    </w:p>
    <w:p w:rsidR="0083466E" w:rsidRDefault="00306B52">
      <w:pPr>
        <w:pStyle w:val="Copyright"/>
        <w:spacing w:after="0" w:line="240" w:lineRule="auto"/>
        <w:jc w:val="both"/>
        <w:rPr>
          <w:rFonts w:ascii="Arial" w:hAnsi="Arial" w:cs="Arial"/>
        </w:rPr>
        <w:sectPr w:rsidR="0083466E">
          <w:headerReference w:type="even" r:id="rId8"/>
          <w:headerReference w:type="default" r:id="rId9"/>
          <w:footerReference w:type="even" r:id="rId10"/>
          <w:footerReference w:type="default" r:id="rId11"/>
          <w:headerReference w:type="first" r:id="rId12"/>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extent cx="5303520" cy="635"/>
                <wp:effectExtent l="13334" t="9525" r="17145" b="9525"/>
                <wp:docPr id="1027"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03520" cy="635"/>
                        </a:xfrm>
                        <a:prstGeom prst="straightConnector1">
                          <a:avLst/>
                        </a:prstGeom>
                        <a:ln w="19050" cap="flat" cmpd="sng">
                          <a:solidFill>
                            <a:srgbClr val="000000"/>
                          </a:solidFill>
                          <a:prstDash val="solid"/>
                          <a:round/>
                          <a:headEnd type="none" w="med" len="med"/>
                          <a:tailEnd type="none" w="med" len="med"/>
                        </a:ln>
                      </wps:spPr>
                      <wps:bodyPr/>
                    </wps:wsp>
                  </a:graphicData>
                </a:graphic>
              </wp:inline>
            </w:drawing>
          </mc:Choice>
          <mc:Fallback>
            <w:pict>
              <v:shapetype w14:anchorId="6EF929CB" id="_x0000_t32" coordsize="21600,21600" o:spt="32" o:oned="t" path="m,l21600,21600e" filled="f">
                <v:path arrowok="t" fillok="f" o:connecttype="none"/>
                <o:lock v:ext="edit" shapetype="t"/>
              </v:shapetype>
              <v:shape id="1027"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" strokeweight="1.5pt">
                <o:lock v:ext="edit" shapetype="f"/>
                <w10:anchorlock/>
              </v:shape>
            </w:pict>
          </mc:Fallback>
        </mc:AlternateContent>
      </w:r>
      <w:r>
        <w:rPr>
          <w:rFonts w:ascii="Arial" w:hAnsi="Arial" w:cs="Arial"/>
        </w:rPr>
        <w:t>.</w:t>
      </w:r>
    </w:p>
    <w:p w:rsidR="0083466E" w:rsidRDefault="00306B52">
      <w:pPr>
        <w:pStyle w:val="AbstHead"/>
        <w:spacing w:after="0"/>
        <w:jc w:val="both"/>
        <w:rPr>
          <w:rFonts w:ascii="Arial" w:hAnsi="Arial" w:cs="Arial"/>
        </w:rPr>
      </w:pPr>
      <w:r>
        <w:rPr>
          <w:rFonts w:ascii="Arial" w:hAnsi="Arial" w:cs="Arial"/>
        </w:rPr>
        <w:t>ABSTRACT</w:t>
      </w:r>
    </w:p>
    <w:p w:rsidR="0083466E" w:rsidRDefault="0083466E">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83466E">
        <w:tc>
          <w:tcPr>
            <w:tcW w:w="9576" w:type="dxa"/>
            <w:shd w:val="clear" w:color="auto" w:fill="F2F2F2"/>
          </w:tcPr>
          <w:p w:rsidR="0083466E" w:rsidRDefault="00306B52">
            <w:pPr>
              <w:pStyle w:val="Body"/>
              <w:spacing w:after="0"/>
              <w:rPr>
                <w:rFonts w:ascii="Arial" w:eastAsia="Calibri" w:hAnsi="Arial" w:cs="Arial"/>
                <w:szCs w:val="22"/>
              </w:rPr>
            </w:pPr>
            <w:r>
              <w:rPr>
                <w:rFonts w:ascii="Arial" w:eastAsia="Calibri" w:hAnsi="Arial" w:cs="Arial"/>
                <w:szCs w:val="22"/>
                <w:lang w:val="en-ID"/>
              </w:rPr>
              <w:t xml:space="preserve">Sand lobster (Panulirus homarus) is an export </w:t>
            </w:r>
            <w:bookmarkStart w:id="0" w:name="_GoBack"/>
            <w:bookmarkEnd w:id="0"/>
            <w:r>
              <w:rPr>
                <w:rFonts w:ascii="Arial" w:eastAsia="Calibri" w:hAnsi="Arial" w:cs="Arial"/>
                <w:szCs w:val="22"/>
                <w:lang w:val="en-ID"/>
              </w:rPr>
              <w:t>commodity that increases annually. To increase production, lobster farming is carried out by maximizing feed combined with spinach to optimize feed absorption. The study aims to analyze the effect of spinach in</w:t>
            </w:r>
            <w:r>
              <w:rPr>
                <w:rFonts w:ascii="Arial" w:eastAsia="Calibri" w:hAnsi="Arial" w:cs="Arial"/>
                <w:szCs w:val="22"/>
                <w:lang w:val="en-ID"/>
              </w:rPr>
              <w:t xml:space="preserve"> moist feed on lobster growth and survival. The research was conducted from June to August 2025, located in Ekas Bay, Ekas Buana Village, Jerowaru District, East Lombok Regency, West Nusa Tenggara. The research method used a completely randomized design, w</w:t>
            </w:r>
            <w:r>
              <w:rPr>
                <w:rFonts w:ascii="Arial" w:eastAsia="Calibri" w:hAnsi="Arial" w:cs="Arial"/>
                <w:szCs w:val="22"/>
                <w:lang w:val="en-ID"/>
              </w:rPr>
              <w:t>ith 5 treatments and 3 replicates. The treatments in the study were moist feed (A), moist feed + 4% red spinach flour (B), moist feed + 8% red spinach flour (C), moist feed + 10% red spinach flour (D), and moist feed + 12% red spinach flour (E). The lobste</w:t>
            </w:r>
            <w:r>
              <w:rPr>
                <w:rFonts w:ascii="Arial" w:eastAsia="Calibri" w:hAnsi="Arial" w:cs="Arial"/>
                <w:szCs w:val="22"/>
                <w:lang w:val="en-ID"/>
              </w:rPr>
              <w:t>rs were kept in 25-liter compartments suspended on a 2-meter-deep KJA frame at a density of 10 lobsters per compartment and were maintained for 54 days. The research parameters were absolute weight and length growth, SGR, and SR. The results showed that sp</w:t>
            </w:r>
            <w:r>
              <w:rPr>
                <w:rFonts w:ascii="Arial" w:eastAsia="Calibri" w:hAnsi="Arial" w:cs="Arial"/>
                <w:szCs w:val="22"/>
                <w:lang w:val="en-ID"/>
              </w:rPr>
              <w:t>inach flour supplementation had a significant effect on weight and length growth as well as SGR, but no significant effect on SR. The best growth was observed in the 4% spinach flour treatment (B), which produced weight and length growth of 1.50 g and 1.78</w:t>
            </w:r>
            <w:r>
              <w:rPr>
                <w:rFonts w:ascii="Arial" w:eastAsia="Calibri" w:hAnsi="Arial" w:cs="Arial"/>
                <w:szCs w:val="22"/>
                <w:lang w:val="en-ID"/>
              </w:rPr>
              <w:t xml:space="preserve"> cm, SGR of 0.73%/h, and SR of 88.9%. Meanwhile, the absolute weight and length growth of the control treatment (A) was 0.98 g and 0.91 cm, with an SGR of 0.52%/h and an SR of 72.2%.</w:t>
            </w:r>
          </w:p>
        </w:tc>
      </w:tr>
    </w:tbl>
    <w:p w:rsidR="0083466E" w:rsidRDefault="0083466E">
      <w:pPr>
        <w:pStyle w:val="Body"/>
        <w:spacing w:after="0"/>
        <w:rPr>
          <w:rFonts w:ascii="Arial" w:hAnsi="Arial" w:cs="Arial"/>
          <w:i/>
        </w:rPr>
      </w:pPr>
    </w:p>
    <w:p w:rsidR="0083466E" w:rsidRDefault="00306B52">
      <w:pPr>
        <w:pStyle w:val="Body"/>
        <w:spacing w:after="0"/>
        <w:rPr>
          <w:rFonts w:ascii="Arial" w:hAnsi="Arial" w:cs="Arial"/>
          <w:i/>
        </w:rPr>
      </w:pPr>
      <w:r>
        <w:rPr>
          <w:rFonts w:ascii="Arial" w:hAnsi="Arial" w:cs="Arial"/>
          <w:i/>
        </w:rPr>
        <w:t>Keywords: sand lobster, moist feed, spinach.</w:t>
      </w:r>
    </w:p>
    <w:p w:rsidR="0083466E" w:rsidRDefault="0083466E">
      <w:pPr>
        <w:pStyle w:val="Body"/>
        <w:spacing w:after="0"/>
        <w:rPr>
          <w:rFonts w:ascii="Arial" w:hAnsi="Arial" w:cs="Arial"/>
          <w:i/>
        </w:rPr>
      </w:pPr>
    </w:p>
    <w:p w:rsidR="0083466E" w:rsidRDefault="00306B52">
      <w:pPr>
        <w:pStyle w:val="AbstHead"/>
        <w:spacing w:after="0"/>
        <w:jc w:val="both"/>
        <w:rPr>
          <w:rFonts w:ascii="Arial" w:hAnsi="Arial" w:cs="Arial"/>
        </w:rPr>
      </w:pPr>
      <w:r>
        <w:rPr>
          <w:rFonts w:ascii="Arial" w:hAnsi="Arial" w:cs="Arial"/>
        </w:rPr>
        <w:t>1. INTRODUCTION</w:t>
      </w:r>
    </w:p>
    <w:p w:rsidR="0083466E" w:rsidRDefault="0083466E">
      <w:pPr>
        <w:pStyle w:val="AbstHead"/>
        <w:spacing w:after="0"/>
        <w:jc w:val="both"/>
        <w:rPr>
          <w:rFonts w:ascii="Arial" w:hAnsi="Arial" w:cs="Arial"/>
        </w:rPr>
      </w:pPr>
    </w:p>
    <w:p w:rsidR="0083466E" w:rsidRDefault="00306B52">
      <w:pPr>
        <w:pStyle w:val="Body"/>
        <w:spacing w:after="0"/>
        <w:rPr>
          <w:rFonts w:ascii="Arial" w:hAnsi="Arial" w:cs="Arial"/>
          <w:sz w:val="22"/>
          <w:szCs w:val="22"/>
        </w:rPr>
      </w:pPr>
      <w:r>
        <w:rPr>
          <w:rFonts w:ascii="Arial" w:hAnsi="Arial" w:cs="Arial"/>
          <w:sz w:val="22"/>
          <w:szCs w:val="22"/>
        </w:rPr>
        <w:t>Fisherie</w:t>
      </w:r>
      <w:r>
        <w:rPr>
          <w:rFonts w:ascii="Arial" w:hAnsi="Arial" w:cs="Arial"/>
          <w:sz w:val="22"/>
          <w:szCs w:val="22"/>
        </w:rPr>
        <w:t xml:space="preserve">s commodities are one of the most profitable sectors in the global economy. To date, Asia continues to contribute to global fisheries production (Arumugam </w:t>
      </w:r>
      <w:r>
        <w:rPr>
          <w:rFonts w:ascii="Arial" w:hAnsi="Arial" w:cs="Arial"/>
          <w:i/>
          <w:iCs/>
          <w:sz w:val="22"/>
          <w:szCs w:val="22"/>
        </w:rPr>
        <w:t>et al.,</w:t>
      </w:r>
      <w:r>
        <w:rPr>
          <w:rFonts w:ascii="Arial" w:hAnsi="Arial" w:cs="Arial"/>
          <w:sz w:val="22"/>
          <w:szCs w:val="22"/>
        </w:rPr>
        <w:t xml:space="preserve"> 2020). Lobsters are one of the fisheries commodities that have high selling value due to incr</w:t>
      </w:r>
      <w:r>
        <w:rPr>
          <w:rFonts w:ascii="Arial" w:hAnsi="Arial" w:cs="Arial"/>
          <w:sz w:val="22"/>
          <w:szCs w:val="22"/>
        </w:rPr>
        <w:t xml:space="preserve">easing global market demand. Most lobsters are obtained from the wild, so their availability is limited. In Asia, particularly in Vietnam, sand lobster seeds are obtained from the wild to be cultivated to market size. This approach has begun to be popular </w:t>
      </w:r>
      <w:r>
        <w:rPr>
          <w:rFonts w:ascii="Arial" w:hAnsi="Arial" w:cs="Arial"/>
          <w:sz w:val="22"/>
          <w:szCs w:val="22"/>
        </w:rPr>
        <w:t xml:space="preserve">in Indonesia (Nankervis &amp; Jones, 2022). As a country with abundant marine resources, Indonesia is well-positioned to manage the global lobster farming industry (Priyambodo </w:t>
      </w:r>
      <w:r>
        <w:rPr>
          <w:rFonts w:ascii="Arial" w:hAnsi="Arial" w:cs="Arial"/>
          <w:i/>
          <w:iCs/>
          <w:sz w:val="22"/>
          <w:szCs w:val="22"/>
        </w:rPr>
        <w:t>et al.</w:t>
      </w:r>
      <w:r>
        <w:rPr>
          <w:rFonts w:ascii="Arial" w:hAnsi="Arial" w:cs="Arial"/>
          <w:sz w:val="22"/>
          <w:szCs w:val="22"/>
        </w:rPr>
        <w:t xml:space="preserve"> 2020). According to the Data and Information Center of the Secretariat Genera</w:t>
      </w:r>
      <w:r>
        <w:rPr>
          <w:rFonts w:ascii="Arial" w:hAnsi="Arial" w:cs="Arial"/>
          <w:sz w:val="22"/>
          <w:szCs w:val="22"/>
        </w:rPr>
        <w:t>l of the Ministry of Marine Affairs and Fisheries, Indonesia's lobster export levels have fluctuated significantly. In 2018, Indonesia's lobster export volume was 1,950 tons, decreasing in 2019 to 1,630 tons, increasing in 2020 to 2,150 tons, and stabilizi</w:t>
      </w:r>
      <w:r>
        <w:rPr>
          <w:rFonts w:ascii="Arial" w:hAnsi="Arial" w:cs="Arial"/>
          <w:sz w:val="22"/>
          <w:szCs w:val="22"/>
        </w:rPr>
        <w:t>ng in 2021 at 1,950 tons. decreased in 2022 and 2023 to 1,460 and 1,140 tons, and increased again in 2024 to 2,695 tons. This has led to an increase in Indonesia's export value compared to the previous year. In addition, the domestic selling price of lobst</w:t>
      </w:r>
      <w:r>
        <w:rPr>
          <w:rFonts w:ascii="Arial" w:hAnsi="Arial" w:cs="Arial"/>
          <w:sz w:val="22"/>
          <w:szCs w:val="22"/>
        </w:rPr>
        <w:t xml:space="preserve">ers is high depending on size, type, and season (Khoiriyah </w:t>
      </w:r>
      <w:r>
        <w:rPr>
          <w:rFonts w:ascii="Arial" w:hAnsi="Arial" w:cs="Arial"/>
          <w:i/>
          <w:iCs/>
          <w:sz w:val="22"/>
          <w:szCs w:val="22"/>
        </w:rPr>
        <w:t xml:space="preserve">et al., </w:t>
      </w:r>
      <w:r>
        <w:rPr>
          <w:rFonts w:ascii="Arial" w:hAnsi="Arial" w:cs="Arial"/>
          <w:sz w:val="22"/>
          <w:szCs w:val="22"/>
        </w:rPr>
        <w:t>2020). Along with the increase in the selling price and production level of Indonesian lobster exports, lobster farming is carried out to meet market demand and prevent the extinction of th</w:t>
      </w:r>
      <w:r>
        <w:rPr>
          <w:rFonts w:ascii="Arial" w:hAnsi="Arial" w:cs="Arial"/>
          <w:sz w:val="22"/>
          <w:szCs w:val="22"/>
        </w:rPr>
        <w:t>e lobster population in the wild.</w:t>
      </w:r>
    </w:p>
    <w:p w:rsidR="0083466E" w:rsidRDefault="0083466E">
      <w:pPr>
        <w:pStyle w:val="Body"/>
        <w:spacing w:after="0"/>
        <w:rPr>
          <w:rFonts w:ascii="Arial" w:hAnsi="Arial" w:cs="Arial"/>
          <w:sz w:val="22"/>
          <w:szCs w:val="22"/>
        </w:rPr>
      </w:pPr>
    </w:p>
    <w:p w:rsidR="0083466E" w:rsidRDefault="00306B52">
      <w:pPr>
        <w:pStyle w:val="Body"/>
        <w:rPr>
          <w:rFonts w:ascii="Arial" w:hAnsi="Arial" w:cs="Arial"/>
          <w:sz w:val="22"/>
          <w:szCs w:val="22"/>
        </w:rPr>
      </w:pPr>
      <w:r>
        <w:rPr>
          <w:rFonts w:ascii="Arial" w:hAnsi="Arial" w:cs="Arial"/>
          <w:sz w:val="22"/>
          <w:szCs w:val="22"/>
        </w:rPr>
        <w:t>Sand lobster farming is generally carried out in floating net cages. However, feed remains a major challenge in this activity. Rucah fish are commonly used as feed by lobster farmers, but they have several disadvantages t</w:t>
      </w:r>
      <w:r>
        <w:rPr>
          <w:rFonts w:ascii="Arial" w:hAnsi="Arial" w:cs="Arial"/>
          <w:sz w:val="22"/>
          <w:szCs w:val="22"/>
        </w:rPr>
        <w:t xml:space="preserve">hat make them unsuitable as lobster feed. The use of rucah fish feed has been shown to have a negative impact on the environment. In addition to rucah fish, the use of oyster meat feed results in a low feed conversion ratio (Rivaite </w:t>
      </w:r>
      <w:r>
        <w:rPr>
          <w:rFonts w:ascii="Arial" w:hAnsi="Arial" w:cs="Arial"/>
          <w:i/>
          <w:iCs/>
          <w:sz w:val="22"/>
          <w:szCs w:val="22"/>
        </w:rPr>
        <w:t>et al.,</w:t>
      </w:r>
      <w:r>
        <w:rPr>
          <w:rFonts w:ascii="Arial" w:hAnsi="Arial" w:cs="Arial"/>
          <w:sz w:val="22"/>
          <w:szCs w:val="22"/>
        </w:rPr>
        <w:t xml:space="preserve"> 2023). The avai</w:t>
      </w:r>
      <w:r>
        <w:rPr>
          <w:rFonts w:ascii="Arial" w:hAnsi="Arial" w:cs="Arial"/>
          <w:sz w:val="22"/>
          <w:szCs w:val="22"/>
        </w:rPr>
        <w:t xml:space="preserve">lability of fish offal fluctuates seasonally, often accompanied by high prices (Diamahesa </w:t>
      </w:r>
      <w:r>
        <w:rPr>
          <w:rFonts w:ascii="Arial" w:hAnsi="Arial" w:cs="Arial"/>
          <w:i/>
          <w:iCs/>
          <w:sz w:val="22"/>
          <w:szCs w:val="22"/>
        </w:rPr>
        <w:t>et al.,</w:t>
      </w:r>
      <w:r>
        <w:rPr>
          <w:rFonts w:ascii="Arial" w:hAnsi="Arial" w:cs="Arial"/>
          <w:sz w:val="22"/>
          <w:szCs w:val="22"/>
        </w:rPr>
        <w:t xml:space="preserve"> 2022). Feed formulated with sufficient nutrients to produce good growth in sand lobster fry without negative effects on the water (Sudewi </w:t>
      </w:r>
      <w:r>
        <w:rPr>
          <w:rFonts w:ascii="Arial" w:hAnsi="Arial" w:cs="Arial"/>
          <w:i/>
          <w:iCs/>
          <w:sz w:val="22"/>
          <w:szCs w:val="22"/>
        </w:rPr>
        <w:t>et al.,</w:t>
      </w:r>
      <w:r>
        <w:rPr>
          <w:rFonts w:ascii="Arial" w:hAnsi="Arial" w:cs="Arial"/>
          <w:sz w:val="22"/>
          <w:szCs w:val="22"/>
        </w:rPr>
        <w:t xml:space="preserve"> 2024). There</w:t>
      </w:r>
      <w:r>
        <w:rPr>
          <w:rFonts w:ascii="Arial" w:hAnsi="Arial" w:cs="Arial"/>
          <w:sz w:val="22"/>
          <w:szCs w:val="22"/>
        </w:rPr>
        <w:t>fore, moist feed is used as an alternative feed for sand lobsters combined with red amaranth flour. Red amaranth (</w:t>
      </w:r>
      <w:r>
        <w:rPr>
          <w:rFonts w:ascii="Arial" w:hAnsi="Arial" w:cs="Arial"/>
          <w:i/>
          <w:iCs/>
          <w:sz w:val="22"/>
          <w:szCs w:val="22"/>
        </w:rPr>
        <w:t>Amaranthus tricolor</w:t>
      </w:r>
      <w:r>
        <w:rPr>
          <w:rFonts w:ascii="Arial" w:hAnsi="Arial" w:cs="Arial"/>
          <w:sz w:val="22"/>
          <w:szCs w:val="22"/>
        </w:rPr>
        <w:t xml:space="preserve">) has been shown to increase weight growth in freshwater lobsters (Raharjo </w:t>
      </w:r>
      <w:r>
        <w:rPr>
          <w:rFonts w:ascii="Arial" w:hAnsi="Arial" w:cs="Arial"/>
          <w:i/>
          <w:iCs/>
          <w:sz w:val="22"/>
          <w:szCs w:val="22"/>
        </w:rPr>
        <w:t>et al.,</w:t>
      </w:r>
      <w:r>
        <w:rPr>
          <w:rFonts w:ascii="Arial" w:hAnsi="Arial" w:cs="Arial"/>
          <w:sz w:val="22"/>
          <w:szCs w:val="22"/>
        </w:rPr>
        <w:t xml:space="preserve"> 2020) and increase growth in crabs (Hida</w:t>
      </w:r>
      <w:r>
        <w:rPr>
          <w:rFonts w:ascii="Arial" w:hAnsi="Arial" w:cs="Arial"/>
          <w:sz w:val="22"/>
          <w:szCs w:val="22"/>
        </w:rPr>
        <w:t xml:space="preserve">yat </w:t>
      </w:r>
      <w:r>
        <w:rPr>
          <w:rFonts w:ascii="Arial" w:hAnsi="Arial" w:cs="Arial"/>
          <w:i/>
          <w:iCs/>
          <w:sz w:val="22"/>
          <w:szCs w:val="22"/>
        </w:rPr>
        <w:t>et al.,</w:t>
      </w:r>
      <w:r>
        <w:rPr>
          <w:rFonts w:ascii="Arial" w:hAnsi="Arial" w:cs="Arial"/>
          <w:sz w:val="22"/>
          <w:szCs w:val="22"/>
        </w:rPr>
        <w:t xml:space="preserve"> 2024). This study aims to analyze the effect of red amaranth flour combination in moist feed on the growth and survival of sand lobster (</w:t>
      </w:r>
      <w:r>
        <w:rPr>
          <w:rFonts w:ascii="Arial" w:hAnsi="Arial" w:cs="Arial"/>
          <w:i/>
          <w:iCs/>
          <w:sz w:val="22"/>
          <w:szCs w:val="22"/>
        </w:rPr>
        <w:t>Panulirus homarus</w:t>
      </w:r>
      <w:r>
        <w:rPr>
          <w:rFonts w:ascii="Arial" w:hAnsi="Arial" w:cs="Arial"/>
          <w:sz w:val="22"/>
          <w:szCs w:val="22"/>
        </w:rPr>
        <w:t>) larvae.</w:t>
      </w:r>
    </w:p>
    <w:p w:rsidR="0083466E" w:rsidRDefault="00306B52">
      <w:pPr>
        <w:pStyle w:val="AbstHead"/>
        <w:spacing w:after="0"/>
        <w:jc w:val="both"/>
        <w:rPr>
          <w:rFonts w:ascii="Arial" w:hAnsi="Arial" w:cs="Arial"/>
          <w:szCs w:val="22"/>
        </w:rPr>
      </w:pPr>
      <w:r>
        <w:rPr>
          <w:rFonts w:ascii="Arial" w:hAnsi="Arial" w:cs="Arial"/>
          <w:szCs w:val="22"/>
        </w:rPr>
        <w:t>2. MATERIALS AND METHODS</w:t>
      </w:r>
    </w:p>
    <w:p w:rsidR="0083466E" w:rsidRDefault="0083466E">
      <w:pPr>
        <w:pStyle w:val="Body"/>
        <w:spacing w:after="0"/>
        <w:rPr>
          <w:rFonts w:ascii="Arial" w:eastAsia="Calibri" w:hAnsi="Arial" w:cs="Arial"/>
          <w:sz w:val="22"/>
          <w:szCs w:val="22"/>
        </w:rPr>
      </w:pPr>
    </w:p>
    <w:p w:rsidR="0083466E" w:rsidRDefault="00306B52">
      <w:pPr>
        <w:pStyle w:val="Body"/>
        <w:rPr>
          <w:rFonts w:ascii="Arial" w:eastAsia="Calibri" w:hAnsi="Arial" w:cs="Arial"/>
          <w:sz w:val="22"/>
          <w:szCs w:val="22"/>
        </w:rPr>
      </w:pPr>
      <w:r>
        <w:rPr>
          <w:rFonts w:ascii="Arial" w:eastAsia="Calibri" w:hAnsi="Arial" w:cs="Arial"/>
          <w:sz w:val="22"/>
          <w:szCs w:val="22"/>
        </w:rPr>
        <w:t>This study was conducted from June to August 2025 at Ekas Bay, Ekas Buana Village, Jerowaru District, East Lombok Regency, West Nusa Tenggara Province, Indonesia. Sand lobster seeds (</w:t>
      </w:r>
      <w:r>
        <w:rPr>
          <w:rFonts w:ascii="Arial" w:eastAsia="Calibri" w:hAnsi="Arial" w:cs="Arial"/>
          <w:i/>
          <w:iCs/>
          <w:sz w:val="22"/>
          <w:szCs w:val="22"/>
        </w:rPr>
        <w:t>Panulirus homarus</w:t>
      </w:r>
      <w:r>
        <w:rPr>
          <w:rFonts w:ascii="Arial" w:eastAsia="Calibri" w:hAnsi="Arial" w:cs="Arial"/>
          <w:sz w:val="22"/>
          <w:szCs w:val="22"/>
        </w:rPr>
        <w:t>) were reared in floating net cages using an experimenta</w:t>
      </w:r>
      <w:r>
        <w:rPr>
          <w:rFonts w:ascii="Arial" w:eastAsia="Calibri" w:hAnsi="Arial" w:cs="Arial"/>
          <w:sz w:val="22"/>
          <w:szCs w:val="22"/>
        </w:rPr>
        <w:t>l design based on a Completely Randomized Design (CRD) with 5 treatments and 3 replicates. The treatments consisted of: 100% moist feed (control) (A), moist feed + 4% spinach powder (B), moist feed + 8% spinach powder (C), moist feed + 10% spinach powder (</w:t>
      </w:r>
      <w:r>
        <w:rPr>
          <w:rFonts w:ascii="Arial" w:eastAsia="Calibri" w:hAnsi="Arial" w:cs="Arial"/>
          <w:sz w:val="22"/>
          <w:szCs w:val="22"/>
        </w:rPr>
        <w:t>D), and moist feed + 12% spinach powder (E). Spinach powder was prepared from fresh leaves that were cleaned, oven-dried at 50</w:t>
      </w:r>
      <w:r>
        <w:rPr>
          <w:rFonts w:ascii="Arial" w:eastAsia="Calibri" w:hAnsi="Arial" w:cs="Arial"/>
          <w:sz w:val="22"/>
          <w:szCs w:val="22"/>
          <w:vertAlign w:val="superscript"/>
        </w:rPr>
        <w:t xml:space="preserve"> o</w:t>
      </w:r>
      <w:r>
        <w:rPr>
          <w:rFonts w:ascii="Arial" w:eastAsia="Calibri" w:hAnsi="Arial" w:cs="Arial"/>
          <w:sz w:val="22"/>
          <w:szCs w:val="22"/>
        </w:rPr>
        <w:t xml:space="preserve">C for 6–7 h, milled, and sieved. The moist feed formulation comprised fish meal (678.9 g), meat and bone meal (167.7 g), shrimp </w:t>
      </w:r>
      <w:r>
        <w:rPr>
          <w:rFonts w:ascii="Arial" w:eastAsia="Calibri" w:hAnsi="Arial" w:cs="Arial"/>
          <w:sz w:val="22"/>
          <w:szCs w:val="22"/>
        </w:rPr>
        <w:t>head meal (48 g), vegetable oil (4.8 g), soy lecithin (9.5 g), calcium carbonate (7.2 g), vitamin and mineral mix (9.5 g), gluten meal (26.4 g), and wheat flour (48 g). The proximate composition results are presented in Table 1.</w:t>
      </w:r>
    </w:p>
    <w:p w:rsidR="0083466E" w:rsidRDefault="00306B52">
      <w:pPr>
        <w:pStyle w:val="Body"/>
        <w:rPr>
          <w:rFonts w:ascii="Arial" w:eastAsia="Calibri" w:hAnsi="Arial" w:cs="Arial"/>
          <w:b/>
          <w:bCs/>
          <w:sz w:val="22"/>
          <w:szCs w:val="22"/>
        </w:rPr>
      </w:pPr>
      <w:r>
        <w:rPr>
          <w:rFonts w:ascii="Arial" w:eastAsia="Calibri" w:hAnsi="Arial" w:cs="Arial"/>
          <w:b/>
          <w:bCs/>
          <w:sz w:val="22"/>
          <w:szCs w:val="22"/>
        </w:rPr>
        <w:t>Table 1. Proximate analysis</w:t>
      </w:r>
      <w:r>
        <w:rPr>
          <w:rFonts w:ascii="Arial" w:eastAsia="Calibri" w:hAnsi="Arial" w:cs="Arial"/>
          <w:b/>
          <w:bCs/>
          <w:sz w:val="22"/>
          <w:szCs w:val="22"/>
        </w:rPr>
        <w:t xml:space="preserve"> of moist feed.</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3974"/>
        <w:gridCol w:w="4120"/>
      </w:tblGrid>
      <w:tr w:rsidR="0083466E">
        <w:tc>
          <w:tcPr>
            <w:tcW w:w="4038" w:type="dxa"/>
            <w:tcBorders>
              <w:top w:val="single" w:sz="4" w:space="0" w:color="auto"/>
              <w:bottom w:val="single" w:sz="4" w:space="0" w:color="auto"/>
              <w:right w:val="nil"/>
            </w:tcBorders>
          </w:tcPr>
          <w:p w:rsidR="0083466E" w:rsidRDefault="00306B52">
            <w:pPr>
              <w:pStyle w:val="Body"/>
              <w:spacing w:after="0"/>
              <w:jc w:val="center"/>
              <w:rPr>
                <w:rFonts w:ascii="Arial" w:hAnsi="Arial" w:cs="Arial"/>
              </w:rPr>
            </w:pPr>
            <w:bookmarkStart w:id="1" w:name="_Hlk216475977"/>
            <w:r>
              <w:rPr>
                <w:rFonts w:ascii="Arial" w:hAnsi="Arial" w:cs="Arial"/>
              </w:rPr>
              <w:t>Ingredients</w:t>
            </w:r>
          </w:p>
        </w:tc>
        <w:tc>
          <w:tcPr>
            <w:tcW w:w="4184" w:type="dxa"/>
            <w:tcBorders>
              <w:top w:val="single" w:sz="4" w:space="0" w:color="auto"/>
              <w:left w:val="nil"/>
              <w:bottom w:val="single" w:sz="4" w:space="0" w:color="auto"/>
            </w:tcBorders>
          </w:tcPr>
          <w:p w:rsidR="0083466E" w:rsidRDefault="00306B52">
            <w:pPr>
              <w:pStyle w:val="Body"/>
              <w:spacing w:after="0"/>
              <w:jc w:val="center"/>
              <w:rPr>
                <w:rFonts w:ascii="Arial" w:hAnsi="Arial" w:cs="Arial"/>
              </w:rPr>
            </w:pPr>
            <w:r>
              <w:rPr>
                <w:rFonts w:ascii="Arial" w:hAnsi="Arial" w:cs="Arial"/>
              </w:rPr>
              <w:t xml:space="preserve">Composition </w:t>
            </w:r>
          </w:p>
        </w:tc>
      </w:tr>
      <w:tr w:rsidR="0083466E">
        <w:tc>
          <w:tcPr>
            <w:tcW w:w="4038" w:type="dxa"/>
            <w:tcBorders>
              <w:top w:val="single" w:sz="4" w:space="0" w:color="auto"/>
              <w:right w:val="nil"/>
            </w:tcBorders>
          </w:tcPr>
          <w:p w:rsidR="0083466E" w:rsidRDefault="00306B52">
            <w:pPr>
              <w:pStyle w:val="Body"/>
              <w:spacing w:after="0"/>
              <w:jc w:val="center"/>
              <w:rPr>
                <w:rFonts w:ascii="Arial" w:hAnsi="Arial" w:cs="Arial"/>
              </w:rPr>
            </w:pPr>
            <w:r>
              <w:rPr>
                <w:rFonts w:ascii="Arial" w:hAnsi="Arial" w:cs="Arial"/>
              </w:rPr>
              <w:t>Crude protein</w:t>
            </w:r>
          </w:p>
        </w:tc>
        <w:tc>
          <w:tcPr>
            <w:tcW w:w="4184" w:type="dxa"/>
            <w:tcBorders>
              <w:top w:val="single" w:sz="4" w:space="0" w:color="auto"/>
              <w:left w:val="nil"/>
            </w:tcBorders>
          </w:tcPr>
          <w:p w:rsidR="0083466E" w:rsidRDefault="00306B52">
            <w:pPr>
              <w:pStyle w:val="Body"/>
              <w:spacing w:after="0"/>
              <w:jc w:val="center"/>
              <w:rPr>
                <w:rFonts w:ascii="Arial" w:hAnsi="Arial" w:cs="Arial"/>
              </w:rPr>
            </w:pPr>
            <w:r>
              <w:rPr>
                <w:rFonts w:ascii="Arial" w:hAnsi="Arial" w:cs="Arial"/>
              </w:rPr>
              <w:t>63,35</w:t>
            </w:r>
          </w:p>
        </w:tc>
      </w:tr>
      <w:tr w:rsidR="0083466E">
        <w:tc>
          <w:tcPr>
            <w:tcW w:w="4038" w:type="dxa"/>
            <w:tcBorders>
              <w:right w:val="nil"/>
            </w:tcBorders>
          </w:tcPr>
          <w:p w:rsidR="0083466E" w:rsidRDefault="00306B52">
            <w:pPr>
              <w:pStyle w:val="Body"/>
              <w:spacing w:after="0"/>
              <w:jc w:val="center"/>
              <w:rPr>
                <w:rFonts w:ascii="Arial" w:hAnsi="Arial" w:cs="Arial"/>
              </w:rPr>
            </w:pPr>
            <w:r>
              <w:rPr>
                <w:rFonts w:ascii="Arial" w:hAnsi="Arial" w:cs="Arial"/>
              </w:rPr>
              <w:t>Crud lipid</w:t>
            </w:r>
          </w:p>
        </w:tc>
        <w:tc>
          <w:tcPr>
            <w:tcW w:w="4184" w:type="dxa"/>
            <w:tcBorders>
              <w:left w:val="nil"/>
            </w:tcBorders>
          </w:tcPr>
          <w:p w:rsidR="0083466E" w:rsidRDefault="00306B52">
            <w:pPr>
              <w:pStyle w:val="Body"/>
              <w:spacing w:after="0"/>
              <w:jc w:val="center"/>
              <w:rPr>
                <w:rFonts w:ascii="Arial" w:hAnsi="Arial" w:cs="Arial"/>
              </w:rPr>
            </w:pPr>
            <w:r>
              <w:rPr>
                <w:rFonts w:ascii="Arial" w:hAnsi="Arial" w:cs="Arial"/>
              </w:rPr>
              <w:t>8,58</w:t>
            </w:r>
          </w:p>
        </w:tc>
      </w:tr>
      <w:tr w:rsidR="0083466E">
        <w:tc>
          <w:tcPr>
            <w:tcW w:w="4038" w:type="dxa"/>
            <w:tcBorders>
              <w:bottom w:val="nil"/>
              <w:right w:val="nil"/>
            </w:tcBorders>
          </w:tcPr>
          <w:p w:rsidR="0083466E" w:rsidRDefault="00306B52">
            <w:pPr>
              <w:pStyle w:val="Body"/>
              <w:spacing w:after="0"/>
              <w:jc w:val="center"/>
              <w:rPr>
                <w:rFonts w:ascii="Arial" w:hAnsi="Arial" w:cs="Arial"/>
              </w:rPr>
            </w:pPr>
            <w:r>
              <w:rPr>
                <w:rFonts w:ascii="Arial" w:hAnsi="Arial" w:cs="Arial"/>
              </w:rPr>
              <w:t>Ash</w:t>
            </w:r>
          </w:p>
        </w:tc>
        <w:tc>
          <w:tcPr>
            <w:tcW w:w="4184" w:type="dxa"/>
            <w:tcBorders>
              <w:left w:val="nil"/>
              <w:bottom w:val="nil"/>
            </w:tcBorders>
          </w:tcPr>
          <w:p w:rsidR="0083466E" w:rsidRDefault="00306B52">
            <w:pPr>
              <w:pStyle w:val="Body"/>
              <w:spacing w:after="0"/>
              <w:jc w:val="center"/>
              <w:rPr>
                <w:rFonts w:ascii="Arial" w:hAnsi="Arial" w:cs="Arial"/>
              </w:rPr>
            </w:pPr>
            <w:r>
              <w:rPr>
                <w:rFonts w:ascii="Arial" w:hAnsi="Arial" w:cs="Arial"/>
              </w:rPr>
              <w:t>8,57</w:t>
            </w:r>
          </w:p>
        </w:tc>
      </w:tr>
      <w:tr w:rsidR="0083466E">
        <w:tc>
          <w:tcPr>
            <w:tcW w:w="4038" w:type="dxa"/>
            <w:tcBorders>
              <w:bottom w:val="single" w:sz="4" w:space="0" w:color="auto"/>
              <w:right w:val="nil"/>
            </w:tcBorders>
          </w:tcPr>
          <w:p w:rsidR="0083466E" w:rsidRDefault="00306B52">
            <w:pPr>
              <w:pStyle w:val="Body"/>
              <w:spacing w:after="0"/>
              <w:jc w:val="center"/>
              <w:rPr>
                <w:rFonts w:ascii="Arial" w:hAnsi="Arial" w:cs="Arial"/>
              </w:rPr>
            </w:pPr>
            <w:r>
              <w:rPr>
                <w:rFonts w:ascii="Arial" w:hAnsi="Arial" w:cs="Arial"/>
              </w:rPr>
              <w:t xml:space="preserve">moisture </w:t>
            </w:r>
          </w:p>
        </w:tc>
        <w:tc>
          <w:tcPr>
            <w:tcW w:w="4184" w:type="dxa"/>
            <w:tcBorders>
              <w:left w:val="nil"/>
              <w:bottom w:val="single" w:sz="4" w:space="0" w:color="auto"/>
            </w:tcBorders>
          </w:tcPr>
          <w:p w:rsidR="0083466E" w:rsidRDefault="00306B52">
            <w:pPr>
              <w:pStyle w:val="Body"/>
              <w:spacing w:after="0"/>
              <w:jc w:val="center"/>
              <w:rPr>
                <w:rFonts w:ascii="Arial" w:hAnsi="Arial" w:cs="Arial"/>
              </w:rPr>
            </w:pPr>
            <w:r>
              <w:rPr>
                <w:rFonts w:ascii="Arial" w:hAnsi="Arial" w:cs="Arial"/>
              </w:rPr>
              <w:t>52,15</w:t>
            </w:r>
          </w:p>
        </w:tc>
      </w:tr>
      <w:bookmarkEnd w:id="1"/>
    </w:tbl>
    <w:p w:rsidR="0083466E" w:rsidRDefault="0083466E">
      <w:pPr>
        <w:pStyle w:val="Body"/>
        <w:spacing w:after="0"/>
        <w:rPr>
          <w:rFonts w:ascii="Arial" w:hAnsi="Arial" w:cs="Arial"/>
          <w:b/>
          <w:caps/>
          <w:sz w:val="22"/>
        </w:rPr>
      </w:pPr>
    </w:p>
    <w:p w:rsidR="0083466E" w:rsidRDefault="00306B52">
      <w:pPr>
        <w:pStyle w:val="Body"/>
        <w:spacing w:after="0"/>
        <w:rPr>
          <w:rFonts w:ascii="Arial" w:hAnsi="Arial" w:cs="Arial"/>
          <w:sz w:val="22"/>
        </w:rPr>
      </w:pPr>
      <w:r>
        <w:rPr>
          <w:rFonts w:ascii="Arial" w:hAnsi="Arial" w:cs="Arial"/>
          <w:b/>
          <w:caps/>
          <w:sz w:val="22"/>
        </w:rPr>
        <w:t>2.1</w:t>
      </w:r>
      <w:r>
        <w:rPr>
          <w:rFonts w:ascii="Arial" w:hAnsi="Arial" w:cs="Arial"/>
          <w:b/>
          <w:sz w:val="22"/>
        </w:rPr>
        <w:t xml:space="preserve"> Research Procedure </w:t>
      </w:r>
    </w:p>
    <w:p w:rsidR="0083466E" w:rsidRDefault="0083466E">
      <w:pPr>
        <w:pStyle w:val="Body"/>
        <w:spacing w:after="0"/>
        <w:rPr>
          <w:rFonts w:ascii="Arial" w:hAnsi="Arial" w:cs="Arial"/>
          <w:sz w:val="22"/>
        </w:rPr>
      </w:pPr>
    </w:p>
    <w:p w:rsidR="0083466E" w:rsidRDefault="00306B52">
      <w:pPr>
        <w:pStyle w:val="Body"/>
        <w:rPr>
          <w:rFonts w:ascii="Arial" w:eastAsia="Calibri" w:hAnsi="Arial" w:cs="Arial"/>
          <w:szCs w:val="22"/>
        </w:rPr>
      </w:pPr>
      <w:r>
        <w:rPr>
          <w:rFonts w:ascii="Arial" w:eastAsia="Calibri" w:hAnsi="Arial" w:cs="Arial"/>
          <w:sz w:val="22"/>
          <w:szCs w:val="24"/>
        </w:rPr>
        <w:t xml:space="preserve">This study utilized a compartmentalized system assembled from 25-L containers (30 cm diameter) suspended from a floating net cage frame. Each compartment was labeled according to the experimental design. </w:t>
      </w:r>
      <w:r>
        <w:rPr>
          <w:rFonts w:ascii="Arial" w:hAnsi="Arial" w:cs="Arial"/>
          <w:sz w:val="22"/>
        </w:rPr>
        <w:t>The layout of the containers, which had been randomi</w:t>
      </w:r>
      <w:r>
        <w:rPr>
          <w:rFonts w:ascii="Arial" w:hAnsi="Arial" w:cs="Arial"/>
          <w:sz w:val="22"/>
        </w:rPr>
        <w:t>zed using a lottery system, and the containers used can be seen in (Figure 1).</w:t>
      </w:r>
    </w:p>
    <w:p w:rsidR="0083466E" w:rsidRDefault="00306B52">
      <w:pPr>
        <w:pStyle w:val="Body"/>
        <w:spacing w:after="0"/>
        <w:jc w:val="center"/>
        <w:rPr>
          <w:rFonts w:ascii="Arial" w:hAnsi="Arial" w:cs="Arial"/>
          <w:sz w:val="24"/>
          <w:szCs w:val="22"/>
          <w:lang w:val="id-ID"/>
        </w:rPr>
      </w:pPr>
      <w:r>
        <w:rPr>
          <w:noProof/>
          <w:sz w:val="22"/>
          <w:szCs w:val="22"/>
        </w:rPr>
        <w:lastRenderedPageBreak/>
        <w:drawing>
          <wp:inline distT="0" distB="0" distL="0" distR="0">
            <wp:extent cx="2518739" cy="1923304"/>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13" cstate="print"/>
                    <a:srcRect/>
                    <a:stretch/>
                  </pic:blipFill>
                  <pic:spPr>
                    <a:xfrm>
                      <a:off x="0" y="0"/>
                      <a:ext cx="2518739" cy="1923304"/>
                    </a:xfrm>
                    <a:prstGeom prst="rect">
                      <a:avLst/>
                    </a:prstGeom>
                  </pic:spPr>
                </pic:pic>
              </a:graphicData>
            </a:graphic>
          </wp:inline>
        </w:drawing>
      </w:r>
      <w:r>
        <w:rPr>
          <w:noProof/>
          <w:sz w:val="22"/>
          <w:szCs w:val="22"/>
        </w:rPr>
        <w:drawing>
          <wp:inline distT="0" distB="0" distL="0" distR="0">
            <wp:extent cx="1783080" cy="1770337"/>
            <wp:effectExtent l="0" t="0" r="0" b="0"/>
            <wp:docPr id="1030"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14" cstate="print"/>
                    <a:srcRect/>
                    <a:stretch/>
                  </pic:blipFill>
                  <pic:spPr>
                    <a:xfrm>
                      <a:off x="0" y="0"/>
                      <a:ext cx="1783080" cy="1770337"/>
                    </a:xfrm>
                    <a:prstGeom prst="rect">
                      <a:avLst/>
                    </a:prstGeom>
                  </pic:spPr>
                </pic:pic>
              </a:graphicData>
            </a:graphic>
          </wp:inline>
        </w:drawing>
      </w:r>
    </w:p>
    <w:p w:rsidR="0083466E" w:rsidRDefault="00306B52">
      <w:pPr>
        <w:pStyle w:val="Body"/>
        <w:spacing w:after="0"/>
        <w:jc w:val="center"/>
        <w:rPr>
          <w:rFonts w:ascii="Arial" w:hAnsi="Arial" w:cs="Arial"/>
          <w:sz w:val="24"/>
          <w:szCs w:val="22"/>
          <w:lang w:val="id-ID"/>
        </w:rPr>
      </w:pPr>
      <w:r>
        <w:rPr>
          <w:rFonts w:ascii="Arial" w:hAnsi="Arial" w:cs="Arial"/>
          <w:sz w:val="22"/>
        </w:rPr>
        <w:t>Figure 1. Layout of research containers and research containers</w:t>
      </w:r>
    </w:p>
    <w:p w:rsidR="0083466E" w:rsidRDefault="0083466E">
      <w:pPr>
        <w:pStyle w:val="Body"/>
        <w:spacing w:after="0"/>
        <w:rPr>
          <w:rFonts w:ascii="Arial" w:hAnsi="Arial" w:cs="Arial"/>
          <w:sz w:val="24"/>
          <w:szCs w:val="22"/>
        </w:rPr>
      </w:pPr>
    </w:p>
    <w:p w:rsidR="0083466E" w:rsidRDefault="00306B52">
      <w:pPr>
        <w:pStyle w:val="Body"/>
        <w:rPr>
          <w:rFonts w:ascii="Arial" w:eastAsia="Calibri" w:hAnsi="Arial" w:cs="Arial"/>
          <w:sz w:val="22"/>
          <w:szCs w:val="24"/>
        </w:rPr>
      </w:pPr>
      <w:r>
        <w:rPr>
          <w:rFonts w:ascii="Arial" w:eastAsia="Calibri" w:hAnsi="Arial" w:cs="Arial"/>
          <w:sz w:val="22"/>
          <w:szCs w:val="24"/>
        </w:rPr>
        <w:t>Sand lobster seed (</w:t>
      </w:r>
      <w:r>
        <w:rPr>
          <w:rFonts w:ascii="Arial" w:eastAsia="Calibri" w:hAnsi="Arial" w:cs="Arial"/>
          <w:i/>
          <w:iCs/>
          <w:sz w:val="22"/>
          <w:szCs w:val="24"/>
        </w:rPr>
        <w:t>Panulirus homarus</w:t>
      </w:r>
      <w:r>
        <w:rPr>
          <w:rFonts w:ascii="Arial" w:eastAsia="Calibri" w:hAnsi="Arial" w:cs="Arial"/>
          <w:sz w:val="22"/>
          <w:szCs w:val="24"/>
        </w:rPr>
        <w:t>) measuring 3–4 cm in length and weighing 2–3 g were stocked at a density</w:t>
      </w:r>
      <w:r>
        <w:rPr>
          <w:rFonts w:ascii="Arial" w:eastAsia="Calibri" w:hAnsi="Arial" w:cs="Arial"/>
          <w:sz w:val="22"/>
          <w:szCs w:val="24"/>
        </w:rPr>
        <w:t xml:space="preserve"> of 10 individuals per compartment. The seed lobsters were sourced from local fishermen near the research site. During the rearing period, moist feed combined with spinach flour was administered twice daily at 08:00 and 17:00, at a feeding rate of 15% of t</w:t>
      </w:r>
      <w:r>
        <w:rPr>
          <w:rFonts w:ascii="Arial" w:eastAsia="Calibri" w:hAnsi="Arial" w:cs="Arial"/>
          <w:sz w:val="22"/>
          <w:szCs w:val="24"/>
        </w:rPr>
        <w:t>he total lobster biomass.</w:t>
      </w:r>
    </w:p>
    <w:p w:rsidR="0083466E" w:rsidRDefault="00306B52">
      <w:pPr>
        <w:pStyle w:val="Body"/>
        <w:spacing w:after="0"/>
        <w:rPr>
          <w:rFonts w:ascii="Arial" w:hAnsi="Arial" w:cs="Arial"/>
          <w:b/>
          <w:bCs/>
          <w:sz w:val="22"/>
          <w:szCs w:val="22"/>
        </w:rPr>
      </w:pPr>
      <w:r>
        <w:rPr>
          <w:rFonts w:ascii="Arial" w:hAnsi="Arial" w:cs="Arial"/>
          <w:b/>
          <w:bCs/>
          <w:sz w:val="22"/>
          <w:szCs w:val="22"/>
        </w:rPr>
        <w:t xml:space="preserve">2.2 Data Collection </w:t>
      </w:r>
    </w:p>
    <w:p w:rsidR="0083466E" w:rsidRDefault="0083466E">
      <w:pPr>
        <w:pStyle w:val="Body"/>
        <w:spacing w:after="0"/>
        <w:rPr>
          <w:rFonts w:ascii="Arial" w:hAnsi="Arial" w:cs="Arial"/>
          <w:b/>
          <w:bCs/>
          <w:sz w:val="22"/>
          <w:szCs w:val="22"/>
        </w:rPr>
      </w:pPr>
    </w:p>
    <w:p w:rsidR="0083466E" w:rsidRDefault="00306B52">
      <w:pPr>
        <w:pStyle w:val="Body"/>
        <w:spacing w:after="0"/>
        <w:rPr>
          <w:rFonts w:ascii="Arial" w:hAnsi="Arial" w:cs="Arial"/>
          <w:sz w:val="22"/>
          <w:szCs w:val="22"/>
        </w:rPr>
      </w:pPr>
      <w:r>
        <w:rPr>
          <w:rFonts w:ascii="Arial" w:hAnsi="Arial" w:cs="Arial"/>
          <w:sz w:val="22"/>
          <w:szCs w:val="22"/>
        </w:rPr>
        <w:t>Sampling was conducted every 14 days throughout the study period. Five sand lobster seeds were randomly sampled from each compartment to measure body weight and length. After measurement, the seeds were retur</w:t>
      </w:r>
      <w:r>
        <w:rPr>
          <w:rFonts w:ascii="Arial" w:hAnsi="Arial" w:cs="Arial"/>
          <w:sz w:val="22"/>
          <w:szCs w:val="22"/>
        </w:rPr>
        <w:t>ned to their respective compartments. Water quality parameters were also measured during each sampling event. Body weight of lobster seeds was measured using a digital balance with a precision of 0.1 g, whereas total length of lobster seeds was measured us</w:t>
      </w:r>
      <w:r>
        <w:rPr>
          <w:rFonts w:ascii="Arial" w:hAnsi="Arial" w:cs="Arial"/>
          <w:sz w:val="22"/>
          <w:szCs w:val="22"/>
        </w:rPr>
        <w:t>ing a ruler or digital caliper with a precision of 0.1 mm.</w:t>
      </w:r>
    </w:p>
    <w:p w:rsidR="0083466E" w:rsidRDefault="0083466E">
      <w:pPr>
        <w:pStyle w:val="Body"/>
        <w:spacing w:after="0"/>
        <w:rPr>
          <w:rFonts w:ascii="Arial" w:hAnsi="Arial" w:cs="Arial"/>
          <w:b/>
          <w:bCs/>
          <w:sz w:val="22"/>
          <w:szCs w:val="22"/>
        </w:rPr>
      </w:pPr>
    </w:p>
    <w:p w:rsidR="0083466E" w:rsidRDefault="00306B52">
      <w:pPr>
        <w:pStyle w:val="Body"/>
        <w:spacing w:after="0"/>
        <w:rPr>
          <w:rFonts w:ascii="Arial" w:hAnsi="Arial" w:cs="Arial"/>
          <w:b/>
        </w:rPr>
      </w:pPr>
      <w:r>
        <w:rPr>
          <w:rFonts w:ascii="Arial" w:hAnsi="Arial" w:cs="Arial"/>
          <w:b/>
          <w:bCs/>
        </w:rPr>
        <w:t xml:space="preserve">2.2.1 </w:t>
      </w:r>
      <w:r>
        <w:rPr>
          <w:rFonts w:ascii="Arial" w:hAnsi="Arial" w:cs="Arial"/>
          <w:b/>
        </w:rPr>
        <w:t>Absolute Weight Growth</w:t>
      </w:r>
    </w:p>
    <w:p w:rsidR="0083466E" w:rsidRDefault="00306B52">
      <w:pPr>
        <w:pStyle w:val="Body"/>
        <w:spacing w:after="0"/>
        <w:rPr>
          <w:rFonts w:ascii="Arial" w:hAnsi="Arial" w:cs="Arial"/>
        </w:rPr>
      </w:pPr>
      <w:r>
        <w:rPr>
          <w:rFonts w:ascii="Arial" w:hAnsi="Arial" w:cs="Arial"/>
        </w:rPr>
        <w:t xml:space="preserve">The equation for calculating weight gain was as follows (Mulkan </w:t>
      </w:r>
      <w:r>
        <w:rPr>
          <w:rFonts w:ascii="Arial" w:hAnsi="Arial" w:cs="Arial"/>
          <w:i/>
          <w:iCs/>
        </w:rPr>
        <w:t>et al.,</w:t>
      </w:r>
      <w:r>
        <w:rPr>
          <w:rFonts w:ascii="Arial" w:hAnsi="Arial" w:cs="Arial"/>
        </w:rPr>
        <w:t xml:space="preserve"> 2017):</w:t>
      </w:r>
    </w:p>
    <w:p w:rsidR="0083466E" w:rsidRDefault="00306B52">
      <w:pPr>
        <w:spacing w:line="360" w:lineRule="auto"/>
        <w:jc w:val="center"/>
        <w:rPr>
          <w:rFonts w:ascii="Arial" w:hAnsi="Arial" w:cs="Arial"/>
          <w:b/>
          <w:bCs/>
        </w:rPr>
      </w:pPr>
      <m:oMath>
        <m:r>
          <m:rPr>
            <m:sty m:val="b"/>
          </m:rPr>
          <w:rPr>
            <w:rFonts w:ascii="Cambria Math" w:hAnsi="Cambria Math" w:cs="Arial"/>
          </w:rPr>
          <m:t>∆</m:t>
        </m:r>
      </m:oMath>
      <w:r>
        <w:rPr>
          <w:rFonts w:ascii="Arial" w:hAnsi="Arial" w:cs="Arial"/>
          <w:b/>
          <w:bCs/>
        </w:rPr>
        <w:t>W = Wt – Wo</w:t>
      </w:r>
    </w:p>
    <w:p w:rsidR="0083466E" w:rsidRDefault="00306B52">
      <w:pPr>
        <w:rPr>
          <w:rFonts w:ascii="Arial" w:hAnsi="Arial" w:cs="Arial"/>
        </w:rPr>
      </w:pPr>
      <w:r>
        <w:rPr>
          <w:rFonts w:ascii="Arial" w:hAnsi="Arial" w:cs="Arial"/>
        </w:rPr>
        <w:t>Notation:</w:t>
      </w:r>
      <w:r>
        <w:rPr>
          <w:rFonts w:ascii="Arial" w:hAnsi="Arial" w:cs="Arial"/>
        </w:rPr>
        <w:tab/>
      </w:r>
    </w:p>
    <w:p w:rsidR="0083466E" w:rsidRDefault="00306B52">
      <w:pPr>
        <w:rPr>
          <w:rFonts w:ascii="Arial" w:hAnsi="Arial" w:cs="Arial"/>
        </w:rPr>
      </w:pPr>
      <w:r>
        <w:rPr>
          <w:rFonts w:ascii="Arial" w:hAnsi="Arial" w:cs="Arial"/>
        </w:rPr>
        <w:t xml:space="preserve"> </w:t>
      </w:r>
      <m:oMath>
        <m:r>
          <m:rPr>
            <m:sty m:val="p"/>
          </m:rPr>
          <w:rPr>
            <w:rFonts w:ascii="Cambria Math" w:hAnsi="Cambria Math" w:cs="Arial"/>
          </w:rPr>
          <m:t>∆</m:t>
        </m:r>
      </m:oMath>
      <w:r>
        <w:rPr>
          <w:rFonts w:ascii="Arial" w:hAnsi="Arial" w:cs="Arial"/>
        </w:rPr>
        <w:t>W</w:t>
      </w:r>
      <w:r>
        <w:rPr>
          <w:rFonts w:ascii="Arial" w:hAnsi="Arial" w:cs="Arial"/>
        </w:rPr>
        <w:tab/>
        <w:t>= Absolute weight gain (g)</w:t>
      </w:r>
    </w:p>
    <w:p w:rsidR="0083466E" w:rsidRDefault="00306B52">
      <w:pPr>
        <w:rPr>
          <w:rFonts w:ascii="Arial" w:hAnsi="Arial" w:cs="Arial"/>
        </w:rPr>
      </w:pPr>
      <w:r>
        <w:rPr>
          <w:rFonts w:ascii="Arial" w:hAnsi="Arial" w:cs="Arial"/>
        </w:rPr>
        <w:t>Wt</w:t>
      </w:r>
      <w:r>
        <w:rPr>
          <w:rFonts w:ascii="Arial" w:hAnsi="Arial" w:cs="Arial"/>
        </w:rPr>
        <w:tab/>
        <w:t xml:space="preserve">= Average lobster weight at </w:t>
      </w:r>
      <w:r>
        <w:rPr>
          <w:rFonts w:ascii="Arial" w:hAnsi="Arial" w:cs="Arial"/>
        </w:rPr>
        <w:t>the end of the rearing period (g)</w:t>
      </w:r>
    </w:p>
    <w:p w:rsidR="0083466E" w:rsidRDefault="00306B52">
      <w:pPr>
        <w:rPr>
          <w:rFonts w:ascii="Arial" w:hAnsi="Arial" w:cs="Arial"/>
        </w:rPr>
      </w:pPr>
      <w:r>
        <w:rPr>
          <w:rFonts w:ascii="Arial" w:hAnsi="Arial" w:cs="Arial"/>
        </w:rPr>
        <w:t>Wo</w:t>
      </w:r>
      <w:r>
        <w:rPr>
          <w:rFonts w:ascii="Arial" w:hAnsi="Arial" w:cs="Arial"/>
        </w:rPr>
        <w:tab/>
        <w:t>= Average lobster weight at the start of the rearing period (g)</w:t>
      </w:r>
    </w:p>
    <w:p w:rsidR="0083466E" w:rsidRDefault="0083466E">
      <w:pPr>
        <w:rPr>
          <w:rFonts w:ascii="Arial" w:hAnsi="Arial" w:cs="Arial"/>
          <w:sz w:val="22"/>
          <w:szCs w:val="22"/>
        </w:rPr>
      </w:pPr>
    </w:p>
    <w:p w:rsidR="0083466E" w:rsidRDefault="00306B52">
      <w:pPr>
        <w:rPr>
          <w:rFonts w:ascii="Arial" w:hAnsi="Arial" w:cs="Arial"/>
          <w:b/>
        </w:rPr>
      </w:pPr>
      <w:r>
        <w:rPr>
          <w:rFonts w:ascii="Arial" w:hAnsi="Arial" w:cs="Arial"/>
          <w:b/>
        </w:rPr>
        <w:t>2.2.2 Absolute Length Growth</w:t>
      </w:r>
    </w:p>
    <w:p w:rsidR="0083466E" w:rsidRDefault="00306B52">
      <w:pPr>
        <w:jc w:val="both"/>
        <w:rPr>
          <w:rFonts w:ascii="Arial" w:hAnsi="Arial" w:cs="Arial"/>
        </w:rPr>
      </w:pPr>
      <w:r>
        <w:rPr>
          <w:rFonts w:ascii="Arial" w:hAnsi="Arial" w:cs="Arial"/>
        </w:rPr>
        <w:t xml:space="preserve">The equation for calculating absolute length gain was as follows (Mulkan </w:t>
      </w:r>
      <w:r>
        <w:rPr>
          <w:rFonts w:ascii="Arial" w:hAnsi="Arial" w:cs="Arial"/>
          <w:i/>
          <w:iCs/>
        </w:rPr>
        <w:t>et al.,</w:t>
      </w:r>
      <w:r>
        <w:rPr>
          <w:rFonts w:ascii="Arial" w:hAnsi="Arial" w:cs="Arial"/>
        </w:rPr>
        <w:t xml:space="preserve"> 2017):</w:t>
      </w:r>
    </w:p>
    <w:p w:rsidR="0083466E" w:rsidRDefault="00306B52">
      <w:pPr>
        <w:tabs>
          <w:tab w:val="left" w:pos="1560"/>
        </w:tabs>
        <w:jc w:val="center"/>
        <w:rPr>
          <w:rFonts w:ascii="Arial" w:hAnsi="Arial" w:cs="Arial"/>
          <w:b/>
          <w:bCs/>
        </w:rPr>
      </w:pPr>
      <w:r>
        <w:rPr>
          <w:rFonts w:ascii="Arial" w:hAnsi="Arial" w:cs="Arial"/>
          <w:b/>
          <w:bCs/>
        </w:rPr>
        <w:t>L = Lt — Lo</w:t>
      </w:r>
    </w:p>
    <w:p w:rsidR="0083466E" w:rsidRDefault="00306B52">
      <w:pPr>
        <w:rPr>
          <w:rFonts w:ascii="Arial" w:hAnsi="Arial" w:cs="Arial"/>
        </w:rPr>
      </w:pPr>
      <w:r>
        <w:rPr>
          <w:rFonts w:ascii="Arial" w:hAnsi="Arial" w:cs="Arial"/>
        </w:rPr>
        <w:t>Notation:</w:t>
      </w:r>
      <w:r>
        <w:rPr>
          <w:rFonts w:ascii="Arial" w:hAnsi="Arial" w:cs="Arial"/>
        </w:rPr>
        <w:tab/>
      </w:r>
    </w:p>
    <w:p w:rsidR="0083466E" w:rsidRDefault="00306B52">
      <w:pPr>
        <w:rPr>
          <w:rFonts w:ascii="Arial" w:hAnsi="Arial" w:cs="Arial"/>
        </w:rPr>
      </w:pPr>
      <w:r>
        <w:rPr>
          <w:rFonts w:ascii="Arial" w:hAnsi="Arial" w:cs="Arial"/>
        </w:rPr>
        <w:t xml:space="preserve"> L = Absolute </w:t>
      </w:r>
      <w:r>
        <w:rPr>
          <w:rFonts w:ascii="Arial" w:hAnsi="Arial" w:cs="Arial"/>
        </w:rPr>
        <w:t>length gain (cm)</w:t>
      </w:r>
    </w:p>
    <w:p w:rsidR="0083466E" w:rsidRDefault="00306B52">
      <w:pPr>
        <w:rPr>
          <w:rFonts w:ascii="Arial" w:hAnsi="Arial" w:cs="Arial"/>
        </w:rPr>
      </w:pPr>
      <w:r>
        <w:rPr>
          <w:rFonts w:ascii="Arial" w:hAnsi="Arial" w:cs="Arial"/>
        </w:rPr>
        <w:t>Lt = Average length at the end of the study (cm)</w:t>
      </w:r>
    </w:p>
    <w:p w:rsidR="0083466E" w:rsidRDefault="00306B52">
      <w:pPr>
        <w:rPr>
          <w:rFonts w:ascii="Arial" w:hAnsi="Arial" w:cs="Arial"/>
        </w:rPr>
      </w:pPr>
      <w:r>
        <w:rPr>
          <w:rFonts w:ascii="Arial" w:hAnsi="Arial" w:cs="Arial"/>
        </w:rPr>
        <w:t>Lo = average length at the start of the study (cm)</w:t>
      </w:r>
    </w:p>
    <w:p w:rsidR="0083466E" w:rsidRDefault="0083466E">
      <w:pPr>
        <w:rPr>
          <w:rFonts w:ascii="Times New Roman" w:hAnsi="Times New Roman"/>
          <w:b/>
          <w:bCs/>
        </w:rPr>
      </w:pPr>
    </w:p>
    <w:p w:rsidR="0083466E" w:rsidRDefault="00306B52">
      <w:pPr>
        <w:jc w:val="both"/>
        <w:rPr>
          <w:rFonts w:ascii="Arial" w:hAnsi="Arial" w:cs="Arial"/>
          <w:b/>
          <w:bCs/>
        </w:rPr>
      </w:pPr>
      <w:r>
        <w:rPr>
          <w:rFonts w:ascii="Arial" w:hAnsi="Arial" w:cs="Arial"/>
          <w:b/>
          <w:bCs/>
        </w:rPr>
        <w:t xml:space="preserve">2.2.3 </w:t>
      </w:r>
      <w:r>
        <w:rPr>
          <w:rFonts w:ascii="Arial" w:hAnsi="Arial" w:cs="Arial"/>
          <w:b/>
        </w:rPr>
        <w:t>Specific Growth Rate</w:t>
      </w:r>
    </w:p>
    <w:p w:rsidR="0083466E" w:rsidRDefault="00306B52">
      <w:pPr>
        <w:jc w:val="both"/>
        <w:rPr>
          <w:rFonts w:ascii="Arial" w:hAnsi="Arial" w:cs="Arial"/>
        </w:rPr>
      </w:pPr>
      <w:r>
        <w:rPr>
          <w:rFonts w:ascii="Arial" w:hAnsi="Arial" w:cs="Arial"/>
        </w:rPr>
        <w:t xml:space="preserve">The equation for calculating specific growth rate was as follows (Ririhena </w:t>
      </w:r>
      <w:r>
        <w:rPr>
          <w:rFonts w:ascii="Arial" w:hAnsi="Arial" w:cs="Arial"/>
          <w:i/>
          <w:iCs/>
        </w:rPr>
        <w:t>et al.,</w:t>
      </w:r>
      <w:r>
        <w:rPr>
          <w:rFonts w:ascii="Arial" w:hAnsi="Arial" w:cs="Arial"/>
        </w:rPr>
        <w:t xml:space="preserve"> 2021):</w:t>
      </w:r>
    </w:p>
    <w:p w:rsidR="0083466E" w:rsidRDefault="00306B52">
      <w:pPr>
        <w:jc w:val="center"/>
        <w:rPr>
          <w:rFonts w:ascii="Arial" w:hAnsi="Arial" w:cs="Arial"/>
          <w:b/>
          <w:bCs/>
        </w:rPr>
      </w:pPr>
      <w:r>
        <w:rPr>
          <w:rFonts w:ascii="Arial" w:hAnsi="Arial" w:cs="Arial"/>
          <w:b/>
          <w:bCs/>
        </w:rPr>
        <w:t xml:space="preserve">SGR = </w:t>
      </w:r>
      <m:oMath>
        <m:f>
          <m:fPr>
            <m:ctrlPr>
              <w:rPr>
                <w:rFonts w:ascii="Cambria Math" w:hAnsi="Cambria Math" w:cs="Arial"/>
                <w:b/>
                <w:bCs/>
              </w:rPr>
            </m:ctrlPr>
          </m:fPr>
          <m:num>
            <m:r>
              <m:rPr>
                <m:sty m:val="bi"/>
              </m:rPr>
              <w:rPr>
                <w:rFonts w:ascii="Cambria Math" w:hAnsi="Cambria Math" w:cs="Arial"/>
              </w:rPr>
              <m:t>Ln</m:t>
            </m:r>
            <m:r>
              <m:rPr>
                <m:sty m:val="b"/>
              </m:rPr>
              <w:rPr>
                <w:rFonts w:ascii="Cambria Math" w:hAnsi="Cambria Math" w:cs="Arial"/>
              </w:rPr>
              <m:t xml:space="preserve"> </m:t>
            </m:r>
            <m:r>
              <m:rPr>
                <m:sty m:val="bi"/>
              </m:rPr>
              <w:rPr>
                <w:rFonts w:ascii="Cambria Math" w:hAnsi="Cambria Math" w:cs="Arial"/>
              </w:rPr>
              <m:t>Wt</m:t>
            </m:r>
            <m:r>
              <m:rPr>
                <m:sty m:val="b"/>
              </m:rPr>
              <w:rPr>
                <w:rFonts w:ascii="Cambria Math" w:hAnsi="Cambria Math" w:cs="Arial"/>
              </w:rPr>
              <m:t>-</m:t>
            </m:r>
            <m:r>
              <m:rPr>
                <m:sty m:val="bi"/>
              </m:rPr>
              <w:rPr>
                <w:rFonts w:ascii="Cambria Math" w:hAnsi="Cambria Math" w:cs="Arial"/>
              </w:rPr>
              <m:t>Ln</m:t>
            </m:r>
            <m:r>
              <m:rPr>
                <m:sty m:val="b"/>
              </m:rPr>
              <w:rPr>
                <w:rFonts w:ascii="Cambria Math" w:hAnsi="Cambria Math" w:cs="Arial"/>
              </w:rPr>
              <m:t xml:space="preserve"> </m:t>
            </m:r>
            <m:r>
              <m:rPr>
                <m:sty m:val="bi"/>
              </m:rPr>
              <w:rPr>
                <w:rFonts w:ascii="Cambria Math" w:hAnsi="Cambria Math" w:cs="Arial"/>
              </w:rPr>
              <m:t>W</m:t>
            </m:r>
            <m:r>
              <m:rPr>
                <m:sty m:val="b"/>
              </m:rPr>
              <w:rPr>
                <w:rFonts w:ascii="Cambria Math" w:hAnsi="Cambria Math" w:cs="Arial"/>
              </w:rPr>
              <m:t>0</m:t>
            </m:r>
          </m:num>
          <m:den>
            <m:r>
              <m:rPr>
                <m:sty m:val="bi"/>
              </m:rPr>
              <w:rPr>
                <w:rFonts w:ascii="Cambria Math" w:hAnsi="Cambria Math" w:cs="Arial"/>
              </w:rPr>
              <m:t>t</m:t>
            </m:r>
          </m:den>
        </m:f>
        <m:r>
          <m:rPr>
            <m:sty m:val="b"/>
          </m:rPr>
          <w:rPr>
            <w:rFonts w:ascii="Cambria Math" w:hAnsi="Cambria Math" w:cs="Arial"/>
          </w:rPr>
          <m:t xml:space="preserve"> ×</m:t>
        </m:r>
        <m:r>
          <m:rPr>
            <m:sty m:val="b"/>
          </m:rPr>
          <w:rPr>
            <w:rFonts w:ascii="Cambria Math" w:hAnsi="Cambria Math" w:cs="Arial"/>
          </w:rPr>
          <m:t>100</m:t>
        </m:r>
      </m:oMath>
    </w:p>
    <w:p w:rsidR="0083466E" w:rsidRDefault="00306B52">
      <w:pPr>
        <w:jc w:val="both"/>
        <w:rPr>
          <w:rFonts w:ascii="Arial" w:hAnsi="Arial" w:cs="Arial"/>
        </w:rPr>
      </w:pPr>
      <w:r>
        <w:rPr>
          <w:rFonts w:ascii="Arial" w:hAnsi="Arial" w:cs="Arial"/>
        </w:rPr>
        <w:lastRenderedPageBreak/>
        <w:t xml:space="preserve">Notation: </w:t>
      </w:r>
    </w:p>
    <w:p w:rsidR="0083466E" w:rsidRDefault="00306B52">
      <w:pPr>
        <w:jc w:val="both"/>
        <w:rPr>
          <w:rFonts w:ascii="Arial" w:hAnsi="Arial" w:cs="Arial"/>
        </w:rPr>
      </w:pPr>
      <w:r>
        <w:rPr>
          <w:rFonts w:ascii="Arial" w:hAnsi="Arial" w:cs="Arial"/>
        </w:rPr>
        <w:t>SGR</w:t>
      </w:r>
      <w:r>
        <w:rPr>
          <w:rFonts w:ascii="Arial" w:hAnsi="Arial" w:cs="Arial"/>
        </w:rPr>
        <w:tab/>
        <w:t>= specific growth rate (%/day)</w:t>
      </w:r>
    </w:p>
    <w:p w:rsidR="0083466E" w:rsidRDefault="00306B52">
      <w:pPr>
        <w:jc w:val="both"/>
        <w:rPr>
          <w:rFonts w:ascii="Arial" w:hAnsi="Arial" w:cs="Arial"/>
        </w:rPr>
      </w:pPr>
      <w:r>
        <w:rPr>
          <w:rFonts w:ascii="Arial" w:hAnsi="Arial" w:cs="Arial"/>
        </w:rPr>
        <w:t xml:space="preserve">Wt </w:t>
      </w:r>
      <w:r>
        <w:rPr>
          <w:rFonts w:ascii="Arial" w:hAnsi="Arial" w:cs="Arial"/>
        </w:rPr>
        <w:tab/>
        <w:t>= verage lobster weight at the end of the rearing period (g)</w:t>
      </w:r>
    </w:p>
    <w:p w:rsidR="0083466E" w:rsidRDefault="00306B52">
      <w:pPr>
        <w:jc w:val="both"/>
        <w:rPr>
          <w:rFonts w:ascii="Arial" w:hAnsi="Arial" w:cs="Arial"/>
        </w:rPr>
      </w:pPr>
      <w:r>
        <w:rPr>
          <w:rFonts w:ascii="Arial" w:hAnsi="Arial" w:cs="Arial"/>
        </w:rPr>
        <w:t xml:space="preserve">W0 </w:t>
      </w:r>
      <w:r>
        <w:rPr>
          <w:rFonts w:ascii="Arial" w:hAnsi="Arial" w:cs="Arial"/>
        </w:rPr>
        <w:tab/>
        <w:t>= average lobster weight at the start of the rearing period (g)</w:t>
      </w:r>
    </w:p>
    <w:p w:rsidR="0083466E" w:rsidRDefault="00306B52">
      <w:pPr>
        <w:jc w:val="both"/>
        <w:rPr>
          <w:rFonts w:ascii="Arial" w:hAnsi="Arial" w:cs="Arial"/>
        </w:rPr>
      </w:pPr>
      <w:r>
        <w:rPr>
          <w:rFonts w:ascii="Arial" w:hAnsi="Arial" w:cs="Arial"/>
        </w:rPr>
        <w:t>T</w:t>
      </w:r>
      <w:r>
        <w:rPr>
          <w:rFonts w:ascii="Arial" w:hAnsi="Arial" w:cs="Arial"/>
        </w:rPr>
        <w:tab/>
        <w:t>= treatment duration (days)</w:t>
      </w:r>
      <w:r>
        <w:rPr>
          <w:rFonts w:ascii="Arial" w:hAnsi="Arial" w:cs="Arial"/>
        </w:rPr>
        <w:tab/>
      </w:r>
    </w:p>
    <w:p w:rsidR="0083466E" w:rsidRDefault="0083466E">
      <w:pPr>
        <w:jc w:val="both"/>
        <w:rPr>
          <w:rFonts w:ascii="Arial" w:hAnsi="Arial" w:cs="Arial"/>
        </w:rPr>
      </w:pPr>
    </w:p>
    <w:p w:rsidR="0083466E" w:rsidRDefault="00306B52">
      <w:pPr>
        <w:pStyle w:val="Body"/>
        <w:spacing w:after="0"/>
        <w:rPr>
          <w:rFonts w:ascii="Arial" w:hAnsi="Arial" w:cs="Arial"/>
        </w:rPr>
      </w:pPr>
      <w:r>
        <w:rPr>
          <w:rFonts w:ascii="Arial" w:hAnsi="Arial" w:cs="Arial"/>
          <w:b/>
          <w:bCs/>
        </w:rPr>
        <w:t xml:space="preserve">2.2.4 </w:t>
      </w:r>
      <w:r>
        <w:rPr>
          <w:rFonts w:ascii="Arial" w:hAnsi="Arial" w:cs="Arial"/>
          <w:b/>
        </w:rPr>
        <w:t xml:space="preserve">Survival Rate </w:t>
      </w:r>
    </w:p>
    <w:p w:rsidR="0083466E" w:rsidRDefault="00306B52">
      <w:pPr>
        <w:jc w:val="both"/>
        <w:rPr>
          <w:rFonts w:ascii="Arial" w:hAnsi="Arial" w:cs="Arial"/>
        </w:rPr>
      </w:pPr>
      <w:r>
        <w:rPr>
          <w:rFonts w:ascii="Arial" w:hAnsi="Arial" w:cs="Arial"/>
        </w:rPr>
        <w:t>The equat</w:t>
      </w:r>
      <w:r>
        <w:rPr>
          <w:rFonts w:ascii="Arial" w:hAnsi="Arial" w:cs="Arial"/>
        </w:rPr>
        <w:t>ion for calculating survival rate was as follows (Ririhena &amp; Palunussa, 2021):</w:t>
      </w:r>
    </w:p>
    <w:p w:rsidR="0083466E" w:rsidRDefault="00306B52">
      <w:pPr>
        <w:jc w:val="center"/>
        <w:rPr>
          <w:rFonts w:ascii="Arial" w:hAnsi="Arial" w:cs="Arial"/>
          <w:b/>
          <w:bCs/>
        </w:rPr>
      </w:pPr>
      <w:r>
        <w:rPr>
          <w:rFonts w:ascii="Arial" w:hAnsi="Arial" w:cs="Arial"/>
          <w:b/>
          <w:bCs/>
        </w:rPr>
        <w:t xml:space="preserve">SR = </w:t>
      </w:r>
      <m:oMath>
        <m:d>
          <m:dPr>
            <m:ctrlPr>
              <w:rPr>
                <w:rFonts w:ascii="Cambria Math" w:hAnsi="Cambria Math" w:cs="Arial"/>
                <w:b/>
                <w:bCs/>
              </w:rPr>
            </m:ctrlPr>
          </m:dPr>
          <m:e>
            <m:f>
              <m:fPr>
                <m:ctrlPr>
                  <w:rPr>
                    <w:rFonts w:ascii="Cambria Math" w:hAnsi="Cambria Math" w:cs="Arial"/>
                    <w:b/>
                    <w:bCs/>
                  </w:rPr>
                </m:ctrlPr>
              </m:fPr>
              <m:num>
                <m:r>
                  <m:rPr>
                    <m:sty m:val="bi"/>
                  </m:rPr>
                  <w:rPr>
                    <w:rFonts w:ascii="Cambria Math" w:hAnsi="Cambria Math" w:cs="Arial"/>
                  </w:rPr>
                  <m:t>Nt</m:t>
                </m:r>
              </m:num>
              <m:den>
                <m:r>
                  <m:rPr>
                    <m:sty m:val="bi"/>
                  </m:rPr>
                  <w:rPr>
                    <w:rFonts w:ascii="Cambria Math" w:hAnsi="Cambria Math" w:cs="Arial"/>
                  </w:rPr>
                  <m:t>N</m:t>
                </m:r>
                <m:r>
                  <m:rPr>
                    <m:sty m:val="b"/>
                  </m:rPr>
                  <w:rPr>
                    <w:rFonts w:ascii="Cambria Math" w:hAnsi="Cambria Math" w:cs="Arial"/>
                  </w:rPr>
                  <m:t>0</m:t>
                </m:r>
              </m:den>
            </m:f>
          </m:e>
        </m:d>
        <m:r>
          <m:rPr>
            <m:sty m:val="b"/>
          </m:rPr>
          <w:rPr>
            <w:rFonts w:ascii="Cambria Math" w:hAnsi="Cambria Math" w:cs="Arial"/>
          </w:rPr>
          <m:t>×</m:t>
        </m:r>
        <m:r>
          <m:rPr>
            <m:sty m:val="b"/>
          </m:rPr>
          <w:rPr>
            <w:rFonts w:ascii="Cambria Math" w:hAnsi="Cambria Math" w:cs="Arial"/>
          </w:rPr>
          <m:t>100</m:t>
        </m:r>
        <m:r>
          <m:rPr>
            <m:sty m:val="b"/>
          </m:rPr>
          <w:rPr>
            <w:rFonts w:ascii="Cambria Math" w:hAnsi="Cambria Math" w:cs="Arial"/>
          </w:rPr>
          <m:t>%</m:t>
        </m:r>
      </m:oMath>
      <w:r>
        <w:rPr>
          <w:rFonts w:ascii="Arial" w:hAnsi="Arial" w:cs="Arial"/>
          <w:b/>
          <w:bCs/>
        </w:rPr>
        <w:tab/>
        <w:t xml:space="preserve">           </w:t>
      </w:r>
    </w:p>
    <w:p w:rsidR="0083466E" w:rsidRDefault="00306B52">
      <w:pPr>
        <w:jc w:val="both"/>
        <w:rPr>
          <w:rFonts w:ascii="Arial" w:hAnsi="Arial" w:cs="Arial"/>
        </w:rPr>
      </w:pPr>
      <w:r>
        <w:rPr>
          <w:rFonts w:ascii="Arial" w:hAnsi="Arial" w:cs="Arial"/>
        </w:rPr>
        <w:t>Notation:</w:t>
      </w:r>
    </w:p>
    <w:p w:rsidR="0083466E" w:rsidRDefault="00306B52">
      <w:pPr>
        <w:jc w:val="both"/>
        <w:rPr>
          <w:rFonts w:ascii="Arial" w:hAnsi="Arial" w:cs="Arial"/>
        </w:rPr>
      </w:pPr>
      <w:r>
        <w:rPr>
          <w:rFonts w:ascii="Arial" w:hAnsi="Arial" w:cs="Arial"/>
        </w:rPr>
        <w:t>SR = Survival Rate (%)</w:t>
      </w:r>
    </w:p>
    <w:p w:rsidR="0083466E" w:rsidRDefault="00306B52">
      <w:pPr>
        <w:jc w:val="both"/>
        <w:rPr>
          <w:rFonts w:ascii="Arial" w:hAnsi="Arial" w:cs="Arial"/>
        </w:rPr>
      </w:pPr>
      <w:r>
        <w:rPr>
          <w:rFonts w:ascii="Arial" w:hAnsi="Arial" w:cs="Arial"/>
        </w:rPr>
        <w:t>Nt = Total number of lobsters alive at the end of the study (individuals)</w:t>
      </w:r>
    </w:p>
    <w:p w:rsidR="0083466E" w:rsidRDefault="00306B52">
      <w:pPr>
        <w:jc w:val="both"/>
        <w:rPr>
          <w:rFonts w:ascii="Arial" w:hAnsi="Arial" w:cs="Arial"/>
        </w:rPr>
      </w:pPr>
      <w:r>
        <w:rPr>
          <w:rFonts w:ascii="Arial" w:hAnsi="Arial" w:cs="Arial"/>
        </w:rPr>
        <w:t>No = Total number of lobsters at the</w:t>
      </w:r>
      <w:r>
        <w:rPr>
          <w:rFonts w:ascii="Arial" w:hAnsi="Arial" w:cs="Arial"/>
        </w:rPr>
        <w:t xml:space="preserve"> start of the study (individuals)</w:t>
      </w:r>
    </w:p>
    <w:p w:rsidR="0083466E" w:rsidRDefault="0083466E">
      <w:pPr>
        <w:jc w:val="both"/>
        <w:rPr>
          <w:rFonts w:ascii="Arial" w:hAnsi="Arial" w:cs="Arial"/>
        </w:rPr>
      </w:pPr>
    </w:p>
    <w:p w:rsidR="0083466E" w:rsidRDefault="00306B52">
      <w:pPr>
        <w:pStyle w:val="Body"/>
        <w:spacing w:after="0"/>
        <w:rPr>
          <w:rFonts w:ascii="Arial" w:hAnsi="Arial" w:cs="Arial"/>
          <w:b/>
        </w:rPr>
      </w:pPr>
      <w:r>
        <w:rPr>
          <w:rFonts w:ascii="Arial" w:hAnsi="Arial" w:cs="Arial"/>
          <w:b/>
          <w:bCs/>
        </w:rPr>
        <w:t>2.2.5</w:t>
      </w:r>
      <w:r>
        <w:rPr>
          <w:rFonts w:ascii="Arial" w:hAnsi="Arial" w:cs="Arial"/>
        </w:rPr>
        <w:t xml:space="preserve"> </w:t>
      </w:r>
      <w:r>
        <w:rPr>
          <w:rFonts w:ascii="Arial" w:hAnsi="Arial" w:cs="Arial"/>
          <w:b/>
        </w:rPr>
        <w:t xml:space="preserve">Water Quality </w:t>
      </w:r>
    </w:p>
    <w:p w:rsidR="0083466E" w:rsidRDefault="00306B52">
      <w:pPr>
        <w:jc w:val="both"/>
        <w:rPr>
          <w:rFonts w:ascii="Arial" w:hAnsi="Arial" w:cs="Arial"/>
        </w:rPr>
      </w:pPr>
      <w:r>
        <w:rPr>
          <w:rFonts w:ascii="Arial" w:hAnsi="Arial" w:cs="Arial"/>
        </w:rPr>
        <w:t>Water quality parameters included temperature measured using a thermometer, pH measured using a pH meter, dissolved oxygen measured using a DO kit, and salinity measured using a refractometer. Measure</w:t>
      </w:r>
      <w:r>
        <w:rPr>
          <w:rFonts w:ascii="Arial" w:hAnsi="Arial" w:cs="Arial"/>
        </w:rPr>
        <w:t xml:space="preserve">ments followed the water quality assessment procedures outlined in SNI 7828:2012 (Atikah </w:t>
      </w:r>
      <w:r>
        <w:rPr>
          <w:rFonts w:ascii="Arial" w:hAnsi="Arial" w:cs="Arial"/>
          <w:i/>
          <w:iCs/>
        </w:rPr>
        <w:t>et al.,</w:t>
      </w:r>
      <w:r>
        <w:rPr>
          <w:rFonts w:ascii="Arial" w:hAnsi="Arial" w:cs="Arial"/>
        </w:rPr>
        <w:t xml:space="preserve"> 2023).</w:t>
      </w:r>
    </w:p>
    <w:p w:rsidR="0083466E" w:rsidRDefault="0083466E">
      <w:pPr>
        <w:pStyle w:val="Body"/>
        <w:spacing w:after="0"/>
        <w:rPr>
          <w:rFonts w:ascii="Arial" w:hAnsi="Arial" w:cs="Arial"/>
        </w:rPr>
      </w:pPr>
    </w:p>
    <w:p w:rsidR="0083466E" w:rsidRDefault="00306B52">
      <w:pPr>
        <w:pStyle w:val="Body"/>
        <w:spacing w:after="0"/>
        <w:rPr>
          <w:rFonts w:ascii="Arial" w:hAnsi="Arial" w:cs="Arial"/>
          <w:b/>
          <w:bCs/>
          <w:sz w:val="22"/>
          <w:szCs w:val="22"/>
        </w:rPr>
      </w:pPr>
      <w:r>
        <w:rPr>
          <w:rFonts w:ascii="Arial" w:hAnsi="Arial" w:cs="Arial"/>
          <w:b/>
          <w:bCs/>
          <w:sz w:val="22"/>
          <w:szCs w:val="22"/>
        </w:rPr>
        <w:t xml:space="preserve">2.3  Data Analysis </w:t>
      </w:r>
    </w:p>
    <w:p w:rsidR="0083466E" w:rsidRDefault="0083466E">
      <w:pPr>
        <w:pStyle w:val="Body"/>
        <w:spacing w:after="0"/>
        <w:rPr>
          <w:rFonts w:ascii="Arial" w:hAnsi="Arial" w:cs="Arial"/>
          <w:b/>
          <w:bCs/>
          <w:sz w:val="22"/>
          <w:szCs w:val="22"/>
        </w:rPr>
      </w:pPr>
    </w:p>
    <w:p w:rsidR="0083466E" w:rsidRDefault="00306B52">
      <w:pPr>
        <w:pStyle w:val="Body"/>
        <w:spacing w:after="0"/>
        <w:rPr>
          <w:rFonts w:ascii="Arial" w:hAnsi="Arial" w:cs="Arial"/>
          <w:b/>
          <w:bCs/>
          <w:sz w:val="22"/>
          <w:szCs w:val="22"/>
        </w:rPr>
      </w:pPr>
      <w:r>
        <w:rPr>
          <w:rFonts w:ascii="Arial" w:hAnsi="Arial" w:cs="Arial"/>
          <w:szCs w:val="22"/>
        </w:rPr>
        <w:t>Data obtained during the study were analyzed using analysis of variance (ANOVA) at a 5% significance level. This analysis aimed to</w:t>
      </w:r>
      <w:r>
        <w:rPr>
          <w:rFonts w:ascii="Arial" w:hAnsi="Arial" w:cs="Arial"/>
          <w:szCs w:val="22"/>
        </w:rPr>
        <w:t xml:space="preserve"> determine whether treatments significantly affected sand lobster seed growth parameters. If significant differences were detected, Duncan's multiple range test was performed. Water quality data were analyzed descriptively and presented in tabular form.</w:t>
      </w:r>
    </w:p>
    <w:p w:rsidR="0083466E" w:rsidRDefault="0083466E">
      <w:pPr>
        <w:pStyle w:val="Head1"/>
        <w:spacing w:after="0"/>
        <w:jc w:val="both"/>
        <w:rPr>
          <w:rFonts w:ascii="Arial" w:hAnsi="Arial" w:cs="Arial"/>
        </w:rPr>
      </w:pPr>
    </w:p>
    <w:p w:rsidR="0083466E" w:rsidRDefault="00306B52">
      <w:pPr>
        <w:pStyle w:val="Head1"/>
        <w:spacing w:after="0"/>
        <w:jc w:val="both"/>
        <w:rPr>
          <w:rFonts w:ascii="Arial" w:hAnsi="Arial" w:cs="Arial"/>
        </w:rPr>
      </w:pPr>
      <w:r>
        <w:rPr>
          <w:rFonts w:ascii="Arial" w:hAnsi="Arial" w:cs="Arial"/>
        </w:rPr>
        <w:t>3</w:t>
      </w:r>
      <w:r>
        <w:rPr>
          <w:rFonts w:ascii="Arial" w:hAnsi="Arial" w:cs="Arial"/>
        </w:rPr>
        <w:t xml:space="preserve">. RESULTS AND DISCUSSION  </w:t>
      </w:r>
    </w:p>
    <w:p w:rsidR="0083466E" w:rsidRDefault="0083466E">
      <w:pPr>
        <w:pStyle w:val="Body"/>
        <w:spacing w:after="0"/>
        <w:rPr>
          <w:rFonts w:ascii="Arial" w:hAnsi="Arial" w:cs="Arial"/>
        </w:rPr>
      </w:pPr>
    </w:p>
    <w:p w:rsidR="0083466E" w:rsidRDefault="00306B52">
      <w:pPr>
        <w:pStyle w:val="Body"/>
        <w:spacing w:after="0"/>
        <w:rPr>
          <w:rFonts w:ascii="Arial" w:hAnsi="Arial" w:cs="Arial"/>
        </w:rPr>
      </w:pPr>
      <w:r>
        <w:rPr>
          <w:rFonts w:ascii="Arial" w:hAnsi="Arial" w:cs="Arial"/>
          <w:b/>
          <w:caps/>
          <w:sz w:val="22"/>
        </w:rPr>
        <w:t xml:space="preserve">3.1 </w:t>
      </w:r>
      <w:r>
        <w:rPr>
          <w:rFonts w:ascii="Arial" w:hAnsi="Arial" w:cs="Arial"/>
          <w:b/>
          <w:sz w:val="22"/>
        </w:rPr>
        <w:t>Results</w:t>
      </w:r>
    </w:p>
    <w:p w:rsidR="0083466E" w:rsidRDefault="0083466E">
      <w:pPr>
        <w:pStyle w:val="Body"/>
        <w:spacing w:after="0"/>
        <w:rPr>
          <w:rFonts w:ascii="Arial" w:hAnsi="Arial" w:cs="Arial"/>
        </w:rPr>
      </w:pPr>
    </w:p>
    <w:p w:rsidR="0083466E" w:rsidRDefault="00306B52">
      <w:pPr>
        <w:pStyle w:val="Body"/>
        <w:spacing w:after="0"/>
        <w:rPr>
          <w:rFonts w:ascii="Arial" w:hAnsi="Arial" w:cs="Arial"/>
          <w:b/>
        </w:rPr>
      </w:pPr>
      <w:r>
        <w:rPr>
          <w:rFonts w:ascii="Arial" w:hAnsi="Arial" w:cs="Arial"/>
          <w:b/>
        </w:rPr>
        <w:t>3.1.1 Absolute Weight Growth</w:t>
      </w:r>
    </w:p>
    <w:p w:rsidR="0083466E" w:rsidRDefault="0083466E">
      <w:pPr>
        <w:pStyle w:val="Body"/>
        <w:spacing w:after="0"/>
        <w:rPr>
          <w:rFonts w:ascii="Arial" w:hAnsi="Arial" w:cs="Arial"/>
        </w:rPr>
      </w:pPr>
    </w:p>
    <w:p w:rsidR="0083466E" w:rsidRDefault="00306B52">
      <w:pPr>
        <w:pStyle w:val="Body"/>
        <w:spacing w:after="0"/>
        <w:rPr>
          <w:rFonts w:ascii="Arial" w:hAnsi="Arial" w:cs="Arial"/>
        </w:rPr>
      </w:pPr>
      <w:r>
        <w:rPr>
          <w:rFonts w:ascii="Arial" w:hAnsi="Arial" w:cs="Arial"/>
        </w:rPr>
        <w:t xml:space="preserve">Based on the results of the analysis of variance (ANOVA), the effect of using red spinach flour in moist feed had a significant effect (p&lt;0.05) on the absolute weight growth of lobster </w:t>
      </w:r>
      <w:r>
        <w:rPr>
          <w:rFonts w:ascii="Arial" w:hAnsi="Arial" w:cs="Arial"/>
        </w:rPr>
        <w:t>seeds, as shown in (Figure 2).</w:t>
      </w:r>
    </w:p>
    <w:p w:rsidR="0083466E" w:rsidRDefault="0083466E">
      <w:pPr>
        <w:pStyle w:val="Body"/>
        <w:spacing w:after="0"/>
        <w:rPr>
          <w:rFonts w:ascii="Arial" w:hAnsi="Arial" w:cs="Arial"/>
          <w:lang w:val="id-ID"/>
        </w:rPr>
      </w:pPr>
    </w:p>
    <w:p w:rsidR="0083466E" w:rsidRDefault="00306B52">
      <w:pPr>
        <w:pStyle w:val="Body"/>
        <w:spacing w:after="0"/>
        <w:jc w:val="center"/>
        <w:rPr>
          <w:rFonts w:ascii="Arial" w:hAnsi="Arial" w:cs="Arial"/>
          <w:lang w:val="id-ID"/>
        </w:rPr>
      </w:pPr>
      <w:r>
        <w:rPr>
          <w:rFonts w:ascii="Arial" w:hAnsi="Arial" w:cs="Arial"/>
          <w:noProof/>
          <w:lang w:val="id-ID"/>
        </w:rPr>
        <w:drawing>
          <wp:inline distT="0" distB="0" distL="0" distR="0">
            <wp:extent cx="3136900" cy="2048137"/>
            <wp:effectExtent l="0" t="0" r="6350" b="9525"/>
            <wp:docPr id="103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1"/>
                    <pic:cNvPicPr/>
                  </pic:nvPicPr>
                  <pic:blipFill>
                    <a:blip r:embed="rId15" cstate="print"/>
                    <a:srcRect/>
                    <a:stretch/>
                  </pic:blipFill>
                  <pic:spPr>
                    <a:xfrm>
                      <a:off x="0" y="0"/>
                      <a:ext cx="3136900" cy="2048137"/>
                    </a:xfrm>
                    <a:prstGeom prst="rect">
                      <a:avLst/>
                    </a:prstGeom>
                    <a:ln>
                      <a:noFill/>
                    </a:ln>
                  </pic:spPr>
                </pic:pic>
              </a:graphicData>
            </a:graphic>
          </wp:inline>
        </w:drawing>
      </w:r>
    </w:p>
    <w:p w:rsidR="0083466E" w:rsidRDefault="00306B52">
      <w:pPr>
        <w:pStyle w:val="Heading1"/>
        <w:jc w:val="center"/>
        <w:rPr>
          <w:b w:val="0"/>
          <w:sz w:val="20"/>
          <w:szCs w:val="22"/>
        </w:rPr>
      </w:pPr>
      <w:r>
        <w:rPr>
          <w:b w:val="0"/>
          <w:sz w:val="20"/>
          <w:szCs w:val="22"/>
        </w:rPr>
        <w:lastRenderedPageBreak/>
        <w:t>Figure 2. Absolute weight growth of sand lobsters fed moist feed supplemented with different percentages of spinach flour (A: moist feed without spinach flour, B: moist feed + 4%, C: moist feed + 8% spinach flour, D: moist</w:t>
      </w:r>
      <w:r>
        <w:rPr>
          <w:b w:val="0"/>
          <w:sz w:val="20"/>
          <w:szCs w:val="22"/>
        </w:rPr>
        <w:t xml:space="preserve"> feed + 10% spinach flour, E: moist feed + 12% spinach flour)</w:t>
      </w:r>
    </w:p>
    <w:p w:rsidR="0083466E" w:rsidRDefault="0083466E">
      <w:pPr>
        <w:pStyle w:val="Body"/>
        <w:spacing w:after="0"/>
        <w:rPr>
          <w:rFonts w:ascii="Arial" w:hAnsi="Arial" w:cs="Arial"/>
        </w:rPr>
      </w:pPr>
    </w:p>
    <w:p w:rsidR="0083466E" w:rsidRDefault="00306B52">
      <w:pPr>
        <w:pStyle w:val="Body"/>
        <w:spacing w:after="0"/>
        <w:rPr>
          <w:rFonts w:ascii="Arial" w:hAnsi="Arial" w:cs="Arial"/>
        </w:rPr>
      </w:pPr>
      <w:r>
        <w:rPr>
          <w:rFonts w:ascii="Arial" w:hAnsi="Arial" w:cs="Arial"/>
        </w:rPr>
        <w:t>The treatment of feeding 100% moist feed (control) (A) was significantly different from feeding 12% spinach flour (E), but not significantly different from feeding 4% spinach flour (B), 8% spin</w:t>
      </w:r>
      <w:r>
        <w:rPr>
          <w:rFonts w:ascii="Arial" w:hAnsi="Arial" w:cs="Arial"/>
        </w:rPr>
        <w:t xml:space="preserve">ach flour (C), and 10% spinach flour (D). The treatment of feeding 4% spinach flour (B) was significantly different from the treatment of 10% spinach flour (D) and 12% spinach flour (E), and was not significantly different from the treatment of feeding 8% </w:t>
      </w:r>
      <w:r>
        <w:rPr>
          <w:rFonts w:ascii="Arial" w:hAnsi="Arial" w:cs="Arial"/>
        </w:rPr>
        <w:t>spinach flour (C) and 100% moist feed (A). The treatment of 8% spinach flour (C) was significantly different from the treatments of 10% spinach flour (D) and 12% spinach flour (E), while the treatment of 10% spinach flour (D) was not significantly differen</w:t>
      </w:r>
      <w:r>
        <w:rPr>
          <w:rFonts w:ascii="Arial" w:hAnsi="Arial" w:cs="Arial"/>
        </w:rPr>
        <w:t>t from the treatment of 12% spinach flour (E).</w:t>
      </w:r>
    </w:p>
    <w:p w:rsidR="0083466E" w:rsidRDefault="0083466E">
      <w:pPr>
        <w:pStyle w:val="Body"/>
        <w:spacing w:after="0"/>
        <w:rPr>
          <w:rFonts w:ascii="Arial" w:hAnsi="Arial" w:cs="Arial"/>
        </w:rPr>
      </w:pPr>
    </w:p>
    <w:p w:rsidR="0083466E" w:rsidRDefault="00306B52">
      <w:pPr>
        <w:pStyle w:val="Body"/>
        <w:spacing w:after="0"/>
        <w:rPr>
          <w:rFonts w:ascii="Arial" w:hAnsi="Arial" w:cs="Arial"/>
        </w:rPr>
      </w:pPr>
      <w:r>
        <w:rPr>
          <w:rFonts w:ascii="Arial" w:hAnsi="Arial" w:cs="Arial"/>
          <w:b/>
        </w:rPr>
        <w:t xml:space="preserve">3.1.2 Absolute Length Growth </w:t>
      </w:r>
    </w:p>
    <w:p w:rsidR="0083466E" w:rsidRDefault="0083466E">
      <w:pPr>
        <w:pStyle w:val="Body"/>
        <w:spacing w:after="0"/>
        <w:rPr>
          <w:rFonts w:ascii="Arial" w:hAnsi="Arial" w:cs="Arial"/>
        </w:rPr>
      </w:pPr>
    </w:p>
    <w:p w:rsidR="0083466E" w:rsidRDefault="00306B52">
      <w:pPr>
        <w:pStyle w:val="Body"/>
        <w:spacing w:after="0"/>
        <w:rPr>
          <w:rFonts w:ascii="Arial" w:hAnsi="Arial" w:cs="Arial"/>
        </w:rPr>
      </w:pPr>
      <w:r>
        <w:rPr>
          <w:rFonts w:ascii="Arial" w:hAnsi="Arial" w:cs="Arial"/>
        </w:rPr>
        <w:t xml:space="preserve">Based on the results of the analysis of variance (ANOVA), the effect of using red spinach flour in moist feed had a significant effect (p&lt;0.05) on the absolute length growth of </w:t>
      </w:r>
      <w:r>
        <w:rPr>
          <w:rFonts w:ascii="Arial" w:hAnsi="Arial" w:cs="Arial"/>
        </w:rPr>
        <w:t>lobster seeds, as shown in (Figure 3).</w:t>
      </w:r>
    </w:p>
    <w:p w:rsidR="0083466E" w:rsidRDefault="0083466E">
      <w:pPr>
        <w:pStyle w:val="Body"/>
        <w:spacing w:after="0"/>
        <w:rPr>
          <w:rFonts w:ascii="Arial" w:hAnsi="Arial" w:cs="Arial"/>
          <w:lang w:val="id-ID"/>
        </w:rPr>
      </w:pPr>
    </w:p>
    <w:p w:rsidR="0083466E" w:rsidRDefault="00306B52">
      <w:pPr>
        <w:pStyle w:val="Body"/>
        <w:spacing w:after="0"/>
        <w:jc w:val="center"/>
        <w:rPr>
          <w:rFonts w:ascii="Arial" w:hAnsi="Arial" w:cs="Arial"/>
          <w:lang w:val="id-ID"/>
        </w:rPr>
      </w:pPr>
      <w:r>
        <w:rPr>
          <w:rFonts w:ascii="Times New Roman" w:hAnsi="Times New Roman"/>
          <w:noProof/>
          <w:sz w:val="24"/>
        </w:rPr>
        <w:t xml:space="preserve"> </w:t>
      </w:r>
      <w:r>
        <w:rPr>
          <w:rFonts w:ascii="Times New Roman" w:hAnsi="Times New Roman"/>
          <w:noProof/>
          <w:sz w:val="24"/>
        </w:rPr>
        <w:drawing>
          <wp:inline distT="0" distB="0" distL="0" distR="0">
            <wp:extent cx="3192608" cy="2049145"/>
            <wp:effectExtent l="0" t="0" r="8255" b="8255"/>
            <wp:docPr id="1032"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7"/>
                    <pic:cNvPicPr/>
                  </pic:nvPicPr>
                  <pic:blipFill>
                    <a:blip r:embed="rId16" cstate="print"/>
                    <a:srcRect/>
                    <a:stretch/>
                  </pic:blipFill>
                  <pic:spPr>
                    <a:xfrm>
                      <a:off x="0" y="0"/>
                      <a:ext cx="3192608" cy="2049145"/>
                    </a:xfrm>
                    <a:prstGeom prst="rect">
                      <a:avLst/>
                    </a:prstGeom>
                    <a:ln>
                      <a:noFill/>
                    </a:ln>
                  </pic:spPr>
                </pic:pic>
              </a:graphicData>
            </a:graphic>
          </wp:inline>
        </w:drawing>
      </w:r>
    </w:p>
    <w:p w:rsidR="0083466E" w:rsidRDefault="00306B52">
      <w:pPr>
        <w:pStyle w:val="Heading1"/>
        <w:jc w:val="center"/>
        <w:rPr>
          <w:b w:val="0"/>
          <w:sz w:val="20"/>
          <w:szCs w:val="22"/>
        </w:rPr>
      </w:pPr>
      <w:r>
        <w:rPr>
          <w:b w:val="0"/>
          <w:sz w:val="20"/>
          <w:szCs w:val="22"/>
        </w:rPr>
        <w:t>Figure 3. Absolute length growth of sand lobster larvae with moist feed supplemented with different percentages of spinach flour (A: moist feed without spinach flour, B: moist feed + 4%, C: moist feed + 8% spinach</w:t>
      </w:r>
      <w:r>
        <w:rPr>
          <w:b w:val="0"/>
          <w:sz w:val="20"/>
          <w:szCs w:val="22"/>
        </w:rPr>
        <w:t xml:space="preserve"> flour, D: moist feed + 10% spinach flour, E: moist feed + 12% spinach flour)</w:t>
      </w:r>
    </w:p>
    <w:p w:rsidR="0083466E" w:rsidRDefault="0083466E">
      <w:pPr>
        <w:pStyle w:val="Body"/>
        <w:spacing w:after="0"/>
        <w:rPr>
          <w:rFonts w:ascii="Arial" w:hAnsi="Arial" w:cs="Arial"/>
        </w:rPr>
      </w:pPr>
    </w:p>
    <w:p w:rsidR="0083466E" w:rsidRDefault="00306B52">
      <w:pPr>
        <w:pStyle w:val="Body"/>
        <w:spacing w:after="0"/>
        <w:rPr>
          <w:rFonts w:ascii="Arial" w:hAnsi="Arial" w:cs="Arial"/>
        </w:rPr>
      </w:pPr>
      <w:r>
        <w:rPr>
          <w:rFonts w:ascii="Arial" w:hAnsi="Arial" w:cs="Arial"/>
        </w:rPr>
        <w:t>Treatment with 100% moist feed (control) (A) was significantly different from treatment with 8% spinach flour (C), not significantly different from treatment with 4% spinach flo</w:t>
      </w:r>
      <w:r>
        <w:rPr>
          <w:rFonts w:ascii="Arial" w:hAnsi="Arial" w:cs="Arial"/>
        </w:rPr>
        <w:t>ur (B), 10% spinach flour (D) and 12% spinach flour (E). Treatment with 4% spinach flour (B) was significantly different from treatment with 10% spinach flour (D) and 12% spinach flour (E), but not significantly different from treatment with 8% spinach flo</w:t>
      </w:r>
      <w:r>
        <w:rPr>
          <w:rFonts w:ascii="Arial" w:hAnsi="Arial" w:cs="Arial"/>
        </w:rPr>
        <w:t xml:space="preserve">ur (C) and 100% moist feed (A). The treatment with 8% spinach flour (C) was significantly different from the treatment with 100% moist feed (A), 10% spinach flour (D), and 12% spinach flour (E). </w:t>
      </w:r>
    </w:p>
    <w:p w:rsidR="0083466E" w:rsidRDefault="0083466E">
      <w:pPr>
        <w:pStyle w:val="Body"/>
        <w:spacing w:after="0"/>
        <w:rPr>
          <w:rFonts w:ascii="Arial" w:hAnsi="Arial" w:cs="Arial"/>
        </w:rPr>
      </w:pPr>
    </w:p>
    <w:p w:rsidR="0083466E" w:rsidRDefault="00306B52">
      <w:pPr>
        <w:pStyle w:val="Body"/>
        <w:spacing w:after="0"/>
        <w:rPr>
          <w:rFonts w:ascii="Arial" w:hAnsi="Arial" w:cs="Arial"/>
        </w:rPr>
      </w:pPr>
      <w:r>
        <w:rPr>
          <w:rFonts w:ascii="Arial" w:hAnsi="Arial" w:cs="Arial"/>
          <w:b/>
        </w:rPr>
        <w:t xml:space="preserve">3.1.3 Specific Growth Rate </w:t>
      </w:r>
    </w:p>
    <w:p w:rsidR="0083466E" w:rsidRDefault="00306B52">
      <w:pPr>
        <w:pStyle w:val="Body"/>
        <w:spacing w:after="0"/>
        <w:rPr>
          <w:rFonts w:ascii="Arial" w:hAnsi="Arial" w:cs="Arial"/>
        </w:rPr>
      </w:pPr>
      <w:r>
        <w:rPr>
          <w:rFonts w:ascii="Arial" w:hAnsi="Arial" w:cs="Arial"/>
        </w:rPr>
        <w:t>Based on the results of the ana</w:t>
      </w:r>
      <w:r>
        <w:rPr>
          <w:rFonts w:ascii="Arial" w:hAnsi="Arial" w:cs="Arial"/>
        </w:rPr>
        <w:t>lysis of variance (ANOVA), the effect of using red spinach flour in moist feed had a significant effect (p&lt;0.05) on the specific growth rate of lobster seeds, as shown in (Figure 4).</w:t>
      </w:r>
    </w:p>
    <w:p w:rsidR="0083466E" w:rsidRDefault="00306B52">
      <w:pPr>
        <w:pStyle w:val="Body"/>
        <w:spacing w:after="0"/>
        <w:jc w:val="center"/>
        <w:rPr>
          <w:rFonts w:ascii="Arial" w:hAnsi="Arial" w:cs="Arial"/>
          <w:lang w:val="id-ID"/>
        </w:rPr>
      </w:pPr>
      <w:r>
        <w:rPr>
          <w:rFonts w:ascii="Arial" w:hAnsi="Arial" w:cs="Arial"/>
          <w:noProof/>
          <w:lang w:val="id-ID"/>
        </w:rPr>
        <w:lastRenderedPageBreak/>
        <w:drawing>
          <wp:inline distT="0" distB="0" distL="0" distR="0">
            <wp:extent cx="3161665" cy="2086610"/>
            <wp:effectExtent l="0" t="0" r="635" b="8890"/>
            <wp:docPr id="1033"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9"/>
                    <pic:cNvPicPr/>
                  </pic:nvPicPr>
                  <pic:blipFill>
                    <a:blip r:embed="rId17" cstate="print"/>
                    <a:srcRect/>
                    <a:stretch/>
                  </pic:blipFill>
                  <pic:spPr>
                    <a:xfrm>
                      <a:off x="0" y="0"/>
                      <a:ext cx="3161665" cy="2086610"/>
                    </a:xfrm>
                    <a:prstGeom prst="rect">
                      <a:avLst/>
                    </a:prstGeom>
                    <a:ln>
                      <a:noFill/>
                    </a:ln>
                  </pic:spPr>
                </pic:pic>
              </a:graphicData>
            </a:graphic>
          </wp:inline>
        </w:drawing>
      </w:r>
    </w:p>
    <w:p w:rsidR="0083466E" w:rsidRDefault="00306B52">
      <w:pPr>
        <w:pStyle w:val="Heading1"/>
        <w:jc w:val="center"/>
        <w:rPr>
          <w:b w:val="0"/>
          <w:sz w:val="20"/>
          <w:szCs w:val="22"/>
        </w:rPr>
      </w:pPr>
      <w:r>
        <w:rPr>
          <w:b w:val="0"/>
          <w:sz w:val="20"/>
          <w:szCs w:val="22"/>
        </w:rPr>
        <w:t>Figure 4. Specific growth rate of sand lobster larvae with moist feed s</w:t>
      </w:r>
      <w:r>
        <w:rPr>
          <w:b w:val="0"/>
          <w:sz w:val="20"/>
          <w:szCs w:val="22"/>
        </w:rPr>
        <w:t>upplemented with different percentages of spinach flour (A: moist feed without spinach flour, B: moist feed + 4%, C: moist feed + 8% spinach flour, D: moist feed + 10% spinach flour, E: moist feed + 12% spinach flour)</w:t>
      </w:r>
    </w:p>
    <w:p w:rsidR="0083466E" w:rsidRDefault="0083466E">
      <w:pPr>
        <w:jc w:val="center"/>
        <w:rPr>
          <w:szCs w:val="22"/>
        </w:rPr>
      </w:pPr>
    </w:p>
    <w:p w:rsidR="0083466E" w:rsidRDefault="0083466E">
      <w:pPr>
        <w:pStyle w:val="Body"/>
        <w:spacing w:after="0"/>
        <w:rPr>
          <w:rFonts w:ascii="Arial" w:hAnsi="Arial" w:cs="Arial"/>
        </w:rPr>
      </w:pPr>
    </w:p>
    <w:p w:rsidR="0083466E" w:rsidRDefault="00306B52">
      <w:pPr>
        <w:pStyle w:val="Body"/>
        <w:spacing w:after="0"/>
        <w:rPr>
          <w:rFonts w:ascii="Arial" w:hAnsi="Arial" w:cs="Arial"/>
        </w:rPr>
      </w:pPr>
      <w:r>
        <w:rPr>
          <w:rFonts w:ascii="Arial" w:hAnsi="Arial" w:cs="Arial"/>
        </w:rPr>
        <w:t>The treatment with 12% spinach flour</w:t>
      </w:r>
      <w:r>
        <w:rPr>
          <w:rFonts w:ascii="Arial" w:hAnsi="Arial" w:cs="Arial"/>
        </w:rPr>
        <w:t xml:space="preserve"> (E) was significantly different from the treatment with 4% spinach flour (B) and the treatment with 8% spinach flour (C), and was not different from the treatment with 100% moist feed (control) (A) and the treatment with 10% spinach flour (D).</w:t>
      </w:r>
    </w:p>
    <w:p w:rsidR="0083466E" w:rsidRDefault="0083466E">
      <w:pPr>
        <w:pStyle w:val="Body"/>
        <w:spacing w:after="0"/>
        <w:rPr>
          <w:rFonts w:ascii="Arial" w:hAnsi="Arial" w:cs="Arial"/>
          <w:b/>
        </w:rPr>
      </w:pPr>
    </w:p>
    <w:p w:rsidR="0083466E" w:rsidRDefault="00306B52">
      <w:pPr>
        <w:pStyle w:val="Body"/>
        <w:spacing w:after="0"/>
        <w:rPr>
          <w:rFonts w:ascii="Arial" w:hAnsi="Arial" w:cs="Arial"/>
        </w:rPr>
      </w:pPr>
      <w:r>
        <w:rPr>
          <w:rFonts w:ascii="Arial" w:hAnsi="Arial" w:cs="Arial"/>
          <w:b/>
        </w:rPr>
        <w:t>3.1.4 Surv</w:t>
      </w:r>
      <w:r>
        <w:rPr>
          <w:rFonts w:ascii="Arial" w:hAnsi="Arial" w:cs="Arial"/>
          <w:b/>
        </w:rPr>
        <w:t xml:space="preserve">ival Rate </w:t>
      </w:r>
    </w:p>
    <w:p w:rsidR="0083466E" w:rsidRDefault="0083466E">
      <w:pPr>
        <w:pStyle w:val="Body"/>
        <w:spacing w:after="0"/>
        <w:rPr>
          <w:rFonts w:ascii="Arial" w:hAnsi="Arial" w:cs="Arial"/>
          <w:b/>
        </w:rPr>
      </w:pPr>
    </w:p>
    <w:p w:rsidR="0083466E" w:rsidRDefault="00306B52">
      <w:pPr>
        <w:pStyle w:val="Body"/>
        <w:spacing w:after="0"/>
        <w:rPr>
          <w:rFonts w:ascii="Arial" w:hAnsi="Arial" w:cs="Arial"/>
        </w:rPr>
      </w:pPr>
      <w:r>
        <w:rPr>
          <w:rFonts w:ascii="Arial" w:hAnsi="Arial" w:cs="Arial"/>
        </w:rPr>
        <w:t>Based on the results of the analysis of variance (ANOVA), the use of red spinach flour in moist feed did not have a significant effect (p&gt;0.05) on the survival rate of lobster larvae, as shown in (Figure 5).</w:t>
      </w:r>
    </w:p>
    <w:p w:rsidR="0083466E" w:rsidRDefault="0083466E">
      <w:pPr>
        <w:pStyle w:val="Body"/>
        <w:spacing w:after="0"/>
        <w:rPr>
          <w:rFonts w:ascii="Arial" w:hAnsi="Arial" w:cs="Arial"/>
        </w:rPr>
      </w:pPr>
    </w:p>
    <w:p w:rsidR="0083466E" w:rsidRDefault="00306B52">
      <w:pPr>
        <w:pStyle w:val="Body"/>
        <w:spacing w:after="0"/>
        <w:jc w:val="center"/>
        <w:rPr>
          <w:rFonts w:ascii="Arial" w:hAnsi="Arial" w:cs="Arial"/>
          <w:lang w:val="id-ID"/>
        </w:rPr>
      </w:pPr>
      <w:r>
        <w:rPr>
          <w:rFonts w:ascii="Arial" w:hAnsi="Arial" w:cs="Arial"/>
          <w:noProof/>
          <w:lang w:val="id-ID"/>
        </w:rPr>
        <w:drawing>
          <wp:inline distT="0" distB="0" distL="0" distR="0">
            <wp:extent cx="3142705" cy="2068830"/>
            <wp:effectExtent l="0" t="0" r="635" b="7620"/>
            <wp:docPr id="1034"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0"/>
                    <pic:cNvPicPr/>
                  </pic:nvPicPr>
                  <pic:blipFill>
                    <a:blip r:embed="rId18" cstate="print"/>
                    <a:srcRect/>
                    <a:stretch/>
                  </pic:blipFill>
                  <pic:spPr>
                    <a:xfrm>
                      <a:off x="0" y="0"/>
                      <a:ext cx="3142705" cy="2068830"/>
                    </a:xfrm>
                    <a:prstGeom prst="rect">
                      <a:avLst/>
                    </a:prstGeom>
                    <a:ln>
                      <a:noFill/>
                    </a:ln>
                  </pic:spPr>
                </pic:pic>
              </a:graphicData>
            </a:graphic>
          </wp:inline>
        </w:drawing>
      </w:r>
    </w:p>
    <w:p w:rsidR="0083466E" w:rsidRDefault="00306B52">
      <w:pPr>
        <w:pStyle w:val="Heading1"/>
        <w:jc w:val="center"/>
        <w:rPr>
          <w:rFonts w:cs="Arial"/>
        </w:rPr>
      </w:pPr>
      <w:r>
        <w:rPr>
          <w:b w:val="0"/>
          <w:sz w:val="20"/>
          <w:szCs w:val="22"/>
        </w:rPr>
        <w:t xml:space="preserve">Figure 5. Survival rate of sand </w:t>
      </w:r>
      <w:r>
        <w:rPr>
          <w:b w:val="0"/>
          <w:sz w:val="20"/>
          <w:szCs w:val="22"/>
        </w:rPr>
        <w:t>lobster larvae fed moist feed supplemented with different percentages of spinach flour (A: moist feed without spinach flour, B: moist feed + 4%, C: moist feed + 8% spinach flour, D: moist feed + 10% spinach flour, E: moist feed + 12% spinach flour)</w:t>
      </w:r>
    </w:p>
    <w:p w:rsidR="0083466E" w:rsidRDefault="0083466E">
      <w:pPr>
        <w:jc w:val="center"/>
        <w:rPr>
          <w:rFonts w:ascii="Arial" w:hAnsi="Arial" w:cs="Arial"/>
        </w:rPr>
      </w:pPr>
    </w:p>
    <w:p w:rsidR="0083466E" w:rsidRDefault="0083466E">
      <w:pPr>
        <w:jc w:val="center"/>
        <w:rPr>
          <w:rFonts w:ascii="Arial" w:hAnsi="Arial" w:cs="Arial"/>
        </w:rPr>
      </w:pPr>
    </w:p>
    <w:p w:rsidR="0083466E" w:rsidRDefault="00306B52">
      <w:pPr>
        <w:pStyle w:val="Body"/>
        <w:spacing w:after="0"/>
        <w:rPr>
          <w:rFonts w:ascii="Arial" w:hAnsi="Arial" w:cs="Arial"/>
          <w:b/>
        </w:rPr>
      </w:pPr>
      <w:r>
        <w:rPr>
          <w:rFonts w:ascii="Arial" w:hAnsi="Arial" w:cs="Arial"/>
          <w:b/>
        </w:rPr>
        <w:lastRenderedPageBreak/>
        <w:t>3.1.5</w:t>
      </w:r>
      <w:r>
        <w:rPr>
          <w:rFonts w:ascii="Arial" w:hAnsi="Arial" w:cs="Arial"/>
          <w:b/>
        </w:rPr>
        <w:t xml:space="preserve"> Water Quality </w:t>
      </w:r>
    </w:p>
    <w:p w:rsidR="0083466E" w:rsidRDefault="00306B52">
      <w:pPr>
        <w:pStyle w:val="Body"/>
        <w:spacing w:after="0"/>
        <w:rPr>
          <w:rFonts w:ascii="Arial" w:hAnsi="Arial" w:cs="Arial"/>
        </w:rPr>
      </w:pPr>
      <w:r>
        <w:rPr>
          <w:rFonts w:ascii="Arial" w:hAnsi="Arial" w:cs="Arial"/>
        </w:rPr>
        <w:t xml:space="preserve">The results of water quality measurements, including temperature, pH, dissolved oxygen, and salinity during the study, are shown in Table </w:t>
      </w:r>
      <w:r w:rsidR="00DE3BB0">
        <w:rPr>
          <w:rFonts w:ascii="Arial" w:hAnsi="Arial" w:cs="Arial"/>
        </w:rPr>
        <w:t>2</w:t>
      </w:r>
      <w:r>
        <w:rPr>
          <w:rFonts w:ascii="Arial" w:hAnsi="Arial" w:cs="Arial"/>
        </w:rPr>
        <w:t>.</w:t>
      </w:r>
    </w:p>
    <w:p w:rsidR="0083466E" w:rsidRDefault="0083466E">
      <w:pPr>
        <w:pStyle w:val="Body"/>
        <w:spacing w:after="0"/>
        <w:rPr>
          <w:rFonts w:ascii="Arial" w:hAnsi="Arial" w:cs="Arial"/>
        </w:rPr>
      </w:pPr>
    </w:p>
    <w:p w:rsidR="0083466E" w:rsidRDefault="00306B52">
      <w:pPr>
        <w:pStyle w:val="Body"/>
        <w:spacing w:after="0"/>
        <w:rPr>
          <w:rFonts w:ascii="Arial" w:hAnsi="Arial" w:cs="Arial"/>
        </w:rPr>
      </w:pPr>
      <w:r>
        <w:rPr>
          <w:rFonts w:ascii="Arial" w:hAnsi="Arial" w:cs="Arial"/>
          <w:b/>
          <w:bCs/>
        </w:rPr>
        <w:t xml:space="preserve">Table </w:t>
      </w:r>
      <w:r w:rsidR="00DE3BB0">
        <w:rPr>
          <w:rFonts w:ascii="Arial" w:hAnsi="Arial" w:cs="Arial"/>
          <w:b/>
          <w:bCs/>
        </w:rPr>
        <w:t>2</w:t>
      </w:r>
      <w:r>
        <w:rPr>
          <w:rFonts w:ascii="Arial" w:hAnsi="Arial" w:cs="Arial"/>
          <w:b/>
          <w:bCs/>
        </w:rPr>
        <w:t>. Results of water quality measurements during the study.</w:t>
      </w:r>
    </w:p>
    <w:p w:rsidR="0083466E" w:rsidRDefault="0083466E">
      <w:pPr>
        <w:pStyle w:val="Body"/>
        <w:spacing w:after="0"/>
        <w:rPr>
          <w:rFonts w:ascii="Arial" w:hAnsi="Arial" w:cs="Arial"/>
        </w:rPr>
      </w:pPr>
    </w:p>
    <w:tbl>
      <w:tblPr>
        <w:tblStyle w:val="TableGrid"/>
        <w:tblW w:w="8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5"/>
        <w:gridCol w:w="2916"/>
        <w:gridCol w:w="2916"/>
      </w:tblGrid>
      <w:tr w:rsidR="0083466E">
        <w:trPr>
          <w:trHeight w:val="361"/>
        </w:trPr>
        <w:tc>
          <w:tcPr>
            <w:tcW w:w="2915" w:type="dxa"/>
            <w:tcBorders>
              <w:top w:val="single" w:sz="4" w:space="0" w:color="auto"/>
              <w:bottom w:val="single" w:sz="4" w:space="0" w:color="auto"/>
            </w:tcBorders>
          </w:tcPr>
          <w:p w:rsidR="0083466E" w:rsidRDefault="00306B52">
            <w:pPr>
              <w:spacing w:line="276" w:lineRule="auto"/>
              <w:jc w:val="center"/>
              <w:rPr>
                <w:rFonts w:ascii="Arial" w:hAnsi="Arial" w:cs="Arial"/>
                <w:sz w:val="20"/>
                <w:szCs w:val="20"/>
              </w:rPr>
            </w:pPr>
            <w:r>
              <w:rPr>
                <w:rFonts w:ascii="Arial" w:hAnsi="Arial" w:cs="Arial"/>
                <w:sz w:val="20"/>
                <w:szCs w:val="20"/>
              </w:rPr>
              <w:t>Parameter</w:t>
            </w:r>
          </w:p>
        </w:tc>
        <w:tc>
          <w:tcPr>
            <w:tcW w:w="2916" w:type="dxa"/>
            <w:tcBorders>
              <w:top w:val="single" w:sz="4" w:space="0" w:color="auto"/>
              <w:bottom w:val="single" w:sz="4" w:space="0" w:color="auto"/>
            </w:tcBorders>
          </w:tcPr>
          <w:p w:rsidR="0083466E" w:rsidRDefault="00306B52">
            <w:pPr>
              <w:spacing w:line="360" w:lineRule="auto"/>
              <w:jc w:val="center"/>
              <w:rPr>
                <w:rFonts w:ascii="Arial" w:hAnsi="Arial" w:cs="Arial"/>
                <w:sz w:val="20"/>
                <w:szCs w:val="20"/>
              </w:rPr>
            </w:pPr>
            <w:r>
              <w:rPr>
                <w:rFonts w:ascii="Arial" w:hAnsi="Arial" w:cs="Arial"/>
                <w:sz w:val="20"/>
                <w:szCs w:val="20"/>
              </w:rPr>
              <w:t>Observation Range</w:t>
            </w:r>
          </w:p>
        </w:tc>
        <w:tc>
          <w:tcPr>
            <w:tcW w:w="2916" w:type="dxa"/>
            <w:tcBorders>
              <w:top w:val="single" w:sz="4" w:space="0" w:color="auto"/>
              <w:bottom w:val="single" w:sz="4" w:space="0" w:color="auto"/>
            </w:tcBorders>
          </w:tcPr>
          <w:p w:rsidR="0083466E" w:rsidRDefault="00306B52">
            <w:pPr>
              <w:spacing w:line="360" w:lineRule="auto"/>
              <w:jc w:val="center"/>
              <w:rPr>
                <w:rFonts w:ascii="Arial" w:hAnsi="Arial" w:cs="Arial"/>
                <w:sz w:val="20"/>
                <w:szCs w:val="20"/>
              </w:rPr>
            </w:pPr>
            <w:r>
              <w:rPr>
                <w:rFonts w:ascii="Arial" w:hAnsi="Arial" w:cs="Arial"/>
                <w:sz w:val="20"/>
                <w:szCs w:val="20"/>
              </w:rPr>
              <w:t>Reference</w:t>
            </w:r>
          </w:p>
        </w:tc>
      </w:tr>
      <w:tr w:rsidR="0083466E">
        <w:trPr>
          <w:trHeight w:val="723"/>
        </w:trPr>
        <w:tc>
          <w:tcPr>
            <w:tcW w:w="2915" w:type="dxa"/>
            <w:tcBorders>
              <w:top w:val="single" w:sz="4" w:space="0" w:color="auto"/>
            </w:tcBorders>
          </w:tcPr>
          <w:p w:rsidR="0083466E" w:rsidRDefault="00306B52">
            <w:pPr>
              <w:spacing w:line="360" w:lineRule="auto"/>
              <w:jc w:val="center"/>
              <w:rPr>
                <w:rFonts w:ascii="Arial" w:hAnsi="Arial" w:cs="Arial"/>
                <w:sz w:val="20"/>
                <w:szCs w:val="20"/>
              </w:rPr>
            </w:pPr>
            <w:r>
              <w:rPr>
                <w:rFonts w:ascii="Arial" w:hAnsi="Arial" w:cs="Arial"/>
                <w:sz w:val="20"/>
                <w:szCs w:val="20"/>
              </w:rPr>
              <w:t>Temperature (°C)</w:t>
            </w:r>
          </w:p>
        </w:tc>
        <w:tc>
          <w:tcPr>
            <w:tcW w:w="2916" w:type="dxa"/>
            <w:tcBorders>
              <w:top w:val="single" w:sz="4" w:space="0" w:color="auto"/>
            </w:tcBorders>
          </w:tcPr>
          <w:p w:rsidR="0083466E" w:rsidRDefault="00306B52">
            <w:pPr>
              <w:spacing w:line="360" w:lineRule="auto"/>
              <w:jc w:val="center"/>
              <w:rPr>
                <w:rFonts w:ascii="Arial" w:hAnsi="Arial" w:cs="Arial"/>
                <w:sz w:val="20"/>
                <w:szCs w:val="20"/>
              </w:rPr>
            </w:pPr>
            <w:r>
              <w:rPr>
                <w:rFonts w:ascii="Arial" w:hAnsi="Arial" w:cs="Arial"/>
                <w:sz w:val="20"/>
                <w:szCs w:val="20"/>
              </w:rPr>
              <w:t xml:space="preserve">28-29 </w:t>
            </w:r>
          </w:p>
        </w:tc>
        <w:tc>
          <w:tcPr>
            <w:tcW w:w="2916" w:type="dxa"/>
            <w:tcBorders>
              <w:top w:val="single" w:sz="4" w:space="0" w:color="auto"/>
            </w:tcBorders>
          </w:tcPr>
          <w:p w:rsidR="0083466E" w:rsidRDefault="00306B52">
            <w:pPr>
              <w:spacing w:line="360" w:lineRule="auto"/>
              <w:jc w:val="center"/>
              <w:rPr>
                <w:rFonts w:ascii="Arial" w:hAnsi="Arial" w:cs="Arial"/>
                <w:sz w:val="20"/>
                <w:szCs w:val="20"/>
              </w:rPr>
            </w:pPr>
            <w:r>
              <w:rPr>
                <w:rFonts w:ascii="Arial" w:hAnsi="Arial" w:cs="Arial"/>
                <w:sz w:val="20"/>
                <w:szCs w:val="20"/>
              </w:rPr>
              <w:t xml:space="preserve">23-32 </w:t>
            </w:r>
            <w:r>
              <w:rPr>
                <w:rFonts w:ascii="Arial" w:hAnsi="Arial" w:cs="Arial"/>
              </w:rPr>
              <w:fldChar w:fldCharType="begin"/>
            </w:r>
            <w:r>
              <w:rPr>
                <w:rFonts w:ascii="Arial" w:hAnsi="Arial" w:cs="Arial"/>
                <w:sz w:val="20"/>
                <w:szCs w:val="20"/>
              </w:rPr>
              <w:instrText>ADDIN CSL_CITATION {"citationItems":[{"id":"ITEM-1","itemData":{"ISSN":"2549-7863","author":[{"dropping-particle":"","family":"Junaidi","given":"Muhammad","non-dropping-particle":"","parse-names":false,"suffix":""},</w:instrText>
            </w:r>
            <w:r>
              <w:rPr>
                <w:rFonts w:ascii="Arial" w:hAnsi="Arial" w:cs="Arial"/>
                <w:sz w:val="20"/>
                <w:szCs w:val="20"/>
              </w:rPr>
              <w:instrText>{"dropping-particle":"","family":"Scabra","given":"Andre Rahmat","non-dropping-particle":"","parse-names":false,"suffix":""}],"container-title":"Jurnal Biologi Tropis","id":"ITEM-1","issue":"1","issued":{"date-parts":[["2023"]]},"page":"503-511","title":"T</w:instrText>
            </w:r>
            <w:r>
              <w:rPr>
                <w:rFonts w:ascii="Arial" w:hAnsi="Arial" w:cs="Arial"/>
                <w:sz w:val="20"/>
                <w:szCs w:val="20"/>
              </w:rPr>
              <w:instrText>he Effect of Moist Feeding with Different Dosages of Probiotic on the Growth of Sand Lobster (Panulirus homarus) in Floating Cages","type":"article-journal","volume":"23"},"uris":["http://www.mendeley.com/documents/?uuid=540a9596-1fa4-4146-b31a-9f652c1be28</w:instrText>
            </w:r>
            <w:r>
              <w:rPr>
                <w:rFonts w:ascii="Arial" w:hAnsi="Arial" w:cs="Arial"/>
                <w:sz w:val="20"/>
                <w:szCs w:val="20"/>
              </w:rPr>
              <w:instrText>8","http://www.mendeley.com/documents/?uuid=00d50067-fb99-4a07-a5a2-4c10c89465f1"]}],"mendeley":{"formattedCitation":"(Junaidi &amp; Scabra, 2023)","plainTextFormattedCitation":"(Junaidi &amp; Scabra, 2023)","previouslyFormattedCitation":"(Junaidi &amp; Scabra, 2023)"</w:instrText>
            </w:r>
            <w:r>
              <w:rPr>
                <w:rFonts w:ascii="Arial" w:hAnsi="Arial" w:cs="Arial"/>
                <w:sz w:val="20"/>
                <w:szCs w:val="20"/>
              </w:rPr>
              <w:instrText>},"properties":{"noteIndex":0},"schema":"https://github.com/citation-style-language/schema/raw/master/csl-citation.json"}</w:instrText>
            </w:r>
            <w:r>
              <w:rPr>
                <w:rFonts w:ascii="Arial" w:hAnsi="Arial" w:cs="Arial"/>
              </w:rPr>
              <w:fldChar w:fldCharType="separate"/>
            </w:r>
            <w:r>
              <w:rPr>
                <w:rFonts w:ascii="Arial" w:hAnsi="Arial" w:cs="Arial"/>
                <w:noProof/>
                <w:sz w:val="20"/>
                <w:szCs w:val="20"/>
              </w:rPr>
              <w:t xml:space="preserve">(Sumiati </w:t>
            </w:r>
            <w:r>
              <w:rPr>
                <w:rFonts w:ascii="Arial" w:hAnsi="Arial" w:cs="Arial"/>
                <w:i/>
                <w:iCs/>
                <w:noProof/>
                <w:sz w:val="20"/>
                <w:szCs w:val="20"/>
              </w:rPr>
              <w:t>et al.</w:t>
            </w:r>
            <w:r>
              <w:rPr>
                <w:rFonts w:ascii="Arial" w:hAnsi="Arial" w:cs="Arial"/>
                <w:noProof/>
                <w:sz w:val="20"/>
                <w:szCs w:val="20"/>
              </w:rPr>
              <w:t>, 2023)</w:t>
            </w:r>
            <w:r>
              <w:rPr>
                <w:rFonts w:ascii="Arial" w:hAnsi="Arial" w:cs="Arial"/>
              </w:rPr>
              <w:fldChar w:fldCharType="end"/>
            </w:r>
          </w:p>
        </w:tc>
      </w:tr>
      <w:tr w:rsidR="0083466E">
        <w:trPr>
          <w:trHeight w:val="723"/>
        </w:trPr>
        <w:tc>
          <w:tcPr>
            <w:tcW w:w="2915" w:type="dxa"/>
          </w:tcPr>
          <w:p w:rsidR="0083466E" w:rsidRDefault="00306B52">
            <w:pPr>
              <w:spacing w:line="360" w:lineRule="auto"/>
              <w:jc w:val="center"/>
              <w:rPr>
                <w:rFonts w:ascii="Arial" w:hAnsi="Arial" w:cs="Arial"/>
                <w:sz w:val="20"/>
                <w:szCs w:val="20"/>
              </w:rPr>
            </w:pPr>
            <w:r>
              <w:rPr>
                <w:rFonts w:ascii="Arial" w:hAnsi="Arial" w:cs="Arial"/>
                <w:sz w:val="20"/>
                <w:szCs w:val="20"/>
              </w:rPr>
              <w:t>pH</w:t>
            </w:r>
          </w:p>
        </w:tc>
        <w:tc>
          <w:tcPr>
            <w:tcW w:w="2916" w:type="dxa"/>
          </w:tcPr>
          <w:p w:rsidR="0083466E" w:rsidRDefault="00306B52">
            <w:pPr>
              <w:spacing w:line="360" w:lineRule="auto"/>
              <w:jc w:val="center"/>
              <w:rPr>
                <w:rFonts w:ascii="Arial" w:hAnsi="Arial" w:cs="Arial"/>
                <w:sz w:val="20"/>
                <w:szCs w:val="20"/>
              </w:rPr>
            </w:pPr>
            <w:r>
              <w:rPr>
                <w:rFonts w:ascii="Arial" w:hAnsi="Arial" w:cs="Arial"/>
                <w:sz w:val="20"/>
                <w:szCs w:val="20"/>
              </w:rPr>
              <w:t>7-8</w:t>
            </w:r>
          </w:p>
        </w:tc>
        <w:tc>
          <w:tcPr>
            <w:tcW w:w="2916" w:type="dxa"/>
          </w:tcPr>
          <w:p w:rsidR="0083466E" w:rsidRDefault="00306B52">
            <w:pPr>
              <w:spacing w:line="360" w:lineRule="auto"/>
              <w:jc w:val="center"/>
              <w:rPr>
                <w:rFonts w:ascii="Arial" w:hAnsi="Arial" w:cs="Arial"/>
                <w:sz w:val="20"/>
                <w:szCs w:val="20"/>
              </w:rPr>
            </w:pPr>
            <w:r>
              <w:rPr>
                <w:rFonts w:ascii="Arial" w:hAnsi="Arial" w:cs="Arial"/>
                <w:sz w:val="20"/>
                <w:szCs w:val="20"/>
              </w:rPr>
              <w:t xml:space="preserve">7,6-8,7 </w:t>
            </w:r>
            <w:r>
              <w:rPr>
                <w:rFonts w:ascii="Arial" w:hAnsi="Arial" w:cs="Arial"/>
              </w:rPr>
              <w:fldChar w:fldCharType="begin"/>
            </w:r>
            <w:r>
              <w:rPr>
                <w:rFonts w:ascii="Arial" w:hAnsi="Arial" w:cs="Arial"/>
                <w:sz w:val="20"/>
                <w:szCs w:val="20"/>
              </w:rPr>
              <w:instrText xml:space="preserve">ADDIN CSL_CITATION </w:instrText>
            </w:r>
            <w:r>
              <w:rPr>
                <w:rFonts w:ascii="Arial" w:hAnsi="Arial" w:cs="Arial"/>
                <w:sz w:val="20"/>
                <w:szCs w:val="20"/>
              </w:rPr>
              <w:instrText>{"citationItems":[{"id":"ITEM-1","itemData":{"ISSN":"2477-7951","author":[{"dropping-particle":"","family":"Amrillah","given":"Attabik Mukhammad","non-dropping-particle":"","parse-names":false,"suffix":""},{"dropping-particle":"","family":"Fadjar","given":</w:instrText>
            </w:r>
            <w:r>
              <w:rPr>
                <w:rFonts w:ascii="Arial" w:hAnsi="Arial" w:cs="Arial"/>
                <w:sz w:val="20"/>
                <w:szCs w:val="20"/>
              </w:rPr>
              <w:instrText>"Mohamad","non-dropping-particle":"","parse-names":false,"suffix":""},{"dropping-particle":"","family":"Andayani","given":"Sri","non-dropping-particle":"","parse-names":false,"suffix":""},{"dropping-particle":"","family":"Andriani","given":"Dwi Retno","non</w:instrText>
            </w:r>
            <w:r>
              <w:rPr>
                <w:rFonts w:ascii="Arial" w:hAnsi="Arial" w:cs="Arial"/>
                <w:sz w:val="20"/>
                <w:szCs w:val="20"/>
              </w:rPr>
              <w:instrText>-dropping-particle":"","parse-names":false,"suffix":""},{"dropping-particle":"","family":"Sentanu","given":"I Gede Eko Putra Sri","non-dropping-particle":"","parse-names":false,"suffix":""},{"dropping-particle":"","family":"Amrillah","given":"Attabik M","n</w:instrText>
            </w:r>
            <w:r>
              <w:rPr>
                <w:rFonts w:ascii="Arial" w:hAnsi="Arial" w:cs="Arial"/>
                <w:sz w:val="20"/>
                <w:szCs w:val="20"/>
              </w:rPr>
              <w:instrText>on-dropping-particle":"","parse-names":false,"suffix":""},{"dropping-particle":"","family":"Aisyah","given":"Diana","non-dropping-particle":"","parse-names":false,"suffix":""}],"container-title":"Journal Of Innovation And Applied Technology","id":"ITEM-1",</w:instrText>
            </w:r>
            <w:r>
              <w:rPr>
                <w:rFonts w:ascii="Arial" w:hAnsi="Arial" w:cs="Arial"/>
                <w:sz w:val="20"/>
                <w:szCs w:val="20"/>
              </w:rPr>
              <w:instrText>"issue":"1","issued":{"date-parts":[["2022"]]},"page":"1359-1364","title":"Budidaya Benih Lobster Pasir (Panulirus Homarus) Dengan Resirculation Aquaculture System (Ras) Di Pokdakan “Pesona Bahari”, Grand Watudodol, Banyuwangi","type":"article-journal","vo</w:instrText>
            </w:r>
            <w:r>
              <w:rPr>
                <w:rFonts w:ascii="Arial" w:hAnsi="Arial" w:cs="Arial"/>
                <w:sz w:val="20"/>
                <w:szCs w:val="20"/>
              </w:rPr>
              <w:instrText>lume":"8"},"uris":["http://www.mendeley.com/documents/?uuid=45324708-1e8f-4754-94c4-0b472a2c32f9","http://www.mendeley.com/documents/?uuid=336eb30b-5f9b-4b15-bb27-661dc25cb373"]}],"mendeley":{"formattedCitation":"(Amrillah et al., 2022)","plainTextFormatte</w:instrText>
            </w:r>
            <w:r>
              <w:rPr>
                <w:rFonts w:ascii="Arial" w:hAnsi="Arial" w:cs="Arial"/>
                <w:sz w:val="20"/>
                <w:szCs w:val="20"/>
              </w:rPr>
              <w:instrText>dCitation":"(Amrillah et al., 2022)","previouslyFormattedCitation":"(Amrillah et al., 2022)"},"properties":{"noteIndex":0},"schema":"https://github.com/citation-style-language/schema/raw/master/csl-citation.json"}</w:instrText>
            </w:r>
            <w:r>
              <w:rPr>
                <w:rFonts w:ascii="Arial" w:hAnsi="Arial" w:cs="Arial"/>
              </w:rPr>
              <w:fldChar w:fldCharType="separate"/>
            </w:r>
            <w:r>
              <w:rPr>
                <w:rFonts w:ascii="Arial" w:hAnsi="Arial" w:cs="Arial"/>
                <w:noProof/>
                <w:sz w:val="20"/>
                <w:szCs w:val="20"/>
              </w:rPr>
              <w:t xml:space="preserve">(Amrillah </w:t>
            </w:r>
            <w:r>
              <w:rPr>
                <w:rFonts w:ascii="Arial" w:hAnsi="Arial" w:cs="Arial"/>
                <w:i/>
                <w:iCs/>
                <w:noProof/>
                <w:sz w:val="20"/>
                <w:szCs w:val="20"/>
              </w:rPr>
              <w:t>et al.</w:t>
            </w:r>
            <w:r>
              <w:rPr>
                <w:rFonts w:ascii="Arial" w:hAnsi="Arial" w:cs="Arial"/>
                <w:noProof/>
                <w:sz w:val="20"/>
                <w:szCs w:val="20"/>
              </w:rPr>
              <w:t>, 2022)</w:t>
            </w:r>
            <w:r>
              <w:rPr>
                <w:rFonts w:ascii="Arial" w:hAnsi="Arial" w:cs="Arial"/>
              </w:rPr>
              <w:fldChar w:fldCharType="end"/>
            </w:r>
          </w:p>
        </w:tc>
      </w:tr>
      <w:tr w:rsidR="0083466E">
        <w:trPr>
          <w:trHeight w:val="723"/>
        </w:trPr>
        <w:tc>
          <w:tcPr>
            <w:tcW w:w="2915" w:type="dxa"/>
          </w:tcPr>
          <w:p w:rsidR="0083466E" w:rsidRDefault="00306B52">
            <w:pPr>
              <w:spacing w:line="360" w:lineRule="auto"/>
              <w:jc w:val="center"/>
              <w:rPr>
                <w:rFonts w:ascii="Arial" w:hAnsi="Arial" w:cs="Arial"/>
                <w:sz w:val="20"/>
                <w:szCs w:val="20"/>
              </w:rPr>
            </w:pPr>
            <w:r>
              <w:rPr>
                <w:rFonts w:ascii="Arial" w:hAnsi="Arial" w:cs="Arial"/>
                <w:sz w:val="20"/>
                <w:szCs w:val="20"/>
              </w:rPr>
              <w:t>Dissolved Oxyge</w:t>
            </w:r>
            <w:r>
              <w:rPr>
                <w:rFonts w:ascii="Arial" w:hAnsi="Arial" w:cs="Arial"/>
                <w:sz w:val="20"/>
                <w:szCs w:val="20"/>
              </w:rPr>
              <w:t>n (mg/l)</w:t>
            </w:r>
          </w:p>
        </w:tc>
        <w:tc>
          <w:tcPr>
            <w:tcW w:w="2916" w:type="dxa"/>
          </w:tcPr>
          <w:p w:rsidR="0083466E" w:rsidRDefault="00306B52">
            <w:pPr>
              <w:spacing w:line="360" w:lineRule="auto"/>
              <w:jc w:val="center"/>
              <w:rPr>
                <w:rFonts w:ascii="Arial" w:hAnsi="Arial" w:cs="Arial"/>
                <w:sz w:val="20"/>
                <w:szCs w:val="20"/>
              </w:rPr>
            </w:pPr>
            <w:r>
              <w:rPr>
                <w:rFonts w:ascii="Arial" w:hAnsi="Arial" w:cs="Arial"/>
                <w:sz w:val="20"/>
                <w:szCs w:val="20"/>
              </w:rPr>
              <w:t xml:space="preserve">5-6,8 </w:t>
            </w:r>
          </w:p>
        </w:tc>
        <w:tc>
          <w:tcPr>
            <w:tcW w:w="2916" w:type="dxa"/>
          </w:tcPr>
          <w:p w:rsidR="0083466E" w:rsidRDefault="00306B52">
            <w:pPr>
              <w:spacing w:line="360" w:lineRule="auto"/>
              <w:jc w:val="center"/>
              <w:rPr>
                <w:rFonts w:ascii="Arial" w:hAnsi="Arial" w:cs="Arial"/>
                <w:sz w:val="20"/>
                <w:szCs w:val="20"/>
              </w:rPr>
            </w:pPr>
            <w:r>
              <w:rPr>
                <w:rFonts w:ascii="Arial" w:hAnsi="Arial" w:cs="Arial"/>
                <w:sz w:val="20"/>
                <w:szCs w:val="20"/>
              </w:rPr>
              <w:t xml:space="preserve">&gt;4 </w:t>
            </w:r>
            <w:r>
              <w:rPr>
                <w:rFonts w:ascii="Arial" w:hAnsi="Arial" w:cs="Arial"/>
              </w:rPr>
              <w:fldChar w:fldCharType="begin"/>
            </w:r>
            <w:r>
              <w:rPr>
                <w:rFonts w:ascii="Arial" w:hAnsi="Arial" w:cs="Arial"/>
                <w:sz w:val="20"/>
                <w:szCs w:val="20"/>
              </w:rPr>
              <w:instrText>ADDIN CSL_CITATION {"citationItems":[{"id":"ITEM-1","itemData":{"ISSN":"2549-7863","author":[{"dropping-particle":"","family":"Junaidi","given":"Muhammad","non-dropping-particle":"","parse-names":false,"suffix":""},{"dropping-particle":"</w:instrText>
            </w:r>
            <w:r>
              <w:rPr>
                <w:rFonts w:ascii="Arial" w:hAnsi="Arial" w:cs="Arial"/>
                <w:sz w:val="20"/>
                <w:szCs w:val="20"/>
              </w:rPr>
              <w:instrText>","family":"Scabra","given":"Andre Rahmat","non-dropping-particle":"","parse-names":false,"suffix":""}],"container-title":"Jurnal Biologi Tropis","id":"ITEM-1","issue":"1","issued":{"date-parts":[["2023"]]},"page":"503-511","title":"The Effect of Moist Fee</w:instrText>
            </w:r>
            <w:r>
              <w:rPr>
                <w:rFonts w:ascii="Arial" w:hAnsi="Arial" w:cs="Arial"/>
                <w:sz w:val="20"/>
                <w:szCs w:val="20"/>
              </w:rPr>
              <w:instrText>ding with Different Dosages of Probiotic on the Growth of Sand Lobster (Panulirus homarus) in Floating Cages","type":"article-journal","volume":"23"},"uris":["http://www.mendeley.com/documents/?uuid=00d50067-fb99-4a07-a5a2-4c10c89465f1","http://www.mendele</w:instrText>
            </w:r>
            <w:r>
              <w:rPr>
                <w:rFonts w:ascii="Arial" w:hAnsi="Arial" w:cs="Arial"/>
                <w:sz w:val="20"/>
                <w:szCs w:val="20"/>
              </w:rPr>
              <w:instrText>y.com/documents/?uuid=540a9596-1fa4-4146-b31a-9f652c1be288"]}],"mendeley":{"formattedCitation":"(Junaidi &amp; Scabra, 2023)","plainTextFormattedCitation":"(Junaidi &amp; Scabra, 2023)","previouslyFormattedCitation":"(Junaidi &amp; Scabra, 2023)"},"properties":{"noteI</w:instrText>
            </w:r>
            <w:r>
              <w:rPr>
                <w:rFonts w:ascii="Arial" w:hAnsi="Arial" w:cs="Arial"/>
                <w:sz w:val="20"/>
                <w:szCs w:val="20"/>
              </w:rPr>
              <w:instrText>ndex":0},"schema":"https://github.com/citation-style-language/schema/raw/master/csl-citation.json"}</w:instrText>
            </w:r>
            <w:r>
              <w:rPr>
                <w:rFonts w:ascii="Arial" w:hAnsi="Arial" w:cs="Arial"/>
              </w:rPr>
              <w:fldChar w:fldCharType="separate"/>
            </w:r>
            <w:r>
              <w:rPr>
                <w:rFonts w:ascii="Arial" w:hAnsi="Arial" w:cs="Arial"/>
                <w:noProof/>
                <w:sz w:val="20"/>
                <w:szCs w:val="20"/>
              </w:rPr>
              <w:t>(Junaidi &amp; Scabra, 2023)</w:t>
            </w:r>
            <w:r>
              <w:rPr>
                <w:rFonts w:ascii="Arial" w:hAnsi="Arial" w:cs="Arial"/>
              </w:rPr>
              <w:fldChar w:fldCharType="end"/>
            </w:r>
          </w:p>
        </w:tc>
      </w:tr>
      <w:tr w:rsidR="0083466E">
        <w:trPr>
          <w:trHeight w:val="369"/>
        </w:trPr>
        <w:tc>
          <w:tcPr>
            <w:tcW w:w="2915" w:type="dxa"/>
            <w:tcBorders>
              <w:bottom w:val="single" w:sz="4" w:space="0" w:color="auto"/>
            </w:tcBorders>
          </w:tcPr>
          <w:p w:rsidR="0083466E" w:rsidRDefault="00306B52">
            <w:pPr>
              <w:spacing w:line="360" w:lineRule="auto"/>
              <w:jc w:val="center"/>
              <w:rPr>
                <w:rFonts w:ascii="Arial" w:hAnsi="Arial" w:cs="Arial"/>
                <w:sz w:val="20"/>
                <w:szCs w:val="20"/>
              </w:rPr>
            </w:pPr>
            <w:r>
              <w:rPr>
                <w:rFonts w:ascii="Arial" w:hAnsi="Arial" w:cs="Arial"/>
                <w:sz w:val="20"/>
                <w:szCs w:val="20"/>
              </w:rPr>
              <w:t>Salinity (ppt)</w:t>
            </w:r>
          </w:p>
        </w:tc>
        <w:tc>
          <w:tcPr>
            <w:tcW w:w="2916" w:type="dxa"/>
            <w:tcBorders>
              <w:bottom w:val="single" w:sz="4" w:space="0" w:color="auto"/>
            </w:tcBorders>
          </w:tcPr>
          <w:p w:rsidR="0083466E" w:rsidRDefault="00306B52">
            <w:pPr>
              <w:spacing w:line="360" w:lineRule="auto"/>
              <w:jc w:val="center"/>
              <w:rPr>
                <w:rFonts w:ascii="Arial" w:hAnsi="Arial" w:cs="Arial"/>
                <w:sz w:val="20"/>
                <w:szCs w:val="20"/>
              </w:rPr>
            </w:pPr>
            <w:r>
              <w:rPr>
                <w:rFonts w:ascii="Arial" w:hAnsi="Arial" w:cs="Arial"/>
                <w:sz w:val="20"/>
                <w:szCs w:val="20"/>
              </w:rPr>
              <w:t xml:space="preserve">30-32 </w:t>
            </w:r>
          </w:p>
        </w:tc>
        <w:tc>
          <w:tcPr>
            <w:tcW w:w="2916" w:type="dxa"/>
            <w:tcBorders>
              <w:bottom w:val="single" w:sz="4" w:space="0" w:color="auto"/>
            </w:tcBorders>
          </w:tcPr>
          <w:p w:rsidR="0083466E" w:rsidRDefault="00306B52">
            <w:pPr>
              <w:spacing w:line="360" w:lineRule="auto"/>
              <w:jc w:val="center"/>
              <w:rPr>
                <w:rFonts w:ascii="Arial" w:hAnsi="Arial" w:cs="Arial"/>
                <w:sz w:val="20"/>
                <w:szCs w:val="20"/>
              </w:rPr>
            </w:pPr>
            <w:r>
              <w:rPr>
                <w:rFonts w:ascii="Arial" w:hAnsi="Arial" w:cs="Arial"/>
                <w:sz w:val="20"/>
                <w:szCs w:val="20"/>
              </w:rPr>
              <w:t xml:space="preserve">25-35  </w:t>
            </w:r>
            <w:r>
              <w:rPr>
                <w:rFonts w:ascii="Arial" w:hAnsi="Arial" w:cs="Arial"/>
              </w:rPr>
              <w:fldChar w:fldCharType="begin"/>
            </w:r>
            <w:r>
              <w:rPr>
                <w:rFonts w:ascii="Arial" w:hAnsi="Arial" w:cs="Arial"/>
                <w:sz w:val="20"/>
                <w:szCs w:val="20"/>
              </w:rPr>
              <w:instrText xml:space="preserve">ADDIN CSL_CITATION </w:instrText>
            </w:r>
            <w:r>
              <w:rPr>
                <w:rFonts w:ascii="Arial" w:hAnsi="Arial" w:cs="Arial"/>
                <w:sz w:val="20"/>
                <w:szCs w:val="20"/>
              </w:rPr>
              <w:instrText>{"citationItems":[{"id":"ITEM-1","itemData":{"ISSN":"2407-7690","author":[{"dropping-particle":"","family":"Andrykusuma","given":"Dyanita Havshyari Putri","non-dropping-particle":"","parse-names":false,"suffix":""},{"dropping-particle":"","family":"Redjeki</w:instrText>
            </w:r>
            <w:r>
              <w:rPr>
                <w:rFonts w:ascii="Arial" w:hAnsi="Arial" w:cs="Arial"/>
                <w:sz w:val="20"/>
                <w:szCs w:val="20"/>
              </w:rPr>
              <w:instrText>","given":"Sri","non-dropping-particle":"","parse-names":false,"suffix":""},{"dropping-particle":"","family":"Riniatsih","given":"Ita","non-dropping-particle":"","parse-names":false,"suffix":""}],"container-title":"Journal Of Marine Research","id":"ITEM-1"</w:instrText>
            </w:r>
            <w:r>
              <w:rPr>
                <w:rFonts w:ascii="Arial" w:hAnsi="Arial" w:cs="Arial"/>
                <w:sz w:val="20"/>
                <w:szCs w:val="20"/>
              </w:rPr>
              <w:instrText>,"issue":"1","issued":{"date-parts":[["2022"]]},"page":"86-91","publisher":"Departemen Ilmu Kelautan, Fakultas PerikanJurusan Ilmu Kelautan, Universitas …","title":"Laju pertumbuhan harian dan nisbah kelamin lobster pasir Panulirus homarus di Perairan Liwu</w:instrText>
            </w:r>
            <w:r>
              <w:rPr>
                <w:rFonts w:ascii="Arial" w:hAnsi="Arial" w:cs="Arial"/>
                <w:sz w:val="20"/>
                <w:szCs w:val="20"/>
              </w:rPr>
              <w:instrText>ngan, Pandeglang, Banten","type":"article-journal","volume":"11"},"uris":["http://www.mendeley.com/documents/?uuid=8df8a524-f9f5-40bd-8cd5-ba04af1f2d30","http://www.mendeley.com/documents/?uuid=cf011e9f-517b-4351-ba50-c68bbe81b106"]}],"mendeley":{"formatte</w:instrText>
            </w:r>
            <w:r>
              <w:rPr>
                <w:rFonts w:ascii="Arial" w:hAnsi="Arial" w:cs="Arial"/>
                <w:sz w:val="20"/>
                <w:szCs w:val="20"/>
              </w:rPr>
              <w:instrText>dCitation":"(Andrykusuma et al., 2022)","plainTextFormattedCitation":"(Andrykusuma et al., 2022)","previouslyFormattedCitation":"(Andrykusuma et al., 2022)"},"properties":{"noteIndex":0},"schema":"https://github.com/citation-style-language/schema/raw/maste</w:instrText>
            </w:r>
            <w:r>
              <w:rPr>
                <w:rFonts w:ascii="Arial" w:hAnsi="Arial" w:cs="Arial"/>
                <w:sz w:val="20"/>
                <w:szCs w:val="20"/>
              </w:rPr>
              <w:instrText>r/csl-citation.json"}</w:instrText>
            </w:r>
            <w:r>
              <w:rPr>
                <w:rFonts w:ascii="Arial" w:hAnsi="Arial" w:cs="Arial"/>
              </w:rPr>
              <w:fldChar w:fldCharType="separate"/>
            </w:r>
            <w:r>
              <w:rPr>
                <w:rFonts w:ascii="Arial" w:hAnsi="Arial" w:cs="Arial"/>
                <w:noProof/>
                <w:sz w:val="20"/>
                <w:szCs w:val="20"/>
              </w:rPr>
              <w:t xml:space="preserve">(Andrykusuma </w:t>
            </w:r>
            <w:r>
              <w:rPr>
                <w:rFonts w:ascii="Arial" w:hAnsi="Arial" w:cs="Arial"/>
                <w:i/>
                <w:iCs/>
                <w:noProof/>
                <w:sz w:val="20"/>
                <w:szCs w:val="20"/>
              </w:rPr>
              <w:t>et al.,</w:t>
            </w:r>
            <w:r>
              <w:rPr>
                <w:rFonts w:ascii="Arial" w:hAnsi="Arial" w:cs="Arial"/>
                <w:noProof/>
                <w:sz w:val="20"/>
                <w:szCs w:val="20"/>
              </w:rPr>
              <w:t xml:space="preserve"> 2022)</w:t>
            </w:r>
            <w:r>
              <w:rPr>
                <w:rFonts w:ascii="Arial" w:hAnsi="Arial" w:cs="Arial"/>
              </w:rPr>
              <w:fldChar w:fldCharType="end"/>
            </w:r>
          </w:p>
        </w:tc>
      </w:tr>
    </w:tbl>
    <w:p w:rsidR="0083466E" w:rsidRDefault="0083466E">
      <w:pPr>
        <w:pStyle w:val="Body"/>
        <w:spacing w:after="0"/>
        <w:rPr>
          <w:rFonts w:ascii="Arial" w:hAnsi="Arial" w:cs="Arial"/>
        </w:rPr>
      </w:pPr>
    </w:p>
    <w:p w:rsidR="0083466E" w:rsidRDefault="00306B52">
      <w:pPr>
        <w:pStyle w:val="Body"/>
        <w:spacing w:after="0"/>
        <w:rPr>
          <w:rFonts w:ascii="Arial" w:hAnsi="Arial" w:cs="Arial"/>
          <w:b/>
          <w:bCs/>
          <w:sz w:val="22"/>
          <w:szCs w:val="22"/>
        </w:rPr>
      </w:pPr>
      <w:r>
        <w:rPr>
          <w:rFonts w:ascii="Arial" w:hAnsi="Arial" w:cs="Arial"/>
          <w:b/>
          <w:bCs/>
          <w:sz w:val="22"/>
          <w:szCs w:val="22"/>
        </w:rPr>
        <w:t xml:space="preserve">3.2 Discussion </w:t>
      </w:r>
    </w:p>
    <w:p w:rsidR="0083466E" w:rsidRDefault="0083466E">
      <w:pPr>
        <w:pStyle w:val="Body"/>
        <w:spacing w:after="0"/>
        <w:rPr>
          <w:rFonts w:ascii="Arial" w:hAnsi="Arial" w:cs="Arial"/>
          <w:b/>
          <w:bCs/>
          <w:sz w:val="22"/>
          <w:szCs w:val="22"/>
        </w:rPr>
      </w:pPr>
    </w:p>
    <w:p w:rsidR="0083466E" w:rsidRDefault="00306B52">
      <w:pPr>
        <w:pStyle w:val="Body"/>
        <w:spacing w:after="0"/>
        <w:rPr>
          <w:rFonts w:ascii="Arial" w:hAnsi="Arial" w:cs="Arial"/>
        </w:rPr>
      </w:pPr>
      <w:r>
        <w:rPr>
          <w:rFonts w:ascii="Arial" w:hAnsi="Arial" w:cs="Arial"/>
          <w:b/>
          <w:bCs/>
        </w:rPr>
        <w:t>3.2.1 Absolute Weight Growth</w:t>
      </w:r>
    </w:p>
    <w:p w:rsidR="0083466E" w:rsidRDefault="00306B52">
      <w:pPr>
        <w:pStyle w:val="Body"/>
        <w:rPr>
          <w:rFonts w:ascii="Arial" w:hAnsi="Arial" w:cs="Arial"/>
        </w:rPr>
      </w:pPr>
      <w:r>
        <w:rPr>
          <w:rFonts w:ascii="Arial" w:hAnsi="Arial" w:cs="Arial"/>
        </w:rPr>
        <w:t>The administration of 4% spinach flour in the feed yielded the best growth performance by optimizing feed quality, thereby enabling lobster seed to optimally</w:t>
      </w:r>
      <w:r>
        <w:rPr>
          <w:rFonts w:ascii="Arial" w:hAnsi="Arial" w:cs="Arial"/>
        </w:rPr>
        <w:t xml:space="preserve"> absorb nutrients from the diet. This aligns with the findings of Lubis and Puari (2023), who reported that adding spinach extract at a dose of 0.5 mg per kg of feed optimally enhanced the growth of sand lobster (</w:t>
      </w:r>
      <w:r>
        <w:rPr>
          <w:rFonts w:ascii="Arial" w:hAnsi="Arial" w:cs="Arial"/>
          <w:i/>
          <w:iCs/>
        </w:rPr>
        <w:t>Panulirus homarus</w:t>
      </w:r>
      <w:r>
        <w:rPr>
          <w:rFonts w:ascii="Arial" w:hAnsi="Arial" w:cs="Arial"/>
        </w:rPr>
        <w:t>), whereas higher doses of</w:t>
      </w:r>
      <w:r>
        <w:rPr>
          <w:rFonts w:ascii="Arial" w:hAnsi="Arial" w:cs="Arial"/>
        </w:rPr>
        <w:t xml:space="preserve"> spinach extract did not produce optimal growth. The incorporation of spinach flour improves nutrient absorption from the feed, such as protein as an energy source for lobster seed. According to Raharjo </w:t>
      </w:r>
      <w:r>
        <w:rPr>
          <w:rFonts w:ascii="Arial" w:hAnsi="Arial" w:cs="Arial"/>
          <w:i/>
          <w:iCs/>
        </w:rPr>
        <w:t>et al.,</w:t>
      </w:r>
      <w:r>
        <w:rPr>
          <w:rFonts w:ascii="Arial" w:hAnsi="Arial" w:cs="Arial"/>
        </w:rPr>
        <w:t xml:space="preserve"> (2020), spinach supplementation enhances meta</w:t>
      </w:r>
      <w:r>
        <w:rPr>
          <w:rFonts w:ascii="Arial" w:hAnsi="Arial" w:cs="Arial"/>
        </w:rPr>
        <w:t>bolism and maximizes protein utilization from the provided feed, attributed to the phytoecdysteroid hormones in spinach that facilitate protein formation through mRNA synthesis processes, thereby accelerating protein synthesis in lobsters.</w:t>
      </w:r>
    </w:p>
    <w:p w:rsidR="0083466E" w:rsidRDefault="00306B52">
      <w:pPr>
        <w:pStyle w:val="Body"/>
        <w:spacing w:after="0"/>
        <w:rPr>
          <w:rFonts w:ascii="Arial" w:hAnsi="Arial" w:cs="Arial"/>
        </w:rPr>
      </w:pPr>
      <w:r>
        <w:rPr>
          <w:rFonts w:ascii="Arial" w:hAnsi="Arial" w:cs="Arial"/>
        </w:rPr>
        <w:t>Additionally, ph</w:t>
      </w:r>
      <w:r>
        <w:rPr>
          <w:rFonts w:ascii="Arial" w:hAnsi="Arial" w:cs="Arial"/>
        </w:rPr>
        <w:t xml:space="preserve">ytoecdysteroids play a role in accelerating the molting process. Maudina </w:t>
      </w:r>
      <w:r>
        <w:rPr>
          <w:rFonts w:ascii="Arial" w:hAnsi="Arial" w:cs="Arial"/>
          <w:i/>
          <w:iCs/>
        </w:rPr>
        <w:t>et al.,</w:t>
      </w:r>
      <w:r>
        <w:rPr>
          <w:rFonts w:ascii="Arial" w:hAnsi="Arial" w:cs="Arial"/>
        </w:rPr>
        <w:t xml:space="preserve"> (2021) described phytoecdysteroids as plant-derived hormones that closely resemble ecdysteroids, which stimulate molting in crustaceans. Rostika </w:t>
      </w:r>
      <w:r>
        <w:rPr>
          <w:rFonts w:ascii="Arial" w:hAnsi="Arial" w:cs="Arial"/>
          <w:i/>
          <w:iCs/>
        </w:rPr>
        <w:t>et al.,</w:t>
      </w:r>
      <w:r>
        <w:rPr>
          <w:rFonts w:ascii="Arial" w:hAnsi="Arial" w:cs="Arial"/>
        </w:rPr>
        <w:t xml:space="preserve"> (2024) stated that mol</w:t>
      </w:r>
      <w:r>
        <w:rPr>
          <w:rFonts w:ascii="Arial" w:hAnsi="Arial" w:cs="Arial"/>
        </w:rPr>
        <w:t>ting involves the replacement of old cuticles or shells with new ones, along with the regeneration of previously damaged or severed body parts, indicating an increase in lobster growth.</w:t>
      </w:r>
    </w:p>
    <w:p w:rsidR="0083466E" w:rsidRDefault="0083466E">
      <w:pPr>
        <w:pStyle w:val="Body"/>
        <w:spacing w:after="0"/>
        <w:rPr>
          <w:rFonts w:ascii="Arial" w:hAnsi="Arial" w:cs="Arial"/>
          <w:b/>
          <w:bCs/>
        </w:rPr>
      </w:pPr>
    </w:p>
    <w:p w:rsidR="0083466E" w:rsidRDefault="00306B52">
      <w:pPr>
        <w:pStyle w:val="Body"/>
        <w:spacing w:after="0"/>
        <w:rPr>
          <w:rFonts w:ascii="Arial" w:hAnsi="Arial" w:cs="Arial"/>
          <w:b/>
          <w:bCs/>
        </w:rPr>
      </w:pPr>
      <w:r>
        <w:rPr>
          <w:rFonts w:ascii="Arial" w:hAnsi="Arial" w:cs="Arial"/>
          <w:b/>
          <w:bCs/>
        </w:rPr>
        <w:t xml:space="preserve">3.2.2 Absolute Length Growth </w:t>
      </w:r>
    </w:p>
    <w:p w:rsidR="0083466E" w:rsidRDefault="00306B52">
      <w:pPr>
        <w:pStyle w:val="Body"/>
        <w:rPr>
          <w:rFonts w:ascii="Arial" w:hAnsi="Arial" w:cs="Arial"/>
        </w:rPr>
      </w:pPr>
      <w:r>
        <w:rPr>
          <w:rFonts w:ascii="Arial" w:hAnsi="Arial" w:cs="Arial"/>
        </w:rPr>
        <w:t xml:space="preserve">The treatment with 4% spinach flour in </w:t>
      </w:r>
      <w:r>
        <w:rPr>
          <w:rFonts w:ascii="Arial" w:hAnsi="Arial" w:cs="Arial"/>
        </w:rPr>
        <w:t xml:space="preserve">the feed was well utilized by lobster seed for length growth during the rearing period. Research results indicated that the length growth of sand lobster (Panulirus homarus) seed increased more rapidly than weight gain. This is consistent with Andrykusuma </w:t>
      </w:r>
      <w:r>
        <w:rPr>
          <w:rFonts w:ascii="Arial" w:hAnsi="Arial" w:cs="Arial"/>
          <w:i/>
          <w:iCs/>
        </w:rPr>
        <w:t>et al.,</w:t>
      </w:r>
      <w:r>
        <w:rPr>
          <w:rFonts w:ascii="Arial" w:hAnsi="Arial" w:cs="Arial"/>
        </w:rPr>
        <w:t xml:space="preserve"> (2022), who stated that sand lobsters exhibit negative allometric growth.</w:t>
      </w:r>
    </w:p>
    <w:p w:rsidR="0083466E" w:rsidRDefault="0083466E">
      <w:pPr>
        <w:pStyle w:val="Body"/>
        <w:rPr>
          <w:rFonts w:ascii="Arial" w:hAnsi="Arial" w:cs="Arial"/>
        </w:rPr>
      </w:pPr>
    </w:p>
    <w:p w:rsidR="0083466E" w:rsidRDefault="00306B52">
      <w:pPr>
        <w:pStyle w:val="Body"/>
        <w:spacing w:after="0"/>
        <w:rPr>
          <w:rFonts w:ascii="Arial" w:hAnsi="Arial" w:cs="Arial"/>
        </w:rPr>
      </w:pPr>
      <w:r>
        <w:rPr>
          <w:rFonts w:ascii="Arial" w:hAnsi="Arial" w:cs="Arial"/>
        </w:rPr>
        <w:t xml:space="preserve">At a 12% spinach flour dose, growth declined, presumably due to anti-nutritional compounds present in spinach flour. According to Puspitasari and Mahayana (2021), excessive </w:t>
      </w:r>
      <w:r>
        <w:rPr>
          <w:rFonts w:ascii="Arial" w:hAnsi="Arial" w:cs="Arial"/>
        </w:rPr>
        <w:t xml:space="preserve">spinach consumption reduces growth because it contains oxalate compounds. These compounds </w:t>
      </w:r>
      <w:r>
        <w:rPr>
          <w:rFonts w:ascii="Arial" w:hAnsi="Arial" w:cs="Arial"/>
        </w:rPr>
        <w:lastRenderedPageBreak/>
        <w:t xml:space="preserve">inhibit calcium absorption by binding to calcium, thereby reducing the availability of calcium and iron required by the organisms. Hastuti </w:t>
      </w:r>
      <w:r>
        <w:rPr>
          <w:rFonts w:ascii="Arial" w:hAnsi="Arial" w:cs="Arial"/>
          <w:i/>
          <w:iCs/>
        </w:rPr>
        <w:t>et al.,</w:t>
      </w:r>
      <w:r>
        <w:rPr>
          <w:rFonts w:ascii="Arial" w:hAnsi="Arial" w:cs="Arial"/>
        </w:rPr>
        <w:t xml:space="preserve"> (2024) noted that c</w:t>
      </w:r>
      <w:r>
        <w:rPr>
          <w:rFonts w:ascii="Arial" w:hAnsi="Arial" w:cs="Arial"/>
        </w:rPr>
        <w:t xml:space="preserve">alcium plays a role in bone formation, maintaining acid-base balance in the body, and aiding cuticle hardening during molting; optimal lobster growth occurs when calcium requirements are met. Additionally, spinach contains tannins. Syamsunarno </w:t>
      </w:r>
      <w:r>
        <w:rPr>
          <w:rFonts w:ascii="Arial" w:hAnsi="Arial" w:cs="Arial"/>
          <w:i/>
          <w:iCs/>
        </w:rPr>
        <w:t>et al.,</w:t>
      </w:r>
      <w:r>
        <w:rPr>
          <w:rFonts w:ascii="Arial" w:hAnsi="Arial" w:cs="Arial"/>
        </w:rPr>
        <w:t xml:space="preserve"> (201</w:t>
      </w:r>
      <w:r>
        <w:rPr>
          <w:rFonts w:ascii="Arial" w:hAnsi="Arial" w:cs="Arial"/>
        </w:rPr>
        <w:t>9) described tannins as natural anesthetics for lobsters. However, high tannin doses can inhibit lobster growth. Amalyadi (2025) reported that tannins reduce protein digestibility by binding proteins and inhibiting digestive enzyme activity.</w:t>
      </w:r>
    </w:p>
    <w:p w:rsidR="0083466E" w:rsidRDefault="0083466E">
      <w:pPr>
        <w:pStyle w:val="Body"/>
        <w:spacing w:after="0"/>
        <w:rPr>
          <w:rFonts w:ascii="Arial" w:hAnsi="Arial" w:cs="Arial"/>
        </w:rPr>
      </w:pPr>
    </w:p>
    <w:p w:rsidR="0083466E" w:rsidRDefault="00306B52">
      <w:pPr>
        <w:pStyle w:val="Body"/>
        <w:spacing w:after="0"/>
        <w:rPr>
          <w:rFonts w:ascii="Arial" w:hAnsi="Arial" w:cs="Arial"/>
          <w:b/>
          <w:bCs/>
        </w:rPr>
      </w:pPr>
      <w:r>
        <w:rPr>
          <w:rFonts w:ascii="Arial" w:hAnsi="Arial" w:cs="Arial"/>
          <w:b/>
          <w:bCs/>
        </w:rPr>
        <w:t>3.2.3 Specifi</w:t>
      </w:r>
      <w:r>
        <w:rPr>
          <w:rFonts w:ascii="Arial" w:hAnsi="Arial" w:cs="Arial"/>
          <w:b/>
          <w:bCs/>
        </w:rPr>
        <w:t xml:space="preserve">c Growth Rate </w:t>
      </w:r>
    </w:p>
    <w:p w:rsidR="0083466E" w:rsidRDefault="00306B52">
      <w:pPr>
        <w:pStyle w:val="Body"/>
        <w:rPr>
          <w:rFonts w:ascii="Arial" w:hAnsi="Arial" w:cs="Arial"/>
        </w:rPr>
      </w:pPr>
      <w:r>
        <w:rPr>
          <w:rFonts w:ascii="Arial" w:hAnsi="Arial" w:cs="Arial"/>
        </w:rPr>
        <w:t>The administration of 4% spinach flour treatment enabled effective digestion of nutrients in the feed. In contrast, the 12% spinach flour treatment resulted in poor nutrient digestibility due to anti-nutritional compounds. This finding align</w:t>
      </w:r>
      <w:r>
        <w:rPr>
          <w:rFonts w:ascii="Arial" w:hAnsi="Arial" w:cs="Arial"/>
        </w:rPr>
        <w:t xml:space="preserve">s with Naseem </w:t>
      </w:r>
      <w:r>
        <w:rPr>
          <w:rFonts w:ascii="Arial" w:hAnsi="Arial" w:cs="Arial"/>
          <w:i/>
          <w:iCs/>
        </w:rPr>
        <w:t>et al.,</w:t>
      </w:r>
      <w:r>
        <w:rPr>
          <w:rFonts w:ascii="Arial" w:hAnsi="Arial" w:cs="Arial"/>
        </w:rPr>
        <w:t xml:space="preserve"> (2023), who noted that, besides oxalates, spinach contains other anti-nutritional compounds such as tannins and saponins. According to Chrismonita</w:t>
      </w:r>
      <w:r>
        <w:rPr>
          <w:rFonts w:ascii="Arial" w:hAnsi="Arial" w:cs="Arial"/>
        </w:rPr>
        <w:t xml:space="preserve"> (2021), saponins increase membrane permeability, leading to cellular damage that facilitates rapid protein absorption. However, excessively high doses produce the opposite effect by inhibiting biota growth. Amananti </w:t>
      </w:r>
      <w:r>
        <w:rPr>
          <w:rFonts w:ascii="Arial" w:hAnsi="Arial" w:cs="Arial"/>
          <w:i/>
          <w:iCs/>
        </w:rPr>
        <w:t>et al.,</w:t>
      </w:r>
      <w:r>
        <w:rPr>
          <w:rFonts w:ascii="Arial" w:hAnsi="Arial" w:cs="Arial"/>
        </w:rPr>
        <w:t xml:space="preserve"> (2017) reported that excessive </w:t>
      </w:r>
      <w:r>
        <w:rPr>
          <w:rFonts w:ascii="Arial" w:hAnsi="Arial" w:cs="Arial"/>
        </w:rPr>
        <w:t>saponins damage intestinal membranes, thereby reducing the absorption of proteins and other nutrients. Additionally, saponins can suppress appetite in aquatic organisms.</w:t>
      </w:r>
    </w:p>
    <w:p w:rsidR="0083466E" w:rsidRDefault="00306B52">
      <w:pPr>
        <w:pStyle w:val="Body"/>
        <w:spacing w:after="0"/>
        <w:rPr>
          <w:rFonts w:ascii="Arial" w:hAnsi="Arial" w:cs="Arial"/>
        </w:rPr>
      </w:pPr>
      <w:r>
        <w:rPr>
          <w:rFonts w:ascii="Arial" w:hAnsi="Arial" w:cs="Arial"/>
        </w:rPr>
        <w:t>Appetite influences lobster seed growth during rearing. Hutabarat and Rachmawati (2015</w:t>
      </w:r>
      <w:r>
        <w:rPr>
          <w:rFonts w:ascii="Arial" w:hAnsi="Arial" w:cs="Arial"/>
        </w:rPr>
        <w:t>) stated that lobster seeds exhibit high appetite levels, requiring substantially more feed than adult lobsters. This is attributed to their higher activity levels, which demand greater energy expenditure compared to adults. Optimal nutrient absorption fro</w:t>
      </w:r>
      <w:r>
        <w:rPr>
          <w:rFonts w:ascii="Arial" w:hAnsi="Arial" w:cs="Arial"/>
        </w:rPr>
        <w:t xml:space="preserve">m feed directly impacts the energy available to lobsters. </w:t>
      </w:r>
      <w:r>
        <w:rPr>
          <w:rFonts w:ascii="Arial" w:hAnsi="Arial" w:cs="Arial"/>
          <w:i/>
          <w:iCs/>
        </w:rPr>
        <w:t>Hidayat et al.,</w:t>
      </w:r>
      <w:r>
        <w:rPr>
          <w:rFonts w:ascii="Arial" w:hAnsi="Arial" w:cs="Arial"/>
        </w:rPr>
        <w:t xml:space="preserve"> (2024) indicated that optimal nutrient absorption provides sufficient energy for growth and activity in crustaceans.</w:t>
      </w:r>
    </w:p>
    <w:p w:rsidR="0083466E" w:rsidRDefault="0083466E">
      <w:pPr>
        <w:pStyle w:val="Body"/>
        <w:spacing w:after="0"/>
        <w:rPr>
          <w:rFonts w:ascii="Arial" w:hAnsi="Arial" w:cs="Arial"/>
          <w:b/>
          <w:bCs/>
          <w:sz w:val="22"/>
          <w:szCs w:val="22"/>
        </w:rPr>
      </w:pPr>
    </w:p>
    <w:p w:rsidR="0083466E" w:rsidRDefault="00306B52">
      <w:pPr>
        <w:pStyle w:val="Body"/>
        <w:spacing w:after="0"/>
        <w:rPr>
          <w:rFonts w:ascii="Arial" w:hAnsi="Arial" w:cs="Arial"/>
        </w:rPr>
      </w:pPr>
      <w:r>
        <w:rPr>
          <w:rFonts w:ascii="Arial" w:hAnsi="Arial" w:cs="Arial"/>
          <w:b/>
          <w:bCs/>
        </w:rPr>
        <w:t xml:space="preserve">3.2.4 Survival </w:t>
      </w:r>
    </w:p>
    <w:p w:rsidR="0083466E" w:rsidRDefault="00306B52">
      <w:pPr>
        <w:pStyle w:val="Body"/>
        <w:rPr>
          <w:rFonts w:ascii="Arial" w:hAnsi="Arial" w:cs="Arial"/>
        </w:rPr>
      </w:pPr>
      <w:r>
        <w:rPr>
          <w:rFonts w:ascii="Arial" w:hAnsi="Arial" w:cs="Arial"/>
        </w:rPr>
        <w:t xml:space="preserve">The moist feed treatment supplemented with 4% spinach flour proved optimal for the survival of sand lobster seeds, whereas other treatments provided sufficient feed for seed survival. Lubis and Puari (2023) reported that administering spinach leaf extract </w:t>
      </w:r>
      <w:r>
        <w:rPr>
          <w:rFonts w:ascii="Arial" w:hAnsi="Arial" w:cs="Arial"/>
        </w:rPr>
        <w:t>to lobsters via feed had no effect on survival rates. This aligns with Hidayat et al., (2024), who found that spinach extract incorporated into feed exerted no significant influence on crab survival.</w:t>
      </w:r>
    </w:p>
    <w:p w:rsidR="0083466E" w:rsidRDefault="00306B52">
      <w:pPr>
        <w:pStyle w:val="Body"/>
        <w:spacing w:after="0"/>
        <w:rPr>
          <w:rFonts w:ascii="Arial" w:hAnsi="Arial" w:cs="Arial"/>
        </w:rPr>
      </w:pPr>
      <w:r>
        <w:rPr>
          <w:rFonts w:ascii="Arial" w:hAnsi="Arial" w:cs="Arial"/>
        </w:rPr>
        <w:t xml:space="preserve">Landman </w:t>
      </w:r>
      <w:r>
        <w:rPr>
          <w:rFonts w:ascii="Arial" w:hAnsi="Arial" w:cs="Arial"/>
          <w:i/>
          <w:iCs/>
        </w:rPr>
        <w:t>et al.,</w:t>
      </w:r>
      <w:r>
        <w:rPr>
          <w:rFonts w:ascii="Arial" w:hAnsi="Arial" w:cs="Arial"/>
        </w:rPr>
        <w:t xml:space="preserve"> (2024) indicated that survival rates of </w:t>
      </w:r>
      <w:r>
        <w:rPr>
          <w:rFonts w:ascii="Arial" w:hAnsi="Arial" w:cs="Arial"/>
        </w:rPr>
        <w:t>lobster seeds can be influenced by molting processes during rearing, as lobsters expend substantial energy to shed their shells. Consequently, many lobsters succumb due to energy depletion during molting. Lobster seed survival is also affected by environme</w:t>
      </w:r>
      <w:r>
        <w:rPr>
          <w:rFonts w:ascii="Arial" w:hAnsi="Arial" w:cs="Arial"/>
        </w:rPr>
        <w:t xml:space="preserve">ntal factors. </w:t>
      </w:r>
      <w:r>
        <w:rPr>
          <w:rFonts w:ascii="Arial" w:hAnsi="Arial" w:cs="Arial"/>
          <w:i/>
          <w:iCs/>
        </w:rPr>
        <w:t>Louhenapessy et al.,</w:t>
      </w:r>
      <w:r>
        <w:rPr>
          <w:rFonts w:ascii="Arial" w:hAnsi="Arial" w:cs="Arial"/>
        </w:rPr>
        <w:t xml:space="preserve"> (2025) stated that water quality, among other environmental parameters, impacts lobster growth and survival. Suboptimal water conditions in culture systems lead to reduced lobster production.</w:t>
      </w:r>
    </w:p>
    <w:p w:rsidR="0083466E" w:rsidRDefault="0083466E">
      <w:pPr>
        <w:pStyle w:val="Body"/>
        <w:spacing w:after="0"/>
        <w:rPr>
          <w:rFonts w:ascii="Arial" w:hAnsi="Arial" w:cs="Arial"/>
          <w:b/>
          <w:bCs/>
        </w:rPr>
      </w:pPr>
    </w:p>
    <w:p w:rsidR="0083466E" w:rsidRDefault="00306B52">
      <w:pPr>
        <w:pStyle w:val="Body"/>
        <w:spacing w:after="0"/>
        <w:rPr>
          <w:rFonts w:ascii="Arial" w:hAnsi="Arial" w:cs="Arial"/>
          <w:b/>
          <w:bCs/>
        </w:rPr>
      </w:pPr>
      <w:r>
        <w:rPr>
          <w:rFonts w:ascii="Arial" w:hAnsi="Arial" w:cs="Arial"/>
          <w:b/>
          <w:bCs/>
        </w:rPr>
        <w:t xml:space="preserve">3.2.5 Water Quality </w:t>
      </w:r>
    </w:p>
    <w:p w:rsidR="0083466E" w:rsidRDefault="00306B52">
      <w:pPr>
        <w:pStyle w:val="Body"/>
        <w:spacing w:after="0"/>
        <w:rPr>
          <w:rFonts w:ascii="Arial" w:hAnsi="Arial" w:cs="Arial"/>
        </w:rPr>
      </w:pPr>
      <w:r>
        <w:rPr>
          <w:rFonts w:ascii="Arial" w:hAnsi="Arial" w:cs="Arial"/>
        </w:rPr>
        <w:t>Water q</w:t>
      </w:r>
      <w:r>
        <w:rPr>
          <w:rFonts w:ascii="Arial" w:hAnsi="Arial" w:cs="Arial"/>
        </w:rPr>
        <w:t>uality is a critical factor supporting the survival and growth of sand lobster (Panulirus homarus) seed during rearing. The temperature and dissolved oxygen levels recorded during the study were optimal for sand lobster seed growth, consistent with Sumiati</w:t>
      </w:r>
      <w:r>
        <w:rPr>
          <w:rFonts w:ascii="Arial" w:hAnsi="Arial" w:cs="Arial"/>
        </w:rPr>
        <w:t xml:space="preserve"> </w:t>
      </w:r>
      <w:r>
        <w:rPr>
          <w:rFonts w:ascii="Arial" w:hAnsi="Arial" w:cs="Arial"/>
          <w:i/>
          <w:iCs/>
        </w:rPr>
        <w:t xml:space="preserve">et al., </w:t>
      </w:r>
      <w:r>
        <w:rPr>
          <w:rFonts w:ascii="Arial" w:hAnsi="Arial" w:cs="Arial"/>
        </w:rPr>
        <w:t xml:space="preserve">(2023). Similarly, the pH levels obtained were optimal according to Amrillah </w:t>
      </w:r>
      <w:r>
        <w:rPr>
          <w:rFonts w:ascii="Arial" w:hAnsi="Arial" w:cs="Arial"/>
          <w:i/>
          <w:iCs/>
        </w:rPr>
        <w:t>et al.,</w:t>
      </w:r>
      <w:r>
        <w:rPr>
          <w:rFonts w:ascii="Arial" w:hAnsi="Arial" w:cs="Arial"/>
        </w:rPr>
        <w:t xml:space="preserve"> (2022), as was the salinity according to Andrykusuma </w:t>
      </w:r>
      <w:r>
        <w:rPr>
          <w:rFonts w:ascii="Arial" w:hAnsi="Arial" w:cs="Arial"/>
          <w:i/>
          <w:iCs/>
        </w:rPr>
        <w:t>et al.,</w:t>
      </w:r>
      <w:r>
        <w:rPr>
          <w:rFonts w:ascii="Arial" w:hAnsi="Arial" w:cs="Arial"/>
        </w:rPr>
        <w:t xml:space="preserve"> (2022).</w:t>
      </w:r>
    </w:p>
    <w:p w:rsidR="0083466E" w:rsidRDefault="0083466E">
      <w:pPr>
        <w:pStyle w:val="Body"/>
        <w:spacing w:after="0"/>
        <w:rPr>
          <w:rFonts w:ascii="Arial" w:hAnsi="Arial" w:cs="Arial"/>
          <w:b/>
          <w:bCs/>
          <w:sz w:val="22"/>
          <w:szCs w:val="22"/>
        </w:rPr>
      </w:pPr>
    </w:p>
    <w:p w:rsidR="0083466E" w:rsidRDefault="00306B52">
      <w:pPr>
        <w:pStyle w:val="ConcHead"/>
        <w:spacing w:after="0"/>
        <w:jc w:val="both"/>
        <w:rPr>
          <w:rFonts w:ascii="Arial" w:hAnsi="Arial" w:cs="Arial"/>
        </w:rPr>
      </w:pPr>
      <w:r>
        <w:rPr>
          <w:rFonts w:ascii="Arial" w:hAnsi="Arial" w:cs="Arial"/>
        </w:rPr>
        <w:t>4. CONCLUSION</w:t>
      </w:r>
    </w:p>
    <w:p w:rsidR="0083466E" w:rsidRDefault="0083466E">
      <w:pPr>
        <w:pStyle w:val="ConcHead"/>
        <w:spacing w:after="0"/>
        <w:jc w:val="both"/>
        <w:rPr>
          <w:rFonts w:ascii="Arial" w:hAnsi="Arial" w:cs="Arial"/>
        </w:rPr>
      </w:pPr>
    </w:p>
    <w:p w:rsidR="0083466E" w:rsidRDefault="00306B52">
      <w:pPr>
        <w:pStyle w:val="Body"/>
        <w:rPr>
          <w:rFonts w:ascii="Arial" w:hAnsi="Arial" w:cs="Arial"/>
          <w:sz w:val="22"/>
          <w:szCs w:val="22"/>
        </w:rPr>
      </w:pPr>
      <w:r>
        <w:rPr>
          <w:rFonts w:ascii="Arial" w:hAnsi="Arial" w:cs="Arial"/>
          <w:sz w:val="22"/>
          <w:szCs w:val="22"/>
        </w:rPr>
        <w:t>Treatments involving different doses of spinach flour in moist feed significa</w:t>
      </w:r>
      <w:r>
        <w:rPr>
          <w:rFonts w:ascii="Arial" w:hAnsi="Arial" w:cs="Arial"/>
          <w:sz w:val="22"/>
          <w:szCs w:val="22"/>
        </w:rPr>
        <w:t xml:space="preserve">ntly affected (p&lt; 0.05) absolute weight gain, absolute length gain, and specific growth </w:t>
      </w:r>
      <w:r>
        <w:rPr>
          <w:rFonts w:ascii="Arial" w:hAnsi="Arial" w:cs="Arial"/>
          <w:sz w:val="22"/>
          <w:szCs w:val="22"/>
        </w:rPr>
        <w:lastRenderedPageBreak/>
        <w:t>rate. However, they exerted no significant effect on the survival of sand lobster seed. The treatment with 4% spinach flour (B) yielded the best growth results for sand</w:t>
      </w:r>
      <w:r>
        <w:rPr>
          <w:rFonts w:ascii="Arial" w:hAnsi="Arial" w:cs="Arial"/>
          <w:sz w:val="22"/>
          <w:szCs w:val="22"/>
        </w:rPr>
        <w:t xml:space="preserve"> lobster seed, with absolute weight gain of 1.50±0.28 g, absolute length gain of 1.78±0.37 cm, and specific growth rate of 0.73±0.13 %/day.</w:t>
      </w:r>
    </w:p>
    <w:p w:rsidR="0083466E" w:rsidRDefault="00306B52">
      <w:pPr>
        <w:jc w:val="both"/>
        <w:rPr>
          <w:rFonts w:ascii="Arial" w:hAnsi="Arial" w:cs="Arial"/>
          <w:b/>
          <w:bCs/>
          <w:sz w:val="22"/>
          <w:szCs w:val="22"/>
        </w:rPr>
      </w:pPr>
      <w:bookmarkStart w:id="2" w:name="_Hlk204003461"/>
      <w:bookmarkStart w:id="3" w:name="_Hlk213070710"/>
      <w:r>
        <w:rPr>
          <w:rFonts w:ascii="Arial" w:hAnsi="Arial" w:cs="Arial"/>
          <w:b/>
          <w:bCs/>
          <w:sz w:val="22"/>
          <w:szCs w:val="22"/>
        </w:rPr>
        <w:t>DISCLAIMER (ARTIFICIAL INTELLIGENCE)</w:t>
      </w:r>
    </w:p>
    <w:p w:rsidR="0083466E" w:rsidRDefault="0083466E">
      <w:pPr>
        <w:jc w:val="both"/>
        <w:rPr>
          <w:rFonts w:ascii="Arial" w:hAnsi="Arial" w:cs="Arial"/>
          <w:b/>
          <w:bCs/>
          <w:sz w:val="22"/>
          <w:szCs w:val="22"/>
        </w:rPr>
      </w:pPr>
    </w:p>
    <w:p w:rsidR="0083466E" w:rsidRDefault="00306B52">
      <w:pPr>
        <w:jc w:val="both"/>
        <w:rPr>
          <w:rFonts w:ascii="Arial" w:hAnsi="Arial" w:cs="Arial"/>
          <w:sz w:val="22"/>
          <w:szCs w:val="22"/>
        </w:rPr>
      </w:pPr>
      <w:r>
        <w:rPr>
          <w:rFonts w:ascii="Arial" w:hAnsi="Arial" w:cs="Arial"/>
          <w:sz w:val="22"/>
          <w:szCs w:val="22"/>
        </w:rPr>
        <w:t>Author(s) hereby declare that NO generative AI technologies such as Large Lang</w:t>
      </w:r>
      <w:r>
        <w:rPr>
          <w:rFonts w:ascii="Arial" w:hAnsi="Arial" w:cs="Arial"/>
          <w:sz w:val="22"/>
          <w:szCs w:val="22"/>
        </w:rPr>
        <w:t xml:space="preserve">uage Models (ChatGPT, COPILOT, etc.) and text-to-image generators have been used during the writing or editing of this manuscript. </w:t>
      </w:r>
    </w:p>
    <w:bookmarkEnd w:id="2"/>
    <w:bookmarkEnd w:id="3"/>
    <w:p w:rsidR="0083466E" w:rsidRDefault="0083466E">
      <w:pPr>
        <w:pStyle w:val="ReferHead"/>
        <w:spacing w:after="0"/>
        <w:jc w:val="both"/>
        <w:rPr>
          <w:rFonts w:ascii="Arial" w:hAnsi="Arial" w:cs="Arial"/>
          <w:b w:val="0"/>
          <w:caps w:val="0"/>
          <w:sz w:val="20"/>
        </w:rPr>
      </w:pPr>
    </w:p>
    <w:p w:rsidR="0083466E" w:rsidRDefault="00306B52">
      <w:pPr>
        <w:pStyle w:val="ReferHead"/>
        <w:spacing w:after="0"/>
        <w:jc w:val="both"/>
        <w:rPr>
          <w:rFonts w:ascii="Arial" w:hAnsi="Arial" w:cs="Arial"/>
          <w:i/>
          <w:u w:val="single"/>
        </w:rPr>
      </w:pPr>
      <w:r>
        <w:rPr>
          <w:rFonts w:ascii="Arial" w:hAnsi="Arial" w:cs="Arial"/>
        </w:rPr>
        <w:t xml:space="preserve">Referensi </w:t>
      </w:r>
    </w:p>
    <w:p w:rsidR="0083466E" w:rsidRDefault="0083466E">
      <w:pPr>
        <w:pStyle w:val="Body"/>
        <w:spacing w:after="0"/>
        <w:rPr>
          <w:rFonts w:ascii="Arial" w:hAnsi="Arial" w:cs="Arial"/>
          <w:i/>
          <w:u w:val="single"/>
        </w:rPr>
      </w:pPr>
    </w:p>
    <w:p w:rsidR="0083466E" w:rsidRDefault="00306B52">
      <w:pPr>
        <w:pStyle w:val="Body"/>
        <w:spacing w:after="0"/>
        <w:ind w:left="851" w:hanging="851"/>
        <w:rPr>
          <w:rFonts w:ascii="Arial" w:hAnsi="Arial" w:cs="Arial"/>
        </w:rPr>
      </w:pPr>
      <w:r>
        <w:rPr>
          <w:rFonts w:ascii="Arial" w:hAnsi="Arial" w:cs="Arial"/>
        </w:rPr>
        <w:t xml:space="preserve">Amananti, W., Tivani, I., &amp; Riyanta, A. B. (2017). Saponin Content Analysis in Leaves, Petioles, and Seeds of </w:t>
      </w:r>
      <w:r>
        <w:rPr>
          <w:rFonts w:ascii="Arial" w:hAnsi="Arial" w:cs="Arial"/>
          <w:i/>
          <w:iCs/>
        </w:rPr>
        <w:t>S</w:t>
      </w:r>
      <w:r>
        <w:rPr>
          <w:rFonts w:ascii="Arial" w:hAnsi="Arial" w:cs="Arial"/>
          <w:i/>
          <w:iCs/>
        </w:rPr>
        <w:t>esbania grandiflora</w:t>
      </w:r>
      <w:r>
        <w:rPr>
          <w:rFonts w:ascii="Arial" w:hAnsi="Arial" w:cs="Arial"/>
        </w:rPr>
        <w:t xml:space="preserve">. </w:t>
      </w:r>
      <w:r>
        <w:rPr>
          <w:rFonts w:ascii="Arial" w:hAnsi="Arial" w:cs="Arial"/>
          <w:i/>
          <w:iCs/>
        </w:rPr>
        <w:t>Prosiding SENIT (Seminar Nasional Ilmu Terapan).</w:t>
      </w:r>
      <w:hyperlink r:id="rId19" w:history="1">
        <w:r>
          <w:rPr>
            <w:rStyle w:val="Hyperlink"/>
            <w:rFonts w:ascii="Arial" w:hAnsi="Arial" w:cs="Arial"/>
          </w:rPr>
          <w:t>https://ejournal.poltektegal.ac.id/index.php/senit/article/view/600/547</w:t>
        </w:r>
      </w:hyperlink>
    </w:p>
    <w:p w:rsidR="0083466E" w:rsidRDefault="00306B52">
      <w:pPr>
        <w:pStyle w:val="Body"/>
        <w:spacing w:after="0"/>
        <w:ind w:left="851" w:hanging="851"/>
        <w:rPr>
          <w:rFonts w:ascii="Arial" w:hAnsi="Arial" w:cs="Arial"/>
        </w:rPr>
      </w:pPr>
      <w:r>
        <w:rPr>
          <w:rFonts w:ascii="Arial" w:hAnsi="Arial" w:cs="Arial"/>
        </w:rPr>
        <w:t>Amrillah, A. M., Fadjar, M., Andayani, S., Andriani, D. R., Sentanu, I. G. E. P. S., Amrillah, A. M., &amp; Aisyah, D. (2022). Seed Production of Spiny Lobster (</w:t>
      </w:r>
      <w:r>
        <w:rPr>
          <w:rFonts w:ascii="Arial" w:hAnsi="Arial" w:cs="Arial"/>
          <w:i/>
          <w:iCs/>
        </w:rPr>
        <w:t>Panulirus homarus</w:t>
      </w:r>
      <w:r>
        <w:rPr>
          <w:rFonts w:ascii="Arial" w:hAnsi="Arial" w:cs="Arial"/>
        </w:rPr>
        <w:t>) Using Recirculating Aquaculture System (RAS) at the Pesona Bahari Fishermen's Gr</w:t>
      </w:r>
      <w:r>
        <w:rPr>
          <w:rFonts w:ascii="Arial" w:hAnsi="Arial" w:cs="Arial"/>
        </w:rPr>
        <w:t xml:space="preserve">oup, Grand Watudodol, Banyuwangi. </w:t>
      </w:r>
      <w:r>
        <w:rPr>
          <w:rFonts w:ascii="Arial" w:hAnsi="Arial" w:cs="Arial"/>
          <w:i/>
          <w:iCs/>
        </w:rPr>
        <w:t>Journal of Innovation and Applied Technology, 8</w:t>
      </w:r>
      <w:r>
        <w:rPr>
          <w:rFonts w:ascii="Arial" w:hAnsi="Arial" w:cs="Arial"/>
        </w:rPr>
        <w:t xml:space="preserve">(1), 1359–1364. </w:t>
      </w:r>
      <w:hyperlink r:id="rId20" w:history="1">
        <w:r>
          <w:rPr>
            <w:rStyle w:val="Hyperlink"/>
            <w:rFonts w:ascii="Arial" w:hAnsi="Arial" w:cs="Arial"/>
          </w:rPr>
          <w:t>https://doi.org/10.21776/ub.jiat.2022.008.01.6</w:t>
        </w:r>
      </w:hyperlink>
      <w:r>
        <w:rPr>
          <w:rFonts w:ascii="Arial" w:hAnsi="Arial" w:cs="Arial"/>
        </w:rPr>
        <w:tab/>
      </w:r>
    </w:p>
    <w:p w:rsidR="0083466E" w:rsidRDefault="00306B52">
      <w:pPr>
        <w:pStyle w:val="Body"/>
        <w:spacing w:after="0"/>
        <w:ind w:left="851" w:hanging="851"/>
        <w:rPr>
          <w:rFonts w:ascii="Arial" w:hAnsi="Arial" w:cs="Arial"/>
        </w:rPr>
      </w:pPr>
      <w:r>
        <w:rPr>
          <w:rFonts w:ascii="Arial" w:hAnsi="Arial" w:cs="Arial"/>
        </w:rPr>
        <w:t>Andrykusuma, D. H. P., Redjeki, S., &amp; Riniatsih,</w:t>
      </w:r>
      <w:r>
        <w:rPr>
          <w:rFonts w:ascii="Arial" w:hAnsi="Arial" w:cs="Arial"/>
        </w:rPr>
        <w:t xml:space="preserve"> I. (2022). Daily Growth Rate and Sex Ratio of Sand Lobsters Panulirus homarus in Liwungan Waters, Pandeglang, Banten. </w:t>
      </w:r>
      <w:r>
        <w:rPr>
          <w:rFonts w:ascii="Arial" w:hAnsi="Arial" w:cs="Arial"/>
          <w:i/>
          <w:iCs/>
        </w:rPr>
        <w:t>Journal of Marine Research, 11</w:t>
      </w:r>
      <w:r>
        <w:rPr>
          <w:rFonts w:ascii="Arial" w:hAnsi="Arial" w:cs="Arial"/>
        </w:rPr>
        <w:t>(1), 86–91.</w:t>
      </w:r>
      <w:hyperlink r:id="rId21" w:history="1">
        <w:r>
          <w:rPr>
            <w:rStyle w:val="Hyperlink"/>
            <w:rFonts w:ascii="Arial" w:hAnsi="Arial" w:cs="Arial"/>
          </w:rPr>
          <w:t>https://doi.org/10.14710/jmr.v11i1.31248</w:t>
        </w:r>
      </w:hyperlink>
    </w:p>
    <w:p w:rsidR="0083466E" w:rsidRDefault="00306B52">
      <w:pPr>
        <w:pStyle w:val="Body"/>
        <w:spacing w:after="0"/>
        <w:ind w:left="851" w:hanging="851"/>
        <w:rPr>
          <w:rFonts w:ascii="Arial" w:hAnsi="Arial" w:cs="Arial"/>
        </w:rPr>
      </w:pPr>
      <w:r>
        <w:rPr>
          <w:rFonts w:ascii="Arial" w:hAnsi="Arial" w:cs="Arial"/>
        </w:rPr>
        <w:t xml:space="preserve">Arumugam, A., Dineshkumar, R., Ahamed Rasheeq, A., Gowrishankar, M. P., Murugan, S., &amp; Sampathkumar, P. (2020). Growth performance of Spiny Lobster, </w:t>
      </w:r>
      <w:r>
        <w:rPr>
          <w:rFonts w:ascii="Arial" w:hAnsi="Arial" w:cs="Arial"/>
          <w:i/>
          <w:iCs/>
        </w:rPr>
        <w:t>Panulirus homarus</w:t>
      </w:r>
      <w:r>
        <w:rPr>
          <w:rFonts w:ascii="Arial" w:hAnsi="Arial" w:cs="Arial"/>
        </w:rPr>
        <w:t xml:space="preserve"> (Linnaeus, 1758). </w:t>
      </w:r>
      <w:r>
        <w:rPr>
          <w:rFonts w:ascii="Arial" w:hAnsi="Arial" w:cs="Arial"/>
          <w:i/>
          <w:iCs/>
        </w:rPr>
        <w:t>Indian Journal of Geo Marine Sciences, 49</w:t>
      </w:r>
      <w:r>
        <w:rPr>
          <w:rFonts w:ascii="Arial" w:hAnsi="Arial" w:cs="Arial"/>
        </w:rPr>
        <w:t xml:space="preserve">(05), 812-819. </w:t>
      </w:r>
      <w:hyperlink r:id="rId22" w:history="1">
        <w:r>
          <w:rPr>
            <w:rStyle w:val="Hyperlink"/>
            <w:rFonts w:ascii="Arial" w:hAnsi="Arial" w:cs="Arial"/>
          </w:rPr>
          <w:t>http://nopr.niscpr.res.in/handle/123456789/54727</w:t>
        </w:r>
      </w:hyperlink>
      <w:r>
        <w:rPr>
          <w:rFonts w:ascii="Arial" w:hAnsi="Arial" w:cs="Arial"/>
        </w:rPr>
        <w:t>.</w:t>
      </w:r>
    </w:p>
    <w:p w:rsidR="0083466E" w:rsidRDefault="00306B52">
      <w:pPr>
        <w:pStyle w:val="Body"/>
        <w:spacing w:after="0"/>
        <w:ind w:left="851" w:hanging="851"/>
        <w:rPr>
          <w:rFonts w:ascii="Arial" w:hAnsi="Arial" w:cs="Arial"/>
        </w:rPr>
      </w:pPr>
      <w:r>
        <w:rPr>
          <w:rFonts w:ascii="Arial" w:hAnsi="Arial" w:cs="Arial"/>
        </w:rPr>
        <w:t>Atikah, U., Purnaini, R., &amp; Asbanu, G. C. (2023). Analysis of Raw Water Quality and Produced Water Quality at the Mukok Water Treatment Plant Unit of PDAM</w:t>
      </w:r>
      <w:r>
        <w:rPr>
          <w:rFonts w:ascii="Arial" w:hAnsi="Arial" w:cs="Arial"/>
        </w:rPr>
        <w:t xml:space="preserve"> Tirta Pancur Aji, Sanggau City. </w:t>
      </w:r>
      <w:r>
        <w:rPr>
          <w:rFonts w:ascii="Arial" w:hAnsi="Arial" w:cs="Arial"/>
          <w:i/>
          <w:iCs/>
        </w:rPr>
        <w:t>Jurnal Teknologi Lingkungan Lahan Basah, 11</w:t>
      </w:r>
      <w:r>
        <w:rPr>
          <w:rFonts w:ascii="Arial" w:hAnsi="Arial" w:cs="Arial"/>
        </w:rPr>
        <w:t xml:space="preserve">(2), 297. </w:t>
      </w:r>
      <w:hyperlink r:id="rId23" w:history="1">
        <w:r>
          <w:rPr>
            <w:rStyle w:val="Hyperlink"/>
            <w:rFonts w:ascii="Arial" w:hAnsi="Arial" w:cs="Arial"/>
          </w:rPr>
          <w:t>https://doi.org/10.26418/jtllb.v11i2.64525</w:t>
        </w:r>
      </w:hyperlink>
    </w:p>
    <w:p w:rsidR="0083466E" w:rsidRDefault="00306B52">
      <w:pPr>
        <w:pStyle w:val="Body"/>
        <w:spacing w:after="0"/>
        <w:ind w:left="851" w:hanging="851"/>
        <w:rPr>
          <w:rFonts w:ascii="Times New Roman" w:eastAsia="SimSun" w:hAnsi="Times New Roman"/>
          <w:color w:val="0000FF"/>
          <w:kern w:val="2"/>
          <w:u w:val="single"/>
          <w:lang w:val="id-ID" w:eastAsia="id-ID"/>
          <w14:ligatures w14:val="standardContextual"/>
        </w:rPr>
      </w:pPr>
      <w:r>
        <w:rPr>
          <w:rFonts w:ascii="Arial" w:hAnsi="Arial" w:cs="Arial"/>
        </w:rPr>
        <w:t xml:space="preserve">Chrismonita, I. (2021). </w:t>
      </w:r>
      <w:r>
        <w:rPr>
          <w:rFonts w:ascii="Arial" w:hAnsi="Arial" w:cs="Arial"/>
          <w:i/>
          <w:iCs/>
        </w:rPr>
        <w:t>Antibacterial Activity of Ethanol Extracts o</w:t>
      </w:r>
      <w:r>
        <w:rPr>
          <w:rFonts w:ascii="Arial" w:hAnsi="Arial" w:cs="Arial"/>
          <w:i/>
          <w:iCs/>
        </w:rPr>
        <w:t>f Australian Guava Leaves (Psidium guajava L.) Mgainst Shigella dysenteriae Bacteria in Vitro.</w:t>
      </w:r>
      <w:r>
        <w:rPr>
          <w:rFonts w:ascii="Arial" w:hAnsi="Arial" w:cs="Arial"/>
        </w:rPr>
        <w:t xml:space="preserve"> Maulana Malik Ibrahim State Islamic University. </w:t>
      </w:r>
      <w:hyperlink r:id="rId24" w:history="1">
        <w:r>
          <w:rPr>
            <w:rStyle w:val="Hyperlink"/>
            <w:rFonts w:ascii="Arial" w:hAnsi="Arial" w:cs="Arial"/>
          </w:rPr>
          <w:t>https://etheses.uin-malang.ac.id/29900/</w:t>
        </w:r>
      </w:hyperlink>
    </w:p>
    <w:p w:rsidR="0083466E" w:rsidRDefault="00306B52">
      <w:pPr>
        <w:pStyle w:val="Body"/>
        <w:spacing w:after="0"/>
        <w:ind w:left="851" w:hanging="851"/>
        <w:rPr>
          <w:rStyle w:val="Hyperlink"/>
          <w:rFonts w:ascii="Arial" w:hAnsi="Arial" w:cs="Arial"/>
        </w:rPr>
      </w:pPr>
      <w:r>
        <w:rPr>
          <w:rFonts w:ascii="Arial" w:hAnsi="Arial" w:cs="Arial"/>
        </w:rPr>
        <w:t>Diamahesa, W. A.,</w:t>
      </w:r>
      <w:r>
        <w:rPr>
          <w:rFonts w:ascii="Arial" w:hAnsi="Arial" w:cs="Arial"/>
        </w:rPr>
        <w:t xml:space="preserve"> Junaidi, M., Diniarti, N., Affandi, R. I., &amp; Cokrowati, N. (2022). Training on Making Moist Pellet Feed for Lobster Farming in Ekas Buana Village, East Lombok. </w:t>
      </w:r>
      <w:r>
        <w:rPr>
          <w:rFonts w:ascii="Arial" w:hAnsi="Arial" w:cs="Arial"/>
          <w:i/>
          <w:iCs/>
        </w:rPr>
        <w:t>Journal of Master of Science Education, 5</w:t>
      </w:r>
      <w:r>
        <w:rPr>
          <w:rFonts w:ascii="Arial" w:hAnsi="Arial" w:cs="Arial"/>
        </w:rPr>
        <w:t xml:space="preserve">(3), 306-311. </w:t>
      </w:r>
      <w:hyperlink r:id="rId25" w:history="1">
        <w:r>
          <w:rPr>
            <w:rStyle w:val="Hyperlink"/>
            <w:rFonts w:ascii="Arial" w:hAnsi="Arial" w:cs="Arial"/>
          </w:rPr>
          <w:t>https://doi.org/10.29303/jpmpi.v5i3.1966</w:t>
        </w:r>
      </w:hyperlink>
    </w:p>
    <w:p w:rsidR="0083466E" w:rsidRDefault="00306B52">
      <w:pPr>
        <w:pStyle w:val="Body"/>
        <w:spacing w:after="0"/>
        <w:ind w:left="851" w:hanging="851"/>
        <w:rPr>
          <w:rFonts w:ascii="Arial" w:hAnsi="Arial" w:cs="Arial"/>
        </w:rPr>
      </w:pPr>
      <w:r>
        <w:rPr>
          <w:rFonts w:ascii="Arial" w:hAnsi="Arial" w:cs="Arial"/>
        </w:rPr>
        <w:t>Hastuti, Y. P., Nurussalam, W., Hutomo, N., Supriyono, E., &amp; Lesmana, D. (2024). Application of Calcium Carbonate (CaCo 3) at Different Time Intervals on the Growth of Freshwater Lobsters (</w:t>
      </w:r>
      <w:r>
        <w:rPr>
          <w:rFonts w:ascii="Arial" w:hAnsi="Arial" w:cs="Arial"/>
          <w:i/>
          <w:iCs/>
        </w:rPr>
        <w:t>Cherax qu</w:t>
      </w:r>
      <w:r>
        <w:rPr>
          <w:rFonts w:ascii="Arial" w:hAnsi="Arial" w:cs="Arial"/>
          <w:i/>
          <w:iCs/>
        </w:rPr>
        <w:t>adricarinatus</w:t>
      </w:r>
      <w:r>
        <w:rPr>
          <w:rFonts w:ascii="Arial" w:hAnsi="Arial" w:cs="Arial"/>
        </w:rPr>
        <w:t xml:space="preserve">). </w:t>
      </w:r>
      <w:r>
        <w:rPr>
          <w:rFonts w:ascii="Arial" w:hAnsi="Arial" w:cs="Arial"/>
          <w:i/>
          <w:iCs/>
        </w:rPr>
        <w:t>Mina Sains Journal, 10</w:t>
      </w:r>
      <w:r>
        <w:rPr>
          <w:rFonts w:ascii="Arial" w:hAnsi="Arial" w:cs="Arial"/>
        </w:rPr>
        <w:t xml:space="preserve">(1), 1-10. </w:t>
      </w:r>
      <w:hyperlink r:id="rId26" w:history="1">
        <w:r>
          <w:rPr>
            <w:rStyle w:val="Hyperlink"/>
            <w:rFonts w:ascii="Arial" w:hAnsi="Arial" w:cs="Arial"/>
          </w:rPr>
          <w:t>https://doi.org/10.30997/jmss.v10i1.10567</w:t>
        </w:r>
      </w:hyperlink>
    </w:p>
    <w:p w:rsidR="0083466E" w:rsidRDefault="00306B52">
      <w:pPr>
        <w:pStyle w:val="Body"/>
        <w:spacing w:after="0"/>
        <w:ind w:left="851" w:hanging="851"/>
        <w:rPr>
          <w:rFonts w:ascii="Times New Roman" w:eastAsia="SimSun" w:hAnsi="Times New Roman"/>
          <w:color w:val="0000FF"/>
          <w:kern w:val="2"/>
          <w:u w:val="single"/>
          <w:lang w:val="id-ID" w:eastAsia="id-ID"/>
          <w14:ligatures w14:val="standardContextual"/>
        </w:rPr>
      </w:pPr>
      <w:r>
        <w:rPr>
          <w:rFonts w:ascii="Arial" w:hAnsi="Arial" w:cs="Arial"/>
        </w:rPr>
        <w:t>Hutabarat, G. M., &amp; Rachmawati, D. (2015). Growth performance of Freshwater Lobster (</w:t>
      </w:r>
      <w:r>
        <w:rPr>
          <w:rFonts w:ascii="Arial" w:hAnsi="Arial" w:cs="Arial"/>
          <w:i/>
          <w:iCs/>
        </w:rPr>
        <w:t>Cherax quadricarinatus</w:t>
      </w:r>
      <w:r>
        <w:rPr>
          <w:rFonts w:ascii="Arial" w:hAnsi="Arial" w:cs="Arial"/>
        </w:rPr>
        <w:t xml:space="preserve">) Seed Through Papain Enzyme Supplementation in Artificial Feed. </w:t>
      </w:r>
      <w:r>
        <w:rPr>
          <w:rFonts w:ascii="Arial" w:hAnsi="Arial" w:cs="Arial"/>
          <w:i/>
          <w:iCs/>
        </w:rPr>
        <w:t>Journal of Aquaculture Management and Technology, 4</w:t>
      </w:r>
      <w:r>
        <w:rPr>
          <w:rFonts w:ascii="Arial" w:hAnsi="Arial" w:cs="Arial"/>
        </w:rPr>
        <w:t xml:space="preserve">(1), 10–18. </w:t>
      </w:r>
      <w:hyperlink r:id="rId27" w:history="1">
        <w:r>
          <w:rPr>
            <w:rStyle w:val="Hyperlink"/>
            <w:rFonts w:ascii="Arial" w:hAnsi="Arial" w:cs="Arial"/>
          </w:rPr>
          <w:t>https://ejournal3.undip.ac.id/index.php/jamt/article</w:t>
        </w:r>
        <w:r>
          <w:rPr>
            <w:rStyle w:val="Hyperlink"/>
            <w:rFonts w:ascii="Arial" w:hAnsi="Arial" w:cs="Arial"/>
          </w:rPr>
          <w:t>/view/7950</w:t>
        </w:r>
      </w:hyperlink>
    </w:p>
    <w:p w:rsidR="0083466E" w:rsidRDefault="00306B52">
      <w:pPr>
        <w:pStyle w:val="Body"/>
        <w:ind w:left="851" w:hanging="851"/>
        <w:rPr>
          <w:rFonts w:ascii="Arial" w:hAnsi="Arial" w:cs="Arial"/>
          <w:lang w:val="en-ID"/>
        </w:rPr>
      </w:pPr>
      <w:r>
        <w:rPr>
          <w:rFonts w:ascii="Arial" w:hAnsi="Arial" w:cs="Arial"/>
        </w:rPr>
        <w:t>Khoiriyah, K.</w:t>
      </w:r>
      <w:r>
        <w:rPr>
          <w:rFonts w:ascii="Arial" w:hAnsi="Arial" w:cs="Arial"/>
          <w:lang w:val="en-ID"/>
        </w:rPr>
        <w:t xml:space="preserve">, Bahtiar, I., Raswatie, R., &amp; Dewi, F. </w:t>
      </w:r>
      <w:r>
        <w:rPr>
          <w:rFonts w:ascii="Arial" w:hAnsi="Arial" w:cs="Arial"/>
        </w:rPr>
        <w:t xml:space="preserve">(2020). Analysis of Sustainable Lobster Fishing and Utilization in Pangandaran Regency, West Java. </w:t>
      </w:r>
      <w:r>
        <w:rPr>
          <w:rFonts w:ascii="Arial" w:hAnsi="Arial" w:cs="Arial"/>
          <w:i/>
          <w:iCs/>
        </w:rPr>
        <w:t>Bekasi Development Innovation Journal, 1</w:t>
      </w:r>
      <w:r>
        <w:rPr>
          <w:rFonts w:ascii="Arial" w:hAnsi="Arial" w:cs="Arial"/>
        </w:rPr>
        <w:t xml:space="preserve">(2), 94-104. </w:t>
      </w:r>
      <w:hyperlink r:id="rId28" w:history="1">
        <w:r>
          <w:rPr>
            <w:rStyle w:val="Hyperlink"/>
            <w:rFonts w:ascii="Arial" w:hAnsi="Arial" w:cs="Arial"/>
          </w:rPr>
          <w:t>http://repository.ipb.ac.id/handle/123456789/123613</w:t>
        </w:r>
      </w:hyperlink>
    </w:p>
    <w:p w:rsidR="0083466E" w:rsidRDefault="00306B52">
      <w:pPr>
        <w:pStyle w:val="Body"/>
        <w:spacing w:after="0"/>
        <w:ind w:left="851" w:hanging="851"/>
        <w:rPr>
          <w:rFonts w:ascii="Arial" w:hAnsi="Arial" w:cs="Arial"/>
        </w:rPr>
      </w:pPr>
      <w:r>
        <w:rPr>
          <w:rFonts w:ascii="Arial" w:hAnsi="Arial" w:cs="Arial"/>
        </w:rPr>
        <w:lastRenderedPageBreak/>
        <w:t>Landman, M. J., Codabaccus, B. M., Nichols, D. S., Carter, C. G., Fitzgibbon, Q. P., &amp; Smith, G. G. (2024). Essentiality of Dietary Chol</w:t>
      </w:r>
      <w:r>
        <w:rPr>
          <w:rFonts w:ascii="Arial" w:hAnsi="Arial" w:cs="Arial"/>
        </w:rPr>
        <w:t>esterol and its Interactions with Phospholipid in Juvenile Slipper Lobster (</w:t>
      </w:r>
      <w:r>
        <w:rPr>
          <w:rFonts w:ascii="Arial" w:hAnsi="Arial" w:cs="Arial"/>
          <w:i/>
          <w:iCs/>
        </w:rPr>
        <w:t>Thenus australiensis</w:t>
      </w:r>
      <w:r>
        <w:rPr>
          <w:rFonts w:ascii="Arial" w:hAnsi="Arial" w:cs="Arial"/>
        </w:rPr>
        <w:t xml:space="preserve">). </w:t>
      </w:r>
      <w:r>
        <w:rPr>
          <w:rFonts w:ascii="Arial" w:hAnsi="Arial" w:cs="Arial"/>
          <w:i/>
          <w:iCs/>
        </w:rPr>
        <w:t>Scientific Reports, 14</w:t>
      </w:r>
      <w:r>
        <w:rPr>
          <w:rFonts w:ascii="Arial" w:hAnsi="Arial" w:cs="Arial"/>
        </w:rPr>
        <w:t xml:space="preserve">(1), 10353. </w:t>
      </w:r>
      <w:hyperlink r:id="rId29" w:history="1">
        <w:r>
          <w:rPr>
            <w:rStyle w:val="Hyperlink"/>
            <w:rFonts w:ascii="Arial" w:hAnsi="Arial" w:cs="Arial"/>
          </w:rPr>
          <w:t>https://doi.org/10.1038/s41598-024-60367-1</w:t>
        </w:r>
      </w:hyperlink>
    </w:p>
    <w:p w:rsidR="0083466E" w:rsidRDefault="00306B52">
      <w:pPr>
        <w:pStyle w:val="Body"/>
        <w:spacing w:after="0"/>
        <w:ind w:left="851" w:hanging="851"/>
        <w:rPr>
          <w:rFonts w:ascii="Times New Roman" w:eastAsia="SimSun" w:hAnsi="Times New Roman"/>
          <w:kern w:val="2"/>
          <w:lang w:val="id-ID" w:eastAsia="id-ID"/>
          <w14:ligatures w14:val="standardContextual"/>
        </w:rPr>
      </w:pPr>
      <w:r>
        <w:rPr>
          <w:rFonts w:ascii="Arial" w:hAnsi="Arial" w:cs="Arial"/>
        </w:rPr>
        <w:t>Lubis, A. S., &amp; Puari</w:t>
      </w:r>
      <w:r>
        <w:rPr>
          <w:rFonts w:ascii="Arial" w:hAnsi="Arial" w:cs="Arial"/>
        </w:rPr>
        <w:t xml:space="preserve">, A. T. (2023). Growth Performance and Survival Rate of Spiny Lobster </w:t>
      </w:r>
      <w:r>
        <w:rPr>
          <w:rFonts w:ascii="Arial" w:hAnsi="Arial" w:cs="Arial"/>
          <w:i/>
          <w:iCs/>
        </w:rPr>
        <w:t>Panulirus homarus</w:t>
      </w:r>
      <w:r>
        <w:rPr>
          <w:rFonts w:ascii="Arial" w:hAnsi="Arial" w:cs="Arial"/>
        </w:rPr>
        <w:t xml:space="preserve"> (Linnaeus, 1758) with Formulated Feeding Enriched by Spinach Extract. Biodiversitas: </w:t>
      </w:r>
      <w:r>
        <w:rPr>
          <w:rFonts w:ascii="Arial" w:hAnsi="Arial" w:cs="Arial"/>
          <w:i/>
          <w:iCs/>
        </w:rPr>
        <w:t>Journal of Biological Diversity, 24</w:t>
      </w:r>
      <w:r>
        <w:rPr>
          <w:rFonts w:ascii="Arial" w:hAnsi="Arial" w:cs="Arial"/>
        </w:rPr>
        <w:t xml:space="preserve">(11). </w:t>
      </w:r>
      <w:hyperlink r:id="rId30" w:history="1">
        <w:r>
          <w:rPr>
            <w:rStyle w:val="Hyperlink"/>
            <w:rFonts w:ascii="Arial" w:eastAsia="SimSun" w:hAnsi="Arial" w:cs="Arial"/>
            <w:kern w:val="2"/>
            <w:lang w:val="id-ID" w:eastAsia="id-ID"/>
            <w14:ligatures w14:val="standardContextual"/>
          </w:rPr>
          <w:t>https://doi.org/10.13057/biodiv/d241121</w:t>
        </w:r>
      </w:hyperlink>
    </w:p>
    <w:p w:rsidR="0083466E" w:rsidRDefault="00306B52">
      <w:pPr>
        <w:pStyle w:val="Body"/>
        <w:spacing w:after="0"/>
        <w:ind w:left="851" w:hanging="851"/>
        <w:rPr>
          <w:rFonts w:ascii="Arial" w:hAnsi="Arial" w:cs="Arial"/>
        </w:rPr>
      </w:pPr>
      <w:r>
        <w:rPr>
          <w:rFonts w:ascii="Arial" w:hAnsi="Arial" w:cs="Arial"/>
        </w:rPr>
        <w:t>Maudina, F., Mukhlis, A., Pi, S., Si, M., &amp; Muahiddah, N. (2021). The Effect of Adding Mulberry Leaf Extract (</w:t>
      </w:r>
      <w:r>
        <w:rPr>
          <w:rFonts w:ascii="Arial" w:hAnsi="Arial" w:cs="Arial"/>
          <w:i/>
          <w:iCs/>
        </w:rPr>
        <w:t xml:space="preserve">Morus alba </w:t>
      </w:r>
      <w:r>
        <w:rPr>
          <w:rFonts w:ascii="Arial" w:hAnsi="Arial" w:cs="Arial"/>
        </w:rPr>
        <w:t>Linn.) in Feed on Pre-Molting Duration, Post-Molting Growth, and Survival of Mudg</w:t>
      </w:r>
      <w:r>
        <w:rPr>
          <w:rFonts w:ascii="Arial" w:hAnsi="Arial" w:cs="Arial"/>
        </w:rPr>
        <w:t>roans (</w:t>
      </w:r>
      <w:r>
        <w:rPr>
          <w:rFonts w:ascii="Arial" w:hAnsi="Arial" w:cs="Arial"/>
          <w:i/>
          <w:iCs/>
        </w:rPr>
        <w:t>Scylla serrata</w:t>
      </w:r>
      <w:r>
        <w:rPr>
          <w:rFonts w:ascii="Arial" w:hAnsi="Arial" w:cs="Arial"/>
        </w:rPr>
        <w:t xml:space="preserve">). </w:t>
      </w:r>
      <w:r>
        <w:rPr>
          <w:rFonts w:ascii="Arial" w:hAnsi="Arial" w:cs="Arial"/>
          <w:i/>
          <w:iCs/>
        </w:rPr>
        <w:t>Jurnal Biologi Tropis, 21</w:t>
      </w:r>
      <w:r>
        <w:rPr>
          <w:rFonts w:ascii="Arial" w:hAnsi="Arial" w:cs="Arial"/>
        </w:rPr>
        <w:t xml:space="preserve">(1), 1-6. </w:t>
      </w:r>
      <w:hyperlink r:id="rId31" w:history="1">
        <w:r>
          <w:rPr>
            <w:rStyle w:val="Hyperlink"/>
            <w:rFonts w:ascii="Arial" w:hAnsi="Arial" w:cs="Arial"/>
          </w:rPr>
          <w:t>http://dx.doi.org/10.29303</w:t>
        </w:r>
      </w:hyperlink>
    </w:p>
    <w:p w:rsidR="0083466E" w:rsidRDefault="00306B52">
      <w:pPr>
        <w:ind w:left="851" w:hanging="851"/>
        <w:jc w:val="both"/>
      </w:pPr>
      <w:r>
        <w:rPr>
          <w:rFonts w:ascii="Arial" w:hAnsi="Arial" w:cs="Arial"/>
        </w:rPr>
        <w:t>Melinda, D., Yusanti, I. A., &amp; Mulyani, R. (2024). Growth Performance and Survival of Freshwater Lobsters (</w:t>
      </w:r>
      <w:r>
        <w:rPr>
          <w:rFonts w:ascii="Arial" w:hAnsi="Arial" w:cs="Arial"/>
          <w:i/>
          <w:iCs/>
        </w:rPr>
        <w:t>Cherax quadricarinat</w:t>
      </w:r>
      <w:r>
        <w:rPr>
          <w:rFonts w:ascii="Arial" w:hAnsi="Arial" w:cs="Arial"/>
          <w:i/>
          <w:iCs/>
        </w:rPr>
        <w:t>us</w:t>
      </w:r>
      <w:r>
        <w:rPr>
          <w:rFonts w:ascii="Arial" w:hAnsi="Arial" w:cs="Arial"/>
        </w:rPr>
        <w:t>) Using Banana Stem (</w:t>
      </w:r>
      <w:r>
        <w:rPr>
          <w:rFonts w:ascii="Arial" w:hAnsi="Arial" w:cs="Arial"/>
          <w:i/>
          <w:iCs/>
        </w:rPr>
        <w:t>Musa ballbisiana</w:t>
      </w:r>
      <w:r>
        <w:rPr>
          <w:rFonts w:ascii="Arial" w:hAnsi="Arial" w:cs="Arial"/>
        </w:rPr>
        <w:t xml:space="preserve">) Chips. </w:t>
      </w:r>
      <w:r>
        <w:rPr>
          <w:rFonts w:ascii="Arial" w:hAnsi="Arial" w:cs="Arial"/>
          <w:i/>
          <w:iCs/>
        </w:rPr>
        <w:t>Jurnal Ilmu-ilmu Perikanan dan Budidaya Perairan, 19</w:t>
      </w:r>
      <w:r>
        <w:rPr>
          <w:rFonts w:ascii="Arial" w:hAnsi="Arial" w:cs="Arial"/>
        </w:rPr>
        <w:t xml:space="preserve">(2), 146–150. </w:t>
      </w:r>
      <w:hyperlink r:id="rId32" w:history="1">
        <w:r>
          <w:rPr>
            <w:rStyle w:val="Hyperlink"/>
            <w:rFonts w:ascii="Arial" w:hAnsi="Arial" w:cs="Arial"/>
          </w:rPr>
          <w:t>https://doi.org/10.31851/jipbp.v19i2.19623</w:t>
        </w:r>
      </w:hyperlink>
    </w:p>
    <w:p w:rsidR="0083466E" w:rsidRDefault="00306B52">
      <w:pPr>
        <w:ind w:left="851" w:hanging="851"/>
        <w:jc w:val="both"/>
        <w:rPr>
          <w:rFonts w:ascii="Arial" w:hAnsi="Arial" w:cs="Arial"/>
        </w:rPr>
      </w:pPr>
      <w:r>
        <w:rPr>
          <w:rFonts w:ascii="Arial" w:hAnsi="Arial" w:cs="Arial"/>
        </w:rPr>
        <w:t>Mulqan, M., Rahimi, E., Afdhal, S., &amp; De</w:t>
      </w:r>
      <w:r>
        <w:rPr>
          <w:rFonts w:ascii="Arial" w:hAnsi="Arial" w:cs="Arial"/>
        </w:rPr>
        <w:t>wiyanti, I. (2017). Growth and Survival of GESIT Nile Tilapia Seed (</w:t>
      </w:r>
      <w:r>
        <w:rPr>
          <w:rFonts w:ascii="Arial" w:hAnsi="Arial" w:cs="Arial"/>
          <w:i/>
          <w:iCs/>
        </w:rPr>
        <w:t>Oreochromis niloticus</w:t>
      </w:r>
      <w:r>
        <w:rPr>
          <w:rFonts w:ascii="Arial" w:hAnsi="Arial" w:cs="Arial"/>
        </w:rPr>
        <w:t xml:space="preserve">) in an Aquaponic System with Different Plant Species. </w:t>
      </w:r>
      <w:r>
        <w:rPr>
          <w:rFonts w:ascii="Arial" w:hAnsi="Arial" w:cs="Arial"/>
          <w:i/>
          <w:iCs/>
        </w:rPr>
        <w:t>Jurnal Ilmiah Mahasiswa Kelautan dan Perikanan Unsyiah, 2</w:t>
      </w:r>
      <w:r>
        <w:rPr>
          <w:rFonts w:ascii="Arial" w:hAnsi="Arial" w:cs="Arial"/>
        </w:rPr>
        <w:t xml:space="preserve">(1), 183-193. </w:t>
      </w:r>
      <w:hyperlink r:id="rId33" w:history="1">
        <w:r>
          <w:rPr>
            <w:rStyle w:val="Hyperlink"/>
            <w:rFonts w:ascii="Arial" w:hAnsi="Arial" w:cs="Arial"/>
          </w:rPr>
          <w:t>https://jim.usk.ac.id/fkp/article/view/2566</w:t>
        </w:r>
      </w:hyperlink>
    </w:p>
    <w:p w:rsidR="0083466E" w:rsidRDefault="00306B52">
      <w:pPr>
        <w:ind w:left="851" w:hanging="851"/>
        <w:jc w:val="both"/>
      </w:pPr>
      <w:r>
        <w:rPr>
          <w:rFonts w:ascii="Arial" w:hAnsi="Arial" w:cs="Arial"/>
        </w:rPr>
        <w:t xml:space="preserve">Nankervis, L., &amp; Jones, C. (2022). Recent Advances and Future Directions in Practical Diet Formulation and Adoption in Tropical Palinurid Lobster Aquaculture. </w:t>
      </w:r>
      <w:r>
        <w:rPr>
          <w:rFonts w:ascii="Arial" w:hAnsi="Arial" w:cs="Arial"/>
          <w:i/>
          <w:iCs/>
        </w:rPr>
        <w:t>Reviews in Aquaculture, 14</w:t>
      </w:r>
      <w:r>
        <w:rPr>
          <w:rFonts w:ascii="Arial" w:hAnsi="Arial" w:cs="Arial"/>
        </w:rPr>
        <w:t xml:space="preserve">(4), 1830-1842. </w:t>
      </w:r>
      <w:hyperlink r:id="rId34" w:history="1">
        <w:r>
          <w:rPr>
            <w:rStyle w:val="Hyperlink"/>
            <w:rFonts w:ascii="Arial" w:hAnsi="Arial" w:cs="Arial"/>
          </w:rPr>
          <w:t>https://doi.org/10.1111/raq.12675</w:t>
        </w:r>
      </w:hyperlink>
    </w:p>
    <w:p w:rsidR="0083466E" w:rsidRDefault="00306B52">
      <w:pPr>
        <w:pStyle w:val="Body"/>
        <w:spacing w:after="0"/>
        <w:ind w:left="851" w:hanging="851"/>
        <w:rPr>
          <w:rFonts w:ascii="Arial" w:hAnsi="Arial" w:cs="Arial"/>
        </w:rPr>
      </w:pPr>
      <w:r>
        <w:rPr>
          <w:rFonts w:ascii="Arial" w:hAnsi="Arial" w:cs="Arial"/>
        </w:rPr>
        <w:t>Naseem, A., Akhtar, S., Ismail, T., Qamar, M., Sattar, D., Saeed, W., Esatbeyoglu, T., Bartkiene, E., &amp; Rocha, J. M. (2023). Effect of Growth Stages and Lac</w:t>
      </w:r>
      <w:r>
        <w:rPr>
          <w:rFonts w:ascii="Arial" w:hAnsi="Arial" w:cs="Arial"/>
        </w:rPr>
        <w:t>tic Acid Fermentation on Anti-Nutrients and Nutritional Attributes of Spinach (</w:t>
      </w:r>
      <w:r>
        <w:rPr>
          <w:rFonts w:ascii="Arial" w:hAnsi="Arial" w:cs="Arial"/>
          <w:i/>
          <w:iCs/>
        </w:rPr>
        <w:t>Spinacia oleracea</w:t>
      </w:r>
      <w:r>
        <w:rPr>
          <w:rFonts w:ascii="Arial" w:hAnsi="Arial" w:cs="Arial"/>
        </w:rPr>
        <w:t xml:space="preserve">). </w:t>
      </w:r>
      <w:r>
        <w:rPr>
          <w:rFonts w:ascii="Arial" w:hAnsi="Arial" w:cs="Arial"/>
          <w:i/>
          <w:iCs/>
        </w:rPr>
        <w:t>Microorganisms, 11</w:t>
      </w:r>
      <w:r>
        <w:rPr>
          <w:rFonts w:ascii="Arial" w:hAnsi="Arial" w:cs="Arial"/>
        </w:rPr>
        <w:t xml:space="preserve">(9), 2343. </w:t>
      </w:r>
      <w:hyperlink r:id="rId35" w:history="1">
        <w:r>
          <w:rPr>
            <w:rStyle w:val="Hyperlink"/>
            <w:rFonts w:ascii="Arial" w:hAnsi="Arial" w:cs="Arial"/>
          </w:rPr>
          <w:t>https://doi.org/10.3390/microorganisms11092343</w:t>
        </w:r>
      </w:hyperlink>
    </w:p>
    <w:p w:rsidR="0083466E" w:rsidRDefault="00306B52">
      <w:pPr>
        <w:ind w:left="851" w:hanging="851"/>
        <w:jc w:val="both"/>
        <w:rPr>
          <w:rStyle w:val="Hyperlink"/>
          <w:rFonts w:ascii="Arial" w:eastAsia="SimSun" w:hAnsi="Arial" w:cs="Arial"/>
          <w:color w:val="auto"/>
          <w:kern w:val="2"/>
          <w:u w:val="none"/>
          <w:lang w:eastAsia="id-ID"/>
        </w:rPr>
      </w:pPr>
      <w:r>
        <w:rPr>
          <w:rFonts w:hAnsi="Arial" w:cs="Arial"/>
        </w:rPr>
        <w:t>Priyambodo, B., Jo</w:t>
      </w:r>
      <w:r>
        <w:rPr>
          <w:rFonts w:hAnsi="Arial" w:cs="Arial"/>
        </w:rPr>
        <w:t>nes, C. M., &amp; Sammut, J. (2020). Assessment of the Lobster Puerulus (</w:t>
      </w:r>
      <w:r>
        <w:rPr>
          <w:rFonts w:hAnsi="Arial" w:cs="Arial"/>
          <w:i/>
          <w:iCs/>
        </w:rPr>
        <w:t>Panulirus homarus</w:t>
      </w:r>
      <w:r>
        <w:rPr>
          <w:rFonts w:hAnsi="Arial" w:cs="Arial"/>
        </w:rPr>
        <w:t xml:space="preserve"> and </w:t>
      </w:r>
      <w:r>
        <w:rPr>
          <w:rFonts w:hAnsi="Arial" w:cs="Arial"/>
          <w:i/>
          <w:iCs/>
        </w:rPr>
        <w:t xml:space="preserve">Panulirus ornatus, </w:t>
      </w:r>
      <w:r>
        <w:rPr>
          <w:rFonts w:hAnsi="Arial" w:cs="Arial"/>
        </w:rPr>
        <w:t xml:space="preserve">Decapoda: Palinuridae) Resource of Indonesia and its Potential for Sustainable Harvest for Aquaculture. </w:t>
      </w:r>
      <w:r>
        <w:rPr>
          <w:rFonts w:hAnsi="Arial" w:cs="Arial"/>
          <w:i/>
          <w:iCs/>
        </w:rPr>
        <w:t>Aquaculture</w:t>
      </w:r>
      <w:r>
        <w:rPr>
          <w:rFonts w:hAnsi="Arial" w:cs="Arial"/>
        </w:rPr>
        <w:t xml:space="preserve">, </w:t>
      </w:r>
      <w:r>
        <w:rPr>
          <w:rFonts w:hAnsi="Arial" w:cs="Arial"/>
          <w:i/>
          <w:iCs/>
        </w:rPr>
        <w:t>528</w:t>
      </w:r>
      <w:r>
        <w:rPr>
          <w:rFonts w:hAnsi="Arial" w:cs="Arial"/>
        </w:rPr>
        <w:t xml:space="preserve">(5), 735563. </w:t>
      </w:r>
      <w:hyperlink r:id="rId36" w:history="1">
        <w:r>
          <w:rPr>
            <w:rStyle w:val="Hyperlink"/>
            <w:rFonts w:ascii="Arial" w:eastAsia="SimSun" w:hAnsi="Arial" w:cs="Arial"/>
            <w:kern w:val="2"/>
            <w:lang w:eastAsia="id-ID"/>
          </w:rPr>
          <w:t>https://doi.org/10.1016/j.aquaculture.2020.735563</w:t>
        </w:r>
      </w:hyperlink>
    </w:p>
    <w:p w:rsidR="0083466E" w:rsidRDefault="00306B52">
      <w:pPr>
        <w:pStyle w:val="Body"/>
        <w:spacing w:after="0"/>
        <w:ind w:left="851" w:hanging="851"/>
        <w:rPr>
          <w:rStyle w:val="Hyperlink"/>
          <w:rFonts w:ascii="Arial" w:eastAsia="SimSun" w:hAnsi="Arial" w:cs="Arial"/>
          <w:color w:val="auto"/>
          <w:kern w:val="2"/>
          <w:u w:val="none"/>
          <w:lang w:val="id-ID" w:eastAsia="id-ID"/>
          <w14:ligatures w14:val="standardContextual"/>
        </w:rPr>
      </w:pPr>
      <w:r>
        <w:rPr>
          <w:rFonts w:ascii="Arial" w:hAnsi="Arial" w:cs="Arial"/>
        </w:rPr>
        <w:t>Puspitasari, A., &amp; Mahayana, A. (2021). Determination of Oxalic Acid in Green Spinach (</w:t>
      </w:r>
      <w:r>
        <w:rPr>
          <w:rFonts w:ascii="Arial" w:hAnsi="Arial" w:cs="Arial"/>
          <w:i/>
          <w:iCs/>
        </w:rPr>
        <w:t>Amaranthus gangeticus</w:t>
      </w:r>
      <w:r>
        <w:rPr>
          <w:rFonts w:ascii="Arial" w:hAnsi="Arial" w:cs="Arial"/>
        </w:rPr>
        <w:t>) and Red Spinach (</w:t>
      </w:r>
      <w:r>
        <w:rPr>
          <w:rFonts w:ascii="Arial" w:hAnsi="Arial" w:cs="Arial"/>
          <w:i/>
          <w:iCs/>
        </w:rPr>
        <w:t>Amaranthus spinousus</w:t>
      </w:r>
      <w:r>
        <w:rPr>
          <w:rFonts w:ascii="Arial" w:hAnsi="Arial" w:cs="Arial"/>
        </w:rPr>
        <w:t>) Usin</w:t>
      </w:r>
      <w:r>
        <w:rPr>
          <w:rFonts w:ascii="Arial" w:hAnsi="Arial" w:cs="Arial"/>
        </w:rPr>
        <w:t xml:space="preserve">g the Spectrophotometry Method. </w:t>
      </w:r>
      <w:r>
        <w:rPr>
          <w:rFonts w:ascii="Arial" w:hAnsi="Arial" w:cs="Arial"/>
          <w:i/>
          <w:iCs/>
        </w:rPr>
        <w:t>Journal of Chemistry and Engineering, 2</w:t>
      </w:r>
      <w:r>
        <w:rPr>
          <w:rFonts w:ascii="Arial" w:hAnsi="Arial" w:cs="Arial"/>
        </w:rPr>
        <w:t xml:space="preserve">(1), 32–38. </w:t>
      </w:r>
      <w:hyperlink r:id="rId37" w:history="1">
        <w:r>
          <w:rPr>
            <w:rStyle w:val="Hyperlink"/>
            <w:rFonts w:ascii="Arial" w:eastAsia="SimSun" w:hAnsi="Arial" w:cs="Arial"/>
            <w:kern w:val="2"/>
            <w:lang w:val="id-ID" w:eastAsia="id-ID"/>
            <w14:ligatures w14:val="standardContextual"/>
          </w:rPr>
          <w:t>https://doi.org/10.31001/jkireka.v2i1.24</w:t>
        </w:r>
      </w:hyperlink>
    </w:p>
    <w:p w:rsidR="0083466E" w:rsidRDefault="00306B52">
      <w:pPr>
        <w:ind w:left="851" w:hanging="851"/>
        <w:jc w:val="both"/>
      </w:pPr>
      <w:r>
        <w:rPr>
          <w:rFonts w:ascii="Arial" w:hAnsi="Arial" w:cs="Arial"/>
        </w:rPr>
        <w:t xml:space="preserve">Raharjo, D. K., Budiharjo, A., &amp; Retnaningtyas, E. (2020). Administration </w:t>
      </w:r>
      <w:r>
        <w:rPr>
          <w:rFonts w:ascii="Arial" w:hAnsi="Arial" w:cs="Arial"/>
        </w:rPr>
        <w:t>of Spinach Extract (Amaranthus tricolor) through Injection Method as Stimulation for Molting and Growth of Freshwater Lobster (</w:t>
      </w:r>
      <w:r>
        <w:rPr>
          <w:rFonts w:ascii="Arial" w:hAnsi="Arial" w:cs="Arial"/>
          <w:i/>
          <w:iCs/>
        </w:rPr>
        <w:t>Cherax quadricarinatus</w:t>
      </w:r>
      <w:r>
        <w:rPr>
          <w:rFonts w:ascii="Arial" w:hAnsi="Arial" w:cs="Arial"/>
        </w:rPr>
        <w:t xml:space="preserve">). </w:t>
      </w:r>
      <w:r>
        <w:rPr>
          <w:rFonts w:ascii="Arial" w:hAnsi="Arial" w:cs="Arial"/>
          <w:i/>
          <w:iCs/>
        </w:rPr>
        <w:t>Biological Journal of Indonesia, 1</w:t>
      </w:r>
      <w:r>
        <w:rPr>
          <w:rFonts w:ascii="Arial" w:hAnsi="Arial" w:cs="Arial"/>
        </w:rPr>
        <w:t xml:space="preserve">(1), 11–15. </w:t>
      </w:r>
      <w:hyperlink r:id="rId38" w:history="1">
        <w:r>
          <w:rPr>
            <w:rStyle w:val="Hyperlink"/>
            <w:rFonts w:ascii="Arial" w:hAnsi="Arial" w:cs="Arial"/>
          </w:rPr>
          <w:t>http</w:t>
        </w:r>
        <w:r>
          <w:rPr>
            <w:rStyle w:val="Hyperlink"/>
            <w:rFonts w:ascii="Arial" w:hAnsi="Arial" w:cs="Arial"/>
          </w:rPr>
          <w:t>s://doi.org/10.20961/biji.v1i1.40653</w:t>
        </w:r>
      </w:hyperlink>
    </w:p>
    <w:p w:rsidR="0083466E" w:rsidRDefault="00306B52">
      <w:pPr>
        <w:ind w:left="851" w:hanging="851"/>
        <w:jc w:val="both"/>
        <w:rPr>
          <w:rFonts w:ascii="Arial" w:hAnsi="Arial" w:cs="Arial"/>
        </w:rPr>
      </w:pPr>
      <w:r>
        <w:rPr>
          <w:rFonts w:ascii="Arial" w:hAnsi="Arial" w:cs="Arial"/>
        </w:rPr>
        <w:t>Ririhena, J. E., &amp; Palinussa, E. M. (2021). Growth and Survival of Nile Tilapia (</w:t>
      </w:r>
      <w:r>
        <w:rPr>
          <w:rFonts w:ascii="Arial" w:hAnsi="Arial" w:cs="Arial"/>
          <w:i/>
          <w:iCs/>
        </w:rPr>
        <w:t>Oreochromis niloticus</w:t>
      </w:r>
      <w:r>
        <w:rPr>
          <w:rFonts w:ascii="Arial" w:hAnsi="Arial" w:cs="Arial"/>
        </w:rPr>
        <w:t xml:space="preserve">) at the Freshwater Aquaculture Unit. </w:t>
      </w:r>
      <w:r>
        <w:rPr>
          <w:rFonts w:ascii="Arial" w:hAnsi="Arial" w:cs="Arial"/>
          <w:i/>
          <w:iCs/>
        </w:rPr>
        <w:t>Jurnal Agribisnis Perikanan, 14</w:t>
      </w:r>
      <w:r>
        <w:rPr>
          <w:rFonts w:ascii="Arial" w:hAnsi="Arial" w:cs="Arial"/>
        </w:rPr>
        <w:t xml:space="preserve">(2), 482-487. </w:t>
      </w:r>
      <w:hyperlink r:id="rId39" w:history="1">
        <w:r>
          <w:rPr>
            <w:rStyle w:val="Hyperlink"/>
            <w:rFonts w:ascii="Arial" w:hAnsi="Arial" w:cs="Arial"/>
          </w:rPr>
          <w:t>https://doi.org/10.52046/agrikan.v14i2.482-487</w:t>
        </w:r>
      </w:hyperlink>
    </w:p>
    <w:p w:rsidR="0083466E" w:rsidRDefault="00306B52">
      <w:pPr>
        <w:pStyle w:val="Body"/>
        <w:spacing w:after="0"/>
        <w:ind w:left="851" w:hanging="851"/>
        <w:rPr>
          <w:rFonts w:ascii="Arial" w:hAnsi="Arial" w:cs="Arial"/>
        </w:rPr>
      </w:pPr>
      <w:r>
        <w:rPr>
          <w:rFonts w:ascii="Arial" w:hAnsi="Arial" w:cs="Arial"/>
        </w:rPr>
        <w:t xml:space="preserve">Rivaie, A. R., Adiputra, Y. T., Setyawan, A., &amp; Putro, D. H. (2023). Effect of Different Diets on Growth Performance, Physiological Response and Behavior of Spiny Lobster </w:t>
      </w:r>
      <w:r>
        <w:rPr>
          <w:rFonts w:ascii="Arial" w:hAnsi="Arial" w:cs="Arial"/>
          <w:i/>
          <w:iCs/>
        </w:rPr>
        <w:t>Panuli</w:t>
      </w:r>
      <w:r>
        <w:rPr>
          <w:rFonts w:ascii="Arial" w:hAnsi="Arial" w:cs="Arial"/>
          <w:i/>
          <w:iCs/>
        </w:rPr>
        <w:t>rus homarus</w:t>
      </w:r>
      <w:r>
        <w:rPr>
          <w:rFonts w:ascii="Arial" w:hAnsi="Arial" w:cs="Arial"/>
        </w:rPr>
        <w:t xml:space="preserve"> (Linnaeus, 1758). </w:t>
      </w:r>
      <w:r>
        <w:rPr>
          <w:rFonts w:ascii="Arial" w:hAnsi="Arial" w:cs="Arial"/>
          <w:i/>
          <w:iCs/>
        </w:rPr>
        <w:t>Jurnal Kelautan Tropis, 26</w:t>
      </w:r>
      <w:r>
        <w:rPr>
          <w:rFonts w:ascii="Arial" w:hAnsi="Arial" w:cs="Arial"/>
        </w:rPr>
        <w:t xml:space="preserve">(2), 301-314. </w:t>
      </w:r>
      <w:hyperlink r:id="rId40" w:history="1">
        <w:r>
          <w:rPr>
            <w:rStyle w:val="Hyperlink"/>
            <w:rFonts w:ascii="Arial" w:hAnsi="Arial" w:cs="Arial"/>
          </w:rPr>
          <w:t>https://doi.org/10.14710/jkt.v26i2.17656</w:t>
        </w:r>
      </w:hyperlink>
    </w:p>
    <w:p w:rsidR="0083466E" w:rsidRDefault="00306B52">
      <w:pPr>
        <w:ind w:left="851" w:hanging="851"/>
        <w:jc w:val="both"/>
        <w:rPr>
          <w:rFonts w:ascii="Arial" w:hAnsi="Arial" w:cs="Arial"/>
        </w:rPr>
      </w:pPr>
      <w:r>
        <w:rPr>
          <w:rFonts w:ascii="Arial" w:hAnsi="Arial" w:cs="Arial"/>
        </w:rPr>
        <w:t>Rostika, R., Seng, L. L., Nurfaizi, R., Priyambodo, B., &amp; Zidni, I. (2024). Effect of St</w:t>
      </w:r>
      <w:r>
        <w:rPr>
          <w:rFonts w:ascii="Arial" w:hAnsi="Arial" w:cs="Arial"/>
        </w:rPr>
        <w:t>ocking Density on the Growth Performance and Survival of Green Lobster Puerulus (</w:t>
      </w:r>
      <w:r>
        <w:rPr>
          <w:rFonts w:ascii="Arial" w:hAnsi="Arial" w:cs="Arial"/>
          <w:i/>
          <w:iCs/>
        </w:rPr>
        <w:t>Panulirus homarus</w:t>
      </w:r>
      <w:r>
        <w:rPr>
          <w:rFonts w:ascii="Arial" w:hAnsi="Arial" w:cs="Arial"/>
        </w:rPr>
        <w:t xml:space="preserve">). </w:t>
      </w:r>
      <w:r>
        <w:rPr>
          <w:rFonts w:ascii="Arial" w:hAnsi="Arial" w:cs="Arial"/>
          <w:i/>
          <w:iCs/>
        </w:rPr>
        <w:t>Journal of Social Research, 3</w:t>
      </w:r>
      <w:r>
        <w:rPr>
          <w:rFonts w:ascii="Arial" w:hAnsi="Arial" w:cs="Arial"/>
        </w:rPr>
        <w:t xml:space="preserve">(2), 358–367. </w:t>
      </w:r>
      <w:hyperlink r:id="rId41" w:history="1">
        <w:r>
          <w:rPr>
            <w:rStyle w:val="Hyperlink"/>
            <w:rFonts w:ascii="Arial" w:hAnsi="Arial" w:cs="Arial"/>
          </w:rPr>
          <w:t>https://doi.org/10.55324/josr.v3i2.1874</w:t>
        </w:r>
      </w:hyperlink>
    </w:p>
    <w:p w:rsidR="0083466E" w:rsidRDefault="00306B52">
      <w:pPr>
        <w:pStyle w:val="Body"/>
        <w:spacing w:after="0"/>
        <w:ind w:left="851" w:hanging="851"/>
      </w:pPr>
      <w:r>
        <w:rPr>
          <w:rFonts w:ascii="Arial" w:hAnsi="Arial" w:cs="Arial"/>
        </w:rPr>
        <w:t>Sudewi, S., Slam</w:t>
      </w:r>
      <w:r>
        <w:rPr>
          <w:rFonts w:ascii="Arial" w:hAnsi="Arial" w:cs="Arial"/>
        </w:rPr>
        <w:t xml:space="preserve">et, B., Giri, N. A., Haryanti, H., Rusdi, I., Jones, C., &amp; Irvin, S. (2024). Growth and Survival of Spiny Lobster, Panulirus homarus Juveniles Fed with Different </w:t>
      </w:r>
      <w:r>
        <w:rPr>
          <w:rFonts w:ascii="Arial" w:hAnsi="Arial" w:cs="Arial"/>
        </w:rPr>
        <w:lastRenderedPageBreak/>
        <w:t xml:space="preserve">Formulated Feeds. </w:t>
      </w:r>
      <w:r>
        <w:rPr>
          <w:rFonts w:ascii="Arial" w:hAnsi="Arial" w:cs="Arial"/>
          <w:i/>
          <w:iCs/>
        </w:rPr>
        <w:t>BIOTROPIA The Southeast Asian Journal of Tropical Biology, 31</w:t>
      </w:r>
      <w:r>
        <w:rPr>
          <w:rFonts w:ascii="Arial" w:hAnsi="Arial" w:cs="Arial"/>
        </w:rPr>
        <w:t xml:space="preserve">(3), 330-338. </w:t>
      </w:r>
      <w:hyperlink r:id="rId42" w:history="1">
        <w:r>
          <w:rPr>
            <w:rStyle w:val="Hyperlink"/>
            <w:rFonts w:ascii="Arial" w:hAnsi="Arial" w:cs="Arial"/>
          </w:rPr>
          <w:t>https://doi.org/10.11598/btb.2024.31.3.2206</w:t>
        </w:r>
      </w:hyperlink>
    </w:p>
    <w:p w:rsidR="0083466E" w:rsidRDefault="00306B52">
      <w:pPr>
        <w:pStyle w:val="Body"/>
        <w:spacing w:after="0"/>
        <w:ind w:left="851" w:hanging="851"/>
        <w:rPr>
          <w:rFonts w:ascii="Arial" w:hAnsi="Arial" w:cs="Arial"/>
        </w:rPr>
      </w:pPr>
      <w:r>
        <w:rPr>
          <w:rFonts w:ascii="Arial" w:hAnsi="Arial" w:cs="Arial"/>
        </w:rPr>
        <w:t>Sumiati, S., Junaidi, M., &amp; Scabra, A. R. (2023). The Effect of Moist Feeding with Different Dosages of Probiotic on the Growth of Sand Lobster (</w:t>
      </w:r>
      <w:r>
        <w:rPr>
          <w:rFonts w:ascii="Arial" w:hAnsi="Arial" w:cs="Arial"/>
          <w:i/>
          <w:iCs/>
        </w:rPr>
        <w:t>Panuliru</w:t>
      </w:r>
      <w:r>
        <w:rPr>
          <w:rFonts w:ascii="Arial" w:hAnsi="Arial" w:cs="Arial"/>
          <w:i/>
          <w:iCs/>
        </w:rPr>
        <w:t>s homarus</w:t>
      </w:r>
      <w:r>
        <w:rPr>
          <w:rFonts w:ascii="Arial" w:hAnsi="Arial" w:cs="Arial"/>
        </w:rPr>
        <w:t xml:space="preserve">) in Floating Cages. </w:t>
      </w:r>
      <w:r>
        <w:rPr>
          <w:rFonts w:ascii="Arial" w:hAnsi="Arial" w:cs="Arial"/>
          <w:i/>
          <w:iCs/>
        </w:rPr>
        <w:t>Jurnal Biologi Tropis, 23</w:t>
      </w:r>
      <w:r>
        <w:rPr>
          <w:rFonts w:ascii="Arial" w:hAnsi="Arial" w:cs="Arial"/>
        </w:rPr>
        <w:t xml:space="preserve">(1), 503–511. </w:t>
      </w:r>
      <w:hyperlink r:id="rId43" w:history="1">
        <w:r>
          <w:rPr>
            <w:rStyle w:val="Hyperlink"/>
            <w:rFonts w:ascii="Arial" w:hAnsi="Arial" w:cs="Arial"/>
          </w:rPr>
          <w:t>https://doi.org/10.29303/jbt.v23i1.4275</w:t>
        </w:r>
      </w:hyperlink>
    </w:p>
    <w:p w:rsidR="0083466E" w:rsidRDefault="00306B52">
      <w:pPr>
        <w:pStyle w:val="Body"/>
        <w:spacing w:after="0"/>
        <w:ind w:left="851" w:hanging="851"/>
        <w:rPr>
          <w:rFonts w:ascii="Arial" w:hAnsi="Arial" w:cs="Arial"/>
        </w:rPr>
      </w:pPr>
      <w:r>
        <w:rPr>
          <w:rFonts w:ascii="Arial" w:hAnsi="Arial" w:cs="Arial"/>
        </w:rPr>
        <w:t>Syamsunarno, M. B., Syukur, A., &amp; Munandar, A. (2019). Utilization of Rambutan Leaf Extract</w:t>
      </w:r>
      <w:r>
        <w:rPr>
          <w:rFonts w:ascii="Arial" w:hAnsi="Arial" w:cs="Arial"/>
        </w:rPr>
        <w:t xml:space="preserve"> (</w:t>
      </w:r>
      <w:r>
        <w:rPr>
          <w:rFonts w:ascii="Arial" w:hAnsi="Arial" w:cs="Arial"/>
          <w:i/>
          <w:iCs/>
        </w:rPr>
        <w:t>Nephelium lappaceum</w:t>
      </w:r>
      <w:r>
        <w:rPr>
          <w:rFonts w:ascii="Arial" w:hAnsi="Arial" w:cs="Arial"/>
        </w:rPr>
        <w:t xml:space="preserve"> L.) in the Transportation of Freshwater Lobsters (</w:t>
      </w:r>
      <w:r>
        <w:rPr>
          <w:rFonts w:ascii="Arial" w:hAnsi="Arial" w:cs="Arial"/>
          <w:i/>
          <w:iCs/>
        </w:rPr>
        <w:t>Procambarus clarkii</w:t>
      </w:r>
      <w:r>
        <w:rPr>
          <w:rFonts w:ascii="Arial" w:hAnsi="Arial" w:cs="Arial"/>
        </w:rPr>
        <w:t xml:space="preserve">) Using a Dry System. </w:t>
      </w:r>
      <w:r>
        <w:rPr>
          <w:rFonts w:ascii="Arial" w:hAnsi="Arial" w:cs="Arial"/>
          <w:i/>
          <w:iCs/>
        </w:rPr>
        <w:t>E-Journal of Aquaculture Engineering and Technology, , 8</w:t>
      </w:r>
      <w:r>
        <w:rPr>
          <w:rFonts w:ascii="Arial" w:hAnsi="Arial" w:cs="Arial"/>
        </w:rPr>
        <w:t xml:space="preserve">(1), 927–938. </w:t>
      </w:r>
      <w:hyperlink r:id="rId44" w:history="1">
        <w:r>
          <w:rPr>
            <w:rStyle w:val="Hyperlink"/>
            <w:rFonts w:ascii="Arial" w:hAnsi="Arial" w:cs="Arial"/>
          </w:rPr>
          <w:t>https://doi.org</w:t>
        </w:r>
        <w:r>
          <w:rPr>
            <w:rStyle w:val="Hyperlink"/>
            <w:rFonts w:ascii="Arial" w:hAnsi="Arial" w:cs="Arial"/>
          </w:rPr>
          <w:t>/10.23960/jrtbp.v8i1.p927-938</w:t>
        </w:r>
      </w:hyperlink>
    </w:p>
    <w:p w:rsidR="0083466E" w:rsidRDefault="0083466E">
      <w:pPr>
        <w:pStyle w:val="Body"/>
        <w:spacing w:after="0"/>
        <w:rPr>
          <w:rFonts w:ascii="Arial" w:hAnsi="Arial" w:cs="Arial"/>
        </w:rPr>
      </w:pPr>
    </w:p>
    <w:p w:rsidR="0083466E" w:rsidRDefault="0083466E">
      <w:pPr>
        <w:pStyle w:val="Body"/>
        <w:spacing w:after="0"/>
        <w:rPr>
          <w:rFonts w:ascii="Arial" w:hAnsi="Arial" w:cs="Arial"/>
        </w:rPr>
      </w:pPr>
    </w:p>
    <w:p w:rsidR="0083466E" w:rsidRDefault="0083466E">
      <w:pPr>
        <w:pStyle w:val="Body"/>
        <w:spacing w:after="0"/>
        <w:rPr>
          <w:rFonts w:ascii="Arial" w:hAnsi="Arial" w:cs="Arial"/>
          <w:b/>
          <w:bCs/>
        </w:rPr>
      </w:pPr>
    </w:p>
    <w:p w:rsidR="0083466E" w:rsidRDefault="0083466E">
      <w:pPr>
        <w:pStyle w:val="Body"/>
        <w:spacing w:after="0"/>
        <w:rPr>
          <w:rFonts w:ascii="Arial" w:hAnsi="Arial" w:cs="Arial"/>
        </w:rPr>
      </w:pPr>
    </w:p>
    <w:p w:rsidR="0083466E" w:rsidRDefault="0083466E">
      <w:pPr>
        <w:pStyle w:val="Appendix"/>
        <w:spacing w:after="0"/>
        <w:jc w:val="both"/>
        <w:rPr>
          <w:rFonts w:ascii="Arial" w:hAnsi="Arial" w:cs="Arial"/>
          <w:b w:val="0"/>
          <w:sz w:val="20"/>
        </w:rPr>
      </w:pPr>
    </w:p>
    <w:sectPr w:rsidR="0083466E">
      <w:headerReference w:type="even" r:id="rId45"/>
      <w:headerReference w:type="default" r:id="rId46"/>
      <w:footerReference w:type="default" r:id="rId47"/>
      <w:headerReference w:type="first" r:id="rId48"/>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6B52" w:rsidRDefault="00306B52">
      <w:r>
        <w:separator/>
      </w:r>
    </w:p>
  </w:endnote>
  <w:endnote w:type="continuationSeparator" w:id="0">
    <w:p w:rsidR="00306B52" w:rsidRDefault="00306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66E" w:rsidRDefault="00834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66E" w:rsidRDefault="008346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66E" w:rsidRDefault="008346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6B52" w:rsidRDefault="00306B52">
      <w:r>
        <w:separator/>
      </w:r>
    </w:p>
  </w:footnote>
  <w:footnote w:type="continuationSeparator" w:id="0">
    <w:p w:rsidR="00306B52" w:rsidRDefault="00306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66E" w:rsidRDefault="00306B5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4" type="#_x0000_t136" style="position:absolute;margin-left:0;margin-top:0;width:519.5pt;height:58.6pt;rotation:-45;z-index:-25166028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66E" w:rsidRDefault="00306B5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3" type="#_x0000_t136" style="position:absolute;margin-left:0;margin-top:0;width:519.5pt;height:58.6pt;rotation:-45;z-index:-251659264;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66E" w:rsidRDefault="00306B52">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52" type="#_x0000_t136" style="position:absolute;left:0;text-align:left;margin-left:0;margin-top:0;width:519.5pt;height:58.6pt;rotation:-45;z-index:-25166131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p w:rsidR="0083466E" w:rsidRDefault="00306B52">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83466E" w:rsidRDefault="00306B52">
    <w:pPr>
      <w:jc w:val="center"/>
      <w:rPr>
        <w:rFonts w:ascii="Times New Roman" w:eastAsia="Calibri" w:hAnsi="Times New Roman"/>
        <w:i/>
        <w:sz w:val="18"/>
        <w:szCs w:val="22"/>
      </w:rPr>
    </w:pPr>
    <w:r>
      <w:rPr>
        <w:rFonts w:ascii="Times New Roman" w:eastAsia="Calibri" w:hAnsi="Times New Roman"/>
        <w:i/>
        <w:sz w:val="18"/>
        <w:szCs w:val="22"/>
      </w:rPr>
      <w:t>.</w:t>
    </w:r>
  </w:p>
  <w:p w:rsidR="0083466E" w:rsidRDefault="00306B52">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83466E" w:rsidRDefault="00306B52">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83466E" w:rsidRDefault="00306B52">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83466E" w:rsidRDefault="00306B5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66E" w:rsidRDefault="00306B5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1" o:spid="_x0000_s2051" type="#_x0000_t136" style="position:absolute;margin-left:0;margin-top:0;width:519.5pt;height:58.6pt;rotation:-45;z-index:-25165721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66E" w:rsidRDefault="00306B5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2" o:spid="_x0000_s2050" type="#_x0000_t136" style="position:absolute;margin-left:0;margin-top:0;width:519.5pt;height:58.6pt;rotation:-45;z-index:-25165619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66E" w:rsidRDefault="00306B5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3" o:spid="_x0000_s2049" type="#_x0000_t136" style="position:absolute;margin-left:0;margin-top:0;width:519.5pt;height:58.6pt;rotation:-45;z-index:-251658240;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 w15:restartNumberingAfterBreak="0">
    <w:nsid w:val="0000000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 w15:restartNumberingAfterBreak="0">
    <w:nsid w:val="00000002"/>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3"/>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4" w15:restartNumberingAfterBreak="0">
    <w:nsid w:val="00000004"/>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5" w15:restartNumberingAfterBreak="0">
    <w:nsid w:val="00000005"/>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6" w15:restartNumberingAfterBreak="0">
    <w:nsid w:val="00000006"/>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7" w15:restartNumberingAfterBreak="0">
    <w:nsid w:val="00000007"/>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8" w15:restartNumberingAfterBreak="0">
    <w:nsid w:val="00000008"/>
    <w:multiLevelType w:val="multilevel"/>
    <w:tmpl w:val="2548A9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9"/>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0" w15:restartNumberingAfterBreak="0">
    <w:nsid w:val="0000000A"/>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1" w15:restartNumberingAfterBreak="0">
    <w:nsid w:val="0000000B"/>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2" w15:restartNumberingAfterBreak="0">
    <w:nsid w:val="0000000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3" w15:restartNumberingAfterBreak="0">
    <w:nsid w:val="0000000D"/>
    <w:multiLevelType w:val="singleLevel"/>
    <w:tmpl w:val="A1B04AE0"/>
    <w:lvl w:ilvl="0">
      <w:start w:val="1"/>
      <w:numFmt w:val="decimal"/>
      <w:lvlText w:val="%1."/>
      <w:lvlJc w:val="left"/>
      <w:pPr>
        <w:ind w:left="360" w:hanging="360"/>
      </w:pPr>
    </w:lvl>
  </w:abstractNum>
  <w:abstractNum w:abstractNumId="14" w15:restartNumberingAfterBreak="0">
    <w:nsid w:val="0000000E"/>
    <w:multiLevelType w:val="hybridMultilevel"/>
    <w:tmpl w:val="D05A99DE"/>
    <w:lvl w:ilvl="0" w:tplc="7A92AA74">
      <w:start w:val="1"/>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0F"/>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6" w15:restartNumberingAfterBreak="0">
    <w:nsid w:val="00000010"/>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7" w15:restartNumberingAfterBreak="0">
    <w:nsid w:val="00000011"/>
    <w:multiLevelType w:val="singleLevel"/>
    <w:tmpl w:val="E368B7EE"/>
    <w:lvl w:ilvl="0">
      <w:start w:val="1"/>
      <w:numFmt w:val="decimal"/>
      <w:pStyle w:val="Reference"/>
      <w:lvlText w:val="%1."/>
      <w:lvlJc w:val="left"/>
      <w:pPr>
        <w:tabs>
          <w:tab w:val="left" w:pos="360"/>
        </w:tabs>
        <w:ind w:left="360" w:hanging="360"/>
      </w:pPr>
    </w:lvl>
  </w:abstractNum>
  <w:abstractNum w:abstractNumId="18" w15:restartNumberingAfterBreak="0">
    <w:nsid w:val="00000012"/>
    <w:multiLevelType w:val="hybridMultilevel"/>
    <w:tmpl w:val="256E6680"/>
    <w:lvl w:ilvl="0" w:tplc="04140001">
      <w:start w:val="1"/>
      <w:numFmt w:val="bullet"/>
      <w:lvlText w:val=""/>
      <w:lvlJc w:val="left"/>
      <w:pPr>
        <w:tabs>
          <w:tab w:val="left" w:pos="720"/>
        </w:tabs>
        <w:ind w:left="720" w:hanging="360"/>
      </w:pPr>
      <w:rPr>
        <w:rFonts w:ascii="Symbol" w:hAnsi="Symbol" w:hint="default"/>
      </w:rPr>
    </w:lvl>
    <w:lvl w:ilvl="1" w:tplc="04140003" w:tentative="1">
      <w:start w:val="1"/>
      <w:numFmt w:val="bullet"/>
      <w:lvlText w:val="o"/>
      <w:lvlJc w:val="left"/>
      <w:pPr>
        <w:tabs>
          <w:tab w:val="left" w:pos="1440"/>
        </w:tabs>
        <w:ind w:left="1440" w:hanging="360"/>
      </w:pPr>
      <w:rPr>
        <w:rFonts w:ascii="Courier New" w:hAnsi="Courier New" w:cs="Courier New" w:hint="default"/>
      </w:rPr>
    </w:lvl>
    <w:lvl w:ilvl="2" w:tplc="04140005" w:tentative="1">
      <w:start w:val="1"/>
      <w:numFmt w:val="bullet"/>
      <w:lvlText w:val=""/>
      <w:lvlJc w:val="left"/>
      <w:pPr>
        <w:tabs>
          <w:tab w:val="left" w:pos="2160"/>
        </w:tabs>
        <w:ind w:left="2160" w:hanging="360"/>
      </w:pPr>
      <w:rPr>
        <w:rFonts w:ascii="Wingdings" w:hAnsi="Wingdings" w:hint="default"/>
      </w:rPr>
    </w:lvl>
    <w:lvl w:ilvl="3" w:tplc="04140001" w:tentative="1">
      <w:start w:val="1"/>
      <w:numFmt w:val="bullet"/>
      <w:lvlText w:val=""/>
      <w:lvlJc w:val="left"/>
      <w:pPr>
        <w:tabs>
          <w:tab w:val="left" w:pos="2880"/>
        </w:tabs>
        <w:ind w:left="2880" w:hanging="360"/>
      </w:pPr>
      <w:rPr>
        <w:rFonts w:ascii="Symbol" w:hAnsi="Symbol" w:hint="default"/>
      </w:rPr>
    </w:lvl>
    <w:lvl w:ilvl="4" w:tplc="04140003" w:tentative="1">
      <w:start w:val="1"/>
      <w:numFmt w:val="bullet"/>
      <w:lvlText w:val="o"/>
      <w:lvlJc w:val="left"/>
      <w:pPr>
        <w:tabs>
          <w:tab w:val="left" w:pos="3600"/>
        </w:tabs>
        <w:ind w:left="3600" w:hanging="360"/>
      </w:pPr>
      <w:rPr>
        <w:rFonts w:ascii="Courier New" w:hAnsi="Courier New" w:cs="Courier New" w:hint="default"/>
      </w:rPr>
    </w:lvl>
    <w:lvl w:ilvl="5" w:tplc="04140005" w:tentative="1">
      <w:start w:val="1"/>
      <w:numFmt w:val="bullet"/>
      <w:lvlText w:val=""/>
      <w:lvlJc w:val="left"/>
      <w:pPr>
        <w:tabs>
          <w:tab w:val="left" w:pos="4320"/>
        </w:tabs>
        <w:ind w:left="4320" w:hanging="360"/>
      </w:pPr>
      <w:rPr>
        <w:rFonts w:ascii="Wingdings" w:hAnsi="Wingdings" w:hint="default"/>
      </w:rPr>
    </w:lvl>
    <w:lvl w:ilvl="6" w:tplc="04140001" w:tentative="1">
      <w:start w:val="1"/>
      <w:numFmt w:val="bullet"/>
      <w:lvlText w:val=""/>
      <w:lvlJc w:val="left"/>
      <w:pPr>
        <w:tabs>
          <w:tab w:val="left" w:pos="5040"/>
        </w:tabs>
        <w:ind w:left="5040" w:hanging="360"/>
      </w:pPr>
      <w:rPr>
        <w:rFonts w:ascii="Symbol" w:hAnsi="Symbol" w:hint="default"/>
      </w:rPr>
    </w:lvl>
    <w:lvl w:ilvl="7" w:tplc="04140003" w:tentative="1">
      <w:start w:val="1"/>
      <w:numFmt w:val="bullet"/>
      <w:lvlText w:val="o"/>
      <w:lvlJc w:val="left"/>
      <w:pPr>
        <w:tabs>
          <w:tab w:val="left" w:pos="5760"/>
        </w:tabs>
        <w:ind w:left="5760" w:hanging="360"/>
      </w:pPr>
      <w:rPr>
        <w:rFonts w:ascii="Courier New" w:hAnsi="Courier New" w:cs="Courier New" w:hint="default"/>
      </w:rPr>
    </w:lvl>
    <w:lvl w:ilvl="8" w:tplc="04140005" w:tentative="1">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00000013"/>
    <w:multiLevelType w:val="singleLevel"/>
    <w:tmpl w:val="A1B04AE0"/>
    <w:lvl w:ilvl="0">
      <w:start w:val="1"/>
      <w:numFmt w:val="decimal"/>
      <w:lvlText w:val="%1."/>
      <w:lvlJc w:val="left"/>
      <w:pPr>
        <w:ind w:left="360" w:hanging="360"/>
      </w:pPr>
    </w:lvl>
  </w:abstractNum>
  <w:abstractNum w:abstractNumId="20" w15:restartNumberingAfterBreak="0">
    <w:nsid w:val="00000014"/>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1" w15:restartNumberingAfterBreak="0">
    <w:nsid w:val="00000015"/>
    <w:multiLevelType w:val="singleLevel"/>
    <w:tmpl w:val="199E1F42"/>
    <w:lvl w:ilvl="0">
      <w:start w:val="1"/>
      <w:numFmt w:val="decimal"/>
      <w:lvlText w:val="%1"/>
      <w:lvlJc w:val="left"/>
      <w:pPr>
        <w:ind w:left="360" w:hanging="360"/>
      </w:pPr>
      <w:rPr>
        <w:rFonts w:ascii="Symbol" w:hAnsi="Symbol" w:hint="default"/>
        <w:b w:val="0"/>
        <w:i w:val="0"/>
        <w:sz w:val="20"/>
      </w:rPr>
    </w:lvl>
  </w:abstractNum>
  <w:abstractNum w:abstractNumId="22" w15:restartNumberingAfterBreak="0">
    <w:nsid w:val="00000016"/>
    <w:multiLevelType w:val="multilevel"/>
    <w:tmpl w:val="469AFC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00000017"/>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4" w15:restartNumberingAfterBreak="0">
    <w:nsid w:val="00000018"/>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0000019"/>
    <w:multiLevelType w:val="multilevel"/>
    <w:tmpl w:val="7C8A229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0000001A"/>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7" w15:restartNumberingAfterBreak="0">
    <w:nsid w:val="0000001B"/>
    <w:multiLevelType w:val="singleLevel"/>
    <w:tmpl w:val="FFFFFFFF"/>
    <w:lvl w:ilvl="0">
      <w:start w:val="1"/>
      <w:numFmt w:val="decimal"/>
      <w:lvlText w:val="*"/>
      <w:lvlJc w:val="left"/>
    </w:lvl>
  </w:abstractNum>
  <w:abstractNum w:abstractNumId="28" w15:restartNumberingAfterBreak="0">
    <w:nsid w:val="0000001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9" w15:restartNumberingAfterBreak="0">
    <w:nsid w:val="0000001D"/>
    <w:multiLevelType w:val="hybridMultilevel"/>
    <w:tmpl w:val="CCB4A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7"/>
    <w:lvlOverride w:ilvl="0">
      <w:lvl w:ilvl="0">
        <w:start w:val="1"/>
        <w:numFmt w:val="bullet"/>
        <w:lvlText w:val=""/>
        <w:lvlJc w:val="left"/>
        <w:pPr>
          <w:ind w:left="360" w:hanging="360"/>
        </w:pPr>
        <w:rPr>
          <w:rFonts w:ascii="Symbol" w:hAnsi="Symbol" w:hint="default"/>
        </w:rPr>
      </w:lvl>
    </w:lvlOverride>
  </w:num>
  <w:num w:numId="3">
    <w:abstractNumId w:val="13"/>
  </w:num>
  <w:num w:numId="4">
    <w:abstractNumId w:val="21"/>
  </w:num>
  <w:num w:numId="5">
    <w:abstractNumId w:val="27"/>
    <w:lvlOverride w:ilvl="0">
      <w:lvl w:ilvl="0">
        <w:start w:val="1"/>
        <w:numFmt w:val="bullet"/>
        <w:lvlText w:val=""/>
        <w:lvlJc w:val="left"/>
        <w:pPr>
          <w:ind w:left="360" w:hanging="360"/>
        </w:pPr>
        <w:rPr>
          <w:rFonts w:ascii="Wingdings" w:hAnsi="Wingdings" w:hint="default"/>
          <w:sz w:val="16"/>
        </w:rPr>
      </w:lvl>
    </w:lvlOverride>
  </w:num>
  <w:num w:numId="6">
    <w:abstractNumId w:val="5"/>
  </w:num>
  <w:num w:numId="7">
    <w:abstractNumId w:val="4"/>
  </w:num>
  <w:num w:numId="8">
    <w:abstractNumId w:val="28"/>
  </w:num>
  <w:num w:numId="9">
    <w:abstractNumId w:val="10"/>
  </w:num>
  <w:num w:numId="10">
    <w:abstractNumId w:val="23"/>
  </w:num>
  <w:num w:numId="11">
    <w:abstractNumId w:val="0"/>
  </w:num>
  <w:num w:numId="12">
    <w:abstractNumId w:val="16"/>
  </w:num>
  <w:num w:numId="13">
    <w:abstractNumId w:val="1"/>
  </w:num>
  <w:num w:numId="14">
    <w:abstractNumId w:val="15"/>
  </w:num>
  <w:num w:numId="15">
    <w:abstractNumId w:val="6"/>
  </w:num>
  <w:num w:numId="16">
    <w:abstractNumId w:val="19"/>
  </w:num>
  <w:num w:numId="17">
    <w:abstractNumId w:val="3"/>
  </w:num>
  <w:num w:numId="18">
    <w:abstractNumId w:val="20"/>
  </w:num>
  <w:num w:numId="19">
    <w:abstractNumId w:val="12"/>
  </w:num>
  <w:num w:numId="20">
    <w:abstractNumId w:val="26"/>
  </w:num>
  <w:num w:numId="21">
    <w:abstractNumId w:val="9"/>
  </w:num>
  <w:num w:numId="22">
    <w:abstractNumId w:val="7"/>
  </w:num>
  <w:num w:numId="23">
    <w:abstractNumId w:val="11"/>
  </w:num>
  <w:num w:numId="24">
    <w:abstractNumId w:val="24"/>
  </w:num>
  <w:num w:numId="25">
    <w:abstractNumId w:val="2"/>
  </w:num>
  <w:num w:numId="26">
    <w:abstractNumId w:val="14"/>
  </w:num>
  <w:num w:numId="27">
    <w:abstractNumId w:val="18"/>
  </w:num>
  <w:num w:numId="28">
    <w:abstractNumId w:val="25"/>
  </w:num>
  <w:num w:numId="29">
    <w:abstractNumId w:val="22"/>
  </w:num>
  <w:num w:numId="30">
    <w:abstractNumId w:val="8"/>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66E"/>
    <w:rsid w:val="00306B52"/>
    <w:rsid w:val="00655B57"/>
    <w:rsid w:val="006853D9"/>
    <w:rsid w:val="0083466E"/>
    <w:rsid w:val="00DE3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851E7A7"/>
  <w15:docId w15:val="{4287692F-E274-42CD-8F7C-684AA54BA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rPr>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styleId="Title">
    <w:name w:val="Title"/>
    <w:basedOn w:val="Normal"/>
    <w:uiPriority w:val="10"/>
    <w:qFormat/>
    <w:pPr>
      <w:spacing w:after="360"/>
      <w:jc w:val="right"/>
    </w:pPr>
    <w:rPr>
      <w:b/>
      <w:kern w:val="28"/>
      <w:sz w:val="3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paragraph" w:customStyle="1" w:styleId="Head2">
    <w:name w:val="Head2"/>
    <w:basedOn w:val="Normal"/>
    <w:next w:val="Body"/>
    <w:pPr>
      <w:keepNext/>
      <w:spacing w:after="240"/>
    </w:pPr>
    <w:rPr>
      <w:caps/>
    </w:rPr>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MainHead">
    <w:name w:val="Main Head"/>
    <w:basedOn w:val="Normal"/>
    <w:pPr>
      <w:keepNext/>
      <w:spacing w:after="240"/>
    </w:pPr>
    <w:rPr>
      <w:b/>
      <w:caps/>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styleId="Footer">
    <w:name w:val="footer"/>
    <w:basedOn w:val="Normal"/>
    <w:pPr>
      <w:tabs>
        <w:tab w:val="center" w:pos="4320"/>
        <w:tab w:val="right" w:pos="8640"/>
      </w:tabs>
    </w:pPr>
  </w:style>
  <w:style w:type="paragraph" w:customStyle="1" w:styleId="Head40">
    <w:name w:val="Head 4"/>
    <w:basedOn w:val="Head3"/>
    <w:rPr>
      <w:u w:val="none"/>
    </w:rPr>
  </w:style>
  <w:style w:type="paragraph" w:styleId="Header">
    <w:name w:val="header"/>
    <w:basedOn w:val="Normal"/>
    <w:pPr>
      <w:tabs>
        <w:tab w:val="center" w:pos="4320"/>
        <w:tab w:val="right" w:pos="8640"/>
      </w:tabs>
    </w:pPr>
  </w:style>
  <w:style w:type="paragraph" w:customStyle="1" w:styleId="Paper">
    <w:name w:val="Paper"/>
    <w:basedOn w:val="Normal"/>
    <w:pPr>
      <w:spacing w:after="360" w:line="440" w:lineRule="exact"/>
      <w:jc w:val="right"/>
    </w:pPr>
    <w:rPr>
      <w:b/>
      <w:sz w:val="36"/>
    </w:rPr>
  </w:style>
  <w:style w:type="paragraph" w:styleId="Signature">
    <w:name w:val="Signature"/>
    <w:basedOn w:val="Normal"/>
    <w:pPr>
      <w:ind w:left="4320"/>
    </w:p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styleId="Hyperlink">
    <w:name w:val="Hyperlink"/>
    <w:basedOn w:val="DefaultParagraphFont"/>
    <w:uiPriority w:val="99"/>
    <w:rPr>
      <w:color w:val="FF0080"/>
      <w:u w:val="single"/>
    </w:rPr>
  </w:style>
  <w:style w:type="character" w:styleId="FollowedHyperlink">
    <w:name w:val="FollowedHyperlink"/>
    <w:basedOn w:val="DefaultParagraphFont"/>
    <w:rPr>
      <w:color w:val="800080"/>
      <w:u w:val="single"/>
    </w:r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Helvetica" w:hAnsi="Helvetica"/>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rFonts w:ascii="Times New Roman" w:hAnsi="Times New Roman"/>
      <w:lang w:val="nb-NO" w:eastAsia="nb-NO"/>
    </w:rPr>
  </w:style>
  <w:style w:type="character" w:customStyle="1" w:styleId="CommentTextChar">
    <w:name w:val="Comment Text Char"/>
    <w:basedOn w:val="DefaultParagraphFont"/>
    <w:link w:val="CommentText"/>
    <w:uiPriority w:val="99"/>
    <w:rPr>
      <w:lang w:val="nb-NO" w:eastAsia="nb-NO"/>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styleId="LineNumber">
    <w:name w:val="line number"/>
    <w:basedOn w:val="DefaultParagraphFont"/>
  </w:style>
  <w:style w:type="character" w:styleId="Emphasis">
    <w:name w:val="Emphasis"/>
    <w:basedOn w:val="DefaultParagraphFont"/>
    <w:uiPriority w:val="20"/>
    <w:qFormat/>
    <w:rPr>
      <w:i/>
      <w:iCs/>
    </w:rPr>
  </w:style>
  <w:style w:type="character" w:customStyle="1" w:styleId="UnresolvedMention1">
    <w:name w:val="Unresolved Mention1"/>
    <w:basedOn w:val="DefaultParagraphFont"/>
    <w:uiPriority w:val="99"/>
    <w:rPr>
      <w:color w:val="605E5C"/>
      <w:shd w:val="clear" w:color="auto" w:fill="E1DFDD"/>
    </w:r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customStyle="1" w:styleId="UnresolvedMention2">
    <w:name w:val="Unresolved Mention2"/>
    <w:basedOn w:val="DefaultParagraphFont"/>
    <w:uiPriority w:val="99"/>
    <w:rPr>
      <w:color w:val="605E5C"/>
      <w:shd w:val="clear" w:color="auto" w:fill="E1DFDD"/>
    </w:rPr>
  </w:style>
  <w:style w:type="character" w:customStyle="1" w:styleId="UnresolvedMention3">
    <w:name w:val="Unresolved Mention3"/>
    <w:basedOn w:val="DefaultParagraphFont"/>
    <w:uiPriority w:val="99"/>
    <w:rPr>
      <w:color w:val="605E5C"/>
      <w:shd w:val="clear" w:color="auto" w:fill="E1DFD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emf"/><Relationship Id="rId26" Type="http://schemas.openxmlformats.org/officeDocument/2006/relationships/hyperlink" Target="https://doi.org/10.30997/jmss.v10i1.10567" TargetMode="External"/><Relationship Id="rId39" Type="http://schemas.openxmlformats.org/officeDocument/2006/relationships/hyperlink" Target="https://doi.org/10.52046/agrikan.v14i2.482-487" TargetMode="External"/><Relationship Id="rId21" Type="http://schemas.openxmlformats.org/officeDocument/2006/relationships/hyperlink" Target="https://doi.org/10.14710/jmr.v11i1.31248" TargetMode="External"/><Relationship Id="rId34" Type="http://schemas.openxmlformats.org/officeDocument/2006/relationships/hyperlink" Target="https://doi.org/10.1111/raq.12675" TargetMode="External"/><Relationship Id="rId42" Type="http://schemas.openxmlformats.org/officeDocument/2006/relationships/hyperlink" Target="https://doi.org/10.11598/btb.2024.31.3.2206" TargetMode="Externa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emf"/><Relationship Id="rId29" Type="http://schemas.openxmlformats.org/officeDocument/2006/relationships/hyperlink" Target="https://doi.org/10.1038/s41598-024-60367-1" TargetMode="External"/><Relationship Id="rId11" Type="http://schemas.openxmlformats.org/officeDocument/2006/relationships/footer" Target="footer2.xml"/><Relationship Id="rId24" Type="http://schemas.openxmlformats.org/officeDocument/2006/relationships/hyperlink" Target="https://etheses.uin-malang.ac.id/29900/" TargetMode="External"/><Relationship Id="rId32" Type="http://schemas.openxmlformats.org/officeDocument/2006/relationships/hyperlink" Target="https://doi.org/10.31851/jipbp.v19i2.19623" TargetMode="External"/><Relationship Id="rId37" Type="http://schemas.openxmlformats.org/officeDocument/2006/relationships/hyperlink" Target="https://doi.org/10.31001/jkireka.v2i1.24" TargetMode="External"/><Relationship Id="rId40" Type="http://schemas.openxmlformats.org/officeDocument/2006/relationships/hyperlink" Target="https://doi.org/10.14710/jkt.v26i2.17656" TargetMode="External"/><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yperlink" Target="https://doi.org/10.26418/jtllb.v11i2.64525" TargetMode="External"/><Relationship Id="rId28" Type="http://schemas.openxmlformats.org/officeDocument/2006/relationships/hyperlink" Target="http://repository.ipb.ac.id/handle/123456789/123613" TargetMode="External"/><Relationship Id="rId36" Type="http://schemas.openxmlformats.org/officeDocument/2006/relationships/hyperlink" Target="https://doi.org/10.1016/j.aquaculture.2020.735563"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ejournal.poltektegal.ac.id/index.php/senit/article/view/600/547" TargetMode="External"/><Relationship Id="rId31" Type="http://schemas.openxmlformats.org/officeDocument/2006/relationships/hyperlink" Target="http://dx.doi.org/10.29303" TargetMode="External"/><Relationship Id="rId44" Type="http://schemas.openxmlformats.org/officeDocument/2006/relationships/hyperlink" Target="https://doi.org/10.23960/jrtbp.v8i1.p927-93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hyperlink" Target="http://nopr.niscpr.res.in/handle/123456789/54727" TargetMode="External"/><Relationship Id="rId27" Type="http://schemas.openxmlformats.org/officeDocument/2006/relationships/hyperlink" Target="https://ejournal3.undip.ac.id/index.php/jamt/article/view/7950" TargetMode="External"/><Relationship Id="rId30" Type="http://schemas.openxmlformats.org/officeDocument/2006/relationships/hyperlink" Target="https://doi.org/10.13057/biodiv/d241121" TargetMode="External"/><Relationship Id="rId35" Type="http://schemas.openxmlformats.org/officeDocument/2006/relationships/hyperlink" Target="https://doi.org/10.3390/microorganisms11092343" TargetMode="External"/><Relationship Id="rId43" Type="http://schemas.openxmlformats.org/officeDocument/2006/relationships/hyperlink" Target="https://doi.org/10.29303/jbt.v23i1.4275" TargetMode="External"/><Relationship Id="rId48"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5.emf"/><Relationship Id="rId25" Type="http://schemas.openxmlformats.org/officeDocument/2006/relationships/hyperlink" Target="https://doi.org/10.29303/jpmpi.v5i3.1966" TargetMode="External"/><Relationship Id="rId33" Type="http://schemas.openxmlformats.org/officeDocument/2006/relationships/hyperlink" Target="https://jim.usk.ac.id/fkp/article/view/2566" TargetMode="External"/><Relationship Id="rId38" Type="http://schemas.openxmlformats.org/officeDocument/2006/relationships/hyperlink" Target="https://doi.org/10.20961/biji.v1i1.40653" TargetMode="External"/><Relationship Id="rId46" Type="http://schemas.openxmlformats.org/officeDocument/2006/relationships/header" Target="header5.xml"/><Relationship Id="rId20" Type="http://schemas.openxmlformats.org/officeDocument/2006/relationships/hyperlink" Target="https://doi.org/10.21776/ub.jiat.2022.008.01.6" TargetMode="External"/><Relationship Id="rId41" Type="http://schemas.openxmlformats.org/officeDocument/2006/relationships/hyperlink" Target="https://doi.org/10.55324/josr.v3i2.1874"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910E8-9B31-4789-9027-4FC5CEAE1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5060</Words>
  <Characters>28846</Characters>
  <Application>Microsoft Office Word</Application>
  <DocSecurity>0</DocSecurity>
  <Lines>240</Lines>
  <Paragraphs>67</Paragraphs>
  <ScaleCrop>false</ScaleCrop>
  <Company>aaaa</Company>
  <LinksUpToDate>false</LinksUpToDate>
  <CharactersWithSpaces>33839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5</cp:revision>
  <cp:lastPrinted>1999-07-06T11:00:00Z</cp:lastPrinted>
  <dcterms:created xsi:type="dcterms:W3CDTF">2025-12-13T10:24:00Z</dcterms:created>
  <dcterms:modified xsi:type="dcterms:W3CDTF">2025-12-13T12:29:00Z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c2a536f1a8c945959d3ff16fc6f0768e</vt:lpwstr>
  </property>
</Properties>
</file>