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F0D" w:rsidRDefault="00E01C14">
      <w:pPr>
        <w:spacing w:after="0" w:line="240" w:lineRule="auto"/>
        <w:jc w:val="both"/>
        <w:rPr>
          <w:rFonts w:ascii="Arial" w:eastAsia="Arial" w:hAnsi="Arial" w:cs="Arial"/>
          <w:b/>
          <w:i/>
          <w:sz w:val="32"/>
          <w:u w:val="single"/>
        </w:rPr>
      </w:pPr>
      <w:r>
        <w:rPr>
          <w:rFonts w:ascii="Arial" w:eastAsia="Arial" w:hAnsi="Arial" w:cs="Arial"/>
          <w:b/>
          <w:i/>
          <w:sz w:val="32"/>
          <w:u w:val="single"/>
        </w:rPr>
        <w:t>Original Research Article</w:t>
      </w:r>
    </w:p>
    <w:p w:rsidR="00196F0D" w:rsidRDefault="00196F0D">
      <w:pPr>
        <w:spacing w:after="0" w:line="240" w:lineRule="auto"/>
        <w:jc w:val="both"/>
        <w:rPr>
          <w:rFonts w:ascii="Arial" w:eastAsia="Arial" w:hAnsi="Arial" w:cs="Arial"/>
          <w:b/>
          <w:sz w:val="32"/>
        </w:rPr>
      </w:pPr>
    </w:p>
    <w:p w:rsidR="00196F0D" w:rsidRDefault="00E01C14">
      <w:pPr>
        <w:spacing w:after="0" w:line="240" w:lineRule="auto"/>
        <w:jc w:val="both"/>
        <w:rPr>
          <w:rFonts w:ascii="Arial" w:eastAsia="Arial" w:hAnsi="Arial" w:cs="Arial"/>
          <w:b/>
          <w:sz w:val="32"/>
        </w:rPr>
      </w:pPr>
      <w:r>
        <w:rPr>
          <w:rFonts w:ascii="Arial" w:eastAsia="Arial" w:hAnsi="Arial" w:cs="Arial"/>
          <w:b/>
          <w:sz w:val="32"/>
        </w:rPr>
        <w:t xml:space="preserve">Growth Performance and Cost-Effectiveness of Feeding Composite Nursing of Nile tilapia, </w:t>
      </w:r>
      <w:r>
        <w:rPr>
          <w:rFonts w:ascii="Arial" w:eastAsia="Arial" w:hAnsi="Arial" w:cs="Arial"/>
          <w:b/>
          <w:i/>
          <w:sz w:val="32"/>
        </w:rPr>
        <w:t xml:space="preserve">Oreochromis </w:t>
      </w:r>
      <w:proofErr w:type="spellStart"/>
      <w:r>
        <w:rPr>
          <w:rFonts w:ascii="Arial" w:eastAsia="Arial" w:hAnsi="Arial" w:cs="Arial"/>
          <w:b/>
          <w:i/>
          <w:sz w:val="32"/>
        </w:rPr>
        <w:t>niloticus</w:t>
      </w:r>
      <w:proofErr w:type="spellEnd"/>
      <w:r>
        <w:rPr>
          <w:rFonts w:ascii="Arial" w:eastAsia="Arial" w:hAnsi="Arial" w:cs="Arial"/>
          <w:b/>
          <w:sz w:val="32"/>
        </w:rPr>
        <w:t xml:space="preserve"> and African catfish, </w:t>
      </w:r>
      <w:proofErr w:type="spellStart"/>
      <w:r>
        <w:rPr>
          <w:rFonts w:ascii="Arial" w:eastAsia="Arial" w:hAnsi="Arial" w:cs="Arial"/>
          <w:b/>
          <w:i/>
          <w:sz w:val="32"/>
        </w:rPr>
        <w:t>Clarias</w:t>
      </w:r>
      <w:proofErr w:type="spellEnd"/>
      <w:r>
        <w:rPr>
          <w:rFonts w:ascii="Arial" w:eastAsia="Arial" w:hAnsi="Arial" w:cs="Arial"/>
          <w:b/>
          <w:i/>
          <w:sz w:val="32"/>
        </w:rPr>
        <w:t xml:space="preserve"> </w:t>
      </w:r>
      <w:proofErr w:type="spellStart"/>
      <w:r>
        <w:rPr>
          <w:rFonts w:ascii="Arial" w:eastAsia="Arial" w:hAnsi="Arial" w:cs="Arial"/>
          <w:b/>
          <w:i/>
          <w:sz w:val="32"/>
        </w:rPr>
        <w:t>gariepinus</w:t>
      </w:r>
      <w:proofErr w:type="spellEnd"/>
      <w:r>
        <w:rPr>
          <w:rFonts w:ascii="Arial" w:eastAsia="Arial" w:hAnsi="Arial" w:cs="Arial"/>
          <w:b/>
          <w:sz w:val="32"/>
        </w:rPr>
        <w:t xml:space="preserve"> Fingerlings with Two Feed Types and their Mixture  </w:t>
      </w:r>
    </w:p>
    <w:p w:rsidR="00196F0D" w:rsidRDefault="00196F0D">
      <w:pPr>
        <w:spacing w:after="0" w:line="240" w:lineRule="auto"/>
        <w:jc w:val="both"/>
        <w:rPr>
          <w:rFonts w:ascii="Arial" w:eastAsia="Arial" w:hAnsi="Arial" w:cs="Arial"/>
          <w:b/>
          <w:sz w:val="36"/>
        </w:rPr>
      </w:pPr>
    </w:p>
    <w:p w:rsidR="00196F0D" w:rsidRDefault="00196F0D">
      <w:pPr>
        <w:spacing w:after="0" w:line="240" w:lineRule="auto"/>
        <w:jc w:val="both"/>
        <w:rPr>
          <w:rFonts w:ascii="Arial" w:eastAsia="Arial" w:hAnsi="Arial" w:cs="Arial"/>
          <w:sz w:val="16"/>
        </w:rPr>
      </w:pPr>
    </w:p>
    <w:p w:rsidR="00196F0D" w:rsidRDefault="00E01C14">
      <w:pPr>
        <w:spacing w:after="0" w:line="240" w:lineRule="auto"/>
        <w:jc w:val="both"/>
        <w:rPr>
          <w:rFonts w:ascii="Arial" w:eastAsia="Arial" w:hAnsi="Arial" w:cs="Arial"/>
        </w:rPr>
      </w:pPr>
      <w:r>
        <w:rPr>
          <w:rFonts w:ascii="Arial" w:eastAsia="Arial" w:hAnsi="Arial" w:cs="Arial"/>
          <w:b/>
        </w:rPr>
        <w:t>ABSTRACT</w:t>
      </w:r>
      <w:r>
        <w:rPr>
          <w:rFonts w:ascii="Arial" w:eastAsia="Arial" w:hAnsi="Arial" w:cs="Arial"/>
        </w:rPr>
        <w:t xml:space="preserve"> </w:t>
      </w:r>
    </w:p>
    <w:tbl>
      <w:tblPr>
        <w:tblW w:w="0" w:type="auto"/>
        <w:tblInd w:w="98" w:type="dxa"/>
        <w:tblCellMar>
          <w:left w:w="10" w:type="dxa"/>
          <w:right w:w="10" w:type="dxa"/>
        </w:tblCellMar>
        <w:tblLook w:val="0000" w:firstRow="0" w:lastRow="0" w:firstColumn="0" w:lastColumn="0" w:noHBand="0" w:noVBand="0"/>
      </w:tblPr>
      <w:tblGrid>
        <w:gridCol w:w="8424"/>
      </w:tblGrid>
      <w:tr w:rsidR="00196F0D" w:rsidTr="002A0836">
        <w:trPr>
          <w:trHeight w:val="1"/>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196F0D" w:rsidRDefault="002A0836" w:rsidP="002A0836">
            <w:pPr>
              <w:spacing w:after="0" w:line="240" w:lineRule="auto"/>
              <w:jc w:val="both"/>
            </w:pPr>
            <w:r w:rsidRPr="002A0836">
              <w:rPr>
                <w:rFonts w:ascii="Arial" w:eastAsia="Arial" w:hAnsi="Arial" w:cs="Arial"/>
                <w:sz w:val="20"/>
              </w:rPr>
              <w:t xml:space="preserve">This study investigated growth performance and cost-effectiveness of 1:1 composite nursing of Nile tilapia, </w:t>
            </w:r>
            <w:r w:rsidR="0067113D" w:rsidRPr="0067113D">
              <w:rPr>
                <w:rFonts w:ascii="Arial" w:eastAsia="Arial" w:hAnsi="Arial" w:cs="Arial"/>
                <w:i/>
                <w:sz w:val="20"/>
              </w:rPr>
              <w:t>Oreochromis</w:t>
            </w:r>
            <w:r w:rsidRPr="002A0836">
              <w:rPr>
                <w:rFonts w:ascii="Arial" w:eastAsia="Arial" w:hAnsi="Arial" w:cs="Arial"/>
                <w:sz w:val="20"/>
              </w:rPr>
              <w:t xml:space="preserve"> </w:t>
            </w:r>
            <w:proofErr w:type="spellStart"/>
            <w:r w:rsidR="0067113D" w:rsidRPr="0067113D">
              <w:rPr>
                <w:rFonts w:ascii="Arial" w:eastAsia="Arial" w:hAnsi="Arial" w:cs="Arial"/>
                <w:i/>
                <w:sz w:val="20"/>
              </w:rPr>
              <w:t>niloticus</w:t>
            </w:r>
            <w:proofErr w:type="spellEnd"/>
            <w:r w:rsidRPr="002A0836">
              <w:rPr>
                <w:rFonts w:ascii="Arial" w:eastAsia="Arial" w:hAnsi="Arial" w:cs="Arial"/>
                <w:sz w:val="20"/>
              </w:rPr>
              <w:t xml:space="preserve"> and African catfish, </w:t>
            </w:r>
            <w:proofErr w:type="spellStart"/>
            <w:r w:rsidR="0067113D" w:rsidRPr="0067113D">
              <w:rPr>
                <w:rFonts w:ascii="Arial" w:eastAsia="Arial" w:hAnsi="Arial" w:cs="Arial"/>
                <w:i/>
                <w:sz w:val="20"/>
              </w:rPr>
              <w:t>Clarias</w:t>
            </w:r>
            <w:proofErr w:type="spellEnd"/>
            <w:r w:rsidRPr="002A0836">
              <w:rPr>
                <w:rFonts w:ascii="Arial" w:eastAsia="Arial" w:hAnsi="Arial" w:cs="Arial"/>
                <w:sz w:val="20"/>
              </w:rPr>
              <w:t xml:space="preserve"> </w:t>
            </w:r>
            <w:proofErr w:type="spellStart"/>
            <w:r w:rsidR="0067113D" w:rsidRPr="0067113D">
              <w:rPr>
                <w:rFonts w:ascii="Arial" w:eastAsia="Arial" w:hAnsi="Arial" w:cs="Arial"/>
                <w:i/>
                <w:sz w:val="20"/>
              </w:rPr>
              <w:t>gariepinus</w:t>
            </w:r>
            <w:proofErr w:type="spellEnd"/>
            <w:r w:rsidRPr="002A0836">
              <w:rPr>
                <w:rFonts w:ascii="Arial" w:eastAsia="Arial" w:hAnsi="Arial" w:cs="Arial"/>
                <w:sz w:val="20"/>
              </w:rPr>
              <w:t xml:space="preserve"> fingerlings fed separately with the same brand of commercial feeds of tilapia, catfish and their equal mixture in </w:t>
            </w:r>
            <w:proofErr w:type="spellStart"/>
            <w:r w:rsidRPr="002A0836">
              <w:rPr>
                <w:rFonts w:ascii="Arial" w:eastAsia="Arial" w:hAnsi="Arial" w:cs="Arial"/>
                <w:sz w:val="20"/>
              </w:rPr>
              <w:t>hapa</w:t>
            </w:r>
            <w:proofErr w:type="spellEnd"/>
            <w:r w:rsidRPr="002A0836">
              <w:rPr>
                <w:rFonts w:ascii="Arial" w:eastAsia="Arial" w:hAnsi="Arial" w:cs="Arial"/>
                <w:sz w:val="20"/>
              </w:rPr>
              <w:t>-in-pond system for 77 days.</w:t>
            </w:r>
            <w:r>
              <w:rPr>
                <w:rFonts w:ascii="Arial" w:eastAsia="Arial" w:hAnsi="Arial" w:cs="Arial"/>
                <w:sz w:val="20"/>
              </w:rPr>
              <w:t xml:space="preserve"> </w:t>
            </w:r>
            <w:r w:rsidR="00E01C14">
              <w:rPr>
                <w:rFonts w:ascii="Arial" w:eastAsia="Arial" w:hAnsi="Arial" w:cs="Arial"/>
                <w:sz w:val="20"/>
              </w:rPr>
              <w:t xml:space="preserve">The study was </w:t>
            </w:r>
            <w:r>
              <w:rPr>
                <w:rFonts w:ascii="Arial" w:eastAsia="Arial" w:hAnsi="Arial" w:cs="Arial"/>
                <w:sz w:val="20"/>
              </w:rPr>
              <w:t>conducted</w:t>
            </w:r>
            <w:r w:rsidR="00E01C14">
              <w:rPr>
                <w:rFonts w:ascii="Arial" w:eastAsia="Arial" w:hAnsi="Arial" w:cs="Arial"/>
                <w:sz w:val="20"/>
              </w:rPr>
              <w:t xml:space="preserve"> at the Aquaculture Research and Development Centre (ARDEC) of Water Research Institute (WRI) of the Council for Scientific and Industrial Research (CSIR), Akosombo, Eastern Region, Ghana.</w:t>
            </w:r>
            <w:r w:rsidR="00E01C14">
              <w:rPr>
                <w:rFonts w:ascii="Arial" w:eastAsia="Arial" w:hAnsi="Arial" w:cs="Arial"/>
                <w:color w:val="FF0000"/>
                <w:sz w:val="20"/>
              </w:rPr>
              <w:t xml:space="preserve"> </w:t>
            </w:r>
            <w:r w:rsidRPr="002A0836">
              <w:rPr>
                <w:rFonts w:ascii="Arial" w:eastAsia="Arial" w:hAnsi="Arial" w:cs="Arial"/>
                <w:sz w:val="20"/>
              </w:rPr>
              <w:t xml:space="preserve">The studied treatments were </w:t>
            </w:r>
            <w:r w:rsidR="0067113D" w:rsidRPr="0067113D">
              <w:rPr>
                <w:rFonts w:ascii="Arial" w:eastAsia="Arial" w:hAnsi="Arial" w:cs="Arial"/>
                <w:i/>
                <w:sz w:val="20"/>
              </w:rPr>
              <w:t>A</w:t>
            </w:r>
            <w:r w:rsidRPr="002A0836">
              <w:rPr>
                <w:rFonts w:ascii="Arial" w:eastAsia="Arial" w:hAnsi="Arial" w:cs="Arial"/>
                <w:sz w:val="20"/>
              </w:rPr>
              <w:t xml:space="preserve"> (tilapia feed use only), </w:t>
            </w:r>
            <w:r w:rsidR="0067113D" w:rsidRPr="0067113D">
              <w:rPr>
                <w:rFonts w:ascii="Arial" w:eastAsia="Arial" w:hAnsi="Arial" w:cs="Arial"/>
                <w:i/>
                <w:sz w:val="20"/>
              </w:rPr>
              <w:t xml:space="preserve">B </w:t>
            </w:r>
            <w:r w:rsidRPr="002A0836">
              <w:rPr>
                <w:rFonts w:ascii="Arial" w:eastAsia="Arial" w:hAnsi="Arial" w:cs="Arial"/>
                <w:sz w:val="20"/>
              </w:rPr>
              <w:t xml:space="preserve">(catfish feed use only) and </w:t>
            </w:r>
            <w:r w:rsidR="0067113D" w:rsidRPr="0067113D">
              <w:rPr>
                <w:rFonts w:ascii="Arial" w:eastAsia="Arial" w:hAnsi="Arial" w:cs="Arial"/>
                <w:i/>
                <w:sz w:val="20"/>
              </w:rPr>
              <w:t>C</w:t>
            </w:r>
            <w:r w:rsidRPr="002A0836">
              <w:rPr>
                <w:rFonts w:ascii="Arial" w:eastAsia="Arial" w:hAnsi="Arial" w:cs="Arial"/>
                <w:sz w:val="20"/>
              </w:rPr>
              <w:t xml:space="preserve"> (equal mixture of tilapia and catfish feeds use). The two (2) feeds were declared to contain 40.0% crude protein (CP) each by the producer</w:t>
            </w:r>
            <w:r w:rsidR="00E01C14">
              <w:rPr>
                <w:rFonts w:ascii="Arial" w:eastAsia="Arial" w:hAnsi="Arial" w:cs="Arial"/>
                <w:sz w:val="20"/>
              </w:rPr>
              <w:t xml:space="preserve">. The fingerling nursing was conducted in nine (9) fine mesh net </w:t>
            </w:r>
            <w:proofErr w:type="spellStart"/>
            <w:r w:rsidR="00E01C14">
              <w:rPr>
                <w:rFonts w:ascii="Arial" w:eastAsia="Arial" w:hAnsi="Arial" w:cs="Arial"/>
                <w:sz w:val="20"/>
              </w:rPr>
              <w:t>hapas</w:t>
            </w:r>
            <w:proofErr w:type="spellEnd"/>
            <w:r w:rsidR="00E01C14">
              <w:rPr>
                <w:rFonts w:ascii="Arial" w:eastAsia="Arial" w:hAnsi="Arial" w:cs="Arial"/>
                <w:sz w:val="20"/>
              </w:rPr>
              <w:t xml:space="preserve">, each of dimensions 5.0 x 2.0 x 1.2 m; installed in about a 0.2-hectare earthen pond. The fingerlings of </w:t>
            </w:r>
            <w:r w:rsidR="00E01C14">
              <w:rPr>
                <w:rFonts w:ascii="Arial" w:eastAsia="Arial" w:hAnsi="Arial" w:cs="Arial"/>
                <w:i/>
                <w:sz w:val="20"/>
              </w:rPr>
              <w:t xml:space="preserve">O. </w:t>
            </w:r>
            <w:proofErr w:type="spellStart"/>
            <w:r w:rsidR="00E01C14">
              <w:rPr>
                <w:rFonts w:ascii="Arial" w:eastAsia="Arial" w:hAnsi="Arial" w:cs="Arial"/>
                <w:i/>
                <w:sz w:val="20"/>
              </w:rPr>
              <w:t>niloticus</w:t>
            </w:r>
            <w:proofErr w:type="spellEnd"/>
            <w:r w:rsidR="00E01C14">
              <w:rPr>
                <w:rFonts w:ascii="Arial" w:eastAsia="Arial" w:hAnsi="Arial" w:cs="Arial"/>
                <w:sz w:val="20"/>
              </w:rPr>
              <w:t xml:space="preserve"> and </w:t>
            </w:r>
            <w:r w:rsidR="00E01C14">
              <w:rPr>
                <w:rFonts w:ascii="Arial" w:eastAsia="Arial" w:hAnsi="Arial" w:cs="Arial"/>
                <w:i/>
                <w:sz w:val="20"/>
              </w:rPr>
              <w:t xml:space="preserve">C. </w:t>
            </w:r>
            <w:proofErr w:type="spellStart"/>
            <w:r w:rsidR="00E01C14">
              <w:rPr>
                <w:rFonts w:ascii="Arial" w:eastAsia="Arial" w:hAnsi="Arial" w:cs="Arial"/>
                <w:i/>
                <w:sz w:val="20"/>
              </w:rPr>
              <w:t>gariepinus</w:t>
            </w:r>
            <w:proofErr w:type="spellEnd"/>
            <w:r w:rsidR="00E01C14">
              <w:rPr>
                <w:rFonts w:ascii="Arial" w:eastAsia="Arial" w:hAnsi="Arial" w:cs="Arial"/>
                <w:sz w:val="20"/>
              </w:rPr>
              <w:t xml:space="preserve">, at initial weight ranged between 1.2 and 1.5 g and mean weights 1.34 ± 0.08, 1.31 ± 0.10 and 1.32 ± 0.10 g for treatments </w:t>
            </w:r>
            <w:r w:rsidR="0067113D" w:rsidRPr="0067113D">
              <w:rPr>
                <w:rFonts w:ascii="Arial" w:eastAsia="Arial" w:hAnsi="Arial" w:cs="Arial"/>
                <w:i/>
                <w:sz w:val="20"/>
              </w:rPr>
              <w:t>A</w:t>
            </w:r>
            <w:r w:rsidR="00E01C14">
              <w:rPr>
                <w:rFonts w:ascii="Arial" w:eastAsia="Arial" w:hAnsi="Arial" w:cs="Arial"/>
                <w:sz w:val="20"/>
              </w:rPr>
              <w:t xml:space="preserve">, </w:t>
            </w:r>
            <w:r w:rsidR="0067113D" w:rsidRPr="0067113D">
              <w:rPr>
                <w:rFonts w:ascii="Arial" w:eastAsia="Arial" w:hAnsi="Arial" w:cs="Arial"/>
                <w:i/>
                <w:sz w:val="20"/>
              </w:rPr>
              <w:t>B</w:t>
            </w:r>
            <w:r w:rsidR="00E01C14">
              <w:rPr>
                <w:rFonts w:ascii="Arial" w:eastAsia="Arial" w:hAnsi="Arial" w:cs="Arial"/>
                <w:sz w:val="20"/>
              </w:rPr>
              <w:t xml:space="preserve"> and </w:t>
            </w:r>
            <w:r w:rsidR="0067113D" w:rsidRPr="0067113D">
              <w:rPr>
                <w:rFonts w:ascii="Arial" w:eastAsia="Arial" w:hAnsi="Arial" w:cs="Arial"/>
                <w:i/>
                <w:sz w:val="20"/>
              </w:rPr>
              <w:t>C</w:t>
            </w:r>
            <w:r w:rsidR="00E01C14">
              <w:rPr>
                <w:rFonts w:ascii="Arial" w:eastAsia="Arial" w:hAnsi="Arial" w:cs="Arial"/>
                <w:sz w:val="20"/>
              </w:rPr>
              <w:t xml:space="preserve"> respectively, were stocked at 60 fingerlings hapa</w:t>
            </w:r>
            <w:r w:rsidR="0067113D" w:rsidRPr="0067113D">
              <w:rPr>
                <w:rFonts w:ascii="Arial" w:eastAsia="Arial" w:hAnsi="Arial" w:cs="Arial"/>
                <w:sz w:val="20"/>
                <w:vertAlign w:val="superscript"/>
              </w:rPr>
              <w:t>-1</w:t>
            </w:r>
            <w:r w:rsidR="00E01C14">
              <w:rPr>
                <w:rFonts w:ascii="Arial" w:eastAsia="Arial" w:hAnsi="Arial" w:cs="Arial"/>
                <w:sz w:val="20"/>
              </w:rPr>
              <w:t xml:space="preserve"> at a ratio of 1:1.  The fingerlings were fed manually at a declining rate of 10.0-4.0% of their biomass hapa</w:t>
            </w:r>
            <w:r w:rsidR="0067113D" w:rsidRPr="0067113D">
              <w:rPr>
                <w:rFonts w:ascii="Arial" w:eastAsia="Arial" w:hAnsi="Arial" w:cs="Arial"/>
                <w:sz w:val="20"/>
                <w:vertAlign w:val="superscript"/>
              </w:rPr>
              <w:t>-1</w:t>
            </w:r>
            <w:r w:rsidR="00E01C14">
              <w:rPr>
                <w:rFonts w:ascii="Arial" w:eastAsia="Arial" w:hAnsi="Arial" w:cs="Arial"/>
                <w:sz w:val="20"/>
              </w:rPr>
              <w:t xml:space="preserve">, 3 times daily. </w:t>
            </w:r>
            <w:r>
              <w:rPr>
                <w:rFonts w:ascii="Arial" w:eastAsia="Arial" w:hAnsi="Arial" w:cs="Arial"/>
                <w:sz w:val="20"/>
              </w:rPr>
              <w:t xml:space="preserve">The combined </w:t>
            </w:r>
            <w:r w:rsidR="00E01C14">
              <w:rPr>
                <w:rFonts w:ascii="Arial" w:eastAsia="Arial" w:hAnsi="Arial" w:cs="Arial"/>
                <w:sz w:val="20"/>
              </w:rPr>
              <w:t xml:space="preserve">final mean weight ranged from 34.60 ± 1.95 to 38.52 ± 6.00 g. No significant differences (ANOVA, </w:t>
            </w:r>
            <w:r w:rsidR="0067113D" w:rsidRPr="0067113D">
              <w:rPr>
                <w:rFonts w:ascii="Arial" w:eastAsia="Arial" w:hAnsi="Arial" w:cs="Arial"/>
                <w:i/>
                <w:sz w:val="20"/>
              </w:rPr>
              <w:t>P</w:t>
            </w:r>
            <w:r w:rsidR="00E01C14">
              <w:rPr>
                <w:rFonts w:ascii="Arial" w:eastAsia="Arial" w:hAnsi="Arial" w:cs="Arial"/>
                <w:sz w:val="20"/>
              </w:rPr>
              <w:t xml:space="preserve"> &gt; 0.05) were observed in growth performance indicators among all treatments. Computed profit indices ranged from 12.74 to 14.97 with that of A being the highest and B, the least. Findings of the study indicated that either tilapia or catfish feed of similar CP contents could be used for composite nursing of </w:t>
            </w:r>
            <w:r w:rsidR="00E01C14">
              <w:rPr>
                <w:rFonts w:ascii="Arial" w:eastAsia="Arial" w:hAnsi="Arial" w:cs="Arial"/>
                <w:i/>
                <w:sz w:val="20"/>
              </w:rPr>
              <w:t xml:space="preserve">O. </w:t>
            </w:r>
            <w:proofErr w:type="spellStart"/>
            <w:r w:rsidR="00E01C14">
              <w:rPr>
                <w:rFonts w:ascii="Arial" w:eastAsia="Arial" w:hAnsi="Arial" w:cs="Arial"/>
                <w:i/>
                <w:sz w:val="20"/>
              </w:rPr>
              <w:t>niloticus</w:t>
            </w:r>
            <w:proofErr w:type="spellEnd"/>
            <w:r w:rsidR="00E01C14">
              <w:rPr>
                <w:rFonts w:ascii="Arial" w:eastAsia="Arial" w:hAnsi="Arial" w:cs="Arial"/>
                <w:sz w:val="20"/>
              </w:rPr>
              <w:t xml:space="preserve"> and </w:t>
            </w:r>
            <w:r w:rsidR="00E01C14">
              <w:rPr>
                <w:rFonts w:ascii="Arial" w:eastAsia="Arial" w:hAnsi="Arial" w:cs="Arial"/>
                <w:i/>
                <w:sz w:val="20"/>
              </w:rPr>
              <w:t xml:space="preserve">C. </w:t>
            </w:r>
            <w:proofErr w:type="spellStart"/>
            <w:r w:rsidR="00E01C14">
              <w:rPr>
                <w:rFonts w:ascii="Arial" w:eastAsia="Arial" w:hAnsi="Arial" w:cs="Arial"/>
                <w:i/>
                <w:sz w:val="20"/>
              </w:rPr>
              <w:t>gariepinus</w:t>
            </w:r>
            <w:proofErr w:type="spellEnd"/>
            <w:r w:rsidR="00E01C14">
              <w:rPr>
                <w:rFonts w:ascii="Arial" w:eastAsia="Arial" w:hAnsi="Arial" w:cs="Arial"/>
                <w:sz w:val="20"/>
              </w:rPr>
              <w:t xml:space="preserve"> fingerlings. However, the cheaper one should be opted for; purely for reasons of cost-effectiveness.</w:t>
            </w:r>
          </w:p>
        </w:tc>
      </w:tr>
    </w:tbl>
    <w:p w:rsidR="00196F0D" w:rsidRDefault="00196F0D">
      <w:pPr>
        <w:spacing w:after="0" w:line="240" w:lineRule="auto"/>
        <w:jc w:val="both"/>
        <w:rPr>
          <w:rFonts w:ascii="Arial" w:eastAsia="Arial" w:hAnsi="Arial" w:cs="Arial"/>
          <w:i/>
        </w:rPr>
      </w:pPr>
    </w:p>
    <w:p w:rsidR="00196F0D" w:rsidRDefault="00E01C14">
      <w:pPr>
        <w:spacing w:after="0" w:line="240" w:lineRule="auto"/>
        <w:jc w:val="both"/>
        <w:rPr>
          <w:rFonts w:ascii="Arial" w:eastAsia="Arial" w:hAnsi="Arial" w:cs="Arial"/>
          <w:i/>
          <w:sz w:val="20"/>
        </w:rPr>
      </w:pPr>
      <w:r>
        <w:rPr>
          <w:rFonts w:ascii="Arial" w:eastAsia="Arial" w:hAnsi="Arial" w:cs="Arial"/>
          <w:i/>
          <w:sz w:val="20"/>
        </w:rPr>
        <w:t>Keywords: Cost-effectiveness, composite nursing, profitability, profit index, tilapia feed</w:t>
      </w:r>
    </w:p>
    <w:p w:rsidR="00196F0D" w:rsidRDefault="00E01C14">
      <w:pPr>
        <w:spacing w:after="0" w:line="240" w:lineRule="auto"/>
        <w:jc w:val="both"/>
        <w:rPr>
          <w:rFonts w:ascii="Arial" w:eastAsia="Arial" w:hAnsi="Arial" w:cs="Arial"/>
          <w:sz w:val="20"/>
        </w:rPr>
      </w:pPr>
      <w:r>
        <w:rPr>
          <w:rFonts w:ascii="Arial" w:eastAsia="Arial" w:hAnsi="Arial" w:cs="Arial"/>
          <w:i/>
          <w:sz w:val="20"/>
        </w:rPr>
        <w:t xml:space="preserve">         </w:t>
      </w:r>
    </w:p>
    <w:p w:rsidR="00196F0D" w:rsidRDefault="00196F0D">
      <w:pPr>
        <w:spacing w:after="0" w:line="240" w:lineRule="auto"/>
        <w:jc w:val="both"/>
        <w:rPr>
          <w:rFonts w:ascii="Arial" w:eastAsia="Arial" w:hAnsi="Arial" w:cs="Arial"/>
          <w:b/>
          <w:sz w:val="24"/>
        </w:rPr>
      </w:pPr>
    </w:p>
    <w:p w:rsidR="00196F0D" w:rsidRDefault="00196F0D">
      <w:pPr>
        <w:spacing w:after="0" w:line="240" w:lineRule="auto"/>
        <w:jc w:val="both"/>
        <w:rPr>
          <w:rFonts w:ascii="Arial" w:eastAsia="Arial" w:hAnsi="Arial" w:cs="Arial"/>
          <w:b/>
          <w:sz w:val="24"/>
        </w:rPr>
      </w:pP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1. INTRODUCTION</w:t>
      </w:r>
    </w:p>
    <w:p w:rsidR="00196F0D" w:rsidRDefault="00196F0D">
      <w:pPr>
        <w:spacing w:after="0" w:line="240" w:lineRule="auto"/>
        <w:jc w:val="both"/>
        <w:rPr>
          <w:rFonts w:ascii="Arial" w:eastAsia="Arial" w:hAnsi="Arial" w:cs="Arial"/>
        </w:rPr>
      </w:pPr>
    </w:p>
    <w:p w:rsidR="00196F0D" w:rsidRDefault="00BF5FE3">
      <w:pPr>
        <w:spacing w:after="0" w:line="240" w:lineRule="auto"/>
        <w:jc w:val="both"/>
        <w:rPr>
          <w:rFonts w:ascii="Arial" w:eastAsia="Arial" w:hAnsi="Arial" w:cs="Arial"/>
          <w:sz w:val="20"/>
        </w:rPr>
      </w:pPr>
      <w:r>
        <w:rPr>
          <w:rFonts w:ascii="Arial" w:eastAsia="Arial" w:hAnsi="Arial" w:cs="Arial"/>
          <w:sz w:val="20"/>
        </w:rPr>
        <w:t>“</w:t>
      </w:r>
      <w:r w:rsidR="00E01C14">
        <w:rPr>
          <w:rFonts w:ascii="Arial" w:eastAsia="Arial" w:hAnsi="Arial" w:cs="Arial"/>
          <w:sz w:val="20"/>
        </w:rPr>
        <w:t>The basic principle of composite fish farming rests on the idea that when compatible fish species, of different feeding habits (non-competing) are cultured in the same system, there is better utilization of natural foods of various strata and zones within the system</w:t>
      </w:r>
      <w:r>
        <w:rPr>
          <w:rFonts w:ascii="Arial" w:eastAsia="Arial" w:hAnsi="Arial" w:cs="Arial"/>
          <w:sz w:val="20"/>
        </w:rPr>
        <w:t>”</w:t>
      </w:r>
      <w:r w:rsidR="00E01C14">
        <w:rPr>
          <w:rFonts w:ascii="Arial" w:eastAsia="Arial" w:hAnsi="Arial" w:cs="Arial"/>
          <w:sz w:val="20"/>
        </w:rPr>
        <w:t xml:space="preserve"> (Fitzsimmons and </w:t>
      </w:r>
      <w:proofErr w:type="spellStart"/>
      <w:r w:rsidR="00E01C14">
        <w:rPr>
          <w:rFonts w:ascii="Arial" w:eastAsia="Arial" w:hAnsi="Arial" w:cs="Arial"/>
          <w:sz w:val="20"/>
        </w:rPr>
        <w:t>Shahkar</w:t>
      </w:r>
      <w:proofErr w:type="spellEnd"/>
      <w:r w:rsidR="00E01C14">
        <w:rPr>
          <w:rFonts w:ascii="Arial" w:eastAsia="Arial" w:hAnsi="Arial" w:cs="Arial"/>
          <w:sz w:val="20"/>
        </w:rPr>
        <w:t xml:space="preserve">, 2017; </w:t>
      </w:r>
      <w:proofErr w:type="spellStart"/>
      <w:r w:rsidR="00E01C14">
        <w:rPr>
          <w:rFonts w:ascii="Arial" w:eastAsia="Arial" w:hAnsi="Arial" w:cs="Arial"/>
          <w:sz w:val="20"/>
        </w:rPr>
        <w:t>Amoussou</w:t>
      </w:r>
      <w:proofErr w:type="spellEnd"/>
      <w:r w:rsidR="00E01C14">
        <w:rPr>
          <w:rFonts w:ascii="Arial" w:eastAsia="Arial" w:hAnsi="Arial" w:cs="Arial"/>
          <w:sz w:val="20"/>
        </w:rPr>
        <w:t xml:space="preserve"> </w:t>
      </w:r>
      <w:r w:rsidR="00E01C14">
        <w:rPr>
          <w:rFonts w:ascii="Arial" w:eastAsia="Arial" w:hAnsi="Arial" w:cs="Arial"/>
          <w:i/>
          <w:sz w:val="20"/>
        </w:rPr>
        <w:t>et al</w:t>
      </w:r>
      <w:r w:rsidR="00E01C14">
        <w:rPr>
          <w:rFonts w:ascii="Arial" w:eastAsia="Arial" w:hAnsi="Arial" w:cs="Arial"/>
          <w:sz w:val="20"/>
        </w:rPr>
        <w:t>., 2022). Hence, there is the need for the appropriate selection of the different fish species for successful composite farming (</w:t>
      </w:r>
      <w:proofErr w:type="spellStart"/>
      <w:r w:rsidR="00E01C14">
        <w:rPr>
          <w:rFonts w:ascii="Arial" w:eastAsia="Arial" w:hAnsi="Arial" w:cs="Arial"/>
          <w:sz w:val="20"/>
        </w:rPr>
        <w:t>Chithambaran</w:t>
      </w:r>
      <w:proofErr w:type="spellEnd"/>
      <w:r w:rsidR="00E01C14">
        <w:rPr>
          <w:rFonts w:ascii="Arial" w:eastAsia="Arial" w:hAnsi="Arial" w:cs="Arial"/>
          <w:sz w:val="20"/>
        </w:rPr>
        <w:t xml:space="preserve">, 2019). </w:t>
      </w:r>
      <w:r>
        <w:rPr>
          <w:rFonts w:ascii="Arial" w:eastAsia="Arial" w:hAnsi="Arial" w:cs="Arial"/>
          <w:sz w:val="20"/>
        </w:rPr>
        <w:t>“</w:t>
      </w:r>
      <w:r w:rsidR="00E01C14">
        <w:rPr>
          <w:rFonts w:ascii="Arial" w:eastAsia="Arial" w:hAnsi="Arial" w:cs="Arial"/>
          <w:sz w:val="20"/>
        </w:rPr>
        <w:t>The practice is usually carried out in earthen ponds and it increases fish yield through efficient utilization of the ecological resources in the culture system</w:t>
      </w:r>
      <w:r>
        <w:rPr>
          <w:rFonts w:ascii="Arial" w:eastAsia="Arial" w:hAnsi="Arial" w:cs="Arial"/>
          <w:sz w:val="20"/>
        </w:rPr>
        <w:t>”</w:t>
      </w:r>
      <w:r w:rsidR="00E01C14">
        <w:rPr>
          <w:rFonts w:ascii="Arial" w:eastAsia="Arial" w:hAnsi="Arial" w:cs="Arial"/>
          <w:sz w:val="20"/>
        </w:rPr>
        <w:t xml:space="preserve"> (Mansour </w:t>
      </w:r>
      <w:r w:rsidR="00E01C14">
        <w:rPr>
          <w:rFonts w:ascii="Arial" w:eastAsia="Arial" w:hAnsi="Arial" w:cs="Arial"/>
          <w:i/>
          <w:sz w:val="20"/>
        </w:rPr>
        <w:t>et al</w:t>
      </w:r>
      <w:r w:rsidR="00E01C14">
        <w:rPr>
          <w:rFonts w:ascii="Arial" w:eastAsia="Arial" w:hAnsi="Arial" w:cs="Arial"/>
          <w:sz w:val="20"/>
        </w:rPr>
        <w:t xml:space="preserve">., 2021). </w:t>
      </w:r>
      <w:r>
        <w:rPr>
          <w:rFonts w:ascii="Arial" w:eastAsia="Arial" w:hAnsi="Arial" w:cs="Arial"/>
          <w:sz w:val="20"/>
        </w:rPr>
        <w:t>“</w:t>
      </w:r>
      <w:r w:rsidR="00E01C14">
        <w:rPr>
          <w:rFonts w:ascii="Arial" w:eastAsia="Arial" w:hAnsi="Arial" w:cs="Arial"/>
          <w:sz w:val="20"/>
        </w:rPr>
        <w:t>Stocking two or more complementary species can increase the maximum standing crop of a pond by taking advantage of a wider range of available foods and ecological niches. The stocking density and the ratio of the different fish species also play a vital role on overall fish yield. Higher stocking density may affect the growth rate of the stocked fishes whilst that of lower may reduce the overall fish yield.</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lastRenderedPageBreak/>
        <w:t xml:space="preserve">The practice of composite fish farming is limited in Ghana and no fixed ratios of fishes are reared together in a culture system. The commonest combination of fishes are Nile </w:t>
      </w:r>
      <w:proofErr w:type="gramStart"/>
      <w:r>
        <w:rPr>
          <w:rFonts w:ascii="Arial" w:eastAsia="Arial" w:hAnsi="Arial" w:cs="Arial"/>
          <w:sz w:val="20"/>
        </w:rPr>
        <w:t xml:space="preserve">tilapia,  </w:t>
      </w:r>
      <w:r>
        <w:rPr>
          <w:rFonts w:ascii="Arial" w:eastAsia="Arial" w:hAnsi="Arial" w:cs="Arial"/>
          <w:i/>
          <w:sz w:val="20"/>
        </w:rPr>
        <w:t>Oreochromis</w:t>
      </w:r>
      <w:proofErr w:type="gramEnd"/>
      <w:r>
        <w:rPr>
          <w:rFonts w:ascii="Arial" w:eastAsia="Arial" w:hAnsi="Arial" w:cs="Arial"/>
          <w:i/>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and the African catfish, </w:t>
      </w:r>
      <w:proofErr w:type="spellStart"/>
      <w:r>
        <w:rPr>
          <w:rFonts w:ascii="Arial" w:eastAsia="Arial" w:hAnsi="Arial" w:cs="Arial"/>
          <w:i/>
          <w:sz w:val="20"/>
        </w:rPr>
        <w:t>Clarias</w:t>
      </w:r>
      <w:proofErr w:type="spellEnd"/>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sz w:val="20"/>
        </w:rPr>
        <w:t>, the two (2) commonly cultured fish species in Ghana</w:t>
      </w:r>
      <w:r w:rsidR="00BF5FE3">
        <w:rPr>
          <w:rFonts w:ascii="Arial" w:eastAsia="Arial" w:hAnsi="Arial" w:cs="Arial"/>
          <w:sz w:val="20"/>
        </w:rPr>
        <w:t>”</w:t>
      </w:r>
      <w:r>
        <w:rPr>
          <w:rFonts w:ascii="Arial" w:eastAsia="Arial" w:hAnsi="Arial" w:cs="Arial"/>
          <w:sz w:val="20"/>
        </w:rPr>
        <w:t xml:space="preserve"> (FC, 2023). Composite farming of tilapia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has been proposed as an alternative means (biological control) of avoiding overcrowding of culture systems when </w:t>
      </w:r>
      <w:r w:rsidR="00F9395D">
        <w:rPr>
          <w:rFonts w:ascii="Arial" w:eastAsia="Arial" w:hAnsi="Arial" w:cs="Arial"/>
          <w:sz w:val="20"/>
        </w:rPr>
        <w:t xml:space="preserve">they are stocked with </w:t>
      </w:r>
      <w:r>
        <w:rPr>
          <w:rFonts w:ascii="Arial" w:eastAsia="Arial" w:hAnsi="Arial" w:cs="Arial"/>
          <w:sz w:val="20"/>
        </w:rPr>
        <w:t xml:space="preserve">mixed-sex </w:t>
      </w:r>
      <w:proofErr w:type="gramStart"/>
      <w:r>
        <w:rPr>
          <w:rFonts w:ascii="Arial" w:eastAsia="Arial" w:hAnsi="Arial" w:cs="Arial"/>
          <w:sz w:val="20"/>
        </w:rPr>
        <w:t>tilapia  since</w:t>
      </w:r>
      <w:proofErr w:type="gramEnd"/>
      <w:r>
        <w:rPr>
          <w:rFonts w:ascii="Arial" w:eastAsia="Arial" w:hAnsi="Arial" w:cs="Arial"/>
          <w:sz w:val="20"/>
        </w:rPr>
        <w:t xml:space="preserve"> the fry produced by the tilapia are consumed by the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(Guerrero, 1980; De Graaf, 1996; El-Gamal </w:t>
      </w:r>
      <w:r>
        <w:rPr>
          <w:rFonts w:ascii="Arial" w:eastAsia="Arial" w:hAnsi="Arial" w:cs="Arial"/>
          <w:i/>
          <w:sz w:val="20"/>
        </w:rPr>
        <w:t>et al</w:t>
      </w:r>
      <w:r>
        <w:rPr>
          <w:rFonts w:ascii="Arial" w:eastAsia="Arial" w:hAnsi="Arial" w:cs="Arial"/>
          <w:sz w:val="20"/>
        </w:rPr>
        <w:t xml:space="preserve">., 1998; </w:t>
      </w:r>
      <w:proofErr w:type="spellStart"/>
      <w:r>
        <w:rPr>
          <w:rFonts w:ascii="Arial" w:eastAsia="Arial" w:hAnsi="Arial" w:cs="Arial"/>
          <w:sz w:val="20"/>
        </w:rPr>
        <w:t>Fagbenro</w:t>
      </w:r>
      <w:proofErr w:type="spellEnd"/>
      <w:r>
        <w:rPr>
          <w:rFonts w:ascii="Arial" w:eastAsia="Arial" w:hAnsi="Arial" w:cs="Arial"/>
          <w:sz w:val="20"/>
        </w:rPr>
        <w:t>, 2004). Nile tilapia is an omnivorous filter feeder whilst the African catfish is a predator that feeds on fish fry and fingerlings.</w:t>
      </w:r>
    </w:p>
    <w:p w:rsidR="00196F0D" w:rsidRDefault="00196F0D">
      <w:pPr>
        <w:spacing w:after="0" w:line="240" w:lineRule="auto"/>
        <w:jc w:val="both"/>
        <w:rPr>
          <w:rFonts w:ascii="Arial" w:eastAsia="Arial" w:hAnsi="Arial" w:cs="Arial"/>
          <w:sz w:val="20"/>
        </w:rPr>
      </w:pPr>
    </w:p>
    <w:p w:rsidR="00196F0D" w:rsidRDefault="00BF5FE3">
      <w:pPr>
        <w:spacing w:after="0" w:line="240" w:lineRule="auto"/>
        <w:jc w:val="both"/>
        <w:rPr>
          <w:rFonts w:ascii="Arial" w:eastAsia="Arial" w:hAnsi="Arial" w:cs="Arial"/>
          <w:sz w:val="20"/>
        </w:rPr>
      </w:pPr>
      <w:r>
        <w:rPr>
          <w:rFonts w:ascii="Arial" w:eastAsia="Arial" w:hAnsi="Arial" w:cs="Arial"/>
          <w:sz w:val="20"/>
        </w:rPr>
        <w:t>“</w:t>
      </w:r>
      <w:r w:rsidR="00E01C14">
        <w:rPr>
          <w:rFonts w:ascii="Arial" w:eastAsia="Arial" w:hAnsi="Arial" w:cs="Arial"/>
          <w:sz w:val="20"/>
        </w:rPr>
        <w:t>The Nile tilapia is a worldwide important species in aquaculture due mainly to its fast growth and its easiness to produce fingerlings under captivity</w:t>
      </w:r>
      <w:r>
        <w:rPr>
          <w:rFonts w:ascii="Arial" w:eastAsia="Arial" w:hAnsi="Arial" w:cs="Arial"/>
          <w:sz w:val="20"/>
        </w:rPr>
        <w:t>”</w:t>
      </w:r>
      <w:r w:rsidR="00E01C14">
        <w:rPr>
          <w:rFonts w:ascii="Arial" w:eastAsia="Arial" w:hAnsi="Arial" w:cs="Arial"/>
          <w:sz w:val="20"/>
        </w:rPr>
        <w:t xml:space="preserve"> (de Graaf </w:t>
      </w:r>
      <w:r w:rsidR="00E01C14">
        <w:rPr>
          <w:rFonts w:ascii="Arial" w:eastAsia="Arial" w:hAnsi="Arial" w:cs="Arial"/>
          <w:i/>
          <w:sz w:val="20"/>
        </w:rPr>
        <w:t>et al</w:t>
      </w:r>
      <w:r w:rsidR="00E01C14">
        <w:rPr>
          <w:rFonts w:ascii="Arial" w:eastAsia="Arial" w:hAnsi="Arial" w:cs="Arial"/>
          <w:sz w:val="20"/>
        </w:rPr>
        <w:t xml:space="preserve">., 1999; Gómez-Márquez </w:t>
      </w:r>
      <w:r w:rsidR="00E01C14">
        <w:rPr>
          <w:rFonts w:ascii="Arial" w:eastAsia="Arial" w:hAnsi="Arial" w:cs="Arial"/>
          <w:i/>
          <w:sz w:val="20"/>
        </w:rPr>
        <w:t>et al</w:t>
      </w:r>
      <w:r w:rsidR="00E01C14">
        <w:rPr>
          <w:rFonts w:ascii="Arial" w:eastAsia="Arial" w:hAnsi="Arial" w:cs="Arial"/>
          <w:sz w:val="20"/>
        </w:rPr>
        <w:t>., 2003). Currently, it is the main cultured fish species in Ghana, contributing about 80% of farmed fish production (FC, 2023). This is followed by the African catfish, constituting about 20.0% and due to its ability to withstand hash environmental conditions, its farming over the years continue to increase. Its yields from ponds could be as much as 2.5 times higher than those of tilapia (</w:t>
      </w:r>
      <w:proofErr w:type="spellStart"/>
      <w:r w:rsidR="00E01C14">
        <w:rPr>
          <w:rFonts w:ascii="Arial" w:eastAsia="Arial" w:hAnsi="Arial" w:cs="Arial"/>
          <w:sz w:val="20"/>
        </w:rPr>
        <w:t>Hogendoorn</w:t>
      </w:r>
      <w:proofErr w:type="spellEnd"/>
      <w:r w:rsidR="00E01C14">
        <w:rPr>
          <w:rFonts w:ascii="Arial" w:eastAsia="Arial" w:hAnsi="Arial" w:cs="Arial"/>
          <w:sz w:val="20"/>
        </w:rPr>
        <w:t>, 1983).</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higher survival and the faster growth of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during the grow-out stage compare with those of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encourage its culture by fish farmers. However, weight for weight, the fingerling cost of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is about </w:t>
      </w:r>
      <w:proofErr w:type="gramStart"/>
      <w:r>
        <w:rPr>
          <w:rFonts w:ascii="Arial" w:eastAsia="Arial" w:hAnsi="Arial" w:cs="Arial"/>
          <w:sz w:val="20"/>
        </w:rPr>
        <w:t>two fold</w:t>
      </w:r>
      <w:proofErr w:type="gramEnd"/>
      <w:r>
        <w:rPr>
          <w:rFonts w:ascii="Arial" w:eastAsia="Arial" w:hAnsi="Arial" w:cs="Arial"/>
          <w:sz w:val="20"/>
        </w:rPr>
        <w:t xml:space="preserve"> that of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Farmers who </w:t>
      </w:r>
      <w:proofErr w:type="spellStart"/>
      <w:r>
        <w:rPr>
          <w:rFonts w:ascii="Arial" w:eastAsia="Arial" w:hAnsi="Arial" w:cs="Arial"/>
          <w:sz w:val="20"/>
        </w:rPr>
        <w:t>practise</w:t>
      </w:r>
      <w:proofErr w:type="spellEnd"/>
      <w:r>
        <w:rPr>
          <w:rFonts w:ascii="Arial" w:eastAsia="Arial" w:hAnsi="Arial" w:cs="Arial"/>
          <w:sz w:val="20"/>
        </w:rPr>
        <w:t xml:space="preserve"> composite fish farming of tilapia and catfish, feed the cultured fishes with tilapia or catfish feed and occasionally with the mixture of the </w:t>
      </w:r>
      <w:proofErr w:type="gramStart"/>
      <w:r>
        <w:rPr>
          <w:rFonts w:ascii="Arial" w:eastAsia="Arial" w:hAnsi="Arial" w:cs="Arial"/>
          <w:sz w:val="20"/>
        </w:rPr>
        <w:t>2</w:t>
      </w:r>
      <w:r w:rsidR="00F9395D">
        <w:rPr>
          <w:rFonts w:ascii="Arial" w:eastAsia="Arial" w:hAnsi="Arial" w:cs="Arial"/>
          <w:sz w:val="20"/>
        </w:rPr>
        <w:t xml:space="preserve"> </w:t>
      </w:r>
      <w:r>
        <w:rPr>
          <w:rFonts w:ascii="Arial" w:eastAsia="Arial" w:hAnsi="Arial" w:cs="Arial"/>
          <w:sz w:val="20"/>
        </w:rPr>
        <w:t xml:space="preserve"> feed</w:t>
      </w:r>
      <w:proofErr w:type="gramEnd"/>
      <w:r>
        <w:rPr>
          <w:rFonts w:ascii="Arial" w:eastAsia="Arial" w:hAnsi="Arial" w:cs="Arial"/>
          <w:sz w:val="20"/>
        </w:rPr>
        <w:t xml:space="preserve"> types based on which is affordable or available. Therefore</w:t>
      </w:r>
      <w:r w:rsidR="00F9395D">
        <w:rPr>
          <w:rFonts w:ascii="Arial" w:eastAsia="Arial" w:hAnsi="Arial" w:cs="Arial"/>
          <w:sz w:val="20"/>
        </w:rPr>
        <w:t>,</w:t>
      </w:r>
      <w:r>
        <w:rPr>
          <w:rFonts w:ascii="Arial" w:eastAsia="Arial" w:hAnsi="Arial" w:cs="Arial"/>
          <w:sz w:val="20"/>
        </w:rPr>
        <w:t xml:space="preserve"> the current study was designed to investigate the growth performance and the cost-effectiveness of 1:1 composite rearing of fingerlings of the Nile tilapia and the African catfish fed separately with the same brand of commercial tilapia feed, catfish feed and their equal mixture in </w:t>
      </w:r>
      <w:proofErr w:type="spellStart"/>
      <w:r>
        <w:rPr>
          <w:rFonts w:ascii="Arial" w:eastAsia="Arial" w:hAnsi="Arial" w:cs="Arial"/>
          <w:sz w:val="20"/>
        </w:rPr>
        <w:t>hapa</w:t>
      </w:r>
      <w:proofErr w:type="spellEnd"/>
      <w:r>
        <w:rPr>
          <w:rFonts w:ascii="Arial" w:eastAsia="Arial" w:hAnsi="Arial" w:cs="Arial"/>
          <w:sz w:val="20"/>
        </w:rPr>
        <w:t>-in-pond system with the aim of recommending the most suitable option for fish farmers.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2. MATERIALS AND METHODS</w:t>
      </w:r>
    </w:p>
    <w:p w:rsidR="00196F0D" w:rsidRDefault="00196F0D">
      <w:pPr>
        <w:spacing w:after="0" w:line="240" w:lineRule="auto"/>
        <w:jc w:val="both"/>
        <w:rPr>
          <w:rFonts w:ascii="Arial" w:eastAsia="Arial" w:hAnsi="Arial" w:cs="Arial"/>
          <w:b/>
          <w:caps/>
        </w:rPr>
      </w:pPr>
    </w:p>
    <w:p w:rsidR="00196F0D" w:rsidRDefault="00E01C14">
      <w:pPr>
        <w:spacing w:after="0" w:line="240" w:lineRule="auto"/>
        <w:jc w:val="both"/>
        <w:rPr>
          <w:rFonts w:ascii="Arial" w:eastAsia="Arial" w:hAnsi="Arial" w:cs="Arial"/>
        </w:rPr>
      </w:pPr>
      <w:r>
        <w:rPr>
          <w:rFonts w:ascii="Arial" w:eastAsia="Arial" w:hAnsi="Arial" w:cs="Arial"/>
          <w:b/>
          <w:caps/>
        </w:rPr>
        <w:t>2.1</w:t>
      </w:r>
      <w:r>
        <w:rPr>
          <w:rFonts w:ascii="Arial" w:eastAsia="Arial" w:hAnsi="Arial" w:cs="Arial"/>
          <w:b/>
        </w:rPr>
        <w:t xml:space="preserve"> Study Area</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study was carried out </w:t>
      </w:r>
      <w:r w:rsidR="00B67A49">
        <w:rPr>
          <w:rFonts w:ascii="Arial" w:eastAsia="Arial" w:hAnsi="Arial" w:cs="Arial"/>
          <w:sz w:val="20"/>
        </w:rPr>
        <w:t xml:space="preserve">  within</w:t>
      </w:r>
      <w:r>
        <w:rPr>
          <w:rFonts w:ascii="Arial" w:eastAsia="Arial" w:hAnsi="Arial" w:cs="Arial"/>
          <w:sz w:val="20"/>
        </w:rPr>
        <w:t xml:space="preserve"> </w:t>
      </w:r>
      <w:proofErr w:type="gramStart"/>
      <w:r>
        <w:rPr>
          <w:rFonts w:ascii="Arial" w:eastAsia="Arial" w:hAnsi="Arial" w:cs="Arial"/>
          <w:sz w:val="20"/>
        </w:rPr>
        <w:t xml:space="preserve">July </w:t>
      </w:r>
      <w:r w:rsidR="00B67A49">
        <w:rPr>
          <w:rFonts w:ascii="Arial" w:eastAsia="Arial" w:hAnsi="Arial" w:cs="Arial"/>
          <w:sz w:val="20"/>
        </w:rPr>
        <w:t xml:space="preserve"> and</w:t>
      </w:r>
      <w:proofErr w:type="gramEnd"/>
      <w:r>
        <w:rPr>
          <w:rFonts w:ascii="Arial" w:eastAsia="Arial" w:hAnsi="Arial" w:cs="Arial"/>
          <w:sz w:val="20"/>
        </w:rPr>
        <w:t xml:space="preserve"> September, 2023 at the Aquaculture Research and Development Centre (ARDEC) of Water Research Institute (WRI) of the Council for Scientific and Industrial Research (CSIR), (Latitude 6° 13ʹ North and longitude 0° 4ʹ East),  Akosombo, Eastern Region, Ghana.</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2.2 Experimental Fishes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Fingerlings of Nile tilapia,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the African catfish,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used for the study were procured at CSIR-WRI-ARDEC, Ghana. The fish</w:t>
      </w:r>
      <w:r w:rsidR="00BE43D4">
        <w:rPr>
          <w:rFonts w:ascii="Arial" w:eastAsia="Arial" w:hAnsi="Arial" w:cs="Arial"/>
          <w:sz w:val="20"/>
        </w:rPr>
        <w:t>es</w:t>
      </w:r>
      <w:r>
        <w:rPr>
          <w:rFonts w:ascii="Arial" w:eastAsia="Arial" w:hAnsi="Arial" w:cs="Arial"/>
          <w:sz w:val="20"/>
        </w:rPr>
        <w:t xml:space="preserve">, </w:t>
      </w:r>
      <w:proofErr w:type="gramStart"/>
      <w:r>
        <w:rPr>
          <w:rFonts w:ascii="Arial" w:eastAsia="Arial" w:hAnsi="Arial" w:cs="Arial"/>
          <w:sz w:val="20"/>
        </w:rPr>
        <w:t xml:space="preserve">ranging </w:t>
      </w:r>
      <w:r w:rsidR="00BE43D4">
        <w:rPr>
          <w:rFonts w:ascii="Arial" w:eastAsia="Arial" w:hAnsi="Arial" w:cs="Arial"/>
          <w:sz w:val="20"/>
        </w:rPr>
        <w:t xml:space="preserve"> between</w:t>
      </w:r>
      <w:proofErr w:type="gramEnd"/>
      <w:r>
        <w:rPr>
          <w:rFonts w:ascii="Arial" w:eastAsia="Arial" w:hAnsi="Arial" w:cs="Arial"/>
          <w:sz w:val="20"/>
        </w:rPr>
        <w:t xml:space="preserve"> 1.2 </w:t>
      </w:r>
      <w:r w:rsidR="00BE43D4">
        <w:rPr>
          <w:rFonts w:ascii="Arial" w:eastAsia="Arial" w:hAnsi="Arial" w:cs="Arial"/>
          <w:sz w:val="20"/>
        </w:rPr>
        <w:t xml:space="preserve"> and</w:t>
      </w:r>
      <w:r>
        <w:rPr>
          <w:rFonts w:ascii="Arial" w:eastAsia="Arial" w:hAnsi="Arial" w:cs="Arial"/>
          <w:sz w:val="20"/>
        </w:rPr>
        <w:t xml:space="preserve"> 1.5 g were separately treated with a 3.0% sodium chloride (NaCl) solution in plastic bowls of about 0.50 m</w:t>
      </w:r>
      <w:r w:rsidR="0067113D" w:rsidRPr="0067113D">
        <w:rPr>
          <w:rFonts w:ascii="Arial" w:eastAsia="Arial" w:hAnsi="Arial" w:cs="Arial"/>
          <w:sz w:val="20"/>
          <w:vertAlign w:val="superscript"/>
        </w:rPr>
        <w:t>3</w:t>
      </w:r>
      <w:r>
        <w:rPr>
          <w:rFonts w:ascii="Arial" w:eastAsia="Arial" w:hAnsi="Arial" w:cs="Arial"/>
          <w:sz w:val="20"/>
        </w:rPr>
        <w:t xml:space="preserve"> for 10 to 15 min to eliminate any possible </w:t>
      </w:r>
      <w:proofErr w:type="spellStart"/>
      <w:r>
        <w:rPr>
          <w:rFonts w:ascii="Arial" w:eastAsia="Arial" w:hAnsi="Arial" w:cs="Arial"/>
          <w:sz w:val="20"/>
        </w:rPr>
        <w:t>ecto</w:t>
      </w:r>
      <w:proofErr w:type="spellEnd"/>
      <w:r>
        <w:rPr>
          <w:rFonts w:ascii="Arial" w:eastAsia="Arial" w:hAnsi="Arial" w:cs="Arial"/>
          <w:sz w:val="20"/>
        </w:rPr>
        <w:t xml:space="preserve">-parasite infections.  </w:t>
      </w:r>
    </w:p>
    <w:p w:rsidR="00BE43D4" w:rsidRDefault="00BE43D4">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sz w:val="24"/>
        </w:rPr>
      </w:pPr>
      <w:r>
        <w:rPr>
          <w:rFonts w:ascii="Arial" w:eastAsia="Arial" w:hAnsi="Arial" w:cs="Arial"/>
          <w:b/>
          <w:sz w:val="24"/>
        </w:rPr>
        <w:t>2.3 Experimental Feeds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experimental feeds were the same brand of a commercial type </w:t>
      </w:r>
      <w:r w:rsidR="00BE43D4">
        <w:rPr>
          <w:rFonts w:ascii="Arial" w:eastAsia="Arial" w:hAnsi="Arial" w:cs="Arial"/>
          <w:sz w:val="20"/>
        </w:rPr>
        <w:t xml:space="preserve">separately </w:t>
      </w:r>
      <w:r>
        <w:rPr>
          <w:rFonts w:ascii="Arial" w:eastAsia="Arial" w:hAnsi="Arial" w:cs="Arial"/>
          <w:sz w:val="20"/>
        </w:rPr>
        <w:t>formulated for tilapia and catfish, procured from a commercial fish feed retail outlet near the study area. The feeds were in the forms of extruded pellets of diameter 2.0 mm, with each having 40.0% crude protein (CP) content as declared on the labels of the feed bags by the producer (Table 1).</w:t>
      </w:r>
    </w:p>
    <w:p w:rsidR="00196F0D" w:rsidRDefault="00196F0D">
      <w:pPr>
        <w:spacing w:after="0" w:line="240" w:lineRule="auto"/>
        <w:jc w:val="both"/>
        <w:rPr>
          <w:rFonts w:ascii="Arial" w:eastAsia="Arial" w:hAnsi="Arial" w:cs="Arial"/>
          <w:sz w:val="24"/>
        </w:rPr>
      </w:pPr>
    </w:p>
    <w:p w:rsidR="00196F0D" w:rsidRDefault="00E01C14">
      <w:pPr>
        <w:keepNext/>
        <w:spacing w:after="0" w:line="240" w:lineRule="auto"/>
        <w:jc w:val="center"/>
        <w:rPr>
          <w:rFonts w:ascii="Arial" w:eastAsia="Arial" w:hAnsi="Arial" w:cs="Arial"/>
          <w:b/>
          <w:sz w:val="20"/>
        </w:rPr>
      </w:pPr>
      <w:r>
        <w:rPr>
          <w:rFonts w:ascii="Arial" w:eastAsia="Arial" w:hAnsi="Arial" w:cs="Arial"/>
          <w:b/>
          <w:sz w:val="20"/>
        </w:rPr>
        <w:t>Table 1. Information on the labels of the bags of studied tilapia and catfish feeds used for the study</w:t>
      </w:r>
    </w:p>
    <w:tbl>
      <w:tblPr>
        <w:tblW w:w="0" w:type="auto"/>
        <w:tblInd w:w="98" w:type="dxa"/>
        <w:tblCellMar>
          <w:left w:w="10" w:type="dxa"/>
          <w:right w:w="10" w:type="dxa"/>
        </w:tblCellMar>
        <w:tblLook w:val="0000" w:firstRow="0" w:lastRow="0" w:firstColumn="0" w:lastColumn="0" w:noHBand="0" w:noVBand="0"/>
      </w:tblPr>
      <w:tblGrid>
        <w:gridCol w:w="3166"/>
        <w:gridCol w:w="3156"/>
        <w:gridCol w:w="3156"/>
      </w:tblGrid>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 xml:space="preserve">Parameter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Tilapia Feed</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Catfish Feed</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Crude Protein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40</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40</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Crude Fat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10</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6.5</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lastRenderedPageBreak/>
              <w:t xml:space="preserve">Crude </w:t>
            </w:r>
            <w:proofErr w:type="spellStart"/>
            <w:r>
              <w:rPr>
                <w:rFonts w:ascii="Arial" w:eastAsia="Arial" w:hAnsi="Arial" w:cs="Arial"/>
                <w:sz w:val="20"/>
              </w:rPr>
              <w:t>Fibre</w:t>
            </w:r>
            <w:proofErr w:type="spellEnd"/>
            <w:r>
              <w:rPr>
                <w:rFonts w:ascii="Arial" w:eastAsia="Arial" w:hAnsi="Arial" w:cs="Arial"/>
                <w:sz w:val="20"/>
              </w:rPr>
              <w:t xml:space="preserve">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5</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Moisture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10</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10</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Ash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10</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12</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Phosphorus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1.2</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Calcium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1.5</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Manufacturing Date</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May 10, 2023</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May 30, 2023</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Expiration Date</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Nov. 10, 2023</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Nov. 30, 2023</w:t>
            </w:r>
          </w:p>
        </w:tc>
      </w:tr>
    </w:tbl>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During first four (4) weeks of the experiment, approximately 8.0 kg of each feed was crushed into sizes ranging from 0.4 to 0.8 mm for the experimental fingerlings to pick. A third feed was obtained by mixing equal portions of the 2 feed types uniformly. A sample of 50.0 g of each feed was taken into 300 ml containers for immediate proximate composition analyses. The feeds were sealed and they were kept in a cool, dry and well-ventilated room, inaccessible to unauthorized personnel. After 4 weeks the feeds were fed to the cultured fishes without crushing them.</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2.4 Experimental Feeds Proximate Composition Determination</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Triplicates of proximate composition analyses of the feeds were carried out based on standard methods (AOAC, 2019) at University of Ghana, Department of Nutrition and Food Science, Legon. In accordance with the protocol, the percentage (%) dry matter (DM), % crude protein (CP), % ash, % crude lipid (CL) and % crude </w:t>
      </w:r>
      <w:proofErr w:type="spellStart"/>
      <w:r>
        <w:rPr>
          <w:rFonts w:ascii="Arial" w:eastAsia="Arial" w:hAnsi="Arial" w:cs="Arial"/>
          <w:sz w:val="20"/>
        </w:rPr>
        <w:t>fibre</w:t>
      </w:r>
      <w:proofErr w:type="spellEnd"/>
      <w:r>
        <w:rPr>
          <w:rFonts w:ascii="Arial" w:eastAsia="Arial" w:hAnsi="Arial" w:cs="Arial"/>
          <w:sz w:val="20"/>
        </w:rPr>
        <w:t xml:space="preserve"> (CF) were determined. Percentage carbohydrate (</w:t>
      </w:r>
      <w:proofErr w:type="spellStart"/>
      <w:r>
        <w:rPr>
          <w:rFonts w:ascii="Arial" w:eastAsia="Arial" w:hAnsi="Arial" w:cs="Arial"/>
          <w:sz w:val="20"/>
        </w:rPr>
        <w:t>i</w:t>
      </w:r>
      <w:proofErr w:type="spellEnd"/>
      <w:r>
        <w:rPr>
          <w:rFonts w:ascii="Arial" w:eastAsia="Arial" w:hAnsi="Arial" w:cs="Arial"/>
          <w:sz w:val="20"/>
        </w:rPr>
        <w:t>. e. nitrogen-free extract, % NFE) was obtained using the formula: % NFE = % DM - (CP + Ash + CL + CF) %. Gross energy (GE) contents of the feeds were computed using average physiological fuel values 23.64, 39.54 and 17.15 MJ kg</w:t>
      </w:r>
      <w:r w:rsidR="0067113D" w:rsidRPr="0067113D">
        <w:rPr>
          <w:rFonts w:ascii="Arial" w:eastAsia="Arial" w:hAnsi="Arial" w:cs="Arial"/>
          <w:sz w:val="20"/>
          <w:vertAlign w:val="superscript"/>
        </w:rPr>
        <w:t>-1</w:t>
      </w:r>
      <w:r>
        <w:rPr>
          <w:rFonts w:ascii="Arial" w:eastAsia="Arial" w:hAnsi="Arial" w:cs="Arial"/>
          <w:sz w:val="20"/>
        </w:rPr>
        <w:t xml:space="preserve"> for protein, fat and carbohydrate, respectively (</w:t>
      </w:r>
      <w:proofErr w:type="spellStart"/>
      <w:r>
        <w:rPr>
          <w:rFonts w:ascii="Arial" w:eastAsia="Arial" w:hAnsi="Arial" w:cs="Arial"/>
          <w:sz w:val="20"/>
        </w:rPr>
        <w:t>Anani</w:t>
      </w:r>
      <w:proofErr w:type="spellEnd"/>
      <w:r>
        <w:rPr>
          <w:rFonts w:ascii="Arial" w:eastAsia="Arial" w:hAnsi="Arial" w:cs="Arial"/>
          <w:sz w:val="20"/>
        </w:rPr>
        <w:t xml:space="preserve"> </w:t>
      </w:r>
      <w:r w:rsidR="0067113D" w:rsidRPr="0067113D">
        <w:rPr>
          <w:rFonts w:ascii="Arial" w:eastAsia="Arial" w:hAnsi="Arial" w:cs="Arial"/>
          <w:i/>
          <w:sz w:val="20"/>
        </w:rPr>
        <w:t>et al</w:t>
      </w:r>
      <w:r>
        <w:rPr>
          <w:rFonts w:ascii="Arial" w:eastAsia="Arial" w:hAnsi="Arial" w:cs="Arial"/>
          <w:sz w:val="20"/>
        </w:rPr>
        <w:t>., 2024).</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 xml:space="preserve">2.5 </w:t>
      </w:r>
      <w:proofErr w:type="gramStart"/>
      <w:r>
        <w:rPr>
          <w:rFonts w:ascii="Arial" w:eastAsia="Arial" w:hAnsi="Arial" w:cs="Arial"/>
          <w:b/>
        </w:rPr>
        <w:t xml:space="preserve">Fish </w:t>
      </w:r>
      <w:r w:rsidR="00BE43D4">
        <w:rPr>
          <w:rFonts w:ascii="Arial" w:eastAsia="Arial" w:hAnsi="Arial" w:cs="Arial"/>
          <w:b/>
        </w:rPr>
        <w:t xml:space="preserve"> Nursing</w:t>
      </w:r>
      <w:proofErr w:type="gramEnd"/>
      <w:r>
        <w:rPr>
          <w:rFonts w:ascii="Arial" w:eastAsia="Arial" w:hAnsi="Arial" w:cs="Arial"/>
          <w:b/>
        </w:rPr>
        <w:t xml:space="preserve"> System, Stocking and Feeding</w:t>
      </w:r>
    </w:p>
    <w:p w:rsidR="00196F0D" w:rsidRDefault="00196F0D">
      <w:pPr>
        <w:spacing w:after="0" w:line="240" w:lineRule="auto"/>
        <w:jc w:val="both"/>
        <w:rPr>
          <w:rFonts w:ascii="Arial" w:eastAsia="Arial" w:hAnsi="Arial" w:cs="Arial"/>
          <w:b/>
        </w:rPr>
      </w:pPr>
    </w:p>
    <w:p w:rsidR="00196F0D" w:rsidRPr="00A21CDA" w:rsidRDefault="00E01C14">
      <w:pPr>
        <w:spacing w:after="0" w:line="240" w:lineRule="auto"/>
        <w:jc w:val="both"/>
        <w:rPr>
          <w:rFonts w:ascii="Arial" w:eastAsia="Arial" w:hAnsi="Arial" w:cs="Arial"/>
          <w:sz w:val="20"/>
        </w:rPr>
      </w:pPr>
      <w:proofErr w:type="gramStart"/>
      <w:r>
        <w:rPr>
          <w:rFonts w:ascii="Arial" w:eastAsia="Arial" w:hAnsi="Arial" w:cs="Arial"/>
          <w:sz w:val="20"/>
        </w:rPr>
        <w:t xml:space="preserve">The </w:t>
      </w:r>
      <w:r w:rsidR="00BE43D4">
        <w:rPr>
          <w:rFonts w:ascii="Arial" w:eastAsia="Arial" w:hAnsi="Arial" w:cs="Arial"/>
          <w:sz w:val="20"/>
        </w:rPr>
        <w:t xml:space="preserve"> nursing</w:t>
      </w:r>
      <w:proofErr w:type="gramEnd"/>
      <w:r>
        <w:rPr>
          <w:rFonts w:ascii="Arial" w:eastAsia="Arial" w:hAnsi="Arial" w:cs="Arial"/>
          <w:sz w:val="20"/>
        </w:rPr>
        <w:t xml:space="preserve"> of the fingerlings was done in nine (9) fine mesh netting </w:t>
      </w:r>
      <w:proofErr w:type="spellStart"/>
      <w:r>
        <w:rPr>
          <w:rFonts w:ascii="Arial" w:eastAsia="Arial" w:hAnsi="Arial" w:cs="Arial"/>
          <w:sz w:val="20"/>
        </w:rPr>
        <w:t>hapas</w:t>
      </w:r>
      <w:proofErr w:type="spellEnd"/>
      <w:r>
        <w:rPr>
          <w:rFonts w:ascii="Arial" w:eastAsia="Arial" w:hAnsi="Arial" w:cs="Arial"/>
          <w:sz w:val="20"/>
        </w:rPr>
        <w:t xml:space="preserve"> each of dimensions 5.0 x 2.0 x 1.2 m (</w:t>
      </w:r>
      <w:proofErr w:type="spellStart"/>
      <w:r>
        <w:rPr>
          <w:rFonts w:ascii="Arial" w:eastAsia="Arial" w:hAnsi="Arial" w:cs="Arial"/>
          <w:sz w:val="20"/>
        </w:rPr>
        <w:t>i</w:t>
      </w:r>
      <w:proofErr w:type="spellEnd"/>
      <w:r>
        <w:rPr>
          <w:rFonts w:ascii="Arial" w:eastAsia="Arial" w:hAnsi="Arial" w:cs="Arial"/>
          <w:sz w:val="20"/>
        </w:rPr>
        <w:t xml:space="preserve">. e. length, width and height), installed along the lengths of a 0.2-hectare earthen pond; and each separated from the others at a distance of about 5 m. Each of the </w:t>
      </w:r>
      <w:proofErr w:type="spellStart"/>
      <w:r>
        <w:rPr>
          <w:rFonts w:ascii="Arial" w:eastAsia="Arial" w:hAnsi="Arial" w:cs="Arial"/>
          <w:sz w:val="20"/>
        </w:rPr>
        <w:t>hapas</w:t>
      </w:r>
      <w:proofErr w:type="spellEnd"/>
      <w:r>
        <w:rPr>
          <w:rFonts w:ascii="Arial" w:eastAsia="Arial" w:hAnsi="Arial" w:cs="Arial"/>
          <w:sz w:val="20"/>
        </w:rPr>
        <w:t xml:space="preserve"> was stocked with a total of randomly selected and weighed 60 fingerlings of both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in a ratio of 1:1. The </w:t>
      </w:r>
      <w:proofErr w:type="spellStart"/>
      <w:r>
        <w:rPr>
          <w:rFonts w:ascii="Arial" w:eastAsia="Arial" w:hAnsi="Arial" w:cs="Arial"/>
          <w:sz w:val="20"/>
        </w:rPr>
        <w:t>hapas</w:t>
      </w:r>
      <w:proofErr w:type="spellEnd"/>
      <w:r>
        <w:rPr>
          <w:rFonts w:ascii="Arial" w:eastAsia="Arial" w:hAnsi="Arial" w:cs="Arial"/>
          <w:sz w:val="20"/>
        </w:rPr>
        <w:t xml:space="preserve"> were randomly labelled according to feed type (</w:t>
      </w:r>
      <w:proofErr w:type="spellStart"/>
      <w:r>
        <w:rPr>
          <w:rFonts w:ascii="Arial" w:eastAsia="Arial" w:hAnsi="Arial" w:cs="Arial"/>
          <w:sz w:val="20"/>
        </w:rPr>
        <w:t>i</w:t>
      </w:r>
      <w:proofErr w:type="spellEnd"/>
      <w:r>
        <w:rPr>
          <w:rFonts w:ascii="Arial" w:eastAsia="Arial" w:hAnsi="Arial" w:cs="Arial"/>
          <w:sz w:val="20"/>
        </w:rPr>
        <w:t xml:space="preserve">. e. tilapia, </w:t>
      </w:r>
      <w:r w:rsidR="0067113D" w:rsidRPr="0067113D">
        <w:rPr>
          <w:rFonts w:ascii="Arial" w:eastAsia="Arial" w:hAnsi="Arial" w:cs="Arial"/>
          <w:i/>
          <w:sz w:val="20"/>
        </w:rPr>
        <w:t>A</w:t>
      </w:r>
      <w:r>
        <w:rPr>
          <w:rFonts w:ascii="Arial" w:eastAsia="Arial" w:hAnsi="Arial" w:cs="Arial"/>
          <w:sz w:val="20"/>
        </w:rPr>
        <w:t xml:space="preserve">; catfish, </w:t>
      </w:r>
      <w:r w:rsidR="0067113D" w:rsidRPr="0067113D">
        <w:rPr>
          <w:rFonts w:ascii="Arial" w:eastAsia="Arial" w:hAnsi="Arial" w:cs="Arial"/>
          <w:i/>
          <w:sz w:val="20"/>
        </w:rPr>
        <w:t>B</w:t>
      </w:r>
      <w:r>
        <w:rPr>
          <w:rFonts w:ascii="Arial" w:eastAsia="Arial" w:hAnsi="Arial" w:cs="Arial"/>
          <w:sz w:val="20"/>
        </w:rPr>
        <w:t xml:space="preserve"> and tilapia-catfish mixed feeds, </w:t>
      </w:r>
      <w:r w:rsidR="0067113D" w:rsidRPr="0067113D">
        <w:rPr>
          <w:rFonts w:ascii="Arial" w:eastAsia="Arial" w:hAnsi="Arial" w:cs="Arial"/>
          <w:i/>
          <w:sz w:val="20"/>
        </w:rPr>
        <w:t>C</w:t>
      </w:r>
      <w:r>
        <w:rPr>
          <w:rFonts w:ascii="Arial" w:eastAsia="Arial" w:hAnsi="Arial" w:cs="Arial"/>
          <w:sz w:val="20"/>
        </w:rPr>
        <w:t xml:space="preserve">). The fingerlings were fed manually at 10.0% of their body weight (biomass) three times (between 8:00-8:30 am, 12:00-12:30 pm and 4:00-4:30 pm) daily. The feeding rate was adjusted to 5.0% when fish in any of the </w:t>
      </w:r>
      <w:proofErr w:type="spellStart"/>
      <w:r>
        <w:rPr>
          <w:rFonts w:ascii="Arial" w:eastAsia="Arial" w:hAnsi="Arial" w:cs="Arial"/>
          <w:sz w:val="20"/>
        </w:rPr>
        <w:t>hapas</w:t>
      </w:r>
      <w:proofErr w:type="spellEnd"/>
      <w:r>
        <w:rPr>
          <w:rFonts w:ascii="Arial" w:eastAsia="Arial" w:hAnsi="Arial" w:cs="Arial"/>
          <w:sz w:val="20"/>
        </w:rPr>
        <w:t xml:space="preserve"> attained a mean weight of ≥ 5.0 g; and </w:t>
      </w:r>
      <w:proofErr w:type="gramStart"/>
      <w:r>
        <w:rPr>
          <w:rFonts w:ascii="Arial" w:eastAsia="Arial" w:hAnsi="Arial" w:cs="Arial"/>
          <w:sz w:val="20"/>
        </w:rPr>
        <w:t>finally</w:t>
      </w:r>
      <w:proofErr w:type="gramEnd"/>
      <w:r>
        <w:rPr>
          <w:rFonts w:ascii="Arial" w:eastAsia="Arial" w:hAnsi="Arial" w:cs="Arial"/>
          <w:sz w:val="20"/>
        </w:rPr>
        <w:t xml:space="preserve"> to 4.0% when the mean weight was above 20.0 g. Nevertheless, feeding frequency of 3 was maintained throughout </w:t>
      </w:r>
      <w:proofErr w:type="gramStart"/>
      <w:r>
        <w:rPr>
          <w:rFonts w:ascii="Arial" w:eastAsia="Arial" w:hAnsi="Arial" w:cs="Arial"/>
          <w:sz w:val="20"/>
        </w:rPr>
        <w:t xml:space="preserve">the </w:t>
      </w:r>
      <w:r w:rsidR="002367F4">
        <w:rPr>
          <w:rFonts w:ascii="Arial" w:eastAsia="Arial" w:hAnsi="Arial" w:cs="Arial"/>
          <w:sz w:val="20"/>
        </w:rPr>
        <w:t xml:space="preserve"> nursing</w:t>
      </w:r>
      <w:proofErr w:type="gramEnd"/>
      <w:r>
        <w:rPr>
          <w:rFonts w:ascii="Arial" w:eastAsia="Arial" w:hAnsi="Arial" w:cs="Arial"/>
          <w:sz w:val="20"/>
        </w:rPr>
        <w:t xml:space="preserve"> period.</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2.6 Water Quality Parameters and Fish Growth Monitoring</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Both water quality parameters and fish growth were monitored weekly. Monitoring of water quality parameters [temperature, pH, dissolved oxygen (DO), total ammonia and total alkalinity] were carried out in the experimental </w:t>
      </w:r>
      <w:proofErr w:type="spellStart"/>
      <w:r>
        <w:rPr>
          <w:rFonts w:ascii="Arial" w:eastAsia="Arial" w:hAnsi="Arial" w:cs="Arial"/>
          <w:sz w:val="20"/>
        </w:rPr>
        <w:t>hapas</w:t>
      </w:r>
      <w:proofErr w:type="spellEnd"/>
      <w:r>
        <w:rPr>
          <w:rFonts w:ascii="Arial" w:eastAsia="Arial" w:hAnsi="Arial" w:cs="Arial"/>
          <w:sz w:val="20"/>
        </w:rPr>
        <w:t xml:space="preserve"> as well as at the inlets and the outlets of the pond. Temperature, pH and DO were measured using pre-calibrated multi-parameter water quality meter, model HI 9828 (Hanna Instruments Ltd., Chicago, II, USA). Total ammonia and total alkalinity were measured using a spectrophotometer (UV mini-1240).</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 xml:space="preserve">The </w:t>
      </w:r>
      <w:r w:rsidR="004D109F">
        <w:rPr>
          <w:rFonts w:ascii="Arial" w:eastAsia="Arial" w:hAnsi="Arial" w:cs="Arial"/>
          <w:sz w:val="20"/>
        </w:rPr>
        <w:t xml:space="preserve"> nursed</w:t>
      </w:r>
      <w:proofErr w:type="gramEnd"/>
      <w:r>
        <w:rPr>
          <w:rFonts w:ascii="Arial" w:eastAsia="Arial" w:hAnsi="Arial" w:cs="Arial"/>
          <w:sz w:val="20"/>
        </w:rPr>
        <w:t xml:space="preserve"> fish were measured between 6:30 and 9:30 am by partially withdrawing each </w:t>
      </w:r>
      <w:proofErr w:type="spellStart"/>
      <w:r>
        <w:rPr>
          <w:rFonts w:ascii="Arial" w:eastAsia="Arial" w:hAnsi="Arial" w:cs="Arial"/>
          <w:sz w:val="20"/>
        </w:rPr>
        <w:t>hapa</w:t>
      </w:r>
      <w:proofErr w:type="spellEnd"/>
      <w:r>
        <w:rPr>
          <w:rFonts w:ascii="Arial" w:eastAsia="Arial" w:hAnsi="Arial" w:cs="Arial"/>
          <w:sz w:val="20"/>
        </w:rPr>
        <w:t xml:space="preserve"> from the pond to confine the fish at the bottom of the open end of the cover. All the fish in each </w:t>
      </w:r>
      <w:proofErr w:type="spellStart"/>
      <w:r>
        <w:rPr>
          <w:rFonts w:ascii="Arial" w:eastAsia="Arial" w:hAnsi="Arial" w:cs="Arial"/>
          <w:sz w:val="20"/>
        </w:rPr>
        <w:t>hapa</w:t>
      </w:r>
      <w:proofErr w:type="spellEnd"/>
      <w:r>
        <w:rPr>
          <w:rFonts w:ascii="Arial" w:eastAsia="Arial" w:hAnsi="Arial" w:cs="Arial"/>
          <w:sz w:val="20"/>
        </w:rPr>
        <w:t xml:space="preserve"> were netted and put into a large plastic bowl containing pond water. The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fingerlings were separately weighed in bulk batches of 10. Clogged </w:t>
      </w:r>
      <w:proofErr w:type="spellStart"/>
      <w:r>
        <w:rPr>
          <w:rFonts w:ascii="Arial" w:eastAsia="Arial" w:hAnsi="Arial" w:cs="Arial"/>
          <w:sz w:val="20"/>
        </w:rPr>
        <w:t>hapas</w:t>
      </w:r>
      <w:proofErr w:type="spellEnd"/>
      <w:r>
        <w:rPr>
          <w:rFonts w:ascii="Arial" w:eastAsia="Arial" w:hAnsi="Arial" w:cs="Arial"/>
          <w:sz w:val="20"/>
        </w:rPr>
        <w:t xml:space="preserve"> were cleaned with pond water to enhance water circulation. Biomass of fish in each </w:t>
      </w:r>
      <w:proofErr w:type="spellStart"/>
      <w:r>
        <w:rPr>
          <w:rFonts w:ascii="Arial" w:eastAsia="Arial" w:hAnsi="Arial" w:cs="Arial"/>
          <w:sz w:val="20"/>
        </w:rPr>
        <w:t>hapa</w:t>
      </w:r>
      <w:proofErr w:type="spellEnd"/>
      <w:r>
        <w:rPr>
          <w:rFonts w:ascii="Arial" w:eastAsia="Arial" w:hAnsi="Arial" w:cs="Arial"/>
          <w:sz w:val="20"/>
        </w:rPr>
        <w:t xml:space="preserve"> was computed and subsequently the quantity of each feed type for each fish group was adjusted accordingly. At week eleven ending, all the fish of the replicates of </w:t>
      </w:r>
      <w:r>
        <w:rPr>
          <w:rFonts w:ascii="Arial" w:eastAsia="Arial" w:hAnsi="Arial" w:cs="Arial"/>
          <w:sz w:val="20"/>
        </w:rPr>
        <w:lastRenderedPageBreak/>
        <w:t>each treatment were harvested, counted and weighed individually to determine survival and the final weights.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2.7 Growth Performance Indicators Computation</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Growth performance was determined in terms of survival rate (SR), weight gain (WG), specific growth rate (SGR), feed conversion ratio (FCR) and feed efficiency (FE) as follows: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 xml:space="preserve">2.7.1 Survival Rate (SR)    </w:t>
      </w:r>
    </w:p>
    <w:p w:rsidR="00196F0D" w:rsidRDefault="00196F0D">
      <w:pPr>
        <w:spacing w:after="0" w:line="240" w:lineRule="auto"/>
        <w:jc w:val="both"/>
        <w:rPr>
          <w:rFonts w:ascii="Arial" w:eastAsia="Arial" w:hAnsi="Arial" w:cs="Arial"/>
          <w:sz w:val="24"/>
        </w:rPr>
      </w:pPr>
    </w:p>
    <w:p w:rsidR="00196F0D" w:rsidRDefault="003F713C">
      <w:pPr>
        <w:spacing w:after="0" w:line="240" w:lineRule="auto"/>
        <w:jc w:val="center"/>
        <w:rPr>
          <w:rFonts w:ascii="Arial" w:eastAsia="Arial" w:hAnsi="Arial" w:cs="Arial"/>
          <w:b/>
          <w:i/>
          <w:sz w:val="20"/>
        </w:rPr>
      </w:pPr>
      <m:oMath>
        <m:r>
          <w:rPr>
            <w:rFonts w:ascii="Cambria Math" w:hAnsi="Cambria Math" w:cs="Arial"/>
            <w:sz w:val="20"/>
            <w:szCs w:val="20"/>
          </w:rPr>
          <m:t>SR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fish</m:t>
            </m:r>
            <m:r>
              <w:rPr>
                <w:rFonts w:ascii="Cambria Math" w:hAnsi="Arial" w:cs="Arial"/>
                <w:sz w:val="20"/>
                <w:szCs w:val="20"/>
              </w:rPr>
              <m:t xml:space="preserve"> </m:t>
            </m:r>
            <m:r>
              <w:rPr>
                <w:rFonts w:ascii="Cambria Math" w:hAnsi="Cambria Math" w:cs="Arial"/>
                <w:sz w:val="20"/>
                <w:szCs w:val="20"/>
              </w:rPr>
              <m:t>stocked-total</m:t>
            </m:r>
            <m:r>
              <w:rPr>
                <w:rFonts w:ascii="Cambria Math" w:hAnsi="Arial" w:cs="Arial"/>
                <w:sz w:val="20"/>
                <w:szCs w:val="20"/>
              </w:rPr>
              <m:t xml:space="preserve"> </m:t>
            </m:r>
            <m:r>
              <w:rPr>
                <w:rFonts w:ascii="Cambria Math" w:hAnsi="Cambria Math" w:cs="Arial"/>
                <w:sz w:val="20"/>
                <w:szCs w:val="20"/>
              </w:rPr>
              <m:t>mortality</m:t>
            </m:r>
            <m:r>
              <w:rPr>
                <w:rFonts w:ascii="Cambria Math" w:hAnsi="Arial" w:cs="Arial"/>
                <w:sz w:val="20"/>
                <w:szCs w:val="20"/>
              </w:rPr>
              <m:t xml:space="preserve">  </m:t>
            </m:r>
          </m:num>
          <m:den>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fingerlings </m:t>
            </m:r>
            <m:r>
              <w:rPr>
                <w:rFonts w:ascii="Cambria Math" w:hAnsi="Cambria Math" w:cs="Arial"/>
                <w:sz w:val="20"/>
                <w:szCs w:val="20"/>
              </w:rPr>
              <m:t>stocked</m:t>
            </m:r>
          </m:den>
        </m:f>
      </m:oMath>
      <w:r w:rsidR="00E01C14">
        <w:rPr>
          <w:rFonts w:ascii="Arial" w:eastAsia="Arial" w:hAnsi="Arial" w:cs="Arial"/>
          <w:b/>
          <w:i/>
          <w:sz w:val="20"/>
        </w:rPr>
        <w:t xml:space="preserve"> </w:t>
      </w:r>
      <w:r w:rsidR="00E01C14">
        <w:rPr>
          <w:rFonts w:ascii="Arial" w:eastAsia="Arial" w:hAnsi="Arial" w:cs="Arial"/>
          <w:i/>
          <w:sz w:val="20"/>
        </w:rPr>
        <w:t>x 100%</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2.7.2 Mean Weight Gain (MWG)</w:t>
      </w:r>
    </w:p>
    <w:p w:rsidR="00196F0D" w:rsidRDefault="00E01C14">
      <w:pPr>
        <w:spacing w:after="0" w:line="240" w:lineRule="auto"/>
        <w:jc w:val="both"/>
        <w:rPr>
          <w:rFonts w:ascii="Arial" w:eastAsia="Arial" w:hAnsi="Arial" w:cs="Arial"/>
          <w:sz w:val="24"/>
        </w:rPr>
      </w:pPr>
      <w:r>
        <w:rPr>
          <w:rFonts w:ascii="Arial" w:eastAsia="Arial" w:hAnsi="Arial" w:cs="Arial"/>
          <w:sz w:val="24"/>
        </w:rPr>
        <w:t xml:space="preserve">      </w:t>
      </w:r>
    </w:p>
    <w:p w:rsidR="00196F0D" w:rsidRDefault="00E01C14">
      <w:pPr>
        <w:spacing w:after="0" w:line="240" w:lineRule="auto"/>
        <w:jc w:val="both"/>
        <w:rPr>
          <w:rFonts w:ascii="Arial" w:eastAsia="Arial" w:hAnsi="Arial" w:cs="Arial"/>
          <w:sz w:val="20"/>
        </w:rPr>
      </w:pPr>
      <w:r>
        <w:rPr>
          <w:rFonts w:ascii="Arial" w:eastAsia="Arial" w:hAnsi="Arial" w:cs="Arial"/>
          <w:sz w:val="20"/>
        </w:rPr>
        <w:t>The MWG was computed as follows:</w:t>
      </w:r>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center"/>
        <w:rPr>
          <w:rFonts w:ascii="Arial" w:eastAsia="Arial" w:hAnsi="Arial" w:cs="Arial"/>
          <w:sz w:val="20"/>
        </w:rPr>
      </w:pPr>
    </w:p>
    <w:p w:rsidR="003F713C" w:rsidRPr="000220AB" w:rsidRDefault="003F713C" w:rsidP="003F713C">
      <w:pPr>
        <w:spacing w:after="0" w:line="240" w:lineRule="auto"/>
        <w:contextualSpacing/>
        <w:jc w:val="center"/>
        <w:rPr>
          <w:rFonts w:ascii="Arial" w:hAnsi="Arial" w:cs="Arial"/>
          <w:sz w:val="20"/>
          <w:szCs w:val="20"/>
        </w:rPr>
      </w:pPr>
      <w:bookmarkStart w:id="0" w:name="_Hlk121014453"/>
      <m:oMathPara>
        <m:oMath>
          <m:r>
            <w:rPr>
              <w:rFonts w:ascii="Cambria Math" w:hAnsi="Cambria Math" w:cs="Arial"/>
              <w:sz w:val="20"/>
              <w:szCs w:val="20"/>
            </w:rPr>
            <m:t>MWG</m:t>
          </m:r>
          <m:r>
            <w:rPr>
              <w:rFonts w:asciiTheme="majorHAnsi" w:hAnsi="Arial" w:cs="Arial"/>
              <w:sz w:val="20"/>
              <w:szCs w:val="20"/>
            </w:rPr>
            <m:t>=</m:t>
          </m:r>
          <m:r>
            <w:rPr>
              <w:rFonts w:ascii="Cambria Math" w:hAnsi="Cambria Math" w:cs="Arial"/>
              <w:sz w:val="20"/>
              <w:szCs w:val="20"/>
            </w:rPr>
            <m:t>final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d>
            <m:dPr>
              <m:ctrlPr>
                <w:rPr>
                  <w:rFonts w:asciiTheme="majorHAnsi" w:hAnsi="Arial" w:cs="Arial"/>
                  <w:i/>
                  <w:sz w:val="20"/>
                  <w:szCs w:val="20"/>
                </w:rPr>
              </m:ctrlPr>
            </m:dPr>
            <m:e>
              <m:r>
                <w:rPr>
                  <w:rFonts w:ascii="Cambria Math" w:hAnsi="Cambria Math" w:cs="Arial"/>
                  <w:sz w:val="20"/>
                  <w:szCs w:val="20"/>
                </w:rPr>
                <m:t>g</m:t>
              </m:r>
            </m:e>
          </m:d>
          <m:r>
            <w:rPr>
              <w:rFonts w:ascii="Arial" w:hAnsi="Arial" w:cs="Arial"/>
              <w:sz w:val="20"/>
              <w:szCs w:val="20"/>
            </w:rPr>
            <m:t>-</m:t>
          </m:r>
          <m:r>
            <w:rPr>
              <w:rFonts w:ascii="Cambria Math" w:hAnsi="Cambria Math" w:cs="Arial"/>
              <w:sz w:val="20"/>
              <w:szCs w:val="20"/>
            </w:rPr>
            <m:t>initial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r>
            <w:rPr>
              <w:rFonts w:ascii="Cambria Math" w:hAnsi="Cambria Math" w:cs="Arial"/>
              <w:sz w:val="20"/>
              <w:szCs w:val="20"/>
            </w:rPr>
            <m:t>g</m:t>
          </m:r>
          <m:r>
            <w:rPr>
              <w:rFonts w:asciiTheme="majorHAnsi" w:hAnsi="Arial" w:cs="Arial"/>
              <w:sz w:val="20"/>
              <w:szCs w:val="20"/>
            </w:rPr>
            <m:t>)</m:t>
          </m:r>
        </m:oMath>
      </m:oMathPara>
      <w:bookmarkEnd w:id="0"/>
    </w:p>
    <w:p w:rsidR="00F058BD" w:rsidRDefault="00F058BD">
      <w:pPr>
        <w:spacing w:after="0" w:line="240" w:lineRule="auto"/>
        <w:jc w:val="center"/>
        <w:rPr>
          <w:rFonts w:ascii="Arial" w:eastAsia="Arial" w:hAnsi="Arial" w:cs="Arial"/>
          <w:i/>
          <w:sz w:val="20"/>
        </w:rPr>
      </w:pPr>
    </w:p>
    <w:p w:rsidR="00196F0D" w:rsidRDefault="00196F0D">
      <w:pPr>
        <w:spacing w:after="0" w:line="240" w:lineRule="auto"/>
        <w:jc w:val="both"/>
        <w:rPr>
          <w:rFonts w:ascii="Arial" w:eastAsia="Arial" w:hAnsi="Arial" w:cs="Arial"/>
          <w:b/>
          <w:i/>
          <w:sz w:val="24"/>
        </w:rPr>
      </w:pPr>
    </w:p>
    <w:p w:rsidR="00196F0D" w:rsidRDefault="00E01C14">
      <w:pPr>
        <w:spacing w:after="0" w:line="240" w:lineRule="auto"/>
        <w:jc w:val="both"/>
        <w:rPr>
          <w:rFonts w:ascii="Arial" w:eastAsia="Arial" w:hAnsi="Arial" w:cs="Arial"/>
          <w:b/>
        </w:rPr>
      </w:pPr>
      <w:r>
        <w:rPr>
          <w:rFonts w:ascii="Arial" w:eastAsia="Arial" w:hAnsi="Arial" w:cs="Arial"/>
          <w:b/>
        </w:rPr>
        <w:t>2.7.3 Specific Growth Rate (SGR)</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The SGR is the instantaneous change in weight of the fish expressed as the percentage increase in body weight per day over any given time interval. It was calculated by taking natural logarithms of the fish body weight, and growth was expressed as percentage per day.</w:t>
      </w:r>
    </w:p>
    <w:p w:rsidR="00196F0D" w:rsidRDefault="00196F0D">
      <w:pPr>
        <w:spacing w:after="0" w:line="240" w:lineRule="auto"/>
        <w:jc w:val="both"/>
        <w:rPr>
          <w:rFonts w:ascii="Arial" w:eastAsia="Arial" w:hAnsi="Arial" w:cs="Arial"/>
          <w:sz w:val="20"/>
        </w:rPr>
      </w:pPr>
    </w:p>
    <w:p w:rsidR="003F713C" w:rsidRPr="000220AB" w:rsidRDefault="003F713C" w:rsidP="003F713C">
      <w:pPr>
        <w:spacing w:after="0" w:line="240" w:lineRule="auto"/>
        <w:contextualSpacing/>
        <w:jc w:val="center"/>
        <w:rPr>
          <w:rFonts w:ascii="Arial" w:hAnsi="Arial" w:cs="Arial"/>
          <w:sz w:val="20"/>
          <w:szCs w:val="20"/>
        </w:rPr>
      </w:pPr>
      <w:bookmarkStart w:id="1" w:name="_Hlk121014588"/>
      <m:oMathPara>
        <m:oMath>
          <m:r>
            <w:rPr>
              <w:rFonts w:ascii="Cambria Math" w:hAnsi="Cambria Math" w:cs="Arial"/>
              <w:sz w:val="20"/>
              <w:szCs w:val="20"/>
            </w:rPr>
            <m:t>SGR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final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m:t>
              </m:r>
            </m:num>
            <m:den>
              <m:r>
                <w:rPr>
                  <w:rFonts w:ascii="Cambria Math" w:hAnsi="Cambria Math" w:cs="Arial"/>
                  <w:sz w:val="20"/>
                  <w:szCs w:val="20"/>
                </w:rPr>
                <m:t>culture</m:t>
              </m:r>
              <m:r>
                <w:rPr>
                  <w:rFonts w:ascii="Cambria Math" w:hAnsi="Arial" w:cs="Arial"/>
                  <w:sz w:val="20"/>
                  <w:szCs w:val="20"/>
                </w:rPr>
                <m:t xml:space="preserve"> </m:t>
              </m:r>
              <m:r>
                <w:rPr>
                  <w:rFonts w:ascii="Cambria Math" w:hAnsi="Cambria Math" w:cs="Arial"/>
                  <w:sz w:val="20"/>
                  <w:szCs w:val="20"/>
                </w:rPr>
                <m:t>period</m:t>
              </m:r>
              <m:r>
                <w:rPr>
                  <w:rFonts w:ascii="Cambria Math" w:hAnsi="Arial" w:cs="Arial"/>
                  <w:sz w:val="20"/>
                  <w:szCs w:val="20"/>
                </w:rPr>
                <m:t xml:space="preserve"> (77 </m:t>
              </m:r>
              <m:r>
                <w:rPr>
                  <w:rFonts w:ascii="Cambria Math" w:hAnsi="Cambria Math" w:cs="Arial"/>
                  <w:sz w:val="20"/>
                  <w:szCs w:val="20"/>
                </w:rPr>
                <m:t>days</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m:t>
          </m:r>
        </m:oMath>
      </m:oMathPara>
    </w:p>
    <w:p w:rsidR="003F713C" w:rsidRPr="000220AB" w:rsidRDefault="003F713C" w:rsidP="003F713C">
      <w:pPr>
        <w:spacing w:after="0" w:line="240" w:lineRule="auto"/>
        <w:contextualSpacing/>
        <w:jc w:val="center"/>
        <w:rPr>
          <w:rFonts w:ascii="Arial" w:hAnsi="Arial" w:cs="Arial"/>
          <w:sz w:val="20"/>
          <w:szCs w:val="20"/>
        </w:rPr>
      </w:pPr>
      <w:bookmarkStart w:id="2" w:name="_Hlk121014633"/>
      <w:bookmarkEnd w:id="1"/>
    </w:p>
    <w:p w:rsidR="003F713C" w:rsidRPr="000220AB" w:rsidRDefault="003F713C" w:rsidP="003F713C">
      <w:pPr>
        <w:spacing w:after="0" w:line="240" w:lineRule="auto"/>
        <w:contextualSpacing/>
        <w:jc w:val="center"/>
        <w:rPr>
          <w:rFonts w:ascii="Arial" w:hAnsi="Arial" w:cs="Arial"/>
          <w:sz w:val="20"/>
          <w:szCs w:val="20"/>
        </w:rPr>
      </w:pPr>
      <m:oMathPara>
        <m:oMath>
          <m:r>
            <w:rPr>
              <w:rFonts w:ascii="Cambria Math" w:hAnsi="Cambria Math" w:cs="Arial"/>
              <w:sz w:val="20"/>
              <w:szCs w:val="20"/>
            </w:rPr>
            <m:t>W</m:t>
          </m:r>
          <m:r>
            <w:rPr>
              <w:rFonts w:ascii="Arial" w:hAnsi="Cambria Math" w:cs="Arial"/>
              <w:sz w:val="20"/>
              <w:szCs w:val="20"/>
            </w:rPr>
            <m:t>h</m:t>
          </m:r>
          <m:r>
            <w:rPr>
              <w:rFonts w:ascii="Cambria Math" w:hAnsi="Cambria Math" w:cs="Arial"/>
              <w:sz w:val="20"/>
              <w:szCs w:val="20"/>
            </w:rPr>
            <m:t>ere</m:t>
          </m:r>
          <m:r>
            <w:rPr>
              <w:rFonts w:ascii="Cambria Math" w:hAnsi="Arial" w:cs="Arial"/>
              <w:sz w:val="20"/>
              <w:szCs w:val="20"/>
            </w:rPr>
            <m:t xml:space="preserve"> </m:t>
          </m:r>
          <m:r>
            <w:rPr>
              <w:rFonts w:ascii="Cambria Math" w:hAnsi="Cambria Math" w:cs="Arial"/>
              <w:sz w:val="20"/>
              <w:szCs w:val="20"/>
            </w:rPr>
            <m:t>In</m:t>
          </m:r>
          <m:r>
            <w:rPr>
              <w:rFonts w:ascii="Cambria Math" w:hAnsi="Arial" w:cs="Arial"/>
              <w:sz w:val="20"/>
              <w:szCs w:val="20"/>
            </w:rPr>
            <m:t xml:space="preserve"> = </m:t>
          </m:r>
          <m:r>
            <w:rPr>
              <w:rFonts w:ascii="Cambria Math" w:hAnsi="Cambria Math" w:cs="Arial"/>
              <w:sz w:val="20"/>
              <w:szCs w:val="20"/>
            </w:rPr>
            <m:t>natural</m:t>
          </m:r>
          <m:r>
            <w:rPr>
              <w:rFonts w:ascii="Cambria Math" w:hAnsi="Arial" w:cs="Arial"/>
              <w:sz w:val="20"/>
              <w:szCs w:val="20"/>
            </w:rPr>
            <m:t xml:space="preserve"> </m:t>
          </m:r>
          <m:r>
            <w:rPr>
              <w:rFonts w:ascii="Cambria Math" w:hAnsi="Cambria Math" w:cs="Arial"/>
              <w:sz w:val="20"/>
              <w:szCs w:val="20"/>
            </w:rPr>
            <m:t>logarit</m:t>
          </m:r>
          <m:r>
            <w:rPr>
              <w:rFonts w:ascii="Arial" w:hAnsi="Cambria Math" w:cs="Arial"/>
              <w:sz w:val="20"/>
              <w:szCs w:val="20"/>
            </w:rPr>
            <m:t>h</m:t>
          </m:r>
          <m:r>
            <w:rPr>
              <w:rFonts w:ascii="Cambria Math" w:hAnsi="Cambria Math" w:cs="Arial"/>
              <w:sz w:val="20"/>
              <w:szCs w:val="20"/>
            </w:rPr>
            <m:t>m</m:t>
          </m:r>
        </m:oMath>
      </m:oMathPara>
      <w:bookmarkEnd w:id="2"/>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center"/>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2.7.4 Feed Conversion Ratio (FCR)</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FCR is defined as the quantity of dry feed fed per unit live weight of fish gain. It often serves as a measure of efficiency of a feed. It was computed as: </w:t>
      </w:r>
    </w:p>
    <w:p w:rsidR="00B84299" w:rsidRDefault="00B84299">
      <w:pPr>
        <w:spacing w:after="0" w:line="240" w:lineRule="auto"/>
        <w:jc w:val="both"/>
        <w:rPr>
          <w:rFonts w:ascii="Arial" w:eastAsia="Arial" w:hAnsi="Arial" w:cs="Arial"/>
          <w:sz w:val="20"/>
        </w:rPr>
      </w:pPr>
    </w:p>
    <w:p w:rsidR="00F058BD" w:rsidRDefault="00B84299">
      <w:pPr>
        <w:spacing w:after="0" w:line="240" w:lineRule="auto"/>
        <w:contextualSpacing/>
        <w:jc w:val="both"/>
        <w:rPr>
          <w:rFonts w:ascii="Arial" w:hAnsi="Arial" w:cs="Arial"/>
          <w:sz w:val="20"/>
          <w:szCs w:val="20"/>
        </w:rPr>
      </w:pPr>
      <m:oMathPara>
        <m:oMath>
          <m:r>
            <w:rPr>
              <w:rFonts w:ascii="Cambria Math" w:hAnsi="Cambria Math" w:cs="Arial"/>
              <w:sz w:val="20"/>
              <w:szCs w:val="20"/>
            </w:rPr>
            <m:t>F</m:t>
          </m:r>
          <w:bookmarkStart w:id="3" w:name="_Hlk121014930"/>
          <m:r>
            <w:rPr>
              <w:rFonts w:ascii="Cambria Math" w:hAnsi="Cambria Math" w:cs="Arial"/>
              <w:sz w:val="20"/>
              <w:szCs w:val="20"/>
            </w:rPr>
            <m:t>CR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den>
          </m:f>
        </m:oMath>
      </m:oMathPara>
      <w:bookmarkEnd w:id="3"/>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b/>
        </w:rPr>
      </w:pPr>
      <w:r>
        <w:rPr>
          <w:rFonts w:ascii="Arial" w:eastAsia="Arial" w:hAnsi="Arial" w:cs="Arial"/>
          <w:b/>
        </w:rPr>
        <w:t>2.7.5 Feed efficiency (FE)</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FE is simply the reciprocal of FCR (i.e. 1/FCR) times 100%. It was computed as: </w:t>
      </w:r>
    </w:p>
    <w:p w:rsidR="00196F0D" w:rsidRDefault="00196F0D">
      <w:pPr>
        <w:spacing w:after="0" w:line="240" w:lineRule="auto"/>
        <w:jc w:val="both"/>
        <w:rPr>
          <w:rFonts w:ascii="Arial" w:eastAsia="Arial" w:hAnsi="Arial" w:cs="Arial"/>
          <w:sz w:val="20"/>
        </w:rPr>
      </w:pPr>
    </w:p>
    <w:p w:rsidR="00B84299" w:rsidRPr="000220AB" w:rsidRDefault="00B84299" w:rsidP="00B84299">
      <w:pPr>
        <w:spacing w:after="0" w:line="240" w:lineRule="auto"/>
        <w:contextualSpacing/>
        <w:jc w:val="both"/>
        <w:rPr>
          <w:rFonts w:ascii="Arial" w:hAnsi="Arial" w:cs="Arial"/>
          <w:sz w:val="20"/>
          <w:szCs w:val="20"/>
        </w:rPr>
      </w:pPr>
      <w:bookmarkStart w:id="4" w:name="_Hlk121015167"/>
      <m:oMathPara>
        <m:oMath>
          <m:r>
            <w:rPr>
              <w:rFonts w:ascii="Cambria Math" w:hAnsi="Cambria Math" w:cs="Arial"/>
              <w:sz w:val="20"/>
              <w:szCs w:val="20"/>
            </w:rPr>
            <m:t>FE</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fingerlings</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  =</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FCR</m:t>
              </m:r>
            </m:den>
          </m:f>
          <m:r>
            <w:rPr>
              <w:rFonts w:ascii="Cambria Math" w:hAnsi="Cambria Math" w:cs="Arial"/>
              <w:sz w:val="20"/>
              <w:szCs w:val="20"/>
            </w:rPr>
            <m:t>x</m:t>
          </m:r>
          <m:r>
            <w:rPr>
              <w:rFonts w:ascii="Cambria Math" w:hAnsi="Arial" w:cs="Arial"/>
              <w:sz w:val="20"/>
              <w:szCs w:val="20"/>
            </w:rPr>
            <m:t xml:space="preserve"> 100%</m:t>
          </m:r>
        </m:oMath>
      </m:oMathPara>
    </w:p>
    <w:bookmarkEnd w:id="4"/>
    <w:p w:rsidR="00F058BD" w:rsidRDefault="00F058BD">
      <w:pPr>
        <w:spacing w:after="0" w:line="240" w:lineRule="auto"/>
        <w:jc w:val="center"/>
        <w:rPr>
          <w:rFonts w:ascii="Arial" w:eastAsia="Arial" w:hAnsi="Arial" w:cs="Arial"/>
          <w:sz w:val="20"/>
        </w:rPr>
      </w:pPr>
    </w:p>
    <w:p w:rsidR="00196F0D" w:rsidRDefault="00196F0D">
      <w:pPr>
        <w:spacing w:after="0" w:line="240" w:lineRule="auto"/>
        <w:jc w:val="both"/>
        <w:rPr>
          <w:rFonts w:ascii="Arial" w:eastAsia="Arial" w:hAnsi="Arial" w:cs="Arial"/>
          <w:b/>
          <w:sz w:val="24"/>
        </w:rPr>
      </w:pPr>
    </w:p>
    <w:p w:rsidR="00196F0D" w:rsidRDefault="00196F0D">
      <w:pPr>
        <w:spacing w:after="0" w:line="240" w:lineRule="auto"/>
        <w:jc w:val="both"/>
        <w:rPr>
          <w:rFonts w:ascii="Arial" w:eastAsia="Arial" w:hAnsi="Arial" w:cs="Arial"/>
        </w:rPr>
      </w:pPr>
    </w:p>
    <w:p w:rsidR="00196F0D" w:rsidRDefault="00E01C14">
      <w:pPr>
        <w:spacing w:after="0" w:line="240" w:lineRule="auto"/>
        <w:jc w:val="both"/>
        <w:rPr>
          <w:rFonts w:ascii="Arial" w:eastAsia="Arial" w:hAnsi="Arial" w:cs="Arial"/>
          <w:b/>
        </w:rPr>
      </w:pPr>
      <w:r>
        <w:rPr>
          <w:rFonts w:ascii="Arial" w:eastAsia="Arial" w:hAnsi="Arial" w:cs="Arial"/>
          <w:b/>
        </w:rPr>
        <w:lastRenderedPageBreak/>
        <w:t>2.8 Cost-</w:t>
      </w:r>
      <w:r w:rsidR="00B84299">
        <w:rPr>
          <w:rFonts w:ascii="Arial" w:eastAsia="Arial" w:hAnsi="Arial" w:cs="Arial"/>
          <w:b/>
        </w:rPr>
        <w:t>E</w:t>
      </w:r>
      <w:r>
        <w:rPr>
          <w:rFonts w:ascii="Arial" w:eastAsia="Arial" w:hAnsi="Arial" w:cs="Arial"/>
          <w:b/>
        </w:rPr>
        <w:t>ffectiveness Determination</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cost-effectiveness of </w:t>
      </w:r>
      <w:proofErr w:type="gramStart"/>
      <w:r>
        <w:rPr>
          <w:rFonts w:ascii="Arial" w:eastAsia="Arial" w:hAnsi="Arial" w:cs="Arial"/>
          <w:sz w:val="20"/>
        </w:rPr>
        <w:t xml:space="preserve">composite </w:t>
      </w:r>
      <w:r w:rsidR="00925A6C">
        <w:rPr>
          <w:rFonts w:ascii="Arial" w:eastAsia="Arial" w:hAnsi="Arial" w:cs="Arial"/>
          <w:sz w:val="20"/>
        </w:rPr>
        <w:t xml:space="preserve"> nursing</w:t>
      </w:r>
      <w:proofErr w:type="gramEnd"/>
      <w:r>
        <w:rPr>
          <w:rFonts w:ascii="Arial" w:eastAsia="Arial" w:hAnsi="Arial" w:cs="Arial"/>
          <w:sz w:val="20"/>
        </w:rPr>
        <w:t xml:space="preserve"> of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fingerlings in </w:t>
      </w:r>
      <w:proofErr w:type="spellStart"/>
      <w:r>
        <w:rPr>
          <w:rFonts w:ascii="Arial" w:eastAsia="Arial" w:hAnsi="Arial" w:cs="Arial"/>
          <w:sz w:val="20"/>
        </w:rPr>
        <w:t>hapa</w:t>
      </w:r>
      <w:proofErr w:type="spellEnd"/>
      <w:r>
        <w:rPr>
          <w:rFonts w:ascii="Arial" w:eastAsia="Arial" w:hAnsi="Arial" w:cs="Arial"/>
          <w:sz w:val="20"/>
        </w:rPr>
        <w:t>-in-pond system using commercial tilapia feed (</w:t>
      </w:r>
      <w:r w:rsidR="0067113D" w:rsidRPr="0067113D">
        <w:rPr>
          <w:rFonts w:ascii="Arial" w:eastAsia="Arial" w:hAnsi="Arial" w:cs="Arial"/>
          <w:i/>
          <w:sz w:val="20"/>
        </w:rPr>
        <w:t>A</w:t>
      </w:r>
      <w:r>
        <w:rPr>
          <w:rFonts w:ascii="Arial" w:eastAsia="Arial" w:hAnsi="Arial" w:cs="Arial"/>
          <w:sz w:val="20"/>
        </w:rPr>
        <w:t>), catfish feed (</w:t>
      </w:r>
      <w:r w:rsidR="0067113D" w:rsidRPr="0067113D">
        <w:rPr>
          <w:rFonts w:ascii="Arial" w:eastAsia="Arial" w:hAnsi="Arial" w:cs="Arial"/>
          <w:i/>
          <w:sz w:val="20"/>
        </w:rPr>
        <w:t>B</w:t>
      </w:r>
      <w:r>
        <w:rPr>
          <w:rFonts w:ascii="Arial" w:eastAsia="Arial" w:hAnsi="Arial" w:cs="Arial"/>
          <w:sz w:val="20"/>
        </w:rPr>
        <w:t>) and their equal mixture (</w:t>
      </w:r>
      <w:r w:rsidR="0067113D" w:rsidRPr="0067113D">
        <w:rPr>
          <w:rFonts w:ascii="Arial" w:eastAsia="Arial" w:hAnsi="Arial" w:cs="Arial"/>
          <w:i/>
          <w:sz w:val="20"/>
        </w:rPr>
        <w:t>C</w:t>
      </w:r>
      <w:r>
        <w:rPr>
          <w:rFonts w:ascii="Arial" w:eastAsia="Arial" w:hAnsi="Arial" w:cs="Arial"/>
          <w:sz w:val="20"/>
        </w:rPr>
        <w:t>) was assessed by employing simple economic analyses. Only feed costs were used in the computations with the assumption that all other costs of operations (</w:t>
      </w:r>
      <w:proofErr w:type="spellStart"/>
      <w:r>
        <w:rPr>
          <w:rFonts w:ascii="Arial" w:eastAsia="Arial" w:hAnsi="Arial" w:cs="Arial"/>
          <w:sz w:val="20"/>
        </w:rPr>
        <w:t>i</w:t>
      </w:r>
      <w:proofErr w:type="spellEnd"/>
      <w:r>
        <w:rPr>
          <w:rFonts w:ascii="Arial" w:eastAsia="Arial" w:hAnsi="Arial" w:cs="Arial"/>
          <w:sz w:val="20"/>
        </w:rPr>
        <w:t xml:space="preserve">. e.  </w:t>
      </w:r>
      <w:proofErr w:type="spellStart"/>
      <w:r>
        <w:rPr>
          <w:rFonts w:ascii="Arial" w:eastAsia="Arial" w:hAnsi="Arial" w:cs="Arial"/>
          <w:sz w:val="20"/>
        </w:rPr>
        <w:t>hapa</w:t>
      </w:r>
      <w:proofErr w:type="spellEnd"/>
      <w:r>
        <w:rPr>
          <w:rFonts w:ascii="Arial" w:eastAsia="Arial" w:hAnsi="Arial" w:cs="Arial"/>
          <w:sz w:val="20"/>
        </w:rPr>
        <w:t xml:space="preserve">, fingerlings, transport and </w:t>
      </w:r>
      <w:proofErr w:type="spellStart"/>
      <w:r>
        <w:rPr>
          <w:rFonts w:ascii="Arial" w:eastAsia="Arial" w:hAnsi="Arial" w:cs="Arial"/>
          <w:sz w:val="20"/>
        </w:rPr>
        <w:t>labour</w:t>
      </w:r>
      <w:proofErr w:type="spellEnd"/>
      <w:r>
        <w:rPr>
          <w:rFonts w:ascii="Arial" w:eastAsia="Arial" w:hAnsi="Arial" w:cs="Arial"/>
          <w:sz w:val="20"/>
        </w:rPr>
        <w:t>) were constant (</w:t>
      </w:r>
      <w:proofErr w:type="spellStart"/>
      <w:r>
        <w:rPr>
          <w:rFonts w:ascii="Arial" w:eastAsia="Arial" w:hAnsi="Arial" w:cs="Arial"/>
          <w:sz w:val="20"/>
        </w:rPr>
        <w:t>Anani</w:t>
      </w:r>
      <w:proofErr w:type="spellEnd"/>
      <w:r>
        <w:rPr>
          <w:rFonts w:ascii="Arial" w:eastAsia="Arial" w:hAnsi="Arial" w:cs="Arial"/>
          <w:sz w:val="20"/>
        </w:rPr>
        <w:t xml:space="preserve"> </w:t>
      </w:r>
      <w:r w:rsidR="0067113D" w:rsidRPr="0067113D">
        <w:rPr>
          <w:rFonts w:ascii="Arial" w:eastAsia="Arial" w:hAnsi="Arial" w:cs="Arial"/>
          <w:i/>
          <w:sz w:val="20"/>
        </w:rPr>
        <w:t>et al</w:t>
      </w:r>
      <w:r>
        <w:rPr>
          <w:rFonts w:ascii="Arial" w:eastAsia="Arial" w:hAnsi="Arial" w:cs="Arial"/>
          <w:sz w:val="20"/>
        </w:rPr>
        <w:t>., 2017).</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2.8.1 Incidence Cost (IC)</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Incidence cost, IC is the feed cost used to produce a </w:t>
      </w:r>
      <w:proofErr w:type="spellStart"/>
      <w:r>
        <w:rPr>
          <w:rFonts w:ascii="Arial" w:eastAsia="Arial" w:hAnsi="Arial" w:cs="Arial"/>
          <w:sz w:val="20"/>
        </w:rPr>
        <w:t>kilogramme</w:t>
      </w:r>
      <w:proofErr w:type="spellEnd"/>
      <w:r>
        <w:rPr>
          <w:rFonts w:ascii="Arial" w:eastAsia="Arial" w:hAnsi="Arial" w:cs="Arial"/>
          <w:sz w:val="20"/>
        </w:rPr>
        <w:t xml:space="preserve"> of fish (relative cost per unit weight gain), and the lower the value, the more profitable it is using a feed (Abu </w:t>
      </w:r>
      <w:r>
        <w:rPr>
          <w:rFonts w:ascii="Arial" w:eastAsia="Arial" w:hAnsi="Arial" w:cs="Arial"/>
          <w:i/>
          <w:sz w:val="20"/>
        </w:rPr>
        <w:t>et al.,</w:t>
      </w:r>
      <w:r>
        <w:rPr>
          <w:rFonts w:ascii="Arial" w:eastAsia="Arial" w:hAnsi="Arial" w:cs="Arial"/>
          <w:sz w:val="20"/>
        </w:rPr>
        <w:t xml:space="preserve"> 2010; </w:t>
      </w:r>
      <w:proofErr w:type="spellStart"/>
      <w:r>
        <w:rPr>
          <w:rFonts w:ascii="Arial" w:eastAsia="Arial" w:hAnsi="Arial" w:cs="Arial"/>
          <w:sz w:val="20"/>
        </w:rPr>
        <w:t>Anani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2024).</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It was computed as:   </w:t>
      </w:r>
    </w:p>
    <w:p w:rsidR="00BE0FFD" w:rsidRPr="0002715E" w:rsidRDefault="00BE0FFD" w:rsidP="00BE0FFD">
      <w:pPr>
        <w:autoSpaceDE w:val="0"/>
        <w:autoSpaceDN w:val="0"/>
        <w:adjustRightInd w:val="0"/>
        <w:spacing w:after="0" w:line="240" w:lineRule="auto"/>
        <w:contextualSpacing/>
        <w:jc w:val="center"/>
        <w:rPr>
          <w:rFonts w:ascii="Arial" w:hAnsi="Arial" w:cs="Arial"/>
          <w:sz w:val="20"/>
          <w:szCs w:val="20"/>
        </w:rPr>
      </w:pPr>
      <m:oMathPara>
        <m:oMath>
          <m:r>
            <w:rPr>
              <w:rFonts w:ascii="Cambria Math" w:hAnsi="Cambria Math" w:cs="Arial"/>
              <w:sz w:val="20"/>
              <w:szCs w:val="20"/>
            </w:rPr>
            <m:t>IC</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kg</m:t>
              </m:r>
              <m:r>
                <w:rPr>
                  <w:rFonts w:ascii="Cambria Math" w:hAnsi="Arial" w:cs="Arial"/>
                  <w:sz w:val="20"/>
                  <w:szCs w:val="20"/>
                </w:rPr>
                <m:t>)</m:t>
              </m:r>
            </m:den>
          </m:f>
        </m:oMath>
      </m:oMathPara>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2.8.2 Profit Index (PI)</w:t>
      </w:r>
    </w:p>
    <w:p w:rsidR="00196F0D" w:rsidRDefault="00196F0D">
      <w:pPr>
        <w:spacing w:after="0" w:line="240" w:lineRule="auto"/>
        <w:rPr>
          <w:rFonts w:ascii="Arial" w:eastAsia="Arial" w:hAnsi="Arial" w:cs="Arial"/>
          <w:sz w:val="24"/>
        </w:rPr>
      </w:pPr>
    </w:p>
    <w:p w:rsidR="00BE0FFD" w:rsidRPr="0002715E" w:rsidRDefault="00BE0FFD" w:rsidP="00BE0FFD">
      <w:pPr>
        <w:spacing w:after="0" w:line="240" w:lineRule="auto"/>
        <w:contextualSpacing/>
        <w:jc w:val="center"/>
        <w:rPr>
          <w:rFonts w:ascii="Arial" w:hAnsi="Arial" w:cs="Arial"/>
          <w:sz w:val="20"/>
          <w:szCs w:val="20"/>
        </w:rPr>
      </w:pPr>
      <m:oMathPara>
        <m:oMath>
          <m:r>
            <w:rPr>
              <w:rFonts w:ascii="Cambria Math" w:hAnsi="Cambria Math" w:cs="Arial"/>
              <w:sz w:val="20"/>
              <w:szCs w:val="20"/>
            </w:rPr>
            <m:t>PI</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value</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den>
          </m:f>
        </m:oMath>
      </m:oMathPara>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The value of juvenile fish was based on the prevailing hatchery price in the study area during the period of the study. The higher the PI of a feed, the more cost-effective (economical) it is (</w:t>
      </w:r>
      <w:proofErr w:type="spellStart"/>
      <w:r>
        <w:rPr>
          <w:rFonts w:ascii="Arial" w:eastAsia="Arial" w:hAnsi="Arial" w:cs="Arial"/>
          <w:sz w:val="20"/>
        </w:rPr>
        <w:t>Anani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2024).</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2.9 Data Analyses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All data on fish growth performance and feed utilization were statistically </w:t>
      </w:r>
      <w:proofErr w:type="spellStart"/>
      <w:r>
        <w:rPr>
          <w:rFonts w:ascii="Arial" w:eastAsia="Arial" w:hAnsi="Arial" w:cs="Arial"/>
          <w:sz w:val="20"/>
        </w:rPr>
        <w:t>analysed</w:t>
      </w:r>
      <w:proofErr w:type="spellEnd"/>
      <w:r>
        <w:rPr>
          <w:rFonts w:ascii="Arial" w:eastAsia="Arial" w:hAnsi="Arial" w:cs="Arial"/>
          <w:sz w:val="20"/>
        </w:rPr>
        <w:t xml:space="preserve"> using the SPSS version 22 (SPSS Inc., Armonk, NY, USA) software. To determine if the data were normally distributed and the variances were homogeneous, they were tested using the Kolmogorov-Smirnov and the </w:t>
      </w:r>
      <w:proofErr w:type="spellStart"/>
      <w:r>
        <w:rPr>
          <w:rFonts w:ascii="Arial" w:eastAsia="Arial" w:hAnsi="Arial" w:cs="Arial"/>
          <w:sz w:val="20"/>
        </w:rPr>
        <w:t>Levene’s</w:t>
      </w:r>
      <w:proofErr w:type="spellEnd"/>
      <w:r>
        <w:rPr>
          <w:rFonts w:ascii="Arial" w:eastAsia="Arial" w:hAnsi="Arial" w:cs="Arial"/>
          <w:sz w:val="20"/>
        </w:rPr>
        <w:t xml:space="preserve"> test for normality and homogeneity, respectively. All percentages and ratios were arcsine transformed prior to analyses. Statistical analyses were carried out using one-way analysis of variance (ANOVA).</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3. RESULTS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3.1 Feeds Proximate Composition</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In general, the </w:t>
      </w:r>
      <w:proofErr w:type="spellStart"/>
      <w:r>
        <w:rPr>
          <w:rFonts w:ascii="Arial" w:eastAsia="Arial" w:hAnsi="Arial" w:cs="Arial"/>
          <w:sz w:val="20"/>
        </w:rPr>
        <w:t>analysed</w:t>
      </w:r>
      <w:proofErr w:type="spellEnd"/>
      <w:r>
        <w:rPr>
          <w:rFonts w:ascii="Arial" w:eastAsia="Arial" w:hAnsi="Arial" w:cs="Arial"/>
          <w:sz w:val="20"/>
        </w:rPr>
        <w:t xml:space="preserve"> parameters of the tilapia and catfish feeds used for the study were similar to those declared by the producer whilst the parameters of the mixed feed were about half the sum of those of </w:t>
      </w:r>
      <w:proofErr w:type="gramStart"/>
      <w:r>
        <w:rPr>
          <w:rFonts w:ascii="Arial" w:eastAsia="Arial" w:hAnsi="Arial" w:cs="Arial"/>
          <w:sz w:val="20"/>
        </w:rPr>
        <w:t xml:space="preserve">the </w:t>
      </w:r>
      <w:r w:rsidR="00362E14">
        <w:rPr>
          <w:rFonts w:ascii="Arial" w:eastAsia="Arial" w:hAnsi="Arial" w:cs="Arial"/>
          <w:sz w:val="20"/>
        </w:rPr>
        <w:t xml:space="preserve"> 2</w:t>
      </w:r>
      <w:proofErr w:type="gramEnd"/>
      <w:r>
        <w:rPr>
          <w:rFonts w:ascii="Arial" w:eastAsia="Arial" w:hAnsi="Arial" w:cs="Arial"/>
          <w:sz w:val="20"/>
        </w:rPr>
        <w:t xml:space="preserve"> feed types (Table 2).</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center"/>
        <w:rPr>
          <w:rFonts w:ascii="Arial" w:eastAsia="Arial" w:hAnsi="Arial" w:cs="Arial"/>
          <w:b/>
          <w:sz w:val="20"/>
        </w:rPr>
      </w:pPr>
      <w:r>
        <w:rPr>
          <w:rFonts w:ascii="Arial" w:eastAsia="Arial" w:hAnsi="Arial" w:cs="Arial"/>
          <w:b/>
          <w:sz w:val="20"/>
        </w:rPr>
        <w:t>Table 2. Proximate composition (% as-fed), gross energy (kJ g</w:t>
      </w:r>
      <w:r>
        <w:rPr>
          <w:rFonts w:ascii="Arial" w:eastAsia="Arial" w:hAnsi="Arial" w:cs="Arial"/>
          <w:b/>
          <w:sz w:val="20"/>
          <w:vertAlign w:val="superscript"/>
        </w:rPr>
        <w:t>-1</w:t>
      </w:r>
      <w:r>
        <w:rPr>
          <w:rFonts w:ascii="Arial" w:eastAsia="Arial" w:hAnsi="Arial" w:cs="Arial"/>
          <w:b/>
          <w:sz w:val="20"/>
        </w:rPr>
        <w:t>) and price of unit weight (GHS kg</w:t>
      </w:r>
      <w:r>
        <w:rPr>
          <w:rFonts w:ascii="Arial" w:eastAsia="Arial" w:hAnsi="Arial" w:cs="Arial"/>
          <w:b/>
          <w:sz w:val="20"/>
          <w:vertAlign w:val="superscript"/>
        </w:rPr>
        <w:t>-1</w:t>
      </w:r>
      <w:r>
        <w:rPr>
          <w:rFonts w:ascii="Arial" w:eastAsia="Arial" w:hAnsi="Arial" w:cs="Arial"/>
          <w:b/>
          <w:sz w:val="20"/>
        </w:rPr>
        <w:t xml:space="preserve">) of the tilapia </w:t>
      </w:r>
      <w:proofErr w:type="gramStart"/>
      <w:r w:rsidR="00362E14">
        <w:rPr>
          <w:rFonts w:ascii="Arial" w:eastAsia="Arial" w:hAnsi="Arial" w:cs="Arial"/>
          <w:b/>
          <w:sz w:val="20"/>
        </w:rPr>
        <w:t xml:space="preserve">feed, </w:t>
      </w:r>
      <w:r>
        <w:rPr>
          <w:rFonts w:ascii="Arial" w:eastAsia="Arial" w:hAnsi="Arial" w:cs="Arial"/>
          <w:b/>
          <w:sz w:val="20"/>
        </w:rPr>
        <w:t xml:space="preserve"> catfish</w:t>
      </w:r>
      <w:proofErr w:type="gramEnd"/>
      <w:r>
        <w:rPr>
          <w:rFonts w:ascii="Arial" w:eastAsia="Arial" w:hAnsi="Arial" w:cs="Arial"/>
          <w:b/>
          <w:sz w:val="20"/>
        </w:rPr>
        <w:t xml:space="preserve"> feed and their equal mixture</w:t>
      </w:r>
      <w:r w:rsidR="00362E14">
        <w:rPr>
          <w:rFonts w:ascii="Arial" w:eastAsia="Arial" w:hAnsi="Arial" w:cs="Arial"/>
          <w:b/>
          <w:sz w:val="20"/>
        </w:rPr>
        <w:t xml:space="preserve"> used in the study</w:t>
      </w:r>
    </w:p>
    <w:tbl>
      <w:tblPr>
        <w:tblW w:w="0" w:type="auto"/>
        <w:tblInd w:w="98" w:type="dxa"/>
        <w:tblCellMar>
          <w:left w:w="10" w:type="dxa"/>
          <w:right w:w="10" w:type="dxa"/>
        </w:tblCellMar>
        <w:tblLook w:val="0000" w:firstRow="0" w:lastRow="0" w:firstColumn="0" w:lastColumn="0" w:noHBand="0" w:noVBand="0"/>
      </w:tblPr>
      <w:tblGrid>
        <w:gridCol w:w="2377"/>
        <w:gridCol w:w="2366"/>
        <w:gridCol w:w="2367"/>
        <w:gridCol w:w="2368"/>
      </w:tblGrid>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Parameter (%)</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Tilapia Feed (</w:t>
            </w:r>
            <w:r>
              <w:rPr>
                <w:rFonts w:ascii="Arial" w:eastAsia="Arial" w:hAnsi="Arial" w:cs="Arial"/>
                <w:i/>
                <w:sz w:val="20"/>
              </w:rPr>
              <w:t>A</w:t>
            </w:r>
            <w:r>
              <w:rPr>
                <w:rFonts w:ascii="Arial" w:eastAsia="Arial" w:hAnsi="Arial" w:cs="Arial"/>
                <w:sz w:val="20"/>
              </w:rPr>
              <w:t>)</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Catfish Feed (</w:t>
            </w:r>
            <w:r>
              <w:rPr>
                <w:rFonts w:ascii="Arial" w:eastAsia="Arial" w:hAnsi="Arial" w:cs="Arial"/>
                <w:i/>
                <w:sz w:val="20"/>
              </w:rPr>
              <w:t>B</w:t>
            </w:r>
            <w:r>
              <w:rPr>
                <w:rFonts w:ascii="Arial" w:eastAsia="Arial" w:hAnsi="Arial" w:cs="Arial"/>
                <w:sz w:val="20"/>
              </w:rPr>
              <w:t>)</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1:1 Mixture (</w:t>
            </w:r>
            <w:r>
              <w:rPr>
                <w:rFonts w:ascii="Arial" w:eastAsia="Arial" w:hAnsi="Arial" w:cs="Arial"/>
                <w:i/>
                <w:sz w:val="20"/>
              </w:rPr>
              <w:t>C</w:t>
            </w:r>
            <w:r>
              <w:rPr>
                <w:rFonts w:ascii="Arial" w:eastAsia="Arial" w:hAnsi="Arial" w:cs="Arial"/>
                <w:sz w:val="20"/>
              </w:rPr>
              <w:t>)</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 xml:space="preserve">Moisture </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8.7 ± 0.4</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8.5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8.6 ± 0.3</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Crude Protein</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42.8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41.7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42.6 ± 0.2</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Crude Fat</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4.4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8.3 ± 0.0</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7.1 ± 0.2</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 xml:space="preserve">Crude </w:t>
            </w:r>
            <w:proofErr w:type="spellStart"/>
            <w:r>
              <w:rPr>
                <w:rFonts w:ascii="Arial" w:eastAsia="Arial" w:hAnsi="Arial" w:cs="Arial"/>
                <w:sz w:val="20"/>
              </w:rPr>
              <w:t>Fibre</w:t>
            </w:r>
            <w:proofErr w:type="spellEnd"/>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5.1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6.2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5.4 ± 1.2</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Ash</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13.8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11.3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12.9 ± 0.4</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 xml:space="preserve">Carbohydrate </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25.2 ± 0.2</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24.0 ± 0.2</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25.2 ± 0.4</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lastRenderedPageBreak/>
              <w:t>Gross Energy</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16.2 ± 0.4</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17.3 ± 0.4</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16.8 ± 0.7</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Price</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 xml:space="preserve">   13.45</w:t>
            </w:r>
            <w:r>
              <w:rPr>
                <w:rFonts w:ascii="Arial" w:eastAsia="Arial" w:hAnsi="Arial" w:cs="Arial"/>
                <w:sz w:val="20"/>
              </w:rPr>
              <w:tab/>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15.30</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14.38</w:t>
            </w:r>
          </w:p>
        </w:tc>
      </w:tr>
    </w:tbl>
    <w:p w:rsidR="00196F0D" w:rsidRDefault="00E01C14">
      <w:pPr>
        <w:spacing w:after="0" w:line="240" w:lineRule="auto"/>
        <w:jc w:val="both"/>
        <w:rPr>
          <w:rFonts w:ascii="Arial" w:eastAsia="Arial" w:hAnsi="Arial" w:cs="Arial"/>
          <w:sz w:val="20"/>
        </w:rPr>
      </w:pPr>
      <w:r>
        <w:rPr>
          <w:rFonts w:ascii="Arial" w:eastAsia="Arial" w:hAnsi="Arial" w:cs="Arial"/>
          <w:sz w:val="20"/>
        </w:rPr>
        <w:t>Values are means ± standard deviations of three replicates; except those of prices.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computed gross energy contents of the feeds were similar and they were 16.2, 17.3 and </w:t>
      </w:r>
      <w:proofErr w:type="gramStart"/>
      <w:r>
        <w:rPr>
          <w:rFonts w:ascii="Arial" w:eastAsia="Arial" w:hAnsi="Arial" w:cs="Arial"/>
          <w:sz w:val="20"/>
        </w:rPr>
        <w:t>16.8  KJ</w:t>
      </w:r>
      <w:proofErr w:type="gramEnd"/>
      <w:r>
        <w:rPr>
          <w:rFonts w:ascii="Arial" w:eastAsia="Arial" w:hAnsi="Arial" w:cs="Arial"/>
          <w:sz w:val="20"/>
        </w:rPr>
        <w:t xml:space="preserve"> g</w:t>
      </w:r>
      <w:r>
        <w:rPr>
          <w:rFonts w:ascii="Arial" w:eastAsia="Arial" w:hAnsi="Arial" w:cs="Arial"/>
          <w:sz w:val="20"/>
          <w:vertAlign w:val="superscript"/>
        </w:rPr>
        <w:t>-1</w:t>
      </w:r>
      <w:r>
        <w:rPr>
          <w:rFonts w:ascii="Arial" w:eastAsia="Arial" w:hAnsi="Arial" w:cs="Arial"/>
          <w:sz w:val="20"/>
        </w:rPr>
        <w:t xml:space="preserve"> for tilapia, catfish and mixed feeds, respectively. The unit weight of the feeds ranged from 13.45 to 15.30 GHS kg</w:t>
      </w:r>
      <w:r>
        <w:rPr>
          <w:rFonts w:ascii="Arial" w:eastAsia="Arial" w:hAnsi="Arial" w:cs="Arial"/>
          <w:sz w:val="20"/>
          <w:vertAlign w:val="superscript"/>
        </w:rPr>
        <w:t>-1</w:t>
      </w:r>
      <w:r>
        <w:rPr>
          <w:rFonts w:ascii="Arial" w:eastAsia="Arial" w:hAnsi="Arial" w:cs="Arial"/>
          <w:sz w:val="20"/>
        </w:rPr>
        <w:t xml:space="preserve"> with that of the catfish being the highest and the tilapia, the least.</w:t>
      </w:r>
    </w:p>
    <w:p w:rsidR="00196F0D" w:rsidRDefault="00E01C14">
      <w:pPr>
        <w:spacing w:after="0" w:line="240" w:lineRule="auto"/>
        <w:jc w:val="both"/>
        <w:rPr>
          <w:rFonts w:ascii="Arial" w:eastAsia="Arial" w:hAnsi="Arial" w:cs="Arial"/>
          <w:sz w:val="24"/>
        </w:rPr>
      </w:pPr>
      <w:r>
        <w:rPr>
          <w:rFonts w:ascii="Arial" w:eastAsia="Arial" w:hAnsi="Arial" w:cs="Arial"/>
          <w:sz w:val="24"/>
        </w:rPr>
        <w:tab/>
      </w:r>
    </w:p>
    <w:p w:rsidR="00196F0D" w:rsidRDefault="00E01C14">
      <w:pPr>
        <w:spacing w:after="0" w:line="240" w:lineRule="auto"/>
        <w:jc w:val="both"/>
        <w:rPr>
          <w:rFonts w:ascii="Arial" w:eastAsia="Arial" w:hAnsi="Arial" w:cs="Arial"/>
          <w:b/>
        </w:rPr>
      </w:pPr>
      <w:r>
        <w:rPr>
          <w:rFonts w:ascii="Arial" w:eastAsia="Arial" w:hAnsi="Arial" w:cs="Arial"/>
          <w:b/>
        </w:rPr>
        <w:t>3.2 Growth Performance and Feed Utilization</w:t>
      </w:r>
    </w:p>
    <w:p w:rsidR="00196F0D" w:rsidRDefault="00196F0D">
      <w:pPr>
        <w:spacing w:after="0" w:line="240" w:lineRule="auto"/>
        <w:jc w:val="both"/>
        <w:rPr>
          <w:rFonts w:ascii="Arial" w:eastAsia="Arial" w:hAnsi="Arial" w:cs="Arial"/>
          <w:b/>
        </w:rPr>
      </w:pPr>
    </w:p>
    <w:p w:rsidR="00196F0D" w:rsidRDefault="00E01C14">
      <w:pPr>
        <w:keepNext/>
        <w:spacing w:after="0" w:line="240" w:lineRule="auto"/>
        <w:jc w:val="both"/>
        <w:rPr>
          <w:rFonts w:ascii="Arial" w:eastAsia="Arial" w:hAnsi="Arial" w:cs="Arial"/>
          <w:sz w:val="20"/>
        </w:rPr>
      </w:pPr>
      <w:r>
        <w:rPr>
          <w:rFonts w:ascii="Arial" w:eastAsia="Arial" w:hAnsi="Arial" w:cs="Arial"/>
          <w:sz w:val="20"/>
        </w:rPr>
        <w:t xml:space="preserve">The growth performance and feed utilization by the </w:t>
      </w:r>
      <w:proofErr w:type="gramStart"/>
      <w:r>
        <w:rPr>
          <w:rFonts w:ascii="Arial" w:eastAsia="Arial" w:hAnsi="Arial" w:cs="Arial"/>
          <w:sz w:val="20"/>
        </w:rPr>
        <w:t xml:space="preserve">composite </w:t>
      </w:r>
      <w:r w:rsidR="00B21188">
        <w:rPr>
          <w:rFonts w:ascii="Arial" w:eastAsia="Arial" w:hAnsi="Arial" w:cs="Arial"/>
          <w:sz w:val="20"/>
        </w:rPr>
        <w:t xml:space="preserve"> nursed</w:t>
      </w:r>
      <w:proofErr w:type="gramEnd"/>
      <w:r>
        <w:rPr>
          <w:rFonts w:ascii="Arial" w:eastAsia="Arial" w:hAnsi="Arial" w:cs="Arial"/>
          <w:sz w:val="20"/>
        </w:rPr>
        <w:t xml:space="preserve">  </w:t>
      </w:r>
      <w:r>
        <w:rPr>
          <w:rFonts w:ascii="Arial" w:eastAsia="Arial" w:hAnsi="Arial" w:cs="Arial"/>
          <w:i/>
          <w:sz w:val="20"/>
        </w:rPr>
        <w:t>O</w:t>
      </w:r>
      <w:r w:rsidR="00B21188">
        <w:rPr>
          <w:rFonts w:ascii="Arial" w:eastAsia="Arial" w:hAnsi="Arial" w:cs="Arial"/>
          <w:i/>
          <w:sz w:val="20"/>
        </w:rPr>
        <w:t xml:space="preserve">. </w:t>
      </w:r>
      <w:r>
        <w:rPr>
          <w:rFonts w:ascii="Arial" w:eastAsia="Arial" w:hAnsi="Arial" w:cs="Arial"/>
          <w:i/>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w:t>
      </w:r>
      <w:proofErr w:type="gramStart"/>
      <w:r>
        <w:rPr>
          <w:rFonts w:ascii="Arial" w:eastAsia="Arial" w:hAnsi="Arial" w:cs="Arial"/>
          <w:sz w:val="20"/>
        </w:rPr>
        <w:t xml:space="preserve">and  </w:t>
      </w:r>
      <w:r>
        <w:rPr>
          <w:rFonts w:ascii="Arial" w:eastAsia="Arial" w:hAnsi="Arial" w:cs="Arial"/>
          <w:i/>
          <w:sz w:val="20"/>
        </w:rPr>
        <w:t>C</w:t>
      </w:r>
      <w:r w:rsidR="00B21188">
        <w:rPr>
          <w:rFonts w:ascii="Arial" w:eastAsia="Arial" w:hAnsi="Arial" w:cs="Arial"/>
          <w:i/>
          <w:sz w:val="20"/>
        </w:rPr>
        <w:t>.</w:t>
      </w:r>
      <w:proofErr w:type="gramEnd"/>
      <w:r w:rsidR="00B21188">
        <w:rPr>
          <w:rFonts w:ascii="Arial" w:eastAsia="Arial" w:hAnsi="Arial" w:cs="Arial"/>
          <w:i/>
          <w:sz w:val="20"/>
        </w:rPr>
        <w:t xml:space="preserve"> </w:t>
      </w:r>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are shown in Table 3.</w:t>
      </w:r>
    </w:p>
    <w:p w:rsidR="00196F0D" w:rsidRDefault="00196F0D">
      <w:pPr>
        <w:keepNext/>
        <w:spacing w:after="0" w:line="240" w:lineRule="auto"/>
        <w:jc w:val="both"/>
        <w:rPr>
          <w:rFonts w:ascii="Arial" w:eastAsia="Arial" w:hAnsi="Arial" w:cs="Arial"/>
          <w:sz w:val="20"/>
        </w:rPr>
      </w:pPr>
    </w:p>
    <w:p w:rsidR="00196F0D" w:rsidRDefault="00E01C14">
      <w:pPr>
        <w:keepNext/>
        <w:spacing w:after="0" w:line="240" w:lineRule="auto"/>
        <w:jc w:val="center"/>
        <w:rPr>
          <w:rFonts w:ascii="Arial" w:eastAsia="Arial" w:hAnsi="Arial" w:cs="Arial"/>
          <w:b/>
          <w:sz w:val="20"/>
        </w:rPr>
      </w:pPr>
      <w:r>
        <w:rPr>
          <w:rFonts w:ascii="Arial" w:eastAsia="Arial" w:hAnsi="Arial" w:cs="Arial"/>
          <w:b/>
          <w:sz w:val="20"/>
        </w:rPr>
        <w:t xml:space="preserve">Table 3. Growth performance and feed utilization of composite nursing of </w:t>
      </w:r>
      <w:r w:rsidR="00C47636">
        <w:rPr>
          <w:rFonts w:ascii="Arial" w:eastAsia="Arial" w:hAnsi="Arial" w:cs="Arial"/>
          <w:b/>
          <w:i/>
          <w:sz w:val="20"/>
        </w:rPr>
        <w:t xml:space="preserve">O. </w:t>
      </w:r>
      <w:proofErr w:type="spellStart"/>
      <w:r w:rsidR="00C47636">
        <w:rPr>
          <w:rFonts w:ascii="Arial" w:eastAsia="Arial" w:hAnsi="Arial" w:cs="Arial"/>
          <w:b/>
          <w:i/>
          <w:sz w:val="20"/>
        </w:rPr>
        <w:t>niloticus</w:t>
      </w:r>
      <w:proofErr w:type="spellEnd"/>
      <w:r w:rsidR="00C47636">
        <w:rPr>
          <w:rFonts w:ascii="Arial" w:eastAsia="Arial" w:hAnsi="Arial" w:cs="Arial"/>
          <w:b/>
          <w:i/>
          <w:sz w:val="20"/>
        </w:rPr>
        <w:t xml:space="preserve"> </w:t>
      </w:r>
      <w:proofErr w:type="gramStart"/>
      <w:r w:rsidR="00C47636">
        <w:rPr>
          <w:rFonts w:ascii="Arial" w:eastAsia="Arial" w:hAnsi="Arial" w:cs="Arial"/>
          <w:b/>
          <w:sz w:val="20"/>
        </w:rPr>
        <w:t xml:space="preserve">and </w:t>
      </w:r>
      <w:r>
        <w:rPr>
          <w:rFonts w:ascii="Arial" w:eastAsia="Arial" w:hAnsi="Arial" w:cs="Arial"/>
          <w:b/>
          <w:sz w:val="20"/>
        </w:rPr>
        <w:t xml:space="preserve"> </w:t>
      </w:r>
      <w:proofErr w:type="spellStart"/>
      <w:r>
        <w:rPr>
          <w:rFonts w:ascii="Arial" w:eastAsia="Arial" w:hAnsi="Arial" w:cs="Arial"/>
          <w:b/>
          <w:sz w:val="20"/>
        </w:rPr>
        <w:t>and</w:t>
      </w:r>
      <w:proofErr w:type="spellEnd"/>
      <w:proofErr w:type="gramEnd"/>
      <w:r>
        <w:rPr>
          <w:rFonts w:ascii="Arial" w:eastAsia="Arial" w:hAnsi="Arial" w:cs="Arial"/>
          <w:b/>
          <w:sz w:val="20"/>
        </w:rPr>
        <w:t xml:space="preserve"> </w:t>
      </w:r>
      <w:r w:rsidR="00C47636">
        <w:rPr>
          <w:rFonts w:ascii="Arial" w:eastAsia="Arial" w:hAnsi="Arial" w:cs="Arial"/>
          <w:b/>
          <w:sz w:val="20"/>
        </w:rPr>
        <w:t xml:space="preserve"> </w:t>
      </w:r>
      <w:r w:rsidR="00C47636">
        <w:rPr>
          <w:rFonts w:ascii="Arial" w:eastAsia="Arial" w:hAnsi="Arial" w:cs="Arial"/>
          <w:b/>
          <w:i/>
          <w:sz w:val="20"/>
        </w:rPr>
        <w:t xml:space="preserve">C. </w:t>
      </w:r>
      <w:proofErr w:type="spellStart"/>
      <w:r w:rsidR="00C47636">
        <w:rPr>
          <w:rFonts w:ascii="Arial" w:eastAsia="Arial" w:hAnsi="Arial" w:cs="Arial"/>
          <w:b/>
          <w:i/>
          <w:sz w:val="20"/>
        </w:rPr>
        <w:t>gariepinus</w:t>
      </w:r>
      <w:proofErr w:type="spellEnd"/>
      <w:r>
        <w:rPr>
          <w:rFonts w:ascii="Arial" w:eastAsia="Arial" w:hAnsi="Arial" w:cs="Arial"/>
          <w:b/>
          <w:sz w:val="20"/>
        </w:rPr>
        <w:t xml:space="preserve"> fingerlings in </w:t>
      </w:r>
      <w:proofErr w:type="spellStart"/>
      <w:r>
        <w:rPr>
          <w:rFonts w:ascii="Arial" w:eastAsia="Arial" w:hAnsi="Arial" w:cs="Arial"/>
          <w:b/>
          <w:sz w:val="20"/>
        </w:rPr>
        <w:t>hapa</w:t>
      </w:r>
      <w:proofErr w:type="spellEnd"/>
      <w:r>
        <w:rPr>
          <w:rFonts w:ascii="Arial" w:eastAsia="Arial" w:hAnsi="Arial" w:cs="Arial"/>
          <w:b/>
          <w:sz w:val="20"/>
        </w:rPr>
        <w:t>-in-pond system for 77 days</w:t>
      </w:r>
    </w:p>
    <w:tbl>
      <w:tblPr>
        <w:tblW w:w="0" w:type="auto"/>
        <w:jc w:val="center"/>
        <w:tblCellMar>
          <w:left w:w="10" w:type="dxa"/>
          <w:right w:w="10" w:type="dxa"/>
        </w:tblCellMar>
        <w:tblLook w:val="0000" w:firstRow="0" w:lastRow="0" w:firstColumn="0" w:lastColumn="0" w:noHBand="0" w:noVBand="0"/>
      </w:tblPr>
      <w:tblGrid>
        <w:gridCol w:w="2703"/>
        <w:gridCol w:w="1889"/>
        <w:gridCol w:w="1890"/>
        <w:gridCol w:w="1801"/>
      </w:tblGrid>
      <w:tr w:rsidR="009502E9" w:rsidTr="00F058BD">
        <w:trPr>
          <w:trHeight w:val="245"/>
          <w:jc w:val="center"/>
        </w:trPr>
        <w:tc>
          <w:tcPr>
            <w:tcW w:w="2703" w:type="dxa"/>
            <w:vMerge w:val="restart"/>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9502E9" w:rsidRDefault="009502E9">
            <w:pPr>
              <w:spacing w:after="0" w:line="240" w:lineRule="auto"/>
              <w:jc w:val="center"/>
            </w:pPr>
            <w:r>
              <w:rPr>
                <w:rFonts w:ascii="Arial" w:eastAsia="Arial" w:hAnsi="Arial" w:cs="Arial"/>
                <w:sz w:val="20"/>
              </w:rPr>
              <w:t xml:space="preserve">Parameter </w:t>
            </w:r>
          </w:p>
        </w:tc>
        <w:tc>
          <w:tcPr>
            <w:tcW w:w="5580" w:type="dxa"/>
            <w:gridSpan w:val="3"/>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9502E9" w:rsidRDefault="009502E9">
            <w:pPr>
              <w:spacing w:after="0" w:line="240" w:lineRule="auto"/>
              <w:jc w:val="center"/>
              <w:rPr>
                <w:rFonts w:ascii="Calibri" w:eastAsia="Calibri" w:hAnsi="Calibri" w:cs="Calibri"/>
              </w:rPr>
            </w:pPr>
            <w:r>
              <w:rPr>
                <w:rFonts w:ascii="Arial" w:eastAsia="Arial" w:hAnsi="Arial" w:cs="Arial"/>
                <w:sz w:val="20"/>
              </w:rPr>
              <w:t>Feed Type</w:t>
            </w:r>
          </w:p>
        </w:tc>
      </w:tr>
      <w:tr w:rsidR="00196F0D" w:rsidTr="00975A3A">
        <w:trPr>
          <w:trHeight w:val="245"/>
          <w:jc w:val="center"/>
        </w:trPr>
        <w:tc>
          <w:tcPr>
            <w:tcW w:w="2703" w:type="dxa"/>
            <w:vMerge/>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196F0D">
            <w:pPr>
              <w:rPr>
                <w:rFonts w:ascii="Calibri" w:eastAsia="Calibri" w:hAnsi="Calibri" w:cs="Calibri"/>
              </w:rPr>
            </w:pP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Tilapia Feed (</w:t>
            </w:r>
            <w:r>
              <w:rPr>
                <w:rFonts w:ascii="Arial" w:eastAsia="Arial" w:hAnsi="Arial" w:cs="Arial"/>
                <w:i/>
                <w:sz w:val="20"/>
              </w:rPr>
              <w:t>A</w:t>
            </w:r>
            <w:r>
              <w:rPr>
                <w:rFonts w:ascii="Arial" w:eastAsia="Arial" w:hAnsi="Arial" w:cs="Arial"/>
                <w:sz w:val="20"/>
              </w:rPr>
              <w:t xml:space="preserve">) </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Catfish Feed (</w:t>
            </w:r>
            <w:r>
              <w:rPr>
                <w:rFonts w:ascii="Arial" w:eastAsia="Arial" w:hAnsi="Arial" w:cs="Arial"/>
                <w:i/>
                <w:sz w:val="20"/>
              </w:rPr>
              <w:t>B</w:t>
            </w:r>
            <w:r>
              <w:rPr>
                <w:rFonts w:ascii="Arial" w:eastAsia="Arial" w:hAnsi="Arial" w:cs="Arial"/>
                <w:sz w:val="20"/>
              </w:rPr>
              <w:t>)</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1:1 Mixture (</w:t>
            </w:r>
            <w:r>
              <w:rPr>
                <w:rFonts w:ascii="Arial" w:eastAsia="Arial" w:hAnsi="Arial" w:cs="Arial"/>
                <w:i/>
                <w:sz w:val="20"/>
              </w:rPr>
              <w:t>C</w:t>
            </w:r>
            <w:r>
              <w:rPr>
                <w:rFonts w:ascii="Arial" w:eastAsia="Arial" w:hAnsi="Arial" w:cs="Arial"/>
                <w:sz w:val="20"/>
              </w:rPr>
              <w:t>)</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Nursed tilapia-catfish ratio </w:t>
            </w:r>
          </w:p>
          <w:p w:rsidR="00196F0D" w:rsidRDefault="00196F0D">
            <w:pPr>
              <w:spacing w:after="0" w:line="240" w:lineRule="auto"/>
              <w:jc w:val="both"/>
            </w:pP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30:30</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30:30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30:30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 xml:space="preserve">Combined </w:t>
            </w:r>
            <w:proofErr w:type="gramStart"/>
            <w:r>
              <w:rPr>
                <w:rFonts w:ascii="Arial" w:eastAsia="Arial" w:hAnsi="Arial" w:cs="Arial"/>
                <w:sz w:val="20"/>
              </w:rPr>
              <w:t>IMW  (</w:t>
            </w:r>
            <w:proofErr w:type="gramEnd"/>
            <w:r>
              <w:rPr>
                <w:rFonts w:ascii="Arial" w:eastAsia="Arial" w:hAnsi="Arial" w:cs="Arial"/>
                <w:sz w:val="20"/>
              </w:rPr>
              <w:t>g)</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1.34 ± 0.08</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1.31 ± 0.10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1.32 ± 0.10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1.36 ± 0.05</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1.30 ± 0.10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1.31 ± 0.10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1.32 ± 0.11</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1.32 ± 0.11</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1.32 ± 0.11</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Combined FMW (g)</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37.13 ± 4.55</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38.52 ± 6.00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34.60 ± 1.95</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42.43 ± 7.57</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46.85 ± 8.80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46.29 ± 0.48</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35.38 ± 1.61</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34.90 ± 2.73</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33.07 ± 3.84</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Combined MWG (g)</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35.79 ± 4.47</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37.21 ± 5.90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33.28 ± 1.90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41.07 ± 7.52</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45.55 ± 8.70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44.98 ± 8.70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34.06 ± 8.69</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33.58 ± 8.58</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31.75 ± 8.58</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Combined MSR (%)</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86.67 ± 4.41</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85.56 ± 5.36</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88.52 ± 5.01</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79.00 ± 10.15</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71.11 ± 7.70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79.26 ± 13.39</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95.74 ± 5.99</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98.89 ± 1.92</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98.89 ± 1.92</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Combined MSGR (% day</w:t>
            </w:r>
            <w:r>
              <w:rPr>
                <w:rFonts w:ascii="Arial" w:eastAsia="Arial" w:hAnsi="Arial" w:cs="Arial"/>
                <w:sz w:val="20"/>
                <w:vertAlign w:val="superscript"/>
              </w:rPr>
              <w:t>-1</w:t>
            </w:r>
            <w:r>
              <w:rPr>
                <w:rFonts w:ascii="Arial" w:eastAsia="Arial" w:hAnsi="Arial" w:cs="Arial"/>
                <w:sz w:val="20"/>
              </w:rPr>
              <w:t>)</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4.74 ± 0.10</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4.81 ± 0.12</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4.67 ± 0.10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4.47 ± 0.19</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4.71 ± 0.05</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4.62 ± 0.09</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4.26 ± 0.10</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4.26 ± 0.02</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4.18 ± 0.06</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color w:val="000000"/>
                <w:sz w:val="20"/>
              </w:rPr>
              <w:t>Combined MFCR</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1.01 ± 0.09</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1.00 ± 0.06</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1.08 ± 0.08</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color w:val="000000"/>
                <w:sz w:val="20"/>
              </w:rPr>
              <w:t>Combined MGY (kg hapa</w:t>
            </w:r>
            <w:r>
              <w:rPr>
                <w:rFonts w:ascii="Arial" w:eastAsia="Arial" w:hAnsi="Arial" w:cs="Arial"/>
                <w:color w:val="000000"/>
                <w:sz w:val="20"/>
                <w:vertAlign w:val="superscript"/>
              </w:rPr>
              <w:t>-1</w:t>
            </w:r>
            <w:r>
              <w:rPr>
                <w:rFonts w:ascii="Arial" w:eastAsia="Arial" w:hAnsi="Arial" w:cs="Arial"/>
                <w:color w:val="000000"/>
                <w:sz w:val="20"/>
              </w:rPr>
              <w:t>)</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color w:val="000000"/>
                <w:sz w:val="20"/>
              </w:rPr>
              <w:t>9.70 ± 0.30</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color w:val="000000"/>
                <w:sz w:val="20"/>
              </w:rPr>
              <w:t>9.90 ± 0.38</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color w:val="000000"/>
                <w:sz w:val="20"/>
              </w:rPr>
              <w:t>9.25 ± 0.19</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5.10 ± 0.17</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5.15 ± 0.19</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rPr>
                <w:rFonts w:ascii="Arial" w:eastAsia="Arial" w:hAnsi="Arial" w:cs="Arial"/>
                <w:sz w:val="20"/>
              </w:rPr>
            </w:pPr>
            <w:r>
              <w:rPr>
                <w:rFonts w:ascii="Arial" w:eastAsia="Arial" w:hAnsi="Arial" w:cs="Arial"/>
                <w:sz w:val="20"/>
              </w:rPr>
              <w:t>5.50 ± 0.10</w:t>
            </w:r>
          </w:p>
          <w:p w:rsidR="00196F0D" w:rsidRDefault="00196F0D">
            <w:pPr>
              <w:spacing w:after="0" w:line="240" w:lineRule="auto"/>
              <w:jc w:val="center"/>
            </w:pP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9502E9">
            <w:pPr>
              <w:spacing w:after="0" w:line="240" w:lineRule="auto"/>
              <w:jc w:val="center"/>
            </w:pPr>
            <w:r>
              <w:rPr>
                <w:rFonts w:ascii="Arial" w:eastAsia="Arial" w:hAnsi="Arial" w:cs="Arial"/>
                <w:sz w:val="20"/>
              </w:rPr>
              <w:t xml:space="preserve"> 4</w:t>
            </w:r>
            <w:r w:rsidR="00E01C14">
              <w:rPr>
                <w:rFonts w:ascii="Arial" w:eastAsia="Arial" w:hAnsi="Arial" w:cs="Arial"/>
                <w:sz w:val="20"/>
              </w:rPr>
              <w:t>.60 ± 0.21</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4.75 ± 0.22</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rPr>
                <w:rFonts w:ascii="Arial" w:eastAsia="Arial" w:hAnsi="Arial" w:cs="Arial"/>
                <w:sz w:val="20"/>
              </w:rPr>
            </w:pPr>
            <w:r>
              <w:rPr>
                <w:rFonts w:ascii="Arial" w:eastAsia="Arial" w:hAnsi="Arial" w:cs="Arial"/>
                <w:sz w:val="20"/>
              </w:rPr>
              <w:t>3.75 ± 0.19</w:t>
            </w:r>
          </w:p>
          <w:p w:rsidR="00196F0D" w:rsidRDefault="00196F0D">
            <w:pPr>
              <w:spacing w:after="0" w:line="240" w:lineRule="auto"/>
              <w:jc w:val="center"/>
            </w:pPr>
          </w:p>
        </w:tc>
      </w:tr>
    </w:tbl>
    <w:p w:rsidR="00196F0D" w:rsidRDefault="00E01C14">
      <w:pPr>
        <w:spacing w:after="0" w:line="240" w:lineRule="auto"/>
        <w:jc w:val="both"/>
        <w:rPr>
          <w:rFonts w:ascii="Arial" w:eastAsia="Arial" w:hAnsi="Arial" w:cs="Arial"/>
          <w:sz w:val="20"/>
        </w:rPr>
      </w:pPr>
      <w:r>
        <w:rPr>
          <w:rFonts w:ascii="Arial" w:eastAsia="Arial" w:hAnsi="Arial" w:cs="Arial"/>
          <w:sz w:val="20"/>
        </w:rPr>
        <w:t>IMW = initial mean weight; FMW = final mean weight; MWG = mean weight gain; MSR = mean survival rate; MSGR = mean specific growth rate; MGY = mean gross yield. Values are means ± standard deviations of three replicates.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There were no significant differences (ANOVA, </w:t>
      </w:r>
      <w:r>
        <w:rPr>
          <w:rFonts w:ascii="Arial" w:eastAsia="Arial" w:hAnsi="Arial" w:cs="Arial"/>
          <w:i/>
          <w:sz w:val="20"/>
        </w:rPr>
        <w:t xml:space="preserve">P </w:t>
      </w:r>
      <w:r>
        <w:rPr>
          <w:rFonts w:ascii="Arial" w:eastAsia="Arial" w:hAnsi="Arial" w:cs="Arial"/>
          <w:sz w:val="20"/>
        </w:rPr>
        <w:t xml:space="preserve">&gt; 0.05) in the computed growth performance indicators among the </w:t>
      </w:r>
      <w:proofErr w:type="gramStart"/>
      <w:r>
        <w:rPr>
          <w:rFonts w:ascii="Arial" w:eastAsia="Arial" w:hAnsi="Arial" w:cs="Arial"/>
          <w:sz w:val="20"/>
        </w:rPr>
        <w:t xml:space="preserve">composite </w:t>
      </w:r>
      <w:r w:rsidR="00EE6065">
        <w:rPr>
          <w:rFonts w:ascii="Arial" w:eastAsia="Arial" w:hAnsi="Arial" w:cs="Arial"/>
          <w:sz w:val="20"/>
        </w:rPr>
        <w:t xml:space="preserve"> nursed</w:t>
      </w:r>
      <w:proofErr w:type="gramEnd"/>
      <w:r>
        <w:rPr>
          <w:rFonts w:ascii="Arial" w:eastAsia="Arial" w:hAnsi="Arial" w:cs="Arial"/>
          <w:sz w:val="20"/>
        </w:rPr>
        <w:t xml:space="preserve">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fingerlings fed with tilapia feed only  (A), catfish feed only (B) or their 1:1 mixture (C). However, the combined highest final mean weight (FMW), mean weight gain (MWG), mean specific growth rate (MSGR) and mean gross yield (MGY) were recorded in </w:t>
      </w:r>
      <w:r w:rsidR="0067113D" w:rsidRPr="0067113D">
        <w:rPr>
          <w:rFonts w:ascii="Arial" w:eastAsia="Arial" w:hAnsi="Arial" w:cs="Arial"/>
          <w:i/>
          <w:sz w:val="20"/>
        </w:rPr>
        <w:t>B</w:t>
      </w:r>
      <w:r>
        <w:rPr>
          <w:rFonts w:ascii="Arial" w:eastAsia="Arial" w:hAnsi="Arial" w:cs="Arial"/>
          <w:sz w:val="20"/>
        </w:rPr>
        <w:t xml:space="preserve">. Combined mean survival rates ranged from 85.86 to 88.52%, with the highest recorded in </w:t>
      </w:r>
      <w:r w:rsidR="0067113D" w:rsidRPr="0067113D">
        <w:rPr>
          <w:rFonts w:ascii="Arial" w:eastAsia="Arial" w:hAnsi="Arial" w:cs="Arial"/>
          <w:i/>
          <w:sz w:val="20"/>
        </w:rPr>
        <w:t>C</w:t>
      </w:r>
      <w:r>
        <w:rPr>
          <w:rFonts w:ascii="Arial" w:eastAsia="Arial" w:hAnsi="Arial" w:cs="Arial"/>
          <w:sz w:val="20"/>
        </w:rPr>
        <w:t xml:space="preserve"> and the list in </w:t>
      </w:r>
      <w:r w:rsidR="0067113D" w:rsidRPr="0067113D">
        <w:rPr>
          <w:rFonts w:ascii="Arial" w:eastAsia="Arial" w:hAnsi="Arial" w:cs="Arial"/>
          <w:i/>
          <w:sz w:val="20"/>
        </w:rPr>
        <w:t>B</w:t>
      </w:r>
      <w:r>
        <w:rPr>
          <w:rFonts w:ascii="Arial" w:eastAsia="Arial" w:hAnsi="Arial" w:cs="Arial"/>
          <w:sz w:val="20"/>
        </w:rPr>
        <w:t xml:space="preserve">. The feed conversion ratios (FCRs) were generally low in all treatments, and the combined mean figures ranged from 1.00 ± 0.06 to 1.08 ± 0.08. In all treatments, both the MSGR and the </w:t>
      </w:r>
      <w:r>
        <w:rPr>
          <w:rFonts w:ascii="Arial" w:eastAsia="Arial" w:hAnsi="Arial" w:cs="Arial"/>
          <w:sz w:val="20"/>
        </w:rPr>
        <w:lastRenderedPageBreak/>
        <w:t xml:space="preserve">FMW of </w:t>
      </w:r>
      <w:r w:rsidR="00EE6065">
        <w:rPr>
          <w:rFonts w:ascii="Arial" w:eastAsia="Arial" w:hAnsi="Arial" w:cs="Arial"/>
          <w:i/>
          <w:sz w:val="20"/>
        </w:rPr>
        <w:t xml:space="preserve">O. </w:t>
      </w:r>
      <w:proofErr w:type="spellStart"/>
      <w:proofErr w:type="gramStart"/>
      <w:r w:rsidR="00EE6065">
        <w:rPr>
          <w:rFonts w:ascii="Arial" w:eastAsia="Arial" w:hAnsi="Arial" w:cs="Arial"/>
          <w:i/>
          <w:sz w:val="20"/>
        </w:rPr>
        <w:t>niloticus</w:t>
      </w:r>
      <w:proofErr w:type="spellEnd"/>
      <w:r w:rsidR="00EE6065">
        <w:rPr>
          <w:rFonts w:ascii="Arial" w:eastAsia="Arial" w:hAnsi="Arial" w:cs="Arial"/>
          <w:i/>
          <w:sz w:val="20"/>
        </w:rPr>
        <w:t xml:space="preserve"> </w:t>
      </w:r>
      <w:r>
        <w:rPr>
          <w:rFonts w:ascii="Arial" w:eastAsia="Arial" w:hAnsi="Arial" w:cs="Arial"/>
          <w:sz w:val="20"/>
        </w:rPr>
        <w:t xml:space="preserve"> were</w:t>
      </w:r>
      <w:proofErr w:type="gramEnd"/>
      <w:r>
        <w:rPr>
          <w:rFonts w:ascii="Arial" w:eastAsia="Arial" w:hAnsi="Arial" w:cs="Arial"/>
          <w:sz w:val="20"/>
        </w:rPr>
        <w:t xml:space="preserve"> higher than those of </w:t>
      </w:r>
      <w:r w:rsidR="00EE6065">
        <w:rPr>
          <w:rFonts w:ascii="Arial" w:eastAsia="Arial" w:hAnsi="Arial" w:cs="Arial"/>
          <w:i/>
          <w:sz w:val="20"/>
        </w:rPr>
        <w:t xml:space="preserve">C. </w:t>
      </w:r>
      <w:proofErr w:type="spellStart"/>
      <w:r w:rsidR="00EE6065">
        <w:rPr>
          <w:rFonts w:ascii="Arial" w:eastAsia="Arial" w:hAnsi="Arial" w:cs="Arial"/>
          <w:i/>
          <w:sz w:val="20"/>
        </w:rPr>
        <w:t>gariepinus</w:t>
      </w:r>
      <w:proofErr w:type="spellEnd"/>
      <w:r w:rsidR="00EE6065">
        <w:rPr>
          <w:rFonts w:ascii="Arial" w:eastAsia="Arial" w:hAnsi="Arial" w:cs="Arial"/>
          <w:i/>
          <w:sz w:val="20"/>
        </w:rPr>
        <w:t xml:space="preserve"> </w:t>
      </w:r>
      <w:r>
        <w:rPr>
          <w:rFonts w:ascii="Arial" w:eastAsia="Arial" w:hAnsi="Arial" w:cs="Arial"/>
          <w:sz w:val="20"/>
        </w:rPr>
        <w:t xml:space="preserve">. However, survivals of </w:t>
      </w:r>
      <w:r w:rsidR="00155F92">
        <w:rPr>
          <w:rFonts w:ascii="Arial" w:eastAsia="Arial" w:hAnsi="Arial" w:cs="Arial"/>
          <w:i/>
          <w:sz w:val="20"/>
        </w:rPr>
        <w:t xml:space="preserve">C. </w:t>
      </w:r>
      <w:proofErr w:type="spellStart"/>
      <w:r w:rsidR="00155F92">
        <w:rPr>
          <w:rFonts w:ascii="Arial" w:eastAsia="Arial" w:hAnsi="Arial" w:cs="Arial"/>
          <w:i/>
          <w:sz w:val="20"/>
        </w:rPr>
        <w:t>gariepinus</w:t>
      </w:r>
      <w:proofErr w:type="spellEnd"/>
      <w:r>
        <w:rPr>
          <w:rFonts w:ascii="Arial" w:eastAsia="Arial" w:hAnsi="Arial" w:cs="Arial"/>
          <w:sz w:val="20"/>
        </w:rPr>
        <w:t xml:space="preserve"> in all treatments were higher than their counterpart </w:t>
      </w:r>
      <w:r w:rsidR="00155F92">
        <w:rPr>
          <w:rFonts w:ascii="Arial" w:eastAsia="Arial" w:hAnsi="Arial" w:cs="Arial"/>
          <w:i/>
          <w:sz w:val="20"/>
        </w:rPr>
        <w:t xml:space="preserve">O. </w:t>
      </w:r>
      <w:proofErr w:type="spellStart"/>
      <w:r w:rsidR="00155F92">
        <w:rPr>
          <w:rFonts w:ascii="Arial" w:eastAsia="Arial" w:hAnsi="Arial" w:cs="Arial"/>
          <w:i/>
          <w:sz w:val="20"/>
        </w:rPr>
        <w:t>niloticus</w:t>
      </w:r>
      <w:proofErr w:type="spellEnd"/>
      <w:r>
        <w:rPr>
          <w:rFonts w:ascii="Arial" w:eastAsia="Arial" w:hAnsi="Arial" w:cs="Arial"/>
          <w:sz w:val="20"/>
        </w:rPr>
        <w:t>.</w:t>
      </w:r>
    </w:p>
    <w:p w:rsidR="00196F0D" w:rsidRDefault="00196F0D">
      <w:pPr>
        <w:spacing w:after="0" w:line="240" w:lineRule="auto"/>
        <w:jc w:val="both"/>
        <w:rPr>
          <w:rFonts w:ascii="Arial" w:eastAsia="Arial" w:hAnsi="Arial" w:cs="Arial"/>
        </w:rPr>
      </w:pPr>
    </w:p>
    <w:p w:rsidR="00196F0D" w:rsidRDefault="00E01C14">
      <w:pPr>
        <w:spacing w:after="0" w:line="240" w:lineRule="auto"/>
        <w:jc w:val="both"/>
        <w:rPr>
          <w:rFonts w:ascii="Arial" w:eastAsia="Arial" w:hAnsi="Arial" w:cs="Arial"/>
          <w:b/>
        </w:rPr>
      </w:pPr>
      <w:r>
        <w:rPr>
          <w:rFonts w:ascii="Arial" w:eastAsia="Arial" w:hAnsi="Arial" w:cs="Arial"/>
          <w:b/>
        </w:rPr>
        <w:t xml:space="preserve">3.3 </w:t>
      </w:r>
      <w:proofErr w:type="spellStart"/>
      <w:r>
        <w:rPr>
          <w:rFonts w:ascii="Arial" w:eastAsia="Arial" w:hAnsi="Arial" w:cs="Arial"/>
          <w:b/>
        </w:rPr>
        <w:t>Analysed</w:t>
      </w:r>
      <w:proofErr w:type="spellEnd"/>
      <w:r>
        <w:rPr>
          <w:rFonts w:ascii="Arial" w:eastAsia="Arial" w:hAnsi="Arial" w:cs="Arial"/>
          <w:b/>
        </w:rPr>
        <w:t xml:space="preserve"> Water Quality Parameters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There were no significant differences (ANOVA,</w:t>
      </w:r>
      <w:r w:rsidR="0067113D" w:rsidRPr="0067113D">
        <w:rPr>
          <w:rFonts w:ascii="Arial" w:eastAsia="Arial" w:hAnsi="Arial" w:cs="Arial"/>
          <w:i/>
          <w:sz w:val="20"/>
        </w:rPr>
        <w:t xml:space="preserve"> P</w:t>
      </w:r>
      <w:r>
        <w:rPr>
          <w:rFonts w:ascii="Arial" w:eastAsia="Arial" w:hAnsi="Arial" w:cs="Arial"/>
          <w:sz w:val="20"/>
        </w:rPr>
        <w:t xml:space="preserve"> &gt; 0.05) in </w:t>
      </w:r>
      <w:proofErr w:type="spellStart"/>
      <w:r>
        <w:rPr>
          <w:rFonts w:ascii="Arial" w:eastAsia="Arial" w:hAnsi="Arial" w:cs="Arial"/>
          <w:sz w:val="20"/>
        </w:rPr>
        <w:t>analysed</w:t>
      </w:r>
      <w:proofErr w:type="spellEnd"/>
      <w:r>
        <w:rPr>
          <w:rFonts w:ascii="Arial" w:eastAsia="Arial" w:hAnsi="Arial" w:cs="Arial"/>
          <w:sz w:val="20"/>
        </w:rPr>
        <w:t xml:space="preserve"> water quality parameters among treatments</w:t>
      </w:r>
      <w:r w:rsidR="00A62300">
        <w:rPr>
          <w:rFonts w:ascii="Arial" w:eastAsia="Arial" w:hAnsi="Arial" w:cs="Arial"/>
          <w:sz w:val="20"/>
        </w:rPr>
        <w:t xml:space="preserve"> (Table 4)</w:t>
      </w:r>
      <w:r>
        <w:rPr>
          <w:rFonts w:ascii="Arial" w:eastAsia="Arial" w:hAnsi="Arial" w:cs="Arial"/>
          <w:sz w:val="20"/>
        </w:rPr>
        <w:t>. The recorded range figures for temperature, pH, dissolved oxygen (DO), total ammonia and total alkalinity were 29.2-32.7 °C, 7.1-8.0, 6.6-9.7 mg L</w:t>
      </w:r>
      <w:r>
        <w:rPr>
          <w:rFonts w:ascii="Arial" w:eastAsia="Arial" w:hAnsi="Arial" w:cs="Arial"/>
          <w:sz w:val="20"/>
          <w:vertAlign w:val="superscript"/>
        </w:rPr>
        <w:t>−1</w:t>
      </w:r>
      <w:r>
        <w:rPr>
          <w:rFonts w:ascii="Arial" w:eastAsia="Arial" w:hAnsi="Arial" w:cs="Arial"/>
          <w:sz w:val="20"/>
        </w:rPr>
        <w:t>, 0.267-0.429 mg L</w:t>
      </w:r>
      <w:r>
        <w:rPr>
          <w:rFonts w:ascii="Arial" w:eastAsia="Arial" w:hAnsi="Arial" w:cs="Arial"/>
          <w:sz w:val="20"/>
          <w:vertAlign w:val="superscript"/>
        </w:rPr>
        <w:t>−1</w:t>
      </w:r>
      <w:r>
        <w:rPr>
          <w:rFonts w:ascii="Arial" w:eastAsia="Arial" w:hAnsi="Arial" w:cs="Arial"/>
          <w:sz w:val="20"/>
        </w:rPr>
        <w:t xml:space="preserve"> and 14.3-44.9 mg L</w:t>
      </w:r>
      <w:r>
        <w:rPr>
          <w:rFonts w:ascii="Arial" w:eastAsia="Arial" w:hAnsi="Arial" w:cs="Arial"/>
          <w:sz w:val="20"/>
          <w:vertAlign w:val="superscript"/>
        </w:rPr>
        <w:t>−1</w:t>
      </w:r>
      <w:r>
        <w:rPr>
          <w:rFonts w:ascii="Arial" w:eastAsia="Arial" w:hAnsi="Arial" w:cs="Arial"/>
          <w:sz w:val="20"/>
        </w:rPr>
        <w:t>, respectively. The corresponding range figures mean were 30.3 ± 0.8-32.7 ± 1.3 °C, 7.3 ± 0.4-7.7 ± 0.4, 6.3 ± 1.1-8.5 ± 0.9 mg L</w:t>
      </w:r>
      <w:r>
        <w:rPr>
          <w:rFonts w:ascii="Arial" w:eastAsia="Arial" w:hAnsi="Arial" w:cs="Arial"/>
          <w:sz w:val="20"/>
          <w:vertAlign w:val="superscript"/>
        </w:rPr>
        <w:t>−1</w:t>
      </w:r>
      <w:r>
        <w:rPr>
          <w:rFonts w:ascii="Arial" w:eastAsia="Arial" w:hAnsi="Arial" w:cs="Arial"/>
          <w:sz w:val="20"/>
        </w:rPr>
        <w:t>, 0.308 ± 0.03-0.365 ± 0.04 mg L</w:t>
      </w:r>
      <w:r>
        <w:rPr>
          <w:rFonts w:ascii="Arial" w:eastAsia="Arial" w:hAnsi="Arial" w:cs="Arial"/>
          <w:sz w:val="20"/>
          <w:vertAlign w:val="superscript"/>
        </w:rPr>
        <w:t>−1</w:t>
      </w:r>
      <w:r>
        <w:rPr>
          <w:rFonts w:ascii="Arial" w:eastAsia="Arial" w:hAnsi="Arial" w:cs="Arial"/>
          <w:sz w:val="20"/>
        </w:rPr>
        <w:t xml:space="preserve"> and 20.7 ± 7.7-38.11 ± 8.5 mg L</w:t>
      </w:r>
      <w:r>
        <w:rPr>
          <w:rFonts w:ascii="Arial" w:eastAsia="Arial" w:hAnsi="Arial" w:cs="Arial"/>
          <w:sz w:val="20"/>
          <w:vertAlign w:val="superscript"/>
        </w:rPr>
        <w:t>−1</w:t>
      </w:r>
      <w:r>
        <w:rPr>
          <w:rFonts w:ascii="Arial" w:eastAsia="Arial" w:hAnsi="Arial" w:cs="Arial"/>
          <w:sz w:val="20"/>
        </w:rPr>
        <w:t xml:space="preserve"> for temperature, pH, dissolved oxygen (DO), total ammonia and total alkalinity, </w:t>
      </w:r>
      <w:proofErr w:type="gramStart"/>
      <w:r>
        <w:rPr>
          <w:rFonts w:ascii="Arial" w:eastAsia="Arial" w:hAnsi="Arial" w:cs="Arial"/>
          <w:sz w:val="20"/>
        </w:rPr>
        <w:t>respectively..</w:t>
      </w:r>
      <w:proofErr w:type="gramEnd"/>
    </w:p>
    <w:p w:rsidR="00196F0D" w:rsidRDefault="00196F0D">
      <w:pPr>
        <w:spacing w:after="0" w:line="240" w:lineRule="auto"/>
        <w:jc w:val="both"/>
        <w:rPr>
          <w:rFonts w:ascii="Arial" w:eastAsia="Arial" w:hAnsi="Arial" w:cs="Arial"/>
          <w:sz w:val="24"/>
        </w:rPr>
      </w:pPr>
    </w:p>
    <w:p w:rsidR="00A62300" w:rsidRPr="00F3001F" w:rsidRDefault="00A62300" w:rsidP="00A62300">
      <w:pPr>
        <w:spacing w:after="0" w:line="240" w:lineRule="auto"/>
        <w:contextualSpacing/>
        <w:jc w:val="center"/>
        <w:rPr>
          <w:rFonts w:cstheme="minorHAnsi"/>
        </w:rPr>
      </w:pPr>
      <w:r w:rsidRPr="00F3001F">
        <w:rPr>
          <w:rFonts w:cstheme="minorHAnsi"/>
          <w:b/>
        </w:rPr>
        <w:t xml:space="preserve">Table </w:t>
      </w:r>
      <w:r>
        <w:rPr>
          <w:rFonts w:cstheme="minorHAnsi"/>
          <w:b/>
        </w:rPr>
        <w:t>4.</w:t>
      </w:r>
      <w:r w:rsidRPr="00F3001F">
        <w:rPr>
          <w:rFonts w:cstheme="minorHAnsi"/>
        </w:rPr>
        <w:t xml:space="preserve"> </w:t>
      </w:r>
      <w:r w:rsidR="0067113D" w:rsidRPr="0067113D">
        <w:rPr>
          <w:rFonts w:cstheme="minorHAnsi"/>
          <w:b/>
        </w:rPr>
        <w:t>Range and range figures mean of water quality parameters recorded among treatments during the study</w:t>
      </w:r>
    </w:p>
    <w:tbl>
      <w:tblPr>
        <w:tblStyle w:val="TableGrid"/>
        <w:tblW w:w="8820" w:type="dxa"/>
        <w:tblLayout w:type="fixed"/>
        <w:tblLook w:val="04A0" w:firstRow="1" w:lastRow="0" w:firstColumn="1" w:lastColumn="0" w:noHBand="0" w:noVBand="1"/>
      </w:tblPr>
      <w:tblGrid>
        <w:gridCol w:w="3150"/>
        <w:gridCol w:w="2700"/>
        <w:gridCol w:w="2970"/>
      </w:tblGrid>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Parameter</w:t>
            </w:r>
          </w:p>
        </w:tc>
        <w:tc>
          <w:tcPr>
            <w:tcW w:w="2700" w:type="dxa"/>
          </w:tcPr>
          <w:p w:rsidR="00A62300" w:rsidRPr="00A21CDA" w:rsidRDefault="00A62300" w:rsidP="003F713C">
            <w:pPr>
              <w:contextualSpacing/>
              <w:jc w:val="center"/>
              <w:rPr>
                <w:rFonts w:cstheme="minorHAnsi"/>
              </w:rPr>
            </w:pPr>
            <w:r w:rsidRPr="00A21CDA">
              <w:rPr>
                <w:rFonts w:cstheme="minorHAnsi"/>
              </w:rPr>
              <w:t>Range Figures</w:t>
            </w:r>
          </w:p>
        </w:tc>
        <w:tc>
          <w:tcPr>
            <w:tcW w:w="2970" w:type="dxa"/>
          </w:tcPr>
          <w:p w:rsidR="00A62300" w:rsidRPr="00A21CDA" w:rsidRDefault="00A62300" w:rsidP="003F713C">
            <w:pPr>
              <w:contextualSpacing/>
              <w:jc w:val="center"/>
              <w:rPr>
                <w:rFonts w:cstheme="minorHAnsi"/>
              </w:rPr>
            </w:pPr>
            <w:r w:rsidRPr="00A21CDA">
              <w:rPr>
                <w:rFonts w:cstheme="minorHAnsi"/>
              </w:rPr>
              <w:t>Range Figures Mean</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Temperature (</w:t>
            </w:r>
            <w:r w:rsidRPr="00F3001F">
              <w:rPr>
                <w:rFonts w:cstheme="minorHAnsi"/>
                <w:vertAlign w:val="superscript"/>
              </w:rPr>
              <w:t xml:space="preserve">o </w:t>
            </w:r>
            <w:r w:rsidRPr="00F3001F">
              <w:rPr>
                <w:rFonts w:cstheme="minorHAnsi"/>
              </w:rPr>
              <w:t>C)</w:t>
            </w:r>
          </w:p>
        </w:tc>
        <w:tc>
          <w:tcPr>
            <w:tcW w:w="2700" w:type="dxa"/>
          </w:tcPr>
          <w:p w:rsidR="00A62300" w:rsidRPr="00F3001F" w:rsidRDefault="00A62300" w:rsidP="003F713C">
            <w:pPr>
              <w:contextualSpacing/>
              <w:jc w:val="center"/>
              <w:rPr>
                <w:rFonts w:cstheme="minorHAnsi"/>
              </w:rPr>
            </w:pPr>
            <w:r w:rsidRPr="004B3FD7">
              <w:rPr>
                <w:rFonts w:cstheme="minorHAnsi"/>
              </w:rPr>
              <w:t>29.2-32.7</w:t>
            </w:r>
          </w:p>
        </w:tc>
        <w:tc>
          <w:tcPr>
            <w:tcW w:w="2970" w:type="dxa"/>
          </w:tcPr>
          <w:p w:rsidR="00A62300" w:rsidRPr="00F3001F" w:rsidRDefault="00A62300" w:rsidP="003F713C">
            <w:pPr>
              <w:contextualSpacing/>
              <w:jc w:val="center"/>
              <w:rPr>
                <w:rFonts w:cstheme="minorHAnsi"/>
              </w:rPr>
            </w:pPr>
            <w:r w:rsidRPr="004B3FD7">
              <w:rPr>
                <w:rFonts w:cstheme="minorHAnsi"/>
              </w:rPr>
              <w:t xml:space="preserve">30.3 ± 0.8-32.7 ± 1.3 </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pH</w:t>
            </w:r>
          </w:p>
        </w:tc>
        <w:tc>
          <w:tcPr>
            <w:tcW w:w="2700" w:type="dxa"/>
          </w:tcPr>
          <w:p w:rsidR="00A62300" w:rsidRPr="00F3001F" w:rsidRDefault="00A62300" w:rsidP="003F713C">
            <w:pPr>
              <w:contextualSpacing/>
              <w:jc w:val="center"/>
              <w:rPr>
                <w:rFonts w:cstheme="minorHAnsi"/>
              </w:rPr>
            </w:pPr>
            <w:r w:rsidRPr="004B3FD7">
              <w:rPr>
                <w:rFonts w:cstheme="minorHAnsi"/>
              </w:rPr>
              <w:t>7.1-8.0</w:t>
            </w:r>
          </w:p>
        </w:tc>
        <w:tc>
          <w:tcPr>
            <w:tcW w:w="2970" w:type="dxa"/>
          </w:tcPr>
          <w:p w:rsidR="00A62300" w:rsidRPr="00F3001F" w:rsidRDefault="00A62300" w:rsidP="003F713C">
            <w:pPr>
              <w:contextualSpacing/>
              <w:jc w:val="center"/>
              <w:rPr>
                <w:rFonts w:cstheme="minorHAnsi"/>
              </w:rPr>
            </w:pPr>
            <w:r w:rsidRPr="004B3FD7">
              <w:rPr>
                <w:rFonts w:cstheme="minorHAnsi"/>
              </w:rPr>
              <w:t>7.3 ± 0.4-7.7 ± 0.4</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Dissolved Oxygen (mg L</w:t>
            </w:r>
            <w:r w:rsidRPr="00F3001F">
              <w:rPr>
                <w:rFonts w:cstheme="minorHAnsi"/>
                <w:vertAlign w:val="superscript"/>
              </w:rPr>
              <w:t>-1</w:t>
            </w:r>
            <w:r w:rsidRPr="00F3001F">
              <w:rPr>
                <w:rFonts w:cstheme="minorHAnsi"/>
              </w:rPr>
              <w:t>)</w:t>
            </w:r>
          </w:p>
        </w:tc>
        <w:tc>
          <w:tcPr>
            <w:tcW w:w="2700" w:type="dxa"/>
          </w:tcPr>
          <w:p w:rsidR="00A62300" w:rsidRPr="00F3001F" w:rsidRDefault="00A62300" w:rsidP="003F713C">
            <w:pPr>
              <w:contextualSpacing/>
              <w:jc w:val="center"/>
              <w:rPr>
                <w:rFonts w:cstheme="minorHAnsi"/>
              </w:rPr>
            </w:pPr>
            <w:r w:rsidRPr="004B3FD7">
              <w:rPr>
                <w:rFonts w:cstheme="minorHAnsi"/>
              </w:rPr>
              <w:t>6.6-9.7</w:t>
            </w:r>
          </w:p>
        </w:tc>
        <w:tc>
          <w:tcPr>
            <w:tcW w:w="2970" w:type="dxa"/>
          </w:tcPr>
          <w:p w:rsidR="00A62300" w:rsidRPr="00F3001F" w:rsidRDefault="00A62300" w:rsidP="003F713C">
            <w:pPr>
              <w:contextualSpacing/>
              <w:jc w:val="center"/>
              <w:rPr>
                <w:rFonts w:cstheme="minorHAnsi"/>
              </w:rPr>
            </w:pPr>
            <w:r w:rsidRPr="004B3FD7">
              <w:rPr>
                <w:rFonts w:cstheme="minorHAnsi"/>
              </w:rPr>
              <w:t>6.3 ± 1.1-8.5 ± 0.9</w:t>
            </w:r>
          </w:p>
        </w:tc>
      </w:tr>
      <w:tr w:rsidR="00A62300" w:rsidRPr="00F3001F" w:rsidTr="00A21CDA">
        <w:tc>
          <w:tcPr>
            <w:tcW w:w="3150" w:type="dxa"/>
          </w:tcPr>
          <w:p w:rsidR="00A62300" w:rsidRPr="00F3001F" w:rsidRDefault="00A62300" w:rsidP="003F713C">
            <w:pPr>
              <w:contextualSpacing/>
              <w:rPr>
                <w:rFonts w:cstheme="minorHAnsi"/>
              </w:rPr>
            </w:pPr>
            <w:r>
              <w:rPr>
                <w:rFonts w:cstheme="minorHAnsi"/>
              </w:rPr>
              <w:t>Total ammonia</w:t>
            </w:r>
            <w:r w:rsidRPr="00F3001F">
              <w:rPr>
                <w:rFonts w:cstheme="minorHAnsi"/>
              </w:rPr>
              <w:t xml:space="preserve"> (mg L</w:t>
            </w:r>
            <w:r w:rsidRPr="00F3001F">
              <w:rPr>
                <w:rFonts w:cstheme="minorHAnsi"/>
                <w:vertAlign w:val="superscript"/>
              </w:rPr>
              <w:t>-1</w:t>
            </w:r>
            <w:r w:rsidRPr="00F3001F">
              <w:rPr>
                <w:rFonts w:cstheme="minorHAnsi"/>
              </w:rPr>
              <w:t>)</w:t>
            </w:r>
          </w:p>
        </w:tc>
        <w:tc>
          <w:tcPr>
            <w:tcW w:w="2700" w:type="dxa"/>
          </w:tcPr>
          <w:p w:rsidR="00A62300" w:rsidRPr="00F3001F" w:rsidRDefault="00A62300" w:rsidP="003F713C">
            <w:pPr>
              <w:contextualSpacing/>
              <w:jc w:val="center"/>
              <w:rPr>
                <w:rFonts w:cstheme="minorHAnsi"/>
              </w:rPr>
            </w:pPr>
            <w:r w:rsidRPr="004B3FD7">
              <w:rPr>
                <w:rFonts w:cstheme="minorHAnsi"/>
              </w:rPr>
              <w:t>0.267-0.429</w:t>
            </w:r>
          </w:p>
        </w:tc>
        <w:tc>
          <w:tcPr>
            <w:tcW w:w="2970" w:type="dxa"/>
          </w:tcPr>
          <w:p w:rsidR="00A62300" w:rsidRPr="00F3001F" w:rsidRDefault="00A62300" w:rsidP="003F713C">
            <w:pPr>
              <w:contextualSpacing/>
              <w:jc w:val="center"/>
              <w:rPr>
                <w:rFonts w:cstheme="minorHAnsi"/>
              </w:rPr>
            </w:pPr>
            <w:r w:rsidRPr="004B3FD7">
              <w:rPr>
                <w:rFonts w:cstheme="minorHAnsi"/>
              </w:rPr>
              <w:t>0.308 ± 0.03-0.365 ± 0.04</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Total Alkalinity (mg L</w:t>
            </w:r>
            <w:r w:rsidRPr="00F3001F">
              <w:rPr>
                <w:rFonts w:cstheme="minorHAnsi"/>
                <w:vertAlign w:val="superscript"/>
              </w:rPr>
              <w:t>-1</w:t>
            </w:r>
            <w:r w:rsidRPr="00F3001F">
              <w:rPr>
                <w:rFonts w:cstheme="minorHAnsi"/>
              </w:rPr>
              <w:t>)</w:t>
            </w:r>
          </w:p>
        </w:tc>
        <w:tc>
          <w:tcPr>
            <w:tcW w:w="2700" w:type="dxa"/>
          </w:tcPr>
          <w:p w:rsidR="00A62300" w:rsidRPr="00F3001F" w:rsidRDefault="00A62300" w:rsidP="003F713C">
            <w:pPr>
              <w:contextualSpacing/>
              <w:jc w:val="center"/>
              <w:rPr>
                <w:rFonts w:cstheme="minorHAnsi"/>
              </w:rPr>
            </w:pPr>
            <w:r w:rsidRPr="004B3FD7">
              <w:rPr>
                <w:rFonts w:cstheme="minorHAnsi"/>
              </w:rPr>
              <w:t>14.3-44.9</w:t>
            </w:r>
          </w:p>
        </w:tc>
        <w:tc>
          <w:tcPr>
            <w:tcW w:w="2970" w:type="dxa"/>
          </w:tcPr>
          <w:p w:rsidR="00A62300" w:rsidRPr="00F3001F" w:rsidRDefault="00A62300" w:rsidP="003F713C">
            <w:pPr>
              <w:contextualSpacing/>
              <w:jc w:val="center"/>
              <w:rPr>
                <w:rFonts w:cstheme="minorHAnsi"/>
              </w:rPr>
            </w:pPr>
            <w:r w:rsidRPr="004B3FD7">
              <w:rPr>
                <w:rFonts w:cstheme="minorHAnsi"/>
              </w:rPr>
              <w:t>20.7 ± 7.7-38.11 ± 8.5</w:t>
            </w:r>
          </w:p>
        </w:tc>
      </w:tr>
    </w:tbl>
    <w:p w:rsidR="00F058BD" w:rsidRDefault="00F058BD">
      <w:pPr>
        <w:spacing w:after="0" w:line="240" w:lineRule="auto"/>
        <w:jc w:val="center"/>
        <w:rPr>
          <w:rFonts w:ascii="Arial" w:eastAsia="Arial" w:hAnsi="Arial" w:cs="Arial"/>
          <w:sz w:val="24"/>
        </w:rPr>
      </w:pPr>
    </w:p>
    <w:p w:rsidR="00A62300" w:rsidRDefault="00A62300">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 xml:space="preserve">3.4 Cost-Effectiveness of Composite Nursing of </w:t>
      </w:r>
      <w:r>
        <w:rPr>
          <w:rFonts w:ascii="Arial" w:eastAsia="Arial" w:hAnsi="Arial" w:cs="Arial"/>
          <w:b/>
          <w:i/>
        </w:rPr>
        <w:t xml:space="preserve">O. </w:t>
      </w:r>
      <w:proofErr w:type="spellStart"/>
      <w:r>
        <w:rPr>
          <w:rFonts w:ascii="Arial" w:eastAsia="Arial" w:hAnsi="Arial" w:cs="Arial"/>
          <w:b/>
          <w:i/>
        </w:rPr>
        <w:t>niloticus</w:t>
      </w:r>
      <w:proofErr w:type="spellEnd"/>
      <w:r>
        <w:rPr>
          <w:rFonts w:ascii="Arial" w:eastAsia="Arial" w:hAnsi="Arial" w:cs="Arial"/>
          <w:b/>
        </w:rPr>
        <w:t xml:space="preserve"> and </w:t>
      </w:r>
      <w:r>
        <w:rPr>
          <w:rFonts w:ascii="Arial" w:eastAsia="Arial" w:hAnsi="Arial" w:cs="Arial"/>
          <w:b/>
          <w:i/>
        </w:rPr>
        <w:t xml:space="preserve">C. </w:t>
      </w:r>
      <w:proofErr w:type="spellStart"/>
      <w:r>
        <w:rPr>
          <w:rFonts w:ascii="Arial" w:eastAsia="Arial" w:hAnsi="Arial" w:cs="Arial"/>
          <w:b/>
          <w:i/>
        </w:rPr>
        <w:t>gariepinus</w:t>
      </w:r>
      <w:proofErr w:type="spellEnd"/>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cost analyses showed that it was less expensive (GHS12.96) using tilapia feed in 1:1 </w:t>
      </w:r>
      <w:proofErr w:type="gramStart"/>
      <w:r>
        <w:rPr>
          <w:rFonts w:ascii="Arial" w:eastAsia="Arial" w:hAnsi="Arial" w:cs="Arial"/>
          <w:sz w:val="20"/>
        </w:rPr>
        <w:t xml:space="preserve">composite </w:t>
      </w:r>
      <w:r w:rsidR="00AE77D1">
        <w:rPr>
          <w:rFonts w:ascii="Arial" w:eastAsia="Arial" w:hAnsi="Arial" w:cs="Arial"/>
          <w:sz w:val="20"/>
        </w:rPr>
        <w:t xml:space="preserve"> nursing</w:t>
      </w:r>
      <w:proofErr w:type="gramEnd"/>
      <w:r>
        <w:rPr>
          <w:rFonts w:ascii="Arial" w:eastAsia="Arial" w:hAnsi="Arial" w:cs="Arial"/>
          <w:sz w:val="20"/>
        </w:rPr>
        <w:t xml:space="preserve"> of </w:t>
      </w:r>
      <w:r w:rsidR="00AE77D1">
        <w:rPr>
          <w:rFonts w:ascii="Arial" w:eastAsia="Arial" w:hAnsi="Arial" w:cs="Arial"/>
          <w:i/>
          <w:sz w:val="20"/>
        </w:rPr>
        <w:t xml:space="preserve">O. </w:t>
      </w:r>
      <w:proofErr w:type="spellStart"/>
      <w:r w:rsidR="00AE77D1">
        <w:rPr>
          <w:rFonts w:ascii="Arial" w:eastAsia="Arial" w:hAnsi="Arial" w:cs="Arial"/>
          <w:i/>
          <w:sz w:val="20"/>
        </w:rPr>
        <w:t>niloticus</w:t>
      </w:r>
      <w:proofErr w:type="spellEnd"/>
      <w:r w:rsidR="00AE77D1">
        <w:rPr>
          <w:rFonts w:ascii="Arial" w:eastAsia="Arial" w:hAnsi="Arial" w:cs="Arial"/>
          <w:i/>
          <w:sz w:val="20"/>
        </w:rPr>
        <w:t xml:space="preserve"> </w:t>
      </w:r>
      <w:r>
        <w:rPr>
          <w:rFonts w:ascii="Arial" w:eastAsia="Arial" w:hAnsi="Arial" w:cs="Arial"/>
          <w:sz w:val="20"/>
        </w:rPr>
        <w:t xml:space="preserve"> and </w:t>
      </w:r>
      <w:r w:rsidR="00AE77D1">
        <w:rPr>
          <w:rFonts w:ascii="Arial" w:eastAsia="Arial" w:hAnsi="Arial" w:cs="Arial"/>
          <w:sz w:val="20"/>
        </w:rPr>
        <w:t xml:space="preserve"> </w:t>
      </w:r>
      <w:r w:rsidR="00AE77D1">
        <w:rPr>
          <w:rFonts w:ascii="Arial" w:eastAsia="Arial" w:hAnsi="Arial" w:cs="Arial"/>
          <w:i/>
          <w:sz w:val="20"/>
        </w:rPr>
        <w:t xml:space="preserve">C. </w:t>
      </w:r>
      <w:proofErr w:type="spellStart"/>
      <w:r w:rsidR="00AE77D1">
        <w:rPr>
          <w:rFonts w:ascii="Arial" w:eastAsia="Arial" w:hAnsi="Arial" w:cs="Arial"/>
          <w:i/>
          <w:sz w:val="20"/>
        </w:rPr>
        <w:t>gariepinus</w:t>
      </w:r>
      <w:proofErr w:type="spellEnd"/>
      <w:r w:rsidR="00AE77D1">
        <w:rPr>
          <w:rFonts w:ascii="Arial" w:eastAsia="Arial" w:hAnsi="Arial" w:cs="Arial"/>
          <w:sz w:val="20"/>
        </w:rPr>
        <w:t xml:space="preserve"> </w:t>
      </w:r>
      <w:r>
        <w:rPr>
          <w:rFonts w:ascii="Arial" w:eastAsia="Arial" w:hAnsi="Arial" w:cs="Arial"/>
          <w:sz w:val="20"/>
        </w:rPr>
        <w:t xml:space="preserve">fingerlings to produce a </w:t>
      </w:r>
      <w:proofErr w:type="spellStart"/>
      <w:r>
        <w:rPr>
          <w:rFonts w:ascii="Arial" w:eastAsia="Arial" w:hAnsi="Arial" w:cs="Arial"/>
          <w:sz w:val="20"/>
        </w:rPr>
        <w:t>kilogramme</w:t>
      </w:r>
      <w:proofErr w:type="spellEnd"/>
      <w:r>
        <w:rPr>
          <w:rFonts w:ascii="Arial" w:eastAsia="Arial" w:hAnsi="Arial" w:cs="Arial"/>
          <w:sz w:val="20"/>
        </w:rPr>
        <w:t xml:space="preserve"> fish weight compare to the use of either catfish feed or </w:t>
      </w:r>
      <w:r w:rsidR="00AE77D1">
        <w:rPr>
          <w:rFonts w:ascii="Arial" w:eastAsia="Arial" w:hAnsi="Arial" w:cs="Arial"/>
          <w:sz w:val="20"/>
        </w:rPr>
        <w:t xml:space="preserve"> an</w:t>
      </w:r>
      <w:r>
        <w:rPr>
          <w:rFonts w:ascii="Arial" w:eastAsia="Arial" w:hAnsi="Arial" w:cs="Arial"/>
          <w:sz w:val="20"/>
        </w:rPr>
        <w:t xml:space="preserve"> equal mixture of both feeds (Table </w:t>
      </w:r>
      <w:r w:rsidR="00A62300">
        <w:rPr>
          <w:rFonts w:ascii="Arial" w:eastAsia="Arial" w:hAnsi="Arial" w:cs="Arial"/>
          <w:sz w:val="20"/>
        </w:rPr>
        <w:t>5</w:t>
      </w:r>
      <w:r>
        <w:rPr>
          <w:rFonts w:ascii="Arial" w:eastAsia="Arial" w:hAnsi="Arial" w:cs="Arial"/>
          <w:sz w:val="20"/>
        </w:rPr>
        <w:t>). The use of tilapia feed recorded the highest (14.97) profit index whilst that of catfish recorded the least (12.74).</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center"/>
        <w:rPr>
          <w:rFonts w:ascii="Arial" w:eastAsia="Arial" w:hAnsi="Arial" w:cs="Arial"/>
          <w:b/>
          <w:sz w:val="20"/>
        </w:rPr>
      </w:pPr>
      <w:r>
        <w:rPr>
          <w:rFonts w:ascii="Arial" w:eastAsia="Arial" w:hAnsi="Arial" w:cs="Arial"/>
          <w:b/>
          <w:sz w:val="20"/>
        </w:rPr>
        <w:t xml:space="preserve">Table </w:t>
      </w:r>
      <w:r w:rsidR="00A62300">
        <w:rPr>
          <w:rFonts w:ascii="Arial" w:eastAsia="Arial" w:hAnsi="Arial" w:cs="Arial"/>
          <w:b/>
          <w:sz w:val="20"/>
        </w:rPr>
        <w:t>5</w:t>
      </w:r>
      <w:r>
        <w:rPr>
          <w:rFonts w:ascii="Arial" w:eastAsia="Arial" w:hAnsi="Arial" w:cs="Arial"/>
          <w:b/>
          <w:sz w:val="20"/>
        </w:rPr>
        <w:t>. Cost-effectiveness of composite nursing of Nile tilapia and African catfish fingerlings using feeds of tilapia, catfish and their equal mixture</w:t>
      </w:r>
    </w:p>
    <w:p w:rsidR="00196F0D" w:rsidRDefault="00196F0D">
      <w:pPr>
        <w:spacing w:after="0" w:line="240" w:lineRule="auto"/>
        <w:jc w:val="both"/>
        <w:rPr>
          <w:rFonts w:ascii="Arial" w:eastAsia="Arial" w:hAnsi="Arial" w:cs="Arial"/>
          <w:sz w:val="20"/>
        </w:rPr>
      </w:pPr>
    </w:p>
    <w:tbl>
      <w:tblPr>
        <w:tblW w:w="0" w:type="auto"/>
        <w:jc w:val="center"/>
        <w:tblCellMar>
          <w:left w:w="10" w:type="dxa"/>
          <w:right w:w="10" w:type="dxa"/>
        </w:tblCellMar>
        <w:tblLook w:val="0000" w:firstRow="0" w:lastRow="0" w:firstColumn="0" w:lastColumn="0" w:noHBand="0" w:noVBand="0"/>
      </w:tblPr>
      <w:tblGrid>
        <w:gridCol w:w="3557"/>
        <w:gridCol w:w="2102"/>
        <w:gridCol w:w="1931"/>
        <w:gridCol w:w="1834"/>
      </w:tblGrid>
      <w:tr w:rsidR="00196F0D">
        <w:trPr>
          <w:trHeight w:val="1"/>
          <w:jc w:val="center"/>
        </w:trPr>
        <w:tc>
          <w:tcPr>
            <w:tcW w:w="3557" w:type="dxa"/>
            <w:vMerge w:val="restart"/>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tabs>
                <w:tab w:val="left" w:pos="351"/>
                <w:tab w:val="center" w:pos="1408"/>
              </w:tabs>
              <w:spacing w:after="0" w:line="240" w:lineRule="auto"/>
            </w:pPr>
            <w:r>
              <w:rPr>
                <w:rFonts w:ascii="Arial" w:eastAsia="Arial" w:hAnsi="Arial" w:cs="Arial"/>
                <w:sz w:val="20"/>
              </w:rPr>
              <w:tab/>
            </w:r>
            <w:r>
              <w:rPr>
                <w:rFonts w:ascii="Arial" w:eastAsia="Arial" w:hAnsi="Arial" w:cs="Arial"/>
                <w:sz w:val="20"/>
              </w:rPr>
              <w:tab/>
              <w:t>Parameter</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196F0D">
            <w:pPr>
              <w:spacing w:after="0" w:line="240" w:lineRule="auto"/>
              <w:jc w:val="center"/>
              <w:rPr>
                <w:rFonts w:ascii="Calibri" w:eastAsia="Calibri" w:hAnsi="Calibri" w:cs="Calibri"/>
              </w:rPr>
            </w:pP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color w:val="000000"/>
                <w:sz w:val="20"/>
              </w:rPr>
              <w:t>Feed Type</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196F0D">
            <w:pPr>
              <w:spacing w:after="0" w:line="240" w:lineRule="auto"/>
              <w:jc w:val="center"/>
              <w:rPr>
                <w:rFonts w:ascii="Calibri" w:eastAsia="Calibri" w:hAnsi="Calibri" w:cs="Calibri"/>
              </w:rPr>
            </w:pPr>
          </w:p>
        </w:tc>
      </w:tr>
      <w:tr w:rsidR="00196F0D">
        <w:trPr>
          <w:trHeight w:val="1"/>
          <w:jc w:val="center"/>
        </w:trPr>
        <w:tc>
          <w:tcPr>
            <w:tcW w:w="3557" w:type="dxa"/>
            <w:vMerge/>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196F0D">
            <w:pPr>
              <w:rPr>
                <w:rFonts w:ascii="Calibri" w:eastAsia="Calibri" w:hAnsi="Calibri" w:cs="Calibri"/>
              </w:rPr>
            </w:pP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Tilapia (</w:t>
            </w:r>
            <w:r>
              <w:rPr>
                <w:rFonts w:ascii="Arial" w:eastAsia="Arial" w:hAnsi="Arial" w:cs="Arial"/>
                <w:i/>
                <w:sz w:val="20"/>
              </w:rPr>
              <w:t>A</w:t>
            </w:r>
            <w:r>
              <w:rPr>
                <w:rFonts w:ascii="Arial" w:eastAsia="Arial" w:hAnsi="Arial" w:cs="Arial"/>
                <w:sz w:val="20"/>
              </w:rPr>
              <w:t>)</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Catfish (</w:t>
            </w:r>
            <w:r>
              <w:rPr>
                <w:rFonts w:ascii="Arial" w:eastAsia="Arial" w:hAnsi="Arial" w:cs="Arial"/>
                <w:i/>
                <w:sz w:val="20"/>
              </w:rPr>
              <w:t>B</w:t>
            </w:r>
            <w:r>
              <w:rPr>
                <w:rFonts w:ascii="Arial" w:eastAsia="Arial" w:hAnsi="Arial" w:cs="Arial"/>
                <w:sz w:val="20"/>
              </w:rPr>
              <w:t>)</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1:1 Mixture (</w:t>
            </w:r>
            <w:r>
              <w:rPr>
                <w:rFonts w:ascii="Arial" w:eastAsia="Arial" w:hAnsi="Arial" w:cs="Arial"/>
                <w:i/>
                <w:sz w:val="20"/>
              </w:rPr>
              <w:t>C</w:t>
            </w:r>
            <w:r>
              <w:rPr>
                <w:rFonts w:ascii="Arial" w:eastAsia="Arial" w:hAnsi="Arial" w:cs="Arial"/>
                <w:sz w:val="20"/>
              </w:rPr>
              <w:t>)</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Cost per kg of feed (GHS)</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13.45</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15.30</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14.38</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Feed input (kg)</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9.35 ± 0.22</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9.35 ± 0.25</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9.55 ± 0.10</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Cost of feed used (GHS)</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125.76 ± 3.01</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proofErr w:type="gramStart"/>
            <w:r>
              <w:rPr>
                <w:rFonts w:ascii="Arial" w:eastAsia="Arial" w:hAnsi="Arial" w:cs="Arial"/>
                <w:sz w:val="20"/>
              </w:rPr>
              <w:t>143.06  ±</w:t>
            </w:r>
            <w:proofErr w:type="gramEnd"/>
            <w:r>
              <w:rPr>
                <w:rFonts w:ascii="Arial" w:eastAsia="Arial" w:hAnsi="Arial" w:cs="Arial"/>
                <w:sz w:val="20"/>
              </w:rPr>
              <w:t xml:space="preserve"> 3.83</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137.33 ± 1.48</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Harvested biomass (kg)</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9.70 ± 0.30</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9.90 ± 0.38</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9.25 ± 0.19</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Estimated value of biomass (GHS)</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1,880.00 ± 10.26</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1,825.00 ± 11.57</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1,900.00 ± 7.59</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Incidence Cost (GHS kg</w:t>
            </w:r>
            <w:r>
              <w:rPr>
                <w:rFonts w:ascii="Arial" w:eastAsia="Arial" w:hAnsi="Arial" w:cs="Arial"/>
                <w:sz w:val="20"/>
                <w:vertAlign w:val="superscript"/>
              </w:rPr>
              <w:t>-1</w:t>
            </w:r>
            <w:r>
              <w:rPr>
                <w:rFonts w:ascii="Arial" w:eastAsia="Arial" w:hAnsi="Arial" w:cs="Arial"/>
                <w:sz w:val="20"/>
              </w:rPr>
              <w:t>)</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12.96 ± 10.03</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14.45 ± 10.08</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14.85 ± 7.79</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Profit Index</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14.97 ± 3.41</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12.74 ± 3.02</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13.86 ± 5.13</w:t>
            </w:r>
          </w:p>
        </w:tc>
      </w:tr>
    </w:tbl>
    <w:p w:rsidR="00196F0D" w:rsidRDefault="00E01C14">
      <w:pPr>
        <w:spacing w:after="0" w:line="240" w:lineRule="auto"/>
        <w:jc w:val="center"/>
        <w:rPr>
          <w:rFonts w:ascii="Arial" w:eastAsia="Arial" w:hAnsi="Arial" w:cs="Arial"/>
          <w:sz w:val="20"/>
        </w:rPr>
      </w:pPr>
      <w:r>
        <w:rPr>
          <w:rFonts w:ascii="Arial" w:eastAsia="Arial" w:hAnsi="Arial" w:cs="Arial"/>
          <w:sz w:val="20"/>
        </w:rPr>
        <w:t xml:space="preserve">The average exchange rate of the Ghana </w:t>
      </w:r>
      <w:proofErr w:type="spellStart"/>
      <w:r>
        <w:rPr>
          <w:rFonts w:ascii="Arial" w:eastAsia="Arial" w:hAnsi="Arial" w:cs="Arial"/>
          <w:sz w:val="20"/>
        </w:rPr>
        <w:t>cedis</w:t>
      </w:r>
      <w:proofErr w:type="spellEnd"/>
      <w:r>
        <w:rPr>
          <w:rFonts w:ascii="Arial" w:eastAsia="Arial" w:hAnsi="Arial" w:cs="Arial"/>
          <w:sz w:val="20"/>
        </w:rPr>
        <w:t xml:space="preserve"> to the USA dollar in 2023 was: GHS11.20 = 1.00 USD</w:t>
      </w:r>
    </w:p>
    <w:p w:rsidR="00196F0D" w:rsidRDefault="00196F0D">
      <w:pPr>
        <w:spacing w:after="0" w:line="240" w:lineRule="auto"/>
        <w:jc w:val="center"/>
        <w:rPr>
          <w:rFonts w:ascii="Arial" w:eastAsia="Arial" w:hAnsi="Arial" w:cs="Arial"/>
          <w:sz w:val="24"/>
        </w:rPr>
      </w:pP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4. DISCUSSION</w:t>
      </w:r>
    </w:p>
    <w:p w:rsidR="00196F0D" w:rsidRDefault="00196F0D">
      <w:pPr>
        <w:spacing w:after="0" w:line="240" w:lineRule="auto"/>
        <w:jc w:val="both"/>
        <w:rPr>
          <w:rFonts w:ascii="Arial" w:eastAsia="Arial" w:hAnsi="Arial" w:cs="Arial"/>
          <w:b/>
        </w:rPr>
      </w:pPr>
    </w:p>
    <w:p w:rsidR="00196F0D" w:rsidRDefault="00457EB6">
      <w:pPr>
        <w:spacing w:after="0" w:line="240" w:lineRule="auto"/>
        <w:jc w:val="both"/>
        <w:rPr>
          <w:rFonts w:ascii="Arial" w:eastAsia="Arial" w:hAnsi="Arial" w:cs="Arial"/>
          <w:sz w:val="20"/>
        </w:rPr>
      </w:pPr>
      <w:r>
        <w:rPr>
          <w:rFonts w:ascii="Arial" w:eastAsia="Arial" w:hAnsi="Arial" w:cs="Arial"/>
          <w:sz w:val="20"/>
        </w:rPr>
        <w:t>“</w:t>
      </w:r>
      <w:r w:rsidR="00E01C14">
        <w:rPr>
          <w:rFonts w:ascii="Arial" w:eastAsia="Arial" w:hAnsi="Arial" w:cs="Arial"/>
          <w:sz w:val="20"/>
        </w:rPr>
        <w:t>Fish feed is a major input in fish farming and due to its high cost, it has remained the primary constraint to farmed fish production in Ghana and in other developing countries</w:t>
      </w:r>
      <w:r>
        <w:rPr>
          <w:rFonts w:ascii="Arial" w:eastAsia="Arial" w:hAnsi="Arial" w:cs="Arial"/>
          <w:sz w:val="20"/>
        </w:rPr>
        <w:t>”</w:t>
      </w:r>
      <w:r w:rsidR="00E01C14">
        <w:rPr>
          <w:rFonts w:ascii="Arial" w:eastAsia="Arial" w:hAnsi="Arial" w:cs="Arial"/>
          <w:sz w:val="20"/>
        </w:rPr>
        <w:t xml:space="preserve"> (FAO, 2018). </w:t>
      </w:r>
      <w:r>
        <w:rPr>
          <w:rFonts w:ascii="Arial" w:eastAsia="Arial" w:hAnsi="Arial" w:cs="Arial"/>
          <w:sz w:val="20"/>
        </w:rPr>
        <w:t>“</w:t>
      </w:r>
      <w:r w:rsidR="00E01C14">
        <w:rPr>
          <w:rFonts w:ascii="Arial" w:eastAsia="Arial" w:hAnsi="Arial" w:cs="Arial"/>
          <w:sz w:val="20"/>
        </w:rPr>
        <w:t xml:space="preserve">In the present study, the </w:t>
      </w:r>
      <w:proofErr w:type="spellStart"/>
      <w:r w:rsidR="00E01C14">
        <w:rPr>
          <w:rFonts w:ascii="Arial" w:eastAsia="Arial" w:hAnsi="Arial" w:cs="Arial"/>
          <w:sz w:val="20"/>
        </w:rPr>
        <w:t>analysed</w:t>
      </w:r>
      <w:proofErr w:type="spellEnd"/>
      <w:r w:rsidR="00E01C14">
        <w:rPr>
          <w:rFonts w:ascii="Arial" w:eastAsia="Arial" w:hAnsi="Arial" w:cs="Arial"/>
          <w:sz w:val="20"/>
        </w:rPr>
        <w:t xml:space="preserve"> nutritional values of both commercial tilapia and catfish feeds were similar to those declared by the producer. The </w:t>
      </w:r>
      <w:proofErr w:type="spellStart"/>
      <w:r w:rsidR="00E01C14">
        <w:rPr>
          <w:rFonts w:ascii="Arial" w:eastAsia="Arial" w:hAnsi="Arial" w:cs="Arial"/>
          <w:sz w:val="20"/>
        </w:rPr>
        <w:t>analysed</w:t>
      </w:r>
      <w:proofErr w:type="spellEnd"/>
      <w:r w:rsidR="00E01C14">
        <w:rPr>
          <w:rFonts w:ascii="Arial" w:eastAsia="Arial" w:hAnsi="Arial" w:cs="Arial"/>
          <w:sz w:val="20"/>
        </w:rPr>
        <w:t xml:space="preserve"> crude protein contents in both the tilapia and catfish feeds as well as their </w:t>
      </w:r>
      <w:r w:rsidR="00E01C14">
        <w:rPr>
          <w:rFonts w:ascii="Arial" w:eastAsia="Arial" w:hAnsi="Arial" w:cs="Arial"/>
          <w:sz w:val="20"/>
        </w:rPr>
        <w:lastRenderedPageBreak/>
        <w:t>1:1 mixture were higher than the recommended range of 30 to 40% for tilapia and catfish fingerlings</w:t>
      </w:r>
      <w:r>
        <w:rPr>
          <w:rFonts w:ascii="Arial" w:eastAsia="Arial" w:hAnsi="Arial" w:cs="Arial"/>
          <w:sz w:val="20"/>
        </w:rPr>
        <w:t>”</w:t>
      </w:r>
      <w:r w:rsidR="00E01C14">
        <w:rPr>
          <w:rFonts w:ascii="Arial" w:eastAsia="Arial" w:hAnsi="Arial" w:cs="Arial"/>
          <w:sz w:val="20"/>
        </w:rPr>
        <w:t xml:space="preserve"> (</w:t>
      </w:r>
      <w:proofErr w:type="spellStart"/>
      <w:r w:rsidR="00E01C14">
        <w:rPr>
          <w:rFonts w:ascii="Arial" w:eastAsia="Arial" w:hAnsi="Arial" w:cs="Arial"/>
          <w:sz w:val="20"/>
        </w:rPr>
        <w:t>Potongkam</w:t>
      </w:r>
      <w:proofErr w:type="spellEnd"/>
      <w:r w:rsidR="00E01C14">
        <w:rPr>
          <w:rFonts w:ascii="Arial" w:eastAsia="Arial" w:hAnsi="Arial" w:cs="Arial"/>
          <w:sz w:val="20"/>
        </w:rPr>
        <w:t xml:space="preserve"> and Miller, 2016).</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In the current study, both combined and individual fish species survivors (85.56 to 88.52% and 71.11 to 98.89%, respectively) were high in all treatments. This suggests that conditions within the </w:t>
      </w:r>
      <w:proofErr w:type="spellStart"/>
      <w:r>
        <w:rPr>
          <w:rFonts w:ascii="Arial" w:eastAsia="Arial" w:hAnsi="Arial" w:cs="Arial"/>
          <w:sz w:val="20"/>
        </w:rPr>
        <w:t>hapa</w:t>
      </w:r>
      <w:proofErr w:type="spellEnd"/>
      <w:r>
        <w:rPr>
          <w:rFonts w:ascii="Arial" w:eastAsia="Arial" w:hAnsi="Arial" w:cs="Arial"/>
          <w:sz w:val="20"/>
        </w:rPr>
        <w:t xml:space="preserve">-in-pond systems for </w:t>
      </w:r>
      <w:proofErr w:type="gramStart"/>
      <w:r>
        <w:rPr>
          <w:rFonts w:ascii="Arial" w:eastAsia="Arial" w:hAnsi="Arial" w:cs="Arial"/>
          <w:sz w:val="20"/>
        </w:rPr>
        <w:t xml:space="preserve">composite </w:t>
      </w:r>
      <w:r w:rsidR="0006762D">
        <w:rPr>
          <w:rFonts w:ascii="Arial" w:eastAsia="Arial" w:hAnsi="Arial" w:cs="Arial"/>
          <w:sz w:val="20"/>
        </w:rPr>
        <w:t xml:space="preserve"> nursing</w:t>
      </w:r>
      <w:proofErr w:type="gramEnd"/>
      <w:r>
        <w:rPr>
          <w:rFonts w:ascii="Arial" w:eastAsia="Arial" w:hAnsi="Arial" w:cs="Arial"/>
          <w:sz w:val="20"/>
        </w:rPr>
        <w:t xml:space="preserve"> of  </w:t>
      </w:r>
      <w:r>
        <w:rPr>
          <w:rFonts w:ascii="Arial" w:eastAsia="Arial" w:hAnsi="Arial" w:cs="Arial"/>
          <w:i/>
          <w:sz w:val="20"/>
        </w:rPr>
        <w:t>O</w:t>
      </w:r>
      <w:r w:rsidR="0006762D">
        <w:rPr>
          <w:rFonts w:ascii="Arial" w:eastAsia="Arial" w:hAnsi="Arial" w:cs="Arial"/>
          <w:i/>
          <w:sz w:val="20"/>
        </w:rPr>
        <w:t>.</w:t>
      </w:r>
      <w:r>
        <w:rPr>
          <w:rFonts w:ascii="Arial" w:eastAsia="Arial" w:hAnsi="Arial" w:cs="Arial"/>
          <w:i/>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C</w:t>
      </w:r>
      <w:r w:rsidR="0006762D">
        <w:rPr>
          <w:rFonts w:ascii="Arial" w:eastAsia="Arial" w:hAnsi="Arial" w:cs="Arial"/>
          <w:i/>
          <w:sz w:val="20"/>
        </w:rPr>
        <w:t>.</w:t>
      </w:r>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i/>
          <w:sz w:val="20"/>
        </w:rPr>
        <w:t xml:space="preserve"> </w:t>
      </w:r>
      <w:r>
        <w:rPr>
          <w:rFonts w:ascii="Arial" w:eastAsia="Arial" w:hAnsi="Arial" w:cs="Arial"/>
          <w:sz w:val="20"/>
        </w:rPr>
        <w:t xml:space="preserve">fingerlings were </w:t>
      </w:r>
      <w:proofErr w:type="spellStart"/>
      <w:r>
        <w:rPr>
          <w:rFonts w:ascii="Arial" w:eastAsia="Arial" w:hAnsi="Arial" w:cs="Arial"/>
          <w:sz w:val="20"/>
        </w:rPr>
        <w:t>favourable</w:t>
      </w:r>
      <w:proofErr w:type="spellEnd"/>
      <w:r>
        <w:rPr>
          <w:rFonts w:ascii="Arial" w:eastAsia="Arial" w:hAnsi="Arial" w:cs="Arial"/>
          <w:sz w:val="20"/>
        </w:rPr>
        <w:t xml:space="preserve"> for their survival and growth. </w:t>
      </w:r>
      <w:r w:rsidR="0006762D">
        <w:rPr>
          <w:rFonts w:ascii="Arial" w:eastAsia="Arial" w:hAnsi="Arial" w:cs="Arial"/>
          <w:sz w:val="20"/>
        </w:rPr>
        <w:t>Additionally, it also implies</w:t>
      </w:r>
      <w:r>
        <w:rPr>
          <w:rFonts w:ascii="Arial" w:eastAsia="Arial" w:hAnsi="Arial" w:cs="Arial"/>
          <w:sz w:val="20"/>
        </w:rPr>
        <w:t xml:space="preserve"> all the feeds were of good quality. Findings of the present study agreed </w:t>
      </w:r>
      <w:proofErr w:type="gramStart"/>
      <w:r>
        <w:rPr>
          <w:rFonts w:ascii="Arial" w:eastAsia="Arial" w:hAnsi="Arial" w:cs="Arial"/>
          <w:sz w:val="20"/>
        </w:rPr>
        <w:t xml:space="preserve">with </w:t>
      </w:r>
      <w:r w:rsidR="0006762D">
        <w:rPr>
          <w:rFonts w:ascii="Arial" w:eastAsia="Arial" w:hAnsi="Arial" w:cs="Arial"/>
          <w:sz w:val="20"/>
        </w:rPr>
        <w:t xml:space="preserve"> d</w:t>
      </w:r>
      <w:r>
        <w:rPr>
          <w:rFonts w:ascii="Arial" w:eastAsia="Arial" w:hAnsi="Arial" w:cs="Arial"/>
          <w:sz w:val="20"/>
        </w:rPr>
        <w:t>e</w:t>
      </w:r>
      <w:proofErr w:type="gramEnd"/>
      <w:r>
        <w:rPr>
          <w:rFonts w:ascii="Arial" w:eastAsia="Arial" w:hAnsi="Arial" w:cs="Arial"/>
          <w:sz w:val="20"/>
        </w:rPr>
        <w:t xml:space="preserve"> Silva and Anderson (1995) who opined that </w:t>
      </w:r>
      <w:r w:rsidR="00457EB6">
        <w:rPr>
          <w:rFonts w:ascii="Arial" w:eastAsia="Arial" w:hAnsi="Arial" w:cs="Arial"/>
          <w:sz w:val="20"/>
        </w:rPr>
        <w:t>“</w:t>
      </w:r>
      <w:r>
        <w:rPr>
          <w:rFonts w:ascii="Arial" w:eastAsia="Arial" w:hAnsi="Arial" w:cs="Arial"/>
          <w:sz w:val="20"/>
        </w:rPr>
        <w:t xml:space="preserve">the quality of a fish feed is a function of how well that feed meets the nutrient requirement of a fish. Although there were no significant differences (ANOVA, </w:t>
      </w:r>
      <w:r>
        <w:rPr>
          <w:rFonts w:ascii="Arial" w:eastAsia="Arial" w:hAnsi="Arial" w:cs="Arial"/>
          <w:i/>
          <w:sz w:val="20"/>
        </w:rPr>
        <w:t>P</w:t>
      </w:r>
      <w:r>
        <w:rPr>
          <w:rFonts w:ascii="Arial" w:eastAsia="Arial" w:hAnsi="Arial" w:cs="Arial"/>
          <w:sz w:val="20"/>
        </w:rPr>
        <w:t xml:space="preserve"> &gt; 0.05) in specific growth rates (SGRs) of </w:t>
      </w:r>
      <w:r w:rsidR="0006762D">
        <w:rPr>
          <w:rFonts w:ascii="Arial" w:eastAsia="Arial" w:hAnsi="Arial" w:cs="Arial"/>
          <w:i/>
          <w:sz w:val="20"/>
        </w:rPr>
        <w:t xml:space="preserve">O. </w:t>
      </w:r>
      <w:proofErr w:type="spellStart"/>
      <w:proofErr w:type="gramStart"/>
      <w:r w:rsidR="0006762D">
        <w:rPr>
          <w:rFonts w:ascii="Arial" w:eastAsia="Arial" w:hAnsi="Arial" w:cs="Arial"/>
          <w:i/>
          <w:sz w:val="20"/>
        </w:rPr>
        <w:t>niloticus</w:t>
      </w:r>
      <w:proofErr w:type="spellEnd"/>
      <w:r w:rsidR="0006762D">
        <w:rPr>
          <w:rFonts w:ascii="Arial" w:eastAsia="Arial" w:hAnsi="Arial" w:cs="Arial"/>
          <w:sz w:val="20"/>
        </w:rPr>
        <w:t xml:space="preserve">  and</w:t>
      </w:r>
      <w:proofErr w:type="gramEnd"/>
      <w:r w:rsidR="0006762D">
        <w:rPr>
          <w:rFonts w:ascii="Arial" w:eastAsia="Arial" w:hAnsi="Arial" w:cs="Arial"/>
          <w:sz w:val="20"/>
        </w:rPr>
        <w:t xml:space="preserve">  </w:t>
      </w:r>
      <w:r w:rsidR="0006762D">
        <w:rPr>
          <w:rFonts w:ascii="Arial" w:eastAsia="Arial" w:hAnsi="Arial" w:cs="Arial"/>
          <w:i/>
          <w:sz w:val="20"/>
        </w:rPr>
        <w:t xml:space="preserve">C. </w:t>
      </w:r>
      <w:proofErr w:type="spellStart"/>
      <w:r w:rsidR="0006762D">
        <w:rPr>
          <w:rFonts w:ascii="Arial" w:eastAsia="Arial" w:hAnsi="Arial" w:cs="Arial"/>
          <w:i/>
          <w:sz w:val="20"/>
        </w:rPr>
        <w:t>gariepinus</w:t>
      </w:r>
      <w:proofErr w:type="spellEnd"/>
      <w:r w:rsidR="0006762D">
        <w:rPr>
          <w:rFonts w:ascii="Arial" w:eastAsia="Arial" w:hAnsi="Arial" w:cs="Arial"/>
          <w:i/>
          <w:sz w:val="20"/>
        </w:rPr>
        <w:t xml:space="preserve"> </w:t>
      </w:r>
      <w:r>
        <w:rPr>
          <w:rFonts w:ascii="Arial" w:eastAsia="Arial" w:hAnsi="Arial" w:cs="Arial"/>
          <w:sz w:val="20"/>
        </w:rPr>
        <w:t xml:space="preserve"> among all the treatments, higher figures (4.47 to 4.71% day</w:t>
      </w:r>
      <w:r>
        <w:rPr>
          <w:rFonts w:ascii="Arial" w:eastAsia="Arial" w:hAnsi="Arial" w:cs="Arial"/>
          <w:sz w:val="20"/>
          <w:vertAlign w:val="superscript"/>
        </w:rPr>
        <w:t>-1</w:t>
      </w:r>
      <w:r>
        <w:rPr>
          <w:rFonts w:ascii="Arial" w:eastAsia="Arial" w:hAnsi="Arial" w:cs="Arial"/>
          <w:sz w:val="20"/>
        </w:rPr>
        <w:t xml:space="preserve">) were recorded for </w:t>
      </w:r>
      <w:r w:rsidR="0006762D">
        <w:rPr>
          <w:rFonts w:ascii="Arial" w:eastAsia="Arial" w:hAnsi="Arial" w:cs="Arial"/>
          <w:sz w:val="20"/>
        </w:rPr>
        <w:t xml:space="preserve">the former </w:t>
      </w:r>
      <w:r>
        <w:rPr>
          <w:rFonts w:ascii="Arial" w:eastAsia="Arial" w:hAnsi="Arial" w:cs="Arial"/>
          <w:sz w:val="20"/>
        </w:rPr>
        <w:t xml:space="preserve"> than those (4.18 to 4.26 % day</w:t>
      </w:r>
      <w:r>
        <w:rPr>
          <w:rFonts w:ascii="Arial" w:eastAsia="Arial" w:hAnsi="Arial" w:cs="Arial"/>
          <w:sz w:val="20"/>
          <w:vertAlign w:val="superscript"/>
        </w:rPr>
        <w:t>-1</w:t>
      </w:r>
      <w:r>
        <w:rPr>
          <w:rFonts w:ascii="Arial" w:eastAsia="Arial" w:hAnsi="Arial" w:cs="Arial"/>
          <w:sz w:val="20"/>
        </w:rPr>
        <w:t xml:space="preserve">) for </w:t>
      </w:r>
      <w:r w:rsidR="0006762D">
        <w:rPr>
          <w:rFonts w:ascii="Arial" w:eastAsia="Arial" w:hAnsi="Arial" w:cs="Arial"/>
          <w:sz w:val="20"/>
        </w:rPr>
        <w:t>the latter</w:t>
      </w:r>
      <w:r w:rsidR="00457EB6">
        <w:rPr>
          <w:rFonts w:ascii="Arial" w:eastAsia="Arial" w:hAnsi="Arial" w:cs="Arial"/>
          <w:sz w:val="20"/>
        </w:rPr>
        <w:t>”</w:t>
      </w:r>
      <w:r>
        <w:rPr>
          <w:rFonts w:ascii="Arial" w:eastAsia="Arial" w:hAnsi="Arial" w:cs="Arial"/>
          <w:sz w:val="20"/>
        </w:rPr>
        <w:t xml:space="preserve">. These findings </w:t>
      </w:r>
      <w:proofErr w:type="gramStart"/>
      <w:r>
        <w:rPr>
          <w:rFonts w:ascii="Arial" w:eastAsia="Arial" w:hAnsi="Arial" w:cs="Arial"/>
          <w:sz w:val="20"/>
        </w:rPr>
        <w:t>are in agreement</w:t>
      </w:r>
      <w:proofErr w:type="gramEnd"/>
      <w:r>
        <w:rPr>
          <w:rFonts w:ascii="Arial" w:eastAsia="Arial" w:hAnsi="Arial" w:cs="Arial"/>
          <w:sz w:val="20"/>
        </w:rPr>
        <w:t xml:space="preserve"> with those of Pandit </w:t>
      </w:r>
      <w:r>
        <w:rPr>
          <w:rFonts w:ascii="Arial" w:eastAsia="Arial" w:hAnsi="Arial" w:cs="Arial"/>
          <w:i/>
          <w:sz w:val="20"/>
        </w:rPr>
        <w:t>et al</w:t>
      </w:r>
      <w:r>
        <w:rPr>
          <w:rFonts w:ascii="Arial" w:eastAsia="Arial" w:hAnsi="Arial" w:cs="Arial"/>
          <w:sz w:val="20"/>
        </w:rPr>
        <w:t xml:space="preserve">. (2012) who recorded higher growth in </w:t>
      </w:r>
      <w:r w:rsidR="00E8501F">
        <w:rPr>
          <w:rFonts w:ascii="Arial" w:eastAsia="Arial" w:hAnsi="Arial" w:cs="Arial"/>
          <w:i/>
          <w:sz w:val="20"/>
        </w:rPr>
        <w:t xml:space="preserve">O. </w:t>
      </w:r>
      <w:proofErr w:type="spellStart"/>
      <w:r w:rsidR="00E8501F">
        <w:rPr>
          <w:rFonts w:ascii="Arial" w:eastAsia="Arial" w:hAnsi="Arial" w:cs="Arial"/>
          <w:i/>
          <w:sz w:val="20"/>
        </w:rPr>
        <w:t>niloticus</w:t>
      </w:r>
      <w:proofErr w:type="spellEnd"/>
      <w:r w:rsidR="00E8501F">
        <w:rPr>
          <w:rFonts w:ascii="Arial" w:eastAsia="Arial" w:hAnsi="Arial" w:cs="Arial"/>
          <w:sz w:val="20"/>
        </w:rPr>
        <w:t xml:space="preserve"> </w:t>
      </w:r>
      <w:r>
        <w:rPr>
          <w:rFonts w:ascii="Arial" w:eastAsia="Arial" w:hAnsi="Arial" w:cs="Arial"/>
          <w:sz w:val="20"/>
        </w:rPr>
        <w:t xml:space="preserve">in a polyculture with grass carp, </w:t>
      </w:r>
      <w:proofErr w:type="spellStart"/>
      <w:r>
        <w:rPr>
          <w:rFonts w:ascii="Arial" w:eastAsia="Arial" w:hAnsi="Arial" w:cs="Arial"/>
          <w:i/>
          <w:sz w:val="20"/>
        </w:rPr>
        <w:t>Ctenopharyngodon</w:t>
      </w:r>
      <w:proofErr w:type="spellEnd"/>
      <w:r>
        <w:rPr>
          <w:rFonts w:ascii="Arial" w:eastAsia="Arial" w:hAnsi="Arial" w:cs="Arial"/>
          <w:i/>
          <w:sz w:val="20"/>
        </w:rPr>
        <w:t xml:space="preserve"> </w:t>
      </w:r>
      <w:proofErr w:type="spellStart"/>
      <w:r>
        <w:rPr>
          <w:rFonts w:ascii="Arial" w:eastAsia="Arial" w:hAnsi="Arial" w:cs="Arial"/>
          <w:i/>
          <w:sz w:val="20"/>
        </w:rPr>
        <w:t>idella</w:t>
      </w:r>
      <w:proofErr w:type="spellEnd"/>
      <w:r>
        <w:rPr>
          <w:rFonts w:ascii="Arial" w:eastAsia="Arial" w:hAnsi="Arial" w:cs="Arial"/>
          <w:sz w:val="20"/>
        </w:rPr>
        <w:t xml:space="preserve">. </w:t>
      </w:r>
      <w:r w:rsidR="00457EB6">
        <w:rPr>
          <w:rFonts w:ascii="Arial" w:eastAsia="Arial" w:hAnsi="Arial" w:cs="Arial"/>
          <w:sz w:val="20"/>
        </w:rPr>
        <w:t>“</w:t>
      </w:r>
      <w:r>
        <w:rPr>
          <w:rFonts w:ascii="Arial" w:eastAsia="Arial" w:hAnsi="Arial" w:cs="Arial"/>
          <w:sz w:val="20"/>
        </w:rPr>
        <w:t>The growth performance of the nursed fingerlings indicated that the feeds met the</w:t>
      </w:r>
      <w:r w:rsidR="008D21CD">
        <w:rPr>
          <w:rFonts w:ascii="Arial" w:eastAsia="Arial" w:hAnsi="Arial" w:cs="Arial"/>
          <w:sz w:val="20"/>
        </w:rPr>
        <w:t>ir</w:t>
      </w:r>
      <w:r>
        <w:rPr>
          <w:rFonts w:ascii="Arial" w:eastAsia="Arial" w:hAnsi="Arial" w:cs="Arial"/>
          <w:sz w:val="20"/>
        </w:rPr>
        <w:t xml:space="preserve"> nutritional </w:t>
      </w:r>
      <w:proofErr w:type="gramStart"/>
      <w:r>
        <w:rPr>
          <w:rFonts w:ascii="Arial" w:eastAsia="Arial" w:hAnsi="Arial" w:cs="Arial"/>
          <w:sz w:val="20"/>
        </w:rPr>
        <w:t>requirements  and</w:t>
      </w:r>
      <w:proofErr w:type="gramEnd"/>
      <w:r>
        <w:rPr>
          <w:rFonts w:ascii="Arial" w:eastAsia="Arial" w:hAnsi="Arial" w:cs="Arial"/>
          <w:sz w:val="20"/>
        </w:rPr>
        <w:t xml:space="preserve"> there were bio-availability of nutrients from the feeds to the</w:t>
      </w:r>
      <w:r w:rsidR="008D21CD">
        <w:rPr>
          <w:rFonts w:ascii="Arial" w:eastAsia="Arial" w:hAnsi="Arial" w:cs="Arial"/>
          <w:sz w:val="20"/>
        </w:rPr>
        <w:t>m</w:t>
      </w:r>
      <w:r>
        <w:rPr>
          <w:rFonts w:ascii="Arial" w:eastAsia="Arial" w:hAnsi="Arial" w:cs="Arial"/>
          <w:sz w:val="20"/>
        </w:rPr>
        <w:t xml:space="preserve"> . Aside from the optimum feed protein levels in all the feeds as indicated by analyses, the suitable nursing environment evidenced in the measured water quality parameters collectively enhanced the growth performance of the fingerlings</w:t>
      </w:r>
      <w:r w:rsidR="00457EB6">
        <w:rPr>
          <w:rFonts w:ascii="Arial" w:eastAsia="Arial" w:hAnsi="Arial" w:cs="Arial"/>
          <w:sz w:val="20"/>
        </w:rPr>
        <w:t>”</w:t>
      </w:r>
      <w:r>
        <w:rPr>
          <w:rFonts w:ascii="Arial" w:eastAsia="Arial" w:hAnsi="Arial" w:cs="Arial"/>
          <w:sz w:val="20"/>
        </w:rPr>
        <w:t xml:space="preserve"> (Davis </w:t>
      </w:r>
      <w:r>
        <w:rPr>
          <w:rFonts w:ascii="Arial" w:eastAsia="Arial" w:hAnsi="Arial" w:cs="Arial"/>
          <w:i/>
          <w:sz w:val="20"/>
        </w:rPr>
        <w:t>et al</w:t>
      </w:r>
      <w:r>
        <w:rPr>
          <w:rFonts w:ascii="Arial" w:eastAsia="Arial" w:hAnsi="Arial" w:cs="Arial"/>
          <w:sz w:val="20"/>
        </w:rPr>
        <w:t>., 2009; Craig, 2017).</w:t>
      </w:r>
    </w:p>
    <w:p w:rsidR="00196F0D" w:rsidRDefault="00196F0D">
      <w:pPr>
        <w:spacing w:after="0" w:line="240" w:lineRule="auto"/>
        <w:jc w:val="both"/>
        <w:rPr>
          <w:rFonts w:ascii="Arial" w:eastAsia="Arial" w:hAnsi="Arial" w:cs="Arial"/>
          <w:sz w:val="20"/>
        </w:rPr>
      </w:pPr>
    </w:p>
    <w:p w:rsidR="00196F0D" w:rsidRDefault="00457EB6">
      <w:pPr>
        <w:spacing w:after="0" w:line="240" w:lineRule="auto"/>
        <w:jc w:val="both"/>
        <w:rPr>
          <w:rFonts w:ascii="Arial" w:eastAsia="Arial" w:hAnsi="Arial" w:cs="Arial"/>
          <w:sz w:val="20"/>
        </w:rPr>
      </w:pPr>
      <w:r>
        <w:rPr>
          <w:rFonts w:ascii="Arial" w:eastAsia="Arial" w:hAnsi="Arial" w:cs="Arial"/>
          <w:sz w:val="20"/>
        </w:rPr>
        <w:t>“</w:t>
      </w:r>
      <w:r w:rsidR="00E01C14">
        <w:rPr>
          <w:rFonts w:ascii="Arial" w:eastAsia="Arial" w:hAnsi="Arial" w:cs="Arial"/>
          <w:sz w:val="20"/>
        </w:rPr>
        <w:t>The good growth recorded in the nursed fingerlings suggests the fingerlings were optimally fed with the various feeds. This was evidenced in the recorded water quality parameters (temperature, pH, DO, total ammonia and total alkaline) being within acceptable range throughout the study period which enhanced fish health and growth. This is in line with other researchers who observed that over-and-under-feeding can be detrimental to the health of a culture fish and it may cause noticeable deterioration in water quality, poor fish growth, and increased susceptibility of fish to infection</w:t>
      </w:r>
      <w:r>
        <w:rPr>
          <w:rFonts w:ascii="Arial" w:eastAsia="Arial" w:hAnsi="Arial" w:cs="Arial"/>
          <w:sz w:val="20"/>
        </w:rPr>
        <w:t>”</w:t>
      </w:r>
      <w:r w:rsidR="00E01C14">
        <w:rPr>
          <w:rFonts w:ascii="Arial" w:eastAsia="Arial" w:hAnsi="Arial" w:cs="Arial"/>
          <w:sz w:val="20"/>
        </w:rPr>
        <w:t xml:space="preserve"> (Priestl</w:t>
      </w:r>
      <w:r w:rsidR="00005715">
        <w:rPr>
          <w:rFonts w:ascii="Arial" w:eastAsia="Arial" w:hAnsi="Arial" w:cs="Arial"/>
          <w:sz w:val="20"/>
        </w:rPr>
        <w:t>e</w:t>
      </w:r>
      <w:r w:rsidR="00E01C14">
        <w:rPr>
          <w:rFonts w:ascii="Arial" w:eastAsia="Arial" w:hAnsi="Arial" w:cs="Arial"/>
          <w:sz w:val="20"/>
        </w:rPr>
        <w:t xml:space="preserve">y </w:t>
      </w:r>
      <w:r w:rsidR="00E01C14">
        <w:rPr>
          <w:rFonts w:ascii="Arial" w:eastAsia="Arial" w:hAnsi="Arial" w:cs="Arial"/>
          <w:i/>
          <w:sz w:val="20"/>
        </w:rPr>
        <w:t>et al</w:t>
      </w:r>
      <w:r w:rsidR="00E01C14">
        <w:rPr>
          <w:rFonts w:ascii="Arial" w:eastAsia="Arial" w:hAnsi="Arial" w:cs="Arial"/>
          <w:sz w:val="20"/>
        </w:rPr>
        <w:t xml:space="preserve">., 2006; </w:t>
      </w:r>
      <w:proofErr w:type="spellStart"/>
      <w:r w:rsidR="00E01C14">
        <w:rPr>
          <w:rFonts w:ascii="Arial" w:eastAsia="Arial" w:hAnsi="Arial" w:cs="Arial"/>
          <w:sz w:val="20"/>
        </w:rPr>
        <w:t>Ekanem</w:t>
      </w:r>
      <w:proofErr w:type="spellEnd"/>
      <w:r w:rsidR="00E01C14">
        <w:rPr>
          <w:rFonts w:ascii="Arial" w:eastAsia="Arial" w:hAnsi="Arial" w:cs="Arial"/>
          <w:sz w:val="20"/>
        </w:rPr>
        <w:t xml:space="preserve"> </w:t>
      </w:r>
      <w:r w:rsidR="00E01C14">
        <w:rPr>
          <w:rFonts w:ascii="Arial" w:eastAsia="Arial" w:hAnsi="Arial" w:cs="Arial"/>
          <w:i/>
          <w:sz w:val="20"/>
        </w:rPr>
        <w:t>et al</w:t>
      </w:r>
      <w:r w:rsidR="00E01C14">
        <w:rPr>
          <w:rFonts w:ascii="Arial" w:eastAsia="Arial" w:hAnsi="Arial" w:cs="Arial"/>
          <w:sz w:val="20"/>
        </w:rPr>
        <w:t xml:space="preserve">., 2012).  </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Generally, all recorded water quality parameters during the study period fell within desirable range for Nile tilapia and African catfish (Boyd, 1990; Lawson, 1995). </w:t>
      </w:r>
      <w:r w:rsidR="00BF5FE3">
        <w:rPr>
          <w:rFonts w:ascii="Arial" w:eastAsia="Arial" w:hAnsi="Arial" w:cs="Arial"/>
          <w:sz w:val="20"/>
        </w:rPr>
        <w:t>“</w:t>
      </w:r>
      <w:r>
        <w:rPr>
          <w:rFonts w:ascii="Arial" w:eastAsia="Arial" w:hAnsi="Arial" w:cs="Arial"/>
          <w:sz w:val="20"/>
        </w:rPr>
        <w:t xml:space="preserve">Hence, the measured parameters during </w:t>
      </w:r>
      <w:proofErr w:type="gramStart"/>
      <w:r>
        <w:rPr>
          <w:rFonts w:ascii="Arial" w:eastAsia="Arial" w:hAnsi="Arial" w:cs="Arial"/>
          <w:sz w:val="20"/>
        </w:rPr>
        <w:t xml:space="preserve">the </w:t>
      </w:r>
      <w:r w:rsidR="00A166CA">
        <w:rPr>
          <w:rFonts w:ascii="Arial" w:eastAsia="Arial" w:hAnsi="Arial" w:cs="Arial"/>
          <w:sz w:val="20"/>
        </w:rPr>
        <w:t xml:space="preserve"> nursing</w:t>
      </w:r>
      <w:proofErr w:type="gramEnd"/>
      <w:r>
        <w:rPr>
          <w:rFonts w:ascii="Arial" w:eastAsia="Arial" w:hAnsi="Arial" w:cs="Arial"/>
          <w:sz w:val="20"/>
        </w:rPr>
        <w:t xml:space="preserve"> period in the current study were suitable and they did not have any negative effects on the growth performance of the fingerlings in all the treatments. Optimum fish growth is attained when desirable levels of water quality parameters such as temperature, pH and DO prevailed</w:t>
      </w:r>
      <w:r w:rsidR="00BF5FE3">
        <w:rPr>
          <w:rFonts w:ascii="Arial" w:eastAsia="Arial" w:hAnsi="Arial" w:cs="Arial"/>
          <w:sz w:val="20"/>
        </w:rPr>
        <w:t>”</w:t>
      </w:r>
      <w:r>
        <w:rPr>
          <w:rFonts w:ascii="Arial" w:eastAsia="Arial" w:hAnsi="Arial" w:cs="Arial"/>
          <w:sz w:val="20"/>
        </w:rPr>
        <w:t xml:space="preserve"> (Boyd, 1990). </w:t>
      </w:r>
    </w:p>
    <w:p w:rsidR="00A166CA" w:rsidRPr="00A166CA" w:rsidRDefault="00E01C14">
      <w:pPr>
        <w:spacing w:after="0" w:line="240" w:lineRule="auto"/>
        <w:jc w:val="both"/>
        <w:rPr>
          <w:rFonts w:cstheme="minorHAnsi"/>
        </w:rPr>
      </w:pPr>
      <w:r>
        <w:rPr>
          <w:rFonts w:ascii="Arial" w:eastAsia="Arial" w:hAnsi="Arial" w:cs="Arial"/>
          <w:sz w:val="20"/>
        </w:rPr>
        <w:t xml:space="preserve"> </w:t>
      </w:r>
    </w:p>
    <w:p w:rsidR="00196F0D" w:rsidRDefault="00E01C14">
      <w:pPr>
        <w:spacing w:after="0" w:line="240" w:lineRule="auto"/>
        <w:jc w:val="both"/>
        <w:rPr>
          <w:rFonts w:ascii="Arial" w:eastAsia="Arial" w:hAnsi="Arial" w:cs="Arial"/>
          <w:sz w:val="20"/>
        </w:rPr>
      </w:pPr>
      <w:r>
        <w:rPr>
          <w:rFonts w:ascii="Arial" w:eastAsia="Arial" w:hAnsi="Arial" w:cs="Arial"/>
          <w:sz w:val="20"/>
        </w:rPr>
        <w:t>The recorded water temperatures (29.</w:t>
      </w:r>
      <w:r w:rsidR="00A166CA">
        <w:rPr>
          <w:rFonts w:ascii="Arial" w:eastAsia="Arial" w:hAnsi="Arial" w:cs="Arial"/>
          <w:sz w:val="20"/>
        </w:rPr>
        <w:t>2</w:t>
      </w:r>
      <w:r>
        <w:rPr>
          <w:rFonts w:ascii="Arial" w:eastAsia="Arial" w:hAnsi="Arial" w:cs="Arial"/>
          <w:sz w:val="20"/>
        </w:rPr>
        <w:t>-32.</w:t>
      </w:r>
      <w:r w:rsidR="00A166CA">
        <w:rPr>
          <w:rFonts w:ascii="Arial" w:eastAsia="Arial" w:hAnsi="Arial" w:cs="Arial"/>
          <w:sz w:val="20"/>
        </w:rPr>
        <w:t>7</w:t>
      </w:r>
      <w:r>
        <w:rPr>
          <w:rFonts w:ascii="Arial" w:eastAsia="Arial" w:hAnsi="Arial" w:cs="Arial"/>
          <w:sz w:val="20"/>
        </w:rPr>
        <w:t xml:space="preserve"> °C) in the current study were similar to those recorded by other researchers in previous studies. Ahmed </w:t>
      </w:r>
      <w:r>
        <w:rPr>
          <w:rFonts w:ascii="Arial" w:eastAsia="Arial" w:hAnsi="Arial" w:cs="Arial"/>
          <w:i/>
          <w:sz w:val="20"/>
        </w:rPr>
        <w:t>et al</w:t>
      </w:r>
      <w:r>
        <w:rPr>
          <w:rFonts w:ascii="Arial" w:eastAsia="Arial" w:hAnsi="Arial" w:cs="Arial"/>
          <w:sz w:val="20"/>
        </w:rPr>
        <w:t xml:space="preserve">. (2015) recorded water temperatures between 28.0 and 32 </w:t>
      </w:r>
      <w:r w:rsidR="0067113D" w:rsidRPr="0067113D">
        <w:rPr>
          <w:rFonts w:ascii="Arial" w:eastAsia="Arial" w:hAnsi="Arial" w:cs="Arial"/>
          <w:sz w:val="20"/>
          <w:vertAlign w:val="superscript"/>
        </w:rPr>
        <w:t>0</w:t>
      </w:r>
      <w:r>
        <w:rPr>
          <w:rFonts w:ascii="Arial" w:eastAsia="Arial" w:hAnsi="Arial" w:cs="Arial"/>
          <w:sz w:val="20"/>
        </w:rPr>
        <w:t xml:space="preserve">C in a study in which the growth performance of Java barb, </w:t>
      </w:r>
      <w:r>
        <w:rPr>
          <w:rFonts w:ascii="Arial" w:eastAsia="Arial" w:hAnsi="Arial" w:cs="Arial"/>
          <w:i/>
          <w:sz w:val="20"/>
        </w:rPr>
        <w:t xml:space="preserve">Puntius </w:t>
      </w:r>
      <w:proofErr w:type="spellStart"/>
      <w:r>
        <w:rPr>
          <w:rFonts w:ascii="Arial" w:eastAsia="Arial" w:hAnsi="Arial" w:cs="Arial"/>
          <w:i/>
          <w:sz w:val="20"/>
        </w:rPr>
        <w:t>gonionotus</w:t>
      </w:r>
      <w:proofErr w:type="spellEnd"/>
      <w:r>
        <w:rPr>
          <w:rFonts w:ascii="Arial" w:eastAsia="Arial" w:hAnsi="Arial" w:cs="Arial"/>
          <w:sz w:val="20"/>
        </w:rPr>
        <w:t xml:space="preserve"> was compared when the fish was fed with two different aquatic weeds (duck weed, </w:t>
      </w:r>
      <w:proofErr w:type="spellStart"/>
      <w:r>
        <w:rPr>
          <w:rFonts w:ascii="Arial" w:eastAsia="Arial" w:hAnsi="Arial" w:cs="Arial"/>
          <w:i/>
          <w:sz w:val="20"/>
        </w:rPr>
        <w:t>Lemna</w:t>
      </w:r>
      <w:proofErr w:type="spellEnd"/>
      <w:r>
        <w:rPr>
          <w:rFonts w:ascii="Arial" w:eastAsia="Arial" w:hAnsi="Arial" w:cs="Arial"/>
          <w:i/>
          <w:sz w:val="20"/>
        </w:rPr>
        <w:t xml:space="preserve"> minor</w:t>
      </w:r>
      <w:r>
        <w:rPr>
          <w:rFonts w:ascii="Arial" w:eastAsia="Arial" w:hAnsi="Arial" w:cs="Arial"/>
          <w:sz w:val="20"/>
        </w:rPr>
        <w:t xml:space="preserve"> and red water fern, </w:t>
      </w:r>
      <w:proofErr w:type="spellStart"/>
      <w:r>
        <w:rPr>
          <w:rFonts w:ascii="Arial" w:eastAsia="Arial" w:hAnsi="Arial" w:cs="Arial"/>
          <w:i/>
          <w:sz w:val="20"/>
        </w:rPr>
        <w:t>Azolla</w:t>
      </w:r>
      <w:proofErr w:type="spellEnd"/>
      <w:r>
        <w:rPr>
          <w:rFonts w:ascii="Arial" w:eastAsia="Arial" w:hAnsi="Arial" w:cs="Arial"/>
          <w:i/>
          <w:sz w:val="20"/>
        </w:rPr>
        <w:t xml:space="preserve"> </w:t>
      </w:r>
      <w:proofErr w:type="spellStart"/>
      <w:r>
        <w:rPr>
          <w:rFonts w:ascii="Arial" w:eastAsia="Arial" w:hAnsi="Arial" w:cs="Arial"/>
          <w:i/>
          <w:sz w:val="20"/>
        </w:rPr>
        <w:t>pinneta</w:t>
      </w:r>
      <w:proofErr w:type="spellEnd"/>
      <w:r>
        <w:rPr>
          <w:rFonts w:ascii="Arial" w:eastAsia="Arial" w:hAnsi="Arial" w:cs="Arial"/>
          <w:sz w:val="20"/>
        </w:rPr>
        <w:t>) in an earthen pond. These results strongly agreed with those of the present findings. The DO range (6.</w:t>
      </w:r>
      <w:r w:rsidR="00A166CA">
        <w:rPr>
          <w:rFonts w:ascii="Arial" w:eastAsia="Arial" w:hAnsi="Arial" w:cs="Arial"/>
          <w:sz w:val="20"/>
        </w:rPr>
        <w:t>6</w:t>
      </w:r>
      <w:r>
        <w:rPr>
          <w:rFonts w:ascii="Arial" w:eastAsia="Arial" w:hAnsi="Arial" w:cs="Arial"/>
          <w:sz w:val="20"/>
        </w:rPr>
        <w:t>-9.</w:t>
      </w:r>
      <w:r w:rsidR="00A166CA">
        <w:rPr>
          <w:rFonts w:ascii="Arial" w:eastAsia="Arial" w:hAnsi="Arial" w:cs="Arial"/>
          <w:sz w:val="20"/>
        </w:rPr>
        <w:t>7</w:t>
      </w:r>
      <w:r>
        <w:rPr>
          <w:rFonts w:ascii="Arial" w:eastAsia="Arial" w:hAnsi="Arial" w:cs="Arial"/>
          <w:sz w:val="20"/>
        </w:rPr>
        <w:t xml:space="preserve"> mg L</w:t>
      </w:r>
      <w:r>
        <w:rPr>
          <w:rFonts w:ascii="Arial" w:eastAsia="Arial" w:hAnsi="Arial" w:cs="Arial"/>
          <w:sz w:val="20"/>
          <w:vertAlign w:val="superscript"/>
        </w:rPr>
        <w:t>−1</w:t>
      </w:r>
      <w:r>
        <w:rPr>
          <w:rFonts w:ascii="Arial" w:eastAsia="Arial" w:hAnsi="Arial" w:cs="Arial"/>
          <w:sz w:val="20"/>
        </w:rPr>
        <w:t>) recorded in the current study fell within 5.0 and 10 mg L</w:t>
      </w:r>
      <w:r>
        <w:rPr>
          <w:rFonts w:ascii="Arial" w:eastAsia="Arial" w:hAnsi="Arial" w:cs="Arial"/>
          <w:sz w:val="20"/>
          <w:vertAlign w:val="superscript"/>
        </w:rPr>
        <w:t>-1</w:t>
      </w:r>
      <w:r>
        <w:rPr>
          <w:rFonts w:ascii="Arial" w:eastAsia="Arial" w:hAnsi="Arial" w:cs="Arial"/>
          <w:sz w:val="20"/>
        </w:rPr>
        <w:t xml:space="preserve"> recommended by Boyd (1990) and it was higher than the 6.5 mg L</w:t>
      </w:r>
      <w:r>
        <w:rPr>
          <w:rFonts w:ascii="Arial" w:eastAsia="Arial" w:hAnsi="Arial" w:cs="Arial"/>
          <w:sz w:val="20"/>
          <w:vertAlign w:val="superscript"/>
        </w:rPr>
        <w:t>-1</w:t>
      </w:r>
      <w:r>
        <w:rPr>
          <w:rFonts w:ascii="Arial" w:eastAsia="Arial" w:hAnsi="Arial" w:cs="Arial"/>
          <w:sz w:val="20"/>
        </w:rPr>
        <w:t xml:space="preserve"> reported by Pasco </w:t>
      </w:r>
      <w:r>
        <w:rPr>
          <w:rFonts w:ascii="Arial" w:eastAsia="Arial" w:hAnsi="Arial" w:cs="Arial"/>
          <w:i/>
          <w:sz w:val="20"/>
        </w:rPr>
        <w:t>et al</w:t>
      </w:r>
      <w:r>
        <w:rPr>
          <w:rFonts w:ascii="Arial" w:eastAsia="Arial" w:hAnsi="Arial" w:cs="Arial"/>
          <w:sz w:val="20"/>
        </w:rPr>
        <w:t>. (2018) for nursing tilapia fingerlings. The minimum (6.</w:t>
      </w:r>
      <w:r w:rsidR="00A166CA">
        <w:rPr>
          <w:rFonts w:ascii="Arial" w:eastAsia="Arial" w:hAnsi="Arial" w:cs="Arial"/>
          <w:sz w:val="20"/>
        </w:rPr>
        <w:t>6</w:t>
      </w:r>
      <w:r>
        <w:rPr>
          <w:rFonts w:ascii="Arial" w:eastAsia="Arial" w:hAnsi="Arial" w:cs="Arial"/>
          <w:sz w:val="20"/>
        </w:rPr>
        <w:t xml:space="preserve"> mg L</w:t>
      </w:r>
      <w:r>
        <w:rPr>
          <w:rFonts w:ascii="Arial" w:eastAsia="Arial" w:hAnsi="Arial" w:cs="Arial"/>
          <w:sz w:val="20"/>
          <w:vertAlign w:val="superscript"/>
        </w:rPr>
        <w:t>−1</w:t>
      </w:r>
      <w:r>
        <w:rPr>
          <w:rFonts w:ascii="Arial" w:eastAsia="Arial" w:hAnsi="Arial" w:cs="Arial"/>
          <w:sz w:val="20"/>
        </w:rPr>
        <w:t>) recorded figure was higher than 2 mg L</w:t>
      </w:r>
      <w:r>
        <w:rPr>
          <w:rFonts w:ascii="Arial" w:eastAsia="Arial" w:hAnsi="Arial" w:cs="Arial"/>
          <w:sz w:val="20"/>
          <w:vertAlign w:val="superscript"/>
        </w:rPr>
        <w:t>-1</w:t>
      </w:r>
      <w:r>
        <w:rPr>
          <w:rFonts w:ascii="Arial" w:eastAsia="Arial" w:hAnsi="Arial" w:cs="Arial"/>
          <w:sz w:val="20"/>
        </w:rPr>
        <w:t xml:space="preserve">, the minimum level recommended for nursing Nile tilapia fry (Peterman, 2011). The range and mean figures recorded in the current study were similar to those observed by </w:t>
      </w:r>
      <w:proofErr w:type="spellStart"/>
      <w:r>
        <w:rPr>
          <w:rFonts w:ascii="Arial" w:eastAsia="Arial" w:hAnsi="Arial" w:cs="Arial"/>
          <w:sz w:val="20"/>
        </w:rPr>
        <w:t>Moniruzzaman</w:t>
      </w:r>
      <w:proofErr w:type="spellEnd"/>
      <w:r>
        <w:rPr>
          <w:rFonts w:ascii="Arial" w:eastAsia="Arial" w:hAnsi="Arial" w:cs="Arial"/>
          <w:sz w:val="20"/>
        </w:rPr>
        <w:t xml:space="preserve"> and </w:t>
      </w:r>
      <w:proofErr w:type="spellStart"/>
      <w:r>
        <w:rPr>
          <w:rFonts w:ascii="Arial" w:eastAsia="Arial" w:hAnsi="Arial" w:cs="Arial"/>
          <w:sz w:val="20"/>
        </w:rPr>
        <w:t>Mollah</w:t>
      </w:r>
      <w:proofErr w:type="spellEnd"/>
      <w:r>
        <w:rPr>
          <w:rFonts w:ascii="Arial" w:eastAsia="Arial" w:hAnsi="Arial" w:cs="Arial"/>
          <w:sz w:val="20"/>
        </w:rPr>
        <w:t xml:space="preserve"> (2010), </w:t>
      </w:r>
      <w:proofErr w:type="spellStart"/>
      <w:r>
        <w:rPr>
          <w:rFonts w:ascii="Arial" w:eastAsia="Arial" w:hAnsi="Arial" w:cs="Arial"/>
          <w:sz w:val="20"/>
        </w:rPr>
        <w:t>Mollah</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(2011). The recorded pH range (7.</w:t>
      </w:r>
      <w:r w:rsidR="00A166CA">
        <w:rPr>
          <w:rFonts w:ascii="Arial" w:eastAsia="Arial" w:hAnsi="Arial" w:cs="Arial"/>
          <w:sz w:val="20"/>
        </w:rPr>
        <w:t>1</w:t>
      </w:r>
      <w:r>
        <w:rPr>
          <w:rFonts w:ascii="Arial" w:eastAsia="Arial" w:hAnsi="Arial" w:cs="Arial"/>
          <w:sz w:val="20"/>
        </w:rPr>
        <w:t xml:space="preserve"> to 8.</w:t>
      </w:r>
      <w:r w:rsidR="00A166CA">
        <w:rPr>
          <w:rFonts w:ascii="Arial" w:eastAsia="Arial" w:hAnsi="Arial" w:cs="Arial"/>
          <w:sz w:val="20"/>
        </w:rPr>
        <w:t>0</w:t>
      </w:r>
      <w:r>
        <w:rPr>
          <w:rFonts w:ascii="Arial" w:eastAsia="Arial" w:hAnsi="Arial" w:cs="Arial"/>
          <w:sz w:val="20"/>
        </w:rPr>
        <w:t xml:space="preserve">) in the current study were within 6.1 to 9.0 reported by other researchers as being suitable for culturing Nile tilapia (Peterman, 2011; </w:t>
      </w:r>
      <w:proofErr w:type="spellStart"/>
      <w:r>
        <w:rPr>
          <w:rFonts w:ascii="Arial" w:eastAsia="Arial" w:hAnsi="Arial" w:cs="Arial"/>
          <w:sz w:val="20"/>
        </w:rPr>
        <w:t>Makori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2017). Hossain </w:t>
      </w:r>
      <w:r>
        <w:rPr>
          <w:rFonts w:ascii="Arial" w:eastAsia="Arial" w:hAnsi="Arial" w:cs="Arial"/>
          <w:i/>
          <w:sz w:val="20"/>
        </w:rPr>
        <w:t>et al</w:t>
      </w:r>
      <w:r>
        <w:rPr>
          <w:rFonts w:ascii="Arial" w:eastAsia="Arial" w:hAnsi="Arial" w:cs="Arial"/>
          <w:sz w:val="20"/>
        </w:rPr>
        <w:t xml:space="preserve">. (2018) recorded pH figures ranging from 6.98 to 8.24 in polyculture of stinging catfish, </w:t>
      </w:r>
      <w:proofErr w:type="spellStart"/>
      <w:r>
        <w:rPr>
          <w:rFonts w:ascii="Arial" w:eastAsia="Arial" w:hAnsi="Arial" w:cs="Arial"/>
          <w:i/>
          <w:sz w:val="20"/>
        </w:rPr>
        <w:t>Heteropneustes</w:t>
      </w:r>
      <w:proofErr w:type="spellEnd"/>
      <w:r>
        <w:rPr>
          <w:rFonts w:ascii="Arial" w:eastAsia="Arial" w:hAnsi="Arial" w:cs="Arial"/>
          <w:i/>
          <w:sz w:val="20"/>
        </w:rPr>
        <w:t xml:space="preserve"> </w:t>
      </w:r>
      <w:proofErr w:type="spellStart"/>
      <w:r>
        <w:rPr>
          <w:rFonts w:ascii="Arial" w:eastAsia="Arial" w:hAnsi="Arial" w:cs="Arial"/>
          <w:i/>
          <w:sz w:val="20"/>
        </w:rPr>
        <w:t>fossilis</w:t>
      </w:r>
      <w:proofErr w:type="spellEnd"/>
      <w:r>
        <w:rPr>
          <w:rFonts w:ascii="Arial" w:eastAsia="Arial" w:hAnsi="Arial" w:cs="Arial"/>
          <w:sz w:val="20"/>
        </w:rPr>
        <w:t xml:space="preserve"> with Indian major carps in earthen ponds. Similar observations were made by Ahmed </w:t>
      </w:r>
      <w:r>
        <w:rPr>
          <w:rFonts w:ascii="Arial" w:eastAsia="Arial" w:hAnsi="Arial" w:cs="Arial"/>
          <w:i/>
          <w:sz w:val="20"/>
        </w:rPr>
        <w:t>et al</w:t>
      </w:r>
      <w:r>
        <w:rPr>
          <w:rFonts w:ascii="Arial" w:eastAsia="Arial" w:hAnsi="Arial" w:cs="Arial"/>
          <w:sz w:val="20"/>
        </w:rPr>
        <w:t xml:space="preserve">. (2015), </w:t>
      </w:r>
      <w:proofErr w:type="spellStart"/>
      <w:r>
        <w:rPr>
          <w:rFonts w:ascii="Arial" w:eastAsia="Arial" w:hAnsi="Arial" w:cs="Arial"/>
          <w:sz w:val="20"/>
        </w:rPr>
        <w:t>Israfil</w:t>
      </w:r>
      <w:proofErr w:type="spellEnd"/>
      <w:r>
        <w:rPr>
          <w:rFonts w:ascii="Arial" w:eastAsia="Arial" w:hAnsi="Arial" w:cs="Arial"/>
          <w:sz w:val="20"/>
        </w:rPr>
        <w:t xml:space="preserve"> (2000) and Kabir (2003). The total ammonia range (0.26</w:t>
      </w:r>
      <w:r w:rsidR="007C3B7A">
        <w:rPr>
          <w:rFonts w:ascii="Arial" w:eastAsia="Arial" w:hAnsi="Arial" w:cs="Arial"/>
          <w:sz w:val="20"/>
        </w:rPr>
        <w:t>7</w:t>
      </w:r>
      <w:r>
        <w:rPr>
          <w:rFonts w:ascii="Arial" w:eastAsia="Arial" w:hAnsi="Arial" w:cs="Arial"/>
          <w:sz w:val="20"/>
        </w:rPr>
        <w:t>-0.42</w:t>
      </w:r>
      <w:r w:rsidR="007C3B7A">
        <w:rPr>
          <w:rFonts w:ascii="Arial" w:eastAsia="Arial" w:hAnsi="Arial" w:cs="Arial"/>
          <w:sz w:val="20"/>
        </w:rPr>
        <w:t>9</w:t>
      </w:r>
      <w:r>
        <w:rPr>
          <w:rFonts w:ascii="Arial" w:eastAsia="Arial" w:hAnsi="Arial" w:cs="Arial"/>
          <w:sz w:val="20"/>
        </w:rPr>
        <w:t xml:space="preserve"> mg L</w:t>
      </w:r>
      <w:r>
        <w:rPr>
          <w:rFonts w:ascii="Arial" w:eastAsia="Arial" w:hAnsi="Arial" w:cs="Arial"/>
          <w:sz w:val="20"/>
          <w:vertAlign w:val="superscript"/>
        </w:rPr>
        <w:t>−1</w:t>
      </w:r>
      <w:r>
        <w:rPr>
          <w:rFonts w:ascii="Arial" w:eastAsia="Arial" w:hAnsi="Arial" w:cs="Arial"/>
          <w:sz w:val="20"/>
        </w:rPr>
        <w:t>) recorded in this study were higher than the range 0.17 to 0.21 mg L</w:t>
      </w:r>
      <w:r>
        <w:rPr>
          <w:rFonts w:ascii="Arial" w:eastAsia="Arial" w:hAnsi="Arial" w:cs="Arial"/>
          <w:sz w:val="20"/>
          <w:vertAlign w:val="superscript"/>
        </w:rPr>
        <w:t>−1</w:t>
      </w:r>
      <w:r>
        <w:rPr>
          <w:rFonts w:ascii="Arial" w:eastAsia="Arial" w:hAnsi="Arial" w:cs="Arial"/>
          <w:sz w:val="20"/>
        </w:rPr>
        <w:t xml:space="preserve"> recorded in polyculture of stinging </w:t>
      </w:r>
      <w:proofErr w:type="gramStart"/>
      <w:r>
        <w:rPr>
          <w:rFonts w:ascii="Arial" w:eastAsia="Arial" w:hAnsi="Arial" w:cs="Arial"/>
          <w:sz w:val="20"/>
        </w:rPr>
        <w:t xml:space="preserve">catfish,  </w:t>
      </w:r>
      <w:r>
        <w:rPr>
          <w:rFonts w:ascii="Arial" w:eastAsia="Arial" w:hAnsi="Arial" w:cs="Arial"/>
          <w:i/>
          <w:sz w:val="20"/>
        </w:rPr>
        <w:t>H</w:t>
      </w:r>
      <w:r w:rsidR="007C3B7A">
        <w:rPr>
          <w:rFonts w:ascii="Arial" w:eastAsia="Arial" w:hAnsi="Arial" w:cs="Arial"/>
          <w:i/>
          <w:sz w:val="20"/>
        </w:rPr>
        <w:t>.</w:t>
      </w:r>
      <w:proofErr w:type="gramEnd"/>
      <w:r>
        <w:rPr>
          <w:rFonts w:ascii="Arial" w:eastAsia="Arial" w:hAnsi="Arial" w:cs="Arial"/>
          <w:i/>
          <w:sz w:val="20"/>
        </w:rPr>
        <w:t xml:space="preserve"> </w:t>
      </w:r>
      <w:proofErr w:type="spellStart"/>
      <w:r>
        <w:rPr>
          <w:rFonts w:ascii="Arial" w:eastAsia="Arial" w:hAnsi="Arial" w:cs="Arial"/>
          <w:i/>
          <w:sz w:val="20"/>
        </w:rPr>
        <w:t>fossilis</w:t>
      </w:r>
      <w:proofErr w:type="spellEnd"/>
      <w:r>
        <w:rPr>
          <w:rFonts w:ascii="Arial" w:eastAsia="Arial" w:hAnsi="Arial" w:cs="Arial"/>
          <w:sz w:val="20"/>
        </w:rPr>
        <w:t xml:space="preserve"> in seasonal water bodies of Greater Northern Region, Bangladesh. However, the recorded figures fell within 0.01 to 0.99 mg L</w:t>
      </w:r>
      <w:r>
        <w:rPr>
          <w:rFonts w:ascii="Arial" w:eastAsia="Arial" w:hAnsi="Arial" w:cs="Arial"/>
          <w:sz w:val="20"/>
          <w:vertAlign w:val="superscript"/>
        </w:rPr>
        <w:t>−1</w:t>
      </w:r>
      <w:r>
        <w:rPr>
          <w:rFonts w:ascii="Arial" w:eastAsia="Arial" w:hAnsi="Arial" w:cs="Arial"/>
          <w:sz w:val="20"/>
        </w:rPr>
        <w:t xml:space="preserve"> recorded by Paul (1998</w:t>
      </w:r>
      <w:proofErr w:type="gramStart"/>
      <w:r>
        <w:rPr>
          <w:rFonts w:ascii="Arial" w:eastAsia="Arial" w:hAnsi="Arial" w:cs="Arial"/>
          <w:sz w:val="20"/>
        </w:rPr>
        <w:t>)  in</w:t>
      </w:r>
      <w:proofErr w:type="gramEnd"/>
      <w:r>
        <w:rPr>
          <w:rFonts w:ascii="Arial" w:eastAsia="Arial" w:hAnsi="Arial" w:cs="Arial"/>
          <w:sz w:val="20"/>
        </w:rPr>
        <w:t xml:space="preserve"> BAU campus, Mymensingh. The relatively high total ammonia levels recorded in the current study could be due to the </w:t>
      </w:r>
      <w:proofErr w:type="spellStart"/>
      <w:r>
        <w:rPr>
          <w:rFonts w:ascii="Arial" w:eastAsia="Arial" w:hAnsi="Arial" w:cs="Arial"/>
          <w:sz w:val="20"/>
        </w:rPr>
        <w:t>faecal</w:t>
      </w:r>
      <w:proofErr w:type="spellEnd"/>
      <w:r>
        <w:rPr>
          <w:rFonts w:ascii="Arial" w:eastAsia="Arial" w:hAnsi="Arial" w:cs="Arial"/>
          <w:sz w:val="20"/>
        </w:rPr>
        <w:t xml:space="preserve"> materials released from the </w:t>
      </w:r>
      <w:proofErr w:type="gramStart"/>
      <w:r w:rsidR="007C3B7A">
        <w:rPr>
          <w:rFonts w:ascii="Arial" w:eastAsia="Arial" w:hAnsi="Arial" w:cs="Arial"/>
          <w:sz w:val="20"/>
        </w:rPr>
        <w:t xml:space="preserve">nursed </w:t>
      </w:r>
      <w:r>
        <w:rPr>
          <w:rFonts w:ascii="Arial" w:eastAsia="Arial" w:hAnsi="Arial" w:cs="Arial"/>
          <w:sz w:val="20"/>
        </w:rPr>
        <w:t xml:space="preserve"> fingerlings</w:t>
      </w:r>
      <w:proofErr w:type="gramEnd"/>
      <w:r>
        <w:rPr>
          <w:rFonts w:ascii="Arial" w:eastAsia="Arial" w:hAnsi="Arial" w:cs="Arial"/>
          <w:sz w:val="20"/>
        </w:rPr>
        <w:t xml:space="preserve"> into the </w:t>
      </w:r>
      <w:proofErr w:type="spellStart"/>
      <w:r>
        <w:rPr>
          <w:rFonts w:ascii="Arial" w:eastAsia="Arial" w:hAnsi="Arial" w:cs="Arial"/>
          <w:sz w:val="20"/>
        </w:rPr>
        <w:t>hapas</w:t>
      </w:r>
      <w:proofErr w:type="spellEnd"/>
      <w:r>
        <w:rPr>
          <w:rFonts w:ascii="Arial" w:eastAsia="Arial" w:hAnsi="Arial" w:cs="Arial"/>
          <w:sz w:val="20"/>
        </w:rPr>
        <w:t xml:space="preserve">. </w:t>
      </w:r>
    </w:p>
    <w:p w:rsidR="00196F0D" w:rsidRDefault="00196F0D">
      <w:pPr>
        <w:spacing w:after="0" w:line="240" w:lineRule="auto"/>
        <w:jc w:val="both"/>
        <w:rPr>
          <w:rFonts w:ascii="Arial" w:eastAsia="Arial" w:hAnsi="Arial" w:cs="Arial"/>
          <w:sz w:val="20"/>
        </w:rPr>
      </w:pPr>
    </w:p>
    <w:p w:rsidR="00196F0D" w:rsidRDefault="00457EB6">
      <w:pPr>
        <w:spacing w:after="0" w:line="240" w:lineRule="auto"/>
        <w:jc w:val="both"/>
        <w:rPr>
          <w:rFonts w:ascii="Arial" w:eastAsia="Arial" w:hAnsi="Arial" w:cs="Arial"/>
          <w:sz w:val="20"/>
        </w:rPr>
      </w:pPr>
      <w:r>
        <w:rPr>
          <w:rFonts w:ascii="Arial" w:eastAsia="Arial" w:hAnsi="Arial" w:cs="Arial"/>
          <w:sz w:val="20"/>
        </w:rPr>
        <w:t>“</w:t>
      </w:r>
      <w:bookmarkStart w:id="5" w:name="_GoBack"/>
      <w:bookmarkEnd w:id="5"/>
      <w:r w:rsidR="00E01C14">
        <w:rPr>
          <w:rFonts w:ascii="Arial" w:eastAsia="Arial" w:hAnsi="Arial" w:cs="Arial"/>
          <w:sz w:val="20"/>
        </w:rPr>
        <w:t xml:space="preserve">The profitability of a fish farming venture is reflected in the ultimate production cost, which showed variations among the various feed types used in the current study. The gross and the net yields as well as </w:t>
      </w:r>
      <w:r w:rsidR="00E01C14">
        <w:rPr>
          <w:rFonts w:ascii="Arial" w:eastAsia="Arial" w:hAnsi="Arial" w:cs="Arial"/>
          <w:sz w:val="20"/>
        </w:rPr>
        <w:lastRenderedPageBreak/>
        <w:t>the profit indices varied among treatments</w:t>
      </w:r>
      <w:r w:rsidR="00E01C14">
        <w:rPr>
          <w:rFonts w:ascii="Arial" w:eastAsia="Arial" w:hAnsi="Arial" w:cs="Arial"/>
          <w:i/>
          <w:sz w:val="20"/>
        </w:rPr>
        <w:t xml:space="preserve"> A</w:t>
      </w:r>
      <w:r w:rsidR="00E01C14">
        <w:rPr>
          <w:rFonts w:ascii="Arial" w:eastAsia="Arial" w:hAnsi="Arial" w:cs="Arial"/>
          <w:sz w:val="20"/>
        </w:rPr>
        <w:t xml:space="preserve">, </w:t>
      </w:r>
      <w:r w:rsidR="00E01C14">
        <w:rPr>
          <w:rFonts w:ascii="Arial" w:eastAsia="Arial" w:hAnsi="Arial" w:cs="Arial"/>
          <w:i/>
          <w:sz w:val="20"/>
        </w:rPr>
        <w:t>B</w:t>
      </w:r>
      <w:r w:rsidR="00E01C14">
        <w:rPr>
          <w:rFonts w:ascii="Arial" w:eastAsia="Arial" w:hAnsi="Arial" w:cs="Arial"/>
          <w:sz w:val="20"/>
        </w:rPr>
        <w:t xml:space="preserve"> and </w:t>
      </w:r>
      <w:r w:rsidR="00E01C14">
        <w:rPr>
          <w:rFonts w:ascii="Arial" w:eastAsia="Arial" w:hAnsi="Arial" w:cs="Arial"/>
          <w:i/>
          <w:sz w:val="20"/>
        </w:rPr>
        <w:t>C</w:t>
      </w:r>
      <w:r w:rsidR="00E01C14">
        <w:rPr>
          <w:rFonts w:ascii="Arial" w:eastAsia="Arial" w:hAnsi="Arial" w:cs="Arial"/>
          <w:sz w:val="20"/>
        </w:rPr>
        <w:t xml:space="preserve"> due mainly to differences in feed costs. Even though the harvested biomass from treatment </w:t>
      </w:r>
      <w:r w:rsidR="00E01C14">
        <w:rPr>
          <w:rFonts w:ascii="Arial" w:eastAsia="Arial" w:hAnsi="Arial" w:cs="Arial"/>
          <w:i/>
          <w:sz w:val="20"/>
        </w:rPr>
        <w:t>B</w:t>
      </w:r>
      <w:r w:rsidR="00E01C14">
        <w:rPr>
          <w:rFonts w:ascii="Arial" w:eastAsia="Arial" w:hAnsi="Arial" w:cs="Arial"/>
          <w:sz w:val="20"/>
        </w:rPr>
        <w:t xml:space="preserve"> (fingerlings nursed with catfish feed) was the highest, computed profit indices indicated that composite nursing of Nile tilapia and the African catfish using tilapia feed (</w:t>
      </w:r>
      <w:r w:rsidR="0067113D" w:rsidRPr="0067113D">
        <w:rPr>
          <w:rFonts w:ascii="Arial" w:eastAsia="Arial" w:hAnsi="Arial" w:cs="Arial"/>
          <w:i/>
          <w:sz w:val="20"/>
        </w:rPr>
        <w:t>A</w:t>
      </w:r>
      <w:r w:rsidR="00E01C14">
        <w:rPr>
          <w:rFonts w:ascii="Arial" w:eastAsia="Arial" w:hAnsi="Arial" w:cs="Arial"/>
          <w:sz w:val="20"/>
        </w:rPr>
        <w:t xml:space="preserve">) was more profitable than using either catfish feed of similar crude protein content or an equal mixture of </w:t>
      </w:r>
      <w:proofErr w:type="gramStart"/>
      <w:r w:rsidR="00E01C14">
        <w:rPr>
          <w:rFonts w:ascii="Arial" w:eastAsia="Arial" w:hAnsi="Arial" w:cs="Arial"/>
          <w:sz w:val="20"/>
        </w:rPr>
        <w:t xml:space="preserve">the </w:t>
      </w:r>
      <w:r w:rsidR="007A4F8F">
        <w:rPr>
          <w:rFonts w:ascii="Arial" w:eastAsia="Arial" w:hAnsi="Arial" w:cs="Arial"/>
          <w:sz w:val="20"/>
        </w:rPr>
        <w:t xml:space="preserve"> 2</w:t>
      </w:r>
      <w:proofErr w:type="gramEnd"/>
      <w:r w:rsidR="00E01C14">
        <w:rPr>
          <w:rFonts w:ascii="Arial" w:eastAsia="Arial" w:hAnsi="Arial" w:cs="Arial"/>
          <w:sz w:val="20"/>
        </w:rPr>
        <w:t xml:space="preserve"> feed types. The profit index range (12.74 to 14.97) recorded in the present study was higher than those recorded in previous related studies in which </w:t>
      </w:r>
      <w:r w:rsidR="007A4F8F">
        <w:rPr>
          <w:rFonts w:ascii="Arial" w:eastAsia="Arial" w:hAnsi="Arial" w:cs="Arial"/>
          <w:i/>
          <w:sz w:val="20"/>
        </w:rPr>
        <w:t xml:space="preserve">O. </w:t>
      </w:r>
      <w:proofErr w:type="spellStart"/>
      <w:proofErr w:type="gramStart"/>
      <w:r w:rsidR="007A4F8F">
        <w:rPr>
          <w:rFonts w:ascii="Arial" w:eastAsia="Arial" w:hAnsi="Arial" w:cs="Arial"/>
          <w:i/>
          <w:sz w:val="20"/>
        </w:rPr>
        <w:t>niloticus</w:t>
      </w:r>
      <w:proofErr w:type="spellEnd"/>
      <w:r w:rsidR="007A4F8F">
        <w:rPr>
          <w:rFonts w:ascii="Arial" w:eastAsia="Arial" w:hAnsi="Arial" w:cs="Arial"/>
          <w:i/>
          <w:sz w:val="20"/>
        </w:rPr>
        <w:t xml:space="preserve"> </w:t>
      </w:r>
      <w:r w:rsidR="00E01C14">
        <w:rPr>
          <w:rFonts w:ascii="Arial" w:eastAsia="Arial" w:hAnsi="Arial" w:cs="Arial"/>
          <w:sz w:val="20"/>
        </w:rPr>
        <w:t xml:space="preserve"> fingerlings</w:t>
      </w:r>
      <w:proofErr w:type="gramEnd"/>
      <w:r w:rsidR="00E01C14">
        <w:rPr>
          <w:rFonts w:ascii="Arial" w:eastAsia="Arial" w:hAnsi="Arial" w:cs="Arial"/>
          <w:sz w:val="20"/>
        </w:rPr>
        <w:t xml:space="preserve"> were nursed separately using tilapia feeds of similar crude protein contents</w:t>
      </w:r>
      <w:r>
        <w:rPr>
          <w:rFonts w:ascii="Arial" w:eastAsia="Arial" w:hAnsi="Arial" w:cs="Arial"/>
          <w:sz w:val="20"/>
        </w:rPr>
        <w:t>”</w:t>
      </w:r>
      <w:r w:rsidR="00E01C14">
        <w:rPr>
          <w:rFonts w:ascii="Arial" w:eastAsia="Arial" w:hAnsi="Arial" w:cs="Arial"/>
          <w:sz w:val="20"/>
        </w:rPr>
        <w:t xml:space="preserve"> (</w:t>
      </w:r>
      <w:proofErr w:type="spellStart"/>
      <w:r w:rsidR="00E01C14">
        <w:rPr>
          <w:rFonts w:ascii="Arial" w:eastAsia="Arial" w:hAnsi="Arial" w:cs="Arial"/>
          <w:sz w:val="20"/>
        </w:rPr>
        <w:t>Anani</w:t>
      </w:r>
      <w:proofErr w:type="spellEnd"/>
      <w:r w:rsidR="00E01C14">
        <w:rPr>
          <w:rFonts w:ascii="Arial" w:eastAsia="Arial" w:hAnsi="Arial" w:cs="Arial"/>
          <w:sz w:val="20"/>
        </w:rPr>
        <w:t xml:space="preserve"> </w:t>
      </w:r>
      <w:r w:rsidR="00E01C14">
        <w:rPr>
          <w:rFonts w:ascii="Arial" w:eastAsia="Arial" w:hAnsi="Arial" w:cs="Arial"/>
          <w:i/>
          <w:sz w:val="20"/>
        </w:rPr>
        <w:t>et al</w:t>
      </w:r>
      <w:r w:rsidR="00E01C14">
        <w:rPr>
          <w:rFonts w:ascii="Arial" w:eastAsia="Arial" w:hAnsi="Arial" w:cs="Arial"/>
          <w:sz w:val="20"/>
        </w:rPr>
        <w:t>., 2020).</w:t>
      </w:r>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both"/>
        <w:rPr>
          <w:rFonts w:ascii="Arial" w:eastAsia="Arial" w:hAnsi="Arial" w:cs="Arial"/>
          <w:b/>
        </w:rPr>
      </w:pPr>
    </w:p>
    <w:p w:rsidR="00196F0D" w:rsidRDefault="00196F0D">
      <w:pPr>
        <w:spacing w:after="0" w:line="240" w:lineRule="auto"/>
        <w:jc w:val="both"/>
        <w:rPr>
          <w:rFonts w:ascii="Arial" w:eastAsia="Arial" w:hAnsi="Arial" w:cs="Arial"/>
          <w:b/>
        </w:rPr>
      </w:pP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5. CONCLUSION AND RECOMMENDATIONS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Findings of the study indicated that tilapia or catfish feed of similar crude protein contents or their equal mixture could be used for </w:t>
      </w:r>
      <w:proofErr w:type="gramStart"/>
      <w:r>
        <w:rPr>
          <w:rFonts w:ascii="Arial" w:eastAsia="Arial" w:hAnsi="Arial" w:cs="Arial"/>
          <w:sz w:val="20"/>
        </w:rPr>
        <w:t xml:space="preserve">composite </w:t>
      </w:r>
      <w:r w:rsidR="000769AF">
        <w:rPr>
          <w:rFonts w:ascii="Arial" w:eastAsia="Arial" w:hAnsi="Arial" w:cs="Arial"/>
          <w:sz w:val="20"/>
        </w:rPr>
        <w:t xml:space="preserve"> nursing</w:t>
      </w:r>
      <w:proofErr w:type="gramEnd"/>
      <w:r>
        <w:rPr>
          <w:rFonts w:ascii="Arial" w:eastAsia="Arial" w:hAnsi="Arial" w:cs="Arial"/>
          <w:sz w:val="20"/>
        </w:rPr>
        <w:t xml:space="preserve"> of Nile tilapia, </w:t>
      </w:r>
      <w:r>
        <w:rPr>
          <w:rFonts w:ascii="Arial" w:eastAsia="Arial" w:hAnsi="Arial" w:cs="Arial"/>
          <w:i/>
          <w:sz w:val="20"/>
        </w:rPr>
        <w:t xml:space="preserve">Oreochromis </w:t>
      </w:r>
      <w:proofErr w:type="spellStart"/>
      <w:r>
        <w:rPr>
          <w:rFonts w:ascii="Arial" w:eastAsia="Arial" w:hAnsi="Arial" w:cs="Arial"/>
          <w:i/>
          <w:sz w:val="20"/>
        </w:rPr>
        <w:t>niloticus</w:t>
      </w:r>
      <w:proofErr w:type="spellEnd"/>
      <w:r>
        <w:rPr>
          <w:rFonts w:ascii="Arial" w:eastAsia="Arial" w:hAnsi="Arial" w:cs="Arial"/>
          <w:sz w:val="20"/>
        </w:rPr>
        <w:t xml:space="preserve"> and the African catfish, </w:t>
      </w:r>
      <w:proofErr w:type="spellStart"/>
      <w:r>
        <w:rPr>
          <w:rFonts w:ascii="Arial" w:eastAsia="Arial" w:hAnsi="Arial" w:cs="Arial"/>
          <w:i/>
          <w:sz w:val="20"/>
        </w:rPr>
        <w:t>Clarias</w:t>
      </w:r>
      <w:proofErr w:type="spellEnd"/>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However, the cheaper one should be opted for; purely for reasons of cost-effectiveness. Hence, this may be </w:t>
      </w:r>
      <w:proofErr w:type="spellStart"/>
      <w:r>
        <w:rPr>
          <w:rFonts w:ascii="Arial" w:eastAsia="Arial" w:hAnsi="Arial" w:cs="Arial"/>
          <w:sz w:val="20"/>
        </w:rPr>
        <w:t>practised</w:t>
      </w:r>
      <w:proofErr w:type="spellEnd"/>
      <w:r>
        <w:rPr>
          <w:rFonts w:ascii="Arial" w:eastAsia="Arial" w:hAnsi="Arial" w:cs="Arial"/>
          <w:sz w:val="20"/>
        </w:rPr>
        <w:t xml:space="preserve"> </w:t>
      </w:r>
      <w:proofErr w:type="gramStart"/>
      <w:r>
        <w:rPr>
          <w:rFonts w:ascii="Arial" w:eastAsia="Arial" w:hAnsi="Arial" w:cs="Arial"/>
          <w:sz w:val="20"/>
        </w:rPr>
        <w:t>by  tilapia</w:t>
      </w:r>
      <w:proofErr w:type="gramEnd"/>
      <w:r>
        <w:rPr>
          <w:rFonts w:ascii="Arial" w:eastAsia="Arial" w:hAnsi="Arial" w:cs="Arial"/>
          <w:sz w:val="20"/>
        </w:rPr>
        <w:t xml:space="preserve"> and catfish hatchery operators for optimum yields and increased returns on investments.</w:t>
      </w:r>
    </w:p>
    <w:p w:rsidR="00196F0D" w:rsidRDefault="00196F0D">
      <w:pPr>
        <w:spacing w:after="0" w:line="240" w:lineRule="auto"/>
        <w:jc w:val="both"/>
        <w:rPr>
          <w:rFonts w:ascii="Arial" w:eastAsia="Arial" w:hAnsi="Arial" w:cs="Arial"/>
          <w:sz w:val="20"/>
        </w:rPr>
      </w:pP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Disclaimer (Artificial intelligence)</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Option 1:</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Author(s) hereby declare that NO generative AI technologies such as Large Language Models (</w:t>
      </w:r>
      <w:proofErr w:type="spellStart"/>
      <w:r>
        <w:rPr>
          <w:rFonts w:ascii="Calibri" w:eastAsia="Calibri" w:hAnsi="Calibri" w:cs="Calibri"/>
          <w:shd w:val="clear" w:color="auto" w:fill="FFFF00"/>
        </w:rPr>
        <w:t>ChatGPT</w:t>
      </w:r>
      <w:proofErr w:type="spellEnd"/>
      <w:r>
        <w:rPr>
          <w:rFonts w:ascii="Calibri" w:eastAsia="Calibri" w:hAnsi="Calibri" w:cs="Calibri"/>
          <w:shd w:val="clear" w:color="auto" w:fill="FFFF00"/>
        </w:rPr>
        <w:t xml:space="preserve">, COPILOT, etc.) and text-to-image generators have been used during the writing or editing of this manuscript. </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 xml:space="preserve">Option 2: </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Details of the AI usage are given below:</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1.</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2.</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3.</w:t>
      </w:r>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REFERENCES</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 xml:space="preserve">Abu, O. M. G., </w:t>
      </w:r>
      <w:proofErr w:type="spellStart"/>
      <w:r w:rsidRPr="002F71D8">
        <w:rPr>
          <w:rFonts w:ascii="Arial" w:eastAsia="Arial" w:hAnsi="Arial" w:cs="Arial"/>
          <w:sz w:val="20"/>
        </w:rPr>
        <w:t>Sanni</w:t>
      </w:r>
      <w:proofErr w:type="spellEnd"/>
      <w:r w:rsidRPr="002F71D8">
        <w:rPr>
          <w:rFonts w:ascii="Arial" w:eastAsia="Arial" w:hAnsi="Arial" w:cs="Arial"/>
          <w:sz w:val="20"/>
        </w:rPr>
        <w:t xml:space="preserve">, L. O., </w:t>
      </w:r>
      <w:proofErr w:type="spellStart"/>
      <w:r w:rsidRPr="002F71D8">
        <w:rPr>
          <w:rFonts w:ascii="Arial" w:eastAsia="Arial" w:hAnsi="Arial" w:cs="Arial"/>
          <w:sz w:val="20"/>
        </w:rPr>
        <w:t>Erondu</w:t>
      </w:r>
      <w:proofErr w:type="spellEnd"/>
      <w:r w:rsidRPr="002F71D8">
        <w:rPr>
          <w:rFonts w:ascii="Arial" w:eastAsia="Arial" w:hAnsi="Arial" w:cs="Arial"/>
          <w:sz w:val="20"/>
        </w:rPr>
        <w:t xml:space="preserve">, E. S., &amp; </w:t>
      </w:r>
      <w:proofErr w:type="spellStart"/>
      <w:r w:rsidRPr="002F71D8">
        <w:rPr>
          <w:rFonts w:ascii="Arial" w:eastAsia="Arial" w:hAnsi="Arial" w:cs="Arial"/>
          <w:sz w:val="20"/>
        </w:rPr>
        <w:t>Akinrotimi</w:t>
      </w:r>
      <w:proofErr w:type="spellEnd"/>
      <w:r w:rsidRPr="002F71D8">
        <w:rPr>
          <w:rFonts w:ascii="Arial" w:eastAsia="Arial" w:hAnsi="Arial" w:cs="Arial"/>
          <w:sz w:val="20"/>
        </w:rPr>
        <w:t>, O. A. (2010). Economic viability of</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replacing maize with whole cassava root meal in the diet of hybrid catfish. </w:t>
      </w:r>
      <w:r w:rsidRPr="002F71D8">
        <w:rPr>
          <w:rFonts w:ascii="Arial" w:eastAsia="Arial" w:hAnsi="Arial" w:cs="Arial"/>
          <w:i/>
          <w:color w:val="000000"/>
          <w:sz w:val="20"/>
        </w:rPr>
        <w:t>Journal of Agricultural Science</w:t>
      </w:r>
      <w:r w:rsidRPr="002F71D8">
        <w:rPr>
          <w:rFonts w:ascii="Arial" w:eastAsia="Arial" w:hAnsi="Arial" w:cs="Arial"/>
          <w:color w:val="000000"/>
          <w:sz w:val="20"/>
        </w:rPr>
        <w:t>,</w:t>
      </w:r>
      <w:r w:rsidRPr="002F71D8">
        <w:rPr>
          <w:rFonts w:ascii="Arial" w:eastAsia="Arial" w:hAnsi="Arial" w:cs="Arial"/>
          <w:sz w:val="20"/>
        </w:rPr>
        <w:t xml:space="preserve"> 1, 1-5.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 xml:space="preserve">Ahmed, G. U., Rahman, M. M., </w:t>
      </w:r>
      <w:proofErr w:type="spellStart"/>
      <w:r w:rsidRPr="002F71D8">
        <w:rPr>
          <w:rFonts w:ascii="Arial" w:eastAsia="Arial" w:hAnsi="Arial" w:cs="Arial"/>
          <w:sz w:val="20"/>
        </w:rPr>
        <w:t>Alam</w:t>
      </w:r>
      <w:proofErr w:type="spellEnd"/>
      <w:r w:rsidRPr="002F71D8">
        <w:rPr>
          <w:rFonts w:ascii="Arial" w:eastAsia="Arial" w:hAnsi="Arial" w:cs="Arial"/>
          <w:sz w:val="20"/>
        </w:rPr>
        <w:t xml:space="preserve">, M. N., &amp; </w:t>
      </w:r>
      <w:proofErr w:type="spellStart"/>
      <w:r w:rsidRPr="002F71D8">
        <w:rPr>
          <w:rFonts w:ascii="Arial" w:eastAsia="Arial" w:hAnsi="Arial" w:cs="Arial"/>
          <w:sz w:val="20"/>
        </w:rPr>
        <w:t>Sarker</w:t>
      </w:r>
      <w:proofErr w:type="spellEnd"/>
      <w:r w:rsidRPr="002F71D8">
        <w:rPr>
          <w:rFonts w:ascii="Arial" w:eastAsia="Arial" w:hAnsi="Arial" w:cs="Arial"/>
          <w:sz w:val="20"/>
        </w:rPr>
        <w:t>, B. (2015). Comparative study on growth</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lastRenderedPageBreak/>
        <w:t xml:space="preserve">performance of Thai </w:t>
      </w:r>
      <w:proofErr w:type="spellStart"/>
      <w:r w:rsidRPr="002F71D8">
        <w:rPr>
          <w:rFonts w:ascii="Arial" w:eastAsia="Arial" w:hAnsi="Arial" w:cs="Arial"/>
          <w:sz w:val="20"/>
        </w:rPr>
        <w:t>sharpunti</w:t>
      </w:r>
      <w:proofErr w:type="spellEnd"/>
      <w:r w:rsidRPr="002F71D8">
        <w:rPr>
          <w:rFonts w:ascii="Arial" w:eastAsia="Arial" w:hAnsi="Arial" w:cs="Arial"/>
          <w:sz w:val="20"/>
        </w:rPr>
        <w:t xml:space="preserve"> (</w:t>
      </w:r>
      <w:r w:rsidRPr="002F71D8">
        <w:rPr>
          <w:rFonts w:ascii="Arial" w:eastAsia="Arial" w:hAnsi="Arial" w:cs="Arial"/>
          <w:i/>
          <w:sz w:val="20"/>
        </w:rPr>
        <w:t>Puntius</w:t>
      </w:r>
      <w:r w:rsidRPr="002F71D8">
        <w:rPr>
          <w:rFonts w:ascii="Arial" w:eastAsia="Arial" w:hAnsi="Arial" w:cs="Arial"/>
          <w:sz w:val="20"/>
        </w:rPr>
        <w:t xml:space="preserve"> </w:t>
      </w:r>
      <w:proofErr w:type="spellStart"/>
      <w:r w:rsidRPr="002F71D8">
        <w:rPr>
          <w:rFonts w:ascii="Arial" w:eastAsia="Arial" w:hAnsi="Arial" w:cs="Arial"/>
          <w:i/>
          <w:sz w:val="20"/>
        </w:rPr>
        <w:t>gonionotus</w:t>
      </w:r>
      <w:proofErr w:type="spellEnd"/>
      <w:r w:rsidRPr="002F71D8">
        <w:rPr>
          <w:rFonts w:ascii="Arial" w:eastAsia="Arial" w:hAnsi="Arial" w:cs="Arial"/>
          <w:sz w:val="20"/>
        </w:rPr>
        <w:t>) using two different weeds, duck weed (</w:t>
      </w:r>
      <w:proofErr w:type="spellStart"/>
      <w:r w:rsidRPr="002F71D8">
        <w:rPr>
          <w:rFonts w:ascii="Arial" w:eastAsia="Arial" w:hAnsi="Arial" w:cs="Arial"/>
          <w:i/>
          <w:sz w:val="20"/>
        </w:rPr>
        <w:t>Lemna</w:t>
      </w:r>
      <w:proofErr w:type="spellEnd"/>
      <w:r w:rsidRPr="002F71D8">
        <w:rPr>
          <w:rFonts w:ascii="Arial" w:eastAsia="Arial" w:hAnsi="Arial" w:cs="Arial"/>
          <w:sz w:val="20"/>
        </w:rPr>
        <w:t xml:space="preserve"> </w:t>
      </w:r>
      <w:r w:rsidRPr="002F71D8">
        <w:rPr>
          <w:rFonts w:ascii="Arial" w:eastAsia="Arial" w:hAnsi="Arial" w:cs="Arial"/>
          <w:i/>
          <w:sz w:val="20"/>
        </w:rPr>
        <w:t>minor</w:t>
      </w:r>
      <w:r w:rsidRPr="002F71D8">
        <w:rPr>
          <w:rFonts w:ascii="Arial" w:eastAsia="Arial" w:hAnsi="Arial" w:cs="Arial"/>
          <w:sz w:val="20"/>
        </w:rPr>
        <w:t>) and red water fern (</w:t>
      </w:r>
      <w:proofErr w:type="spellStart"/>
      <w:r w:rsidRPr="002F71D8">
        <w:rPr>
          <w:rFonts w:ascii="Arial" w:eastAsia="Arial" w:hAnsi="Arial" w:cs="Arial"/>
          <w:i/>
          <w:sz w:val="20"/>
        </w:rPr>
        <w:t>Azolla</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pinneta</w:t>
      </w:r>
      <w:proofErr w:type="spellEnd"/>
      <w:r w:rsidRPr="002F71D8">
        <w:rPr>
          <w:rFonts w:ascii="Arial" w:eastAsia="Arial" w:hAnsi="Arial" w:cs="Arial"/>
          <w:sz w:val="20"/>
        </w:rPr>
        <w:t xml:space="preserve">). </w:t>
      </w:r>
      <w:r w:rsidRPr="002F71D8">
        <w:rPr>
          <w:rFonts w:ascii="Arial" w:eastAsia="Arial" w:hAnsi="Arial" w:cs="Arial"/>
          <w:i/>
          <w:color w:val="000000"/>
          <w:sz w:val="20"/>
        </w:rPr>
        <w:t>Research in Agricultural, Livestock and Fisheries</w:t>
      </w:r>
      <w:r w:rsidRPr="002F71D8">
        <w:rPr>
          <w:rFonts w:ascii="Arial" w:eastAsia="Arial" w:hAnsi="Arial" w:cs="Arial"/>
          <w:color w:val="000000"/>
          <w:sz w:val="20"/>
        </w:rPr>
        <w:t>,</w:t>
      </w:r>
      <w:r w:rsidRPr="002F71D8">
        <w:rPr>
          <w:rFonts w:ascii="Arial" w:eastAsia="Arial" w:hAnsi="Arial" w:cs="Arial"/>
          <w:i/>
          <w:color w:val="FF0000"/>
          <w:sz w:val="20"/>
        </w:rPr>
        <w:t xml:space="preserve"> </w:t>
      </w:r>
      <w:r w:rsidRPr="002F71D8">
        <w:rPr>
          <w:rFonts w:ascii="Arial" w:eastAsia="Arial" w:hAnsi="Arial" w:cs="Arial"/>
          <w:sz w:val="20"/>
        </w:rPr>
        <w:t>2(2), 369-374</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Amoussou</w:t>
      </w:r>
      <w:proofErr w:type="spellEnd"/>
      <w:r w:rsidRPr="002F71D8">
        <w:rPr>
          <w:rFonts w:ascii="Arial" w:eastAsia="Arial" w:hAnsi="Arial" w:cs="Arial"/>
          <w:sz w:val="20"/>
        </w:rPr>
        <w:t xml:space="preserve">, N., </w:t>
      </w:r>
      <w:proofErr w:type="spellStart"/>
      <w:r w:rsidRPr="002F71D8">
        <w:rPr>
          <w:rFonts w:ascii="Arial" w:eastAsia="Arial" w:hAnsi="Arial" w:cs="Arial"/>
          <w:sz w:val="20"/>
        </w:rPr>
        <w:t>Lecocq</w:t>
      </w:r>
      <w:proofErr w:type="spellEnd"/>
      <w:r w:rsidRPr="002F71D8">
        <w:rPr>
          <w:rFonts w:ascii="Arial" w:eastAsia="Arial" w:hAnsi="Arial" w:cs="Arial"/>
          <w:sz w:val="20"/>
        </w:rPr>
        <w:t xml:space="preserve">, T., </w:t>
      </w:r>
      <w:proofErr w:type="spellStart"/>
      <w:r w:rsidRPr="002F71D8">
        <w:rPr>
          <w:rFonts w:ascii="Arial" w:eastAsia="Arial" w:hAnsi="Arial" w:cs="Arial"/>
          <w:sz w:val="20"/>
        </w:rPr>
        <w:t>Fourrier</w:t>
      </w:r>
      <w:proofErr w:type="spellEnd"/>
      <w:r w:rsidRPr="002F71D8">
        <w:rPr>
          <w:rFonts w:ascii="Arial" w:eastAsia="Arial" w:hAnsi="Arial" w:cs="Arial"/>
          <w:sz w:val="20"/>
        </w:rPr>
        <w:t xml:space="preserve">, C., </w:t>
      </w:r>
      <w:proofErr w:type="spellStart"/>
      <w:r w:rsidRPr="002F71D8">
        <w:rPr>
          <w:rFonts w:ascii="Arial" w:eastAsia="Arial" w:hAnsi="Arial" w:cs="Arial"/>
          <w:sz w:val="20"/>
        </w:rPr>
        <w:t>Nivelle</w:t>
      </w:r>
      <w:proofErr w:type="spellEnd"/>
      <w:r w:rsidRPr="002F71D8">
        <w:rPr>
          <w:rFonts w:ascii="Arial" w:eastAsia="Arial" w:hAnsi="Arial" w:cs="Arial"/>
          <w:sz w:val="20"/>
        </w:rPr>
        <w:t xml:space="preserve">, R., Fleck, C., Fontaine, P., </w:t>
      </w:r>
      <w:proofErr w:type="spellStart"/>
      <w:r w:rsidRPr="002F71D8">
        <w:rPr>
          <w:rFonts w:ascii="Arial" w:eastAsia="Arial" w:hAnsi="Arial" w:cs="Arial"/>
          <w:sz w:val="20"/>
        </w:rPr>
        <w:t>Pasquet</w:t>
      </w:r>
      <w:proofErr w:type="spellEnd"/>
      <w:r w:rsidRPr="002F71D8">
        <w:rPr>
          <w:rFonts w:ascii="Arial" w:eastAsia="Arial" w:hAnsi="Arial" w:cs="Arial"/>
          <w:sz w:val="20"/>
        </w:rPr>
        <w:t>, A., &amp;</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Thomas, M. (2022). A multi-trait evaluation framework to assess the consequences of polyculture in fish production: An application for pikeperch in recirculated aquaculture systems. </w:t>
      </w:r>
      <w:r w:rsidRPr="002F71D8">
        <w:rPr>
          <w:rFonts w:ascii="Arial" w:eastAsia="Arial" w:hAnsi="Arial" w:cs="Arial"/>
          <w:i/>
          <w:sz w:val="20"/>
        </w:rPr>
        <w:t>Aquaculture Reports</w:t>
      </w:r>
      <w:r w:rsidRPr="002F71D8">
        <w:rPr>
          <w:rFonts w:ascii="Arial" w:eastAsia="Arial" w:hAnsi="Arial" w:cs="Arial"/>
          <w:sz w:val="20"/>
        </w:rPr>
        <w:t>, 27, 101349.</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Anani</w:t>
      </w:r>
      <w:proofErr w:type="spellEnd"/>
      <w:r w:rsidRPr="002F71D8">
        <w:rPr>
          <w:rFonts w:ascii="Arial" w:eastAsia="Arial" w:hAnsi="Arial" w:cs="Arial"/>
          <w:sz w:val="20"/>
        </w:rPr>
        <w:t xml:space="preserve">, F. A., </w:t>
      </w:r>
      <w:proofErr w:type="spellStart"/>
      <w:r w:rsidRPr="002F71D8">
        <w:rPr>
          <w:rFonts w:ascii="Arial" w:eastAsia="Arial" w:hAnsi="Arial" w:cs="Arial"/>
          <w:sz w:val="20"/>
        </w:rPr>
        <w:t>Atsakpo</w:t>
      </w:r>
      <w:proofErr w:type="spellEnd"/>
      <w:r w:rsidRPr="002F71D8">
        <w:rPr>
          <w:rFonts w:ascii="Arial" w:eastAsia="Arial" w:hAnsi="Arial" w:cs="Arial"/>
          <w:sz w:val="20"/>
        </w:rPr>
        <w:t xml:space="preserve">, P. D. K., Donkor, K. K., Felix A. </w:t>
      </w:r>
      <w:proofErr w:type="spellStart"/>
      <w:r w:rsidRPr="002F71D8">
        <w:rPr>
          <w:rFonts w:ascii="Arial" w:eastAsia="Arial" w:hAnsi="Arial" w:cs="Arial"/>
          <w:sz w:val="20"/>
        </w:rPr>
        <w:t>Ayarika</w:t>
      </w:r>
      <w:proofErr w:type="spellEnd"/>
      <w:r w:rsidRPr="002F71D8">
        <w:rPr>
          <w:rFonts w:ascii="Arial" w:eastAsia="Arial" w:hAnsi="Arial" w:cs="Arial"/>
          <w:sz w:val="20"/>
        </w:rPr>
        <w:t>, F. A., Mercy Johnson-</w:t>
      </w:r>
      <w:proofErr w:type="spellStart"/>
      <w:r w:rsidRPr="002F71D8">
        <w:rPr>
          <w:rFonts w:ascii="Arial" w:eastAsia="Arial" w:hAnsi="Arial" w:cs="Arial"/>
          <w:sz w:val="20"/>
        </w:rPr>
        <w:t>Ashun</w:t>
      </w:r>
      <w:proofErr w:type="spellEnd"/>
      <w:r w:rsidRPr="002F71D8">
        <w:rPr>
          <w:rFonts w:ascii="Arial" w:eastAsia="Arial" w:hAnsi="Arial" w:cs="Arial"/>
          <w:sz w:val="20"/>
        </w:rPr>
        <w:t>,</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M., &amp; </w:t>
      </w:r>
      <w:proofErr w:type="spellStart"/>
      <w:r w:rsidRPr="002F71D8">
        <w:rPr>
          <w:rFonts w:ascii="Arial" w:eastAsia="Arial" w:hAnsi="Arial" w:cs="Arial"/>
          <w:sz w:val="20"/>
        </w:rPr>
        <w:t>Dankwa</w:t>
      </w:r>
      <w:proofErr w:type="spellEnd"/>
      <w:r w:rsidRPr="002F71D8">
        <w:rPr>
          <w:rFonts w:ascii="Arial" w:eastAsia="Arial" w:hAnsi="Arial" w:cs="Arial"/>
          <w:sz w:val="20"/>
        </w:rPr>
        <w:t xml:space="preserve">, E. T. (2024). Profitability of using five different commercial tilapia starter feeds on the Ghanaian Market in Nile tilapia,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fingerlings production. </w:t>
      </w:r>
      <w:r w:rsidRPr="002F71D8">
        <w:rPr>
          <w:rFonts w:ascii="Arial" w:eastAsia="Arial" w:hAnsi="Arial" w:cs="Arial"/>
          <w:i/>
          <w:sz w:val="20"/>
        </w:rPr>
        <w:t>Aquaculture Studies</w:t>
      </w:r>
      <w:r w:rsidRPr="002F71D8">
        <w:rPr>
          <w:rFonts w:ascii="Arial" w:eastAsia="Arial" w:hAnsi="Arial" w:cs="Arial"/>
          <w:sz w:val="20"/>
        </w:rPr>
        <w:t xml:space="preserve">, 24(2), AQUAST1343. </w:t>
      </w:r>
      <w:hyperlink r:id="rId5">
        <w:r w:rsidRPr="002F71D8">
          <w:rPr>
            <w:rFonts w:ascii="Arial" w:eastAsia="Arial" w:hAnsi="Arial" w:cs="Arial"/>
            <w:color w:val="0000FF"/>
            <w:sz w:val="20"/>
            <w:u w:val="single"/>
          </w:rPr>
          <w:t>http://doi.org/10.4194/AQUAST1343</w:t>
        </w:r>
      </w:hyperlink>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proofErr w:type="gramStart"/>
      <w:r w:rsidRPr="002F71D8">
        <w:rPr>
          <w:rFonts w:ascii="Arial" w:eastAsia="Arial" w:hAnsi="Arial" w:cs="Arial"/>
          <w:sz w:val="20"/>
        </w:rPr>
        <w:t>Anani</w:t>
      </w:r>
      <w:proofErr w:type="spellEnd"/>
      <w:r w:rsidRPr="002F71D8">
        <w:rPr>
          <w:rFonts w:ascii="Arial" w:eastAsia="Arial" w:hAnsi="Arial" w:cs="Arial"/>
          <w:sz w:val="20"/>
        </w:rPr>
        <w:t xml:space="preserve"> ,</w:t>
      </w:r>
      <w:proofErr w:type="gramEnd"/>
      <w:r w:rsidRPr="002F71D8">
        <w:rPr>
          <w:rFonts w:ascii="Arial" w:eastAsia="Arial" w:hAnsi="Arial" w:cs="Arial"/>
          <w:sz w:val="20"/>
        </w:rPr>
        <w:t xml:space="preserve">F. A., </w:t>
      </w:r>
      <w:proofErr w:type="spellStart"/>
      <w:r w:rsidRPr="002F71D8">
        <w:rPr>
          <w:rFonts w:ascii="Arial" w:eastAsia="Arial" w:hAnsi="Arial" w:cs="Arial"/>
          <w:sz w:val="20"/>
        </w:rPr>
        <w:t>Nunoo</w:t>
      </w:r>
      <w:proofErr w:type="spellEnd"/>
      <w:r w:rsidRPr="002F71D8">
        <w:rPr>
          <w:rFonts w:ascii="Arial" w:eastAsia="Arial" w:hAnsi="Arial" w:cs="Arial"/>
          <w:sz w:val="20"/>
        </w:rPr>
        <w:t xml:space="preserve"> , F. K. E., Steiner-</w:t>
      </w:r>
      <w:proofErr w:type="spellStart"/>
      <w:r w:rsidRPr="002F71D8">
        <w:rPr>
          <w:rFonts w:ascii="Arial" w:eastAsia="Arial" w:hAnsi="Arial" w:cs="Arial"/>
          <w:sz w:val="20"/>
        </w:rPr>
        <w:t>Asiedu</w:t>
      </w:r>
      <w:proofErr w:type="spellEnd"/>
      <w:r w:rsidRPr="002F71D8">
        <w:rPr>
          <w:rFonts w:ascii="Arial" w:eastAsia="Arial" w:hAnsi="Arial" w:cs="Arial"/>
          <w:sz w:val="20"/>
        </w:rPr>
        <w:t xml:space="preserve">, M., </w:t>
      </w:r>
      <w:proofErr w:type="spellStart"/>
      <w:r w:rsidRPr="002F71D8">
        <w:rPr>
          <w:rFonts w:ascii="Arial" w:eastAsia="Arial" w:hAnsi="Arial" w:cs="Arial"/>
          <w:sz w:val="20"/>
        </w:rPr>
        <w:t>Nortey</w:t>
      </w:r>
      <w:proofErr w:type="spellEnd"/>
      <w:r w:rsidRPr="002F71D8">
        <w:rPr>
          <w:rFonts w:ascii="Arial" w:eastAsia="Arial" w:hAnsi="Arial" w:cs="Arial"/>
          <w:sz w:val="20"/>
        </w:rPr>
        <w:t xml:space="preserve">, T. N. N., &amp; </w:t>
      </w:r>
      <w:proofErr w:type="spellStart"/>
      <w:r w:rsidRPr="002F71D8">
        <w:rPr>
          <w:rFonts w:ascii="Arial" w:eastAsia="Arial" w:hAnsi="Arial" w:cs="Arial"/>
          <w:sz w:val="20"/>
        </w:rPr>
        <w:t>Agbo</w:t>
      </w:r>
      <w:proofErr w:type="spellEnd"/>
      <w:r w:rsidRPr="002F71D8">
        <w:rPr>
          <w:rFonts w:ascii="Arial" w:eastAsia="Arial" w:hAnsi="Arial" w:cs="Arial"/>
          <w:sz w:val="20"/>
        </w:rPr>
        <w:t>, N. W. (2017).</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Evaluation of farm-made and commercial tilapia diets for small-scale </w:t>
      </w:r>
      <w:proofErr w:type="spellStart"/>
      <w:r w:rsidRPr="002F71D8">
        <w:rPr>
          <w:rFonts w:ascii="Arial" w:eastAsia="Arial" w:hAnsi="Arial" w:cs="Arial"/>
          <w:sz w:val="20"/>
        </w:rPr>
        <w:t>hapa</w:t>
      </w:r>
      <w:proofErr w:type="spellEnd"/>
      <w:r w:rsidRPr="002F71D8">
        <w:rPr>
          <w:rFonts w:ascii="Arial" w:eastAsia="Arial" w:hAnsi="Arial" w:cs="Arial"/>
          <w:sz w:val="20"/>
        </w:rPr>
        <w:t xml:space="preserve"> production of Nile tilapia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L.) in Ghana. </w:t>
      </w:r>
      <w:r w:rsidRPr="002F71D8">
        <w:rPr>
          <w:rFonts w:ascii="Arial" w:eastAsia="Arial" w:hAnsi="Arial" w:cs="Arial"/>
          <w:i/>
          <w:sz w:val="20"/>
        </w:rPr>
        <w:t>Journal of Applied Life Science International</w:t>
      </w:r>
      <w:r w:rsidRPr="002F71D8">
        <w:rPr>
          <w:rFonts w:ascii="Arial" w:eastAsia="Arial" w:hAnsi="Arial" w:cs="Arial"/>
          <w:sz w:val="20"/>
        </w:rPr>
        <w:t>, 10(3), 1-12.</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Anani</w:t>
      </w:r>
      <w:proofErr w:type="spellEnd"/>
      <w:r w:rsidRPr="002F71D8">
        <w:rPr>
          <w:rFonts w:ascii="Arial" w:eastAsia="Arial" w:hAnsi="Arial" w:cs="Arial"/>
          <w:sz w:val="20"/>
        </w:rPr>
        <w:t xml:space="preserve">, F. A., </w:t>
      </w:r>
      <w:proofErr w:type="spellStart"/>
      <w:r w:rsidRPr="002F71D8">
        <w:rPr>
          <w:rFonts w:ascii="Arial" w:eastAsia="Arial" w:hAnsi="Arial" w:cs="Arial"/>
          <w:sz w:val="20"/>
        </w:rPr>
        <w:t>Tornyeviadzi</w:t>
      </w:r>
      <w:proofErr w:type="spellEnd"/>
      <w:r w:rsidRPr="002F71D8">
        <w:rPr>
          <w:rFonts w:ascii="Arial" w:eastAsia="Arial" w:hAnsi="Arial" w:cs="Arial"/>
          <w:sz w:val="20"/>
        </w:rPr>
        <w:t xml:space="preserve">, E. N., </w:t>
      </w:r>
      <w:proofErr w:type="spellStart"/>
      <w:r w:rsidRPr="002F71D8">
        <w:rPr>
          <w:rFonts w:ascii="Arial" w:eastAsia="Arial" w:hAnsi="Arial" w:cs="Arial"/>
          <w:sz w:val="20"/>
        </w:rPr>
        <w:t>Akpakli</w:t>
      </w:r>
      <w:proofErr w:type="spellEnd"/>
      <w:r w:rsidRPr="002F71D8">
        <w:rPr>
          <w:rFonts w:ascii="Arial" w:eastAsia="Arial" w:hAnsi="Arial" w:cs="Arial"/>
          <w:sz w:val="20"/>
        </w:rPr>
        <w:t>, B. K. (2020). Profitability of using different crude</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protein contents of the most commonly used commercial tilapia feed in Ghana for Nile tilapia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fingerlings production. </w:t>
      </w:r>
      <w:r w:rsidRPr="002F71D8">
        <w:rPr>
          <w:rFonts w:ascii="Arial" w:eastAsia="Arial" w:hAnsi="Arial" w:cs="Arial"/>
          <w:i/>
          <w:color w:val="000000"/>
          <w:sz w:val="20"/>
        </w:rPr>
        <w:t>International Journal of Fisheries and Aquatic Studies</w:t>
      </w:r>
      <w:r w:rsidRPr="002F71D8">
        <w:rPr>
          <w:rFonts w:ascii="Arial" w:eastAsia="Arial" w:hAnsi="Arial" w:cs="Arial"/>
          <w:color w:val="000000"/>
          <w:sz w:val="20"/>
        </w:rPr>
        <w:t>,</w:t>
      </w:r>
      <w:r w:rsidRPr="002F71D8">
        <w:rPr>
          <w:rFonts w:ascii="Arial" w:eastAsia="Arial" w:hAnsi="Arial" w:cs="Arial"/>
          <w:sz w:val="20"/>
        </w:rPr>
        <w:t xml:space="preserve"> 8(3), 484-488.</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AOAC. (2019). Official methods of analysis. 21st edition, Association of Official Analytical</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Chemists, Washington DC.</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Boyd, C. E. (1990). Water quality in ponds for aquaculture. Auburn University Press, Birmingham.</w:t>
      </w:r>
    </w:p>
    <w:p w:rsidR="00210CED" w:rsidRDefault="00210CED" w:rsidP="002F71D8">
      <w:pPr>
        <w:pStyle w:val="ListParagraph"/>
        <w:numPr>
          <w:ilvl w:val="0"/>
          <w:numId w:val="1"/>
        </w:numPr>
        <w:spacing w:after="0" w:line="240" w:lineRule="auto"/>
        <w:jc w:val="both"/>
        <w:rPr>
          <w:rFonts w:ascii="Arial" w:eastAsia="Arial" w:hAnsi="Arial" w:cs="Arial"/>
          <w:sz w:val="20"/>
        </w:rPr>
      </w:pPr>
      <w:proofErr w:type="spellStart"/>
      <w:r w:rsidRPr="00210CED">
        <w:rPr>
          <w:rFonts w:ascii="Arial" w:eastAsia="Arial" w:hAnsi="Arial" w:cs="Arial"/>
          <w:sz w:val="20"/>
        </w:rPr>
        <w:t>Chithambaran</w:t>
      </w:r>
      <w:proofErr w:type="spellEnd"/>
      <w:r w:rsidRPr="00210CED">
        <w:rPr>
          <w:rFonts w:ascii="Arial" w:eastAsia="Arial" w:hAnsi="Arial" w:cs="Arial"/>
          <w:sz w:val="20"/>
        </w:rPr>
        <w:t xml:space="preserve">, S. (2019). Growth and predator-prey interaction of Asian Seabass, </w:t>
      </w:r>
      <w:proofErr w:type="spellStart"/>
      <w:r w:rsidRPr="00210CED">
        <w:rPr>
          <w:rFonts w:ascii="Arial" w:eastAsia="Arial" w:hAnsi="Arial" w:cs="Arial"/>
          <w:sz w:val="20"/>
        </w:rPr>
        <w:t>Lates</w:t>
      </w:r>
      <w:proofErr w:type="spellEnd"/>
      <w:r w:rsidRPr="00210CED">
        <w:rPr>
          <w:rFonts w:ascii="Arial" w:eastAsia="Arial" w:hAnsi="Arial" w:cs="Arial"/>
          <w:sz w:val="20"/>
        </w:rPr>
        <w:t xml:space="preserve"> </w:t>
      </w:r>
      <w:proofErr w:type="spellStart"/>
      <w:r w:rsidRPr="00210CED">
        <w:rPr>
          <w:rFonts w:ascii="Arial" w:eastAsia="Arial" w:hAnsi="Arial" w:cs="Arial"/>
          <w:sz w:val="20"/>
        </w:rPr>
        <w:t>calcarifer</w:t>
      </w:r>
      <w:proofErr w:type="spellEnd"/>
      <w:r w:rsidRPr="00210CED">
        <w:rPr>
          <w:rFonts w:ascii="Arial" w:eastAsia="Arial" w:hAnsi="Arial" w:cs="Arial"/>
          <w:sz w:val="20"/>
        </w:rPr>
        <w:t xml:space="preserve"> and </w:t>
      </w:r>
      <w:proofErr w:type="spellStart"/>
      <w:r w:rsidRPr="00210CED">
        <w:rPr>
          <w:rFonts w:ascii="Arial" w:eastAsia="Arial" w:hAnsi="Arial" w:cs="Arial"/>
          <w:sz w:val="20"/>
        </w:rPr>
        <w:t>Sabaki</w:t>
      </w:r>
      <w:proofErr w:type="spellEnd"/>
      <w:r w:rsidRPr="00210CED">
        <w:rPr>
          <w:rFonts w:ascii="Arial" w:eastAsia="Arial" w:hAnsi="Arial" w:cs="Arial"/>
          <w:sz w:val="20"/>
        </w:rPr>
        <w:t xml:space="preserve"> Tilapia, Oreochromis </w:t>
      </w:r>
      <w:proofErr w:type="spellStart"/>
      <w:r w:rsidRPr="00210CED">
        <w:rPr>
          <w:rFonts w:ascii="Arial" w:eastAsia="Arial" w:hAnsi="Arial" w:cs="Arial"/>
          <w:sz w:val="20"/>
        </w:rPr>
        <w:t>spilurus</w:t>
      </w:r>
      <w:proofErr w:type="spellEnd"/>
      <w:r w:rsidRPr="00210CED">
        <w:rPr>
          <w:rFonts w:ascii="Arial" w:eastAsia="Arial" w:hAnsi="Arial" w:cs="Arial"/>
          <w:sz w:val="20"/>
        </w:rPr>
        <w:t xml:space="preserve"> in polyculture system. </w:t>
      </w:r>
      <w:proofErr w:type="spellStart"/>
      <w:r w:rsidRPr="00210CED">
        <w:rPr>
          <w:rFonts w:ascii="Arial" w:eastAsia="Arial" w:hAnsi="Arial" w:cs="Arial"/>
          <w:sz w:val="20"/>
        </w:rPr>
        <w:t>Thalassas</w:t>
      </w:r>
      <w:proofErr w:type="spellEnd"/>
      <w:r w:rsidRPr="00210CED">
        <w:rPr>
          <w:rFonts w:ascii="Arial" w:eastAsia="Arial" w:hAnsi="Arial" w:cs="Arial"/>
          <w:sz w:val="20"/>
        </w:rPr>
        <w:t xml:space="preserve">: An International Journal of Marine Sciences, 35(1), 215-221.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Craig, S. (2017). Understanding fish nutrition, feeds and feeding. Department of fisheries and</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wildlife science, Virginia Tech. Produced by Communications and Marketing, College of Agriculture and Life Sciences, Virginia Tech. </w:t>
      </w:r>
    </w:p>
    <w:p w:rsidR="00210CED" w:rsidRDefault="00210CED" w:rsidP="002F71D8">
      <w:pPr>
        <w:pStyle w:val="ListParagraph"/>
        <w:numPr>
          <w:ilvl w:val="0"/>
          <w:numId w:val="1"/>
        </w:numPr>
        <w:spacing w:after="0" w:line="240" w:lineRule="auto"/>
        <w:jc w:val="both"/>
        <w:rPr>
          <w:rFonts w:ascii="Arial" w:eastAsia="Arial" w:hAnsi="Arial" w:cs="Arial"/>
          <w:sz w:val="20"/>
        </w:rPr>
      </w:pPr>
      <w:r w:rsidRPr="00210CED">
        <w:rPr>
          <w:rFonts w:ascii="Arial" w:eastAsia="Arial" w:hAnsi="Arial" w:cs="Arial"/>
          <w:sz w:val="20"/>
        </w:rPr>
        <w:t xml:space="preserve">Davis, D., Nguyen, T., Li, M., Gatlin, D. M., &amp; O’Keefe, T. (2009). Advances in aquaculture nutrition: Catfish, tilapia and carp nutrition. New technologies in aquaculture, 440-458. </w:t>
      </w:r>
    </w:p>
    <w:p w:rsidR="00210CED" w:rsidRDefault="00210CED" w:rsidP="002F71D8">
      <w:pPr>
        <w:pStyle w:val="ListParagraph"/>
        <w:numPr>
          <w:ilvl w:val="0"/>
          <w:numId w:val="1"/>
        </w:numPr>
        <w:spacing w:after="0" w:line="240" w:lineRule="auto"/>
        <w:jc w:val="both"/>
        <w:rPr>
          <w:rFonts w:ascii="Arial" w:eastAsia="Arial" w:hAnsi="Arial" w:cs="Arial"/>
          <w:sz w:val="20"/>
        </w:rPr>
      </w:pPr>
      <w:proofErr w:type="spellStart"/>
      <w:r w:rsidRPr="00210CED">
        <w:rPr>
          <w:rFonts w:ascii="Arial" w:eastAsia="Arial" w:hAnsi="Arial" w:cs="Arial"/>
          <w:sz w:val="20"/>
        </w:rPr>
        <w:t>Abuo-sief</w:t>
      </w:r>
      <w:proofErr w:type="spellEnd"/>
      <w:r w:rsidRPr="00210CED">
        <w:rPr>
          <w:rFonts w:ascii="Arial" w:eastAsia="Arial" w:hAnsi="Arial" w:cs="Arial"/>
          <w:sz w:val="20"/>
        </w:rPr>
        <w:t xml:space="preserve">, R. A., Radwan, M. E. I., Mahmoud, A. A., &amp; </w:t>
      </w:r>
      <w:proofErr w:type="spellStart"/>
      <w:r w:rsidRPr="00210CED">
        <w:rPr>
          <w:rFonts w:ascii="Arial" w:eastAsia="Arial" w:hAnsi="Arial" w:cs="Arial"/>
          <w:sz w:val="20"/>
        </w:rPr>
        <w:t>Abbassa</w:t>
      </w:r>
      <w:proofErr w:type="spellEnd"/>
      <w:r w:rsidRPr="00210CED">
        <w:rPr>
          <w:rFonts w:ascii="Arial" w:eastAsia="Arial" w:hAnsi="Arial" w:cs="Arial"/>
          <w:sz w:val="20"/>
        </w:rPr>
        <w:t xml:space="preserve">, A. H. (2012). Effect of crop stocking ratios of </w:t>
      </w:r>
      <w:proofErr w:type="spellStart"/>
      <w:r w:rsidRPr="00210CED">
        <w:rPr>
          <w:rFonts w:ascii="Arial" w:eastAsia="Arial" w:hAnsi="Arial" w:cs="Arial"/>
          <w:sz w:val="20"/>
        </w:rPr>
        <w:t>nile</w:t>
      </w:r>
      <w:proofErr w:type="spellEnd"/>
      <w:r w:rsidRPr="00210CED">
        <w:rPr>
          <w:rFonts w:ascii="Arial" w:eastAsia="Arial" w:hAnsi="Arial" w:cs="Arial"/>
          <w:sz w:val="20"/>
        </w:rPr>
        <w:t xml:space="preserve"> tilapia, common carp, silver carp and catfish in polyculture in concrete ponds with 10 cm clayey loam on growth performance and total yield. Journal of The Arabian Aquaculture Society, 7(1).</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 xml:space="preserve">de Graaf, G.J., </w:t>
      </w:r>
      <w:proofErr w:type="spellStart"/>
      <w:r w:rsidRPr="002F71D8">
        <w:rPr>
          <w:rFonts w:ascii="Arial" w:eastAsia="Arial" w:hAnsi="Arial" w:cs="Arial"/>
          <w:sz w:val="20"/>
        </w:rPr>
        <w:t>Galemoni</w:t>
      </w:r>
      <w:proofErr w:type="spellEnd"/>
      <w:r w:rsidRPr="002F71D8">
        <w:rPr>
          <w:rFonts w:ascii="Arial" w:eastAsia="Arial" w:hAnsi="Arial" w:cs="Arial"/>
          <w:sz w:val="20"/>
        </w:rPr>
        <w:t>, F., &amp; Huisman, E. A.  (1999). The reproductive biology of pond reared</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Nile tilapia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L.). </w:t>
      </w:r>
      <w:r w:rsidRPr="002F71D8">
        <w:rPr>
          <w:rFonts w:ascii="Arial" w:eastAsia="Arial" w:hAnsi="Arial" w:cs="Arial"/>
          <w:i/>
          <w:color w:val="000000"/>
          <w:sz w:val="20"/>
        </w:rPr>
        <w:t>Aquaculture Research</w:t>
      </w:r>
      <w:r w:rsidRPr="002F71D8">
        <w:rPr>
          <w:rFonts w:ascii="Arial" w:eastAsia="Arial" w:hAnsi="Arial" w:cs="Arial"/>
          <w:color w:val="000000"/>
          <w:sz w:val="20"/>
        </w:rPr>
        <w:t xml:space="preserve">, </w:t>
      </w:r>
      <w:r w:rsidRPr="002F71D8">
        <w:rPr>
          <w:rFonts w:ascii="Arial" w:eastAsia="Arial" w:hAnsi="Arial" w:cs="Arial"/>
          <w:sz w:val="20"/>
        </w:rPr>
        <w:t>30, 25–33.</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de Silva, S. S., &amp; Anderson, T. A. (1995). Fish nutrition in aquaculture. Chapman and Hall.</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London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Ekanem</w:t>
      </w:r>
      <w:proofErr w:type="spellEnd"/>
      <w:r w:rsidRPr="002F71D8">
        <w:rPr>
          <w:rFonts w:ascii="Arial" w:eastAsia="Arial" w:hAnsi="Arial" w:cs="Arial"/>
          <w:sz w:val="20"/>
        </w:rPr>
        <w:t xml:space="preserve">, A. P., </w:t>
      </w:r>
      <w:proofErr w:type="spellStart"/>
      <w:r w:rsidRPr="002F71D8">
        <w:rPr>
          <w:rFonts w:ascii="Arial" w:eastAsia="Arial" w:hAnsi="Arial" w:cs="Arial"/>
          <w:sz w:val="20"/>
        </w:rPr>
        <w:t>Eyo</w:t>
      </w:r>
      <w:proofErr w:type="spellEnd"/>
      <w:r w:rsidRPr="002F71D8">
        <w:rPr>
          <w:rFonts w:ascii="Arial" w:eastAsia="Arial" w:hAnsi="Arial" w:cs="Arial"/>
          <w:sz w:val="20"/>
        </w:rPr>
        <w:t xml:space="preserve">, V. O., </w:t>
      </w:r>
      <w:proofErr w:type="spellStart"/>
      <w:r w:rsidRPr="002F71D8">
        <w:rPr>
          <w:rFonts w:ascii="Arial" w:eastAsia="Arial" w:hAnsi="Arial" w:cs="Arial"/>
          <w:sz w:val="20"/>
        </w:rPr>
        <w:t>Obiekezie</w:t>
      </w:r>
      <w:proofErr w:type="spellEnd"/>
      <w:r w:rsidRPr="002F71D8">
        <w:rPr>
          <w:rFonts w:ascii="Arial" w:eastAsia="Arial" w:hAnsi="Arial" w:cs="Arial"/>
          <w:sz w:val="20"/>
        </w:rPr>
        <w:t xml:space="preserve">, A. I., </w:t>
      </w:r>
      <w:proofErr w:type="spellStart"/>
      <w:r w:rsidRPr="002F71D8">
        <w:rPr>
          <w:rFonts w:ascii="Arial" w:eastAsia="Arial" w:hAnsi="Arial" w:cs="Arial"/>
          <w:sz w:val="20"/>
        </w:rPr>
        <w:t>Enin</w:t>
      </w:r>
      <w:proofErr w:type="spellEnd"/>
      <w:r w:rsidRPr="002F71D8">
        <w:rPr>
          <w:rFonts w:ascii="Arial" w:eastAsia="Arial" w:hAnsi="Arial" w:cs="Arial"/>
          <w:sz w:val="20"/>
        </w:rPr>
        <w:t>, U. I., &amp; Udo, P. J. (2012). A comparative study of the</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growth performance and food </w:t>
      </w:r>
      <w:proofErr w:type="spellStart"/>
      <w:r w:rsidRPr="002F71D8">
        <w:rPr>
          <w:rFonts w:ascii="Arial" w:eastAsia="Arial" w:hAnsi="Arial" w:cs="Arial"/>
          <w:sz w:val="20"/>
        </w:rPr>
        <w:t>utilisation</w:t>
      </w:r>
      <w:proofErr w:type="spellEnd"/>
      <w:r w:rsidRPr="002F71D8">
        <w:rPr>
          <w:rFonts w:ascii="Arial" w:eastAsia="Arial" w:hAnsi="Arial" w:cs="Arial"/>
          <w:sz w:val="20"/>
        </w:rPr>
        <w:t xml:space="preserve"> of the African </w:t>
      </w:r>
      <w:proofErr w:type="spellStart"/>
      <w:r w:rsidRPr="002F71D8">
        <w:rPr>
          <w:rFonts w:ascii="Arial" w:eastAsia="Arial" w:hAnsi="Arial" w:cs="Arial"/>
          <w:sz w:val="20"/>
        </w:rPr>
        <w:t>catish</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Clarias</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gariepinus</w:t>
      </w:r>
      <w:proofErr w:type="spellEnd"/>
      <w:r w:rsidRPr="002F71D8">
        <w:rPr>
          <w:rFonts w:ascii="Arial" w:eastAsia="Arial" w:hAnsi="Arial" w:cs="Arial"/>
          <w:sz w:val="20"/>
        </w:rPr>
        <w:t xml:space="preserve">) fed </w:t>
      </w:r>
      <w:proofErr w:type="spellStart"/>
      <w:r w:rsidRPr="002F71D8">
        <w:rPr>
          <w:rFonts w:ascii="Arial" w:eastAsia="Arial" w:hAnsi="Arial" w:cs="Arial"/>
          <w:sz w:val="20"/>
        </w:rPr>
        <w:t>Unical</w:t>
      </w:r>
      <w:proofErr w:type="spellEnd"/>
      <w:r w:rsidRPr="002F71D8">
        <w:rPr>
          <w:rFonts w:ascii="Arial" w:eastAsia="Arial" w:hAnsi="Arial" w:cs="Arial"/>
          <w:sz w:val="20"/>
        </w:rPr>
        <w:t xml:space="preserve"> Aqua Feed and Coppens commercial feed. </w:t>
      </w:r>
      <w:r w:rsidRPr="002F71D8">
        <w:rPr>
          <w:rFonts w:ascii="Arial" w:eastAsia="Arial" w:hAnsi="Arial" w:cs="Arial"/>
          <w:i/>
          <w:color w:val="000000"/>
          <w:sz w:val="20"/>
        </w:rPr>
        <w:t>Journal of Marine Biology and Oceanography</w:t>
      </w:r>
      <w:r w:rsidRPr="002F71D8">
        <w:rPr>
          <w:rFonts w:ascii="Arial" w:eastAsia="Arial" w:hAnsi="Arial" w:cs="Arial"/>
          <w:color w:val="000000"/>
          <w:sz w:val="20"/>
        </w:rPr>
        <w:t>,</w:t>
      </w:r>
      <w:r w:rsidRPr="002F71D8">
        <w:rPr>
          <w:rFonts w:ascii="Arial" w:eastAsia="Arial" w:hAnsi="Arial" w:cs="Arial"/>
          <w:sz w:val="20"/>
        </w:rPr>
        <w:t xml:space="preserve"> 1, 2.</w:t>
      </w:r>
    </w:p>
    <w:p w:rsidR="00210CED" w:rsidRDefault="00210CED" w:rsidP="002F71D8">
      <w:pPr>
        <w:pStyle w:val="ListParagraph"/>
        <w:numPr>
          <w:ilvl w:val="0"/>
          <w:numId w:val="1"/>
        </w:numPr>
        <w:spacing w:after="0" w:line="240" w:lineRule="auto"/>
        <w:jc w:val="both"/>
        <w:rPr>
          <w:rFonts w:ascii="Arial" w:eastAsia="Arial" w:hAnsi="Arial" w:cs="Arial"/>
          <w:sz w:val="20"/>
        </w:rPr>
      </w:pPr>
      <w:r w:rsidRPr="00210CED">
        <w:rPr>
          <w:rFonts w:ascii="Arial" w:eastAsia="Arial" w:hAnsi="Arial" w:cs="Arial"/>
          <w:sz w:val="20"/>
        </w:rPr>
        <w:t xml:space="preserve">EL-GAMAL, A. R. A., ABDEL-HALIM, A. R. M., KAMEL, E. A., &amp; SOLIMAN, A. M. (1998). </w:t>
      </w:r>
      <w:proofErr w:type="spellStart"/>
      <w:r w:rsidRPr="00210CED">
        <w:rPr>
          <w:rFonts w:ascii="Arial" w:eastAsia="Arial" w:hAnsi="Arial" w:cs="Arial"/>
          <w:sz w:val="20"/>
        </w:rPr>
        <w:t>Biolocial</w:t>
      </w:r>
      <w:proofErr w:type="spellEnd"/>
      <w:r w:rsidRPr="00210CED">
        <w:rPr>
          <w:rFonts w:ascii="Arial" w:eastAsia="Arial" w:hAnsi="Arial" w:cs="Arial"/>
          <w:sz w:val="20"/>
        </w:rPr>
        <w:t xml:space="preserve"> studies on </w:t>
      </w:r>
      <w:proofErr w:type="spellStart"/>
      <w:r w:rsidRPr="00210CED">
        <w:rPr>
          <w:rFonts w:ascii="Arial" w:eastAsia="Arial" w:hAnsi="Arial" w:cs="Arial"/>
          <w:sz w:val="20"/>
        </w:rPr>
        <w:t>nile</w:t>
      </w:r>
      <w:proofErr w:type="spellEnd"/>
      <w:r w:rsidRPr="00210CED">
        <w:rPr>
          <w:rFonts w:ascii="Arial" w:eastAsia="Arial" w:hAnsi="Arial" w:cs="Arial"/>
          <w:sz w:val="20"/>
        </w:rPr>
        <w:t xml:space="preserve"> perch </w:t>
      </w:r>
      <w:proofErr w:type="spellStart"/>
      <w:r w:rsidRPr="00210CED">
        <w:rPr>
          <w:rFonts w:ascii="Arial" w:eastAsia="Arial" w:hAnsi="Arial" w:cs="Arial"/>
          <w:sz w:val="20"/>
        </w:rPr>
        <w:t>lates</w:t>
      </w:r>
      <w:proofErr w:type="spellEnd"/>
      <w:r w:rsidRPr="00210CED">
        <w:rPr>
          <w:rFonts w:ascii="Arial" w:eastAsia="Arial" w:hAnsi="Arial" w:cs="Arial"/>
          <w:sz w:val="20"/>
        </w:rPr>
        <w:t xml:space="preserve"> </w:t>
      </w:r>
      <w:proofErr w:type="spellStart"/>
      <w:r w:rsidRPr="00210CED">
        <w:rPr>
          <w:rFonts w:ascii="Arial" w:eastAsia="Arial" w:hAnsi="Arial" w:cs="Arial"/>
          <w:sz w:val="20"/>
        </w:rPr>
        <w:t>niloticus</w:t>
      </w:r>
      <w:proofErr w:type="spellEnd"/>
      <w:r w:rsidRPr="00210CED">
        <w:rPr>
          <w:rFonts w:ascii="Arial" w:eastAsia="Arial" w:hAnsi="Arial" w:cs="Arial"/>
          <w:sz w:val="20"/>
        </w:rPr>
        <w:t xml:space="preserve"> (l.) And </w:t>
      </w:r>
      <w:proofErr w:type="spellStart"/>
      <w:r w:rsidRPr="00210CED">
        <w:rPr>
          <w:rFonts w:ascii="Arial" w:eastAsia="Arial" w:hAnsi="Arial" w:cs="Arial"/>
          <w:sz w:val="20"/>
        </w:rPr>
        <w:t>african</w:t>
      </w:r>
      <w:proofErr w:type="spellEnd"/>
      <w:r w:rsidRPr="00210CED">
        <w:rPr>
          <w:rFonts w:ascii="Arial" w:eastAsia="Arial" w:hAnsi="Arial" w:cs="Arial"/>
          <w:sz w:val="20"/>
        </w:rPr>
        <w:t xml:space="preserve"> catfish </w:t>
      </w:r>
      <w:proofErr w:type="spellStart"/>
      <w:r w:rsidRPr="00210CED">
        <w:rPr>
          <w:rFonts w:ascii="Arial" w:eastAsia="Arial" w:hAnsi="Arial" w:cs="Arial"/>
          <w:sz w:val="20"/>
        </w:rPr>
        <w:t>clarias</w:t>
      </w:r>
      <w:proofErr w:type="spellEnd"/>
      <w:r w:rsidRPr="00210CED">
        <w:rPr>
          <w:rFonts w:ascii="Arial" w:eastAsia="Arial" w:hAnsi="Arial" w:cs="Arial"/>
          <w:sz w:val="20"/>
        </w:rPr>
        <w:t xml:space="preserve"> </w:t>
      </w:r>
      <w:proofErr w:type="spellStart"/>
      <w:r w:rsidRPr="00210CED">
        <w:rPr>
          <w:rFonts w:ascii="Arial" w:eastAsia="Arial" w:hAnsi="Arial" w:cs="Arial"/>
          <w:sz w:val="20"/>
        </w:rPr>
        <w:t>gariepinus</w:t>
      </w:r>
      <w:proofErr w:type="spellEnd"/>
      <w:r w:rsidRPr="00210CED">
        <w:rPr>
          <w:rFonts w:ascii="Arial" w:eastAsia="Arial" w:hAnsi="Arial" w:cs="Arial"/>
          <w:sz w:val="20"/>
        </w:rPr>
        <w:t xml:space="preserve"> (t.) In reference to their food habits and predation patterns in culture ponds. Egyptian Journal of Agricultural Research, 76(1), 335-349. </w:t>
      </w:r>
    </w:p>
    <w:p w:rsidR="00196F0D"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Fagbenro</w:t>
      </w:r>
      <w:proofErr w:type="spellEnd"/>
      <w:r w:rsidRPr="002F71D8">
        <w:rPr>
          <w:rFonts w:ascii="Arial" w:eastAsia="Arial" w:hAnsi="Arial" w:cs="Arial"/>
          <w:sz w:val="20"/>
        </w:rPr>
        <w:t>, O. A. (2004). Predator control of overpopulation in cultured tilapias and the alternative uses for</w:t>
      </w:r>
    </w:p>
    <w:p w:rsidR="0040592E" w:rsidRDefault="0040592E" w:rsidP="0040592E">
      <w:pPr>
        <w:spacing w:after="0" w:line="240" w:lineRule="auto"/>
        <w:jc w:val="both"/>
        <w:rPr>
          <w:rFonts w:ascii="Arial" w:eastAsia="Arial" w:hAnsi="Arial" w:cs="Arial"/>
          <w:sz w:val="20"/>
        </w:rPr>
      </w:pPr>
    </w:p>
    <w:p w:rsidR="0040592E" w:rsidRPr="0040592E" w:rsidRDefault="0040592E" w:rsidP="0040592E">
      <w:pPr>
        <w:spacing w:after="0" w:line="240" w:lineRule="auto"/>
        <w:jc w:val="both"/>
        <w:rPr>
          <w:rFonts w:ascii="Arial" w:eastAsia="Arial" w:hAnsi="Arial" w:cs="Arial"/>
          <w:sz w:val="20"/>
        </w:rPr>
      </w:pP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stunted tilapias in Nigeria. In: </w:t>
      </w:r>
      <w:proofErr w:type="spellStart"/>
      <w:r w:rsidRPr="002F71D8">
        <w:rPr>
          <w:rFonts w:ascii="Arial" w:eastAsia="Arial" w:hAnsi="Arial" w:cs="Arial"/>
          <w:sz w:val="20"/>
        </w:rPr>
        <w:t>Boilver</w:t>
      </w:r>
      <w:proofErr w:type="spellEnd"/>
      <w:r w:rsidRPr="002F71D8">
        <w:rPr>
          <w:rFonts w:ascii="Arial" w:eastAsia="Arial" w:hAnsi="Arial" w:cs="Arial"/>
          <w:sz w:val="20"/>
        </w:rPr>
        <w:t>, R., Mair, G., &amp; Fitzsimmons, K. (ed) New dimensions in farmed tilapia. Proceedings of the Sixth International Symposium on Tilapia in Aquaculture, Manila, Philippines.</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FAO. (2018). Fisheries statistics and information.</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lastRenderedPageBreak/>
        <w:t xml:space="preserve">FC. (2023). Annual performance report, 2022. Fisheries Commission. Accra, Ghana.  </w:t>
      </w:r>
    </w:p>
    <w:p w:rsidR="0040592E" w:rsidRDefault="0040592E" w:rsidP="002F71D8">
      <w:pPr>
        <w:pStyle w:val="ListParagraph"/>
        <w:numPr>
          <w:ilvl w:val="0"/>
          <w:numId w:val="1"/>
        </w:numPr>
        <w:spacing w:after="0" w:line="240" w:lineRule="auto"/>
        <w:jc w:val="both"/>
        <w:rPr>
          <w:rFonts w:ascii="Arial" w:eastAsia="Arial" w:hAnsi="Arial" w:cs="Arial"/>
          <w:sz w:val="20"/>
        </w:rPr>
      </w:pPr>
      <w:r w:rsidRPr="0040592E">
        <w:rPr>
          <w:rFonts w:ascii="Arial" w:eastAsia="Arial" w:hAnsi="Arial" w:cs="Arial"/>
          <w:sz w:val="20"/>
        </w:rPr>
        <w:t xml:space="preserve">Fitzsimmons, K. M., &amp; </w:t>
      </w:r>
      <w:proofErr w:type="spellStart"/>
      <w:r w:rsidRPr="0040592E">
        <w:rPr>
          <w:rFonts w:ascii="Arial" w:eastAsia="Arial" w:hAnsi="Arial" w:cs="Arial"/>
          <w:sz w:val="20"/>
        </w:rPr>
        <w:t>Shahkar</w:t>
      </w:r>
      <w:proofErr w:type="spellEnd"/>
      <w:r w:rsidRPr="0040592E">
        <w:rPr>
          <w:rFonts w:ascii="Arial" w:eastAsia="Arial" w:hAnsi="Arial" w:cs="Arial"/>
          <w:sz w:val="20"/>
        </w:rPr>
        <w:t>, E. (2017). Tilapia–shrimp polyculture. Tilapia in Intensive Co</w:t>
      </w:r>
      <w:r w:rsidRPr="0040592E">
        <w:rPr>
          <w:rFonts w:ascii="Cambria Math" w:eastAsia="Arial" w:hAnsi="Cambria Math" w:cs="Cambria Math"/>
          <w:sz w:val="20"/>
        </w:rPr>
        <w:t>‐</w:t>
      </w:r>
      <w:r w:rsidRPr="0040592E">
        <w:rPr>
          <w:rFonts w:ascii="Arial" w:eastAsia="Arial" w:hAnsi="Arial" w:cs="Arial"/>
          <w:sz w:val="20"/>
        </w:rPr>
        <w:t xml:space="preserve">culture, 94-113.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Gómez-Márquez, J. L., Peña-Mendoza, B., Salgado-Ugarte, I. H., &amp; Guzmán-Arroyo, M. (2003).</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Reproductive aspects of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(Perciformes: </w:t>
      </w:r>
      <w:proofErr w:type="spellStart"/>
      <w:r w:rsidRPr="002F71D8">
        <w:rPr>
          <w:rFonts w:ascii="Arial" w:eastAsia="Arial" w:hAnsi="Arial" w:cs="Arial"/>
          <w:sz w:val="20"/>
        </w:rPr>
        <w:t>Cichlidae</w:t>
      </w:r>
      <w:proofErr w:type="spellEnd"/>
      <w:r w:rsidRPr="002F71D8">
        <w:rPr>
          <w:rFonts w:ascii="Arial" w:eastAsia="Arial" w:hAnsi="Arial" w:cs="Arial"/>
          <w:sz w:val="20"/>
        </w:rPr>
        <w:t xml:space="preserve">) at </w:t>
      </w:r>
      <w:proofErr w:type="spellStart"/>
      <w:r w:rsidRPr="002F71D8">
        <w:rPr>
          <w:rFonts w:ascii="Arial" w:eastAsia="Arial" w:hAnsi="Arial" w:cs="Arial"/>
          <w:sz w:val="20"/>
        </w:rPr>
        <w:t>Coatetelco</w:t>
      </w:r>
      <w:proofErr w:type="spellEnd"/>
      <w:r w:rsidRPr="002F71D8">
        <w:rPr>
          <w:rFonts w:ascii="Arial" w:eastAsia="Arial" w:hAnsi="Arial" w:cs="Arial"/>
          <w:sz w:val="20"/>
        </w:rPr>
        <w:t xml:space="preserve"> lake, Morelos, Mexico. </w:t>
      </w:r>
      <w:proofErr w:type="spellStart"/>
      <w:r w:rsidRPr="002F71D8">
        <w:rPr>
          <w:rFonts w:ascii="Arial" w:eastAsia="Arial" w:hAnsi="Arial" w:cs="Arial"/>
          <w:i/>
          <w:color w:val="000000"/>
          <w:sz w:val="20"/>
        </w:rPr>
        <w:t>Revista</w:t>
      </w:r>
      <w:proofErr w:type="spellEnd"/>
      <w:r w:rsidRPr="002F71D8">
        <w:rPr>
          <w:rFonts w:ascii="Arial" w:eastAsia="Arial" w:hAnsi="Arial" w:cs="Arial"/>
          <w:i/>
          <w:color w:val="000000"/>
          <w:sz w:val="20"/>
        </w:rPr>
        <w:t xml:space="preserve"> de </w:t>
      </w:r>
      <w:proofErr w:type="spellStart"/>
      <w:r w:rsidRPr="002F71D8">
        <w:rPr>
          <w:rFonts w:ascii="Arial" w:eastAsia="Arial" w:hAnsi="Arial" w:cs="Arial"/>
          <w:i/>
          <w:color w:val="000000"/>
          <w:sz w:val="20"/>
        </w:rPr>
        <w:t>Biología</w:t>
      </w:r>
      <w:proofErr w:type="spellEnd"/>
      <w:r w:rsidRPr="002F71D8">
        <w:rPr>
          <w:rFonts w:ascii="Arial" w:eastAsia="Arial" w:hAnsi="Arial" w:cs="Arial"/>
          <w:i/>
          <w:color w:val="000000"/>
          <w:sz w:val="20"/>
        </w:rPr>
        <w:t xml:space="preserve"> Tropical</w:t>
      </w:r>
      <w:r w:rsidRPr="002F71D8">
        <w:rPr>
          <w:rFonts w:ascii="Arial" w:eastAsia="Arial" w:hAnsi="Arial" w:cs="Arial"/>
          <w:color w:val="000000"/>
          <w:sz w:val="20"/>
        </w:rPr>
        <w:t xml:space="preserve">, </w:t>
      </w:r>
      <w:r w:rsidRPr="002F71D8">
        <w:rPr>
          <w:rFonts w:ascii="Arial" w:eastAsia="Arial" w:hAnsi="Arial" w:cs="Arial"/>
          <w:sz w:val="20"/>
        </w:rPr>
        <w:t>51(1), 221–228</w:t>
      </w:r>
    </w:p>
    <w:p w:rsidR="0040592E" w:rsidRDefault="0040592E" w:rsidP="002F71D8">
      <w:pPr>
        <w:pStyle w:val="ListParagraph"/>
        <w:numPr>
          <w:ilvl w:val="0"/>
          <w:numId w:val="1"/>
        </w:numPr>
        <w:spacing w:after="0" w:line="240" w:lineRule="auto"/>
        <w:jc w:val="both"/>
        <w:rPr>
          <w:rFonts w:ascii="Arial" w:eastAsia="Arial" w:hAnsi="Arial" w:cs="Arial"/>
          <w:sz w:val="20"/>
        </w:rPr>
      </w:pPr>
      <w:r w:rsidRPr="0040592E">
        <w:rPr>
          <w:rFonts w:ascii="Arial" w:eastAsia="Arial" w:hAnsi="Arial" w:cs="Arial"/>
          <w:sz w:val="20"/>
        </w:rPr>
        <w:t xml:space="preserve">Pullin, R. S., &amp; Lowe-McConnell, R. H. (Eds.). (1982). The Biology and Culture of Tilapias: Proceedings of the International Conference on the Biology and Culture of Tilapias, 2-5 September 1980 at the Study and Conference Center of the Rockefeller Foundation, Bellagio, Italy (Vol. 7). </w:t>
      </w:r>
      <w:proofErr w:type="spellStart"/>
      <w:r w:rsidRPr="0040592E">
        <w:rPr>
          <w:rFonts w:ascii="Arial" w:eastAsia="Arial" w:hAnsi="Arial" w:cs="Arial"/>
          <w:sz w:val="20"/>
        </w:rPr>
        <w:t>WorldFish</w:t>
      </w:r>
      <w:proofErr w:type="spellEnd"/>
      <w:r w:rsidRPr="0040592E">
        <w:rPr>
          <w:rFonts w:ascii="Arial" w:eastAsia="Arial" w:hAnsi="Arial" w:cs="Arial"/>
          <w:sz w:val="20"/>
        </w:rPr>
        <w:t xml:space="preserve">.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Hogendoorn</w:t>
      </w:r>
      <w:proofErr w:type="spellEnd"/>
      <w:r w:rsidRPr="002F71D8">
        <w:rPr>
          <w:rFonts w:ascii="Arial" w:eastAsia="Arial" w:hAnsi="Arial" w:cs="Arial"/>
          <w:sz w:val="20"/>
        </w:rPr>
        <w:t>, H. (1983). The African catfish, (</w:t>
      </w:r>
      <w:proofErr w:type="spellStart"/>
      <w:r w:rsidRPr="002F71D8">
        <w:rPr>
          <w:rFonts w:ascii="Arial" w:eastAsia="Arial" w:hAnsi="Arial" w:cs="Arial"/>
          <w:i/>
          <w:sz w:val="20"/>
        </w:rPr>
        <w:t>Clarias</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lazera</w:t>
      </w:r>
      <w:proofErr w:type="spellEnd"/>
      <w:r w:rsidRPr="002F71D8">
        <w:rPr>
          <w:rFonts w:ascii="Arial" w:eastAsia="Arial" w:hAnsi="Arial" w:cs="Arial"/>
          <w:sz w:val="20"/>
        </w:rPr>
        <w:t xml:space="preserve"> C. &amp; V., 1840): A new species for</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aquaculture. Dissertation, Wageningen Agricultural University, Wageningen, the Netherlands.</w:t>
      </w:r>
    </w:p>
    <w:p w:rsidR="0040592E" w:rsidRDefault="0040592E" w:rsidP="002F71D8">
      <w:pPr>
        <w:pStyle w:val="ListParagraph"/>
        <w:numPr>
          <w:ilvl w:val="0"/>
          <w:numId w:val="1"/>
        </w:numPr>
        <w:spacing w:after="0" w:line="240" w:lineRule="auto"/>
        <w:jc w:val="both"/>
        <w:rPr>
          <w:rFonts w:ascii="Arial" w:eastAsia="Arial" w:hAnsi="Arial" w:cs="Arial"/>
          <w:sz w:val="20"/>
        </w:rPr>
      </w:pPr>
      <w:r w:rsidRPr="0040592E">
        <w:rPr>
          <w:rFonts w:ascii="Arial" w:eastAsia="Arial" w:hAnsi="Arial" w:cs="Arial"/>
          <w:sz w:val="20"/>
        </w:rPr>
        <w:t xml:space="preserve">Hossain, M. M., Hassan, M. M., Ahamed, S., </w:t>
      </w:r>
      <w:proofErr w:type="spellStart"/>
      <w:r w:rsidRPr="0040592E">
        <w:rPr>
          <w:rFonts w:ascii="Arial" w:eastAsia="Arial" w:hAnsi="Arial" w:cs="Arial"/>
          <w:sz w:val="20"/>
        </w:rPr>
        <w:t>Mostafiz</w:t>
      </w:r>
      <w:proofErr w:type="spellEnd"/>
      <w:r w:rsidRPr="0040592E">
        <w:rPr>
          <w:rFonts w:ascii="Arial" w:eastAsia="Arial" w:hAnsi="Arial" w:cs="Arial"/>
          <w:sz w:val="20"/>
        </w:rPr>
        <w:t xml:space="preserve">, M., </w:t>
      </w:r>
      <w:proofErr w:type="spellStart"/>
      <w:r w:rsidRPr="0040592E">
        <w:rPr>
          <w:rFonts w:ascii="Arial" w:eastAsia="Arial" w:hAnsi="Arial" w:cs="Arial"/>
          <w:sz w:val="20"/>
        </w:rPr>
        <w:t>Akter</w:t>
      </w:r>
      <w:proofErr w:type="spellEnd"/>
      <w:r w:rsidRPr="0040592E">
        <w:rPr>
          <w:rFonts w:ascii="Arial" w:eastAsia="Arial" w:hAnsi="Arial" w:cs="Arial"/>
          <w:sz w:val="20"/>
        </w:rPr>
        <w:t xml:space="preserve">, T., Islam, M. M., &amp; Kabir, M. A. (2015). In relation to climate change adaptation: culture potential of long </w:t>
      </w:r>
      <w:proofErr w:type="spellStart"/>
      <w:r w:rsidRPr="0040592E">
        <w:rPr>
          <w:rFonts w:ascii="Arial" w:eastAsia="Arial" w:hAnsi="Arial" w:cs="Arial"/>
          <w:sz w:val="20"/>
        </w:rPr>
        <w:t>whiskerscatfish</w:t>
      </w:r>
      <w:proofErr w:type="spellEnd"/>
      <w:r w:rsidRPr="0040592E">
        <w:rPr>
          <w:rFonts w:ascii="Arial" w:eastAsia="Arial" w:hAnsi="Arial" w:cs="Arial"/>
          <w:sz w:val="20"/>
        </w:rPr>
        <w:t xml:space="preserve">, </w:t>
      </w:r>
      <w:proofErr w:type="spellStart"/>
      <w:r w:rsidRPr="0040592E">
        <w:rPr>
          <w:rFonts w:ascii="Arial" w:eastAsia="Arial" w:hAnsi="Arial" w:cs="Arial"/>
          <w:sz w:val="20"/>
        </w:rPr>
        <w:t>Mystusgulio</w:t>
      </w:r>
      <w:proofErr w:type="spellEnd"/>
      <w:r w:rsidRPr="0040592E">
        <w:rPr>
          <w:rFonts w:ascii="Arial" w:eastAsia="Arial" w:hAnsi="Arial" w:cs="Arial"/>
          <w:sz w:val="20"/>
        </w:rPr>
        <w:t xml:space="preserve"> in greater Noakhali region, Bangladesh. In Sylhet Agricultural University Research Progress Report. Proceedings of the annual workshop (July 2013–June 2014), Sylhet Agricultural University Research System (SAURES), held on January26 (pp. 57-63).</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Israfil</w:t>
      </w:r>
      <w:proofErr w:type="spellEnd"/>
      <w:r w:rsidRPr="002F71D8">
        <w:rPr>
          <w:rFonts w:ascii="Arial" w:eastAsia="Arial" w:hAnsi="Arial" w:cs="Arial"/>
          <w:sz w:val="20"/>
        </w:rPr>
        <w:t xml:space="preserve">, M. (2000). Effects of periphyton on monoculture of Thai </w:t>
      </w:r>
      <w:proofErr w:type="spellStart"/>
      <w:r w:rsidRPr="002F71D8">
        <w:rPr>
          <w:rFonts w:ascii="Arial" w:eastAsia="Arial" w:hAnsi="Arial" w:cs="Arial"/>
          <w:sz w:val="20"/>
        </w:rPr>
        <w:t>sharputi</w:t>
      </w:r>
      <w:proofErr w:type="spellEnd"/>
      <w:r w:rsidRPr="002F71D8">
        <w:rPr>
          <w:rFonts w:ascii="Arial" w:eastAsia="Arial" w:hAnsi="Arial" w:cs="Arial"/>
          <w:sz w:val="20"/>
        </w:rPr>
        <w:t xml:space="preserve"> (</w:t>
      </w:r>
      <w:r w:rsidRPr="002F71D8">
        <w:rPr>
          <w:rFonts w:ascii="Arial" w:eastAsia="Arial" w:hAnsi="Arial" w:cs="Arial"/>
          <w:i/>
          <w:sz w:val="20"/>
        </w:rPr>
        <w:t>Puntius</w:t>
      </w:r>
      <w:r w:rsidRPr="002F71D8">
        <w:rPr>
          <w:rFonts w:ascii="Arial" w:eastAsia="Arial" w:hAnsi="Arial" w:cs="Arial"/>
          <w:sz w:val="20"/>
        </w:rPr>
        <w:t xml:space="preserve"> </w:t>
      </w:r>
      <w:proofErr w:type="spellStart"/>
      <w:r w:rsidRPr="002F71D8">
        <w:rPr>
          <w:rFonts w:ascii="Arial" w:eastAsia="Arial" w:hAnsi="Arial" w:cs="Arial"/>
          <w:i/>
          <w:sz w:val="20"/>
        </w:rPr>
        <w:t>gonionotus</w:t>
      </w:r>
      <w:proofErr w:type="spellEnd"/>
      <w:r w:rsidRPr="002F71D8">
        <w:rPr>
          <w:rFonts w:ascii="Arial" w:eastAsia="Arial" w:hAnsi="Arial" w:cs="Arial"/>
          <w:sz w:val="20"/>
        </w:rPr>
        <w:t>).</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Thesis, Department of Fisheries Management, Bangladesh Agricultural University, Mymensingh.</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Kabir, A. N. M. A. (2003). Use of duckweed (</w:t>
      </w:r>
      <w:proofErr w:type="spellStart"/>
      <w:r w:rsidRPr="002F71D8">
        <w:rPr>
          <w:rFonts w:ascii="Arial" w:eastAsia="Arial" w:hAnsi="Arial" w:cs="Arial"/>
          <w:i/>
          <w:sz w:val="20"/>
        </w:rPr>
        <w:t>Lemna</w:t>
      </w:r>
      <w:proofErr w:type="spellEnd"/>
      <w:r w:rsidRPr="002F71D8">
        <w:rPr>
          <w:rFonts w:ascii="Arial" w:eastAsia="Arial" w:hAnsi="Arial" w:cs="Arial"/>
          <w:sz w:val="20"/>
        </w:rPr>
        <w:t xml:space="preserve"> </w:t>
      </w:r>
      <w:r w:rsidRPr="002F71D8">
        <w:rPr>
          <w:rFonts w:ascii="Arial" w:eastAsia="Arial" w:hAnsi="Arial" w:cs="Arial"/>
          <w:i/>
          <w:sz w:val="20"/>
        </w:rPr>
        <w:t>minor</w:t>
      </w:r>
      <w:r w:rsidRPr="002F71D8">
        <w:rPr>
          <w:rFonts w:ascii="Arial" w:eastAsia="Arial" w:hAnsi="Arial" w:cs="Arial"/>
          <w:sz w:val="20"/>
        </w:rPr>
        <w:t>) as feed for fishes in polyculture.</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Thesis, Department of Fisheries Management, Bangladesh Agricultural University, Mymensingh.</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 xml:space="preserve">Lawson, T. B. (1995). Fundamentals of </w:t>
      </w:r>
      <w:proofErr w:type="spellStart"/>
      <w:r w:rsidRPr="002F71D8">
        <w:rPr>
          <w:rFonts w:ascii="Arial" w:eastAsia="Arial" w:hAnsi="Arial" w:cs="Arial"/>
          <w:sz w:val="20"/>
        </w:rPr>
        <w:t>aquacultural</w:t>
      </w:r>
      <w:proofErr w:type="spellEnd"/>
      <w:r w:rsidRPr="002F71D8">
        <w:rPr>
          <w:rFonts w:ascii="Arial" w:eastAsia="Arial" w:hAnsi="Arial" w:cs="Arial"/>
          <w:sz w:val="20"/>
        </w:rPr>
        <w:t xml:space="preserve"> engineering, Chapman &amp; Hall, New York</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Makori</w:t>
      </w:r>
      <w:proofErr w:type="spellEnd"/>
      <w:r w:rsidRPr="002F71D8">
        <w:rPr>
          <w:rFonts w:ascii="Arial" w:eastAsia="Arial" w:hAnsi="Arial" w:cs="Arial"/>
          <w:sz w:val="20"/>
        </w:rPr>
        <w:t xml:space="preserve">, A. J., </w:t>
      </w:r>
      <w:proofErr w:type="spellStart"/>
      <w:r w:rsidRPr="002F71D8">
        <w:rPr>
          <w:rFonts w:ascii="Arial" w:eastAsia="Arial" w:hAnsi="Arial" w:cs="Arial"/>
          <w:sz w:val="20"/>
        </w:rPr>
        <w:t>Abuom</w:t>
      </w:r>
      <w:proofErr w:type="spellEnd"/>
      <w:r w:rsidRPr="002F71D8">
        <w:rPr>
          <w:rFonts w:ascii="Arial" w:eastAsia="Arial" w:hAnsi="Arial" w:cs="Arial"/>
          <w:sz w:val="20"/>
        </w:rPr>
        <w:t xml:space="preserve">, P. l., </w:t>
      </w:r>
      <w:proofErr w:type="spellStart"/>
      <w:r w:rsidRPr="002F71D8">
        <w:rPr>
          <w:rFonts w:ascii="Arial" w:eastAsia="Arial" w:hAnsi="Arial" w:cs="Arial"/>
          <w:sz w:val="20"/>
        </w:rPr>
        <w:t>Kapiyo</w:t>
      </w:r>
      <w:proofErr w:type="spellEnd"/>
      <w:r w:rsidRPr="002F71D8">
        <w:rPr>
          <w:rFonts w:ascii="Arial" w:eastAsia="Arial" w:hAnsi="Arial" w:cs="Arial"/>
          <w:sz w:val="20"/>
        </w:rPr>
        <w:t xml:space="preserve">, O. R., </w:t>
      </w:r>
      <w:proofErr w:type="spellStart"/>
      <w:r w:rsidRPr="002F71D8">
        <w:rPr>
          <w:rFonts w:ascii="Arial" w:eastAsia="Arial" w:hAnsi="Arial" w:cs="Arial"/>
          <w:sz w:val="20"/>
        </w:rPr>
        <w:t>Anyona</w:t>
      </w:r>
      <w:proofErr w:type="spellEnd"/>
      <w:r w:rsidRPr="002F71D8">
        <w:rPr>
          <w:rFonts w:ascii="Arial" w:eastAsia="Arial" w:hAnsi="Arial" w:cs="Arial"/>
          <w:sz w:val="20"/>
        </w:rPr>
        <w:t>, D. N., &amp; Dida, O. G. (2017). Effects of water</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physico</w:t>
      </w:r>
      <w:proofErr w:type="spellEnd"/>
      <w:r w:rsidRPr="002F71D8">
        <w:rPr>
          <w:rFonts w:ascii="Arial" w:eastAsia="Arial" w:hAnsi="Arial" w:cs="Arial"/>
          <w:sz w:val="20"/>
        </w:rPr>
        <w:t>-chemical parameters on tilapia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growth in earthen ponds in </w:t>
      </w:r>
      <w:proofErr w:type="spellStart"/>
      <w:r w:rsidRPr="002F71D8">
        <w:rPr>
          <w:rFonts w:ascii="Arial" w:eastAsia="Arial" w:hAnsi="Arial" w:cs="Arial"/>
          <w:sz w:val="20"/>
        </w:rPr>
        <w:t>Teso</w:t>
      </w:r>
      <w:proofErr w:type="spellEnd"/>
      <w:r w:rsidRPr="002F71D8">
        <w:rPr>
          <w:rFonts w:ascii="Arial" w:eastAsia="Arial" w:hAnsi="Arial" w:cs="Arial"/>
          <w:sz w:val="20"/>
        </w:rPr>
        <w:t xml:space="preserve"> North Sub-County. Busia County.</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 xml:space="preserve">Mansour, A. T., Allam, B. W., </w:t>
      </w:r>
      <w:proofErr w:type="spellStart"/>
      <w:r w:rsidRPr="002F71D8">
        <w:rPr>
          <w:rFonts w:ascii="Arial" w:eastAsia="Arial" w:hAnsi="Arial" w:cs="Arial"/>
          <w:sz w:val="20"/>
        </w:rPr>
        <w:t>Srour</w:t>
      </w:r>
      <w:proofErr w:type="spellEnd"/>
      <w:r w:rsidRPr="002F71D8">
        <w:rPr>
          <w:rFonts w:ascii="Arial" w:eastAsia="Arial" w:hAnsi="Arial" w:cs="Arial"/>
          <w:sz w:val="20"/>
        </w:rPr>
        <w:t>, T. M., Omar, E. A., Nour, A. A., &amp; Khalil, H. S. (2021).</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The feasibility of monoculture and polyculture of striped catfish and Nile tilapia in different proportions and their effects on growth performance, productivity, and financial revenue. </w:t>
      </w:r>
      <w:r w:rsidRPr="002F71D8">
        <w:rPr>
          <w:rFonts w:ascii="Arial" w:eastAsia="Arial" w:hAnsi="Arial" w:cs="Arial"/>
          <w:i/>
          <w:sz w:val="20"/>
        </w:rPr>
        <w:t>Journal of Marine Science and Engineering</w:t>
      </w:r>
      <w:r w:rsidRPr="002F71D8">
        <w:rPr>
          <w:rFonts w:ascii="Arial" w:eastAsia="Arial" w:hAnsi="Arial" w:cs="Arial"/>
          <w:sz w:val="20"/>
        </w:rPr>
        <w:t>, 9.</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Mollah</w:t>
      </w:r>
      <w:proofErr w:type="spellEnd"/>
      <w:r w:rsidRPr="002F71D8">
        <w:rPr>
          <w:rFonts w:ascii="Arial" w:eastAsia="Arial" w:hAnsi="Arial" w:cs="Arial"/>
          <w:sz w:val="20"/>
        </w:rPr>
        <w:t xml:space="preserve">, M. F. A., </w:t>
      </w:r>
      <w:proofErr w:type="spellStart"/>
      <w:r w:rsidRPr="002F71D8">
        <w:rPr>
          <w:rFonts w:ascii="Arial" w:eastAsia="Arial" w:hAnsi="Arial" w:cs="Arial"/>
          <w:sz w:val="20"/>
        </w:rPr>
        <w:t>Moniruzzaman</w:t>
      </w:r>
      <w:proofErr w:type="spellEnd"/>
      <w:r w:rsidRPr="002F71D8">
        <w:rPr>
          <w:rFonts w:ascii="Arial" w:eastAsia="Arial" w:hAnsi="Arial" w:cs="Arial"/>
          <w:sz w:val="20"/>
        </w:rPr>
        <w:t>, M., &amp; Rahman, M. M. (2011). Effects of stocking densities on</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growth and survival of Thai </w:t>
      </w:r>
      <w:proofErr w:type="spellStart"/>
      <w:r w:rsidRPr="002F71D8">
        <w:rPr>
          <w:rFonts w:ascii="Arial" w:eastAsia="Arial" w:hAnsi="Arial" w:cs="Arial"/>
          <w:sz w:val="20"/>
        </w:rPr>
        <w:t>sharpunti</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Barbonymus</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gonionotus</w:t>
      </w:r>
      <w:proofErr w:type="spellEnd"/>
      <w:r w:rsidRPr="002F71D8">
        <w:rPr>
          <w:rFonts w:ascii="Arial" w:eastAsia="Arial" w:hAnsi="Arial" w:cs="Arial"/>
          <w:sz w:val="20"/>
        </w:rPr>
        <w:t xml:space="preserve">) in earthen ponds. </w:t>
      </w:r>
      <w:r w:rsidRPr="002F71D8">
        <w:rPr>
          <w:rFonts w:ascii="Arial" w:eastAsia="Arial" w:hAnsi="Arial" w:cs="Arial"/>
          <w:i/>
          <w:color w:val="000000"/>
          <w:sz w:val="20"/>
        </w:rPr>
        <w:t>Journal of the Bangladesh Agricultural University</w:t>
      </w:r>
      <w:r w:rsidRPr="002F71D8">
        <w:rPr>
          <w:rFonts w:ascii="Arial" w:eastAsia="Arial" w:hAnsi="Arial" w:cs="Arial"/>
          <w:color w:val="000000"/>
          <w:sz w:val="20"/>
        </w:rPr>
        <w:t>,</w:t>
      </w:r>
      <w:r w:rsidRPr="002F71D8">
        <w:rPr>
          <w:rFonts w:ascii="Arial" w:eastAsia="Arial" w:hAnsi="Arial" w:cs="Arial"/>
          <w:sz w:val="20"/>
        </w:rPr>
        <w:t xml:space="preserve"> 9(2), 327–338.</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Moniruzzaman</w:t>
      </w:r>
      <w:proofErr w:type="spellEnd"/>
      <w:r w:rsidRPr="002F71D8">
        <w:rPr>
          <w:rFonts w:ascii="Arial" w:eastAsia="Arial" w:hAnsi="Arial" w:cs="Arial"/>
          <w:sz w:val="20"/>
        </w:rPr>
        <w:t xml:space="preserve">, M., &amp; </w:t>
      </w:r>
      <w:proofErr w:type="spellStart"/>
      <w:r w:rsidRPr="002F71D8">
        <w:rPr>
          <w:rFonts w:ascii="Arial" w:eastAsia="Arial" w:hAnsi="Arial" w:cs="Arial"/>
          <w:sz w:val="20"/>
        </w:rPr>
        <w:t>Mollah</w:t>
      </w:r>
      <w:proofErr w:type="spellEnd"/>
      <w:r w:rsidRPr="002F71D8">
        <w:rPr>
          <w:rFonts w:ascii="Arial" w:eastAsia="Arial" w:hAnsi="Arial" w:cs="Arial"/>
          <w:sz w:val="20"/>
        </w:rPr>
        <w:t>, M. F. A. (2010). Effects of rice bran on growth and survival of</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Thai </w:t>
      </w:r>
      <w:proofErr w:type="spellStart"/>
      <w:r w:rsidRPr="002F71D8">
        <w:rPr>
          <w:rFonts w:ascii="Arial" w:eastAsia="Arial" w:hAnsi="Arial" w:cs="Arial"/>
          <w:sz w:val="20"/>
        </w:rPr>
        <w:t>sharpunti</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Barbodes</w:t>
      </w:r>
      <w:proofErr w:type="spellEnd"/>
      <w:r w:rsidRPr="002F71D8">
        <w:rPr>
          <w:rFonts w:ascii="Arial" w:eastAsia="Arial" w:hAnsi="Arial" w:cs="Arial"/>
          <w:sz w:val="20"/>
        </w:rPr>
        <w:t xml:space="preserve"> </w:t>
      </w:r>
      <w:proofErr w:type="spellStart"/>
      <w:r w:rsidRPr="002F71D8">
        <w:rPr>
          <w:rFonts w:ascii="Arial" w:eastAsia="Arial" w:hAnsi="Arial" w:cs="Arial"/>
          <w:i/>
          <w:sz w:val="20"/>
        </w:rPr>
        <w:t>gonionotus</w:t>
      </w:r>
      <w:proofErr w:type="spellEnd"/>
      <w:r w:rsidRPr="002F71D8">
        <w:rPr>
          <w:rFonts w:ascii="Arial" w:eastAsia="Arial" w:hAnsi="Arial" w:cs="Arial"/>
          <w:sz w:val="20"/>
        </w:rPr>
        <w:t xml:space="preserve">) in earthen ponds. </w:t>
      </w:r>
      <w:r w:rsidRPr="002F71D8">
        <w:rPr>
          <w:rFonts w:ascii="Arial" w:eastAsia="Arial" w:hAnsi="Arial" w:cs="Arial"/>
          <w:i/>
          <w:color w:val="000000"/>
          <w:sz w:val="20"/>
        </w:rPr>
        <w:t>Journal of the Bangladesh Agricultural University</w:t>
      </w:r>
      <w:r w:rsidRPr="002F71D8">
        <w:rPr>
          <w:rFonts w:ascii="Arial" w:eastAsia="Arial" w:hAnsi="Arial" w:cs="Arial"/>
          <w:color w:val="000000"/>
          <w:sz w:val="20"/>
        </w:rPr>
        <w:t>,</w:t>
      </w:r>
      <w:r w:rsidRPr="002F71D8">
        <w:rPr>
          <w:rFonts w:ascii="Arial" w:eastAsia="Arial" w:hAnsi="Arial" w:cs="Arial"/>
          <w:sz w:val="20"/>
        </w:rPr>
        <w:t xml:space="preserve"> 8(1), 161-171.</w:t>
      </w:r>
    </w:p>
    <w:p w:rsidR="0040592E" w:rsidRDefault="0040592E" w:rsidP="002F71D8">
      <w:pPr>
        <w:pStyle w:val="ListParagraph"/>
        <w:numPr>
          <w:ilvl w:val="0"/>
          <w:numId w:val="1"/>
        </w:numPr>
        <w:spacing w:after="0" w:line="240" w:lineRule="auto"/>
        <w:jc w:val="both"/>
        <w:rPr>
          <w:rFonts w:ascii="Arial" w:eastAsia="Arial" w:hAnsi="Arial" w:cs="Arial"/>
          <w:sz w:val="20"/>
        </w:rPr>
      </w:pPr>
      <w:r w:rsidRPr="0040592E">
        <w:rPr>
          <w:rFonts w:ascii="Arial" w:eastAsia="Arial" w:hAnsi="Arial" w:cs="Arial"/>
          <w:sz w:val="20"/>
        </w:rPr>
        <w:t xml:space="preserve">Pandit, N. P., Shrestha, M. K., Yi, Y., Diana, J. S., &amp; Rampur, C. (2004, September). Polyculture of grass carp and Nile tilapia with </w:t>
      </w:r>
      <w:proofErr w:type="spellStart"/>
      <w:r w:rsidRPr="0040592E">
        <w:rPr>
          <w:rFonts w:ascii="Arial" w:eastAsia="Arial" w:hAnsi="Arial" w:cs="Arial"/>
          <w:sz w:val="20"/>
        </w:rPr>
        <w:t>napier</w:t>
      </w:r>
      <w:proofErr w:type="spellEnd"/>
      <w:r w:rsidRPr="0040592E">
        <w:rPr>
          <w:rFonts w:ascii="Arial" w:eastAsia="Arial" w:hAnsi="Arial" w:cs="Arial"/>
          <w:sz w:val="20"/>
        </w:rPr>
        <w:t xml:space="preserve"> grass as the sole nutrient input in the subtropical climate of Nepal. In 6th international symposium on tilapia in aquaculture Philippine international convention center </w:t>
      </w:r>
      <w:proofErr w:type="spellStart"/>
      <w:r w:rsidRPr="0040592E">
        <w:rPr>
          <w:rFonts w:ascii="Arial" w:eastAsia="Arial" w:hAnsi="Arial" w:cs="Arial"/>
          <w:sz w:val="20"/>
        </w:rPr>
        <w:t>roxas</w:t>
      </w:r>
      <w:proofErr w:type="spellEnd"/>
      <w:r w:rsidRPr="0040592E">
        <w:rPr>
          <w:rFonts w:ascii="Arial" w:eastAsia="Arial" w:hAnsi="Arial" w:cs="Arial"/>
          <w:sz w:val="20"/>
        </w:rPr>
        <w:t xml:space="preserve"> Boulevard, Manila, Philippines. September (pp. 12-16).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 xml:space="preserve">Pasco, J. J. M., Filho, J. W. C., de </w:t>
      </w:r>
      <w:proofErr w:type="spellStart"/>
      <w:r w:rsidRPr="002F71D8">
        <w:rPr>
          <w:rFonts w:ascii="Arial" w:eastAsia="Arial" w:hAnsi="Arial" w:cs="Arial"/>
          <w:sz w:val="20"/>
        </w:rPr>
        <w:t>Espirito</w:t>
      </w:r>
      <w:proofErr w:type="spellEnd"/>
      <w:r w:rsidRPr="002F71D8">
        <w:rPr>
          <w:rFonts w:ascii="Arial" w:eastAsia="Arial" w:hAnsi="Arial" w:cs="Arial"/>
          <w:sz w:val="20"/>
        </w:rPr>
        <w:t xml:space="preserve">, S. C. M., &amp; </w:t>
      </w:r>
      <w:proofErr w:type="spellStart"/>
      <w:r w:rsidRPr="002F71D8">
        <w:rPr>
          <w:rFonts w:ascii="Arial" w:eastAsia="Arial" w:hAnsi="Arial" w:cs="Arial"/>
          <w:sz w:val="20"/>
        </w:rPr>
        <w:t>Vinatea</w:t>
      </w:r>
      <w:proofErr w:type="spellEnd"/>
      <w:r w:rsidRPr="002F71D8">
        <w:rPr>
          <w:rFonts w:ascii="Arial" w:eastAsia="Arial" w:hAnsi="Arial" w:cs="Arial"/>
          <w:sz w:val="20"/>
        </w:rPr>
        <w:t>, L. (2018). Production of Nile</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tilapia, </w:t>
      </w: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grown in BFT using two aeration systems. </w:t>
      </w:r>
      <w:r w:rsidRPr="002F71D8">
        <w:rPr>
          <w:rFonts w:ascii="Arial" w:eastAsia="Arial" w:hAnsi="Arial" w:cs="Arial"/>
          <w:i/>
          <w:color w:val="000000"/>
          <w:sz w:val="20"/>
        </w:rPr>
        <w:t>Aquaculture</w:t>
      </w:r>
      <w:r w:rsidRPr="002F71D8">
        <w:rPr>
          <w:rFonts w:ascii="Arial" w:eastAsia="Arial" w:hAnsi="Arial" w:cs="Arial"/>
          <w:color w:val="000000"/>
          <w:sz w:val="20"/>
        </w:rPr>
        <w:t xml:space="preserve"> </w:t>
      </w:r>
      <w:r w:rsidRPr="002F71D8">
        <w:rPr>
          <w:rFonts w:ascii="Arial" w:eastAsia="Arial" w:hAnsi="Arial" w:cs="Arial"/>
          <w:i/>
          <w:color w:val="000000"/>
          <w:sz w:val="20"/>
        </w:rPr>
        <w:t>Research</w:t>
      </w:r>
      <w:r w:rsidRPr="002F71D8">
        <w:rPr>
          <w:rFonts w:ascii="Arial" w:eastAsia="Arial" w:hAnsi="Arial" w:cs="Arial"/>
          <w:color w:val="000000"/>
          <w:sz w:val="20"/>
        </w:rPr>
        <w:t xml:space="preserve">, </w:t>
      </w:r>
      <w:r w:rsidRPr="002F71D8">
        <w:rPr>
          <w:rFonts w:ascii="Arial" w:eastAsia="Arial" w:hAnsi="Arial" w:cs="Arial"/>
          <w:sz w:val="20"/>
        </w:rPr>
        <w:t>49, 222–232.</w:t>
      </w:r>
    </w:p>
    <w:p w:rsidR="0040592E" w:rsidRDefault="0040592E" w:rsidP="002F71D8">
      <w:pPr>
        <w:pStyle w:val="ListParagraph"/>
        <w:numPr>
          <w:ilvl w:val="0"/>
          <w:numId w:val="1"/>
        </w:numPr>
        <w:spacing w:after="0" w:line="240" w:lineRule="auto"/>
        <w:jc w:val="both"/>
        <w:rPr>
          <w:rFonts w:ascii="Arial" w:eastAsia="Arial" w:hAnsi="Arial" w:cs="Arial"/>
          <w:sz w:val="20"/>
        </w:rPr>
      </w:pPr>
      <w:r w:rsidRPr="0040592E">
        <w:rPr>
          <w:rFonts w:ascii="Arial" w:eastAsia="Arial" w:hAnsi="Arial" w:cs="Arial"/>
          <w:sz w:val="20"/>
        </w:rPr>
        <w:t>Paul, S. (1998). Comparison between carp polyculture system with silver carp (</w:t>
      </w:r>
      <w:proofErr w:type="spellStart"/>
      <w:r w:rsidRPr="0040592E">
        <w:rPr>
          <w:rFonts w:ascii="Arial" w:eastAsia="Arial" w:hAnsi="Arial" w:cs="Arial"/>
          <w:sz w:val="20"/>
        </w:rPr>
        <w:t>Hypophthalmichthys</w:t>
      </w:r>
      <w:proofErr w:type="spellEnd"/>
      <w:r w:rsidRPr="0040592E">
        <w:rPr>
          <w:rFonts w:ascii="Arial" w:eastAsia="Arial" w:hAnsi="Arial" w:cs="Arial"/>
          <w:sz w:val="20"/>
        </w:rPr>
        <w:t xml:space="preserve"> molitrix) and with small indigenous fish </w:t>
      </w:r>
      <w:proofErr w:type="spellStart"/>
      <w:r w:rsidRPr="0040592E">
        <w:rPr>
          <w:rFonts w:ascii="Arial" w:eastAsia="Arial" w:hAnsi="Arial" w:cs="Arial"/>
          <w:sz w:val="20"/>
        </w:rPr>
        <w:t>mola</w:t>
      </w:r>
      <w:proofErr w:type="spellEnd"/>
      <w:r w:rsidRPr="0040592E">
        <w:rPr>
          <w:rFonts w:ascii="Arial" w:eastAsia="Arial" w:hAnsi="Arial" w:cs="Arial"/>
          <w:sz w:val="20"/>
        </w:rPr>
        <w:t xml:space="preserve"> (</w:t>
      </w:r>
      <w:proofErr w:type="spellStart"/>
      <w:r w:rsidRPr="0040592E">
        <w:rPr>
          <w:rFonts w:ascii="Arial" w:eastAsia="Arial" w:hAnsi="Arial" w:cs="Arial"/>
          <w:sz w:val="20"/>
        </w:rPr>
        <w:t>Amblypharyngodon</w:t>
      </w:r>
      <w:proofErr w:type="spellEnd"/>
      <w:r w:rsidRPr="0040592E">
        <w:rPr>
          <w:rFonts w:ascii="Arial" w:eastAsia="Arial" w:hAnsi="Arial" w:cs="Arial"/>
          <w:sz w:val="20"/>
        </w:rPr>
        <w:t xml:space="preserve"> </w:t>
      </w:r>
      <w:proofErr w:type="spellStart"/>
      <w:r w:rsidRPr="0040592E">
        <w:rPr>
          <w:rFonts w:ascii="Arial" w:eastAsia="Arial" w:hAnsi="Arial" w:cs="Arial"/>
          <w:sz w:val="20"/>
        </w:rPr>
        <w:t>mola</w:t>
      </w:r>
      <w:proofErr w:type="spellEnd"/>
      <w:r w:rsidRPr="0040592E">
        <w:rPr>
          <w:rFonts w:ascii="Arial" w:eastAsia="Arial" w:hAnsi="Arial" w:cs="Arial"/>
          <w:sz w:val="20"/>
        </w:rPr>
        <w:t>). Dept. of Fisheries Management, Bangladesh Agricultural University, Mymensingh.</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Peterman, A. M. (2011). Evaluation of production characteristics of four strains of Nile tilapia</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i/>
          <w:sz w:val="20"/>
        </w:rPr>
        <w:t>Oreochromis</w:t>
      </w:r>
      <w:r w:rsidRPr="002F71D8">
        <w:rPr>
          <w:rFonts w:ascii="Arial" w:eastAsia="Arial" w:hAnsi="Arial" w:cs="Arial"/>
          <w:sz w:val="20"/>
        </w:rPr>
        <w:t xml:space="preserve"> </w:t>
      </w:r>
      <w:proofErr w:type="spellStart"/>
      <w:r w:rsidRPr="002F71D8">
        <w:rPr>
          <w:rFonts w:ascii="Arial" w:eastAsia="Arial" w:hAnsi="Arial" w:cs="Arial"/>
          <w:i/>
          <w:sz w:val="20"/>
        </w:rPr>
        <w:t>niloticus</w:t>
      </w:r>
      <w:proofErr w:type="spellEnd"/>
      <w:r w:rsidRPr="002F71D8">
        <w:rPr>
          <w:rFonts w:ascii="Arial" w:eastAsia="Arial" w:hAnsi="Arial" w:cs="Arial"/>
          <w:sz w:val="20"/>
        </w:rPr>
        <w:t xml:space="preserve"> and a red variety under two sets of intensive culture conditions. Thesis, Department of Fisheries and Allied Aquacultures, Auburn University, Alabama</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proofErr w:type="spellStart"/>
      <w:r w:rsidRPr="002F71D8">
        <w:rPr>
          <w:rFonts w:ascii="Arial" w:eastAsia="Arial" w:hAnsi="Arial" w:cs="Arial"/>
          <w:sz w:val="20"/>
        </w:rPr>
        <w:t>Potongkam</w:t>
      </w:r>
      <w:proofErr w:type="spellEnd"/>
      <w:r w:rsidRPr="002F71D8">
        <w:rPr>
          <w:rFonts w:ascii="Arial" w:eastAsia="Arial" w:hAnsi="Arial" w:cs="Arial"/>
          <w:sz w:val="20"/>
        </w:rPr>
        <w:t>, K., &amp; Miller, J. (2016). Manual on hatchery and catfish production. A guide for</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t xml:space="preserve">small to medium scale hatchery and farm producers in Nigeria. </w:t>
      </w:r>
    </w:p>
    <w:p w:rsidR="00196F0D" w:rsidRPr="002F71D8" w:rsidRDefault="00E01C14" w:rsidP="002F71D8">
      <w:pPr>
        <w:pStyle w:val="ListParagraph"/>
        <w:numPr>
          <w:ilvl w:val="0"/>
          <w:numId w:val="1"/>
        </w:numPr>
        <w:spacing w:after="0" w:line="240" w:lineRule="auto"/>
        <w:jc w:val="both"/>
        <w:rPr>
          <w:rFonts w:ascii="Arial" w:eastAsia="Arial" w:hAnsi="Arial" w:cs="Arial"/>
          <w:sz w:val="20"/>
        </w:rPr>
      </w:pPr>
      <w:r w:rsidRPr="002F71D8">
        <w:rPr>
          <w:rFonts w:ascii="Arial" w:eastAsia="Arial" w:hAnsi="Arial" w:cs="Arial"/>
          <w:sz w:val="20"/>
        </w:rPr>
        <w:t>Priestley, S. M., Stevenson, A. E., &amp; Alexander, L. G. (2006). The influence of feeding frequency on</w:t>
      </w:r>
    </w:p>
    <w:p w:rsidR="00196F0D" w:rsidRPr="002F71D8" w:rsidRDefault="00E01C14" w:rsidP="002F71D8">
      <w:pPr>
        <w:pStyle w:val="ListParagraph"/>
        <w:numPr>
          <w:ilvl w:val="1"/>
          <w:numId w:val="1"/>
        </w:numPr>
        <w:spacing w:after="0" w:line="240" w:lineRule="auto"/>
        <w:jc w:val="both"/>
        <w:rPr>
          <w:rFonts w:ascii="Arial" w:eastAsia="Arial" w:hAnsi="Arial" w:cs="Arial"/>
          <w:sz w:val="20"/>
        </w:rPr>
      </w:pPr>
      <w:r w:rsidRPr="002F71D8">
        <w:rPr>
          <w:rFonts w:ascii="Arial" w:eastAsia="Arial" w:hAnsi="Arial" w:cs="Arial"/>
          <w:sz w:val="20"/>
        </w:rPr>
        <w:lastRenderedPageBreak/>
        <w:t>growth and body condition of the common goldfish (</w:t>
      </w:r>
      <w:proofErr w:type="spellStart"/>
      <w:r w:rsidRPr="002F71D8">
        <w:rPr>
          <w:rFonts w:ascii="Arial" w:eastAsia="Arial" w:hAnsi="Arial" w:cs="Arial"/>
          <w:i/>
          <w:sz w:val="20"/>
        </w:rPr>
        <w:t>Carassius</w:t>
      </w:r>
      <w:proofErr w:type="spellEnd"/>
      <w:r w:rsidRPr="002F71D8">
        <w:rPr>
          <w:rFonts w:ascii="Arial" w:eastAsia="Arial" w:hAnsi="Arial" w:cs="Arial"/>
          <w:sz w:val="20"/>
        </w:rPr>
        <w:t xml:space="preserve"> </w:t>
      </w:r>
      <w:r w:rsidRPr="002F71D8">
        <w:rPr>
          <w:rFonts w:ascii="Arial" w:eastAsia="Arial" w:hAnsi="Arial" w:cs="Arial"/>
          <w:i/>
          <w:sz w:val="20"/>
        </w:rPr>
        <w:t>auratus</w:t>
      </w:r>
      <w:r w:rsidRPr="002F71D8">
        <w:rPr>
          <w:rFonts w:ascii="Arial" w:eastAsia="Arial" w:hAnsi="Arial" w:cs="Arial"/>
          <w:sz w:val="20"/>
        </w:rPr>
        <w:t xml:space="preserve">). The </w:t>
      </w:r>
      <w:r w:rsidRPr="002F71D8">
        <w:rPr>
          <w:rFonts w:ascii="Arial" w:eastAsia="Arial" w:hAnsi="Arial" w:cs="Arial"/>
          <w:i/>
          <w:sz w:val="20"/>
        </w:rPr>
        <w:t>Journal of Nutrition</w:t>
      </w:r>
      <w:r w:rsidRPr="002F71D8">
        <w:rPr>
          <w:rFonts w:ascii="Arial" w:eastAsia="Arial" w:hAnsi="Arial" w:cs="Arial"/>
          <w:sz w:val="20"/>
        </w:rPr>
        <w:t>, 136, 1979S-1981S.</w:t>
      </w:r>
    </w:p>
    <w:p w:rsidR="00196F0D" w:rsidRDefault="00196F0D">
      <w:pPr>
        <w:spacing w:after="0" w:line="240" w:lineRule="auto"/>
        <w:ind w:left="720"/>
        <w:jc w:val="both"/>
        <w:rPr>
          <w:rFonts w:ascii="Arial" w:eastAsia="Arial" w:hAnsi="Arial" w:cs="Arial"/>
          <w:sz w:val="20"/>
        </w:rPr>
      </w:pPr>
    </w:p>
    <w:sectPr w:rsidR="00196F0D" w:rsidSect="00273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32410"/>
    <w:multiLevelType w:val="hybridMultilevel"/>
    <w:tmpl w:val="67CA4D4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CwMLMwNDa3MLO0NLFQ0lEKTi0uzszPAykwrAUAjgds/ywAAAA="/>
  </w:docVars>
  <w:rsids>
    <w:rsidRoot w:val="00196F0D"/>
    <w:rsid w:val="00005715"/>
    <w:rsid w:val="0006762D"/>
    <w:rsid w:val="000769AF"/>
    <w:rsid w:val="00155F92"/>
    <w:rsid w:val="00176D77"/>
    <w:rsid w:val="00196F0D"/>
    <w:rsid w:val="00210CED"/>
    <w:rsid w:val="002367F4"/>
    <w:rsid w:val="00273AA2"/>
    <w:rsid w:val="002A0836"/>
    <w:rsid w:val="002F71D8"/>
    <w:rsid w:val="00362E14"/>
    <w:rsid w:val="003F713C"/>
    <w:rsid w:val="0040592E"/>
    <w:rsid w:val="00457EB6"/>
    <w:rsid w:val="004D109F"/>
    <w:rsid w:val="0057484D"/>
    <w:rsid w:val="00585A59"/>
    <w:rsid w:val="0067113D"/>
    <w:rsid w:val="0072770E"/>
    <w:rsid w:val="007A4F8F"/>
    <w:rsid w:val="007C3B7A"/>
    <w:rsid w:val="008D21CD"/>
    <w:rsid w:val="00925A6C"/>
    <w:rsid w:val="009502E9"/>
    <w:rsid w:val="00975A3A"/>
    <w:rsid w:val="00A166CA"/>
    <w:rsid w:val="00A21CDA"/>
    <w:rsid w:val="00A62300"/>
    <w:rsid w:val="00A9613A"/>
    <w:rsid w:val="00AE77D1"/>
    <w:rsid w:val="00AF159E"/>
    <w:rsid w:val="00B21188"/>
    <w:rsid w:val="00B67A49"/>
    <w:rsid w:val="00B77C27"/>
    <w:rsid w:val="00B84299"/>
    <w:rsid w:val="00BE0FFD"/>
    <w:rsid w:val="00BE43D4"/>
    <w:rsid w:val="00BF5FE3"/>
    <w:rsid w:val="00C47636"/>
    <w:rsid w:val="00E01C14"/>
    <w:rsid w:val="00E8501F"/>
    <w:rsid w:val="00EE6065"/>
    <w:rsid w:val="00EF3AA0"/>
    <w:rsid w:val="00F058BD"/>
    <w:rsid w:val="00F9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958B"/>
  <w15:docId w15:val="{24FF8CC0-A060-4D5A-9BB7-AAF0EA6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A3A"/>
    <w:rPr>
      <w:rFonts w:ascii="Tahoma" w:hAnsi="Tahoma" w:cs="Tahoma"/>
      <w:sz w:val="16"/>
      <w:szCs w:val="16"/>
    </w:rPr>
  </w:style>
  <w:style w:type="table" w:customStyle="1" w:styleId="LightShading-Accent13">
    <w:name w:val="Light Shading - Accent 13"/>
    <w:basedOn w:val="TableNormal"/>
    <w:uiPriority w:val="60"/>
    <w:rsid w:val="00A62300"/>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A21C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i.org/10.4194/AQUAST13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12</Pages>
  <Words>5351</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41</cp:revision>
  <dcterms:created xsi:type="dcterms:W3CDTF">2025-11-26T11:54:00Z</dcterms:created>
  <dcterms:modified xsi:type="dcterms:W3CDTF">2025-11-29T10:57:00Z</dcterms:modified>
</cp:coreProperties>
</file>