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7E0D" w14:textId="42904997" w:rsidR="004356C8" w:rsidRPr="004356C8" w:rsidRDefault="004356C8" w:rsidP="004356C8">
      <w:pPr>
        <w:rPr>
          <w:rFonts w:ascii="Arial" w:hAnsi="Arial" w:cs="Arial"/>
          <w:b/>
          <w:bCs/>
          <w:color w:val="000000" w:themeColor="text1"/>
        </w:rPr>
      </w:pPr>
      <w:r w:rsidRPr="004356C8">
        <w:rPr>
          <w:rFonts w:ascii="Arial" w:hAnsi="Arial" w:cs="Arial"/>
          <w:b/>
          <w:bCs/>
          <w:color w:val="000000" w:themeColor="text1"/>
        </w:rPr>
        <w:t>The relationship between the 21st-century skills of public elementary school teachers and their teaching performance</w:t>
      </w:r>
    </w:p>
    <w:p w14:paraId="7ADC11DF" w14:textId="3F174A38" w:rsidR="000808C2" w:rsidRDefault="000808C2" w:rsidP="000808C2">
      <w:pPr>
        <w:rPr>
          <w:rFonts w:ascii="Arial" w:hAnsi="Arial" w:cs="Arial"/>
          <w:b/>
          <w:bCs/>
          <w:color w:val="000000" w:themeColor="text1"/>
          <w:sz w:val="22"/>
          <w:szCs w:val="22"/>
        </w:rPr>
      </w:pPr>
      <w:r>
        <w:rPr>
          <w:rFonts w:ascii="Arial" w:hAnsi="Arial" w:cs="Arial"/>
          <w:noProof/>
        </w:rPr>
        <mc:AlternateContent>
          <mc:Choice Requires="wps">
            <w:drawing>
              <wp:inline distT="0" distB="0" distL="0" distR="0" wp14:anchorId="67A686AE" wp14:editId="530585C9">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72F8CAD9"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B3Tvww0AEAAIwDAAAOAAAAAAAA&#10;AAAAAAAAAC4CAABkcnMvZTJvRG9jLnhtbFBLAQItABQABgAIAAAAIQBJyNK31gAAAAIBAAAPAAAA&#10;AAAAAAAAAAAAACoEAABkcnMvZG93bnJldi54bWxQSwUGAAAAAAQABADzAAAALQUAAAAA&#10;" strokeweight="1.5pt">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10905" w:rsidRPr="001E44FE" w14:paraId="7300180C" w14:textId="77777777" w:rsidTr="0074472D">
        <w:tc>
          <w:tcPr>
            <w:tcW w:w="9350" w:type="dxa"/>
            <w:shd w:val="clear" w:color="auto" w:fill="F2F2F2"/>
          </w:tcPr>
          <w:p w14:paraId="1EFC4D7A" w14:textId="77777777" w:rsidR="00010905" w:rsidRPr="000808C2" w:rsidRDefault="00010905" w:rsidP="00010905">
            <w:r w:rsidRPr="000808C2">
              <w:rPr>
                <w:rFonts w:ascii="Arial" w:hAnsi="Arial" w:cs="Arial"/>
                <w:b/>
                <w:bCs/>
                <w:color w:val="000000" w:themeColor="text1"/>
                <w:sz w:val="22"/>
                <w:szCs w:val="22"/>
              </w:rPr>
              <w:t>ABSTRACT</w:t>
            </w:r>
          </w:p>
          <w:p w14:paraId="70C3098C" w14:textId="77777777" w:rsidR="00187BE8" w:rsidRDefault="00010905" w:rsidP="00010905">
            <w:pPr>
              <w:jc w:val="both"/>
              <w:rPr>
                <w:rFonts w:ascii="Arial" w:hAnsi="Arial" w:cs="Arial"/>
                <w:sz w:val="22"/>
                <w:szCs w:val="22"/>
              </w:rPr>
            </w:pPr>
            <w:r w:rsidRPr="000808C2">
              <w:rPr>
                <w:rFonts w:ascii="Arial" w:hAnsi="Arial" w:cs="Arial"/>
                <w:b/>
                <w:bCs/>
                <w:sz w:val="22"/>
                <w:szCs w:val="22"/>
              </w:rPr>
              <w:t>Aims:</w:t>
            </w:r>
            <w:r w:rsidRPr="000808C2">
              <w:rPr>
                <w:rFonts w:ascii="Arial" w:hAnsi="Arial" w:cs="Arial"/>
                <w:sz w:val="22"/>
                <w:szCs w:val="22"/>
              </w:rPr>
              <w:t xml:space="preserve"> </w:t>
            </w:r>
            <w:r w:rsidR="00187BE8" w:rsidRPr="00187BE8">
              <w:rPr>
                <w:rFonts w:ascii="Arial" w:hAnsi="Arial" w:cs="Arial"/>
                <w:sz w:val="22"/>
                <w:szCs w:val="22"/>
              </w:rPr>
              <w:t xml:space="preserve">This study aimed to investigate the relationship between the 21st-century skills of public elementary school teachers and their teaching performance. Specifically, it sought to determine the extent to which teachers practice core competencies such as effective communication, learning and innovation, information and media literacy, and life and career skills, and whether </w:t>
            </w:r>
            <w:proofErr w:type="gramStart"/>
            <w:r w:rsidR="00187BE8" w:rsidRPr="00187BE8">
              <w:rPr>
                <w:rFonts w:ascii="Arial" w:hAnsi="Arial" w:cs="Arial"/>
                <w:sz w:val="22"/>
                <w:szCs w:val="22"/>
              </w:rPr>
              <w:t>these influence</w:t>
            </w:r>
            <w:proofErr w:type="gramEnd"/>
            <w:r w:rsidR="00187BE8" w:rsidRPr="00187BE8">
              <w:rPr>
                <w:rFonts w:ascii="Arial" w:hAnsi="Arial" w:cs="Arial"/>
                <w:sz w:val="22"/>
                <w:szCs w:val="22"/>
              </w:rPr>
              <w:t xml:space="preserve"> their performance in key result areas.</w:t>
            </w:r>
          </w:p>
          <w:p w14:paraId="7485C894" w14:textId="77777777" w:rsidR="00F506A7" w:rsidRDefault="00010905" w:rsidP="00F506A7">
            <w:pPr>
              <w:jc w:val="both"/>
              <w:rPr>
                <w:rFonts w:ascii="Arial" w:hAnsi="Arial" w:cs="Arial"/>
                <w:sz w:val="22"/>
                <w:szCs w:val="22"/>
              </w:rPr>
            </w:pPr>
            <w:r w:rsidRPr="000808C2">
              <w:rPr>
                <w:rFonts w:ascii="Arial" w:hAnsi="Arial" w:cs="Arial"/>
                <w:b/>
                <w:bCs/>
                <w:sz w:val="22"/>
                <w:szCs w:val="22"/>
              </w:rPr>
              <w:t>Study Design:</w:t>
            </w:r>
            <w:r w:rsidRPr="000808C2">
              <w:rPr>
                <w:rFonts w:ascii="Arial" w:hAnsi="Arial" w:cs="Arial"/>
                <w:sz w:val="22"/>
                <w:szCs w:val="22"/>
              </w:rPr>
              <w:t xml:space="preserve"> </w:t>
            </w:r>
            <w:r w:rsidR="00F506A7" w:rsidRPr="00F506A7">
              <w:rPr>
                <w:rFonts w:ascii="Arial" w:hAnsi="Arial" w:cs="Arial"/>
                <w:sz w:val="22"/>
                <w:szCs w:val="22"/>
              </w:rPr>
              <w:t>The study utilized a descriptive research design to provide a detailed account of the current practices and performance levels of public elementary teachers. This approach aimed to describe the existing conditions without manipulating variables.</w:t>
            </w:r>
            <w:r w:rsidR="00F506A7">
              <w:rPr>
                <w:rFonts w:ascii="Arial" w:hAnsi="Arial" w:cs="Arial"/>
                <w:sz w:val="22"/>
                <w:szCs w:val="22"/>
              </w:rPr>
              <w:t xml:space="preserve"> </w:t>
            </w:r>
            <w:r w:rsidR="00F506A7" w:rsidRPr="00F506A7">
              <w:rPr>
                <w:rFonts w:ascii="Arial" w:hAnsi="Arial" w:cs="Arial"/>
                <w:sz w:val="22"/>
                <w:szCs w:val="22"/>
              </w:rPr>
              <w:t>Additionally, a correlational quantitative design was employed to examine the nature and strength of the relationship between teachers’ 21st-century skills and their teaching performance. Pearson’s product-moment correlation was used to determine whether a significant association exists between these variables.</w:t>
            </w:r>
          </w:p>
          <w:p w14:paraId="1CBC44FE" w14:textId="29FD467C" w:rsidR="00312914" w:rsidRDefault="00010905" w:rsidP="00F506A7">
            <w:pPr>
              <w:jc w:val="both"/>
              <w:rPr>
                <w:rFonts w:ascii="Arial" w:hAnsi="Arial" w:cs="Arial"/>
                <w:sz w:val="22"/>
                <w:szCs w:val="22"/>
              </w:rPr>
            </w:pPr>
            <w:r w:rsidRPr="000808C2">
              <w:rPr>
                <w:rFonts w:ascii="Arial" w:hAnsi="Arial" w:cs="Arial"/>
                <w:b/>
                <w:bCs/>
                <w:sz w:val="22"/>
                <w:szCs w:val="22"/>
              </w:rPr>
              <w:t>Place and Duration:</w:t>
            </w:r>
            <w:r w:rsidRPr="000808C2">
              <w:rPr>
                <w:rFonts w:ascii="Arial" w:hAnsi="Arial" w:cs="Arial"/>
                <w:sz w:val="22"/>
                <w:szCs w:val="22"/>
              </w:rPr>
              <w:t xml:space="preserve"> </w:t>
            </w:r>
            <w:r w:rsidR="00187BE8" w:rsidRPr="00187BE8">
              <w:rPr>
                <w:rFonts w:ascii="Arial" w:hAnsi="Arial" w:cs="Arial"/>
                <w:sz w:val="22"/>
                <w:szCs w:val="22"/>
              </w:rPr>
              <w:t>The study was conducted in one district of Davao del Sur, Philippines, during the academic year, focusing on Grade 6 teachers in public elementary schools.</w:t>
            </w:r>
          </w:p>
          <w:p w14:paraId="424F4817" w14:textId="77777777" w:rsidR="00187BE8" w:rsidRDefault="00010905" w:rsidP="0074472D">
            <w:pPr>
              <w:jc w:val="both"/>
              <w:rPr>
                <w:rFonts w:ascii="Arial" w:hAnsi="Arial" w:cs="Arial"/>
                <w:sz w:val="22"/>
                <w:szCs w:val="22"/>
              </w:rPr>
            </w:pPr>
            <w:r w:rsidRPr="000808C2">
              <w:rPr>
                <w:rFonts w:ascii="Arial" w:hAnsi="Arial" w:cs="Arial"/>
                <w:b/>
                <w:bCs/>
                <w:sz w:val="22"/>
                <w:szCs w:val="22"/>
              </w:rPr>
              <w:t>Methodology:</w:t>
            </w:r>
            <w:r w:rsidRPr="000808C2">
              <w:rPr>
                <w:rFonts w:ascii="Arial" w:hAnsi="Arial" w:cs="Arial"/>
                <w:sz w:val="22"/>
                <w:szCs w:val="22"/>
              </w:rPr>
              <w:t xml:space="preserve"> </w:t>
            </w:r>
            <w:r w:rsidR="00187BE8" w:rsidRPr="00187BE8">
              <w:rPr>
                <w:rFonts w:ascii="Arial" w:hAnsi="Arial" w:cs="Arial"/>
                <w:sz w:val="22"/>
                <w:szCs w:val="22"/>
              </w:rPr>
              <w:t>Forty Grade 6 public elementary teachers were purposively selected based on inclusion criteria. Data were collected using validated survey instruments measuring 21st-century skills and teaching performance indicators aligned with the Department of Education’s RPMS framework. Statistical analysis involved computing means and applying Pearson’s product-moment correlation to test the hypothesis.</w:t>
            </w:r>
          </w:p>
          <w:p w14:paraId="0920190E" w14:textId="77777777" w:rsidR="00187BE8" w:rsidRDefault="00010905" w:rsidP="0074472D">
            <w:pPr>
              <w:jc w:val="both"/>
              <w:rPr>
                <w:rFonts w:ascii="Arial" w:hAnsi="Arial" w:cs="Arial"/>
                <w:sz w:val="22"/>
                <w:szCs w:val="22"/>
              </w:rPr>
            </w:pPr>
            <w:r w:rsidRPr="000808C2">
              <w:rPr>
                <w:rFonts w:ascii="Arial" w:hAnsi="Arial" w:cs="Arial"/>
                <w:b/>
                <w:bCs/>
                <w:sz w:val="22"/>
                <w:szCs w:val="22"/>
              </w:rPr>
              <w:t>Results:</w:t>
            </w:r>
            <w:r w:rsidRPr="000808C2">
              <w:rPr>
                <w:rFonts w:ascii="Arial" w:hAnsi="Arial" w:cs="Arial"/>
                <w:sz w:val="22"/>
                <w:szCs w:val="22"/>
              </w:rPr>
              <w:t xml:space="preserve"> </w:t>
            </w:r>
            <w:r w:rsidR="00187BE8" w:rsidRPr="00187BE8">
              <w:rPr>
                <w:rFonts w:ascii="Arial" w:hAnsi="Arial" w:cs="Arial"/>
                <w:sz w:val="22"/>
                <w:szCs w:val="22"/>
              </w:rPr>
              <w:t>Findings revealed that teachers consistently demonstrated high levels of 21st-century skills, particularly in effective communication and life and career skills, while learning and innovation and technology-related skills were less frequently practiced. Teaching performance was rated as very satisfactory across all domains. However, correlation analysis indicated no significant relationship between 21st-century skills and teaching performance, suggesting that other factors such as institutional support, professional development, and classroom context may play a more substantial role.</w:t>
            </w:r>
          </w:p>
          <w:p w14:paraId="11227C1D" w14:textId="3BC9F270" w:rsidR="00010905" w:rsidRPr="0074472D" w:rsidRDefault="00010905" w:rsidP="0074472D">
            <w:pPr>
              <w:jc w:val="both"/>
              <w:rPr>
                <w:rFonts w:ascii="Arial" w:hAnsi="Arial" w:cs="Arial"/>
                <w:sz w:val="22"/>
                <w:szCs w:val="22"/>
              </w:rPr>
            </w:pPr>
            <w:r w:rsidRPr="000808C2">
              <w:rPr>
                <w:rFonts w:ascii="Arial" w:hAnsi="Arial" w:cs="Arial"/>
                <w:b/>
                <w:bCs/>
                <w:sz w:val="22"/>
                <w:szCs w:val="22"/>
              </w:rPr>
              <w:t>Conclusion:</w:t>
            </w:r>
            <w:r w:rsidRPr="000808C2">
              <w:rPr>
                <w:rFonts w:ascii="Arial" w:hAnsi="Arial" w:cs="Arial"/>
                <w:sz w:val="22"/>
                <w:szCs w:val="22"/>
              </w:rPr>
              <w:t xml:space="preserve"> </w:t>
            </w:r>
            <w:r w:rsidR="00187BE8" w:rsidRPr="00187BE8">
              <w:rPr>
                <w:rFonts w:ascii="Arial" w:hAnsi="Arial" w:cs="Arial"/>
                <w:sz w:val="22"/>
                <w:szCs w:val="22"/>
              </w:rPr>
              <w:t>Although teachers exhibit strong 21st-century competencies, these do not significantly predict teaching performance. The results underscore the need for targeted interventions to strengthen innovation and technology integration skills and to explore additional determinants of teacher effectiveness.</w:t>
            </w:r>
          </w:p>
        </w:tc>
      </w:tr>
    </w:tbl>
    <w:p w14:paraId="249B0959" w14:textId="3BD79326" w:rsidR="00010905" w:rsidRDefault="0074472D" w:rsidP="000808C2">
      <w:pPr>
        <w:rPr>
          <w:rFonts w:ascii="Arial" w:hAnsi="Arial" w:cs="Arial"/>
          <w:b/>
          <w:bCs/>
          <w:color w:val="000000" w:themeColor="text1"/>
          <w:sz w:val="22"/>
          <w:szCs w:val="22"/>
        </w:rPr>
      </w:pPr>
      <w:r w:rsidRPr="001B1F82">
        <w:rPr>
          <w:rFonts w:ascii="Arial" w:hAnsi="Arial" w:cs="Arial"/>
          <w:b/>
          <w:bCs/>
          <w:i/>
          <w:iCs/>
          <w:sz w:val="20"/>
          <w:szCs w:val="20"/>
        </w:rPr>
        <w:t xml:space="preserve">Keywords: </w:t>
      </w:r>
      <w:r w:rsidRPr="001B1F82">
        <w:rPr>
          <w:rFonts w:ascii="Arial" w:hAnsi="Arial" w:cs="Arial"/>
          <w:i/>
          <w:iCs/>
          <w:sz w:val="20"/>
          <w:szCs w:val="20"/>
        </w:rPr>
        <w:t xml:space="preserve">21st Century Skills, Teaching Performance, Public Elementary Teachers, </w:t>
      </w:r>
      <w:r w:rsidR="00187BE8">
        <w:rPr>
          <w:rFonts w:ascii="Arial" w:hAnsi="Arial" w:cs="Arial"/>
          <w:i/>
          <w:iCs/>
          <w:sz w:val="20"/>
          <w:szCs w:val="20"/>
        </w:rPr>
        <w:t>Descriptive-</w:t>
      </w:r>
      <w:r w:rsidRPr="001B1F82">
        <w:rPr>
          <w:rFonts w:ascii="Arial" w:hAnsi="Arial" w:cs="Arial"/>
          <w:i/>
          <w:iCs/>
          <w:sz w:val="20"/>
          <w:szCs w:val="20"/>
        </w:rPr>
        <w:t>Correlation</w:t>
      </w:r>
      <w:r w:rsidR="00187BE8">
        <w:rPr>
          <w:rFonts w:ascii="Arial" w:hAnsi="Arial" w:cs="Arial"/>
          <w:i/>
          <w:iCs/>
          <w:sz w:val="20"/>
          <w:szCs w:val="20"/>
        </w:rPr>
        <w:t>al</w:t>
      </w:r>
      <w:r w:rsidRPr="001B1F82">
        <w:rPr>
          <w:rFonts w:ascii="Arial" w:hAnsi="Arial" w:cs="Arial"/>
          <w:i/>
          <w:iCs/>
          <w:sz w:val="20"/>
          <w:szCs w:val="20"/>
        </w:rPr>
        <w:t xml:space="preserve"> Study</w:t>
      </w:r>
      <w:r w:rsidR="00187BE8">
        <w:rPr>
          <w:rFonts w:ascii="Arial" w:hAnsi="Arial" w:cs="Arial"/>
          <w:i/>
          <w:iCs/>
          <w:sz w:val="20"/>
          <w:szCs w:val="20"/>
        </w:rPr>
        <w:t>, Professional Development</w:t>
      </w:r>
    </w:p>
    <w:p w14:paraId="0D7E4E5B" w14:textId="64BEC25C" w:rsidR="00E04579" w:rsidRPr="000808C2" w:rsidRDefault="006C3E85" w:rsidP="000808C2">
      <w:pPr>
        <w:pStyle w:val="ListParagraph"/>
        <w:numPr>
          <w:ilvl w:val="0"/>
          <w:numId w:val="17"/>
        </w:numPr>
        <w:jc w:val="both"/>
        <w:rPr>
          <w:rFonts w:ascii="Arial" w:hAnsi="Arial" w:cs="Arial"/>
          <w:b/>
          <w:bCs/>
          <w:sz w:val="22"/>
          <w:szCs w:val="22"/>
        </w:rPr>
      </w:pPr>
      <w:r w:rsidRPr="000808C2">
        <w:rPr>
          <w:rFonts w:ascii="Arial" w:hAnsi="Arial" w:cs="Arial"/>
          <w:b/>
          <w:bCs/>
          <w:sz w:val="22"/>
          <w:szCs w:val="22"/>
        </w:rPr>
        <w:t>INTRODUCTION</w:t>
      </w:r>
    </w:p>
    <w:p w14:paraId="633CE1AF" w14:textId="77777777" w:rsidR="000808C2" w:rsidRPr="001B1F82" w:rsidRDefault="006C3E85" w:rsidP="0044055D">
      <w:pPr>
        <w:jc w:val="both"/>
        <w:rPr>
          <w:rFonts w:ascii="Arial" w:hAnsi="Arial" w:cs="Arial"/>
          <w:sz w:val="20"/>
          <w:szCs w:val="20"/>
        </w:rPr>
      </w:pPr>
      <w:r w:rsidRPr="001B1F82">
        <w:rPr>
          <w:rFonts w:ascii="Arial" w:hAnsi="Arial" w:cs="Arial"/>
          <w:sz w:val="20"/>
          <w:szCs w:val="20"/>
        </w:rPr>
        <w:lastRenderedPageBreak/>
        <w:t xml:space="preserve">Over the years, the teacher and the teaching profession in the Philippines have been confronted by enormous challenges and various issues and concerns that are directly or indirectly affecting them, especially with the advent of technology. Current research has demonstrated that teacher quality is the key determinant of student success (Robinson, 2015). In the 21st century, the issue of teacher quality is currently one of the most pressing concerns identified by educational policy makers across the world (Schleicher, 2012). As mentioned by </w:t>
      </w:r>
      <w:proofErr w:type="spellStart"/>
      <w:r w:rsidRPr="001B1F82">
        <w:rPr>
          <w:rFonts w:ascii="Arial" w:hAnsi="Arial" w:cs="Arial"/>
          <w:sz w:val="20"/>
          <w:szCs w:val="20"/>
        </w:rPr>
        <w:t>Corpuz</w:t>
      </w:r>
      <w:proofErr w:type="spellEnd"/>
      <w:r w:rsidRPr="001B1F82">
        <w:rPr>
          <w:rFonts w:ascii="Arial" w:hAnsi="Arial" w:cs="Arial"/>
          <w:sz w:val="20"/>
          <w:szCs w:val="20"/>
        </w:rPr>
        <w:t xml:space="preserve"> (2013), the type of teacher demanded by the K-12 curriculum is one fully equipped with the 21st century skills. They are multi-literate, multi-skilled, and multi-specialist. In order to remain relevant and interesting, the teacher must possess 21st century skills (Corpus &amp; Salandan,2012).</w:t>
      </w:r>
    </w:p>
    <w:p w14:paraId="44720FA4" w14:textId="77777777" w:rsidR="00AC67AB" w:rsidRDefault="00AC67AB" w:rsidP="0044055D">
      <w:pPr>
        <w:jc w:val="both"/>
        <w:rPr>
          <w:rFonts w:ascii="Arial" w:hAnsi="Arial" w:cs="Arial"/>
          <w:sz w:val="20"/>
          <w:szCs w:val="20"/>
        </w:rPr>
      </w:pPr>
      <w:r w:rsidRPr="00AC67AB">
        <w:rPr>
          <w:rFonts w:ascii="Arial" w:hAnsi="Arial" w:cs="Arial"/>
          <w:sz w:val="20"/>
          <w:szCs w:val="20"/>
        </w:rPr>
        <w:t>The term 21st-century skills of teachers refer to broad set of knowledge, skills, work habits, and character traits that are critically important for success in the teaching and learning process in today’s world (Malik, 2018). Moreover, 21st-century skills are generally used to refer to certain core competencies such as collaboration, digital literacy, critical thinking, and problem-solving that schools need to teach to assist students thrive in today's world as advocated by educators (Rich, 2010). According to the American Association of Colleges for Teacher Education (AACTE) advisory group and the strategic council of the Partnership for 21st-century skills (2010), one of the core principles in integrating 21st-century skills into educator preparation is teachers and administrators shall possess, teach and assess their 21st century knowledge and skills.</w:t>
      </w:r>
      <w:r>
        <w:rPr>
          <w:rFonts w:ascii="Arial" w:hAnsi="Arial" w:cs="Arial"/>
          <w:sz w:val="20"/>
          <w:szCs w:val="20"/>
        </w:rPr>
        <w:t xml:space="preserve"> </w:t>
      </w:r>
    </w:p>
    <w:p w14:paraId="23D19944" w14:textId="6A068A87" w:rsidR="00AC67AB" w:rsidRDefault="00AC67AB" w:rsidP="0044055D">
      <w:pPr>
        <w:jc w:val="both"/>
        <w:rPr>
          <w:rFonts w:ascii="Arial" w:hAnsi="Arial" w:cs="Arial"/>
          <w:sz w:val="20"/>
          <w:szCs w:val="20"/>
        </w:rPr>
      </w:pPr>
      <w:r w:rsidRPr="00AC67AB">
        <w:rPr>
          <w:rFonts w:ascii="Arial" w:hAnsi="Arial" w:cs="Arial"/>
          <w:sz w:val="20"/>
          <w:szCs w:val="20"/>
        </w:rPr>
        <w:t>A study of nearly 100 countries around the globe are not getting the education they need to prosper in the 21st century, and countries are not finding adequate numbers of the skilled teachers they need to be globally competitive (</w:t>
      </w:r>
      <w:proofErr w:type="spellStart"/>
      <w:r w:rsidRPr="00AC67AB">
        <w:rPr>
          <w:rFonts w:ascii="Arial" w:hAnsi="Arial" w:cs="Arial"/>
          <w:sz w:val="20"/>
          <w:szCs w:val="20"/>
        </w:rPr>
        <w:t>Tedeneke</w:t>
      </w:r>
      <w:proofErr w:type="spellEnd"/>
      <w:r w:rsidRPr="00AC67AB">
        <w:rPr>
          <w:rFonts w:ascii="Arial" w:hAnsi="Arial" w:cs="Arial"/>
          <w:sz w:val="20"/>
          <w:szCs w:val="20"/>
        </w:rPr>
        <w:t xml:space="preserve">, 2015). According to Zakhar and </w:t>
      </w:r>
      <w:proofErr w:type="spellStart"/>
      <w:r w:rsidRPr="00AC67AB">
        <w:rPr>
          <w:rFonts w:ascii="Arial" w:hAnsi="Arial" w:cs="Arial"/>
          <w:sz w:val="20"/>
          <w:szCs w:val="20"/>
        </w:rPr>
        <w:t>Hjarrand</w:t>
      </w:r>
      <w:proofErr w:type="spellEnd"/>
      <w:r w:rsidRPr="00AC67AB">
        <w:rPr>
          <w:rFonts w:ascii="Arial" w:hAnsi="Arial" w:cs="Arial"/>
          <w:sz w:val="20"/>
          <w:szCs w:val="20"/>
        </w:rPr>
        <w:t xml:space="preserve"> (2017) on their report </w:t>
      </w:r>
      <w:r w:rsidR="006144D2">
        <w:rPr>
          <w:rFonts w:ascii="Arial" w:hAnsi="Arial" w:cs="Arial"/>
          <w:sz w:val="20"/>
          <w:szCs w:val="20"/>
        </w:rPr>
        <w:t>“</w:t>
      </w:r>
      <w:r w:rsidRPr="00AC67AB">
        <w:rPr>
          <w:rFonts w:ascii="Arial" w:hAnsi="Arial" w:cs="Arial"/>
          <w:sz w:val="20"/>
          <w:szCs w:val="20"/>
        </w:rPr>
        <w:t>about gap in the 21st century learning skills, policy makers often overlook the criticality of teachers in embodying changes the hope to achieve profound transformation. Given that schools are never separated from the community where they are located, teachers who model 21st-century skills are not just educational leaders, they are leaders capable of transforming whole, interconnected communities by working collaboratively to dig up the roots of entrenched social problems that ricochet into education</w:t>
      </w:r>
      <w:r w:rsidR="006144D2">
        <w:rPr>
          <w:rFonts w:ascii="Arial" w:hAnsi="Arial" w:cs="Arial"/>
          <w:sz w:val="20"/>
          <w:szCs w:val="20"/>
        </w:rPr>
        <w:t>”</w:t>
      </w:r>
      <w:r w:rsidRPr="00AC67AB">
        <w:rPr>
          <w:rFonts w:ascii="Arial" w:hAnsi="Arial" w:cs="Arial"/>
          <w:sz w:val="20"/>
          <w:szCs w:val="20"/>
        </w:rPr>
        <w:t>.</w:t>
      </w:r>
    </w:p>
    <w:p w14:paraId="663DF792" w14:textId="0DB9DFA2" w:rsidR="00AC67AB" w:rsidRDefault="006144D2" w:rsidP="0044055D">
      <w:pPr>
        <w:jc w:val="both"/>
        <w:rPr>
          <w:rFonts w:ascii="Arial" w:hAnsi="Arial" w:cs="Arial"/>
          <w:sz w:val="20"/>
          <w:szCs w:val="20"/>
        </w:rPr>
      </w:pPr>
      <w:r>
        <w:rPr>
          <w:rFonts w:ascii="Arial" w:hAnsi="Arial" w:cs="Arial"/>
          <w:sz w:val="20"/>
          <w:szCs w:val="20"/>
        </w:rPr>
        <w:t>“</w:t>
      </w:r>
      <w:r w:rsidR="00AC67AB" w:rsidRPr="00AC67AB">
        <w:rPr>
          <w:rFonts w:ascii="Arial" w:hAnsi="Arial" w:cs="Arial"/>
          <w:sz w:val="20"/>
          <w:szCs w:val="20"/>
        </w:rPr>
        <w:t>Currently, East Asia is home to seven of the top ten education systems in the world. Despite impressive achievements, these above-average performing systems are not resting on their accomplishments—they continue to deepen the quality of education, tying learning to new and emerging needs. Central to the region’s curriculum reform is a focus on the quality of teachers’ way teaching and measuring 21st-century skills since gaps, issues and concerns still exist. Among countries with the strongest education systems, attention is shifting from a uniform, teacher-centered, exam-oriented pedagogy towards diverse, student-centered learning pathways that aim to instill capabilities for lifelong learning. This shift represents an increased focus on 21st-century skills under three categories: learning and innovation, digital literacies, and life and career skills</w:t>
      </w:r>
      <w:r>
        <w:rPr>
          <w:rFonts w:ascii="Arial" w:hAnsi="Arial" w:cs="Arial"/>
          <w:sz w:val="20"/>
          <w:szCs w:val="20"/>
        </w:rPr>
        <w:t>”</w:t>
      </w:r>
      <w:r w:rsidR="00AC67AB" w:rsidRPr="00AC67AB">
        <w:rPr>
          <w:rFonts w:ascii="Arial" w:hAnsi="Arial" w:cs="Arial"/>
          <w:sz w:val="20"/>
          <w:szCs w:val="20"/>
        </w:rPr>
        <w:t xml:space="preserve"> (</w:t>
      </w:r>
      <w:proofErr w:type="spellStart"/>
      <w:r w:rsidR="00AC67AB" w:rsidRPr="00AC67AB">
        <w:rPr>
          <w:rFonts w:ascii="Arial" w:hAnsi="Arial" w:cs="Arial"/>
          <w:sz w:val="20"/>
          <w:szCs w:val="20"/>
        </w:rPr>
        <w:t>Kattan</w:t>
      </w:r>
      <w:proofErr w:type="spellEnd"/>
      <w:r w:rsidR="00AC67AB" w:rsidRPr="00AC67AB">
        <w:rPr>
          <w:rFonts w:ascii="Arial" w:hAnsi="Arial" w:cs="Arial"/>
          <w:sz w:val="20"/>
          <w:szCs w:val="20"/>
        </w:rPr>
        <w:t xml:space="preserve"> &amp; Bend, 2018).</w:t>
      </w:r>
    </w:p>
    <w:p w14:paraId="2EDF4A25" w14:textId="049C73E0" w:rsidR="00AC67AB" w:rsidRDefault="006144D2" w:rsidP="0044055D">
      <w:pPr>
        <w:jc w:val="both"/>
        <w:rPr>
          <w:rFonts w:ascii="Arial" w:hAnsi="Arial" w:cs="Arial"/>
          <w:sz w:val="20"/>
          <w:szCs w:val="20"/>
        </w:rPr>
      </w:pPr>
      <w:r>
        <w:rPr>
          <w:rFonts w:ascii="Arial" w:hAnsi="Arial" w:cs="Arial"/>
          <w:sz w:val="20"/>
          <w:szCs w:val="20"/>
        </w:rPr>
        <w:t>“</w:t>
      </w:r>
      <w:r w:rsidR="00AC67AB" w:rsidRPr="00AC67AB">
        <w:rPr>
          <w:rFonts w:ascii="Arial" w:hAnsi="Arial" w:cs="Arial"/>
          <w:sz w:val="20"/>
          <w:szCs w:val="20"/>
        </w:rPr>
        <w:t xml:space="preserve">In the Philippines, the K to 12 Basic Education Curriculum was launched in 2012 (D. O. No. 31, 2012). This major change has consistently pursued teacher quality reforms. In 2018, DepEd boldly decided to participate for the first time in the </w:t>
      </w:r>
      <w:proofErr w:type="spellStart"/>
      <w:r w:rsidR="00AC67AB" w:rsidRPr="00AC67AB">
        <w:rPr>
          <w:rFonts w:ascii="Arial" w:hAnsi="Arial" w:cs="Arial"/>
          <w:sz w:val="20"/>
          <w:szCs w:val="20"/>
        </w:rPr>
        <w:t>Programme</w:t>
      </w:r>
      <w:proofErr w:type="spellEnd"/>
      <w:r w:rsidR="00AC67AB" w:rsidRPr="00AC67AB">
        <w:rPr>
          <w:rFonts w:ascii="Arial" w:hAnsi="Arial" w:cs="Arial"/>
          <w:sz w:val="20"/>
          <w:szCs w:val="20"/>
        </w:rPr>
        <w:t xml:space="preserve"> for International Student Assessment (PISA) of the </w:t>
      </w:r>
      <w:proofErr w:type="spellStart"/>
      <w:r w:rsidR="00AC67AB" w:rsidRPr="00AC67AB">
        <w:rPr>
          <w:rFonts w:ascii="Arial" w:hAnsi="Arial" w:cs="Arial"/>
          <w:sz w:val="20"/>
          <w:szCs w:val="20"/>
        </w:rPr>
        <w:t>Organisation</w:t>
      </w:r>
      <w:proofErr w:type="spellEnd"/>
      <w:r w:rsidR="00AC67AB" w:rsidRPr="00AC67AB">
        <w:rPr>
          <w:rFonts w:ascii="Arial" w:hAnsi="Arial" w:cs="Arial"/>
          <w:sz w:val="20"/>
          <w:szCs w:val="20"/>
        </w:rPr>
        <w:t xml:space="preserve"> for Economic Co-operation and Development (OECD). The PISA results, where our country placed last among 79 participating countries and near last in science and mathematics, puts in even sharper focus our need to address quality in basic education. In view of this, DepEd Secretary Leonor Briones put emphasis on quality of teachers and upskilling as one of the main targets in the Program ‘</w:t>
      </w:r>
      <w:proofErr w:type="spellStart"/>
      <w:r w:rsidR="00AC67AB" w:rsidRPr="00AC67AB">
        <w:rPr>
          <w:rFonts w:ascii="Arial" w:hAnsi="Arial" w:cs="Arial"/>
          <w:sz w:val="20"/>
          <w:szCs w:val="20"/>
        </w:rPr>
        <w:t>EduKalidad</w:t>
      </w:r>
      <w:proofErr w:type="spellEnd"/>
      <w:r w:rsidR="00AC67AB" w:rsidRPr="00AC67AB">
        <w:rPr>
          <w:rFonts w:ascii="Arial" w:hAnsi="Arial" w:cs="Arial"/>
          <w:sz w:val="20"/>
          <w:szCs w:val="20"/>
        </w:rPr>
        <w:t>’</w:t>
      </w:r>
      <w:r>
        <w:rPr>
          <w:rFonts w:ascii="Arial" w:hAnsi="Arial" w:cs="Arial"/>
          <w:sz w:val="20"/>
          <w:szCs w:val="20"/>
        </w:rPr>
        <w:t>”</w:t>
      </w:r>
      <w:r w:rsidR="00AC67AB" w:rsidRPr="00AC67AB">
        <w:rPr>
          <w:rFonts w:ascii="Arial" w:hAnsi="Arial" w:cs="Arial"/>
          <w:sz w:val="20"/>
          <w:szCs w:val="20"/>
        </w:rPr>
        <w:t xml:space="preserve"> (DepEd, 2019).</w:t>
      </w:r>
    </w:p>
    <w:p w14:paraId="46D78AEF" w14:textId="689935FB" w:rsidR="00AC67AB" w:rsidRDefault="00AC67AB" w:rsidP="0044055D">
      <w:pPr>
        <w:jc w:val="both"/>
        <w:rPr>
          <w:rFonts w:ascii="Arial" w:hAnsi="Arial" w:cs="Arial"/>
          <w:sz w:val="20"/>
          <w:szCs w:val="20"/>
        </w:rPr>
      </w:pPr>
      <w:r w:rsidRPr="00AC67AB">
        <w:rPr>
          <w:rFonts w:ascii="Arial" w:hAnsi="Arial" w:cs="Arial"/>
          <w:sz w:val="20"/>
          <w:szCs w:val="20"/>
        </w:rPr>
        <w:t xml:space="preserve">In the Philippines, the educational reform to upgrade the worth of education is the K-12 program. Despite of the many issues in the department, which have not been resolved yet, a highly elusive reform has been </w:t>
      </w:r>
      <w:r w:rsidRPr="00AC67AB">
        <w:rPr>
          <w:rFonts w:ascii="Arial" w:hAnsi="Arial" w:cs="Arial"/>
          <w:sz w:val="20"/>
          <w:szCs w:val="20"/>
        </w:rPr>
        <w:lastRenderedPageBreak/>
        <w:t>made. Many public elementary and secondary schools in the country suffered from poor facilities, lack of books, large class size, lack of teachers and limited budget. Added to this frustrating condition, the worst ever was the practice of appointing school officials due to political connections. Due to this practice, highly time after the term of a certain administration, educational reforms follow even if the previous program was still workable and relevant. Results in the National Achievement Test (NAT) depicting how miserable were the students in the national examination, had shown that the principals, school heads and teachers have no collaboration to develop a result (Durban and Catalan, 2012).</w:t>
      </w:r>
    </w:p>
    <w:p w14:paraId="2D5A6D5F" w14:textId="49457D5E" w:rsidR="00AC67AB" w:rsidRDefault="00AC67AB" w:rsidP="0044055D">
      <w:pPr>
        <w:jc w:val="both"/>
        <w:rPr>
          <w:rFonts w:ascii="Arial" w:hAnsi="Arial" w:cs="Arial"/>
          <w:sz w:val="20"/>
          <w:szCs w:val="20"/>
        </w:rPr>
      </w:pPr>
      <w:r w:rsidRPr="00AC67AB">
        <w:rPr>
          <w:rFonts w:ascii="Arial" w:hAnsi="Arial" w:cs="Arial"/>
          <w:sz w:val="20"/>
          <w:szCs w:val="20"/>
        </w:rPr>
        <w:t xml:space="preserve">Upgrading the instruction, materials used in teaching, strategies, school facilities, and other factors that are contributory to quality teaching-learning process have been given attention at present. The government adopted the educational reform that would cater the students’ potentialities, abilities and interests. Aside from these, professionalism among the educators has been explicitly stipulated in the Code of Ethics for Professional Teachers of the Philippines (Resolution Act No. 435, 1997). </w:t>
      </w:r>
      <w:r w:rsidR="006144D2">
        <w:rPr>
          <w:rFonts w:ascii="Arial" w:hAnsi="Arial" w:cs="Arial"/>
          <w:sz w:val="20"/>
          <w:szCs w:val="20"/>
        </w:rPr>
        <w:t>“</w:t>
      </w:r>
      <w:r w:rsidRPr="00AC67AB">
        <w:rPr>
          <w:rFonts w:ascii="Arial" w:hAnsi="Arial" w:cs="Arial"/>
          <w:sz w:val="20"/>
          <w:szCs w:val="20"/>
        </w:rPr>
        <w:t>The teachers are considered licensed professionals who are dignified and refutable with high moral values as well as technical and professional competence</w:t>
      </w:r>
      <w:r w:rsidR="006144D2">
        <w:rPr>
          <w:rFonts w:ascii="Arial" w:hAnsi="Arial" w:cs="Arial"/>
          <w:sz w:val="20"/>
          <w:szCs w:val="20"/>
        </w:rPr>
        <w:t>”</w:t>
      </w:r>
      <w:r w:rsidRPr="00AC67AB">
        <w:rPr>
          <w:rFonts w:ascii="Arial" w:hAnsi="Arial" w:cs="Arial"/>
          <w:sz w:val="20"/>
          <w:szCs w:val="20"/>
        </w:rPr>
        <w:t xml:space="preserve"> (Department of Education, 2014).</w:t>
      </w:r>
    </w:p>
    <w:p w14:paraId="6AAD968D" w14:textId="77777777" w:rsidR="00AC67AB" w:rsidRDefault="00AC67AB" w:rsidP="0044055D">
      <w:pPr>
        <w:jc w:val="both"/>
        <w:rPr>
          <w:rFonts w:ascii="Arial" w:hAnsi="Arial" w:cs="Arial"/>
          <w:sz w:val="20"/>
          <w:szCs w:val="20"/>
        </w:rPr>
      </w:pPr>
      <w:r w:rsidRPr="00AC67AB">
        <w:rPr>
          <w:rFonts w:ascii="Arial" w:hAnsi="Arial" w:cs="Arial"/>
          <w:sz w:val="20"/>
          <w:szCs w:val="20"/>
        </w:rPr>
        <w:t>In one of the action researches conducted in Davao region, the result demonstrated that teachers in their forties and above have problems on computer technology-based instructions (</w:t>
      </w:r>
      <w:proofErr w:type="spellStart"/>
      <w:r w:rsidRPr="00AC67AB">
        <w:rPr>
          <w:rFonts w:ascii="Arial" w:hAnsi="Arial" w:cs="Arial"/>
          <w:sz w:val="20"/>
          <w:szCs w:val="20"/>
        </w:rPr>
        <w:t>Dizon</w:t>
      </w:r>
      <w:proofErr w:type="spellEnd"/>
      <w:r w:rsidRPr="00AC67AB">
        <w:rPr>
          <w:rFonts w:ascii="Arial" w:hAnsi="Arial" w:cs="Arial"/>
          <w:sz w:val="20"/>
          <w:szCs w:val="20"/>
        </w:rPr>
        <w:t xml:space="preserve">, 2018). This is one of the skills in the 21st century, particularly media, technology and innovation. According to </w:t>
      </w:r>
      <w:proofErr w:type="spellStart"/>
      <w:r w:rsidRPr="00AC67AB">
        <w:rPr>
          <w:rFonts w:ascii="Arial" w:hAnsi="Arial" w:cs="Arial"/>
          <w:sz w:val="20"/>
          <w:szCs w:val="20"/>
        </w:rPr>
        <w:t>Froilan</w:t>
      </w:r>
      <w:proofErr w:type="spellEnd"/>
      <w:r w:rsidRPr="00AC67AB">
        <w:rPr>
          <w:rFonts w:ascii="Arial" w:hAnsi="Arial" w:cs="Arial"/>
          <w:sz w:val="20"/>
          <w:szCs w:val="20"/>
        </w:rPr>
        <w:t>, (2015), teachers who have the hard time assimilating technology in education confined their teaching to the board: traditional lecture-based approach, posting devices, cut-outs, requires their learners to buy books, etc. Those teachers tend to prioritize control over the learning environment. They want to hold the power and responsibility in a class, they see the need of the students to be taught and taught and taught.</w:t>
      </w:r>
    </w:p>
    <w:p w14:paraId="34F6870A" w14:textId="77777777" w:rsidR="00AC67AB" w:rsidRDefault="00AC67AB" w:rsidP="0044055D">
      <w:pPr>
        <w:jc w:val="both"/>
        <w:rPr>
          <w:rFonts w:ascii="Arial" w:hAnsi="Arial" w:cs="Arial"/>
          <w:sz w:val="20"/>
          <w:szCs w:val="20"/>
        </w:rPr>
      </w:pPr>
      <w:r w:rsidRPr="00AC67AB">
        <w:rPr>
          <w:rFonts w:ascii="Arial" w:hAnsi="Arial" w:cs="Arial"/>
          <w:sz w:val="20"/>
          <w:szCs w:val="20"/>
        </w:rPr>
        <w:t xml:space="preserve">In line with this, Bello and </w:t>
      </w:r>
      <w:proofErr w:type="spellStart"/>
      <w:r w:rsidRPr="00AC67AB">
        <w:rPr>
          <w:rFonts w:ascii="Arial" w:hAnsi="Arial" w:cs="Arial"/>
          <w:sz w:val="20"/>
          <w:szCs w:val="20"/>
        </w:rPr>
        <w:t>Olaer</w:t>
      </w:r>
      <w:proofErr w:type="spellEnd"/>
      <w:r w:rsidRPr="00AC67AB">
        <w:rPr>
          <w:rFonts w:ascii="Arial" w:hAnsi="Arial" w:cs="Arial"/>
          <w:sz w:val="20"/>
          <w:szCs w:val="20"/>
        </w:rPr>
        <w:t xml:space="preserve"> (2020) emphasized that “the significant influence of clinical supervision on teachers’ instructional competence implies that the more teachers are mentored, the better teachers they would become.” This perspective aligns with the current thrust of enhancing teacher quality through continuous professional development and acquisition of 21st-century skills, which are essential for improving teaching performance and student outcomes.</w:t>
      </w:r>
    </w:p>
    <w:p w14:paraId="279A4935" w14:textId="77777777" w:rsidR="00AC67AB" w:rsidRDefault="00AC67AB" w:rsidP="00AC67AB">
      <w:pPr>
        <w:rPr>
          <w:rFonts w:ascii="Arial" w:hAnsi="Arial" w:cs="Arial"/>
          <w:sz w:val="20"/>
          <w:szCs w:val="20"/>
        </w:rPr>
      </w:pPr>
      <w:r w:rsidRPr="00AC67AB">
        <w:rPr>
          <w:rFonts w:ascii="Arial" w:hAnsi="Arial" w:cs="Arial"/>
          <w:sz w:val="20"/>
          <w:szCs w:val="20"/>
        </w:rPr>
        <w:t>It then became more significant to conduct this study to be able to assess whether the design of today’s schools and teachers are compatible with the goals of the 21st-century skills movement. The findings of this study will gain awareness and understanding of integrating the 21st-century skills in the instruction plan of teachers. It will assist the DepEd officials of Davao del Sur prepares an educational intervention to fill in the gap or designing training to capacitate teachers of the 21st-century skills. Further, this study will benefit the teacher respondents by honing their weaknesses and become 21st century skilled teachers</w:t>
      </w:r>
    </w:p>
    <w:p w14:paraId="6779C6F4" w14:textId="7FEADC1A" w:rsidR="00E04579" w:rsidRPr="00AC67AB" w:rsidRDefault="006C3E85" w:rsidP="00AC67AB">
      <w:pPr>
        <w:pStyle w:val="ListParagraph"/>
        <w:numPr>
          <w:ilvl w:val="0"/>
          <w:numId w:val="17"/>
        </w:numPr>
        <w:rPr>
          <w:rFonts w:ascii="Arial" w:hAnsi="Arial" w:cs="Arial"/>
          <w:b/>
          <w:bCs/>
          <w:sz w:val="22"/>
          <w:szCs w:val="22"/>
        </w:rPr>
      </w:pPr>
      <w:r w:rsidRPr="00AC67AB">
        <w:rPr>
          <w:rFonts w:ascii="Arial" w:hAnsi="Arial" w:cs="Arial"/>
          <w:b/>
          <w:bCs/>
          <w:sz w:val="22"/>
          <w:szCs w:val="22"/>
        </w:rPr>
        <w:t>METHODOLOGY</w:t>
      </w:r>
    </w:p>
    <w:p w14:paraId="6B1C527C" w14:textId="77777777" w:rsidR="00834973" w:rsidRDefault="006C3E85" w:rsidP="00834973">
      <w:pPr>
        <w:spacing w:line="240" w:lineRule="auto"/>
        <w:contextualSpacing/>
        <w:jc w:val="both"/>
        <w:rPr>
          <w:rFonts w:ascii="Arial" w:hAnsi="Arial" w:cs="Arial"/>
          <w:sz w:val="20"/>
          <w:szCs w:val="20"/>
        </w:rPr>
      </w:pPr>
      <w:r w:rsidRPr="000808C2">
        <w:rPr>
          <w:rFonts w:ascii="Arial" w:hAnsi="Arial" w:cs="Arial"/>
          <w:b/>
          <w:bCs/>
          <w:sz w:val="22"/>
          <w:szCs w:val="22"/>
        </w:rPr>
        <w:t>METHOD</w:t>
      </w:r>
      <w:r w:rsidRPr="000808C2">
        <w:rPr>
          <w:rFonts w:ascii="Arial" w:hAnsi="Arial" w:cs="Arial"/>
          <w:sz w:val="22"/>
          <w:szCs w:val="22"/>
        </w:rPr>
        <w:br/>
      </w:r>
    </w:p>
    <w:p w14:paraId="064D4FF2" w14:textId="77777777" w:rsidR="00834973" w:rsidRDefault="006C3E85" w:rsidP="000808C2">
      <w:pPr>
        <w:jc w:val="both"/>
        <w:rPr>
          <w:rFonts w:ascii="Arial" w:hAnsi="Arial" w:cs="Arial"/>
          <w:sz w:val="20"/>
          <w:szCs w:val="20"/>
        </w:rPr>
      </w:pPr>
      <w:r w:rsidRPr="001B1F82">
        <w:rPr>
          <w:rFonts w:ascii="Arial" w:hAnsi="Arial" w:cs="Arial"/>
          <w:sz w:val="20"/>
          <w:szCs w:val="20"/>
        </w:rPr>
        <w:t>Presented in this chapter are the research design, respondents, research instruments, data gathering procedure and data analysis which were employed in this study.</w:t>
      </w:r>
    </w:p>
    <w:p w14:paraId="105078C5" w14:textId="4382A6FF" w:rsidR="000808C2" w:rsidRPr="00834973" w:rsidRDefault="006C3E85" w:rsidP="000808C2">
      <w:pPr>
        <w:jc w:val="both"/>
        <w:rPr>
          <w:rFonts w:ascii="Arial" w:hAnsi="Arial" w:cs="Arial"/>
          <w:sz w:val="20"/>
          <w:szCs w:val="20"/>
        </w:rPr>
      </w:pPr>
      <w:r w:rsidRPr="000808C2">
        <w:rPr>
          <w:rFonts w:ascii="Arial" w:hAnsi="Arial" w:cs="Arial"/>
          <w:sz w:val="22"/>
          <w:szCs w:val="22"/>
        </w:rPr>
        <w:br/>
      </w:r>
      <w:r w:rsidRPr="000808C2">
        <w:rPr>
          <w:rFonts w:ascii="Arial" w:hAnsi="Arial" w:cs="Arial"/>
          <w:b/>
          <w:bCs/>
          <w:sz w:val="22"/>
          <w:szCs w:val="22"/>
        </w:rPr>
        <w:t>Research Design</w:t>
      </w:r>
    </w:p>
    <w:p w14:paraId="16244582" w14:textId="1224DD6C" w:rsidR="00AC67AB" w:rsidRDefault="00AC67AB" w:rsidP="0044055D">
      <w:pPr>
        <w:jc w:val="both"/>
        <w:rPr>
          <w:rFonts w:ascii="Arial" w:hAnsi="Arial" w:cs="Arial"/>
          <w:sz w:val="20"/>
          <w:szCs w:val="20"/>
        </w:rPr>
      </w:pPr>
      <w:r w:rsidRPr="00AC67AB">
        <w:rPr>
          <w:rFonts w:ascii="Arial" w:hAnsi="Arial" w:cs="Arial"/>
          <w:sz w:val="20"/>
          <w:szCs w:val="20"/>
        </w:rPr>
        <w:t xml:space="preserve">This study used </w:t>
      </w:r>
      <w:r w:rsidR="00AE5D5E">
        <w:rPr>
          <w:rFonts w:ascii="Arial" w:hAnsi="Arial" w:cs="Arial"/>
          <w:sz w:val="20"/>
          <w:szCs w:val="20"/>
        </w:rPr>
        <w:t xml:space="preserve">a blend of </w:t>
      </w:r>
      <w:r w:rsidRPr="00AC67AB">
        <w:rPr>
          <w:rFonts w:ascii="Arial" w:hAnsi="Arial" w:cs="Arial"/>
          <w:sz w:val="20"/>
          <w:szCs w:val="20"/>
        </w:rPr>
        <w:t>descriptive</w:t>
      </w:r>
      <w:r w:rsidR="00F506A7">
        <w:rPr>
          <w:rFonts w:ascii="Arial" w:hAnsi="Arial" w:cs="Arial"/>
          <w:sz w:val="20"/>
          <w:szCs w:val="20"/>
        </w:rPr>
        <w:t>-</w:t>
      </w:r>
      <w:r w:rsidRPr="00AC67AB">
        <w:rPr>
          <w:rFonts w:ascii="Arial" w:hAnsi="Arial" w:cs="Arial"/>
          <w:sz w:val="20"/>
          <w:szCs w:val="20"/>
        </w:rPr>
        <w:t>correlation</w:t>
      </w:r>
      <w:r w:rsidR="00F506A7">
        <w:rPr>
          <w:rFonts w:ascii="Arial" w:hAnsi="Arial" w:cs="Arial"/>
          <w:sz w:val="20"/>
          <w:szCs w:val="20"/>
        </w:rPr>
        <w:t>al</w:t>
      </w:r>
      <w:r w:rsidRPr="00AC67AB">
        <w:rPr>
          <w:rFonts w:ascii="Arial" w:hAnsi="Arial" w:cs="Arial"/>
          <w:sz w:val="20"/>
          <w:szCs w:val="20"/>
        </w:rPr>
        <w:t xml:space="preserve"> method research. Descriptive research attempts to describe, explain and interpret conditions of the present. Its purpose is to examine a phenomenon that is occurring at a specific place(s) and time. It is concerned with conditions, practices, structures, differences or relationships that exist, opinions held processes that are going on or trends that are evident. While </w:t>
      </w:r>
      <w:r w:rsidRPr="00AC67AB">
        <w:rPr>
          <w:rFonts w:ascii="Arial" w:hAnsi="Arial" w:cs="Arial"/>
          <w:sz w:val="20"/>
          <w:szCs w:val="20"/>
        </w:rPr>
        <w:lastRenderedPageBreak/>
        <w:t>correlational research describes what exists at the moment (conditions, practices, structures, etc.). It aimed to determine the nature, degree and direction of relationships between variables or using these relationships to make predictions (Creswell, 2002).</w:t>
      </w:r>
    </w:p>
    <w:p w14:paraId="3AD47D3E" w14:textId="77777777" w:rsidR="00AC67AB" w:rsidRDefault="00AC67AB" w:rsidP="000808C2">
      <w:pPr>
        <w:jc w:val="both"/>
        <w:rPr>
          <w:rFonts w:ascii="Arial" w:hAnsi="Arial" w:cs="Arial"/>
          <w:sz w:val="20"/>
          <w:szCs w:val="20"/>
        </w:rPr>
      </w:pPr>
      <w:r w:rsidRPr="00AC67AB">
        <w:rPr>
          <w:rFonts w:ascii="Arial" w:hAnsi="Arial" w:cs="Arial"/>
          <w:sz w:val="20"/>
          <w:szCs w:val="20"/>
        </w:rPr>
        <w:t>This study aims to describe the relationship between the 21st-century skills of Grade Six Public Elementary Teachers with its components namely effective communication skills, learning and innovation skills, information, media and technology skills and the life and career skills and their teaching performance on the following domains: teaching and learning process, pupil’s outcome, community Involvement, and professional growth and development.</w:t>
      </w:r>
    </w:p>
    <w:p w14:paraId="7FC89A11" w14:textId="5C837962" w:rsidR="000808C2" w:rsidRPr="001B1F82" w:rsidRDefault="006C3E85" w:rsidP="000808C2">
      <w:pPr>
        <w:jc w:val="both"/>
        <w:rPr>
          <w:rFonts w:ascii="Arial" w:hAnsi="Arial" w:cs="Arial"/>
          <w:sz w:val="20"/>
          <w:szCs w:val="20"/>
        </w:rPr>
      </w:pPr>
      <w:r w:rsidRPr="001B1F82">
        <w:rPr>
          <w:rFonts w:ascii="Arial" w:hAnsi="Arial" w:cs="Arial"/>
          <w:b/>
          <w:bCs/>
          <w:sz w:val="20"/>
          <w:szCs w:val="20"/>
        </w:rPr>
        <w:t>Respondents</w:t>
      </w:r>
    </w:p>
    <w:p w14:paraId="6D35DE93" w14:textId="77777777" w:rsidR="00AC67AB" w:rsidRPr="00AC67AB" w:rsidRDefault="00AC67AB" w:rsidP="00AC67AB">
      <w:pPr>
        <w:jc w:val="both"/>
        <w:rPr>
          <w:rFonts w:ascii="Arial" w:hAnsi="Arial" w:cs="Arial"/>
          <w:sz w:val="20"/>
          <w:szCs w:val="20"/>
        </w:rPr>
      </w:pPr>
      <w:r w:rsidRPr="00AC67AB">
        <w:rPr>
          <w:rFonts w:ascii="Arial" w:hAnsi="Arial" w:cs="Arial"/>
          <w:sz w:val="20"/>
          <w:szCs w:val="20"/>
        </w:rPr>
        <w:t>The study was conducted in one of the districts in the Division of Davao del Sur, Region XI, Philippines. The research respondents of this study were 40 Grade 6 public elementary teachers who were chosen based on the following criteria: minimum of 5 years teaching experience, with permanent status, and handling Grade 6 learners.</w:t>
      </w:r>
    </w:p>
    <w:p w14:paraId="746A535D" w14:textId="311880D9" w:rsidR="00C626A3" w:rsidRDefault="00AC67AB" w:rsidP="00AC67AB">
      <w:pPr>
        <w:jc w:val="both"/>
        <w:rPr>
          <w:rFonts w:ascii="Arial" w:hAnsi="Arial" w:cs="Arial"/>
          <w:sz w:val="20"/>
          <w:szCs w:val="20"/>
        </w:rPr>
      </w:pPr>
      <w:r w:rsidRPr="00AC67AB">
        <w:rPr>
          <w:rFonts w:ascii="Arial" w:hAnsi="Arial" w:cs="Arial"/>
          <w:sz w:val="20"/>
          <w:szCs w:val="20"/>
        </w:rPr>
        <w:t>Below is the figure showing the number of teachers teaching Grade 6 in one of the Districts in the Division of Davao del Sur.</w:t>
      </w:r>
    </w:p>
    <w:p w14:paraId="1413D755" w14:textId="77777777" w:rsidR="000B513B" w:rsidRDefault="000B513B" w:rsidP="00AC67AB">
      <w:pPr>
        <w:jc w:val="both"/>
        <w:rPr>
          <w:rFonts w:ascii="Arial" w:hAnsi="Arial" w:cs="Arial"/>
          <w:sz w:val="20"/>
          <w:szCs w:val="20"/>
        </w:rPr>
      </w:pPr>
    </w:p>
    <w:p w14:paraId="7577AAA4" w14:textId="6F08DBE0" w:rsidR="00C626A3" w:rsidRPr="00834973" w:rsidRDefault="006C3E85" w:rsidP="00E56CB6">
      <w:pPr>
        <w:jc w:val="both"/>
        <w:rPr>
          <w:rFonts w:ascii="Arial" w:hAnsi="Arial" w:cs="Arial"/>
          <w:b/>
          <w:bCs/>
          <w:sz w:val="20"/>
          <w:szCs w:val="20"/>
        </w:rPr>
      </w:pPr>
      <w:r w:rsidRPr="00834973">
        <w:rPr>
          <w:rFonts w:ascii="Arial" w:hAnsi="Arial" w:cs="Arial"/>
          <w:b/>
          <w:bCs/>
          <w:sz w:val="20"/>
          <w:szCs w:val="20"/>
        </w:rPr>
        <w:t>Table</w:t>
      </w:r>
      <w:r w:rsidR="004356C8">
        <w:rPr>
          <w:rFonts w:ascii="Arial" w:hAnsi="Arial" w:cs="Arial"/>
          <w:b/>
          <w:bCs/>
          <w:sz w:val="20"/>
          <w:szCs w:val="20"/>
        </w:rPr>
        <w:t xml:space="preserve"> </w:t>
      </w:r>
      <w:r w:rsidRPr="00834973">
        <w:rPr>
          <w:rFonts w:ascii="Arial" w:hAnsi="Arial" w:cs="Arial"/>
          <w:b/>
          <w:bCs/>
          <w:sz w:val="20"/>
          <w:szCs w:val="20"/>
        </w:rPr>
        <w:t>1. The Respondents of the Study</w:t>
      </w:r>
    </w:p>
    <w:tbl>
      <w:tblPr>
        <w:tblStyle w:val="TableGrid"/>
        <w:tblW w:w="0" w:type="auto"/>
        <w:tblInd w:w="5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1755"/>
        <w:gridCol w:w="1317"/>
      </w:tblGrid>
      <w:tr w:rsidR="00C626A3" w:rsidRPr="00C626A3" w14:paraId="74EF6F54" w14:textId="77777777" w:rsidTr="004003A5">
        <w:tc>
          <w:tcPr>
            <w:tcW w:w="603" w:type="dxa"/>
            <w:tcBorders>
              <w:top w:val="single" w:sz="4" w:space="0" w:color="auto"/>
              <w:bottom w:val="single" w:sz="4" w:space="0" w:color="auto"/>
            </w:tcBorders>
            <w:vAlign w:val="center"/>
          </w:tcPr>
          <w:p w14:paraId="46C48A3D"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No.</w:t>
            </w:r>
          </w:p>
        </w:tc>
        <w:tc>
          <w:tcPr>
            <w:tcW w:w="1755" w:type="dxa"/>
            <w:tcBorders>
              <w:top w:val="single" w:sz="4" w:space="0" w:color="auto"/>
              <w:bottom w:val="single" w:sz="4" w:space="0" w:color="auto"/>
            </w:tcBorders>
            <w:vAlign w:val="center"/>
          </w:tcPr>
          <w:p w14:paraId="7CF80F49"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School</w:t>
            </w:r>
          </w:p>
        </w:tc>
        <w:tc>
          <w:tcPr>
            <w:tcW w:w="1317" w:type="dxa"/>
            <w:tcBorders>
              <w:top w:val="single" w:sz="4" w:space="0" w:color="auto"/>
              <w:bottom w:val="single" w:sz="4" w:space="0" w:color="auto"/>
            </w:tcBorders>
            <w:vAlign w:val="center"/>
          </w:tcPr>
          <w:p w14:paraId="536F6E83"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No. of Teachers</w:t>
            </w:r>
          </w:p>
        </w:tc>
      </w:tr>
      <w:tr w:rsidR="00C626A3" w:rsidRPr="00C626A3" w14:paraId="462870F4" w14:textId="77777777" w:rsidTr="004003A5">
        <w:tc>
          <w:tcPr>
            <w:tcW w:w="603" w:type="dxa"/>
            <w:tcBorders>
              <w:top w:val="single" w:sz="4" w:space="0" w:color="auto"/>
            </w:tcBorders>
          </w:tcPr>
          <w:p w14:paraId="208EDE4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c>
          <w:tcPr>
            <w:tcW w:w="1755" w:type="dxa"/>
            <w:tcBorders>
              <w:top w:val="single" w:sz="4" w:space="0" w:color="auto"/>
            </w:tcBorders>
          </w:tcPr>
          <w:p w14:paraId="23F13D74"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A</w:t>
            </w:r>
          </w:p>
        </w:tc>
        <w:tc>
          <w:tcPr>
            <w:tcW w:w="1317" w:type="dxa"/>
            <w:tcBorders>
              <w:top w:val="single" w:sz="4" w:space="0" w:color="auto"/>
            </w:tcBorders>
          </w:tcPr>
          <w:p w14:paraId="78CF5CCF" w14:textId="77777777" w:rsidR="00C626A3" w:rsidRPr="00C626A3" w:rsidRDefault="00C626A3" w:rsidP="004003A5">
            <w:pPr>
              <w:jc w:val="center"/>
              <w:rPr>
                <w:rFonts w:ascii="Arial" w:hAnsi="Arial" w:cs="Arial"/>
                <w:sz w:val="20"/>
                <w:szCs w:val="20"/>
              </w:rPr>
            </w:pPr>
            <w:r w:rsidRPr="00C626A3">
              <w:rPr>
                <w:rFonts w:ascii="Arial" w:hAnsi="Arial" w:cs="Arial"/>
                <w:noProof/>
                <w:sz w:val="20"/>
                <w:szCs w:val="20"/>
                <w:lang w:val="en-PH" w:eastAsia="en-PH"/>
              </w:rPr>
              <mc:AlternateContent>
                <mc:Choice Requires="wps">
                  <w:drawing>
                    <wp:anchor distT="0" distB="0" distL="114300" distR="114300" simplePos="0" relativeHeight="251659264" behindDoc="0" locked="0" layoutInCell="1" allowOverlap="1" wp14:anchorId="6054096F" wp14:editId="12FABF11">
                      <wp:simplePos x="0" y="0"/>
                      <wp:positionH relativeFrom="column">
                        <wp:posOffset>537667</wp:posOffset>
                      </wp:positionH>
                      <wp:positionV relativeFrom="paragraph">
                        <wp:posOffset>132105</wp:posOffset>
                      </wp:positionV>
                      <wp:extent cx="226771" cy="2611527"/>
                      <wp:effectExtent l="0" t="0" r="20955" b="17780"/>
                      <wp:wrapNone/>
                      <wp:docPr id="2" name="Right Brace 2"/>
                      <wp:cNvGraphicFramePr/>
                      <a:graphic xmlns:a="http://schemas.openxmlformats.org/drawingml/2006/main">
                        <a:graphicData uri="http://schemas.microsoft.com/office/word/2010/wordprocessingShape">
                          <wps:wsp>
                            <wps:cNvSpPr/>
                            <wps:spPr>
                              <a:xfrm>
                                <a:off x="0" y="0"/>
                                <a:ext cx="226771" cy="2611527"/>
                              </a:xfrm>
                              <a:prstGeom prst="righ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3130D2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2.35pt;margin-top:10.4pt;width:17.85pt;height:20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" adj="156" strokecolor="black [3213]" strokeweight="1pt">
                      <v:stroke joinstyle="miter"/>
                    </v:shape>
                  </w:pict>
                </mc:Fallback>
              </mc:AlternateContent>
            </w:r>
            <w:r w:rsidRPr="00C626A3">
              <w:rPr>
                <w:rFonts w:ascii="Arial" w:hAnsi="Arial" w:cs="Arial"/>
                <w:sz w:val="20"/>
                <w:szCs w:val="20"/>
              </w:rPr>
              <w:t>2</w:t>
            </w:r>
          </w:p>
        </w:tc>
      </w:tr>
      <w:tr w:rsidR="00C626A3" w:rsidRPr="00C626A3" w14:paraId="10E098C8" w14:textId="77777777" w:rsidTr="004003A5">
        <w:tc>
          <w:tcPr>
            <w:tcW w:w="603" w:type="dxa"/>
          </w:tcPr>
          <w:p w14:paraId="18820EF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c>
          <w:tcPr>
            <w:tcW w:w="1755" w:type="dxa"/>
          </w:tcPr>
          <w:p w14:paraId="5084064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B</w:t>
            </w:r>
          </w:p>
        </w:tc>
        <w:tc>
          <w:tcPr>
            <w:tcW w:w="1317" w:type="dxa"/>
          </w:tcPr>
          <w:p w14:paraId="73F17348"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3</w:t>
            </w:r>
          </w:p>
        </w:tc>
      </w:tr>
      <w:tr w:rsidR="00C626A3" w:rsidRPr="00C626A3" w14:paraId="5272E8BE" w14:textId="77777777" w:rsidTr="004003A5">
        <w:tc>
          <w:tcPr>
            <w:tcW w:w="603" w:type="dxa"/>
          </w:tcPr>
          <w:p w14:paraId="1351DB7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3</w:t>
            </w:r>
          </w:p>
        </w:tc>
        <w:tc>
          <w:tcPr>
            <w:tcW w:w="1755" w:type="dxa"/>
          </w:tcPr>
          <w:p w14:paraId="465C4D0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C</w:t>
            </w:r>
          </w:p>
        </w:tc>
        <w:tc>
          <w:tcPr>
            <w:tcW w:w="1317" w:type="dxa"/>
          </w:tcPr>
          <w:p w14:paraId="5E03CA4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3</w:t>
            </w:r>
          </w:p>
        </w:tc>
      </w:tr>
      <w:tr w:rsidR="00C626A3" w:rsidRPr="00C626A3" w14:paraId="34F4071E" w14:textId="77777777" w:rsidTr="004003A5">
        <w:tc>
          <w:tcPr>
            <w:tcW w:w="603" w:type="dxa"/>
          </w:tcPr>
          <w:p w14:paraId="1D57A5A8"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4</w:t>
            </w:r>
          </w:p>
        </w:tc>
        <w:tc>
          <w:tcPr>
            <w:tcW w:w="1755" w:type="dxa"/>
          </w:tcPr>
          <w:p w14:paraId="467ACF5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D</w:t>
            </w:r>
          </w:p>
        </w:tc>
        <w:tc>
          <w:tcPr>
            <w:tcW w:w="1317" w:type="dxa"/>
          </w:tcPr>
          <w:p w14:paraId="7070DDA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r>
      <w:tr w:rsidR="00C626A3" w:rsidRPr="00C626A3" w14:paraId="573B5989" w14:textId="77777777" w:rsidTr="004003A5">
        <w:tc>
          <w:tcPr>
            <w:tcW w:w="603" w:type="dxa"/>
          </w:tcPr>
          <w:p w14:paraId="10C1CD43"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5</w:t>
            </w:r>
          </w:p>
        </w:tc>
        <w:tc>
          <w:tcPr>
            <w:tcW w:w="1755" w:type="dxa"/>
          </w:tcPr>
          <w:p w14:paraId="75EC422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E</w:t>
            </w:r>
          </w:p>
        </w:tc>
        <w:tc>
          <w:tcPr>
            <w:tcW w:w="1317" w:type="dxa"/>
          </w:tcPr>
          <w:p w14:paraId="03B1CE13"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5</w:t>
            </w:r>
          </w:p>
        </w:tc>
      </w:tr>
      <w:tr w:rsidR="00C626A3" w:rsidRPr="00C626A3" w14:paraId="42E16159" w14:textId="77777777" w:rsidTr="004003A5">
        <w:tc>
          <w:tcPr>
            <w:tcW w:w="603" w:type="dxa"/>
          </w:tcPr>
          <w:p w14:paraId="1AE6C42C"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6</w:t>
            </w:r>
          </w:p>
        </w:tc>
        <w:tc>
          <w:tcPr>
            <w:tcW w:w="1755" w:type="dxa"/>
          </w:tcPr>
          <w:p w14:paraId="220098F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F</w:t>
            </w:r>
          </w:p>
        </w:tc>
        <w:tc>
          <w:tcPr>
            <w:tcW w:w="1317" w:type="dxa"/>
          </w:tcPr>
          <w:p w14:paraId="0BF7F79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1D4C8F49" w14:textId="77777777" w:rsidTr="004003A5">
        <w:tc>
          <w:tcPr>
            <w:tcW w:w="603" w:type="dxa"/>
          </w:tcPr>
          <w:p w14:paraId="5B606DD8"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7</w:t>
            </w:r>
          </w:p>
        </w:tc>
        <w:tc>
          <w:tcPr>
            <w:tcW w:w="1755" w:type="dxa"/>
          </w:tcPr>
          <w:p w14:paraId="1D62E17F"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G</w:t>
            </w:r>
          </w:p>
        </w:tc>
        <w:tc>
          <w:tcPr>
            <w:tcW w:w="1317" w:type="dxa"/>
          </w:tcPr>
          <w:p w14:paraId="7571796F" w14:textId="77777777" w:rsidR="00C626A3" w:rsidRPr="00C626A3" w:rsidRDefault="00C626A3" w:rsidP="004003A5">
            <w:pPr>
              <w:jc w:val="center"/>
              <w:rPr>
                <w:rFonts w:ascii="Arial" w:hAnsi="Arial" w:cs="Arial"/>
                <w:sz w:val="20"/>
                <w:szCs w:val="20"/>
              </w:rPr>
            </w:pPr>
            <w:r w:rsidRPr="00C626A3">
              <w:rPr>
                <w:rFonts w:ascii="Arial" w:hAnsi="Arial" w:cs="Arial"/>
                <w:noProof/>
                <w:sz w:val="20"/>
                <w:szCs w:val="20"/>
                <w:lang w:val="en-PH" w:eastAsia="en-PH"/>
              </w:rPr>
              <mc:AlternateContent>
                <mc:Choice Requires="wps">
                  <w:drawing>
                    <wp:anchor distT="0" distB="0" distL="114300" distR="114300" simplePos="0" relativeHeight="251660288" behindDoc="0" locked="0" layoutInCell="1" allowOverlap="1" wp14:anchorId="3880BD8D" wp14:editId="3DF4A3EA">
                      <wp:simplePos x="0" y="0"/>
                      <wp:positionH relativeFrom="column">
                        <wp:posOffset>953770</wp:posOffset>
                      </wp:positionH>
                      <wp:positionV relativeFrom="paragraph">
                        <wp:posOffset>16510</wp:posOffset>
                      </wp:positionV>
                      <wp:extent cx="1184910" cy="8921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184910" cy="892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CD062" w14:textId="77777777" w:rsidR="004356C8" w:rsidRPr="00BC066B" w:rsidRDefault="004356C8" w:rsidP="00C626A3">
                                  <w:pPr>
                                    <w:spacing w:after="0" w:line="240" w:lineRule="auto"/>
                                    <w:rPr>
                                      <w:rFonts w:ascii="Arial" w:hAnsi="Arial" w:cs="Arial"/>
                                    </w:rPr>
                                  </w:pPr>
                                  <w:r w:rsidRPr="00BC066B">
                                    <w:rPr>
                                      <w:rFonts w:ascii="Arial" w:hAnsi="Arial" w:cs="Arial"/>
                                    </w:rPr>
                                    <w:t>5 years above</w:t>
                                  </w:r>
                                </w:p>
                                <w:p w14:paraId="55334593" w14:textId="77777777" w:rsidR="004356C8" w:rsidRPr="00BC066B" w:rsidRDefault="004356C8" w:rsidP="00C626A3">
                                  <w:pPr>
                                    <w:spacing w:after="0" w:line="240" w:lineRule="auto"/>
                                    <w:rPr>
                                      <w:rFonts w:ascii="Arial" w:hAnsi="Arial" w:cs="Arial"/>
                                    </w:rPr>
                                  </w:pPr>
                                  <w:r w:rsidRPr="00BC066B">
                                    <w:rPr>
                                      <w:rFonts w:ascii="Arial" w:hAnsi="Arial" w:cs="Arial"/>
                                    </w:rPr>
                                    <w:t>Teaching</w:t>
                                  </w:r>
                                </w:p>
                                <w:p w14:paraId="2B00E98D" w14:textId="77777777" w:rsidR="004356C8" w:rsidRPr="00BC066B" w:rsidRDefault="004356C8" w:rsidP="00C626A3">
                                  <w:pPr>
                                    <w:spacing w:after="0" w:line="240" w:lineRule="auto"/>
                                    <w:rPr>
                                      <w:rFonts w:ascii="Arial" w:hAnsi="Arial" w:cs="Arial"/>
                                    </w:rPr>
                                  </w:pPr>
                                  <w:r w:rsidRPr="00BC066B">
                                    <w:rPr>
                                      <w:rFonts w:ascii="Arial" w:hAnsi="Arial" w:cs="Arial"/>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0BD8D" id="_x0000_t202" coordsize="21600,21600" o:spt="202" path="m,l,21600r21600,l21600,xe">
                      <v:stroke joinstyle="miter"/>
                      <v:path gradientshapeok="t" o:connecttype="rect"/>
                    </v:shapetype>
                    <v:shape id="Text Box 3" o:spid="_x0000_s1026" type="#_x0000_t202" style="position:absolute;left:0;text-align:left;margin-left:75.1pt;margin-top:1.3pt;width:93.3pt;height: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" filled="f" stroked="f" strokeweight=".5pt">
                      <v:textbox>
                        <w:txbxContent>
                          <w:p w14:paraId="7FDCD062" w14:textId="77777777" w:rsidR="004356C8" w:rsidRPr="00BC066B" w:rsidRDefault="004356C8" w:rsidP="00C626A3">
                            <w:pPr>
                              <w:spacing w:after="0" w:line="240" w:lineRule="auto"/>
                              <w:rPr>
                                <w:rFonts w:ascii="Arial" w:hAnsi="Arial" w:cs="Arial"/>
                              </w:rPr>
                            </w:pPr>
                            <w:r w:rsidRPr="00BC066B">
                              <w:rPr>
                                <w:rFonts w:ascii="Arial" w:hAnsi="Arial" w:cs="Arial"/>
                              </w:rPr>
                              <w:t>5 years above</w:t>
                            </w:r>
                          </w:p>
                          <w:p w14:paraId="55334593" w14:textId="77777777" w:rsidR="004356C8" w:rsidRPr="00BC066B" w:rsidRDefault="004356C8" w:rsidP="00C626A3">
                            <w:pPr>
                              <w:spacing w:after="0" w:line="240" w:lineRule="auto"/>
                              <w:rPr>
                                <w:rFonts w:ascii="Arial" w:hAnsi="Arial" w:cs="Arial"/>
                              </w:rPr>
                            </w:pPr>
                            <w:r w:rsidRPr="00BC066B">
                              <w:rPr>
                                <w:rFonts w:ascii="Arial" w:hAnsi="Arial" w:cs="Arial"/>
                              </w:rPr>
                              <w:t>Teaching</w:t>
                            </w:r>
                          </w:p>
                          <w:p w14:paraId="2B00E98D" w14:textId="77777777" w:rsidR="004356C8" w:rsidRPr="00BC066B" w:rsidRDefault="004356C8" w:rsidP="00C626A3">
                            <w:pPr>
                              <w:spacing w:after="0" w:line="240" w:lineRule="auto"/>
                              <w:rPr>
                                <w:rFonts w:ascii="Arial" w:hAnsi="Arial" w:cs="Arial"/>
                              </w:rPr>
                            </w:pPr>
                            <w:r w:rsidRPr="00BC066B">
                              <w:rPr>
                                <w:rFonts w:ascii="Arial" w:hAnsi="Arial" w:cs="Arial"/>
                              </w:rPr>
                              <w:t>Experience</w:t>
                            </w:r>
                          </w:p>
                        </w:txbxContent>
                      </v:textbox>
                    </v:shape>
                  </w:pict>
                </mc:Fallback>
              </mc:AlternateContent>
            </w:r>
            <w:r w:rsidRPr="00C626A3">
              <w:rPr>
                <w:rFonts w:ascii="Arial" w:hAnsi="Arial" w:cs="Arial"/>
                <w:sz w:val="20"/>
                <w:szCs w:val="20"/>
              </w:rPr>
              <w:t>4</w:t>
            </w:r>
          </w:p>
        </w:tc>
      </w:tr>
      <w:tr w:rsidR="00C626A3" w:rsidRPr="00C626A3" w14:paraId="63631A86" w14:textId="77777777" w:rsidTr="004003A5">
        <w:tc>
          <w:tcPr>
            <w:tcW w:w="603" w:type="dxa"/>
          </w:tcPr>
          <w:p w14:paraId="1D21B60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8</w:t>
            </w:r>
          </w:p>
        </w:tc>
        <w:tc>
          <w:tcPr>
            <w:tcW w:w="1755" w:type="dxa"/>
          </w:tcPr>
          <w:p w14:paraId="315090C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H</w:t>
            </w:r>
          </w:p>
        </w:tc>
        <w:tc>
          <w:tcPr>
            <w:tcW w:w="1317" w:type="dxa"/>
          </w:tcPr>
          <w:p w14:paraId="7ACE9CD2"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5BC247B6" w14:textId="77777777" w:rsidTr="004003A5">
        <w:tc>
          <w:tcPr>
            <w:tcW w:w="603" w:type="dxa"/>
          </w:tcPr>
          <w:p w14:paraId="6BFD78CB"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9</w:t>
            </w:r>
          </w:p>
        </w:tc>
        <w:tc>
          <w:tcPr>
            <w:tcW w:w="1755" w:type="dxa"/>
          </w:tcPr>
          <w:p w14:paraId="760FF61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I</w:t>
            </w:r>
          </w:p>
        </w:tc>
        <w:tc>
          <w:tcPr>
            <w:tcW w:w="1317" w:type="dxa"/>
          </w:tcPr>
          <w:p w14:paraId="5D608B0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0D465B96" w14:textId="77777777" w:rsidTr="004003A5">
        <w:tc>
          <w:tcPr>
            <w:tcW w:w="603" w:type="dxa"/>
          </w:tcPr>
          <w:p w14:paraId="4745E57C"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10</w:t>
            </w:r>
          </w:p>
        </w:tc>
        <w:tc>
          <w:tcPr>
            <w:tcW w:w="1755" w:type="dxa"/>
          </w:tcPr>
          <w:p w14:paraId="5F81B41D"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J</w:t>
            </w:r>
          </w:p>
        </w:tc>
        <w:tc>
          <w:tcPr>
            <w:tcW w:w="1317" w:type="dxa"/>
          </w:tcPr>
          <w:p w14:paraId="0DE7B639"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r>
      <w:tr w:rsidR="00C626A3" w:rsidRPr="00C626A3" w14:paraId="1635BF1F" w14:textId="77777777" w:rsidTr="004003A5">
        <w:tc>
          <w:tcPr>
            <w:tcW w:w="603" w:type="dxa"/>
          </w:tcPr>
          <w:p w14:paraId="5F3449C7"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11</w:t>
            </w:r>
          </w:p>
        </w:tc>
        <w:tc>
          <w:tcPr>
            <w:tcW w:w="1755" w:type="dxa"/>
          </w:tcPr>
          <w:p w14:paraId="73FF51A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K</w:t>
            </w:r>
          </w:p>
        </w:tc>
        <w:tc>
          <w:tcPr>
            <w:tcW w:w="1317" w:type="dxa"/>
          </w:tcPr>
          <w:p w14:paraId="24EC3EE6"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1F82379A" w14:textId="77777777" w:rsidTr="004003A5">
        <w:tc>
          <w:tcPr>
            <w:tcW w:w="603" w:type="dxa"/>
          </w:tcPr>
          <w:p w14:paraId="26F1B944"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12</w:t>
            </w:r>
          </w:p>
        </w:tc>
        <w:tc>
          <w:tcPr>
            <w:tcW w:w="1755" w:type="dxa"/>
          </w:tcPr>
          <w:p w14:paraId="225D379A"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L</w:t>
            </w:r>
          </w:p>
        </w:tc>
        <w:tc>
          <w:tcPr>
            <w:tcW w:w="1317" w:type="dxa"/>
          </w:tcPr>
          <w:p w14:paraId="6D2AD6E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6</w:t>
            </w:r>
          </w:p>
        </w:tc>
      </w:tr>
      <w:tr w:rsidR="00C626A3" w:rsidRPr="00C626A3" w14:paraId="1E7AECA7" w14:textId="77777777" w:rsidTr="004003A5">
        <w:tc>
          <w:tcPr>
            <w:tcW w:w="603" w:type="dxa"/>
          </w:tcPr>
          <w:p w14:paraId="619BDBE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13</w:t>
            </w:r>
          </w:p>
        </w:tc>
        <w:tc>
          <w:tcPr>
            <w:tcW w:w="1755" w:type="dxa"/>
          </w:tcPr>
          <w:p w14:paraId="334FCEF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M</w:t>
            </w:r>
          </w:p>
        </w:tc>
        <w:tc>
          <w:tcPr>
            <w:tcW w:w="1317" w:type="dxa"/>
          </w:tcPr>
          <w:p w14:paraId="17C29280"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w:t>
            </w:r>
          </w:p>
        </w:tc>
      </w:tr>
      <w:tr w:rsidR="00C626A3" w:rsidRPr="00C626A3" w14:paraId="1F8DDDDD" w14:textId="77777777" w:rsidTr="004003A5">
        <w:tc>
          <w:tcPr>
            <w:tcW w:w="603" w:type="dxa"/>
          </w:tcPr>
          <w:p w14:paraId="6CD58653"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14</w:t>
            </w:r>
          </w:p>
        </w:tc>
        <w:tc>
          <w:tcPr>
            <w:tcW w:w="1755" w:type="dxa"/>
          </w:tcPr>
          <w:p w14:paraId="568F1F2E"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N</w:t>
            </w:r>
          </w:p>
        </w:tc>
        <w:tc>
          <w:tcPr>
            <w:tcW w:w="1317" w:type="dxa"/>
          </w:tcPr>
          <w:p w14:paraId="4BABF97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2</w:t>
            </w:r>
          </w:p>
        </w:tc>
      </w:tr>
      <w:tr w:rsidR="00C626A3" w:rsidRPr="00C626A3" w14:paraId="0C6EB6A6" w14:textId="77777777" w:rsidTr="004003A5">
        <w:tc>
          <w:tcPr>
            <w:tcW w:w="603" w:type="dxa"/>
            <w:tcBorders>
              <w:bottom w:val="nil"/>
            </w:tcBorders>
          </w:tcPr>
          <w:p w14:paraId="20853164"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15</w:t>
            </w:r>
          </w:p>
        </w:tc>
        <w:tc>
          <w:tcPr>
            <w:tcW w:w="1755" w:type="dxa"/>
            <w:tcBorders>
              <w:bottom w:val="nil"/>
            </w:tcBorders>
          </w:tcPr>
          <w:p w14:paraId="30C49575"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O</w:t>
            </w:r>
          </w:p>
        </w:tc>
        <w:tc>
          <w:tcPr>
            <w:tcW w:w="1317" w:type="dxa"/>
            <w:tcBorders>
              <w:bottom w:val="nil"/>
            </w:tcBorders>
          </w:tcPr>
          <w:p w14:paraId="00A671F7" w14:textId="77777777" w:rsidR="00C626A3" w:rsidRPr="00C626A3" w:rsidRDefault="00C626A3" w:rsidP="004003A5">
            <w:pPr>
              <w:jc w:val="center"/>
              <w:rPr>
                <w:rFonts w:ascii="Arial" w:hAnsi="Arial" w:cs="Arial"/>
                <w:sz w:val="20"/>
                <w:szCs w:val="20"/>
              </w:rPr>
            </w:pPr>
            <w:r w:rsidRPr="00C626A3">
              <w:rPr>
                <w:rFonts w:ascii="Arial" w:hAnsi="Arial" w:cs="Arial"/>
                <w:sz w:val="20"/>
                <w:szCs w:val="20"/>
              </w:rPr>
              <w:t>4</w:t>
            </w:r>
          </w:p>
        </w:tc>
      </w:tr>
      <w:tr w:rsidR="00C626A3" w:rsidRPr="00C626A3" w14:paraId="7E140014" w14:textId="77777777" w:rsidTr="004003A5">
        <w:tc>
          <w:tcPr>
            <w:tcW w:w="2358" w:type="dxa"/>
            <w:gridSpan w:val="2"/>
            <w:tcBorders>
              <w:top w:val="nil"/>
              <w:bottom w:val="single" w:sz="12" w:space="0" w:color="auto"/>
            </w:tcBorders>
            <w:vAlign w:val="center"/>
          </w:tcPr>
          <w:p w14:paraId="0E61AE57"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Total</w:t>
            </w:r>
          </w:p>
        </w:tc>
        <w:tc>
          <w:tcPr>
            <w:tcW w:w="1317" w:type="dxa"/>
            <w:tcBorders>
              <w:top w:val="nil"/>
              <w:bottom w:val="single" w:sz="12" w:space="0" w:color="auto"/>
            </w:tcBorders>
          </w:tcPr>
          <w:p w14:paraId="5469E8C7" w14:textId="77777777" w:rsidR="00C626A3" w:rsidRPr="00C626A3" w:rsidRDefault="00C626A3" w:rsidP="004003A5">
            <w:pPr>
              <w:jc w:val="center"/>
              <w:rPr>
                <w:rFonts w:ascii="Arial" w:hAnsi="Arial" w:cs="Arial"/>
                <w:b/>
                <w:sz w:val="20"/>
                <w:szCs w:val="20"/>
              </w:rPr>
            </w:pPr>
            <w:r w:rsidRPr="00C626A3">
              <w:rPr>
                <w:rFonts w:ascii="Arial" w:hAnsi="Arial" w:cs="Arial"/>
                <w:b/>
                <w:sz w:val="20"/>
                <w:szCs w:val="20"/>
              </w:rPr>
              <w:t>40</w:t>
            </w:r>
          </w:p>
        </w:tc>
      </w:tr>
    </w:tbl>
    <w:p w14:paraId="46AAE012" w14:textId="77777777" w:rsidR="00C626A3" w:rsidRDefault="00C626A3" w:rsidP="00E56CB6">
      <w:pPr>
        <w:jc w:val="both"/>
        <w:rPr>
          <w:rFonts w:ascii="Arial" w:hAnsi="Arial" w:cs="Arial"/>
          <w:sz w:val="20"/>
          <w:szCs w:val="20"/>
        </w:rPr>
      </w:pPr>
    </w:p>
    <w:p w14:paraId="34FD8DE0" w14:textId="77777777" w:rsidR="00834973" w:rsidRDefault="00834973" w:rsidP="00E56CB6">
      <w:pPr>
        <w:jc w:val="both"/>
        <w:rPr>
          <w:rFonts w:ascii="Arial" w:hAnsi="Arial" w:cs="Arial"/>
          <w:b/>
          <w:bCs/>
          <w:sz w:val="20"/>
          <w:szCs w:val="20"/>
        </w:rPr>
      </w:pPr>
    </w:p>
    <w:p w14:paraId="0D05F8A0" w14:textId="5F009914" w:rsidR="00E56CB6" w:rsidRPr="00834973" w:rsidRDefault="006C3E85" w:rsidP="00E56CB6">
      <w:pPr>
        <w:jc w:val="both"/>
        <w:rPr>
          <w:rFonts w:ascii="Arial" w:hAnsi="Arial" w:cs="Arial"/>
          <w:b/>
          <w:bCs/>
          <w:sz w:val="22"/>
          <w:szCs w:val="22"/>
        </w:rPr>
      </w:pPr>
      <w:r w:rsidRPr="00834973">
        <w:rPr>
          <w:rFonts w:ascii="Arial" w:hAnsi="Arial" w:cs="Arial"/>
          <w:b/>
          <w:bCs/>
          <w:sz w:val="22"/>
          <w:szCs w:val="22"/>
        </w:rPr>
        <w:t>Research Instrument</w:t>
      </w:r>
    </w:p>
    <w:p w14:paraId="54F9A78C" w14:textId="77777777" w:rsidR="00AC67AB" w:rsidRDefault="00AC67AB" w:rsidP="0044055D">
      <w:pPr>
        <w:jc w:val="both"/>
        <w:rPr>
          <w:rFonts w:ascii="Arial" w:hAnsi="Arial" w:cs="Arial"/>
          <w:sz w:val="20"/>
          <w:szCs w:val="20"/>
        </w:rPr>
      </w:pPr>
      <w:r w:rsidRPr="00AC67AB">
        <w:rPr>
          <w:rFonts w:ascii="Arial" w:hAnsi="Arial" w:cs="Arial"/>
          <w:sz w:val="20"/>
          <w:szCs w:val="20"/>
        </w:rPr>
        <w:t xml:space="preserve">In this study the researcher utilized the questionnaire on the practices of public elementary school teachers on the 21st-century skills as basis for intervention by Eric H. </w:t>
      </w:r>
      <w:proofErr w:type="spellStart"/>
      <w:r w:rsidRPr="00AC67AB">
        <w:rPr>
          <w:rFonts w:ascii="Arial" w:hAnsi="Arial" w:cs="Arial"/>
          <w:sz w:val="20"/>
          <w:szCs w:val="20"/>
        </w:rPr>
        <w:t>Heretape</w:t>
      </w:r>
      <w:proofErr w:type="spellEnd"/>
      <w:r w:rsidRPr="00AC67AB">
        <w:rPr>
          <w:rFonts w:ascii="Arial" w:hAnsi="Arial" w:cs="Arial"/>
          <w:sz w:val="20"/>
          <w:szCs w:val="20"/>
        </w:rPr>
        <w:t xml:space="preserve"> a graduate student of Bukidnon State University. This is a modified survey questionnaire which used for measuring 21st century teaching and learning. This scale presents a shift from effective communication skills, learning and innovation skills, information, media and technology skills, and life and career skills. The survey questionnaire used in this </w:t>
      </w:r>
      <w:r w:rsidRPr="00AC67AB">
        <w:rPr>
          <w:rFonts w:ascii="Arial" w:hAnsi="Arial" w:cs="Arial"/>
          <w:sz w:val="20"/>
          <w:szCs w:val="20"/>
        </w:rPr>
        <w:lastRenderedPageBreak/>
        <w:t>study was revised, validated by the three experts, specifically two teachers from DepEd and one faculty from USEP-CED. Finally, this secures that the research instrument attains the purpose of the study held.</w:t>
      </w:r>
    </w:p>
    <w:p w14:paraId="78754523" w14:textId="1BD1A6D3" w:rsidR="00C626A3" w:rsidRDefault="006C3E85" w:rsidP="0044055D">
      <w:pPr>
        <w:jc w:val="both"/>
        <w:rPr>
          <w:rFonts w:ascii="Arial" w:hAnsi="Arial" w:cs="Arial"/>
          <w:sz w:val="20"/>
          <w:szCs w:val="20"/>
        </w:rPr>
      </w:pPr>
      <w:r w:rsidRPr="001B1F82">
        <w:rPr>
          <w:rFonts w:ascii="Arial" w:hAnsi="Arial" w:cs="Arial"/>
          <w:sz w:val="20"/>
          <w:szCs w:val="20"/>
        </w:rPr>
        <w:t>A sample of validation forms will be shown in the Appendix X.</w:t>
      </w:r>
      <w:r w:rsidR="00C626A3">
        <w:rPr>
          <w:rFonts w:ascii="Arial" w:hAnsi="Arial" w:cs="Arial"/>
          <w:sz w:val="20"/>
          <w:szCs w:val="20"/>
        </w:rPr>
        <w:t xml:space="preserve"> </w:t>
      </w:r>
    </w:p>
    <w:p w14:paraId="45F7FF80" w14:textId="39984C05" w:rsidR="00C626A3" w:rsidRPr="00DA36EB" w:rsidRDefault="006C3E85" w:rsidP="0044055D">
      <w:pPr>
        <w:jc w:val="both"/>
        <w:rPr>
          <w:rFonts w:ascii="Arial" w:hAnsi="Arial" w:cs="Arial"/>
          <w:b/>
          <w:bCs/>
          <w:sz w:val="20"/>
          <w:szCs w:val="20"/>
        </w:rPr>
      </w:pPr>
      <w:r w:rsidRPr="00DA36EB">
        <w:rPr>
          <w:rFonts w:ascii="Arial" w:hAnsi="Arial" w:cs="Arial"/>
          <w:b/>
          <w:bCs/>
          <w:sz w:val="20"/>
          <w:szCs w:val="20"/>
        </w:rPr>
        <w:t>Table 2. The Rating Scale for the Level of 21st Century Skills of Public Elementary teachers</w:t>
      </w:r>
    </w:p>
    <w:tbl>
      <w:tblPr>
        <w:tblStyle w:val="TableGrid"/>
        <w:tblW w:w="89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1513"/>
        <w:gridCol w:w="2851"/>
        <w:gridCol w:w="3564"/>
      </w:tblGrid>
      <w:tr w:rsidR="00C626A3" w:rsidRPr="00C626A3" w14:paraId="64C072EF" w14:textId="77777777" w:rsidTr="00DA36EB">
        <w:trPr>
          <w:trHeight w:hRule="exact" w:val="433"/>
        </w:trPr>
        <w:tc>
          <w:tcPr>
            <w:tcW w:w="997" w:type="dxa"/>
            <w:tcBorders>
              <w:top w:val="single" w:sz="4" w:space="0" w:color="auto"/>
              <w:bottom w:val="single" w:sz="4" w:space="0" w:color="auto"/>
            </w:tcBorders>
            <w:vAlign w:val="center"/>
          </w:tcPr>
          <w:p w14:paraId="042F187B"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hAnsi="Arial" w:cs="Arial"/>
                <w:b/>
                <w:sz w:val="20"/>
                <w:szCs w:val="20"/>
              </w:rPr>
              <w:t>Rating</w:t>
            </w:r>
          </w:p>
        </w:tc>
        <w:tc>
          <w:tcPr>
            <w:tcW w:w="1513" w:type="dxa"/>
            <w:tcBorders>
              <w:top w:val="single" w:sz="4" w:space="0" w:color="auto"/>
              <w:bottom w:val="single" w:sz="4" w:space="0" w:color="auto"/>
            </w:tcBorders>
            <w:vAlign w:val="center"/>
          </w:tcPr>
          <w:p w14:paraId="1DCAD2F8"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eastAsia="Times New Roman" w:hAnsi="Arial" w:cs="Arial"/>
                <w:b/>
                <w:sz w:val="20"/>
                <w:szCs w:val="20"/>
                <w:lang w:val="en-GB" w:eastAsia="en-GB"/>
              </w:rPr>
              <w:t>Range</w:t>
            </w:r>
          </w:p>
        </w:tc>
        <w:tc>
          <w:tcPr>
            <w:tcW w:w="2851" w:type="dxa"/>
            <w:tcBorders>
              <w:top w:val="single" w:sz="4" w:space="0" w:color="auto"/>
              <w:bottom w:val="single" w:sz="4" w:space="0" w:color="auto"/>
            </w:tcBorders>
            <w:vAlign w:val="center"/>
          </w:tcPr>
          <w:p w14:paraId="090C34FC"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hAnsi="Arial" w:cs="Arial"/>
                <w:b/>
                <w:sz w:val="20"/>
                <w:szCs w:val="20"/>
              </w:rPr>
              <w:t>Qualitative Description</w:t>
            </w:r>
          </w:p>
        </w:tc>
        <w:tc>
          <w:tcPr>
            <w:tcW w:w="3564" w:type="dxa"/>
            <w:tcBorders>
              <w:top w:val="single" w:sz="4" w:space="0" w:color="auto"/>
              <w:bottom w:val="single" w:sz="4" w:space="0" w:color="auto"/>
            </w:tcBorders>
            <w:vAlign w:val="center"/>
          </w:tcPr>
          <w:p w14:paraId="34596690"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eastAsia="Times New Roman" w:hAnsi="Arial" w:cs="Arial"/>
                <w:b/>
                <w:sz w:val="20"/>
                <w:szCs w:val="20"/>
                <w:lang w:val="en-GB" w:eastAsia="en-GB"/>
              </w:rPr>
              <w:t>Qualifying Statement</w:t>
            </w:r>
          </w:p>
        </w:tc>
      </w:tr>
      <w:tr w:rsidR="00C626A3" w:rsidRPr="00C626A3" w14:paraId="7F1E437C" w14:textId="77777777" w:rsidTr="00DA36EB">
        <w:trPr>
          <w:trHeight w:hRule="exact" w:val="446"/>
        </w:trPr>
        <w:tc>
          <w:tcPr>
            <w:tcW w:w="997" w:type="dxa"/>
            <w:tcBorders>
              <w:top w:val="single" w:sz="4" w:space="0" w:color="auto"/>
            </w:tcBorders>
            <w:vAlign w:val="center"/>
          </w:tcPr>
          <w:p w14:paraId="460625BF"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5</w:t>
            </w:r>
          </w:p>
        </w:tc>
        <w:tc>
          <w:tcPr>
            <w:tcW w:w="1513" w:type="dxa"/>
            <w:tcBorders>
              <w:top w:val="single" w:sz="4" w:space="0" w:color="auto"/>
            </w:tcBorders>
            <w:vAlign w:val="center"/>
          </w:tcPr>
          <w:p w14:paraId="74E2F1F1"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4.20 – 5.00</w:t>
            </w:r>
          </w:p>
        </w:tc>
        <w:tc>
          <w:tcPr>
            <w:tcW w:w="2851" w:type="dxa"/>
            <w:tcBorders>
              <w:top w:val="single" w:sz="4" w:space="0" w:color="auto"/>
            </w:tcBorders>
            <w:vAlign w:val="center"/>
          </w:tcPr>
          <w:p w14:paraId="4168976C"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Exceptional</w:t>
            </w:r>
          </w:p>
        </w:tc>
        <w:tc>
          <w:tcPr>
            <w:tcW w:w="3564" w:type="dxa"/>
            <w:tcBorders>
              <w:top w:val="single" w:sz="4" w:space="0" w:color="auto"/>
            </w:tcBorders>
            <w:vAlign w:val="center"/>
          </w:tcPr>
          <w:p w14:paraId="6485E139"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all the time</w:t>
            </w:r>
          </w:p>
        </w:tc>
      </w:tr>
      <w:tr w:rsidR="00C626A3" w:rsidRPr="00C626A3" w14:paraId="264C8870" w14:textId="77777777" w:rsidTr="00DA36EB">
        <w:trPr>
          <w:trHeight w:hRule="exact" w:val="566"/>
        </w:trPr>
        <w:tc>
          <w:tcPr>
            <w:tcW w:w="997" w:type="dxa"/>
            <w:vAlign w:val="center"/>
          </w:tcPr>
          <w:p w14:paraId="470FEEF2"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4</w:t>
            </w:r>
          </w:p>
        </w:tc>
        <w:tc>
          <w:tcPr>
            <w:tcW w:w="1513" w:type="dxa"/>
            <w:vAlign w:val="center"/>
          </w:tcPr>
          <w:p w14:paraId="494EA057"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3.40 – 4.19</w:t>
            </w:r>
          </w:p>
        </w:tc>
        <w:tc>
          <w:tcPr>
            <w:tcW w:w="2851" w:type="dxa"/>
            <w:vAlign w:val="center"/>
          </w:tcPr>
          <w:p w14:paraId="686A0F0E"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High</w:t>
            </w:r>
          </w:p>
        </w:tc>
        <w:tc>
          <w:tcPr>
            <w:tcW w:w="3564" w:type="dxa"/>
            <w:vAlign w:val="center"/>
          </w:tcPr>
          <w:p w14:paraId="47D08A0A"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most of the time</w:t>
            </w:r>
          </w:p>
        </w:tc>
      </w:tr>
      <w:tr w:rsidR="00C626A3" w:rsidRPr="00C626A3" w14:paraId="0F3056D8" w14:textId="77777777" w:rsidTr="00DA36EB">
        <w:trPr>
          <w:trHeight w:hRule="exact" w:val="560"/>
        </w:trPr>
        <w:tc>
          <w:tcPr>
            <w:tcW w:w="997" w:type="dxa"/>
            <w:vAlign w:val="center"/>
          </w:tcPr>
          <w:p w14:paraId="611AEC41"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3</w:t>
            </w:r>
          </w:p>
        </w:tc>
        <w:tc>
          <w:tcPr>
            <w:tcW w:w="1513" w:type="dxa"/>
            <w:vAlign w:val="center"/>
          </w:tcPr>
          <w:p w14:paraId="60E662F6"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2.60 – 3.39</w:t>
            </w:r>
          </w:p>
        </w:tc>
        <w:tc>
          <w:tcPr>
            <w:tcW w:w="2851" w:type="dxa"/>
            <w:vAlign w:val="center"/>
          </w:tcPr>
          <w:p w14:paraId="016F600C"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Average</w:t>
            </w:r>
          </w:p>
        </w:tc>
        <w:tc>
          <w:tcPr>
            <w:tcW w:w="3564" w:type="dxa"/>
            <w:vAlign w:val="center"/>
          </w:tcPr>
          <w:p w14:paraId="28C45652"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when necessary</w:t>
            </w:r>
          </w:p>
        </w:tc>
      </w:tr>
      <w:tr w:rsidR="00C626A3" w:rsidRPr="00C626A3" w14:paraId="285B085B" w14:textId="77777777" w:rsidTr="00DA36EB">
        <w:trPr>
          <w:trHeight w:hRule="exact" w:val="427"/>
        </w:trPr>
        <w:tc>
          <w:tcPr>
            <w:tcW w:w="997" w:type="dxa"/>
            <w:vAlign w:val="center"/>
          </w:tcPr>
          <w:p w14:paraId="4C804D49"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2</w:t>
            </w:r>
          </w:p>
        </w:tc>
        <w:tc>
          <w:tcPr>
            <w:tcW w:w="1513" w:type="dxa"/>
            <w:vAlign w:val="center"/>
          </w:tcPr>
          <w:p w14:paraId="7121BD2D" w14:textId="77777777" w:rsidR="00C626A3" w:rsidRPr="00C626A3" w:rsidRDefault="00C626A3" w:rsidP="00C626A3">
            <w:pPr>
              <w:contextualSpacing/>
              <w:jc w:val="center"/>
              <w:rPr>
                <w:rFonts w:ascii="Arial" w:eastAsia="Times New Roman" w:hAnsi="Arial" w:cs="Arial"/>
                <w:b/>
                <w:sz w:val="20"/>
                <w:szCs w:val="20"/>
                <w:lang w:val="en-GB" w:eastAsia="en-GB"/>
              </w:rPr>
            </w:pPr>
            <w:r w:rsidRPr="00C626A3">
              <w:rPr>
                <w:rFonts w:ascii="Arial" w:eastAsia="Times New Roman" w:hAnsi="Arial" w:cs="Arial"/>
                <w:sz w:val="20"/>
                <w:szCs w:val="20"/>
                <w:lang w:val="en-GB" w:eastAsia="en-GB"/>
              </w:rPr>
              <w:t>1.80 – 2.59</w:t>
            </w:r>
          </w:p>
        </w:tc>
        <w:tc>
          <w:tcPr>
            <w:tcW w:w="2851" w:type="dxa"/>
            <w:vAlign w:val="center"/>
          </w:tcPr>
          <w:p w14:paraId="36634CCD"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Low</w:t>
            </w:r>
          </w:p>
        </w:tc>
        <w:tc>
          <w:tcPr>
            <w:tcW w:w="3564" w:type="dxa"/>
            <w:vAlign w:val="center"/>
          </w:tcPr>
          <w:p w14:paraId="1A862C37"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 </w:t>
            </w:r>
            <w:r w:rsidRPr="00C626A3">
              <w:rPr>
                <w:rFonts w:ascii="Arial" w:eastAsia="Times New Roman" w:hAnsi="Arial" w:cs="Arial"/>
                <w:sz w:val="20"/>
                <w:szCs w:val="20"/>
                <w:lang w:val="en-GB" w:eastAsia="en-GB"/>
              </w:rPr>
              <w:t>Skill rarely</w:t>
            </w:r>
          </w:p>
        </w:tc>
      </w:tr>
      <w:tr w:rsidR="00C626A3" w:rsidRPr="00C626A3" w14:paraId="21D989E3" w14:textId="77777777" w:rsidTr="00DA36EB">
        <w:trPr>
          <w:trHeight w:hRule="exact" w:val="575"/>
        </w:trPr>
        <w:tc>
          <w:tcPr>
            <w:tcW w:w="997" w:type="dxa"/>
            <w:vAlign w:val="center"/>
          </w:tcPr>
          <w:p w14:paraId="475C64BF"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1</w:t>
            </w:r>
          </w:p>
        </w:tc>
        <w:tc>
          <w:tcPr>
            <w:tcW w:w="1513" w:type="dxa"/>
            <w:vAlign w:val="center"/>
          </w:tcPr>
          <w:p w14:paraId="3E91DD7C"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eastAsia="Times New Roman" w:hAnsi="Arial" w:cs="Arial"/>
                <w:sz w:val="20"/>
                <w:szCs w:val="20"/>
                <w:lang w:val="en-GB" w:eastAsia="en-GB"/>
              </w:rPr>
              <w:t>1 – 1.79</w:t>
            </w:r>
          </w:p>
        </w:tc>
        <w:tc>
          <w:tcPr>
            <w:tcW w:w="2851" w:type="dxa"/>
            <w:vAlign w:val="center"/>
          </w:tcPr>
          <w:p w14:paraId="7CEABFAD" w14:textId="77777777" w:rsidR="00C626A3" w:rsidRPr="00C626A3" w:rsidRDefault="00C626A3" w:rsidP="00C626A3">
            <w:pPr>
              <w:contextualSpacing/>
              <w:jc w:val="center"/>
              <w:rPr>
                <w:rFonts w:ascii="Arial" w:eastAsia="Times New Roman" w:hAnsi="Arial" w:cs="Arial"/>
                <w:sz w:val="20"/>
                <w:szCs w:val="20"/>
                <w:lang w:val="en-GB" w:eastAsia="en-GB"/>
              </w:rPr>
            </w:pPr>
            <w:r w:rsidRPr="00C626A3">
              <w:rPr>
                <w:rFonts w:ascii="Arial" w:hAnsi="Arial" w:cs="Arial"/>
                <w:sz w:val="20"/>
                <w:szCs w:val="20"/>
              </w:rPr>
              <w:t>Very Low</w:t>
            </w:r>
          </w:p>
        </w:tc>
        <w:tc>
          <w:tcPr>
            <w:tcW w:w="3564" w:type="dxa"/>
            <w:vAlign w:val="center"/>
          </w:tcPr>
          <w:p w14:paraId="54C843B0" w14:textId="77777777" w:rsidR="00C626A3" w:rsidRPr="00C626A3" w:rsidRDefault="00C626A3" w:rsidP="00C626A3">
            <w:pPr>
              <w:contextualSpacing/>
              <w:jc w:val="center"/>
              <w:rPr>
                <w:rFonts w:ascii="Arial" w:hAnsi="Arial" w:cs="Arial"/>
                <w:sz w:val="20"/>
                <w:szCs w:val="20"/>
              </w:rPr>
            </w:pPr>
            <w:r w:rsidRPr="00C626A3">
              <w:rPr>
                <w:rFonts w:ascii="Arial" w:hAnsi="Arial" w:cs="Arial"/>
                <w:sz w:val="20"/>
                <w:szCs w:val="20"/>
              </w:rPr>
              <w:t>Practices the 21</w:t>
            </w:r>
            <w:r w:rsidRPr="00C626A3">
              <w:rPr>
                <w:rFonts w:ascii="Arial" w:hAnsi="Arial" w:cs="Arial"/>
                <w:sz w:val="20"/>
                <w:szCs w:val="20"/>
                <w:vertAlign w:val="superscript"/>
              </w:rPr>
              <w:t>st</w:t>
            </w:r>
            <w:r w:rsidRPr="00C626A3">
              <w:rPr>
                <w:rFonts w:ascii="Arial" w:hAnsi="Arial" w:cs="Arial"/>
                <w:sz w:val="20"/>
                <w:szCs w:val="20"/>
              </w:rPr>
              <w:t xml:space="preserve"> century</w:t>
            </w:r>
            <w:r w:rsidRPr="00C626A3">
              <w:rPr>
                <w:rFonts w:ascii="Arial" w:eastAsia="Times New Roman" w:hAnsi="Arial" w:cs="Arial"/>
                <w:sz w:val="20"/>
                <w:szCs w:val="20"/>
                <w:lang w:val="en-GB" w:eastAsia="en-GB"/>
              </w:rPr>
              <w:t>Skill not at all</w:t>
            </w:r>
          </w:p>
        </w:tc>
      </w:tr>
    </w:tbl>
    <w:p w14:paraId="317D1DC8" w14:textId="089D76DC" w:rsidR="00E56CB6" w:rsidRDefault="006C3E85" w:rsidP="0044055D">
      <w:pPr>
        <w:jc w:val="both"/>
        <w:rPr>
          <w:rFonts w:ascii="Arial" w:hAnsi="Arial" w:cs="Arial"/>
          <w:sz w:val="20"/>
          <w:szCs w:val="20"/>
        </w:rPr>
      </w:pPr>
      <w:r w:rsidRPr="001B1F82">
        <w:rPr>
          <w:rFonts w:ascii="Arial" w:hAnsi="Arial" w:cs="Arial"/>
          <w:sz w:val="20"/>
          <w:szCs w:val="20"/>
        </w:rPr>
        <w:br/>
        <w:t xml:space="preserve">The level of teaching performance of Grade VI teacher was based on the DepEd Order No. 2, s 2015 Guidelines on the Establishment and Implementation of the Result-Based Performance Management System (RPMS) in the Department of Education. </w:t>
      </w:r>
    </w:p>
    <w:p w14:paraId="1BE596F6" w14:textId="77777777" w:rsidR="00AC67AB" w:rsidRDefault="00AC67AB" w:rsidP="0044055D">
      <w:pPr>
        <w:jc w:val="both"/>
        <w:rPr>
          <w:rFonts w:ascii="Arial" w:hAnsi="Arial" w:cs="Arial"/>
          <w:sz w:val="20"/>
          <w:szCs w:val="20"/>
        </w:rPr>
      </w:pPr>
    </w:p>
    <w:p w14:paraId="581F9ED6" w14:textId="4FDE26D1" w:rsidR="000808C2" w:rsidRPr="00DA36EB" w:rsidRDefault="006C3E85" w:rsidP="00E56CB6">
      <w:pPr>
        <w:jc w:val="both"/>
        <w:rPr>
          <w:rFonts w:ascii="Arial" w:hAnsi="Arial" w:cs="Arial"/>
          <w:b/>
          <w:bCs/>
          <w:sz w:val="20"/>
          <w:szCs w:val="20"/>
        </w:rPr>
      </w:pPr>
      <w:r w:rsidRPr="00DA36EB">
        <w:rPr>
          <w:rFonts w:ascii="Arial" w:hAnsi="Arial" w:cs="Arial"/>
          <w:b/>
          <w:bCs/>
          <w:sz w:val="20"/>
          <w:szCs w:val="20"/>
        </w:rPr>
        <w:t xml:space="preserve">Table </w:t>
      </w:r>
      <w:r w:rsidR="00BA2920">
        <w:rPr>
          <w:rFonts w:ascii="Arial" w:hAnsi="Arial" w:cs="Arial"/>
          <w:b/>
          <w:bCs/>
          <w:sz w:val="20"/>
          <w:szCs w:val="20"/>
        </w:rPr>
        <w:t>3</w:t>
      </w:r>
      <w:r w:rsidRPr="00DA36EB">
        <w:rPr>
          <w:rFonts w:ascii="Arial" w:hAnsi="Arial" w:cs="Arial"/>
          <w:b/>
          <w:bCs/>
          <w:sz w:val="20"/>
          <w:szCs w:val="20"/>
        </w:rPr>
        <w:t xml:space="preserve"> The Rating Scale of Individual Performance Commitment Review Form (IPCRF)</w:t>
      </w:r>
    </w:p>
    <w:tbl>
      <w:tblPr>
        <w:tblStyle w:val="TableGrid"/>
        <w:tblW w:w="9053" w:type="dxa"/>
        <w:tblBorders>
          <w:left w:val="none" w:sz="0" w:space="0" w:color="auto"/>
          <w:right w:val="none" w:sz="0" w:space="0" w:color="auto"/>
          <w:insideV w:val="none" w:sz="0" w:space="0" w:color="auto"/>
        </w:tblBorders>
        <w:tblLook w:val="04A0" w:firstRow="1" w:lastRow="0" w:firstColumn="1" w:lastColumn="0" w:noHBand="0" w:noVBand="1"/>
      </w:tblPr>
      <w:tblGrid>
        <w:gridCol w:w="1012"/>
        <w:gridCol w:w="1536"/>
        <w:gridCol w:w="2891"/>
        <w:gridCol w:w="3614"/>
      </w:tblGrid>
      <w:tr w:rsidR="00DA36EB" w:rsidRPr="00DA36EB" w14:paraId="6E8ECCB7" w14:textId="77777777" w:rsidTr="00DA36EB">
        <w:trPr>
          <w:trHeight w:hRule="exact" w:val="489"/>
        </w:trPr>
        <w:tc>
          <w:tcPr>
            <w:tcW w:w="1012" w:type="dxa"/>
            <w:tcBorders>
              <w:bottom w:val="single" w:sz="4" w:space="0" w:color="auto"/>
            </w:tcBorders>
            <w:vAlign w:val="center"/>
          </w:tcPr>
          <w:p w14:paraId="04A21551"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hAnsi="Arial" w:cs="Arial"/>
                <w:b/>
                <w:sz w:val="22"/>
                <w:szCs w:val="22"/>
              </w:rPr>
              <w:t>Rating</w:t>
            </w:r>
          </w:p>
        </w:tc>
        <w:tc>
          <w:tcPr>
            <w:tcW w:w="1536" w:type="dxa"/>
            <w:tcBorders>
              <w:bottom w:val="single" w:sz="4" w:space="0" w:color="auto"/>
            </w:tcBorders>
            <w:vAlign w:val="center"/>
          </w:tcPr>
          <w:p w14:paraId="59187295"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Range</w:t>
            </w:r>
          </w:p>
        </w:tc>
        <w:tc>
          <w:tcPr>
            <w:tcW w:w="2891" w:type="dxa"/>
            <w:tcBorders>
              <w:bottom w:val="single" w:sz="4" w:space="0" w:color="auto"/>
            </w:tcBorders>
            <w:vAlign w:val="center"/>
          </w:tcPr>
          <w:p w14:paraId="19F093C6"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hAnsi="Arial" w:cs="Arial"/>
                <w:b/>
                <w:sz w:val="22"/>
                <w:szCs w:val="22"/>
              </w:rPr>
              <w:t>Qualitative Description</w:t>
            </w:r>
          </w:p>
        </w:tc>
        <w:tc>
          <w:tcPr>
            <w:tcW w:w="3614" w:type="dxa"/>
            <w:tcBorders>
              <w:bottom w:val="single" w:sz="4" w:space="0" w:color="auto"/>
            </w:tcBorders>
            <w:vAlign w:val="center"/>
          </w:tcPr>
          <w:p w14:paraId="3D61DE02"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Qualifying Statement</w:t>
            </w:r>
          </w:p>
        </w:tc>
      </w:tr>
      <w:tr w:rsidR="00DA36EB" w:rsidRPr="00DA36EB" w14:paraId="706AC318" w14:textId="77777777" w:rsidTr="00DA36EB">
        <w:trPr>
          <w:trHeight w:val="509"/>
        </w:trPr>
        <w:tc>
          <w:tcPr>
            <w:tcW w:w="1012" w:type="dxa"/>
            <w:tcBorders>
              <w:bottom w:val="nil"/>
            </w:tcBorders>
            <w:vAlign w:val="center"/>
          </w:tcPr>
          <w:p w14:paraId="77506816"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5</w:t>
            </w:r>
          </w:p>
        </w:tc>
        <w:tc>
          <w:tcPr>
            <w:tcW w:w="1536" w:type="dxa"/>
            <w:tcBorders>
              <w:bottom w:val="nil"/>
            </w:tcBorders>
            <w:vAlign w:val="center"/>
          </w:tcPr>
          <w:p w14:paraId="62B60B80"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4.5 – 5.00</w:t>
            </w:r>
          </w:p>
        </w:tc>
        <w:tc>
          <w:tcPr>
            <w:tcW w:w="2891" w:type="dxa"/>
            <w:tcBorders>
              <w:bottom w:val="nil"/>
            </w:tcBorders>
            <w:vAlign w:val="center"/>
          </w:tcPr>
          <w:p w14:paraId="7CE422E9"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Outstanding</w:t>
            </w:r>
          </w:p>
        </w:tc>
        <w:tc>
          <w:tcPr>
            <w:tcW w:w="3614" w:type="dxa"/>
            <w:tcBorders>
              <w:bottom w:val="nil"/>
            </w:tcBorders>
            <w:vAlign w:val="center"/>
          </w:tcPr>
          <w:p w14:paraId="571C36AF"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represents an extraordinary level of achievement</w:t>
            </w:r>
          </w:p>
        </w:tc>
      </w:tr>
      <w:tr w:rsidR="00DA36EB" w:rsidRPr="00DA36EB" w14:paraId="0F5C1A35" w14:textId="77777777" w:rsidTr="00DA36EB">
        <w:trPr>
          <w:trHeight w:hRule="exact" w:val="579"/>
        </w:trPr>
        <w:tc>
          <w:tcPr>
            <w:tcW w:w="1012" w:type="dxa"/>
            <w:tcBorders>
              <w:top w:val="nil"/>
              <w:bottom w:val="nil"/>
            </w:tcBorders>
            <w:vAlign w:val="center"/>
          </w:tcPr>
          <w:p w14:paraId="4ACB62A9"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4</w:t>
            </w:r>
          </w:p>
        </w:tc>
        <w:tc>
          <w:tcPr>
            <w:tcW w:w="1536" w:type="dxa"/>
            <w:tcBorders>
              <w:top w:val="nil"/>
              <w:bottom w:val="nil"/>
            </w:tcBorders>
            <w:vAlign w:val="center"/>
          </w:tcPr>
          <w:p w14:paraId="7794B972"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3.5 – 4.49</w:t>
            </w:r>
          </w:p>
        </w:tc>
        <w:tc>
          <w:tcPr>
            <w:tcW w:w="2891" w:type="dxa"/>
            <w:tcBorders>
              <w:top w:val="nil"/>
              <w:bottom w:val="nil"/>
            </w:tcBorders>
            <w:vAlign w:val="center"/>
          </w:tcPr>
          <w:p w14:paraId="1F9B3244"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Very Satisfactory</w:t>
            </w:r>
          </w:p>
        </w:tc>
        <w:tc>
          <w:tcPr>
            <w:tcW w:w="3614" w:type="dxa"/>
            <w:tcBorders>
              <w:top w:val="nil"/>
              <w:bottom w:val="nil"/>
            </w:tcBorders>
            <w:vAlign w:val="center"/>
          </w:tcPr>
          <w:p w14:paraId="1FE42B41"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 xml:space="preserve">Performance Exceeded Expectations </w:t>
            </w:r>
          </w:p>
        </w:tc>
      </w:tr>
      <w:tr w:rsidR="00DA36EB" w:rsidRPr="00DA36EB" w14:paraId="25F9E68A" w14:textId="77777777" w:rsidTr="00DA36EB">
        <w:trPr>
          <w:trHeight w:hRule="exact" w:val="417"/>
        </w:trPr>
        <w:tc>
          <w:tcPr>
            <w:tcW w:w="1012" w:type="dxa"/>
            <w:tcBorders>
              <w:top w:val="nil"/>
              <w:bottom w:val="nil"/>
            </w:tcBorders>
            <w:vAlign w:val="center"/>
          </w:tcPr>
          <w:p w14:paraId="5B662291"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3</w:t>
            </w:r>
          </w:p>
        </w:tc>
        <w:tc>
          <w:tcPr>
            <w:tcW w:w="1536" w:type="dxa"/>
            <w:tcBorders>
              <w:top w:val="nil"/>
              <w:bottom w:val="nil"/>
            </w:tcBorders>
            <w:vAlign w:val="center"/>
          </w:tcPr>
          <w:p w14:paraId="7849012B"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2.5 – 3.49</w:t>
            </w:r>
          </w:p>
        </w:tc>
        <w:tc>
          <w:tcPr>
            <w:tcW w:w="2891" w:type="dxa"/>
            <w:tcBorders>
              <w:top w:val="nil"/>
              <w:bottom w:val="nil"/>
            </w:tcBorders>
            <w:vAlign w:val="center"/>
          </w:tcPr>
          <w:p w14:paraId="23BECF6D"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Satisfactory</w:t>
            </w:r>
          </w:p>
        </w:tc>
        <w:tc>
          <w:tcPr>
            <w:tcW w:w="3614" w:type="dxa"/>
            <w:tcBorders>
              <w:top w:val="nil"/>
              <w:bottom w:val="nil"/>
            </w:tcBorders>
            <w:vAlign w:val="center"/>
          </w:tcPr>
          <w:p w14:paraId="6A28455D"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Met Expectations</w:t>
            </w:r>
          </w:p>
        </w:tc>
      </w:tr>
      <w:tr w:rsidR="00DA36EB" w:rsidRPr="00DA36EB" w14:paraId="327C6941" w14:textId="77777777" w:rsidTr="00DA36EB">
        <w:trPr>
          <w:trHeight w:hRule="exact" w:val="578"/>
        </w:trPr>
        <w:tc>
          <w:tcPr>
            <w:tcW w:w="1012" w:type="dxa"/>
            <w:tcBorders>
              <w:top w:val="nil"/>
              <w:bottom w:val="nil"/>
            </w:tcBorders>
            <w:vAlign w:val="center"/>
          </w:tcPr>
          <w:p w14:paraId="7F0E093B"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2</w:t>
            </w:r>
          </w:p>
        </w:tc>
        <w:tc>
          <w:tcPr>
            <w:tcW w:w="1536" w:type="dxa"/>
            <w:tcBorders>
              <w:top w:val="nil"/>
              <w:bottom w:val="nil"/>
            </w:tcBorders>
            <w:vAlign w:val="center"/>
          </w:tcPr>
          <w:p w14:paraId="5885191D"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sz w:val="22"/>
                <w:szCs w:val="22"/>
                <w:lang w:val="en-GB" w:eastAsia="en-GB"/>
              </w:rPr>
              <w:t>1.5 – 2.49</w:t>
            </w:r>
          </w:p>
        </w:tc>
        <w:tc>
          <w:tcPr>
            <w:tcW w:w="2891" w:type="dxa"/>
            <w:tcBorders>
              <w:top w:val="nil"/>
              <w:bottom w:val="nil"/>
            </w:tcBorders>
            <w:vAlign w:val="center"/>
          </w:tcPr>
          <w:p w14:paraId="052150F8"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Unsatisfactory</w:t>
            </w:r>
          </w:p>
        </w:tc>
        <w:tc>
          <w:tcPr>
            <w:tcW w:w="3614" w:type="dxa"/>
            <w:tcBorders>
              <w:top w:val="nil"/>
              <w:bottom w:val="nil"/>
            </w:tcBorders>
            <w:vAlign w:val="center"/>
          </w:tcPr>
          <w:p w14:paraId="6A2BEEFE"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failed to meet Expectations</w:t>
            </w:r>
          </w:p>
        </w:tc>
      </w:tr>
      <w:tr w:rsidR="00DA36EB" w:rsidRPr="00DA36EB" w14:paraId="22881E71" w14:textId="77777777" w:rsidTr="00DA36EB">
        <w:trPr>
          <w:trHeight w:hRule="exact" w:val="558"/>
        </w:trPr>
        <w:tc>
          <w:tcPr>
            <w:tcW w:w="1012" w:type="dxa"/>
            <w:tcBorders>
              <w:top w:val="nil"/>
            </w:tcBorders>
            <w:vAlign w:val="center"/>
          </w:tcPr>
          <w:p w14:paraId="69DEBA6D"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1</w:t>
            </w:r>
          </w:p>
        </w:tc>
        <w:tc>
          <w:tcPr>
            <w:tcW w:w="1536" w:type="dxa"/>
            <w:tcBorders>
              <w:top w:val="nil"/>
            </w:tcBorders>
            <w:vAlign w:val="center"/>
          </w:tcPr>
          <w:p w14:paraId="20A2E34E"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 – 1.40</w:t>
            </w:r>
          </w:p>
        </w:tc>
        <w:tc>
          <w:tcPr>
            <w:tcW w:w="2891" w:type="dxa"/>
            <w:tcBorders>
              <w:top w:val="nil"/>
            </w:tcBorders>
            <w:vAlign w:val="center"/>
          </w:tcPr>
          <w:p w14:paraId="23F6FCE8"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hAnsi="Arial" w:cs="Arial"/>
                <w:sz w:val="22"/>
                <w:szCs w:val="22"/>
              </w:rPr>
              <w:t>Very Poor</w:t>
            </w:r>
          </w:p>
        </w:tc>
        <w:tc>
          <w:tcPr>
            <w:tcW w:w="3614" w:type="dxa"/>
            <w:tcBorders>
              <w:top w:val="nil"/>
            </w:tcBorders>
            <w:vAlign w:val="center"/>
          </w:tcPr>
          <w:p w14:paraId="55511464" w14:textId="77777777" w:rsidR="00DA36EB" w:rsidRPr="00DA36EB" w:rsidRDefault="00DA36EB" w:rsidP="004003A5">
            <w:pPr>
              <w:jc w:val="center"/>
              <w:rPr>
                <w:rFonts w:ascii="Arial" w:eastAsia="Times New Roman" w:hAnsi="Arial" w:cs="Arial"/>
                <w:sz w:val="22"/>
                <w:szCs w:val="22"/>
                <w:lang w:val="en-GB" w:eastAsia="en-GB"/>
              </w:rPr>
            </w:pPr>
            <w:r w:rsidRPr="00DA36EB">
              <w:rPr>
                <w:rFonts w:ascii="Arial" w:hAnsi="Arial" w:cs="Arial"/>
                <w:sz w:val="22"/>
                <w:szCs w:val="22"/>
              </w:rPr>
              <w:t>Performance was consistently below expectations</w:t>
            </w:r>
          </w:p>
        </w:tc>
      </w:tr>
    </w:tbl>
    <w:p w14:paraId="18BC2347" w14:textId="77777777" w:rsidR="00DA36EB" w:rsidRPr="001B1F82" w:rsidRDefault="00DA36EB" w:rsidP="00E56CB6">
      <w:pPr>
        <w:jc w:val="both"/>
        <w:rPr>
          <w:rFonts w:ascii="Arial" w:hAnsi="Arial" w:cs="Arial"/>
          <w:sz w:val="20"/>
          <w:szCs w:val="20"/>
        </w:rPr>
      </w:pPr>
    </w:p>
    <w:p w14:paraId="4294C23A" w14:textId="77777777" w:rsidR="000808C2" w:rsidRPr="00834973" w:rsidRDefault="006C3E85" w:rsidP="000808C2">
      <w:pPr>
        <w:jc w:val="both"/>
        <w:rPr>
          <w:rFonts w:ascii="Arial" w:hAnsi="Arial" w:cs="Arial"/>
          <w:sz w:val="22"/>
          <w:szCs w:val="22"/>
        </w:rPr>
      </w:pPr>
      <w:r w:rsidRPr="00834973">
        <w:rPr>
          <w:rFonts w:ascii="Arial" w:hAnsi="Arial" w:cs="Arial"/>
          <w:b/>
          <w:bCs/>
          <w:sz w:val="22"/>
          <w:szCs w:val="22"/>
        </w:rPr>
        <w:t>Data Gathering Procedure</w:t>
      </w:r>
    </w:p>
    <w:p w14:paraId="67017A65" w14:textId="77777777" w:rsidR="00E56CB6" w:rsidRDefault="006C3E85" w:rsidP="00E56CB6">
      <w:pPr>
        <w:jc w:val="both"/>
        <w:rPr>
          <w:rFonts w:ascii="Arial" w:hAnsi="Arial" w:cs="Arial"/>
          <w:sz w:val="20"/>
          <w:szCs w:val="20"/>
        </w:rPr>
      </w:pPr>
      <w:r w:rsidRPr="001B1F82">
        <w:rPr>
          <w:rFonts w:ascii="Arial" w:hAnsi="Arial" w:cs="Arial"/>
          <w:sz w:val="20"/>
          <w:szCs w:val="20"/>
        </w:rPr>
        <w:t xml:space="preserve">The data were gathered through the following procedures: </w:t>
      </w:r>
    </w:p>
    <w:p w14:paraId="4A8BB3AF" w14:textId="77777777" w:rsidR="00E56CB6" w:rsidRDefault="006C3E85" w:rsidP="00E56CB6">
      <w:pPr>
        <w:jc w:val="both"/>
        <w:rPr>
          <w:rFonts w:ascii="Arial" w:hAnsi="Arial" w:cs="Arial"/>
          <w:sz w:val="20"/>
          <w:szCs w:val="20"/>
        </w:rPr>
      </w:pPr>
      <w:r w:rsidRPr="001B1F82">
        <w:rPr>
          <w:rFonts w:ascii="Arial" w:hAnsi="Arial" w:cs="Arial"/>
          <w:sz w:val="20"/>
          <w:szCs w:val="20"/>
        </w:rPr>
        <w:t>1. A letter permission was secured from the University of Southeastern Philippines (USEP) Graduate School Office to conduct the study. After the permit was secured, an endorsement letter coming from the Dean of the Graduate school was sent to the Department of Education (DepEd) Division of Davao del Sur. Finally, an approved endorsement from the Schools Division Superintendent was received and endorsed to the District Principal In-charge (DPIC) and to the school heads of the different schools for the researcher to conduct the study.</w:t>
      </w:r>
    </w:p>
    <w:p w14:paraId="49CF4791" w14:textId="1CA03E88" w:rsidR="000808C2" w:rsidRPr="001B1F82" w:rsidRDefault="006C3E85" w:rsidP="00E56CB6">
      <w:pPr>
        <w:jc w:val="both"/>
        <w:rPr>
          <w:rFonts w:ascii="Arial" w:hAnsi="Arial" w:cs="Arial"/>
          <w:sz w:val="20"/>
          <w:szCs w:val="20"/>
        </w:rPr>
      </w:pPr>
      <w:r w:rsidRPr="001B1F82">
        <w:rPr>
          <w:rFonts w:ascii="Arial" w:hAnsi="Arial" w:cs="Arial"/>
          <w:sz w:val="20"/>
          <w:szCs w:val="20"/>
        </w:rPr>
        <w:lastRenderedPageBreak/>
        <w:t xml:space="preserve">2. The researcher administered the study to the identified respondents. Prior to the distribution of the questionnaire, the researcher gives an orientation to the Grade 6 teachers of </w:t>
      </w:r>
      <w:proofErr w:type="spellStart"/>
      <w:r w:rsidRPr="001B1F82">
        <w:rPr>
          <w:rFonts w:ascii="Arial" w:hAnsi="Arial" w:cs="Arial"/>
          <w:sz w:val="20"/>
          <w:szCs w:val="20"/>
        </w:rPr>
        <w:t>Malalag</w:t>
      </w:r>
      <w:proofErr w:type="spellEnd"/>
      <w:r w:rsidRPr="001B1F82">
        <w:rPr>
          <w:rFonts w:ascii="Arial" w:hAnsi="Arial" w:cs="Arial"/>
          <w:sz w:val="20"/>
          <w:szCs w:val="20"/>
        </w:rPr>
        <w:t xml:space="preserve"> district about answering the survey questionnaire. The researcher further emphasizes that there is no right or wrong answer in the questionnaire. After the orientation, the researcher distributed the questionnaire to the participants who answered at the same time and given enough hours to finish the survey questionnaire.</w:t>
      </w:r>
    </w:p>
    <w:p w14:paraId="1E1A2A9E" w14:textId="77777777" w:rsidR="000808C2" w:rsidRPr="001B1F82" w:rsidRDefault="006C3E85" w:rsidP="000808C2">
      <w:pPr>
        <w:jc w:val="both"/>
        <w:rPr>
          <w:rFonts w:ascii="Arial" w:hAnsi="Arial" w:cs="Arial"/>
          <w:sz w:val="20"/>
          <w:szCs w:val="20"/>
        </w:rPr>
      </w:pPr>
      <w:r w:rsidRPr="001B1F82">
        <w:rPr>
          <w:rFonts w:ascii="Arial" w:hAnsi="Arial" w:cs="Arial"/>
          <w:sz w:val="20"/>
          <w:szCs w:val="20"/>
        </w:rPr>
        <w:t xml:space="preserve">3. The researcher retrieved all the survey questionnaires with 100 percent return rate after the allotted time. </w:t>
      </w:r>
      <w:r w:rsidR="000808C2" w:rsidRPr="001B1F82">
        <w:rPr>
          <w:rFonts w:ascii="Arial" w:hAnsi="Arial" w:cs="Arial"/>
          <w:sz w:val="20"/>
          <w:szCs w:val="20"/>
        </w:rPr>
        <w:t xml:space="preserve"> </w:t>
      </w:r>
    </w:p>
    <w:p w14:paraId="7DE1FD59" w14:textId="77777777" w:rsidR="000808C2" w:rsidRPr="001B1F82" w:rsidRDefault="006C3E85" w:rsidP="000808C2">
      <w:pPr>
        <w:jc w:val="both"/>
        <w:rPr>
          <w:rFonts w:ascii="Arial" w:hAnsi="Arial" w:cs="Arial"/>
          <w:sz w:val="20"/>
          <w:szCs w:val="20"/>
        </w:rPr>
      </w:pPr>
      <w:r w:rsidRPr="001B1F82">
        <w:rPr>
          <w:rFonts w:ascii="Arial" w:hAnsi="Arial" w:cs="Arial"/>
          <w:sz w:val="20"/>
          <w:szCs w:val="20"/>
        </w:rPr>
        <w:t>4. The completed questionnaires were organized accordingly and tallied the results of the survey to be statistically analyzed.</w:t>
      </w:r>
    </w:p>
    <w:p w14:paraId="36D5266B" w14:textId="77777777" w:rsidR="00E56CB6" w:rsidRDefault="006C3E85" w:rsidP="000808C2">
      <w:pPr>
        <w:jc w:val="both"/>
        <w:rPr>
          <w:rFonts w:ascii="Arial" w:hAnsi="Arial" w:cs="Arial"/>
          <w:sz w:val="20"/>
          <w:szCs w:val="20"/>
        </w:rPr>
      </w:pPr>
      <w:r w:rsidRPr="001B1F82">
        <w:rPr>
          <w:rFonts w:ascii="Arial" w:hAnsi="Arial" w:cs="Arial"/>
          <w:sz w:val="20"/>
          <w:szCs w:val="20"/>
        </w:rPr>
        <w:t>5. After the analysis, the researcher draws conclusions.</w:t>
      </w:r>
      <w:r w:rsidR="00E56CB6">
        <w:rPr>
          <w:rFonts w:ascii="Arial" w:hAnsi="Arial" w:cs="Arial"/>
          <w:sz w:val="20"/>
          <w:szCs w:val="20"/>
        </w:rPr>
        <w:t xml:space="preserve"> </w:t>
      </w:r>
    </w:p>
    <w:p w14:paraId="3FC085B2" w14:textId="1B108D88" w:rsidR="00E56CB6" w:rsidRDefault="006C3E85" w:rsidP="0044055D">
      <w:pPr>
        <w:jc w:val="both"/>
        <w:rPr>
          <w:rFonts w:ascii="Arial" w:hAnsi="Arial" w:cs="Arial"/>
          <w:sz w:val="20"/>
          <w:szCs w:val="20"/>
        </w:rPr>
      </w:pPr>
      <w:r w:rsidRPr="001B1F82">
        <w:rPr>
          <w:rFonts w:ascii="Arial" w:hAnsi="Arial" w:cs="Arial"/>
          <w:sz w:val="20"/>
          <w:szCs w:val="20"/>
        </w:rPr>
        <w:t xml:space="preserve">During the test administration, the survey questionnaires were left in the respective sampling schools for the teachers to answer. They were given enough time to complete answering the questionnaires. After the allotted time given to the respondents to answer the questionnaires, the researcher retrieved 100 percent return rate of the questionnaires. After administering the test questionnaires, the results were tallied, tabulated, </w:t>
      </w:r>
      <w:r w:rsidR="00AC67AB" w:rsidRPr="001B1F82">
        <w:rPr>
          <w:rFonts w:ascii="Arial" w:hAnsi="Arial" w:cs="Arial"/>
          <w:sz w:val="20"/>
          <w:szCs w:val="20"/>
        </w:rPr>
        <w:t>analyzed</w:t>
      </w:r>
      <w:r w:rsidRPr="001B1F82">
        <w:rPr>
          <w:rFonts w:ascii="Arial" w:hAnsi="Arial" w:cs="Arial"/>
          <w:sz w:val="20"/>
          <w:szCs w:val="20"/>
        </w:rPr>
        <w:t xml:space="preserve"> and interpreted using the rating scale below.</w:t>
      </w:r>
    </w:p>
    <w:p w14:paraId="2605A505" w14:textId="77777777" w:rsidR="00E56CB6" w:rsidRPr="007171F9" w:rsidRDefault="006C3E85" w:rsidP="00E56CB6">
      <w:pPr>
        <w:jc w:val="both"/>
        <w:rPr>
          <w:rFonts w:ascii="Arial" w:hAnsi="Arial" w:cs="Arial"/>
          <w:b/>
          <w:bCs/>
          <w:sz w:val="20"/>
          <w:szCs w:val="20"/>
        </w:rPr>
      </w:pPr>
      <w:r w:rsidRPr="007171F9">
        <w:rPr>
          <w:rFonts w:ascii="Arial" w:hAnsi="Arial" w:cs="Arial"/>
          <w:b/>
          <w:bCs/>
          <w:sz w:val="20"/>
          <w:szCs w:val="20"/>
        </w:rPr>
        <w:t>Data Analysis</w:t>
      </w:r>
    </w:p>
    <w:p w14:paraId="6E2FCB53" w14:textId="77777777" w:rsidR="00E56CB6" w:rsidRDefault="006C3E85" w:rsidP="0044055D">
      <w:pPr>
        <w:jc w:val="both"/>
        <w:rPr>
          <w:rFonts w:ascii="Arial" w:hAnsi="Arial" w:cs="Arial"/>
          <w:sz w:val="20"/>
          <w:szCs w:val="20"/>
        </w:rPr>
      </w:pPr>
      <w:r w:rsidRPr="001B1F82">
        <w:rPr>
          <w:rFonts w:ascii="Arial" w:hAnsi="Arial" w:cs="Arial"/>
          <w:sz w:val="20"/>
          <w:szCs w:val="20"/>
        </w:rPr>
        <w:t>All the responses on the items in the questionnaire were tallied and recorded accordingly. The statistical tools utilized in this study were the following:</w:t>
      </w:r>
    </w:p>
    <w:p w14:paraId="7D57ABD8" w14:textId="77777777" w:rsidR="00E56CB6" w:rsidRDefault="006C3E85" w:rsidP="00E56CB6">
      <w:pPr>
        <w:jc w:val="both"/>
        <w:rPr>
          <w:rFonts w:ascii="Arial" w:hAnsi="Arial" w:cs="Arial"/>
          <w:sz w:val="20"/>
          <w:szCs w:val="20"/>
        </w:rPr>
      </w:pPr>
      <w:r w:rsidRPr="001B1F82">
        <w:rPr>
          <w:rFonts w:ascii="Arial" w:hAnsi="Arial" w:cs="Arial"/>
          <w:sz w:val="20"/>
          <w:szCs w:val="20"/>
        </w:rPr>
        <w:t>Mean. This was used to determine the level of the 21st century skills of public elementary teachers and their profile. This was used to answer research question number 1 and 2.</w:t>
      </w:r>
    </w:p>
    <w:p w14:paraId="1B82A7F0" w14:textId="77777777" w:rsidR="007171F9" w:rsidRDefault="006C3E85" w:rsidP="00E56CB6">
      <w:pPr>
        <w:jc w:val="both"/>
        <w:rPr>
          <w:rFonts w:ascii="Arial" w:hAnsi="Arial" w:cs="Arial"/>
          <w:sz w:val="20"/>
          <w:szCs w:val="20"/>
        </w:rPr>
      </w:pPr>
      <w:r w:rsidRPr="001B1F82">
        <w:rPr>
          <w:rFonts w:ascii="Arial" w:hAnsi="Arial" w:cs="Arial"/>
          <w:sz w:val="20"/>
          <w:szCs w:val="20"/>
        </w:rPr>
        <w:t>Pearson Product Moment Correlation. This was used to determine the relationship exists between the independent and dependent variables.</w:t>
      </w:r>
      <w:r w:rsidR="00E56CB6">
        <w:rPr>
          <w:rFonts w:ascii="Arial" w:hAnsi="Arial" w:cs="Arial"/>
          <w:sz w:val="20"/>
          <w:szCs w:val="20"/>
        </w:rPr>
        <w:t xml:space="preserve"> </w:t>
      </w:r>
    </w:p>
    <w:p w14:paraId="46BECC17" w14:textId="7BF25A64" w:rsidR="00DA36EB" w:rsidRDefault="006C3E85" w:rsidP="00E56CB6">
      <w:pPr>
        <w:jc w:val="both"/>
        <w:rPr>
          <w:rFonts w:ascii="Arial" w:hAnsi="Arial" w:cs="Arial"/>
          <w:sz w:val="20"/>
          <w:szCs w:val="20"/>
        </w:rPr>
      </w:pPr>
      <w:r w:rsidRPr="001B1F82">
        <w:rPr>
          <w:rFonts w:ascii="Arial" w:hAnsi="Arial" w:cs="Arial"/>
          <w:sz w:val="20"/>
          <w:szCs w:val="20"/>
        </w:rPr>
        <w:t>The following interpretation below was used to measure the strength of relationships between the Teachers 21st Century Skills and Pupils Academic Performance used in the study.</w:t>
      </w:r>
    </w:p>
    <w:p w14:paraId="39DBD139" w14:textId="4436D86C" w:rsidR="000808C2" w:rsidRPr="00DA36EB" w:rsidRDefault="006C3E85" w:rsidP="00E56CB6">
      <w:pPr>
        <w:jc w:val="both"/>
        <w:rPr>
          <w:rFonts w:ascii="Arial" w:hAnsi="Arial" w:cs="Arial"/>
          <w:b/>
          <w:bCs/>
          <w:sz w:val="20"/>
          <w:szCs w:val="20"/>
        </w:rPr>
      </w:pPr>
      <w:r w:rsidRPr="001B1F82">
        <w:rPr>
          <w:rFonts w:ascii="Arial" w:hAnsi="Arial" w:cs="Arial"/>
          <w:sz w:val="20"/>
          <w:szCs w:val="20"/>
        </w:rPr>
        <w:br/>
      </w:r>
      <w:r w:rsidRPr="00DA36EB">
        <w:rPr>
          <w:rFonts w:ascii="Arial" w:hAnsi="Arial" w:cs="Arial"/>
          <w:b/>
          <w:bCs/>
          <w:sz w:val="20"/>
          <w:szCs w:val="20"/>
        </w:rPr>
        <w:t xml:space="preserve">Table </w:t>
      </w:r>
      <w:r w:rsidR="004E7F94">
        <w:rPr>
          <w:rFonts w:ascii="Arial" w:hAnsi="Arial" w:cs="Arial"/>
          <w:b/>
          <w:bCs/>
          <w:sz w:val="20"/>
          <w:szCs w:val="20"/>
        </w:rPr>
        <w:t>4</w:t>
      </w:r>
      <w:r w:rsidRPr="00DA36EB">
        <w:rPr>
          <w:rFonts w:ascii="Arial" w:hAnsi="Arial" w:cs="Arial"/>
          <w:b/>
          <w:bCs/>
          <w:sz w:val="20"/>
          <w:szCs w:val="20"/>
        </w:rPr>
        <w:t>. Level of Assumptions used for the Pearson’s Correlation Test</w:t>
      </w:r>
    </w:p>
    <w:tbl>
      <w:tblPr>
        <w:tblStyle w:val="TableGrid"/>
        <w:tblW w:w="8748" w:type="dxa"/>
        <w:tblLook w:val="04A0" w:firstRow="1" w:lastRow="0" w:firstColumn="1" w:lastColumn="0" w:noHBand="0" w:noVBand="1"/>
      </w:tblPr>
      <w:tblGrid>
        <w:gridCol w:w="4338"/>
        <w:gridCol w:w="4410"/>
      </w:tblGrid>
      <w:tr w:rsidR="00DA36EB" w:rsidRPr="00DA36EB" w14:paraId="0963611B" w14:textId="77777777" w:rsidTr="004003A5">
        <w:trPr>
          <w:trHeight w:hRule="exact" w:val="403"/>
        </w:trPr>
        <w:tc>
          <w:tcPr>
            <w:tcW w:w="4338" w:type="dxa"/>
            <w:tcBorders>
              <w:left w:val="nil"/>
              <w:bottom w:val="single" w:sz="4" w:space="0" w:color="auto"/>
              <w:right w:val="nil"/>
            </w:tcBorders>
            <w:vAlign w:val="center"/>
          </w:tcPr>
          <w:p w14:paraId="0A362B5F"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Pearson r values</w:t>
            </w:r>
          </w:p>
        </w:tc>
        <w:tc>
          <w:tcPr>
            <w:tcW w:w="4410" w:type="dxa"/>
            <w:tcBorders>
              <w:left w:val="nil"/>
              <w:bottom w:val="single" w:sz="4" w:space="0" w:color="auto"/>
              <w:right w:val="nil"/>
            </w:tcBorders>
            <w:vAlign w:val="center"/>
          </w:tcPr>
          <w:p w14:paraId="5B2A85FF"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b/>
                <w:sz w:val="22"/>
                <w:szCs w:val="22"/>
                <w:lang w:val="en-GB" w:eastAsia="en-GB"/>
              </w:rPr>
              <w:t>Qualitative Description</w:t>
            </w:r>
          </w:p>
        </w:tc>
      </w:tr>
      <w:tr w:rsidR="00DA36EB" w:rsidRPr="00DA36EB" w14:paraId="2855E1F9" w14:textId="77777777" w:rsidTr="004003A5">
        <w:trPr>
          <w:trHeight w:hRule="exact" w:val="374"/>
        </w:trPr>
        <w:tc>
          <w:tcPr>
            <w:tcW w:w="4338" w:type="dxa"/>
            <w:tcBorders>
              <w:left w:val="nil"/>
              <w:bottom w:val="nil"/>
              <w:right w:val="nil"/>
            </w:tcBorders>
            <w:vAlign w:val="center"/>
          </w:tcPr>
          <w:p w14:paraId="4490F7A4"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±1</w:t>
            </w:r>
          </w:p>
        </w:tc>
        <w:tc>
          <w:tcPr>
            <w:tcW w:w="4410" w:type="dxa"/>
            <w:tcBorders>
              <w:left w:val="nil"/>
              <w:bottom w:val="nil"/>
              <w:right w:val="nil"/>
            </w:tcBorders>
            <w:vAlign w:val="center"/>
          </w:tcPr>
          <w:p w14:paraId="08791637"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Perfect</w:t>
            </w:r>
          </w:p>
        </w:tc>
      </w:tr>
      <w:tr w:rsidR="00DA36EB" w:rsidRPr="00DA36EB" w14:paraId="4AB4EC64" w14:textId="77777777" w:rsidTr="004003A5">
        <w:trPr>
          <w:trHeight w:hRule="exact" w:val="374"/>
        </w:trPr>
        <w:tc>
          <w:tcPr>
            <w:tcW w:w="4338" w:type="dxa"/>
            <w:tcBorders>
              <w:top w:val="nil"/>
              <w:left w:val="nil"/>
              <w:bottom w:val="nil"/>
              <w:right w:val="nil"/>
            </w:tcBorders>
            <w:vAlign w:val="center"/>
          </w:tcPr>
          <w:p w14:paraId="01CAC475"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±0.75 to &lt; ± 0.99</w:t>
            </w:r>
          </w:p>
        </w:tc>
        <w:tc>
          <w:tcPr>
            <w:tcW w:w="4410" w:type="dxa"/>
            <w:tcBorders>
              <w:top w:val="nil"/>
              <w:left w:val="nil"/>
              <w:bottom w:val="nil"/>
              <w:right w:val="nil"/>
            </w:tcBorders>
            <w:vAlign w:val="center"/>
          </w:tcPr>
          <w:p w14:paraId="5ADF7C6B"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Very high</w:t>
            </w:r>
          </w:p>
        </w:tc>
      </w:tr>
      <w:tr w:rsidR="00DA36EB" w:rsidRPr="00DA36EB" w14:paraId="46695B4D" w14:textId="77777777" w:rsidTr="004003A5">
        <w:trPr>
          <w:trHeight w:hRule="exact" w:val="374"/>
        </w:trPr>
        <w:tc>
          <w:tcPr>
            <w:tcW w:w="4338" w:type="dxa"/>
            <w:tcBorders>
              <w:top w:val="nil"/>
              <w:left w:val="nil"/>
              <w:bottom w:val="nil"/>
              <w:right w:val="nil"/>
            </w:tcBorders>
            <w:vAlign w:val="center"/>
          </w:tcPr>
          <w:p w14:paraId="19DD88CE"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±0.50 to &lt;±0.74</w:t>
            </w:r>
          </w:p>
        </w:tc>
        <w:tc>
          <w:tcPr>
            <w:tcW w:w="4410" w:type="dxa"/>
            <w:tcBorders>
              <w:top w:val="nil"/>
              <w:left w:val="nil"/>
              <w:bottom w:val="nil"/>
              <w:right w:val="nil"/>
            </w:tcBorders>
            <w:vAlign w:val="center"/>
          </w:tcPr>
          <w:p w14:paraId="62D5FD75" w14:textId="77777777" w:rsidR="00DA36EB" w:rsidRPr="00DA36EB" w:rsidRDefault="00DA36EB" w:rsidP="004003A5">
            <w:pPr>
              <w:spacing w:line="480" w:lineRule="auto"/>
              <w:jc w:val="center"/>
              <w:rPr>
                <w:rFonts w:ascii="Arial" w:hAnsi="Arial" w:cs="Arial"/>
                <w:sz w:val="22"/>
                <w:szCs w:val="22"/>
              </w:rPr>
            </w:pPr>
            <w:r w:rsidRPr="00DA36EB">
              <w:rPr>
                <w:rFonts w:ascii="Arial" w:hAnsi="Arial" w:cs="Arial"/>
                <w:sz w:val="22"/>
                <w:szCs w:val="22"/>
              </w:rPr>
              <w:t>Moderately high</w:t>
            </w:r>
          </w:p>
        </w:tc>
      </w:tr>
      <w:tr w:rsidR="00DA36EB" w:rsidRPr="00DA36EB" w14:paraId="711F2F81" w14:textId="77777777" w:rsidTr="004003A5">
        <w:trPr>
          <w:trHeight w:hRule="exact" w:val="374"/>
        </w:trPr>
        <w:tc>
          <w:tcPr>
            <w:tcW w:w="4338" w:type="dxa"/>
            <w:tcBorders>
              <w:top w:val="nil"/>
              <w:left w:val="nil"/>
              <w:bottom w:val="nil"/>
              <w:right w:val="nil"/>
            </w:tcBorders>
            <w:vAlign w:val="center"/>
          </w:tcPr>
          <w:p w14:paraId="52E08518" w14:textId="77777777" w:rsidR="00DA36EB" w:rsidRPr="00DA36EB" w:rsidRDefault="00DA36EB" w:rsidP="004003A5">
            <w:pPr>
              <w:spacing w:line="480" w:lineRule="auto"/>
              <w:jc w:val="center"/>
              <w:rPr>
                <w:rFonts w:ascii="Arial" w:eastAsia="Times New Roman" w:hAnsi="Arial" w:cs="Arial"/>
                <w:b/>
                <w:sz w:val="22"/>
                <w:szCs w:val="22"/>
                <w:lang w:val="en-GB" w:eastAsia="en-GB"/>
              </w:rPr>
            </w:pPr>
            <w:r w:rsidRPr="00DA36EB">
              <w:rPr>
                <w:rFonts w:ascii="Arial" w:eastAsia="Times New Roman" w:hAnsi="Arial" w:cs="Arial"/>
                <w:sz w:val="22"/>
                <w:szCs w:val="22"/>
                <w:lang w:val="en-GB" w:eastAsia="en-GB"/>
              </w:rPr>
              <w:t>±0.25 to &lt;±0.49</w:t>
            </w:r>
          </w:p>
        </w:tc>
        <w:tc>
          <w:tcPr>
            <w:tcW w:w="4410" w:type="dxa"/>
            <w:tcBorders>
              <w:top w:val="nil"/>
              <w:left w:val="nil"/>
              <w:bottom w:val="nil"/>
              <w:right w:val="nil"/>
            </w:tcBorders>
            <w:vAlign w:val="center"/>
          </w:tcPr>
          <w:p w14:paraId="0A5EC7AF"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Low</w:t>
            </w:r>
          </w:p>
        </w:tc>
      </w:tr>
      <w:tr w:rsidR="00DA36EB" w:rsidRPr="00DA36EB" w14:paraId="464EC4BD" w14:textId="77777777" w:rsidTr="004003A5">
        <w:trPr>
          <w:trHeight w:hRule="exact" w:val="374"/>
        </w:trPr>
        <w:tc>
          <w:tcPr>
            <w:tcW w:w="4338" w:type="dxa"/>
            <w:tcBorders>
              <w:top w:val="nil"/>
              <w:left w:val="nil"/>
              <w:bottom w:val="nil"/>
              <w:right w:val="nil"/>
            </w:tcBorders>
            <w:vAlign w:val="center"/>
          </w:tcPr>
          <w:p w14:paraId="546E6B23"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 to &lt;±0.24</w:t>
            </w:r>
          </w:p>
        </w:tc>
        <w:tc>
          <w:tcPr>
            <w:tcW w:w="4410" w:type="dxa"/>
            <w:tcBorders>
              <w:top w:val="nil"/>
              <w:left w:val="nil"/>
              <w:bottom w:val="nil"/>
              <w:right w:val="nil"/>
            </w:tcBorders>
            <w:vAlign w:val="center"/>
          </w:tcPr>
          <w:p w14:paraId="2B11008C"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Very low</w:t>
            </w:r>
          </w:p>
        </w:tc>
      </w:tr>
      <w:tr w:rsidR="00DA36EB" w:rsidRPr="00DA36EB" w14:paraId="40ED7FE8" w14:textId="77777777" w:rsidTr="004003A5">
        <w:trPr>
          <w:trHeight w:hRule="exact" w:val="374"/>
        </w:trPr>
        <w:tc>
          <w:tcPr>
            <w:tcW w:w="4338" w:type="dxa"/>
            <w:tcBorders>
              <w:top w:val="nil"/>
              <w:left w:val="nil"/>
              <w:right w:val="nil"/>
            </w:tcBorders>
            <w:vAlign w:val="center"/>
          </w:tcPr>
          <w:p w14:paraId="56DE643F"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0</w:t>
            </w:r>
          </w:p>
        </w:tc>
        <w:tc>
          <w:tcPr>
            <w:tcW w:w="4410" w:type="dxa"/>
            <w:tcBorders>
              <w:top w:val="nil"/>
              <w:left w:val="nil"/>
              <w:right w:val="nil"/>
            </w:tcBorders>
            <w:vAlign w:val="center"/>
          </w:tcPr>
          <w:p w14:paraId="2CB899B5" w14:textId="77777777" w:rsidR="00DA36EB" w:rsidRPr="00DA36EB" w:rsidRDefault="00DA36EB" w:rsidP="004003A5">
            <w:pPr>
              <w:spacing w:line="480" w:lineRule="auto"/>
              <w:jc w:val="center"/>
              <w:rPr>
                <w:rFonts w:ascii="Arial" w:eastAsia="Times New Roman" w:hAnsi="Arial" w:cs="Arial"/>
                <w:sz w:val="22"/>
                <w:szCs w:val="22"/>
                <w:lang w:val="en-GB" w:eastAsia="en-GB"/>
              </w:rPr>
            </w:pPr>
            <w:r w:rsidRPr="00DA36EB">
              <w:rPr>
                <w:rFonts w:ascii="Arial" w:eastAsia="Times New Roman" w:hAnsi="Arial" w:cs="Arial"/>
                <w:sz w:val="22"/>
                <w:szCs w:val="22"/>
                <w:lang w:val="en-GB" w:eastAsia="en-GB"/>
              </w:rPr>
              <w:t>No Correlation</w:t>
            </w:r>
          </w:p>
        </w:tc>
      </w:tr>
    </w:tbl>
    <w:p w14:paraId="4C0DC40F" w14:textId="77777777" w:rsidR="00E56CB6" w:rsidRPr="00834973" w:rsidRDefault="006C3E85" w:rsidP="00E56CB6">
      <w:pPr>
        <w:rPr>
          <w:rFonts w:ascii="Arial" w:hAnsi="Arial" w:cs="Arial"/>
          <w:b/>
          <w:bCs/>
          <w:sz w:val="22"/>
          <w:szCs w:val="22"/>
        </w:rPr>
      </w:pPr>
      <w:r w:rsidRPr="001B1F82">
        <w:rPr>
          <w:rFonts w:ascii="Arial" w:hAnsi="Arial" w:cs="Arial"/>
          <w:sz w:val="20"/>
          <w:szCs w:val="20"/>
        </w:rPr>
        <w:br/>
      </w:r>
      <w:r w:rsidRPr="00834973">
        <w:rPr>
          <w:rFonts w:ascii="Arial" w:hAnsi="Arial" w:cs="Arial"/>
          <w:b/>
          <w:bCs/>
          <w:sz w:val="22"/>
          <w:szCs w:val="22"/>
        </w:rPr>
        <w:t>Ethical Consideration</w:t>
      </w:r>
    </w:p>
    <w:p w14:paraId="33C35525"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The primary consideration of this investigation were the Grade 6 teachers who were the custody of ethics. They were public elementary teachers and they have important role played in the educative process. Thus, the researcher guaranteed their wellbeing, give full security and not lose their trust by adhering to moral </w:t>
      </w:r>
      <w:r w:rsidRPr="0095031B">
        <w:rPr>
          <w:rFonts w:ascii="Arial" w:hAnsi="Arial" w:cs="Arial"/>
          <w:sz w:val="20"/>
          <w:szCs w:val="20"/>
        </w:rPr>
        <w:lastRenderedPageBreak/>
        <w:t>principles in conducting this investigation. Moreover, the ethical norms stipulated in Belmont Report (1979), for example, respects for people, beneficence, and justice were strictly observed.</w:t>
      </w:r>
    </w:p>
    <w:p w14:paraId="67A6418F"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Respect for persons involves commitment of the researcher not to exploit the weakness of the research respondents. And to maintain friendship, trust, and confidence among the participants of the researcher, voluntarism was eluded. In this regard, the researcher considered the ethical standards to uphold high respect to the respondents.</w:t>
      </w:r>
    </w:p>
    <w:p w14:paraId="702DF1F9"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In implementing this study, the researcher ensured that the participation is voluntary. Refusal of the respondents to take an interest include no punishment or loss of advantages to which respondents are generally entitled. Respondents may withdraw their participation without penalty. They were not waiving any legal claims, rights or remedies because of their participation in this research study.</w:t>
      </w:r>
    </w:p>
    <w:p w14:paraId="2DA8D44B"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In addition, consent was given an emphasis in this research since it is a significant method for demonstrating respect to persons during the study. All respondent was made aware the rationale and objectives of this research endeavor including the full confidentiality of the information that they are going to convey.</w:t>
      </w:r>
    </w:p>
    <w:p w14:paraId="40E51E62"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Confidentiality towards the results and findings, as well as the safety of the respondents, all of the personal information provided under the questionnaire specifically the name is made optional to the concerned respondent. This assisted them decide to voluntarily participate in the study. The researcher also made sure that during the distribution of the questionnaire, respondents felt comfortable in answering the said instrument. Hence, due respect was given importance in the study.</w:t>
      </w:r>
    </w:p>
    <w:p w14:paraId="30CB66FA"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As adherence to RA 10173 or also known as Data Privacy Act of 2012, this study complied with its mandates to keep utmost priority the sensitive personal information such individual’s race, ethnic origin, age, color and etc., so that the person under study will be fully protected. This finished by keeping the questionnaires in the sheltered box after gathering the data which known distinctly to the researcher and statistician and by keeping the name of the respondent’s unknown and its school was given a specific code name.</w:t>
      </w:r>
    </w:p>
    <w:p w14:paraId="063A4257"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Beneficence relates to the commitment of the researcher to augment the advantages for the respondents while limiting risk. Boosting potential advantages obliges sound research plan, along these lines, requires thorough audit. The reason for this investigation were disclosed to the respondents for them to completely comprehend the significance of this study and hence, they will be shielded from any risk. The advantages from the outcomes, discourses, and discoveries from this investigation can start proof-based data which can be utilized by the DepEd for policy-debate and initiative for policy proposal in partnership and collaboration with stakeholders to assist teachers improve their quality needs.</w:t>
      </w:r>
    </w:p>
    <w:p w14:paraId="040FBBF5"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The respondents were given with most utmost consideration and assurance. If they feel discomfort during the course of the study, they may pick not to respond to questions which make them feel any psychological discomfort. They can withdraw as one of the respondents in the event that they feel that they cannot relate with the data that is asked. The researcher valued participation of the respondents and placed their welfare as her highest priority during the course of the study compensation such offering token as a sign of appreciation to the respondents were given, for example, ballpen.</w:t>
      </w:r>
    </w:p>
    <w:p w14:paraId="6AAA49E4" w14:textId="133CE6CB"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Justice pertains to treating respondents with reasonable impartial treatment in order to share equitably the burden and the benefits that can be gained from the study. In this sort of ethical consideration, two contemplations relating to equity were consented to be specific: impartial determination of the members and shirking of exploiting with assist less populaces. For fair determination of the respondents, the researcher picked the teacher based on the inclusion criteria. The irregular testing technique was carefully executed with the goal that equivalent chances were ensured to all respondents. The researcher likewise </w:t>
      </w:r>
      <w:r w:rsidRPr="0095031B">
        <w:rPr>
          <w:rFonts w:ascii="Arial" w:hAnsi="Arial" w:cs="Arial"/>
          <w:sz w:val="20"/>
          <w:szCs w:val="20"/>
        </w:rPr>
        <w:lastRenderedPageBreak/>
        <w:t>guaranteed that the respondents of the investigation can identify with the topic being contemplated. Their participation was likewise deliberated and unknown.</w:t>
      </w:r>
    </w:p>
    <w:p w14:paraId="512A280E" w14:textId="77777777" w:rsidR="0095031B" w:rsidRDefault="0095031B" w:rsidP="0095031B">
      <w:pPr>
        <w:jc w:val="both"/>
        <w:rPr>
          <w:rFonts w:ascii="Arial" w:hAnsi="Arial" w:cs="Arial"/>
          <w:sz w:val="20"/>
          <w:szCs w:val="20"/>
        </w:rPr>
      </w:pPr>
      <w:r w:rsidRPr="0095031B">
        <w:rPr>
          <w:rFonts w:ascii="Arial" w:hAnsi="Arial" w:cs="Arial"/>
          <w:sz w:val="20"/>
          <w:szCs w:val="20"/>
        </w:rPr>
        <w:t>Lastly, suitable time, security and conduciveness of the area were considered. In the case of this study, the teacher respondents were given leeway to choose the place in their school where they can comfortably complete the survey. In terms of time, researcher abide the policy of DepEd on effective engagement class time on task of the teachers so that no disruption of classes happens, thus, study was conducted during the free time of the teacher within the class day.</w:t>
      </w:r>
    </w:p>
    <w:p w14:paraId="1A7FDC4D" w14:textId="72C55820" w:rsidR="001B1F82" w:rsidRPr="000B513B" w:rsidRDefault="006C3E85" w:rsidP="000B513B">
      <w:pPr>
        <w:pStyle w:val="ListParagraph"/>
        <w:numPr>
          <w:ilvl w:val="0"/>
          <w:numId w:val="17"/>
        </w:numPr>
        <w:rPr>
          <w:rFonts w:ascii="Arial" w:hAnsi="Arial" w:cs="Arial"/>
          <w:b/>
          <w:bCs/>
          <w:sz w:val="22"/>
          <w:szCs w:val="22"/>
        </w:rPr>
      </w:pPr>
      <w:r w:rsidRPr="000B513B">
        <w:rPr>
          <w:rFonts w:ascii="Arial" w:hAnsi="Arial" w:cs="Arial"/>
          <w:b/>
          <w:bCs/>
          <w:sz w:val="22"/>
          <w:szCs w:val="22"/>
        </w:rPr>
        <w:t>RESULTS AND DISCUSSION</w:t>
      </w:r>
    </w:p>
    <w:p w14:paraId="297D233E" w14:textId="77777777" w:rsidR="001B1F82" w:rsidRPr="001B1F82" w:rsidRDefault="006C3E85" w:rsidP="0044055D">
      <w:pPr>
        <w:jc w:val="both"/>
        <w:rPr>
          <w:rFonts w:ascii="Arial" w:hAnsi="Arial" w:cs="Arial"/>
          <w:sz w:val="20"/>
          <w:szCs w:val="20"/>
        </w:rPr>
      </w:pPr>
      <w:r w:rsidRPr="001B1F82">
        <w:rPr>
          <w:rFonts w:ascii="Arial" w:hAnsi="Arial" w:cs="Arial"/>
          <w:sz w:val="20"/>
          <w:szCs w:val="20"/>
        </w:rPr>
        <w:t>In this chapter, the researcher discussed the results of the data analysis. The output is presented in a bar graph, tabular and textual form in line with the statement of the problem in the conceptual framework.</w:t>
      </w:r>
    </w:p>
    <w:p w14:paraId="722DBAF0" w14:textId="77777777" w:rsidR="001B1F82" w:rsidRDefault="006C3E85" w:rsidP="001B1F82">
      <w:pPr>
        <w:jc w:val="both"/>
        <w:rPr>
          <w:rFonts w:ascii="Arial" w:hAnsi="Arial" w:cs="Arial"/>
          <w:b/>
          <w:bCs/>
          <w:sz w:val="22"/>
          <w:szCs w:val="22"/>
        </w:rPr>
      </w:pPr>
      <w:r w:rsidRPr="000808C2">
        <w:rPr>
          <w:rFonts w:ascii="Arial" w:hAnsi="Arial" w:cs="Arial"/>
          <w:b/>
          <w:bCs/>
          <w:sz w:val="22"/>
          <w:szCs w:val="22"/>
        </w:rPr>
        <w:t>Profile of Elementary School Teachers in Public School</w:t>
      </w:r>
    </w:p>
    <w:p w14:paraId="178BE96F" w14:textId="67DF32E0" w:rsidR="001B1F82" w:rsidRDefault="006C3E85" w:rsidP="0044055D">
      <w:pPr>
        <w:jc w:val="both"/>
        <w:rPr>
          <w:rFonts w:ascii="Arial" w:hAnsi="Arial" w:cs="Arial"/>
          <w:sz w:val="20"/>
          <w:szCs w:val="20"/>
        </w:rPr>
      </w:pPr>
      <w:r w:rsidRPr="001B1F82">
        <w:rPr>
          <w:rFonts w:ascii="Arial" w:hAnsi="Arial" w:cs="Arial"/>
          <w:sz w:val="20"/>
          <w:szCs w:val="20"/>
        </w:rPr>
        <w:t xml:space="preserve">Figure </w:t>
      </w:r>
      <w:r w:rsidR="001776DD">
        <w:rPr>
          <w:rFonts w:ascii="Arial" w:hAnsi="Arial" w:cs="Arial"/>
          <w:sz w:val="20"/>
          <w:szCs w:val="20"/>
        </w:rPr>
        <w:t>1</w:t>
      </w:r>
      <w:r w:rsidRPr="001B1F82">
        <w:rPr>
          <w:rFonts w:ascii="Arial" w:hAnsi="Arial" w:cs="Arial"/>
          <w:sz w:val="20"/>
          <w:szCs w:val="20"/>
        </w:rPr>
        <w:t>-</w:t>
      </w:r>
      <w:r w:rsidR="001776DD">
        <w:rPr>
          <w:rFonts w:ascii="Arial" w:hAnsi="Arial" w:cs="Arial"/>
          <w:sz w:val="20"/>
          <w:szCs w:val="20"/>
        </w:rPr>
        <w:t>3</w:t>
      </w:r>
      <w:r w:rsidRPr="001B1F82">
        <w:rPr>
          <w:rFonts w:ascii="Arial" w:hAnsi="Arial" w:cs="Arial"/>
          <w:sz w:val="20"/>
          <w:szCs w:val="20"/>
        </w:rPr>
        <w:t xml:space="preserve">, presents the profile of elementary school teachers in public school of one of the districts in the Division of Davao del Sur. It showcases the frequency and percentage distribution of the respondents in terms of gender, age and number of years in service. </w:t>
      </w:r>
    </w:p>
    <w:p w14:paraId="3387CAEE" w14:textId="2180601D" w:rsidR="001B1F82" w:rsidRDefault="006C3E85" w:rsidP="0044055D">
      <w:pPr>
        <w:jc w:val="both"/>
        <w:rPr>
          <w:rFonts w:ascii="Arial" w:hAnsi="Arial" w:cs="Arial"/>
          <w:sz w:val="20"/>
          <w:szCs w:val="20"/>
        </w:rPr>
      </w:pPr>
      <w:r w:rsidRPr="001B1F82">
        <w:rPr>
          <w:rFonts w:ascii="Arial" w:hAnsi="Arial" w:cs="Arial"/>
          <w:sz w:val="20"/>
          <w:szCs w:val="20"/>
        </w:rPr>
        <w:t xml:space="preserve">In terms of gender, majority of the respondents were female with a frequency of thirty-three (33) or </w:t>
      </w:r>
      <w:r w:rsidR="0095031B" w:rsidRPr="001B1F82">
        <w:rPr>
          <w:rFonts w:ascii="Arial" w:hAnsi="Arial" w:cs="Arial"/>
          <w:sz w:val="20"/>
          <w:szCs w:val="20"/>
        </w:rPr>
        <w:t>eighty-two-point</w:t>
      </w:r>
      <w:r w:rsidRPr="001B1F82">
        <w:rPr>
          <w:rFonts w:ascii="Arial" w:hAnsi="Arial" w:cs="Arial"/>
          <w:sz w:val="20"/>
          <w:szCs w:val="20"/>
        </w:rPr>
        <w:t xml:space="preserve"> fifty percent (82.50%), while male respondents were seven (7) or </w:t>
      </w:r>
      <w:r w:rsidR="0095031B" w:rsidRPr="001B1F82">
        <w:rPr>
          <w:rFonts w:ascii="Arial" w:hAnsi="Arial" w:cs="Arial"/>
          <w:sz w:val="20"/>
          <w:szCs w:val="20"/>
        </w:rPr>
        <w:t>seventeen-point</w:t>
      </w:r>
      <w:r w:rsidRPr="001B1F82">
        <w:rPr>
          <w:rFonts w:ascii="Arial" w:hAnsi="Arial" w:cs="Arial"/>
          <w:sz w:val="20"/>
          <w:szCs w:val="20"/>
        </w:rPr>
        <w:t xml:space="preserve"> fifty percent (17.50%). In terms of age most of the respondents are between forty-five to forty-nine (45-49) years old and has a frequency of nine (9) and a percentage of 22.50%. In terms of years in service majority of the respondents served ten years but less than fifteen years which has a frequency of nine (9) and a percentage of 22.50%. It means that in general, the profile of the grade six teachers in the said district shows that a bigger number are female, in their middle and late forties and have been ten to fourteen years in the service.</w:t>
      </w:r>
    </w:p>
    <w:p w14:paraId="431EDE3A" w14:textId="124041C5" w:rsidR="00DA36EB" w:rsidRDefault="00DA36EB" w:rsidP="0044055D">
      <w:pPr>
        <w:jc w:val="both"/>
        <w:rPr>
          <w:rFonts w:ascii="Arial" w:hAnsi="Arial" w:cs="Arial"/>
          <w:sz w:val="20"/>
          <w:szCs w:val="20"/>
        </w:rPr>
      </w:pPr>
      <w:r w:rsidRPr="00A65839">
        <w:rPr>
          <w:noProof/>
          <w:lang w:val="en-PH" w:eastAsia="en-PH"/>
        </w:rPr>
        <w:drawing>
          <wp:anchor distT="0" distB="0" distL="114300" distR="114300" simplePos="0" relativeHeight="251662336" behindDoc="0" locked="0" layoutInCell="1" allowOverlap="1" wp14:anchorId="4627EF38" wp14:editId="05110A38">
            <wp:simplePos x="0" y="0"/>
            <wp:positionH relativeFrom="column">
              <wp:posOffset>0</wp:posOffset>
            </wp:positionH>
            <wp:positionV relativeFrom="paragraph">
              <wp:posOffset>266065</wp:posOffset>
            </wp:positionV>
            <wp:extent cx="5093970" cy="2660015"/>
            <wp:effectExtent l="0" t="0" r="11430" b="6985"/>
            <wp:wrapSquare wrapText="bothSides"/>
            <wp:docPr id="129025" name="Chart 129025">
              <a:extLst xmlns:a="http://schemas.openxmlformats.org/drawingml/2006/main">
                <a:ext uri="{FF2B5EF4-FFF2-40B4-BE49-F238E27FC236}">
                  <a16:creationId xmlns:a16="http://schemas.microsoft.com/office/drawing/2014/main" id="{BE2F4524-0E38-2A4C-9900-5CD4CDF570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5E1F01C0" w14:textId="77777777" w:rsidR="00DA36EB" w:rsidRDefault="00DA36EB" w:rsidP="001B1F82">
      <w:pPr>
        <w:jc w:val="both"/>
        <w:rPr>
          <w:rFonts w:ascii="Arial" w:hAnsi="Arial" w:cs="Arial"/>
          <w:sz w:val="20"/>
          <w:szCs w:val="20"/>
        </w:rPr>
      </w:pPr>
    </w:p>
    <w:p w14:paraId="335AD737" w14:textId="77777777" w:rsidR="00DA36EB" w:rsidRDefault="00DA36EB" w:rsidP="001B1F82">
      <w:pPr>
        <w:jc w:val="both"/>
        <w:rPr>
          <w:rFonts w:ascii="Arial" w:hAnsi="Arial" w:cs="Arial"/>
          <w:sz w:val="20"/>
          <w:szCs w:val="20"/>
        </w:rPr>
      </w:pPr>
    </w:p>
    <w:p w14:paraId="5B766030" w14:textId="77777777" w:rsidR="00DA36EB" w:rsidRDefault="00DA36EB" w:rsidP="001B1F82">
      <w:pPr>
        <w:jc w:val="both"/>
        <w:rPr>
          <w:rFonts w:ascii="Arial" w:hAnsi="Arial" w:cs="Arial"/>
          <w:sz w:val="20"/>
          <w:szCs w:val="20"/>
        </w:rPr>
      </w:pPr>
    </w:p>
    <w:p w14:paraId="4400245B" w14:textId="77777777" w:rsidR="00DA36EB" w:rsidRDefault="00DA36EB" w:rsidP="001B1F82">
      <w:pPr>
        <w:jc w:val="both"/>
        <w:rPr>
          <w:rFonts w:ascii="Arial" w:hAnsi="Arial" w:cs="Arial"/>
          <w:sz w:val="20"/>
          <w:szCs w:val="20"/>
        </w:rPr>
      </w:pPr>
    </w:p>
    <w:p w14:paraId="3D0ED76B" w14:textId="77777777" w:rsidR="00DA36EB" w:rsidRDefault="00DA36EB" w:rsidP="001B1F82">
      <w:pPr>
        <w:jc w:val="both"/>
        <w:rPr>
          <w:rFonts w:ascii="Arial" w:hAnsi="Arial" w:cs="Arial"/>
          <w:sz w:val="20"/>
          <w:szCs w:val="20"/>
        </w:rPr>
      </w:pPr>
    </w:p>
    <w:p w14:paraId="099D22EF" w14:textId="77777777" w:rsidR="00DA36EB" w:rsidRDefault="00DA36EB" w:rsidP="001B1F82">
      <w:pPr>
        <w:jc w:val="both"/>
        <w:rPr>
          <w:rFonts w:ascii="Arial" w:hAnsi="Arial" w:cs="Arial"/>
          <w:sz w:val="20"/>
          <w:szCs w:val="20"/>
        </w:rPr>
      </w:pPr>
    </w:p>
    <w:p w14:paraId="1DCF6A5E" w14:textId="77777777" w:rsidR="00DA36EB" w:rsidRDefault="00DA36EB" w:rsidP="001B1F82">
      <w:pPr>
        <w:jc w:val="both"/>
        <w:rPr>
          <w:rFonts w:ascii="Arial" w:hAnsi="Arial" w:cs="Arial"/>
          <w:sz w:val="20"/>
          <w:szCs w:val="20"/>
        </w:rPr>
      </w:pPr>
    </w:p>
    <w:p w14:paraId="1097DF59" w14:textId="77777777" w:rsidR="00DA36EB" w:rsidRDefault="00DA36EB" w:rsidP="001B1F82">
      <w:pPr>
        <w:jc w:val="both"/>
        <w:rPr>
          <w:rFonts w:ascii="Arial" w:hAnsi="Arial" w:cs="Arial"/>
          <w:sz w:val="20"/>
          <w:szCs w:val="20"/>
        </w:rPr>
      </w:pPr>
    </w:p>
    <w:p w14:paraId="583CF9DA" w14:textId="77777777" w:rsidR="00DA36EB" w:rsidRDefault="00DA36EB" w:rsidP="001B1F82">
      <w:pPr>
        <w:jc w:val="both"/>
        <w:rPr>
          <w:rFonts w:ascii="Arial" w:hAnsi="Arial" w:cs="Arial"/>
          <w:sz w:val="20"/>
          <w:szCs w:val="20"/>
        </w:rPr>
      </w:pPr>
    </w:p>
    <w:p w14:paraId="539348B1" w14:textId="77777777" w:rsidR="00DA36EB" w:rsidRDefault="00DA36EB" w:rsidP="001B1F82">
      <w:pPr>
        <w:jc w:val="both"/>
        <w:rPr>
          <w:rFonts w:ascii="Arial" w:hAnsi="Arial" w:cs="Arial"/>
          <w:sz w:val="20"/>
          <w:szCs w:val="20"/>
        </w:rPr>
      </w:pPr>
    </w:p>
    <w:p w14:paraId="7DFFFAA6" w14:textId="04803F33" w:rsidR="001B1F82" w:rsidRDefault="006C3E85" w:rsidP="001B1F82">
      <w:pPr>
        <w:jc w:val="both"/>
        <w:rPr>
          <w:rFonts w:ascii="Arial" w:hAnsi="Arial" w:cs="Arial"/>
          <w:b/>
          <w:bCs/>
          <w:sz w:val="20"/>
          <w:szCs w:val="20"/>
        </w:rPr>
      </w:pPr>
      <w:r w:rsidRPr="00DA36EB">
        <w:rPr>
          <w:rFonts w:ascii="Arial" w:hAnsi="Arial" w:cs="Arial"/>
          <w:b/>
          <w:bCs/>
          <w:sz w:val="20"/>
          <w:szCs w:val="20"/>
        </w:rPr>
        <w:t xml:space="preserve">Figure </w:t>
      </w:r>
      <w:r w:rsidR="001776DD">
        <w:rPr>
          <w:rFonts w:ascii="Arial" w:hAnsi="Arial" w:cs="Arial"/>
          <w:b/>
          <w:bCs/>
          <w:sz w:val="20"/>
          <w:szCs w:val="20"/>
        </w:rPr>
        <w:t>1</w:t>
      </w:r>
      <w:r w:rsidRPr="00DA36EB">
        <w:rPr>
          <w:rFonts w:ascii="Arial" w:hAnsi="Arial" w:cs="Arial"/>
          <w:b/>
          <w:bCs/>
          <w:sz w:val="20"/>
          <w:szCs w:val="20"/>
        </w:rPr>
        <w:t>. Profile of Elementary School Teachers in Public School in terms of</w:t>
      </w:r>
      <w:r w:rsidR="00DA36EB">
        <w:rPr>
          <w:rFonts w:ascii="Arial" w:hAnsi="Arial" w:cs="Arial"/>
          <w:b/>
          <w:bCs/>
          <w:sz w:val="20"/>
          <w:szCs w:val="20"/>
        </w:rPr>
        <w:t xml:space="preserve"> </w:t>
      </w:r>
      <w:r w:rsidRPr="00DA36EB">
        <w:rPr>
          <w:rFonts w:ascii="Arial" w:hAnsi="Arial" w:cs="Arial"/>
          <w:b/>
          <w:bCs/>
          <w:sz w:val="20"/>
          <w:szCs w:val="20"/>
        </w:rPr>
        <w:t>Gender</w:t>
      </w:r>
    </w:p>
    <w:p w14:paraId="6C70369D" w14:textId="27EC0518" w:rsidR="00DA36EB" w:rsidRPr="00DA36EB" w:rsidRDefault="00DA36EB" w:rsidP="001B1F82">
      <w:pPr>
        <w:jc w:val="both"/>
        <w:rPr>
          <w:rFonts w:ascii="Arial" w:hAnsi="Arial" w:cs="Arial"/>
          <w:b/>
          <w:bCs/>
          <w:sz w:val="20"/>
          <w:szCs w:val="20"/>
        </w:rPr>
      </w:pPr>
      <w:r>
        <w:rPr>
          <w:noProof/>
          <w:lang w:val="en-PH" w:eastAsia="en-PH"/>
        </w:rPr>
        <w:lastRenderedPageBreak/>
        <w:drawing>
          <wp:anchor distT="0" distB="0" distL="114300" distR="114300" simplePos="0" relativeHeight="251664384" behindDoc="0" locked="0" layoutInCell="1" allowOverlap="1" wp14:anchorId="248C3E77" wp14:editId="33451F6B">
            <wp:simplePos x="0" y="0"/>
            <wp:positionH relativeFrom="column">
              <wp:posOffset>0</wp:posOffset>
            </wp:positionH>
            <wp:positionV relativeFrom="paragraph">
              <wp:posOffset>272415</wp:posOffset>
            </wp:positionV>
            <wp:extent cx="5029200" cy="2764155"/>
            <wp:effectExtent l="0" t="0" r="0" b="17145"/>
            <wp:wrapSquare wrapText="bothSides"/>
            <wp:docPr id="129026" name="Chart 129026">
              <a:extLst xmlns:a="http://schemas.openxmlformats.org/drawingml/2006/main">
                <a:ext uri="{FF2B5EF4-FFF2-40B4-BE49-F238E27FC236}">
                  <a16:creationId xmlns:a16="http://schemas.microsoft.com/office/drawing/2014/main" id="{92A595B2-3D55-F24A-AAF1-229F25E33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3DBBEC1" w14:textId="77777777" w:rsidR="00DA36EB" w:rsidRDefault="00DA36EB" w:rsidP="001B1F82">
      <w:pPr>
        <w:jc w:val="both"/>
        <w:rPr>
          <w:rFonts w:ascii="Arial" w:hAnsi="Arial" w:cs="Arial"/>
          <w:sz w:val="20"/>
          <w:szCs w:val="20"/>
        </w:rPr>
      </w:pPr>
    </w:p>
    <w:p w14:paraId="60A0EA5D" w14:textId="77777777" w:rsidR="00DA36EB" w:rsidRDefault="00DA36EB" w:rsidP="001B1F82">
      <w:pPr>
        <w:jc w:val="both"/>
        <w:rPr>
          <w:rFonts w:ascii="Arial" w:hAnsi="Arial" w:cs="Arial"/>
          <w:sz w:val="20"/>
          <w:szCs w:val="20"/>
        </w:rPr>
      </w:pPr>
    </w:p>
    <w:p w14:paraId="31BAE92C" w14:textId="77777777" w:rsidR="00DA36EB" w:rsidRDefault="00DA36EB" w:rsidP="001B1F82">
      <w:pPr>
        <w:jc w:val="both"/>
        <w:rPr>
          <w:rFonts w:ascii="Arial" w:hAnsi="Arial" w:cs="Arial"/>
          <w:sz w:val="20"/>
          <w:szCs w:val="20"/>
        </w:rPr>
      </w:pPr>
    </w:p>
    <w:p w14:paraId="351EAA72" w14:textId="77777777" w:rsidR="00DA36EB" w:rsidRDefault="00DA36EB" w:rsidP="001B1F82">
      <w:pPr>
        <w:jc w:val="both"/>
        <w:rPr>
          <w:rFonts w:ascii="Arial" w:hAnsi="Arial" w:cs="Arial"/>
          <w:sz w:val="20"/>
          <w:szCs w:val="20"/>
        </w:rPr>
      </w:pPr>
    </w:p>
    <w:p w14:paraId="13ACEBCF" w14:textId="77777777" w:rsidR="00DA36EB" w:rsidRDefault="00DA36EB" w:rsidP="001B1F82">
      <w:pPr>
        <w:jc w:val="both"/>
        <w:rPr>
          <w:rFonts w:ascii="Arial" w:hAnsi="Arial" w:cs="Arial"/>
          <w:sz w:val="20"/>
          <w:szCs w:val="20"/>
        </w:rPr>
      </w:pPr>
    </w:p>
    <w:p w14:paraId="67EFA147" w14:textId="77777777" w:rsidR="00DA36EB" w:rsidRDefault="00DA36EB" w:rsidP="001B1F82">
      <w:pPr>
        <w:jc w:val="both"/>
        <w:rPr>
          <w:rFonts w:ascii="Arial" w:hAnsi="Arial" w:cs="Arial"/>
          <w:sz w:val="20"/>
          <w:szCs w:val="20"/>
        </w:rPr>
      </w:pPr>
    </w:p>
    <w:p w14:paraId="15C1CD8F" w14:textId="77777777" w:rsidR="00DA36EB" w:rsidRDefault="00DA36EB" w:rsidP="001B1F82">
      <w:pPr>
        <w:jc w:val="both"/>
        <w:rPr>
          <w:rFonts w:ascii="Arial" w:hAnsi="Arial" w:cs="Arial"/>
          <w:sz w:val="20"/>
          <w:szCs w:val="20"/>
        </w:rPr>
      </w:pPr>
    </w:p>
    <w:p w14:paraId="23849DED" w14:textId="77777777" w:rsidR="00DA36EB" w:rsidRDefault="00DA36EB" w:rsidP="001B1F82">
      <w:pPr>
        <w:jc w:val="both"/>
        <w:rPr>
          <w:rFonts w:ascii="Arial" w:hAnsi="Arial" w:cs="Arial"/>
          <w:sz w:val="20"/>
          <w:szCs w:val="20"/>
        </w:rPr>
      </w:pPr>
    </w:p>
    <w:p w14:paraId="16C4206F" w14:textId="77777777" w:rsidR="00DA36EB" w:rsidRDefault="00DA36EB" w:rsidP="001B1F82">
      <w:pPr>
        <w:jc w:val="both"/>
        <w:rPr>
          <w:rFonts w:ascii="Arial" w:hAnsi="Arial" w:cs="Arial"/>
          <w:sz w:val="20"/>
          <w:szCs w:val="20"/>
        </w:rPr>
      </w:pPr>
    </w:p>
    <w:p w14:paraId="5AB28F48" w14:textId="77777777" w:rsidR="00DA36EB" w:rsidRDefault="00DA36EB" w:rsidP="001B1F82">
      <w:pPr>
        <w:jc w:val="both"/>
        <w:rPr>
          <w:rFonts w:ascii="Arial" w:hAnsi="Arial" w:cs="Arial"/>
          <w:sz w:val="20"/>
          <w:szCs w:val="20"/>
        </w:rPr>
      </w:pPr>
    </w:p>
    <w:p w14:paraId="3238E9DC" w14:textId="77777777" w:rsidR="00DA36EB" w:rsidRDefault="00DA36EB" w:rsidP="001B1F82">
      <w:pPr>
        <w:jc w:val="both"/>
        <w:rPr>
          <w:rFonts w:ascii="Arial" w:hAnsi="Arial" w:cs="Arial"/>
          <w:sz w:val="20"/>
          <w:szCs w:val="20"/>
        </w:rPr>
      </w:pPr>
    </w:p>
    <w:p w14:paraId="2B96D574" w14:textId="2BC448EC" w:rsidR="001B1F82" w:rsidRPr="00DA36EB" w:rsidRDefault="006C3E85" w:rsidP="001B1F82">
      <w:pPr>
        <w:jc w:val="both"/>
        <w:rPr>
          <w:rFonts w:ascii="Arial" w:hAnsi="Arial" w:cs="Arial"/>
          <w:b/>
          <w:bCs/>
          <w:sz w:val="20"/>
          <w:szCs w:val="20"/>
        </w:rPr>
      </w:pPr>
      <w:r w:rsidRPr="00DA36EB">
        <w:rPr>
          <w:rFonts w:ascii="Arial" w:hAnsi="Arial" w:cs="Arial"/>
          <w:b/>
          <w:bCs/>
          <w:sz w:val="20"/>
          <w:szCs w:val="20"/>
        </w:rPr>
        <w:t xml:space="preserve">Figure </w:t>
      </w:r>
      <w:r w:rsidR="001776DD">
        <w:rPr>
          <w:rFonts w:ascii="Arial" w:hAnsi="Arial" w:cs="Arial"/>
          <w:b/>
          <w:bCs/>
          <w:sz w:val="20"/>
          <w:szCs w:val="20"/>
        </w:rPr>
        <w:t>2</w:t>
      </w:r>
      <w:r w:rsidRPr="00DA36EB">
        <w:rPr>
          <w:rFonts w:ascii="Arial" w:hAnsi="Arial" w:cs="Arial"/>
          <w:b/>
          <w:bCs/>
          <w:sz w:val="20"/>
          <w:szCs w:val="20"/>
        </w:rPr>
        <w:t>. Profile of Elementary School Teachers in Public School in terms of Age Range</w:t>
      </w:r>
    </w:p>
    <w:p w14:paraId="2068DC7C" w14:textId="77777777" w:rsidR="00DA36EB" w:rsidRDefault="00DA36EB" w:rsidP="001B1F82">
      <w:pPr>
        <w:jc w:val="both"/>
        <w:rPr>
          <w:rFonts w:ascii="Arial" w:hAnsi="Arial" w:cs="Arial"/>
          <w:sz w:val="20"/>
          <w:szCs w:val="20"/>
        </w:rPr>
      </w:pPr>
    </w:p>
    <w:p w14:paraId="1C6199AC" w14:textId="42FFB4A0" w:rsidR="00DA36EB" w:rsidRDefault="00DA36EB" w:rsidP="001B1F82">
      <w:pPr>
        <w:jc w:val="both"/>
        <w:rPr>
          <w:rFonts w:ascii="Arial" w:hAnsi="Arial" w:cs="Arial"/>
          <w:sz w:val="20"/>
          <w:szCs w:val="20"/>
        </w:rPr>
      </w:pPr>
      <w:r w:rsidRPr="00A65839">
        <w:rPr>
          <w:noProof/>
          <w:lang w:val="en-PH" w:eastAsia="en-PH"/>
        </w:rPr>
        <w:drawing>
          <wp:anchor distT="0" distB="0" distL="114300" distR="114300" simplePos="0" relativeHeight="251666432" behindDoc="0" locked="0" layoutInCell="1" allowOverlap="1" wp14:anchorId="66C13C75" wp14:editId="1E3948A5">
            <wp:simplePos x="0" y="0"/>
            <wp:positionH relativeFrom="margin">
              <wp:posOffset>0</wp:posOffset>
            </wp:positionH>
            <wp:positionV relativeFrom="paragraph">
              <wp:posOffset>273050</wp:posOffset>
            </wp:positionV>
            <wp:extent cx="5335270" cy="2721610"/>
            <wp:effectExtent l="0" t="0" r="17780" b="2540"/>
            <wp:wrapSquare wrapText="bothSides"/>
            <wp:docPr id="129028" name="Chart 129028">
              <a:extLst xmlns:a="http://schemas.openxmlformats.org/drawingml/2006/main">
                <a:ext uri="{FF2B5EF4-FFF2-40B4-BE49-F238E27FC236}">
                  <a16:creationId xmlns:a16="http://schemas.microsoft.com/office/drawing/2014/main" id="{470EA3E9-DA72-DE40-A9E5-490D73393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C7B3C3F" w14:textId="77777777" w:rsidR="00DA36EB" w:rsidRDefault="00DA36EB" w:rsidP="001B1F82">
      <w:pPr>
        <w:jc w:val="both"/>
        <w:rPr>
          <w:rFonts w:ascii="Arial" w:hAnsi="Arial" w:cs="Arial"/>
          <w:sz w:val="20"/>
          <w:szCs w:val="20"/>
        </w:rPr>
      </w:pPr>
    </w:p>
    <w:p w14:paraId="6B7A0431" w14:textId="77777777" w:rsidR="00DA36EB" w:rsidRDefault="00DA36EB" w:rsidP="001B1F82">
      <w:pPr>
        <w:jc w:val="both"/>
        <w:rPr>
          <w:rFonts w:ascii="Arial" w:hAnsi="Arial" w:cs="Arial"/>
          <w:sz w:val="20"/>
          <w:szCs w:val="20"/>
        </w:rPr>
      </w:pPr>
    </w:p>
    <w:p w14:paraId="1C2FD710" w14:textId="77777777" w:rsidR="00DA36EB" w:rsidRDefault="00DA36EB" w:rsidP="001B1F82">
      <w:pPr>
        <w:jc w:val="both"/>
        <w:rPr>
          <w:rFonts w:ascii="Arial" w:hAnsi="Arial" w:cs="Arial"/>
          <w:sz w:val="20"/>
          <w:szCs w:val="20"/>
        </w:rPr>
      </w:pPr>
    </w:p>
    <w:p w14:paraId="0A4144CC" w14:textId="77777777" w:rsidR="00DA36EB" w:rsidRDefault="00DA36EB" w:rsidP="001B1F82">
      <w:pPr>
        <w:jc w:val="both"/>
        <w:rPr>
          <w:rFonts w:ascii="Arial" w:hAnsi="Arial" w:cs="Arial"/>
          <w:sz w:val="20"/>
          <w:szCs w:val="20"/>
        </w:rPr>
      </w:pPr>
    </w:p>
    <w:p w14:paraId="61B09CF3" w14:textId="77777777" w:rsidR="00DA36EB" w:rsidRDefault="00DA36EB" w:rsidP="001B1F82">
      <w:pPr>
        <w:jc w:val="both"/>
        <w:rPr>
          <w:rFonts w:ascii="Arial" w:hAnsi="Arial" w:cs="Arial"/>
          <w:sz w:val="20"/>
          <w:szCs w:val="20"/>
        </w:rPr>
      </w:pPr>
    </w:p>
    <w:p w14:paraId="4C21044E" w14:textId="77777777" w:rsidR="00DA36EB" w:rsidRDefault="00DA36EB" w:rsidP="001B1F82">
      <w:pPr>
        <w:jc w:val="both"/>
        <w:rPr>
          <w:rFonts w:ascii="Arial" w:hAnsi="Arial" w:cs="Arial"/>
          <w:sz w:val="20"/>
          <w:szCs w:val="20"/>
        </w:rPr>
      </w:pPr>
    </w:p>
    <w:p w14:paraId="38F25AAD" w14:textId="77777777" w:rsidR="00DA36EB" w:rsidRDefault="00DA36EB" w:rsidP="001B1F82">
      <w:pPr>
        <w:jc w:val="both"/>
        <w:rPr>
          <w:rFonts w:ascii="Arial" w:hAnsi="Arial" w:cs="Arial"/>
          <w:sz w:val="20"/>
          <w:szCs w:val="20"/>
        </w:rPr>
      </w:pPr>
    </w:p>
    <w:p w14:paraId="0187132F" w14:textId="77777777" w:rsidR="00DA36EB" w:rsidRDefault="00DA36EB" w:rsidP="001B1F82">
      <w:pPr>
        <w:jc w:val="both"/>
        <w:rPr>
          <w:rFonts w:ascii="Arial" w:hAnsi="Arial" w:cs="Arial"/>
          <w:sz w:val="20"/>
          <w:szCs w:val="20"/>
        </w:rPr>
      </w:pPr>
    </w:p>
    <w:p w14:paraId="783AE808" w14:textId="77777777" w:rsidR="00DA36EB" w:rsidRDefault="00DA36EB" w:rsidP="001B1F82">
      <w:pPr>
        <w:jc w:val="both"/>
        <w:rPr>
          <w:rFonts w:ascii="Arial" w:hAnsi="Arial" w:cs="Arial"/>
          <w:sz w:val="20"/>
          <w:szCs w:val="20"/>
        </w:rPr>
      </w:pPr>
    </w:p>
    <w:p w14:paraId="2DC33F89" w14:textId="77777777" w:rsidR="00834973" w:rsidRDefault="00834973" w:rsidP="001B1F82">
      <w:pPr>
        <w:jc w:val="both"/>
        <w:rPr>
          <w:rFonts w:ascii="Arial" w:hAnsi="Arial" w:cs="Arial"/>
          <w:sz w:val="20"/>
          <w:szCs w:val="20"/>
        </w:rPr>
      </w:pPr>
    </w:p>
    <w:p w14:paraId="7E23D5BB" w14:textId="77777777" w:rsidR="00834973" w:rsidRDefault="00834973" w:rsidP="00834973">
      <w:pPr>
        <w:spacing w:line="240" w:lineRule="auto"/>
        <w:contextualSpacing/>
        <w:jc w:val="both"/>
        <w:rPr>
          <w:rFonts w:ascii="Arial" w:hAnsi="Arial" w:cs="Arial"/>
          <w:sz w:val="20"/>
          <w:szCs w:val="20"/>
        </w:rPr>
      </w:pPr>
    </w:p>
    <w:p w14:paraId="1C441306" w14:textId="097087A2" w:rsidR="00834973" w:rsidRDefault="006C3E85" w:rsidP="001B1F82">
      <w:pPr>
        <w:jc w:val="both"/>
        <w:rPr>
          <w:rFonts w:ascii="Arial" w:hAnsi="Arial" w:cs="Arial"/>
          <w:b/>
          <w:bCs/>
          <w:sz w:val="20"/>
          <w:szCs w:val="20"/>
        </w:rPr>
      </w:pPr>
      <w:bookmarkStart w:id="0" w:name="_GoBack"/>
      <w:r w:rsidRPr="00DA36EB">
        <w:rPr>
          <w:rFonts w:ascii="Arial" w:hAnsi="Arial" w:cs="Arial"/>
          <w:b/>
          <w:bCs/>
          <w:sz w:val="20"/>
          <w:szCs w:val="20"/>
        </w:rPr>
        <w:t>Fig</w:t>
      </w:r>
      <w:bookmarkEnd w:id="0"/>
      <w:r w:rsidRPr="00DA36EB">
        <w:rPr>
          <w:rFonts w:ascii="Arial" w:hAnsi="Arial" w:cs="Arial"/>
          <w:b/>
          <w:bCs/>
          <w:sz w:val="20"/>
          <w:szCs w:val="20"/>
        </w:rPr>
        <w:t xml:space="preserve">ure </w:t>
      </w:r>
      <w:r w:rsidR="001776DD">
        <w:rPr>
          <w:rFonts w:ascii="Arial" w:hAnsi="Arial" w:cs="Arial"/>
          <w:b/>
          <w:bCs/>
          <w:sz w:val="20"/>
          <w:szCs w:val="20"/>
        </w:rPr>
        <w:t>3</w:t>
      </w:r>
      <w:r w:rsidRPr="00DA36EB">
        <w:rPr>
          <w:rFonts w:ascii="Arial" w:hAnsi="Arial" w:cs="Arial"/>
          <w:b/>
          <w:bCs/>
          <w:sz w:val="20"/>
          <w:szCs w:val="20"/>
        </w:rPr>
        <w:t>. Profile of Elementary School Teachers in Public School in terms of Years of Service</w:t>
      </w:r>
    </w:p>
    <w:p w14:paraId="3D0FF811" w14:textId="77777777" w:rsidR="000B513B" w:rsidRDefault="000B513B" w:rsidP="001B1F82">
      <w:pPr>
        <w:jc w:val="both"/>
        <w:rPr>
          <w:rFonts w:ascii="Arial" w:hAnsi="Arial" w:cs="Arial"/>
          <w:b/>
          <w:bCs/>
          <w:sz w:val="20"/>
          <w:szCs w:val="20"/>
        </w:rPr>
      </w:pPr>
    </w:p>
    <w:p w14:paraId="2CFBEE6C" w14:textId="48DE893F" w:rsidR="001B1F82" w:rsidRPr="00DA36EB" w:rsidRDefault="006C3E85" w:rsidP="001B1F82">
      <w:pPr>
        <w:jc w:val="both"/>
        <w:rPr>
          <w:rFonts w:ascii="Arial" w:hAnsi="Arial" w:cs="Arial"/>
          <w:b/>
          <w:bCs/>
          <w:sz w:val="20"/>
          <w:szCs w:val="20"/>
        </w:rPr>
      </w:pPr>
      <w:r w:rsidRPr="00DA36EB">
        <w:rPr>
          <w:rFonts w:ascii="Arial" w:hAnsi="Arial" w:cs="Arial"/>
          <w:b/>
          <w:bCs/>
          <w:sz w:val="20"/>
          <w:szCs w:val="20"/>
        </w:rPr>
        <w:t>Level of 21</w:t>
      </w:r>
      <w:r w:rsidRPr="00DA36EB">
        <w:rPr>
          <w:rFonts w:ascii="Arial" w:hAnsi="Arial" w:cs="Arial"/>
          <w:b/>
          <w:bCs/>
          <w:sz w:val="20"/>
          <w:szCs w:val="20"/>
          <w:vertAlign w:val="superscript"/>
        </w:rPr>
        <w:t>st</w:t>
      </w:r>
      <w:r w:rsidR="001B1F82" w:rsidRPr="00DA36EB">
        <w:rPr>
          <w:rFonts w:ascii="Arial" w:hAnsi="Arial" w:cs="Arial"/>
          <w:b/>
          <w:bCs/>
          <w:sz w:val="20"/>
          <w:szCs w:val="20"/>
        </w:rPr>
        <w:t xml:space="preserve"> </w:t>
      </w:r>
      <w:r w:rsidRPr="00DA36EB">
        <w:rPr>
          <w:rFonts w:ascii="Arial" w:hAnsi="Arial" w:cs="Arial"/>
          <w:b/>
          <w:bCs/>
          <w:sz w:val="20"/>
          <w:szCs w:val="20"/>
        </w:rPr>
        <w:t xml:space="preserve">Century Skills of Public Elementary Teachers </w:t>
      </w:r>
    </w:p>
    <w:p w14:paraId="120C0545" w14:textId="0719856C" w:rsidR="001B1F82" w:rsidRDefault="006C3E85" w:rsidP="0044055D">
      <w:pPr>
        <w:jc w:val="both"/>
        <w:rPr>
          <w:rFonts w:ascii="Arial" w:hAnsi="Arial" w:cs="Arial"/>
          <w:sz w:val="20"/>
          <w:szCs w:val="20"/>
        </w:rPr>
      </w:pPr>
      <w:r w:rsidRPr="001B1F82">
        <w:rPr>
          <w:rFonts w:ascii="Arial" w:hAnsi="Arial" w:cs="Arial"/>
          <w:sz w:val="20"/>
          <w:szCs w:val="20"/>
        </w:rPr>
        <w:t xml:space="preserve">Teachers’ 21st century skills are presented in Table 3. as reflected in the table, the four (4) Teachers’ 21st century skills indicators were described to be High (ranging from 3.40-4.19 mean values) such as the Effective Communication Skills (4.027), Learning and Innovation Skills (3.907), Information, Media and </w:t>
      </w:r>
      <w:r w:rsidRPr="001B1F82">
        <w:rPr>
          <w:rFonts w:ascii="Arial" w:hAnsi="Arial" w:cs="Arial"/>
          <w:sz w:val="20"/>
          <w:szCs w:val="20"/>
        </w:rPr>
        <w:lastRenderedPageBreak/>
        <w:t>Technology Skills (3.927), Life and Career Skills (4.043). High Description means that the teacher practices 21st Century Skill most of the time.</w:t>
      </w:r>
    </w:p>
    <w:p w14:paraId="6CB6702F" w14:textId="2FD5A3B7" w:rsidR="00DA36EB" w:rsidRDefault="006C3E85" w:rsidP="0044055D">
      <w:pPr>
        <w:jc w:val="both"/>
        <w:rPr>
          <w:rFonts w:ascii="Arial" w:hAnsi="Arial" w:cs="Arial"/>
          <w:sz w:val="20"/>
          <w:szCs w:val="20"/>
        </w:rPr>
      </w:pPr>
      <w:r w:rsidRPr="001B1F82">
        <w:rPr>
          <w:rFonts w:ascii="Arial" w:hAnsi="Arial" w:cs="Arial"/>
          <w:sz w:val="20"/>
          <w:szCs w:val="20"/>
        </w:rPr>
        <w:t xml:space="preserve">As shown in the result, the level of effective communication skills by the teachers in one of the districts in the Division of Davao del Sur was described as high or practiced most of the time. This means that teachers </w:t>
      </w:r>
      <w:r w:rsidR="001B1F82" w:rsidRPr="001B1F82">
        <w:rPr>
          <w:rFonts w:ascii="Arial" w:hAnsi="Arial" w:cs="Arial"/>
          <w:sz w:val="20"/>
          <w:szCs w:val="20"/>
        </w:rPr>
        <w:t>exhibit</w:t>
      </w:r>
      <w:r w:rsidRPr="001B1F82">
        <w:rPr>
          <w:rFonts w:ascii="Arial" w:hAnsi="Arial" w:cs="Arial"/>
          <w:sz w:val="20"/>
          <w:szCs w:val="20"/>
        </w:rPr>
        <w:t xml:space="preserve"> effective communication skills as they teach their students inside the classroom and even outside the classroom. Findings of this study found some agreement on the results of the research of </w:t>
      </w:r>
      <w:proofErr w:type="spellStart"/>
      <w:r w:rsidRPr="001B1F82">
        <w:rPr>
          <w:rFonts w:ascii="Arial" w:hAnsi="Arial" w:cs="Arial"/>
          <w:sz w:val="20"/>
          <w:szCs w:val="20"/>
        </w:rPr>
        <w:t>Raptou</w:t>
      </w:r>
      <w:proofErr w:type="spellEnd"/>
      <w:r w:rsidRPr="001B1F82">
        <w:rPr>
          <w:rFonts w:ascii="Arial" w:hAnsi="Arial" w:cs="Arial"/>
          <w:sz w:val="20"/>
          <w:szCs w:val="20"/>
        </w:rPr>
        <w:t xml:space="preserve">, Stamatis and </w:t>
      </w:r>
      <w:proofErr w:type="spellStart"/>
      <w:r w:rsidRPr="001B1F82">
        <w:rPr>
          <w:rFonts w:ascii="Arial" w:hAnsi="Arial" w:cs="Arial"/>
          <w:sz w:val="20"/>
          <w:szCs w:val="20"/>
        </w:rPr>
        <w:t>Raptis</w:t>
      </w:r>
      <w:proofErr w:type="spellEnd"/>
      <w:r w:rsidRPr="001B1F82">
        <w:rPr>
          <w:rFonts w:ascii="Arial" w:hAnsi="Arial" w:cs="Arial"/>
          <w:sz w:val="20"/>
          <w:szCs w:val="20"/>
        </w:rPr>
        <w:t xml:space="preserve"> (2017) about Communication as an Educational Skill in School Units of the 21st Century showed that teachers recognize to themselves very good communication skills, including advocate active listening, collaboration development ability and empathy. One key finding of Jacobson-Lundeberg (2016) on her study Pedagogical Implementation of 21st Century Skills was that communication is a gateway skill to other 21st century skills. Communication skills lead into the more sophisticated, complicated soft skills of critical thinking, problem solving, stress management, and risk taking.</w:t>
      </w:r>
    </w:p>
    <w:p w14:paraId="05659E29" w14:textId="6546E973" w:rsidR="001B1F82" w:rsidRPr="00DA36EB" w:rsidRDefault="006C3E85" w:rsidP="0044055D">
      <w:pPr>
        <w:jc w:val="both"/>
        <w:rPr>
          <w:rFonts w:ascii="Arial" w:hAnsi="Arial" w:cs="Arial"/>
          <w:b/>
          <w:bCs/>
          <w:sz w:val="20"/>
          <w:szCs w:val="20"/>
        </w:rPr>
      </w:pPr>
      <w:r w:rsidRPr="00DA36EB">
        <w:rPr>
          <w:rFonts w:ascii="Arial" w:hAnsi="Arial" w:cs="Arial"/>
          <w:b/>
          <w:bCs/>
          <w:sz w:val="20"/>
          <w:szCs w:val="20"/>
        </w:rPr>
        <w:t xml:space="preserve">Table </w:t>
      </w:r>
      <w:r w:rsidR="004E7F94">
        <w:rPr>
          <w:rFonts w:ascii="Arial" w:hAnsi="Arial" w:cs="Arial"/>
          <w:b/>
          <w:bCs/>
          <w:sz w:val="20"/>
          <w:szCs w:val="20"/>
        </w:rPr>
        <w:t>5</w:t>
      </w:r>
      <w:r w:rsidRPr="00DA36EB">
        <w:rPr>
          <w:rFonts w:ascii="Arial" w:hAnsi="Arial" w:cs="Arial"/>
          <w:b/>
          <w:bCs/>
          <w:sz w:val="20"/>
          <w:szCs w:val="20"/>
        </w:rPr>
        <w:t xml:space="preserve"> Level of 21st Century Skills of Public Elementary Teachers </w:t>
      </w:r>
    </w:p>
    <w:tbl>
      <w:tblPr>
        <w:tblStyle w:val="TableGrid"/>
        <w:tblW w:w="864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900"/>
        <w:gridCol w:w="1440"/>
        <w:gridCol w:w="1620"/>
        <w:gridCol w:w="2520"/>
      </w:tblGrid>
      <w:tr w:rsidR="00DA36EB" w:rsidRPr="00DA36EB" w14:paraId="3A9A8620" w14:textId="77777777" w:rsidTr="004003A5">
        <w:trPr>
          <w:trHeight w:val="602"/>
        </w:trPr>
        <w:tc>
          <w:tcPr>
            <w:tcW w:w="2160" w:type="dxa"/>
            <w:tcBorders>
              <w:top w:val="single" w:sz="4" w:space="0" w:color="auto"/>
              <w:left w:val="nil"/>
              <w:bottom w:val="single" w:sz="4" w:space="0" w:color="auto"/>
              <w:right w:val="nil"/>
            </w:tcBorders>
          </w:tcPr>
          <w:p w14:paraId="5838DEE6"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21st Century Skills</w:t>
            </w:r>
          </w:p>
        </w:tc>
        <w:tc>
          <w:tcPr>
            <w:tcW w:w="900" w:type="dxa"/>
            <w:tcBorders>
              <w:top w:val="single" w:sz="4" w:space="0" w:color="auto"/>
              <w:left w:val="nil"/>
              <w:bottom w:val="single" w:sz="4" w:space="0" w:color="auto"/>
              <w:right w:val="nil"/>
            </w:tcBorders>
          </w:tcPr>
          <w:p w14:paraId="18CC06FB"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Mean</w:t>
            </w:r>
          </w:p>
        </w:tc>
        <w:tc>
          <w:tcPr>
            <w:tcW w:w="1440" w:type="dxa"/>
            <w:tcBorders>
              <w:top w:val="single" w:sz="4" w:space="0" w:color="auto"/>
              <w:left w:val="nil"/>
              <w:bottom w:val="single" w:sz="4" w:space="0" w:color="auto"/>
              <w:right w:val="nil"/>
            </w:tcBorders>
          </w:tcPr>
          <w:p w14:paraId="66349476"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Standard</w:t>
            </w:r>
          </w:p>
          <w:p w14:paraId="0A306570"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Deviation</w:t>
            </w:r>
          </w:p>
        </w:tc>
        <w:tc>
          <w:tcPr>
            <w:tcW w:w="1620" w:type="dxa"/>
            <w:tcBorders>
              <w:top w:val="single" w:sz="4" w:space="0" w:color="auto"/>
              <w:left w:val="nil"/>
              <w:bottom w:val="single" w:sz="4" w:space="0" w:color="auto"/>
              <w:right w:val="nil"/>
            </w:tcBorders>
          </w:tcPr>
          <w:p w14:paraId="7DB022BF"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Description</w:t>
            </w:r>
          </w:p>
        </w:tc>
        <w:tc>
          <w:tcPr>
            <w:tcW w:w="2520" w:type="dxa"/>
            <w:tcBorders>
              <w:top w:val="single" w:sz="4" w:space="0" w:color="auto"/>
              <w:left w:val="nil"/>
              <w:bottom w:val="single" w:sz="4" w:space="0" w:color="auto"/>
              <w:right w:val="nil"/>
            </w:tcBorders>
          </w:tcPr>
          <w:p w14:paraId="6931E7E7" w14:textId="77777777" w:rsidR="00DA36EB" w:rsidRPr="00834973" w:rsidRDefault="00DA36EB" w:rsidP="004003A5">
            <w:pPr>
              <w:spacing w:line="480" w:lineRule="auto"/>
              <w:jc w:val="center"/>
              <w:rPr>
                <w:rFonts w:ascii="Arial" w:hAnsi="Arial" w:cs="Arial"/>
                <w:b/>
                <w:sz w:val="20"/>
                <w:szCs w:val="20"/>
              </w:rPr>
            </w:pPr>
            <w:r w:rsidRPr="00834973">
              <w:rPr>
                <w:rFonts w:ascii="Arial" w:hAnsi="Arial" w:cs="Arial"/>
                <w:b/>
                <w:sz w:val="20"/>
                <w:szCs w:val="20"/>
              </w:rPr>
              <w:t>Interpretation</w:t>
            </w:r>
          </w:p>
        </w:tc>
      </w:tr>
      <w:tr w:rsidR="00DA36EB" w:rsidRPr="00DA36EB" w14:paraId="24FAF907" w14:textId="77777777" w:rsidTr="00834973">
        <w:trPr>
          <w:trHeight w:val="512"/>
        </w:trPr>
        <w:tc>
          <w:tcPr>
            <w:tcW w:w="2160" w:type="dxa"/>
            <w:tcBorders>
              <w:top w:val="single" w:sz="4" w:space="0" w:color="auto"/>
              <w:left w:val="nil"/>
              <w:bottom w:val="nil"/>
              <w:right w:val="nil"/>
            </w:tcBorders>
            <w:vAlign w:val="center"/>
          </w:tcPr>
          <w:p w14:paraId="5518411B" w14:textId="0021530D" w:rsidR="00DA36EB" w:rsidRPr="00834973" w:rsidRDefault="0095031B" w:rsidP="004003A5">
            <w:pPr>
              <w:jc w:val="center"/>
              <w:rPr>
                <w:rFonts w:ascii="Arial" w:hAnsi="Arial" w:cs="Arial"/>
                <w:sz w:val="20"/>
                <w:szCs w:val="20"/>
              </w:rPr>
            </w:pPr>
            <w:r w:rsidRPr="00834973">
              <w:rPr>
                <w:rFonts w:ascii="Arial" w:hAnsi="Arial" w:cs="Arial"/>
                <w:sz w:val="20"/>
                <w:szCs w:val="20"/>
              </w:rPr>
              <w:t>Effective Communication Skills</w:t>
            </w:r>
          </w:p>
        </w:tc>
        <w:tc>
          <w:tcPr>
            <w:tcW w:w="900" w:type="dxa"/>
            <w:tcBorders>
              <w:top w:val="single" w:sz="4" w:space="0" w:color="auto"/>
              <w:left w:val="nil"/>
              <w:bottom w:val="nil"/>
              <w:right w:val="nil"/>
            </w:tcBorders>
            <w:vAlign w:val="center"/>
          </w:tcPr>
          <w:p w14:paraId="1E868D97"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4.027</w:t>
            </w:r>
          </w:p>
        </w:tc>
        <w:tc>
          <w:tcPr>
            <w:tcW w:w="1440" w:type="dxa"/>
            <w:tcBorders>
              <w:top w:val="single" w:sz="4" w:space="0" w:color="auto"/>
              <w:left w:val="nil"/>
              <w:bottom w:val="nil"/>
              <w:right w:val="nil"/>
            </w:tcBorders>
            <w:vAlign w:val="center"/>
          </w:tcPr>
          <w:p w14:paraId="2AF29919"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 xml:space="preserve">0.554 </w:t>
            </w:r>
          </w:p>
        </w:tc>
        <w:tc>
          <w:tcPr>
            <w:tcW w:w="1620" w:type="dxa"/>
            <w:tcBorders>
              <w:top w:val="single" w:sz="4" w:space="0" w:color="auto"/>
              <w:left w:val="nil"/>
              <w:bottom w:val="nil"/>
              <w:right w:val="nil"/>
            </w:tcBorders>
            <w:vAlign w:val="center"/>
          </w:tcPr>
          <w:p w14:paraId="37E8133F"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single" w:sz="4" w:space="0" w:color="auto"/>
              <w:left w:val="nil"/>
              <w:bottom w:val="nil"/>
              <w:right w:val="nil"/>
            </w:tcBorders>
            <w:vAlign w:val="center"/>
          </w:tcPr>
          <w:p w14:paraId="5D373672"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2A309619"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23303E52" w14:textId="77777777" w:rsidTr="00834973">
        <w:trPr>
          <w:trHeight w:val="675"/>
        </w:trPr>
        <w:tc>
          <w:tcPr>
            <w:tcW w:w="2160" w:type="dxa"/>
            <w:tcBorders>
              <w:top w:val="nil"/>
              <w:left w:val="nil"/>
              <w:bottom w:val="nil"/>
              <w:right w:val="nil"/>
            </w:tcBorders>
            <w:vAlign w:val="center"/>
          </w:tcPr>
          <w:p w14:paraId="4B304102"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Learning and Innovation Skills</w:t>
            </w:r>
          </w:p>
        </w:tc>
        <w:tc>
          <w:tcPr>
            <w:tcW w:w="900" w:type="dxa"/>
            <w:tcBorders>
              <w:top w:val="nil"/>
              <w:left w:val="nil"/>
              <w:bottom w:val="nil"/>
              <w:right w:val="nil"/>
            </w:tcBorders>
            <w:vAlign w:val="center"/>
          </w:tcPr>
          <w:p w14:paraId="153ABDC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3.907</w:t>
            </w:r>
          </w:p>
        </w:tc>
        <w:tc>
          <w:tcPr>
            <w:tcW w:w="1440" w:type="dxa"/>
            <w:tcBorders>
              <w:top w:val="nil"/>
              <w:left w:val="nil"/>
              <w:bottom w:val="nil"/>
              <w:right w:val="nil"/>
            </w:tcBorders>
            <w:vAlign w:val="center"/>
          </w:tcPr>
          <w:p w14:paraId="09900D4F"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0.480</w:t>
            </w:r>
          </w:p>
        </w:tc>
        <w:tc>
          <w:tcPr>
            <w:tcW w:w="1620" w:type="dxa"/>
            <w:tcBorders>
              <w:top w:val="nil"/>
              <w:left w:val="nil"/>
              <w:bottom w:val="nil"/>
              <w:right w:val="nil"/>
            </w:tcBorders>
            <w:vAlign w:val="center"/>
          </w:tcPr>
          <w:p w14:paraId="765B4D23"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nil"/>
              <w:right w:val="nil"/>
            </w:tcBorders>
            <w:vAlign w:val="center"/>
          </w:tcPr>
          <w:p w14:paraId="27AB35D2"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6E3C87B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02C13339" w14:textId="77777777" w:rsidTr="00834973">
        <w:trPr>
          <w:trHeight w:val="543"/>
        </w:trPr>
        <w:tc>
          <w:tcPr>
            <w:tcW w:w="2160" w:type="dxa"/>
            <w:tcBorders>
              <w:top w:val="nil"/>
              <w:left w:val="nil"/>
              <w:bottom w:val="nil"/>
              <w:right w:val="nil"/>
            </w:tcBorders>
            <w:vAlign w:val="center"/>
          </w:tcPr>
          <w:p w14:paraId="0CD38F8E"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Information, Media and Technology Skills</w:t>
            </w:r>
          </w:p>
        </w:tc>
        <w:tc>
          <w:tcPr>
            <w:tcW w:w="900" w:type="dxa"/>
            <w:tcBorders>
              <w:top w:val="nil"/>
              <w:left w:val="nil"/>
              <w:bottom w:val="nil"/>
              <w:right w:val="nil"/>
            </w:tcBorders>
            <w:vAlign w:val="center"/>
          </w:tcPr>
          <w:p w14:paraId="2B37042B"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3.927</w:t>
            </w:r>
          </w:p>
        </w:tc>
        <w:tc>
          <w:tcPr>
            <w:tcW w:w="1440" w:type="dxa"/>
            <w:tcBorders>
              <w:top w:val="nil"/>
              <w:left w:val="nil"/>
              <w:bottom w:val="nil"/>
              <w:right w:val="nil"/>
            </w:tcBorders>
            <w:vAlign w:val="center"/>
          </w:tcPr>
          <w:p w14:paraId="78A7A754"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0.505</w:t>
            </w:r>
          </w:p>
        </w:tc>
        <w:tc>
          <w:tcPr>
            <w:tcW w:w="1620" w:type="dxa"/>
            <w:tcBorders>
              <w:top w:val="nil"/>
              <w:left w:val="nil"/>
              <w:bottom w:val="nil"/>
              <w:right w:val="nil"/>
            </w:tcBorders>
            <w:vAlign w:val="center"/>
          </w:tcPr>
          <w:p w14:paraId="52CB4D2E"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nil"/>
              <w:right w:val="nil"/>
            </w:tcBorders>
            <w:vAlign w:val="center"/>
          </w:tcPr>
          <w:p w14:paraId="5C5CCDBA"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6F4D479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30E2C02A" w14:textId="77777777" w:rsidTr="00834973">
        <w:trPr>
          <w:trHeight w:val="708"/>
        </w:trPr>
        <w:tc>
          <w:tcPr>
            <w:tcW w:w="2160" w:type="dxa"/>
            <w:tcBorders>
              <w:top w:val="nil"/>
              <w:left w:val="nil"/>
              <w:bottom w:val="nil"/>
              <w:right w:val="nil"/>
            </w:tcBorders>
            <w:vAlign w:val="center"/>
          </w:tcPr>
          <w:p w14:paraId="48D6B573"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Life and Career Skills</w:t>
            </w:r>
          </w:p>
        </w:tc>
        <w:tc>
          <w:tcPr>
            <w:tcW w:w="900" w:type="dxa"/>
            <w:tcBorders>
              <w:top w:val="nil"/>
              <w:left w:val="nil"/>
              <w:bottom w:val="nil"/>
              <w:right w:val="nil"/>
            </w:tcBorders>
            <w:vAlign w:val="center"/>
          </w:tcPr>
          <w:p w14:paraId="6FFBC8E7"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4.043</w:t>
            </w:r>
          </w:p>
        </w:tc>
        <w:tc>
          <w:tcPr>
            <w:tcW w:w="1440" w:type="dxa"/>
            <w:tcBorders>
              <w:top w:val="nil"/>
              <w:left w:val="nil"/>
              <w:bottom w:val="nil"/>
              <w:right w:val="nil"/>
            </w:tcBorders>
            <w:vAlign w:val="center"/>
          </w:tcPr>
          <w:p w14:paraId="29574BBE"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0.550</w:t>
            </w:r>
          </w:p>
        </w:tc>
        <w:tc>
          <w:tcPr>
            <w:tcW w:w="1620" w:type="dxa"/>
            <w:tcBorders>
              <w:top w:val="nil"/>
              <w:left w:val="nil"/>
              <w:bottom w:val="nil"/>
              <w:right w:val="nil"/>
            </w:tcBorders>
            <w:vAlign w:val="center"/>
          </w:tcPr>
          <w:p w14:paraId="15017B63"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nil"/>
              <w:right w:val="nil"/>
            </w:tcBorders>
            <w:vAlign w:val="center"/>
          </w:tcPr>
          <w:p w14:paraId="74E743C0"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671F2531"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r w:rsidR="00DA36EB" w:rsidRPr="00DA36EB" w14:paraId="68D8448F" w14:textId="77777777" w:rsidTr="004003A5">
        <w:tc>
          <w:tcPr>
            <w:tcW w:w="2160" w:type="dxa"/>
            <w:tcBorders>
              <w:top w:val="nil"/>
              <w:left w:val="nil"/>
              <w:bottom w:val="single" w:sz="4" w:space="0" w:color="auto"/>
              <w:right w:val="nil"/>
            </w:tcBorders>
            <w:vAlign w:val="center"/>
          </w:tcPr>
          <w:p w14:paraId="05F2CC4D"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Over-all</w:t>
            </w:r>
          </w:p>
        </w:tc>
        <w:tc>
          <w:tcPr>
            <w:tcW w:w="900" w:type="dxa"/>
            <w:tcBorders>
              <w:top w:val="nil"/>
              <w:left w:val="nil"/>
              <w:bottom w:val="single" w:sz="4" w:space="0" w:color="auto"/>
              <w:right w:val="nil"/>
            </w:tcBorders>
            <w:vAlign w:val="center"/>
          </w:tcPr>
          <w:p w14:paraId="4E944C8F"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3.976</w:t>
            </w:r>
          </w:p>
        </w:tc>
        <w:tc>
          <w:tcPr>
            <w:tcW w:w="1440" w:type="dxa"/>
            <w:tcBorders>
              <w:top w:val="nil"/>
              <w:left w:val="nil"/>
              <w:bottom w:val="single" w:sz="4" w:space="0" w:color="auto"/>
              <w:right w:val="nil"/>
            </w:tcBorders>
            <w:vAlign w:val="center"/>
          </w:tcPr>
          <w:p w14:paraId="2A49F8B2"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0.482</w:t>
            </w:r>
          </w:p>
        </w:tc>
        <w:tc>
          <w:tcPr>
            <w:tcW w:w="1620" w:type="dxa"/>
            <w:tcBorders>
              <w:top w:val="nil"/>
              <w:left w:val="nil"/>
              <w:bottom w:val="single" w:sz="4" w:space="0" w:color="auto"/>
              <w:right w:val="nil"/>
            </w:tcBorders>
            <w:vAlign w:val="center"/>
          </w:tcPr>
          <w:p w14:paraId="72D689F8" w14:textId="77777777" w:rsidR="00DA36EB" w:rsidRPr="00834973" w:rsidRDefault="00DA36EB" w:rsidP="004003A5">
            <w:pPr>
              <w:jc w:val="center"/>
              <w:rPr>
                <w:rFonts w:ascii="Arial" w:hAnsi="Arial" w:cs="Arial"/>
                <w:sz w:val="20"/>
                <w:szCs w:val="20"/>
              </w:rPr>
            </w:pPr>
            <w:r w:rsidRPr="00834973">
              <w:rPr>
                <w:rFonts w:ascii="Arial" w:hAnsi="Arial" w:cs="Arial"/>
                <w:sz w:val="20"/>
                <w:szCs w:val="20"/>
              </w:rPr>
              <w:t>High</w:t>
            </w:r>
          </w:p>
        </w:tc>
        <w:tc>
          <w:tcPr>
            <w:tcW w:w="2520" w:type="dxa"/>
            <w:tcBorders>
              <w:top w:val="nil"/>
              <w:left w:val="nil"/>
              <w:bottom w:val="single" w:sz="4" w:space="0" w:color="auto"/>
              <w:right w:val="nil"/>
            </w:tcBorders>
            <w:vAlign w:val="center"/>
          </w:tcPr>
          <w:p w14:paraId="2B77EFF9" w14:textId="77777777" w:rsidR="00DA36EB" w:rsidRPr="00834973" w:rsidRDefault="00DA36EB" w:rsidP="004003A5">
            <w:pPr>
              <w:jc w:val="center"/>
              <w:rPr>
                <w:rFonts w:ascii="Arial" w:eastAsia="Times New Roman" w:hAnsi="Arial" w:cs="Arial"/>
                <w:sz w:val="20"/>
                <w:szCs w:val="20"/>
                <w:lang w:val="en-GB" w:eastAsia="en-GB"/>
              </w:rPr>
            </w:pPr>
            <w:r w:rsidRPr="00834973">
              <w:rPr>
                <w:rFonts w:ascii="Arial" w:hAnsi="Arial" w:cs="Arial"/>
                <w:sz w:val="20"/>
                <w:szCs w:val="20"/>
              </w:rPr>
              <w:t>Practices the 21</w:t>
            </w:r>
            <w:r w:rsidRPr="00834973">
              <w:rPr>
                <w:rFonts w:ascii="Arial" w:hAnsi="Arial" w:cs="Arial"/>
                <w:sz w:val="20"/>
                <w:szCs w:val="20"/>
                <w:vertAlign w:val="superscript"/>
              </w:rPr>
              <w:t>st</w:t>
            </w:r>
            <w:r w:rsidRPr="00834973">
              <w:rPr>
                <w:rFonts w:ascii="Arial" w:hAnsi="Arial" w:cs="Arial"/>
                <w:sz w:val="20"/>
                <w:szCs w:val="20"/>
              </w:rPr>
              <w:t xml:space="preserve"> Century </w:t>
            </w:r>
            <w:r w:rsidRPr="00834973">
              <w:rPr>
                <w:rFonts w:ascii="Arial" w:eastAsia="Times New Roman" w:hAnsi="Arial" w:cs="Arial"/>
                <w:sz w:val="20"/>
                <w:szCs w:val="20"/>
                <w:lang w:val="en-GB" w:eastAsia="en-GB"/>
              </w:rPr>
              <w:t>Skill</w:t>
            </w:r>
          </w:p>
          <w:p w14:paraId="333DE71E"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lang w:val="en-GB" w:eastAsia="en-GB"/>
              </w:rPr>
              <w:t>most of the time</w:t>
            </w:r>
          </w:p>
        </w:tc>
      </w:tr>
    </w:tbl>
    <w:p w14:paraId="659D2247" w14:textId="77777777" w:rsidR="00DA36EB" w:rsidRDefault="00DA36EB" w:rsidP="0044055D">
      <w:pPr>
        <w:jc w:val="both"/>
        <w:rPr>
          <w:rFonts w:ascii="Arial" w:hAnsi="Arial" w:cs="Arial"/>
          <w:sz w:val="20"/>
          <w:szCs w:val="20"/>
        </w:rPr>
      </w:pPr>
    </w:p>
    <w:p w14:paraId="2D386A07" w14:textId="6759C976"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Furthermore, Loy (2006) in his study on effective teacher communication skills and teacher quality was able to demonstrate that communication skills can have an impact on certain student achievement scores. Similarly, Khan et al. (2017) research have arrived at conclusion that </w:t>
      </w:r>
      <w:r w:rsidR="006144D2">
        <w:rPr>
          <w:rFonts w:ascii="Arial" w:hAnsi="Arial" w:cs="Arial"/>
          <w:sz w:val="20"/>
          <w:szCs w:val="20"/>
        </w:rPr>
        <w:t>“</w:t>
      </w:r>
      <w:r w:rsidRPr="0095031B">
        <w:rPr>
          <w:rFonts w:ascii="Arial" w:hAnsi="Arial" w:cs="Arial"/>
          <w:sz w:val="20"/>
          <w:szCs w:val="20"/>
        </w:rPr>
        <w:t>teacher communication skills have significant role in the academic achievement of the students</w:t>
      </w:r>
      <w:r w:rsidR="006144D2">
        <w:rPr>
          <w:rFonts w:ascii="Arial" w:hAnsi="Arial" w:cs="Arial"/>
          <w:sz w:val="20"/>
          <w:szCs w:val="20"/>
        </w:rPr>
        <w:t>”</w:t>
      </w:r>
      <w:r w:rsidRPr="0095031B">
        <w:rPr>
          <w:rFonts w:ascii="Arial" w:hAnsi="Arial" w:cs="Arial"/>
          <w:sz w:val="20"/>
          <w:szCs w:val="20"/>
        </w:rPr>
        <w:t xml:space="preserve">. More so, it can be gleaned in the study of </w:t>
      </w:r>
      <w:proofErr w:type="spellStart"/>
      <w:r w:rsidRPr="0095031B">
        <w:rPr>
          <w:rFonts w:ascii="Arial" w:hAnsi="Arial" w:cs="Arial"/>
          <w:sz w:val="20"/>
          <w:szCs w:val="20"/>
        </w:rPr>
        <w:t>Wrahatnolo</w:t>
      </w:r>
      <w:proofErr w:type="spellEnd"/>
      <w:r w:rsidRPr="0095031B">
        <w:rPr>
          <w:rFonts w:ascii="Arial" w:hAnsi="Arial" w:cs="Arial"/>
          <w:sz w:val="20"/>
          <w:szCs w:val="20"/>
        </w:rPr>
        <w:t xml:space="preserve"> and </w:t>
      </w:r>
      <w:proofErr w:type="spellStart"/>
      <w:r w:rsidRPr="0095031B">
        <w:rPr>
          <w:rFonts w:ascii="Arial" w:hAnsi="Arial" w:cs="Arial"/>
          <w:sz w:val="20"/>
          <w:szCs w:val="20"/>
        </w:rPr>
        <w:t>Munoto</w:t>
      </w:r>
      <w:proofErr w:type="spellEnd"/>
      <w:r w:rsidRPr="0095031B">
        <w:rPr>
          <w:rFonts w:ascii="Arial" w:hAnsi="Arial" w:cs="Arial"/>
          <w:sz w:val="20"/>
          <w:szCs w:val="20"/>
        </w:rPr>
        <w:t xml:space="preserve"> (2018) about 21st century’s skill implication on educational system that one of the 21st century’s skills of teachers needed in the curriculum is communication skills. Hence, the implications for teachers are they need develop this skill themselves and change and improve skills to enable them to effectively teach content and skills among learner.</w:t>
      </w:r>
    </w:p>
    <w:p w14:paraId="684865D5" w14:textId="1550BAD5"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Results of the study supported the idea of </w:t>
      </w:r>
      <w:proofErr w:type="spellStart"/>
      <w:r w:rsidRPr="0095031B">
        <w:rPr>
          <w:rFonts w:ascii="Arial" w:hAnsi="Arial" w:cs="Arial"/>
          <w:sz w:val="20"/>
          <w:szCs w:val="20"/>
        </w:rPr>
        <w:t>Cheewa</w:t>
      </w:r>
      <w:proofErr w:type="spellEnd"/>
      <w:r w:rsidRPr="0095031B">
        <w:rPr>
          <w:rFonts w:ascii="Arial" w:hAnsi="Arial" w:cs="Arial"/>
          <w:sz w:val="20"/>
          <w:szCs w:val="20"/>
        </w:rPr>
        <w:t xml:space="preserve"> (2003) who stipulated that </w:t>
      </w:r>
      <w:r w:rsidR="006144D2">
        <w:rPr>
          <w:rFonts w:ascii="Arial" w:hAnsi="Arial" w:cs="Arial"/>
          <w:sz w:val="20"/>
          <w:szCs w:val="20"/>
        </w:rPr>
        <w:t>“</w:t>
      </w:r>
      <w:r w:rsidRPr="0095031B">
        <w:rPr>
          <w:rFonts w:ascii="Arial" w:hAnsi="Arial" w:cs="Arial"/>
          <w:sz w:val="20"/>
          <w:szCs w:val="20"/>
        </w:rPr>
        <w:t>communication skills in the 21st century is best taught through example. Teachers with effective communication skills are able to model appropriate communication skills by demonstrating how to respond to a message, that is providing a response for all forms of information that have been received, whether in person, digitally, or even through observation of body language. Through participatory examples of various communicatory situations, teachers can demonstrate critical thinking and guide students to assist them see the whole picture and eventually acquire the knowledge they need to communicate</w:t>
      </w:r>
      <w:r w:rsidR="006144D2">
        <w:rPr>
          <w:rFonts w:ascii="Arial" w:hAnsi="Arial" w:cs="Arial"/>
          <w:sz w:val="20"/>
          <w:szCs w:val="20"/>
        </w:rPr>
        <w:t>”</w:t>
      </w:r>
      <w:r w:rsidRPr="0095031B">
        <w:rPr>
          <w:rFonts w:ascii="Arial" w:hAnsi="Arial" w:cs="Arial"/>
          <w:sz w:val="20"/>
          <w:szCs w:val="20"/>
        </w:rPr>
        <w:t>.</w:t>
      </w:r>
    </w:p>
    <w:p w14:paraId="3C778DAC" w14:textId="04A21DF0" w:rsidR="0095031B" w:rsidRPr="0095031B" w:rsidRDefault="0095031B" w:rsidP="0095031B">
      <w:pPr>
        <w:jc w:val="both"/>
        <w:rPr>
          <w:rFonts w:ascii="Arial" w:hAnsi="Arial" w:cs="Arial"/>
          <w:sz w:val="20"/>
          <w:szCs w:val="20"/>
        </w:rPr>
      </w:pPr>
      <w:r w:rsidRPr="0095031B">
        <w:rPr>
          <w:rFonts w:ascii="Arial" w:hAnsi="Arial" w:cs="Arial"/>
          <w:sz w:val="20"/>
          <w:szCs w:val="20"/>
        </w:rPr>
        <w:lastRenderedPageBreak/>
        <w:t xml:space="preserve">The study of </w:t>
      </w:r>
      <w:proofErr w:type="spellStart"/>
      <w:r w:rsidRPr="0095031B">
        <w:rPr>
          <w:rFonts w:ascii="Arial" w:hAnsi="Arial" w:cs="Arial"/>
          <w:sz w:val="20"/>
          <w:szCs w:val="20"/>
        </w:rPr>
        <w:t>Rotvold</w:t>
      </w:r>
      <w:proofErr w:type="spellEnd"/>
      <w:r w:rsidRPr="0095031B">
        <w:rPr>
          <w:rFonts w:ascii="Arial" w:hAnsi="Arial" w:cs="Arial"/>
          <w:sz w:val="20"/>
          <w:szCs w:val="20"/>
        </w:rPr>
        <w:t xml:space="preserve"> and Braathen (2010) elucidated that </w:t>
      </w:r>
      <w:r w:rsidR="006144D2">
        <w:rPr>
          <w:rFonts w:ascii="Arial" w:hAnsi="Arial" w:cs="Arial"/>
          <w:sz w:val="20"/>
          <w:szCs w:val="20"/>
        </w:rPr>
        <w:t>“</w:t>
      </w:r>
      <w:r w:rsidRPr="0095031B">
        <w:rPr>
          <w:rFonts w:ascii="Arial" w:hAnsi="Arial" w:cs="Arial"/>
          <w:sz w:val="20"/>
          <w:szCs w:val="20"/>
        </w:rPr>
        <w:t>there are an extensive number of tools available today, including but not limited to texting, blogs, microblogs, collaboration tools, web conferencing, learning management and student information systems, and social media. These 21st century tools exist in addition to communication via written documents and oral discourse. With this new variety of communication tools, it now becomes important to teach students how to effectively use all forms of communication, and assist them to critically distinguish which medium is befitting for particular situations</w:t>
      </w:r>
      <w:r w:rsidR="006144D2">
        <w:rPr>
          <w:rFonts w:ascii="Arial" w:hAnsi="Arial" w:cs="Arial"/>
          <w:sz w:val="20"/>
          <w:szCs w:val="20"/>
        </w:rPr>
        <w:t>”</w:t>
      </w:r>
      <w:r w:rsidRPr="0095031B">
        <w:rPr>
          <w:rFonts w:ascii="Arial" w:hAnsi="Arial" w:cs="Arial"/>
          <w:sz w:val="20"/>
          <w:szCs w:val="20"/>
        </w:rPr>
        <w:t>.</w:t>
      </w:r>
    </w:p>
    <w:p w14:paraId="5182CB89" w14:textId="2CC505D9"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As illustrated in the result of the study, learning and innovation was described as high or practiced most of the times by the elementary teachers. This further means that elementary teachers attuned themselves in the new landscape of learning in the 21st century classrooms. They exert efforts to elevate their teaching skills in relation to the demands of the 21st century competencies. These competencies are aligned to teacher-centered pedagogy. According to the study of </w:t>
      </w:r>
      <w:proofErr w:type="spellStart"/>
      <w:r w:rsidRPr="0095031B">
        <w:rPr>
          <w:rFonts w:ascii="Arial" w:hAnsi="Arial" w:cs="Arial"/>
          <w:sz w:val="20"/>
          <w:szCs w:val="20"/>
        </w:rPr>
        <w:t>Mynbayeva</w:t>
      </w:r>
      <w:proofErr w:type="spellEnd"/>
      <w:r w:rsidRPr="0095031B">
        <w:rPr>
          <w:rFonts w:ascii="Arial" w:hAnsi="Arial" w:cs="Arial"/>
          <w:sz w:val="20"/>
          <w:szCs w:val="20"/>
        </w:rPr>
        <w:t xml:space="preserve">, </w:t>
      </w:r>
      <w:proofErr w:type="spellStart"/>
      <w:r w:rsidRPr="0095031B">
        <w:rPr>
          <w:rFonts w:ascii="Arial" w:hAnsi="Arial" w:cs="Arial"/>
          <w:sz w:val="20"/>
          <w:szCs w:val="20"/>
        </w:rPr>
        <w:t>Sadvakassova</w:t>
      </w:r>
      <w:proofErr w:type="spellEnd"/>
      <w:r w:rsidRPr="0095031B">
        <w:rPr>
          <w:rFonts w:ascii="Arial" w:hAnsi="Arial" w:cs="Arial"/>
          <w:sz w:val="20"/>
          <w:szCs w:val="20"/>
        </w:rPr>
        <w:t xml:space="preserve">, and </w:t>
      </w:r>
      <w:proofErr w:type="spellStart"/>
      <w:r w:rsidRPr="0095031B">
        <w:rPr>
          <w:rFonts w:ascii="Arial" w:hAnsi="Arial" w:cs="Arial"/>
          <w:sz w:val="20"/>
          <w:szCs w:val="20"/>
        </w:rPr>
        <w:t>Akshalova</w:t>
      </w:r>
      <w:proofErr w:type="spellEnd"/>
      <w:r w:rsidRPr="0095031B">
        <w:rPr>
          <w:rFonts w:ascii="Arial" w:hAnsi="Arial" w:cs="Arial"/>
          <w:sz w:val="20"/>
          <w:szCs w:val="20"/>
        </w:rPr>
        <w:t xml:space="preserve"> (2018), the methodology of innovative learning of teachers is built on a personal-oriented approach or called student-centered learning. The results of their study pedagogy of the twenty-first century, 92.42% of the teachers admit that they use innovative teaching methods.</w:t>
      </w:r>
    </w:p>
    <w:p w14:paraId="21C72E9F" w14:textId="1059BEC9"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In light to the 21st century innovative skills of teachers, Boholano (2017) asserted in her study that </w:t>
      </w:r>
      <w:r w:rsidR="006144D2">
        <w:rPr>
          <w:rFonts w:ascii="Arial" w:hAnsi="Arial" w:cs="Arial"/>
          <w:sz w:val="20"/>
          <w:szCs w:val="20"/>
        </w:rPr>
        <w:t>“</w:t>
      </w:r>
      <w:r w:rsidRPr="0095031B">
        <w:rPr>
          <w:rFonts w:ascii="Arial" w:hAnsi="Arial" w:cs="Arial"/>
          <w:sz w:val="20"/>
          <w:szCs w:val="20"/>
        </w:rPr>
        <w:t>digital literacy skills are absolutely necessary to ensure the technology is used to supplement and not substitute for high quality instructional methods</w:t>
      </w:r>
      <w:r w:rsidRPr="0095031B">
        <w:rPr>
          <w:rFonts w:ascii="Arial" w:hAnsi="Arial" w:cs="Arial" w:hint="eastAsia"/>
          <w:sz w:val="20"/>
          <w:szCs w:val="20"/>
        </w:rPr>
        <w:t>. Pre</w:t>
      </w:r>
      <w:r w:rsidRPr="0095031B">
        <w:rPr>
          <w:rFonts w:ascii="Arial" w:hAnsi="Arial" w:cs="Arial" w:hint="eastAsia"/>
          <w:sz w:val="20"/>
          <w:szCs w:val="20"/>
        </w:rPr>
        <w:t>‐</w:t>
      </w:r>
      <w:r w:rsidRPr="0095031B">
        <w:rPr>
          <w:rFonts w:ascii="Arial" w:hAnsi="Arial" w:cs="Arial" w:hint="eastAsia"/>
          <w:sz w:val="20"/>
          <w:szCs w:val="20"/>
        </w:rPr>
        <w:t>service teachers using digital technology with valuable skills is the most powerful tools in teaching in the 21st century. Based on the findings of her study, it is recommended that the pre</w:t>
      </w:r>
      <w:r w:rsidRPr="0095031B">
        <w:rPr>
          <w:rFonts w:ascii="Arial" w:hAnsi="Arial" w:cs="Arial" w:hint="eastAsia"/>
          <w:sz w:val="20"/>
          <w:szCs w:val="20"/>
        </w:rPr>
        <w:t>‐</w:t>
      </w:r>
      <w:r w:rsidRPr="0095031B">
        <w:rPr>
          <w:rFonts w:ascii="Arial" w:hAnsi="Arial" w:cs="Arial" w:hint="eastAsia"/>
          <w:sz w:val="20"/>
          <w:szCs w:val="20"/>
        </w:rPr>
        <w:t>service teachers will undergo training on proper use of soci</w:t>
      </w:r>
      <w:r w:rsidRPr="0095031B">
        <w:rPr>
          <w:rFonts w:ascii="Arial" w:hAnsi="Arial" w:cs="Arial"/>
          <w:sz w:val="20"/>
          <w:szCs w:val="20"/>
        </w:rPr>
        <w:t>al media and other ICT tools in the 21st century so that they will be ready in once they take the actual teaching</w:t>
      </w:r>
      <w:r w:rsidR="006144D2">
        <w:rPr>
          <w:rFonts w:ascii="Arial" w:hAnsi="Arial" w:cs="Arial"/>
          <w:sz w:val="20"/>
          <w:szCs w:val="20"/>
        </w:rPr>
        <w:t>”</w:t>
      </w:r>
      <w:r w:rsidRPr="0095031B">
        <w:rPr>
          <w:rFonts w:ascii="Arial" w:hAnsi="Arial" w:cs="Arial"/>
          <w:sz w:val="20"/>
          <w:szCs w:val="20"/>
        </w:rPr>
        <w:t>.</w:t>
      </w:r>
    </w:p>
    <w:p w14:paraId="71545A28" w14:textId="493F0104"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Findings of this study corroborate to Bruce (2009) in their assumptions of teaching innovation that </w:t>
      </w:r>
      <w:r w:rsidR="006144D2">
        <w:rPr>
          <w:rFonts w:ascii="Arial" w:hAnsi="Arial" w:cs="Arial"/>
          <w:sz w:val="20"/>
          <w:szCs w:val="20"/>
        </w:rPr>
        <w:t>“</w:t>
      </w:r>
      <w:r w:rsidRPr="0095031B">
        <w:rPr>
          <w:rFonts w:ascii="Arial" w:hAnsi="Arial" w:cs="Arial"/>
          <w:sz w:val="20"/>
          <w:szCs w:val="20"/>
        </w:rPr>
        <w:t>when the appropriate strategies and skills were applied to use technology making it a favorable tool for teaching, then a better teaching effectiveness can be developed</w:t>
      </w:r>
      <w:r w:rsidR="006144D2">
        <w:rPr>
          <w:rFonts w:ascii="Arial" w:hAnsi="Arial" w:cs="Arial"/>
          <w:sz w:val="20"/>
          <w:szCs w:val="20"/>
        </w:rPr>
        <w:t>”</w:t>
      </w:r>
      <w:r w:rsidRPr="0095031B">
        <w:rPr>
          <w:rFonts w:ascii="Arial" w:hAnsi="Arial" w:cs="Arial"/>
          <w:sz w:val="20"/>
          <w:szCs w:val="20"/>
        </w:rPr>
        <w:t xml:space="preserve">. Likewise, this study supported Ching-Shan Wu's (2002) who pointed out that </w:t>
      </w:r>
      <w:r w:rsidR="006144D2">
        <w:rPr>
          <w:rFonts w:ascii="Arial" w:hAnsi="Arial" w:cs="Arial"/>
          <w:sz w:val="20"/>
          <w:szCs w:val="20"/>
        </w:rPr>
        <w:t>“</w:t>
      </w:r>
      <w:r w:rsidRPr="0095031B">
        <w:rPr>
          <w:rFonts w:ascii="Arial" w:hAnsi="Arial" w:cs="Arial"/>
          <w:sz w:val="20"/>
          <w:szCs w:val="20"/>
        </w:rPr>
        <w:t>innovative teaching, the teachers using multi-faceted and lively teaching methods and diversified and rich content to stimulate students' inner interest in learning, thus, developing students' attitude in proactive learning and enhancing students' learning ability</w:t>
      </w:r>
      <w:r w:rsidR="006144D2">
        <w:rPr>
          <w:rFonts w:ascii="Arial" w:hAnsi="Arial" w:cs="Arial"/>
          <w:sz w:val="20"/>
          <w:szCs w:val="20"/>
        </w:rPr>
        <w:t>”</w:t>
      </w:r>
      <w:r w:rsidRPr="0095031B">
        <w:rPr>
          <w:rFonts w:ascii="Arial" w:hAnsi="Arial" w:cs="Arial"/>
          <w:sz w:val="20"/>
          <w:szCs w:val="20"/>
        </w:rPr>
        <w:t xml:space="preserve">. In the same manner, study agree to I-Min Lin (2002) </w:t>
      </w:r>
      <w:r w:rsidR="006144D2">
        <w:rPr>
          <w:rFonts w:ascii="Arial" w:hAnsi="Arial" w:cs="Arial"/>
          <w:sz w:val="20"/>
          <w:szCs w:val="20"/>
        </w:rPr>
        <w:t>“</w:t>
      </w:r>
      <w:r w:rsidRPr="0095031B">
        <w:rPr>
          <w:rFonts w:ascii="Arial" w:hAnsi="Arial" w:cs="Arial"/>
          <w:sz w:val="20"/>
          <w:szCs w:val="20"/>
        </w:rPr>
        <w:t>teaching innovation in the 21st century, teachers must have an open mind, have the ability to reflect on teaching, and being able to use the cogitation of reflection, questioning, deconstruction and reconstruction to guide students to learn correctly, to develop students' critical thinking and creative capabilities</w:t>
      </w:r>
      <w:r w:rsidR="006144D2">
        <w:rPr>
          <w:rFonts w:ascii="Arial" w:hAnsi="Arial" w:cs="Arial"/>
          <w:sz w:val="20"/>
          <w:szCs w:val="20"/>
        </w:rPr>
        <w:t>”</w:t>
      </w:r>
      <w:r w:rsidRPr="0095031B">
        <w:rPr>
          <w:rFonts w:ascii="Arial" w:hAnsi="Arial" w:cs="Arial"/>
          <w:sz w:val="20"/>
          <w:szCs w:val="20"/>
        </w:rPr>
        <w:t>.</w:t>
      </w:r>
    </w:p>
    <w:p w14:paraId="4C13ACE9" w14:textId="304CAC64"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On the other hand, results of this study somehow differ from the study of </w:t>
      </w:r>
      <w:proofErr w:type="spellStart"/>
      <w:r w:rsidRPr="0095031B">
        <w:rPr>
          <w:rFonts w:ascii="Arial" w:hAnsi="Arial" w:cs="Arial"/>
          <w:sz w:val="20"/>
          <w:szCs w:val="20"/>
        </w:rPr>
        <w:t>Isayev</w:t>
      </w:r>
      <w:proofErr w:type="spellEnd"/>
      <w:r w:rsidRPr="0095031B">
        <w:rPr>
          <w:rFonts w:ascii="Arial" w:hAnsi="Arial" w:cs="Arial"/>
          <w:sz w:val="20"/>
          <w:szCs w:val="20"/>
        </w:rPr>
        <w:t xml:space="preserve"> (2002) on </w:t>
      </w:r>
      <w:r w:rsidR="006144D2">
        <w:rPr>
          <w:rFonts w:ascii="Arial" w:hAnsi="Arial" w:cs="Arial"/>
          <w:sz w:val="20"/>
          <w:szCs w:val="20"/>
        </w:rPr>
        <w:t>“</w:t>
      </w:r>
      <w:r w:rsidRPr="0095031B">
        <w:rPr>
          <w:rFonts w:ascii="Arial" w:hAnsi="Arial" w:cs="Arial"/>
          <w:sz w:val="20"/>
          <w:szCs w:val="20"/>
        </w:rPr>
        <w:t>professional-pedagogical culture of the teacher in Moscow related to 21st Century, only 14% of teachers have an actively positive attitude to innovation, they initiate the introduction of new technologies in the educational process and promote them. Twenty-three percent are positively attuned and 9% have an emotionally positive attitude to pedagogical innovations. While 18% of teachers have frustration-negative, 26% -passive-negative, and 10% actively negative attitude toward innovation</w:t>
      </w:r>
      <w:r w:rsidR="006144D2">
        <w:rPr>
          <w:rFonts w:ascii="Arial" w:hAnsi="Arial" w:cs="Arial"/>
          <w:sz w:val="20"/>
          <w:szCs w:val="20"/>
        </w:rPr>
        <w:t>”</w:t>
      </w:r>
      <w:r w:rsidRPr="0095031B">
        <w:rPr>
          <w:rFonts w:ascii="Arial" w:hAnsi="Arial" w:cs="Arial"/>
          <w:sz w:val="20"/>
          <w:szCs w:val="20"/>
        </w:rPr>
        <w:t>.</w:t>
      </w:r>
    </w:p>
    <w:p w14:paraId="29DD5491" w14:textId="111A87BB"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This study found out that the level of teachers 21st-century skills in terms of information, media, and technology skills is high. This means they practice it most of the time in their teaching. The high level of teachers’ practices in information, media, and technology skills suggests that they have awareness of the importance to be digitally literate in the 21st century classrooms. This is in line to </w:t>
      </w:r>
      <w:proofErr w:type="spellStart"/>
      <w:r w:rsidRPr="0095031B">
        <w:rPr>
          <w:rFonts w:ascii="Arial" w:hAnsi="Arial" w:cs="Arial"/>
          <w:sz w:val="20"/>
          <w:szCs w:val="20"/>
        </w:rPr>
        <w:t>Budhai</w:t>
      </w:r>
      <w:proofErr w:type="spellEnd"/>
      <w:r w:rsidRPr="0095031B">
        <w:rPr>
          <w:rFonts w:ascii="Arial" w:hAnsi="Arial" w:cs="Arial"/>
          <w:sz w:val="20"/>
          <w:szCs w:val="20"/>
        </w:rPr>
        <w:t xml:space="preserve"> and </w:t>
      </w:r>
      <w:proofErr w:type="spellStart"/>
      <w:r w:rsidRPr="0095031B">
        <w:rPr>
          <w:rFonts w:ascii="Arial" w:hAnsi="Arial" w:cs="Arial"/>
          <w:sz w:val="20"/>
          <w:szCs w:val="20"/>
        </w:rPr>
        <w:t>Taddei</w:t>
      </w:r>
      <w:proofErr w:type="spellEnd"/>
      <w:r w:rsidRPr="0095031B">
        <w:rPr>
          <w:rFonts w:ascii="Arial" w:hAnsi="Arial" w:cs="Arial"/>
          <w:sz w:val="20"/>
          <w:szCs w:val="20"/>
        </w:rPr>
        <w:t xml:space="preserve"> teachers (2015) suggestions to the teachers to </w:t>
      </w:r>
      <w:r w:rsidR="006144D2">
        <w:rPr>
          <w:rFonts w:ascii="Arial" w:hAnsi="Arial" w:cs="Arial"/>
          <w:sz w:val="20"/>
          <w:szCs w:val="20"/>
        </w:rPr>
        <w:t>“</w:t>
      </w:r>
      <w:r w:rsidRPr="0095031B">
        <w:rPr>
          <w:rFonts w:ascii="Arial" w:hAnsi="Arial" w:cs="Arial"/>
          <w:sz w:val="20"/>
          <w:szCs w:val="20"/>
        </w:rPr>
        <w:t>integrate technology into a wide range of subject areas and grade levels for all types of technology set-ups and identify ways students can think critically, communicate with one another, collaborate as teams, and be creative with the use of technology</w:t>
      </w:r>
      <w:r w:rsidR="006144D2">
        <w:rPr>
          <w:rFonts w:ascii="Arial" w:hAnsi="Arial" w:cs="Arial"/>
          <w:sz w:val="20"/>
          <w:szCs w:val="20"/>
        </w:rPr>
        <w:t>”</w:t>
      </w:r>
      <w:r w:rsidRPr="0095031B">
        <w:rPr>
          <w:rFonts w:ascii="Arial" w:hAnsi="Arial" w:cs="Arial"/>
          <w:sz w:val="20"/>
          <w:szCs w:val="20"/>
        </w:rPr>
        <w:t>.</w:t>
      </w:r>
    </w:p>
    <w:p w14:paraId="2B020410" w14:textId="315BAAFF" w:rsidR="0095031B" w:rsidRPr="0095031B" w:rsidRDefault="0095031B" w:rsidP="0095031B">
      <w:pPr>
        <w:jc w:val="both"/>
        <w:rPr>
          <w:rFonts w:ascii="Arial" w:hAnsi="Arial" w:cs="Arial"/>
          <w:sz w:val="20"/>
          <w:szCs w:val="20"/>
        </w:rPr>
      </w:pPr>
      <w:r w:rsidRPr="0095031B">
        <w:rPr>
          <w:rFonts w:ascii="Arial" w:hAnsi="Arial" w:cs="Arial"/>
          <w:sz w:val="20"/>
          <w:szCs w:val="20"/>
        </w:rPr>
        <w:lastRenderedPageBreak/>
        <w:t xml:space="preserve">The study of </w:t>
      </w:r>
      <w:proofErr w:type="spellStart"/>
      <w:r w:rsidRPr="0095031B">
        <w:rPr>
          <w:rFonts w:ascii="Arial" w:hAnsi="Arial" w:cs="Arial"/>
          <w:sz w:val="20"/>
          <w:szCs w:val="20"/>
        </w:rPr>
        <w:t>Kivunja</w:t>
      </w:r>
      <w:proofErr w:type="spellEnd"/>
      <w:r w:rsidRPr="0095031B">
        <w:rPr>
          <w:rFonts w:ascii="Arial" w:hAnsi="Arial" w:cs="Arial"/>
          <w:sz w:val="20"/>
          <w:szCs w:val="20"/>
        </w:rPr>
        <w:t xml:space="preserve"> (2014) revealed that </w:t>
      </w:r>
      <w:r w:rsidR="006144D2">
        <w:rPr>
          <w:rFonts w:ascii="Arial" w:hAnsi="Arial" w:cs="Arial"/>
          <w:sz w:val="20"/>
          <w:szCs w:val="20"/>
        </w:rPr>
        <w:t>“</w:t>
      </w:r>
      <w:r w:rsidRPr="0095031B">
        <w:rPr>
          <w:rFonts w:ascii="Arial" w:hAnsi="Arial" w:cs="Arial"/>
          <w:sz w:val="20"/>
          <w:szCs w:val="20"/>
        </w:rPr>
        <w:t>teaching the students so that they become well-equipped with the 21st-century skills is the new learning paradigm. Learners in the 21st century are confronted, in all their walks of life, by a huge amount of media resources</w:t>
      </w:r>
      <w:r w:rsidR="006144D2">
        <w:rPr>
          <w:rFonts w:ascii="Arial" w:hAnsi="Arial" w:cs="Arial"/>
          <w:sz w:val="20"/>
          <w:szCs w:val="20"/>
        </w:rPr>
        <w:t>”</w:t>
      </w:r>
      <w:r w:rsidRPr="0095031B">
        <w:rPr>
          <w:rFonts w:ascii="Arial" w:hAnsi="Arial" w:cs="Arial"/>
          <w:sz w:val="20"/>
          <w:szCs w:val="20"/>
        </w:rPr>
        <w:t xml:space="preserve">. As Trilling and Fadel (2009) say </w:t>
      </w:r>
      <w:r w:rsidR="006144D2">
        <w:rPr>
          <w:rFonts w:ascii="Arial" w:hAnsi="Arial" w:cs="Arial"/>
          <w:sz w:val="20"/>
          <w:szCs w:val="20"/>
        </w:rPr>
        <w:t>“</w:t>
      </w:r>
      <w:r w:rsidRPr="0095031B">
        <w:rPr>
          <w:rFonts w:ascii="Arial" w:hAnsi="Arial" w:cs="Arial"/>
          <w:sz w:val="20"/>
          <w:szCs w:val="20"/>
        </w:rPr>
        <w:t>the next generation, today’s digital natives, are bathed in bits from birth, clutching remote controls, computer mice, and cell phones from an early age</w:t>
      </w:r>
      <w:r w:rsidR="006144D2">
        <w:rPr>
          <w:rFonts w:ascii="Arial" w:hAnsi="Arial" w:cs="Arial"/>
          <w:sz w:val="20"/>
          <w:szCs w:val="20"/>
        </w:rPr>
        <w:t>”</w:t>
      </w:r>
      <w:r w:rsidRPr="0095031B">
        <w:rPr>
          <w:rFonts w:ascii="Arial" w:hAnsi="Arial" w:cs="Arial"/>
          <w:sz w:val="20"/>
          <w:szCs w:val="20"/>
        </w:rPr>
        <w:t>. Hence, teachers should be trying their best to uplift their skills to keep abreast with the kind of students they have today.</w:t>
      </w:r>
    </w:p>
    <w:p w14:paraId="076294EF" w14:textId="30D67132"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In relation to the high practice of innovative skills of teachers, Serdar (2015) revealed </w:t>
      </w:r>
      <w:r w:rsidR="006144D2">
        <w:rPr>
          <w:rFonts w:ascii="Arial" w:hAnsi="Arial" w:cs="Arial"/>
          <w:sz w:val="20"/>
          <w:szCs w:val="20"/>
        </w:rPr>
        <w:t>“</w:t>
      </w:r>
      <w:r w:rsidRPr="0095031B">
        <w:rPr>
          <w:rFonts w:ascii="Arial" w:hAnsi="Arial" w:cs="Arial"/>
          <w:sz w:val="20"/>
          <w:szCs w:val="20"/>
        </w:rPr>
        <w:t>seven themes, or practices, of highly innovative, creative teachers of 21st-century skills. These are: teacher as lead learner, encourage learner reflection, foster class community and relationships, give students choice to instill ownership, employ project/problem-based learning, make connections to real life, and encourage teacher and student collaboration. Recommendations for district leadership are included to promote and encourage the application of these practices throughout the district</w:t>
      </w:r>
      <w:r w:rsidR="006144D2">
        <w:rPr>
          <w:rFonts w:ascii="Arial" w:hAnsi="Arial" w:cs="Arial"/>
          <w:sz w:val="20"/>
          <w:szCs w:val="20"/>
        </w:rPr>
        <w:t>”</w:t>
      </w:r>
      <w:r w:rsidRPr="0095031B">
        <w:rPr>
          <w:rFonts w:ascii="Arial" w:hAnsi="Arial" w:cs="Arial"/>
          <w:sz w:val="20"/>
          <w:szCs w:val="20"/>
        </w:rPr>
        <w:t>.</w:t>
      </w:r>
    </w:p>
    <w:p w14:paraId="6BF8545C"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Moreover, this study found out that life and career skills of elementary teachers are in high level. This means that teachers elicited practices of 21st Century Skill most of the time in relation to life and career skills. It is apparent that teacher in one of the districts in the division of Davao del Sur have common agreement that they have highly good conceptions of the life and career skills needed to optimize the learning of the students. Life and career skills encompass key skills necessary to live and work in diverse, complex environments. These include: leadership; time management; initiative and self-directed learning; and working with others effectively. Hence, teacher should model these and eventually share to their students.</w:t>
      </w:r>
    </w:p>
    <w:p w14:paraId="30C94ED3" w14:textId="4E0C4C49" w:rsidR="0095031B" w:rsidRDefault="0095031B" w:rsidP="0095031B">
      <w:pPr>
        <w:jc w:val="both"/>
        <w:rPr>
          <w:rFonts w:ascii="Arial" w:hAnsi="Arial" w:cs="Arial"/>
          <w:sz w:val="20"/>
          <w:szCs w:val="20"/>
        </w:rPr>
      </w:pPr>
      <w:r w:rsidRPr="0095031B">
        <w:rPr>
          <w:rFonts w:ascii="Arial" w:hAnsi="Arial" w:cs="Arial"/>
          <w:sz w:val="20"/>
          <w:szCs w:val="20"/>
        </w:rPr>
        <w:t>This study supports the Partnership for 21st-century skills Framework (</w:t>
      </w:r>
      <w:r w:rsidR="006A7C38" w:rsidRPr="006A7C38">
        <w:rPr>
          <w:rFonts w:ascii="Arial" w:hAnsi="Arial" w:cs="Arial"/>
          <w:sz w:val="20"/>
          <w:szCs w:val="20"/>
        </w:rPr>
        <w:t>Ball</w:t>
      </w:r>
      <w:r w:rsidR="006A7C38">
        <w:rPr>
          <w:rFonts w:ascii="Arial" w:hAnsi="Arial" w:cs="Arial"/>
          <w:sz w:val="20"/>
          <w:szCs w:val="20"/>
        </w:rPr>
        <w:t xml:space="preserve"> et al.</w:t>
      </w:r>
      <w:r w:rsidRPr="0095031B">
        <w:rPr>
          <w:rFonts w:ascii="Arial" w:hAnsi="Arial" w:cs="Arial"/>
          <w:sz w:val="20"/>
          <w:szCs w:val="20"/>
        </w:rPr>
        <w:t>, 2</w:t>
      </w:r>
      <w:r w:rsidR="006A7C38">
        <w:rPr>
          <w:rFonts w:ascii="Arial" w:hAnsi="Arial" w:cs="Arial"/>
          <w:sz w:val="20"/>
          <w:szCs w:val="20"/>
        </w:rPr>
        <w:t>016</w:t>
      </w:r>
      <w:r w:rsidRPr="0095031B">
        <w:rPr>
          <w:rFonts w:ascii="Arial" w:hAnsi="Arial" w:cs="Arial"/>
          <w:sz w:val="20"/>
          <w:szCs w:val="20"/>
        </w:rPr>
        <w:t xml:space="preserve">). Specifically, </w:t>
      </w:r>
      <w:r w:rsidR="006144D2">
        <w:rPr>
          <w:rFonts w:ascii="Arial" w:hAnsi="Arial" w:cs="Arial"/>
          <w:sz w:val="20"/>
          <w:szCs w:val="20"/>
        </w:rPr>
        <w:t>“</w:t>
      </w:r>
      <w:r w:rsidRPr="0095031B">
        <w:rPr>
          <w:rFonts w:ascii="Arial" w:hAnsi="Arial" w:cs="Arial"/>
          <w:sz w:val="20"/>
          <w:szCs w:val="20"/>
        </w:rPr>
        <w:t>the leadership skills that involve guiding others, identifying and employing the strengths of others, and motivating others to accomplish a common goal</w:t>
      </w:r>
      <w:r w:rsidR="006144D2">
        <w:rPr>
          <w:rFonts w:ascii="Arial" w:hAnsi="Arial" w:cs="Arial"/>
          <w:sz w:val="20"/>
          <w:szCs w:val="20"/>
        </w:rPr>
        <w:t>”</w:t>
      </w:r>
      <w:r w:rsidRPr="0095031B">
        <w:rPr>
          <w:rFonts w:ascii="Arial" w:hAnsi="Arial" w:cs="Arial"/>
          <w:sz w:val="20"/>
          <w:szCs w:val="20"/>
        </w:rPr>
        <w:t xml:space="preserve"> (</w:t>
      </w:r>
      <w:r w:rsidR="006A7C38" w:rsidRPr="006A7C38">
        <w:rPr>
          <w:rFonts w:ascii="Arial" w:hAnsi="Arial" w:cs="Arial"/>
          <w:sz w:val="20"/>
          <w:szCs w:val="20"/>
        </w:rPr>
        <w:t>Ball et al., 2016</w:t>
      </w:r>
      <w:r w:rsidRPr="0095031B">
        <w:rPr>
          <w:rFonts w:ascii="Arial" w:hAnsi="Arial" w:cs="Arial"/>
          <w:sz w:val="20"/>
          <w:szCs w:val="20"/>
        </w:rPr>
        <w:t xml:space="preserve">). </w:t>
      </w:r>
      <w:r w:rsidR="006144D2">
        <w:rPr>
          <w:rFonts w:ascii="Arial" w:hAnsi="Arial" w:cs="Arial"/>
          <w:sz w:val="20"/>
          <w:szCs w:val="20"/>
        </w:rPr>
        <w:t>“</w:t>
      </w:r>
      <w:r w:rsidRPr="0095031B">
        <w:rPr>
          <w:rFonts w:ascii="Arial" w:hAnsi="Arial" w:cs="Arial"/>
          <w:sz w:val="20"/>
          <w:szCs w:val="20"/>
        </w:rPr>
        <w:t>Time management that includes utilizing time and managing workload efficiently</w:t>
      </w:r>
      <w:r w:rsidR="006144D2">
        <w:rPr>
          <w:rFonts w:ascii="Arial" w:hAnsi="Arial" w:cs="Arial"/>
          <w:sz w:val="20"/>
          <w:szCs w:val="20"/>
        </w:rPr>
        <w:t>”</w:t>
      </w:r>
      <w:r w:rsidRPr="0095031B">
        <w:rPr>
          <w:rFonts w:ascii="Arial" w:hAnsi="Arial" w:cs="Arial"/>
          <w:sz w:val="20"/>
          <w:szCs w:val="20"/>
        </w:rPr>
        <w:t xml:space="preserve"> (</w:t>
      </w:r>
      <w:r w:rsidR="006A7C38" w:rsidRPr="006A7C38">
        <w:rPr>
          <w:rFonts w:ascii="Arial" w:hAnsi="Arial" w:cs="Arial"/>
          <w:sz w:val="20"/>
          <w:szCs w:val="20"/>
        </w:rPr>
        <w:t>Ball et al., 2016</w:t>
      </w:r>
      <w:r w:rsidRPr="0095031B">
        <w:rPr>
          <w:rFonts w:ascii="Arial" w:hAnsi="Arial" w:cs="Arial"/>
          <w:sz w:val="20"/>
          <w:szCs w:val="20"/>
        </w:rPr>
        <w:t xml:space="preserve">). </w:t>
      </w:r>
      <w:r w:rsidR="006144D2">
        <w:rPr>
          <w:rFonts w:ascii="Arial" w:hAnsi="Arial" w:cs="Arial"/>
          <w:sz w:val="20"/>
          <w:szCs w:val="20"/>
        </w:rPr>
        <w:t>“</w:t>
      </w:r>
      <w:r w:rsidRPr="0095031B">
        <w:rPr>
          <w:rFonts w:ascii="Arial" w:hAnsi="Arial" w:cs="Arial"/>
          <w:sz w:val="20"/>
          <w:szCs w:val="20"/>
        </w:rPr>
        <w:t>Initiative and self-directed learning are skills that include goal-setting with measurable criterion for success, establishing a balance between long- and short-term goals, and exploring new learning opportunities</w:t>
      </w:r>
      <w:r w:rsidR="006144D2">
        <w:rPr>
          <w:rFonts w:ascii="Arial" w:hAnsi="Arial" w:cs="Arial"/>
          <w:sz w:val="20"/>
          <w:szCs w:val="20"/>
        </w:rPr>
        <w:t>”</w:t>
      </w:r>
      <w:r w:rsidRPr="0095031B">
        <w:rPr>
          <w:rFonts w:ascii="Arial" w:hAnsi="Arial" w:cs="Arial"/>
          <w:sz w:val="20"/>
          <w:szCs w:val="20"/>
        </w:rPr>
        <w:t xml:space="preserve"> (</w:t>
      </w:r>
      <w:r w:rsidR="006A7C38" w:rsidRPr="006A7C38">
        <w:rPr>
          <w:rFonts w:ascii="Arial" w:hAnsi="Arial" w:cs="Arial"/>
          <w:sz w:val="20"/>
          <w:szCs w:val="20"/>
        </w:rPr>
        <w:t>Ball et al., 2016</w:t>
      </w:r>
      <w:r w:rsidRPr="0095031B">
        <w:rPr>
          <w:rFonts w:ascii="Arial" w:hAnsi="Arial" w:cs="Arial"/>
          <w:sz w:val="20"/>
          <w:szCs w:val="20"/>
        </w:rPr>
        <w:t xml:space="preserve">). </w:t>
      </w:r>
      <w:r w:rsidR="006144D2">
        <w:rPr>
          <w:rFonts w:ascii="Arial" w:hAnsi="Arial" w:cs="Arial"/>
          <w:sz w:val="20"/>
          <w:szCs w:val="20"/>
        </w:rPr>
        <w:t>“</w:t>
      </w:r>
      <w:r w:rsidRPr="0095031B">
        <w:rPr>
          <w:rFonts w:ascii="Arial" w:hAnsi="Arial" w:cs="Arial"/>
          <w:sz w:val="20"/>
          <w:szCs w:val="20"/>
        </w:rPr>
        <w:t>Working with others effectively includes one’s ability to interact effectively with others including knowing when to contribute, when to listen, and respecting different values and opinions</w:t>
      </w:r>
      <w:r w:rsidR="006144D2">
        <w:rPr>
          <w:rFonts w:ascii="Arial" w:hAnsi="Arial" w:cs="Arial"/>
          <w:sz w:val="20"/>
          <w:szCs w:val="20"/>
        </w:rPr>
        <w:t>”</w:t>
      </w:r>
      <w:r w:rsidRPr="0095031B">
        <w:rPr>
          <w:rFonts w:ascii="Arial" w:hAnsi="Arial" w:cs="Arial"/>
          <w:sz w:val="20"/>
          <w:szCs w:val="20"/>
        </w:rPr>
        <w:t xml:space="preserve"> (</w:t>
      </w:r>
      <w:r w:rsidR="006A7C38" w:rsidRPr="006A7C38">
        <w:rPr>
          <w:rFonts w:ascii="Arial" w:hAnsi="Arial" w:cs="Arial"/>
          <w:sz w:val="20"/>
          <w:szCs w:val="20"/>
        </w:rPr>
        <w:t>Ball et al., 2016</w:t>
      </w:r>
      <w:r w:rsidRPr="0095031B">
        <w:rPr>
          <w:rFonts w:ascii="Arial" w:hAnsi="Arial" w:cs="Arial"/>
          <w:sz w:val="20"/>
          <w:szCs w:val="20"/>
        </w:rPr>
        <w:t>).</w:t>
      </w:r>
    </w:p>
    <w:p w14:paraId="2ED8E476" w14:textId="51C15942" w:rsidR="00B43EAE" w:rsidRDefault="00B43EAE" w:rsidP="0095031B">
      <w:pPr>
        <w:jc w:val="both"/>
        <w:rPr>
          <w:rFonts w:ascii="Arial" w:hAnsi="Arial" w:cs="Arial"/>
          <w:sz w:val="20"/>
          <w:szCs w:val="20"/>
        </w:rPr>
      </w:pPr>
    </w:p>
    <w:p w14:paraId="35E1C2CE"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Apparently, in the field, teachers are encouraged to work collaboratively. This is an elucidation of the application of life and career skills in the teaching and learning process. The manifestation of high practices of teachers in their life and career skills are related to motivation.</w:t>
      </w:r>
    </w:p>
    <w:p w14:paraId="15C295E6" w14:textId="55B2EB7C" w:rsidR="001B1F82" w:rsidRDefault="0095031B" w:rsidP="0095031B">
      <w:pPr>
        <w:jc w:val="both"/>
        <w:rPr>
          <w:rFonts w:ascii="Arial" w:hAnsi="Arial" w:cs="Arial"/>
          <w:sz w:val="20"/>
          <w:szCs w:val="20"/>
        </w:rPr>
      </w:pPr>
      <w:r w:rsidRPr="0095031B">
        <w:rPr>
          <w:rFonts w:ascii="Arial" w:hAnsi="Arial" w:cs="Arial"/>
          <w:sz w:val="20"/>
          <w:szCs w:val="20"/>
        </w:rPr>
        <w:t xml:space="preserve">In general, the 21st century practices of the teachers are highly observed and manifested most of the times. The study affirms the works of </w:t>
      </w:r>
      <w:proofErr w:type="spellStart"/>
      <w:r w:rsidRPr="0095031B">
        <w:rPr>
          <w:rFonts w:ascii="Arial" w:hAnsi="Arial" w:cs="Arial"/>
          <w:sz w:val="20"/>
          <w:szCs w:val="20"/>
        </w:rPr>
        <w:t>Clother</w:t>
      </w:r>
      <w:proofErr w:type="spellEnd"/>
      <w:r w:rsidRPr="0095031B">
        <w:rPr>
          <w:rFonts w:ascii="Arial" w:hAnsi="Arial" w:cs="Arial"/>
          <w:sz w:val="20"/>
          <w:szCs w:val="20"/>
        </w:rPr>
        <w:t xml:space="preserve">, etc. al, 2008, that teachers claiming to be experts in the field are those who have served from ten years and up to be able to acquire the knowledge and skills needed in this 21st century. Furthermore, the findings of </w:t>
      </w:r>
      <w:proofErr w:type="spellStart"/>
      <w:r w:rsidRPr="0095031B">
        <w:rPr>
          <w:rFonts w:ascii="Arial" w:hAnsi="Arial" w:cs="Arial"/>
          <w:sz w:val="20"/>
          <w:szCs w:val="20"/>
        </w:rPr>
        <w:t>Corpuz</w:t>
      </w:r>
      <w:proofErr w:type="spellEnd"/>
      <w:r w:rsidRPr="0095031B">
        <w:rPr>
          <w:rFonts w:ascii="Arial" w:hAnsi="Arial" w:cs="Arial"/>
          <w:sz w:val="20"/>
          <w:szCs w:val="20"/>
        </w:rPr>
        <w:t xml:space="preserve"> (2013) expressed that the type of teacher demanded by the K-12 curriculum is one fully equipped in the 21st century. They are multi-literate, multi-skilled, and multi-specialist. Anent to this, </w:t>
      </w:r>
      <w:proofErr w:type="spellStart"/>
      <w:r w:rsidRPr="0095031B">
        <w:rPr>
          <w:rFonts w:ascii="Arial" w:hAnsi="Arial" w:cs="Arial"/>
          <w:sz w:val="20"/>
          <w:szCs w:val="20"/>
        </w:rPr>
        <w:t>Corpuz</w:t>
      </w:r>
      <w:proofErr w:type="spellEnd"/>
      <w:r w:rsidRPr="0095031B">
        <w:rPr>
          <w:rFonts w:ascii="Arial" w:hAnsi="Arial" w:cs="Arial"/>
          <w:sz w:val="20"/>
          <w:szCs w:val="20"/>
        </w:rPr>
        <w:t xml:space="preserve"> &amp; </w:t>
      </w:r>
      <w:proofErr w:type="spellStart"/>
      <w:r w:rsidRPr="0095031B">
        <w:rPr>
          <w:rFonts w:ascii="Arial" w:hAnsi="Arial" w:cs="Arial"/>
          <w:sz w:val="20"/>
          <w:szCs w:val="20"/>
        </w:rPr>
        <w:t>Salandanan</w:t>
      </w:r>
      <w:proofErr w:type="spellEnd"/>
      <w:r w:rsidRPr="0095031B">
        <w:rPr>
          <w:rFonts w:ascii="Arial" w:hAnsi="Arial" w:cs="Arial"/>
          <w:sz w:val="20"/>
          <w:szCs w:val="20"/>
        </w:rPr>
        <w:t xml:space="preserve"> (2012) stated that, in order to remain relevant and interesting, the teacher must possess 21st-century skills.</w:t>
      </w:r>
      <w:r w:rsidR="00B43EAE">
        <w:rPr>
          <w:rFonts w:ascii="Arial" w:hAnsi="Arial" w:cs="Arial"/>
          <w:sz w:val="20"/>
          <w:szCs w:val="20"/>
        </w:rPr>
        <w:t xml:space="preserve"> </w:t>
      </w:r>
      <w:proofErr w:type="gramStart"/>
      <w:r w:rsidR="006C3E85" w:rsidRPr="001B1F82">
        <w:rPr>
          <w:rFonts w:ascii="Arial" w:hAnsi="Arial" w:cs="Arial"/>
          <w:sz w:val="20"/>
          <w:szCs w:val="20"/>
        </w:rPr>
        <w:t>Furthermore</w:t>
      </w:r>
      <w:proofErr w:type="gramEnd"/>
      <w:r w:rsidR="006C3E85" w:rsidRPr="001B1F82">
        <w:rPr>
          <w:rFonts w:ascii="Arial" w:hAnsi="Arial" w:cs="Arial"/>
          <w:sz w:val="20"/>
          <w:szCs w:val="20"/>
        </w:rPr>
        <w:t xml:space="preserve">, Loy (2006) in his study on effective teacher communication skills and teacher quality was able to demonstrate that communication skills can have an impact on certain student achievement scores. Similarly, Khan et al. (2017) research have arrived at conclusion that teacher communication skills have significant role in the academic achievement of the students. More so, it can be gleaned in the study of </w:t>
      </w:r>
      <w:proofErr w:type="spellStart"/>
      <w:r w:rsidR="006C3E85" w:rsidRPr="001B1F82">
        <w:rPr>
          <w:rFonts w:ascii="Arial" w:hAnsi="Arial" w:cs="Arial"/>
          <w:sz w:val="20"/>
          <w:szCs w:val="20"/>
        </w:rPr>
        <w:t>Wrahatnolo</w:t>
      </w:r>
      <w:proofErr w:type="spellEnd"/>
      <w:r w:rsidR="006C3E85" w:rsidRPr="001B1F82">
        <w:rPr>
          <w:rFonts w:ascii="Arial" w:hAnsi="Arial" w:cs="Arial"/>
          <w:sz w:val="20"/>
          <w:szCs w:val="20"/>
        </w:rPr>
        <w:t xml:space="preserve"> and </w:t>
      </w:r>
      <w:proofErr w:type="spellStart"/>
      <w:r w:rsidR="006C3E85" w:rsidRPr="001B1F82">
        <w:rPr>
          <w:rFonts w:ascii="Arial" w:hAnsi="Arial" w:cs="Arial"/>
          <w:sz w:val="20"/>
          <w:szCs w:val="20"/>
        </w:rPr>
        <w:t>Munoto</w:t>
      </w:r>
      <w:proofErr w:type="spellEnd"/>
      <w:r w:rsidR="006C3E85" w:rsidRPr="001B1F82">
        <w:rPr>
          <w:rFonts w:ascii="Arial" w:hAnsi="Arial" w:cs="Arial"/>
          <w:sz w:val="20"/>
          <w:szCs w:val="20"/>
        </w:rPr>
        <w:t xml:space="preserve"> (2018) about 21st century’s skill implication on educational system that one of the 21st century’s skills of teachers needed in the curriculum is communication skills. Hence, the implications for teachers are they need develop this skill </w:t>
      </w:r>
      <w:r w:rsidR="006C3E85" w:rsidRPr="001B1F82">
        <w:rPr>
          <w:rFonts w:ascii="Arial" w:hAnsi="Arial" w:cs="Arial"/>
          <w:sz w:val="20"/>
          <w:szCs w:val="20"/>
        </w:rPr>
        <w:lastRenderedPageBreak/>
        <w:t>themselves and change and improve skills to enable them to effectively teach content and skills among learner.</w:t>
      </w:r>
    </w:p>
    <w:p w14:paraId="57638DC5" w14:textId="77777777" w:rsidR="00AE5D5E" w:rsidRDefault="00AE5D5E" w:rsidP="0044055D">
      <w:pPr>
        <w:jc w:val="both"/>
        <w:rPr>
          <w:rFonts w:ascii="Arial" w:hAnsi="Arial" w:cs="Arial"/>
          <w:sz w:val="20"/>
          <w:szCs w:val="20"/>
        </w:rPr>
      </w:pPr>
    </w:p>
    <w:p w14:paraId="70B77311" w14:textId="77777777" w:rsidR="001B1F82" w:rsidRPr="00834973" w:rsidRDefault="006C3E85" w:rsidP="00E56CB6">
      <w:pPr>
        <w:jc w:val="both"/>
        <w:rPr>
          <w:rFonts w:ascii="Arial" w:hAnsi="Arial" w:cs="Arial"/>
          <w:b/>
          <w:bCs/>
          <w:sz w:val="22"/>
          <w:szCs w:val="22"/>
        </w:rPr>
      </w:pPr>
      <w:r w:rsidRPr="00834973">
        <w:rPr>
          <w:rFonts w:ascii="Arial" w:hAnsi="Arial" w:cs="Arial"/>
          <w:b/>
          <w:bCs/>
          <w:sz w:val="22"/>
          <w:szCs w:val="22"/>
        </w:rPr>
        <w:t>Level of Performance of Grade VI Teachers</w:t>
      </w:r>
    </w:p>
    <w:p w14:paraId="32BF7F4D" w14:textId="4E760587" w:rsidR="001B1F82" w:rsidRDefault="006C3E85" w:rsidP="0044055D">
      <w:pPr>
        <w:jc w:val="both"/>
        <w:rPr>
          <w:rFonts w:ascii="Arial" w:hAnsi="Arial" w:cs="Arial"/>
          <w:sz w:val="20"/>
          <w:szCs w:val="20"/>
        </w:rPr>
      </w:pPr>
      <w:r w:rsidRPr="001B1F82">
        <w:rPr>
          <w:rFonts w:ascii="Arial" w:hAnsi="Arial" w:cs="Arial"/>
          <w:sz w:val="20"/>
          <w:szCs w:val="20"/>
        </w:rPr>
        <w:t xml:space="preserve">In Table </w:t>
      </w:r>
      <w:r w:rsidR="00E800EC">
        <w:rPr>
          <w:rFonts w:ascii="Arial" w:hAnsi="Arial" w:cs="Arial"/>
          <w:sz w:val="20"/>
          <w:szCs w:val="20"/>
        </w:rPr>
        <w:t>6</w:t>
      </w:r>
      <w:r w:rsidRPr="001B1F82">
        <w:rPr>
          <w:rFonts w:ascii="Arial" w:hAnsi="Arial" w:cs="Arial"/>
          <w:sz w:val="20"/>
          <w:szCs w:val="20"/>
        </w:rPr>
        <w:t xml:space="preserve">, it shows the Level of Teaching Performance of Grade VI teachers in Public Elementary School. Values were solved by getting the weighted average of the each KRA of IPCR of teachers in their yearly performance review. </w:t>
      </w:r>
    </w:p>
    <w:p w14:paraId="04190464" w14:textId="77777777" w:rsidR="001B1F82" w:rsidRDefault="006C3E85" w:rsidP="0044055D">
      <w:pPr>
        <w:jc w:val="both"/>
        <w:rPr>
          <w:rFonts w:ascii="Arial" w:hAnsi="Arial" w:cs="Arial"/>
          <w:sz w:val="20"/>
          <w:szCs w:val="20"/>
        </w:rPr>
      </w:pPr>
      <w:r w:rsidRPr="001B1F82">
        <w:rPr>
          <w:rFonts w:ascii="Arial" w:hAnsi="Arial" w:cs="Arial"/>
          <w:sz w:val="20"/>
          <w:szCs w:val="20"/>
        </w:rPr>
        <w:t xml:space="preserve">It reveals that the overall level of teaching performance of Grade VI teachers is 3.957 or equivalent to adjectival rating of very satisfactory. This further means that performance exceeded expectations. The teachers have accomplished all goals, objectives, and targets were achieved above the established standards (DepEd Oder No. 2 s.2015). </w:t>
      </w:r>
    </w:p>
    <w:p w14:paraId="26163088" w14:textId="751E146C" w:rsidR="001B1F82" w:rsidRPr="00DA36EB" w:rsidRDefault="006C3E85" w:rsidP="0044055D">
      <w:pPr>
        <w:jc w:val="both"/>
        <w:rPr>
          <w:rFonts w:ascii="Arial" w:hAnsi="Arial" w:cs="Arial"/>
          <w:b/>
          <w:bCs/>
          <w:sz w:val="20"/>
          <w:szCs w:val="20"/>
        </w:rPr>
      </w:pPr>
      <w:r w:rsidRPr="00DA36EB">
        <w:rPr>
          <w:rFonts w:ascii="Arial" w:hAnsi="Arial" w:cs="Arial"/>
          <w:b/>
          <w:bCs/>
          <w:sz w:val="20"/>
          <w:szCs w:val="20"/>
        </w:rPr>
        <w:t xml:space="preserve">Table </w:t>
      </w:r>
      <w:r w:rsidR="00E800EC">
        <w:rPr>
          <w:rFonts w:ascii="Arial" w:hAnsi="Arial" w:cs="Arial"/>
          <w:b/>
          <w:bCs/>
          <w:sz w:val="20"/>
          <w:szCs w:val="20"/>
        </w:rPr>
        <w:t>6</w:t>
      </w:r>
      <w:r w:rsidRPr="00DA36EB">
        <w:rPr>
          <w:rFonts w:ascii="Arial" w:hAnsi="Arial" w:cs="Arial"/>
          <w:b/>
          <w:bCs/>
          <w:sz w:val="20"/>
          <w:szCs w:val="20"/>
        </w:rPr>
        <w:t xml:space="preserve"> Level of Performance of Grade VI Teachers</w:t>
      </w:r>
    </w:p>
    <w:tbl>
      <w:tblPr>
        <w:tblStyle w:val="TableGrid"/>
        <w:tblW w:w="0" w:type="auto"/>
        <w:tblLook w:val="04A0" w:firstRow="1" w:lastRow="0" w:firstColumn="1" w:lastColumn="0" w:noHBand="0" w:noVBand="1"/>
      </w:tblPr>
      <w:tblGrid>
        <w:gridCol w:w="2164"/>
        <w:gridCol w:w="2164"/>
        <w:gridCol w:w="2164"/>
        <w:gridCol w:w="2165"/>
      </w:tblGrid>
      <w:tr w:rsidR="00DA36EB" w:rsidRPr="00834973" w14:paraId="7D0A22F1" w14:textId="77777777" w:rsidTr="004003A5">
        <w:tc>
          <w:tcPr>
            <w:tcW w:w="2164" w:type="dxa"/>
          </w:tcPr>
          <w:p w14:paraId="4EAB9B75"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Dependent Variables</w:t>
            </w:r>
          </w:p>
        </w:tc>
        <w:tc>
          <w:tcPr>
            <w:tcW w:w="2164" w:type="dxa"/>
          </w:tcPr>
          <w:p w14:paraId="2877B77D"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Mean</w:t>
            </w:r>
          </w:p>
        </w:tc>
        <w:tc>
          <w:tcPr>
            <w:tcW w:w="2164" w:type="dxa"/>
          </w:tcPr>
          <w:p w14:paraId="13C7040A" w14:textId="77777777" w:rsidR="00DA36EB" w:rsidRPr="00834973" w:rsidRDefault="00DA36EB" w:rsidP="004003A5">
            <w:pPr>
              <w:jc w:val="center"/>
              <w:rPr>
                <w:rFonts w:ascii="Arial" w:hAnsi="Arial" w:cs="Arial"/>
                <w:b/>
                <w:sz w:val="20"/>
                <w:szCs w:val="20"/>
              </w:rPr>
            </w:pPr>
            <w:r w:rsidRPr="00834973">
              <w:rPr>
                <w:rFonts w:ascii="Arial" w:hAnsi="Arial" w:cs="Arial"/>
                <w:b/>
                <w:sz w:val="20"/>
                <w:szCs w:val="20"/>
              </w:rPr>
              <w:t>SD</w:t>
            </w:r>
          </w:p>
        </w:tc>
        <w:tc>
          <w:tcPr>
            <w:tcW w:w="2165" w:type="dxa"/>
          </w:tcPr>
          <w:p w14:paraId="54F2AE00" w14:textId="77777777" w:rsidR="00DA36EB" w:rsidRPr="00834973" w:rsidRDefault="00DA36EB" w:rsidP="004003A5">
            <w:pPr>
              <w:spacing w:line="480" w:lineRule="auto"/>
              <w:jc w:val="center"/>
              <w:rPr>
                <w:rFonts w:ascii="Arial" w:hAnsi="Arial" w:cs="Arial"/>
                <w:b/>
                <w:sz w:val="20"/>
                <w:szCs w:val="20"/>
              </w:rPr>
            </w:pPr>
            <w:r w:rsidRPr="00834973">
              <w:rPr>
                <w:rFonts w:ascii="Arial" w:hAnsi="Arial" w:cs="Arial"/>
                <w:b/>
                <w:sz w:val="20"/>
                <w:szCs w:val="20"/>
              </w:rPr>
              <w:t>Adjectival Rating</w:t>
            </w:r>
          </w:p>
        </w:tc>
      </w:tr>
      <w:tr w:rsidR="00DA36EB" w:rsidRPr="00834973" w14:paraId="7F997864" w14:textId="77777777" w:rsidTr="004003A5">
        <w:tc>
          <w:tcPr>
            <w:tcW w:w="2164" w:type="dxa"/>
          </w:tcPr>
          <w:p w14:paraId="08EB7BCE"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Teaching and Learning Process</w:t>
            </w:r>
          </w:p>
        </w:tc>
        <w:tc>
          <w:tcPr>
            <w:tcW w:w="2164" w:type="dxa"/>
          </w:tcPr>
          <w:p w14:paraId="4CF931E0"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1.496</w:t>
            </w:r>
          </w:p>
        </w:tc>
        <w:tc>
          <w:tcPr>
            <w:tcW w:w="2164" w:type="dxa"/>
            <w:vAlign w:val="center"/>
          </w:tcPr>
          <w:p w14:paraId="0EFB4661"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0.404</w:t>
            </w:r>
          </w:p>
        </w:tc>
        <w:tc>
          <w:tcPr>
            <w:tcW w:w="2165" w:type="dxa"/>
            <w:vMerge w:val="restart"/>
            <w:vAlign w:val="center"/>
          </w:tcPr>
          <w:p w14:paraId="58C7AF35" w14:textId="77777777" w:rsidR="00DA36EB" w:rsidRPr="00834973" w:rsidRDefault="00DA36EB" w:rsidP="004003A5">
            <w:pPr>
              <w:spacing w:line="480" w:lineRule="auto"/>
              <w:jc w:val="both"/>
              <w:rPr>
                <w:rFonts w:ascii="Arial" w:hAnsi="Arial" w:cs="Arial"/>
                <w:sz w:val="20"/>
                <w:szCs w:val="20"/>
              </w:rPr>
            </w:pPr>
            <w:r w:rsidRPr="00834973">
              <w:rPr>
                <w:rFonts w:ascii="Arial" w:hAnsi="Arial" w:cs="Arial"/>
                <w:b/>
                <w:sz w:val="20"/>
                <w:szCs w:val="20"/>
              </w:rPr>
              <w:t>Very Satisfactory</w:t>
            </w:r>
          </w:p>
        </w:tc>
      </w:tr>
      <w:tr w:rsidR="00DA36EB" w:rsidRPr="00834973" w14:paraId="7343BD96" w14:textId="77777777" w:rsidTr="004003A5">
        <w:tc>
          <w:tcPr>
            <w:tcW w:w="2164" w:type="dxa"/>
          </w:tcPr>
          <w:p w14:paraId="3DAC82FF"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Pupil’s Outcome</w:t>
            </w:r>
          </w:p>
        </w:tc>
        <w:tc>
          <w:tcPr>
            <w:tcW w:w="2164" w:type="dxa"/>
            <w:vAlign w:val="center"/>
          </w:tcPr>
          <w:p w14:paraId="1E2A556B"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1.012</w:t>
            </w:r>
          </w:p>
        </w:tc>
        <w:tc>
          <w:tcPr>
            <w:tcW w:w="2164" w:type="dxa"/>
            <w:vAlign w:val="center"/>
          </w:tcPr>
          <w:p w14:paraId="591BA91C"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1.012</w:t>
            </w:r>
          </w:p>
        </w:tc>
        <w:tc>
          <w:tcPr>
            <w:tcW w:w="2165" w:type="dxa"/>
            <w:vMerge/>
            <w:vAlign w:val="center"/>
          </w:tcPr>
          <w:p w14:paraId="15337CB4" w14:textId="77777777" w:rsidR="00DA36EB" w:rsidRPr="00834973" w:rsidRDefault="00DA36EB" w:rsidP="004003A5">
            <w:pPr>
              <w:spacing w:line="480" w:lineRule="auto"/>
              <w:jc w:val="both"/>
              <w:rPr>
                <w:rFonts w:ascii="Arial" w:hAnsi="Arial" w:cs="Arial"/>
                <w:sz w:val="20"/>
                <w:szCs w:val="20"/>
              </w:rPr>
            </w:pPr>
          </w:p>
        </w:tc>
      </w:tr>
      <w:tr w:rsidR="00DA36EB" w:rsidRPr="00834973" w14:paraId="282BE9D7" w14:textId="77777777" w:rsidTr="004003A5">
        <w:tc>
          <w:tcPr>
            <w:tcW w:w="2164" w:type="dxa"/>
          </w:tcPr>
          <w:p w14:paraId="08CD062D"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Community Involvement</w:t>
            </w:r>
          </w:p>
        </w:tc>
        <w:tc>
          <w:tcPr>
            <w:tcW w:w="2164" w:type="dxa"/>
          </w:tcPr>
          <w:p w14:paraId="3C72A85E"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0.611</w:t>
            </w:r>
          </w:p>
        </w:tc>
        <w:tc>
          <w:tcPr>
            <w:tcW w:w="2164" w:type="dxa"/>
          </w:tcPr>
          <w:p w14:paraId="15B1E495"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0.206</w:t>
            </w:r>
          </w:p>
        </w:tc>
        <w:tc>
          <w:tcPr>
            <w:tcW w:w="2165" w:type="dxa"/>
            <w:vMerge/>
          </w:tcPr>
          <w:p w14:paraId="649AF813" w14:textId="77777777" w:rsidR="00DA36EB" w:rsidRPr="00834973" w:rsidRDefault="00DA36EB" w:rsidP="004003A5">
            <w:pPr>
              <w:spacing w:line="480" w:lineRule="auto"/>
              <w:jc w:val="both"/>
              <w:rPr>
                <w:rFonts w:ascii="Arial" w:hAnsi="Arial" w:cs="Arial"/>
                <w:sz w:val="20"/>
                <w:szCs w:val="20"/>
              </w:rPr>
            </w:pPr>
          </w:p>
        </w:tc>
      </w:tr>
      <w:tr w:rsidR="00DA36EB" w:rsidRPr="00834973" w14:paraId="1FB784F3" w14:textId="77777777" w:rsidTr="004003A5">
        <w:tc>
          <w:tcPr>
            <w:tcW w:w="2164" w:type="dxa"/>
          </w:tcPr>
          <w:p w14:paraId="37B69707" w14:textId="77777777" w:rsidR="00DA36EB" w:rsidRPr="00834973" w:rsidRDefault="00DA36EB" w:rsidP="004003A5">
            <w:pPr>
              <w:jc w:val="both"/>
              <w:rPr>
                <w:rFonts w:ascii="Arial" w:hAnsi="Arial" w:cs="Arial"/>
                <w:sz w:val="20"/>
                <w:szCs w:val="20"/>
              </w:rPr>
            </w:pPr>
            <w:r w:rsidRPr="00834973">
              <w:rPr>
                <w:rFonts w:ascii="Arial" w:hAnsi="Arial" w:cs="Arial"/>
                <w:sz w:val="20"/>
                <w:szCs w:val="20"/>
              </w:rPr>
              <w:t>Professional Growth and Development</w:t>
            </w:r>
          </w:p>
        </w:tc>
        <w:tc>
          <w:tcPr>
            <w:tcW w:w="2164" w:type="dxa"/>
            <w:vAlign w:val="center"/>
          </w:tcPr>
          <w:p w14:paraId="72CCAAAD"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0.839</w:t>
            </w:r>
          </w:p>
        </w:tc>
        <w:tc>
          <w:tcPr>
            <w:tcW w:w="2164" w:type="dxa"/>
            <w:vAlign w:val="center"/>
          </w:tcPr>
          <w:p w14:paraId="30BCA576" w14:textId="77777777" w:rsidR="00DA36EB" w:rsidRPr="00834973" w:rsidRDefault="00DA36EB" w:rsidP="004003A5">
            <w:pPr>
              <w:jc w:val="center"/>
              <w:rPr>
                <w:rFonts w:ascii="Arial" w:hAnsi="Arial" w:cs="Arial"/>
                <w:sz w:val="20"/>
                <w:szCs w:val="20"/>
              </w:rPr>
            </w:pPr>
            <w:r w:rsidRPr="00834973">
              <w:rPr>
                <w:rFonts w:ascii="Arial" w:eastAsia="Times New Roman" w:hAnsi="Arial" w:cs="Arial"/>
                <w:sz w:val="20"/>
                <w:szCs w:val="20"/>
              </w:rPr>
              <w:t>0.318</w:t>
            </w:r>
          </w:p>
        </w:tc>
        <w:tc>
          <w:tcPr>
            <w:tcW w:w="2165" w:type="dxa"/>
            <w:vMerge/>
          </w:tcPr>
          <w:p w14:paraId="50246806" w14:textId="77777777" w:rsidR="00DA36EB" w:rsidRPr="00834973" w:rsidRDefault="00DA36EB" w:rsidP="004003A5">
            <w:pPr>
              <w:spacing w:line="480" w:lineRule="auto"/>
              <w:jc w:val="both"/>
              <w:rPr>
                <w:rFonts w:ascii="Arial" w:hAnsi="Arial" w:cs="Arial"/>
                <w:sz w:val="20"/>
                <w:szCs w:val="20"/>
              </w:rPr>
            </w:pPr>
          </w:p>
        </w:tc>
      </w:tr>
      <w:tr w:rsidR="00DA36EB" w:rsidRPr="00834973" w14:paraId="222DD679" w14:textId="77777777" w:rsidTr="004003A5">
        <w:tc>
          <w:tcPr>
            <w:tcW w:w="2164" w:type="dxa"/>
          </w:tcPr>
          <w:p w14:paraId="5E741ECA" w14:textId="77777777" w:rsidR="00DA36EB" w:rsidRPr="00834973" w:rsidRDefault="00DA36EB" w:rsidP="004003A5">
            <w:pPr>
              <w:jc w:val="both"/>
              <w:rPr>
                <w:rFonts w:ascii="Arial" w:hAnsi="Arial" w:cs="Arial"/>
                <w:b/>
                <w:sz w:val="20"/>
                <w:szCs w:val="20"/>
              </w:rPr>
            </w:pPr>
            <w:r w:rsidRPr="00834973">
              <w:rPr>
                <w:rFonts w:ascii="Arial" w:hAnsi="Arial" w:cs="Arial"/>
                <w:b/>
                <w:sz w:val="20"/>
                <w:szCs w:val="20"/>
              </w:rPr>
              <w:t>Overall Teaching Performance</w:t>
            </w:r>
          </w:p>
        </w:tc>
        <w:tc>
          <w:tcPr>
            <w:tcW w:w="2164" w:type="dxa"/>
          </w:tcPr>
          <w:p w14:paraId="27CE1449" w14:textId="77777777" w:rsidR="00DA36EB" w:rsidRPr="00834973" w:rsidRDefault="00DA36EB" w:rsidP="004003A5">
            <w:pPr>
              <w:jc w:val="center"/>
              <w:rPr>
                <w:rFonts w:ascii="Arial" w:hAnsi="Arial" w:cs="Arial"/>
                <w:b/>
                <w:sz w:val="20"/>
                <w:szCs w:val="20"/>
              </w:rPr>
            </w:pPr>
            <w:r w:rsidRPr="00834973">
              <w:rPr>
                <w:rFonts w:ascii="Arial" w:eastAsia="Times New Roman" w:hAnsi="Arial" w:cs="Arial"/>
                <w:b/>
                <w:sz w:val="20"/>
                <w:szCs w:val="20"/>
              </w:rPr>
              <w:t>3.957</w:t>
            </w:r>
          </w:p>
        </w:tc>
        <w:tc>
          <w:tcPr>
            <w:tcW w:w="2164" w:type="dxa"/>
          </w:tcPr>
          <w:p w14:paraId="27ECF363" w14:textId="77777777" w:rsidR="00DA36EB" w:rsidRPr="00834973" w:rsidRDefault="00DA36EB" w:rsidP="004003A5">
            <w:pPr>
              <w:jc w:val="center"/>
              <w:rPr>
                <w:rFonts w:ascii="Arial" w:hAnsi="Arial" w:cs="Arial"/>
                <w:b/>
                <w:sz w:val="20"/>
                <w:szCs w:val="20"/>
              </w:rPr>
            </w:pPr>
            <w:r w:rsidRPr="00834973">
              <w:rPr>
                <w:rFonts w:ascii="Arial" w:eastAsia="Times New Roman" w:hAnsi="Arial" w:cs="Arial"/>
                <w:b/>
                <w:sz w:val="20"/>
                <w:szCs w:val="20"/>
              </w:rPr>
              <w:t>0.196</w:t>
            </w:r>
          </w:p>
        </w:tc>
        <w:tc>
          <w:tcPr>
            <w:tcW w:w="2165" w:type="dxa"/>
            <w:vMerge/>
          </w:tcPr>
          <w:p w14:paraId="4841DFA7" w14:textId="77777777" w:rsidR="00DA36EB" w:rsidRPr="00834973" w:rsidRDefault="00DA36EB" w:rsidP="004003A5">
            <w:pPr>
              <w:spacing w:line="480" w:lineRule="auto"/>
              <w:jc w:val="both"/>
              <w:rPr>
                <w:rFonts w:ascii="Arial" w:hAnsi="Arial" w:cs="Arial"/>
                <w:b/>
                <w:sz w:val="20"/>
                <w:szCs w:val="20"/>
              </w:rPr>
            </w:pPr>
          </w:p>
        </w:tc>
      </w:tr>
    </w:tbl>
    <w:p w14:paraId="163D7484" w14:textId="77777777" w:rsidR="00DA36EB" w:rsidRDefault="00DA36EB" w:rsidP="0044055D">
      <w:pPr>
        <w:jc w:val="both"/>
        <w:rPr>
          <w:rFonts w:ascii="Arial" w:hAnsi="Arial" w:cs="Arial"/>
          <w:sz w:val="20"/>
          <w:szCs w:val="20"/>
        </w:rPr>
      </w:pPr>
    </w:p>
    <w:p w14:paraId="604A8E5D" w14:textId="39B7D9D9"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The results of the study agree in the findings of Roberto and Madrigal (2019) in their study about quality in the light of the Philippine professional standards for teachers, in which it revealed that the level of teaching standards competence and performance of basic education teachers as assessed by the principals and teachers themselves were proficient and highly satisfactory, respectively. Hence, </w:t>
      </w:r>
      <w:r w:rsidR="006A7C38">
        <w:rPr>
          <w:rFonts w:ascii="Arial" w:hAnsi="Arial" w:cs="Arial"/>
          <w:sz w:val="20"/>
          <w:szCs w:val="20"/>
        </w:rPr>
        <w:t>“</w:t>
      </w:r>
      <w:r w:rsidRPr="0095031B">
        <w:rPr>
          <w:rFonts w:ascii="Arial" w:hAnsi="Arial" w:cs="Arial"/>
          <w:sz w:val="20"/>
          <w:szCs w:val="20"/>
        </w:rPr>
        <w:t>the attributes of highly effective teaching must be aimed to produce a common point of reference for effective practice in teaching and learning</w:t>
      </w:r>
      <w:r w:rsidR="006A7C38">
        <w:rPr>
          <w:rFonts w:ascii="Arial" w:hAnsi="Arial" w:cs="Arial"/>
          <w:sz w:val="20"/>
          <w:szCs w:val="20"/>
        </w:rPr>
        <w:t>”</w:t>
      </w:r>
      <w:r w:rsidRPr="0095031B">
        <w:rPr>
          <w:rFonts w:ascii="Arial" w:hAnsi="Arial" w:cs="Arial"/>
          <w:sz w:val="20"/>
          <w:szCs w:val="20"/>
        </w:rPr>
        <w:t xml:space="preserve"> (Rasool, et al., 2017).</w:t>
      </w:r>
    </w:p>
    <w:p w14:paraId="27447907" w14:textId="3A6AF117"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The highly satisfactory level of teaching performance attuned with following conditions needed for a teacher to reach satisfactory level performance: According to Ross and Bruce (2007), </w:t>
      </w:r>
      <w:r w:rsidR="006A7C38">
        <w:rPr>
          <w:rFonts w:ascii="Arial" w:hAnsi="Arial" w:cs="Arial"/>
          <w:sz w:val="20"/>
          <w:szCs w:val="20"/>
        </w:rPr>
        <w:t>“</w:t>
      </w:r>
      <w:r w:rsidRPr="0095031B">
        <w:rPr>
          <w:rFonts w:ascii="Arial" w:hAnsi="Arial" w:cs="Arial"/>
          <w:sz w:val="20"/>
          <w:szCs w:val="20"/>
        </w:rPr>
        <w:t>opportunities for teacher self-reflection and goal setting</w:t>
      </w:r>
      <w:r w:rsidR="006A7C38">
        <w:rPr>
          <w:rFonts w:ascii="Arial" w:hAnsi="Arial" w:cs="Arial"/>
          <w:sz w:val="20"/>
          <w:szCs w:val="20"/>
        </w:rPr>
        <w:t>”</w:t>
      </w:r>
      <w:r w:rsidRPr="0095031B">
        <w:rPr>
          <w:rFonts w:ascii="Arial" w:hAnsi="Arial" w:cs="Arial"/>
          <w:sz w:val="20"/>
          <w:szCs w:val="20"/>
        </w:rPr>
        <w:t xml:space="preserve">, </w:t>
      </w:r>
      <w:r w:rsidR="006A7C38">
        <w:rPr>
          <w:rFonts w:ascii="Arial" w:hAnsi="Arial" w:cs="Arial"/>
          <w:sz w:val="20"/>
          <w:szCs w:val="20"/>
        </w:rPr>
        <w:t>“</w:t>
      </w:r>
      <w:r w:rsidRPr="0095031B">
        <w:rPr>
          <w:rFonts w:ascii="Arial" w:hAnsi="Arial" w:cs="Arial"/>
          <w:sz w:val="20"/>
          <w:szCs w:val="20"/>
        </w:rPr>
        <w:t>regular classroom observation and the provision of constructive feedback from school leaders or managers and peers</w:t>
      </w:r>
      <w:r w:rsidR="006A7C38">
        <w:rPr>
          <w:rFonts w:ascii="Arial" w:hAnsi="Arial" w:cs="Arial"/>
          <w:sz w:val="20"/>
          <w:szCs w:val="20"/>
        </w:rPr>
        <w:t>”</w:t>
      </w:r>
      <w:r w:rsidRPr="0095031B">
        <w:rPr>
          <w:rFonts w:ascii="Arial" w:hAnsi="Arial" w:cs="Arial"/>
          <w:sz w:val="20"/>
          <w:szCs w:val="20"/>
        </w:rPr>
        <w:t xml:space="preserve"> (Avalos, 2011); </w:t>
      </w:r>
      <w:r w:rsidR="006A7C38">
        <w:rPr>
          <w:rFonts w:ascii="Arial" w:hAnsi="Arial" w:cs="Arial"/>
          <w:sz w:val="20"/>
          <w:szCs w:val="20"/>
        </w:rPr>
        <w:t>“</w:t>
      </w:r>
      <w:r w:rsidRPr="0095031B">
        <w:rPr>
          <w:rFonts w:ascii="Arial" w:hAnsi="Arial" w:cs="Arial"/>
          <w:sz w:val="20"/>
          <w:szCs w:val="20"/>
        </w:rPr>
        <w:t>frequent feedback on classroom performance as an ongoing dialogue not an annual discussion</w:t>
      </w:r>
      <w:r w:rsidR="006A7C38">
        <w:rPr>
          <w:rFonts w:ascii="Arial" w:hAnsi="Arial" w:cs="Arial"/>
          <w:sz w:val="20"/>
          <w:szCs w:val="20"/>
        </w:rPr>
        <w:t>”</w:t>
      </w:r>
      <w:r w:rsidRPr="0095031B">
        <w:rPr>
          <w:rFonts w:ascii="Arial" w:hAnsi="Arial" w:cs="Arial"/>
          <w:sz w:val="20"/>
          <w:szCs w:val="20"/>
        </w:rPr>
        <w:t xml:space="preserve"> (Wang, 2007); </w:t>
      </w:r>
      <w:r w:rsidR="006A7C38">
        <w:rPr>
          <w:rFonts w:ascii="Arial" w:hAnsi="Arial" w:cs="Arial"/>
          <w:sz w:val="20"/>
          <w:szCs w:val="20"/>
        </w:rPr>
        <w:t>“</w:t>
      </w:r>
      <w:r w:rsidRPr="0095031B">
        <w:rPr>
          <w:rFonts w:ascii="Arial" w:hAnsi="Arial" w:cs="Arial"/>
          <w:sz w:val="20"/>
          <w:szCs w:val="20"/>
        </w:rPr>
        <w:t>shadowing, coaching and mentoring from peers and leaders</w:t>
      </w:r>
      <w:r w:rsidR="006A7C38">
        <w:rPr>
          <w:rFonts w:ascii="Arial" w:hAnsi="Arial" w:cs="Arial"/>
          <w:sz w:val="20"/>
          <w:szCs w:val="20"/>
        </w:rPr>
        <w:t>”</w:t>
      </w:r>
      <w:r w:rsidRPr="0095031B">
        <w:rPr>
          <w:rFonts w:ascii="Arial" w:hAnsi="Arial" w:cs="Arial"/>
          <w:sz w:val="20"/>
          <w:szCs w:val="20"/>
        </w:rPr>
        <w:t xml:space="preserve"> (Steckel, 2009) and </w:t>
      </w:r>
      <w:r w:rsidR="006A7C38">
        <w:rPr>
          <w:rFonts w:ascii="Arial" w:hAnsi="Arial" w:cs="Arial"/>
          <w:sz w:val="20"/>
          <w:szCs w:val="20"/>
        </w:rPr>
        <w:t>“</w:t>
      </w:r>
      <w:r w:rsidRPr="0095031B">
        <w:rPr>
          <w:rFonts w:ascii="Arial" w:hAnsi="Arial" w:cs="Arial"/>
          <w:sz w:val="20"/>
          <w:szCs w:val="20"/>
        </w:rPr>
        <w:t>opportunities to contribute to and engage in teamwork, collaboration and action learning with other teachers</w:t>
      </w:r>
      <w:r w:rsidR="006A7C38">
        <w:rPr>
          <w:rFonts w:ascii="Arial" w:hAnsi="Arial" w:cs="Arial"/>
          <w:sz w:val="20"/>
          <w:szCs w:val="20"/>
        </w:rPr>
        <w:t>”</w:t>
      </w:r>
      <w:r w:rsidRPr="0095031B">
        <w:rPr>
          <w:rFonts w:ascii="Arial" w:hAnsi="Arial" w:cs="Arial"/>
          <w:sz w:val="20"/>
          <w:szCs w:val="20"/>
        </w:rPr>
        <w:t xml:space="preserve"> (Bean, 2007).</w:t>
      </w:r>
    </w:p>
    <w:p w14:paraId="34264E77" w14:textId="16E70188" w:rsidR="0095031B" w:rsidRDefault="0095031B" w:rsidP="0095031B">
      <w:pPr>
        <w:jc w:val="both"/>
        <w:rPr>
          <w:rFonts w:ascii="Arial" w:hAnsi="Arial" w:cs="Arial"/>
          <w:sz w:val="20"/>
          <w:szCs w:val="20"/>
        </w:rPr>
      </w:pPr>
      <w:r w:rsidRPr="0095031B">
        <w:rPr>
          <w:rFonts w:ascii="Arial" w:hAnsi="Arial" w:cs="Arial"/>
          <w:sz w:val="20"/>
          <w:szCs w:val="20"/>
        </w:rPr>
        <w:t xml:space="preserve">Moreover, the study corroborated with Hanif, Tariq and Nadeem (2011) that </w:t>
      </w:r>
      <w:r w:rsidR="006A7C38">
        <w:rPr>
          <w:rFonts w:ascii="Arial" w:hAnsi="Arial" w:cs="Arial"/>
          <w:sz w:val="20"/>
          <w:szCs w:val="20"/>
        </w:rPr>
        <w:t>“</w:t>
      </w:r>
      <w:r w:rsidRPr="0095031B">
        <w:rPr>
          <w:rFonts w:ascii="Arial" w:hAnsi="Arial" w:cs="Arial"/>
          <w:sz w:val="20"/>
          <w:szCs w:val="20"/>
        </w:rPr>
        <w:t>the performance of teachers is vital toward the achievement of educational success, thus, the need to keep the teachers abreast of the dynamic teaching standards arises. And for teachers to maintain excellent professional performance under these conditions, they must assume a personal responsibility for their own performance, growth, and development</w:t>
      </w:r>
      <w:r w:rsidR="006A7C38">
        <w:rPr>
          <w:rFonts w:ascii="Arial" w:hAnsi="Arial" w:cs="Arial"/>
          <w:sz w:val="20"/>
          <w:szCs w:val="20"/>
        </w:rPr>
        <w:t>”</w:t>
      </w:r>
      <w:r w:rsidRPr="0095031B">
        <w:rPr>
          <w:rFonts w:ascii="Arial" w:hAnsi="Arial" w:cs="Arial"/>
          <w:sz w:val="20"/>
          <w:szCs w:val="20"/>
        </w:rPr>
        <w:t>. Likewise, Darling and Hammond (2006) point out that teacher quality as the most important gauge in determining success of educational policies. In fact, teachers have more impact on student learning than any other factor controlled by the school system (Rivkin, Hanushek &amp; Kain,2005).</w:t>
      </w:r>
    </w:p>
    <w:p w14:paraId="2AEE9B08" w14:textId="24BAFA70" w:rsidR="00274949" w:rsidRDefault="006C3E85" w:rsidP="0095031B">
      <w:pPr>
        <w:jc w:val="both"/>
        <w:rPr>
          <w:rFonts w:ascii="Arial" w:hAnsi="Arial" w:cs="Arial"/>
          <w:b/>
          <w:bCs/>
          <w:sz w:val="20"/>
          <w:szCs w:val="20"/>
        </w:rPr>
      </w:pPr>
      <w:r w:rsidRPr="001B1F82">
        <w:rPr>
          <w:rFonts w:ascii="Arial" w:hAnsi="Arial" w:cs="Arial"/>
          <w:sz w:val="20"/>
          <w:szCs w:val="20"/>
        </w:rPr>
        <w:lastRenderedPageBreak/>
        <w:br/>
      </w:r>
      <w:r w:rsidRPr="00274949">
        <w:rPr>
          <w:rFonts w:ascii="Arial" w:hAnsi="Arial" w:cs="Arial"/>
          <w:b/>
          <w:bCs/>
          <w:sz w:val="20"/>
          <w:szCs w:val="20"/>
        </w:rPr>
        <w:t>Correlation between Public Elementary Teachers 21st Century Skills and Teaching Performance</w:t>
      </w:r>
    </w:p>
    <w:p w14:paraId="06907616" w14:textId="77777777" w:rsidR="0095031B" w:rsidRDefault="0095031B" w:rsidP="001B1F82">
      <w:pPr>
        <w:jc w:val="both"/>
        <w:rPr>
          <w:rFonts w:ascii="Arial" w:hAnsi="Arial" w:cs="Arial"/>
          <w:sz w:val="20"/>
          <w:szCs w:val="20"/>
        </w:rPr>
      </w:pPr>
      <w:r w:rsidRPr="0095031B">
        <w:rPr>
          <w:rFonts w:ascii="Arial" w:hAnsi="Arial" w:cs="Arial"/>
          <w:sz w:val="20"/>
          <w:szCs w:val="20"/>
        </w:rPr>
        <w:t>As shown in Table 7 using the Pearson Correlation Test for Strength of relationships, revealed that the correlation between Public Elementary Teachers 21st-century skills and their teaching performance (r=0.042; p=0.795) is non-significant. Likewise, all the specific 21st-century skills investigated had no relationship with the overall teaching performance, to wit: effective communications skills (r=0.028; p=0.862); learning and innovation skills (r=0.097; p=0.550); Information, Media and Technology Skills (r=-0.018; p=0.910); Life and Career Skills (r=0.052; p=0.752). Based on these findings, the researcher failed to reject the null hypothesis that states ‘there is no significant relationship between the 21st-century skills of public elementary teachers and their teaching performance of. These findings implied that the overall teaching performance of grade 6 teachers is not merely dependent on their 21st-century skills.</w:t>
      </w:r>
    </w:p>
    <w:p w14:paraId="2A6C9E15" w14:textId="77777777" w:rsidR="0095031B" w:rsidRDefault="0095031B" w:rsidP="001B1F82">
      <w:pPr>
        <w:jc w:val="both"/>
        <w:rPr>
          <w:rFonts w:ascii="Arial" w:hAnsi="Arial" w:cs="Arial"/>
          <w:sz w:val="20"/>
          <w:szCs w:val="20"/>
        </w:rPr>
      </w:pPr>
    </w:p>
    <w:p w14:paraId="3126C4BC" w14:textId="77777777" w:rsidR="0095031B" w:rsidRDefault="0095031B" w:rsidP="001B1F82">
      <w:pPr>
        <w:jc w:val="both"/>
        <w:rPr>
          <w:rFonts w:ascii="Arial" w:hAnsi="Arial" w:cs="Arial"/>
          <w:sz w:val="20"/>
          <w:szCs w:val="20"/>
        </w:rPr>
      </w:pPr>
    </w:p>
    <w:p w14:paraId="05694ED5" w14:textId="23F961B9" w:rsidR="00DA36EB" w:rsidRPr="00DA36EB" w:rsidRDefault="006C3E85" w:rsidP="001B1F82">
      <w:pPr>
        <w:jc w:val="both"/>
        <w:rPr>
          <w:rFonts w:ascii="Arial" w:hAnsi="Arial" w:cs="Arial"/>
          <w:b/>
          <w:bCs/>
          <w:sz w:val="20"/>
          <w:szCs w:val="20"/>
        </w:rPr>
      </w:pPr>
      <w:r w:rsidRPr="00DA36EB">
        <w:rPr>
          <w:rFonts w:ascii="Arial" w:hAnsi="Arial" w:cs="Arial"/>
          <w:b/>
          <w:bCs/>
          <w:sz w:val="20"/>
          <w:szCs w:val="20"/>
        </w:rPr>
        <w:t xml:space="preserve">Table </w:t>
      </w:r>
      <w:r w:rsidR="00E800EC">
        <w:rPr>
          <w:rFonts w:ascii="Arial" w:hAnsi="Arial" w:cs="Arial"/>
          <w:b/>
          <w:bCs/>
          <w:sz w:val="20"/>
          <w:szCs w:val="20"/>
        </w:rPr>
        <w:t>7</w:t>
      </w:r>
      <w:r w:rsidRPr="00DA36EB">
        <w:rPr>
          <w:rFonts w:ascii="Arial" w:hAnsi="Arial" w:cs="Arial"/>
          <w:b/>
          <w:bCs/>
          <w:sz w:val="20"/>
          <w:szCs w:val="20"/>
        </w:rPr>
        <w:t xml:space="preserve"> Correlation between Public Elementary Teachers 21st Century Skills and Teaching Performance</w:t>
      </w:r>
    </w:p>
    <w:tbl>
      <w:tblPr>
        <w:tblW w:w="8660"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5"/>
        <w:gridCol w:w="1510"/>
        <w:gridCol w:w="1095"/>
        <w:gridCol w:w="1072"/>
        <w:gridCol w:w="916"/>
        <w:gridCol w:w="1018"/>
        <w:gridCol w:w="1524"/>
      </w:tblGrid>
      <w:tr w:rsidR="00DA36EB" w:rsidRPr="00834973" w14:paraId="4C04B239" w14:textId="77777777" w:rsidTr="004003A5">
        <w:trPr>
          <w:trHeight w:val="240"/>
          <w:tblHeader/>
        </w:trPr>
        <w:tc>
          <w:tcPr>
            <w:tcW w:w="1525" w:type="dxa"/>
            <w:tcBorders>
              <w:top w:val="single" w:sz="4" w:space="0" w:color="auto"/>
              <w:bottom w:val="single" w:sz="4" w:space="0" w:color="auto"/>
            </w:tcBorders>
            <w:vAlign w:val="center"/>
            <w:hideMark/>
          </w:tcPr>
          <w:p w14:paraId="34020497" w14:textId="77777777" w:rsidR="00DA36EB" w:rsidRPr="00834973" w:rsidRDefault="00DA36EB" w:rsidP="004003A5">
            <w:pPr>
              <w:spacing w:after="0" w:line="480" w:lineRule="auto"/>
              <w:jc w:val="center"/>
              <w:rPr>
                <w:rFonts w:ascii="Arial" w:eastAsia="Times New Roman" w:hAnsi="Arial" w:cs="Arial"/>
                <w:b/>
                <w:bCs/>
                <w:sz w:val="20"/>
                <w:szCs w:val="20"/>
              </w:rPr>
            </w:pPr>
            <w:r w:rsidRPr="00834973">
              <w:rPr>
                <w:rFonts w:ascii="Arial" w:eastAsia="Times New Roman" w:hAnsi="Arial" w:cs="Arial"/>
                <w:b/>
                <w:bCs/>
                <w:sz w:val="20"/>
                <w:szCs w:val="20"/>
              </w:rPr>
              <w:t xml:space="preserve">  </w:t>
            </w:r>
          </w:p>
        </w:tc>
        <w:tc>
          <w:tcPr>
            <w:tcW w:w="1510" w:type="dxa"/>
            <w:tcBorders>
              <w:top w:val="single" w:sz="4" w:space="0" w:color="auto"/>
              <w:bottom w:val="single" w:sz="4" w:space="0" w:color="auto"/>
            </w:tcBorders>
            <w:vAlign w:val="center"/>
            <w:hideMark/>
          </w:tcPr>
          <w:p w14:paraId="4C76EC12"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 xml:space="preserve">  </w:t>
            </w:r>
          </w:p>
        </w:tc>
        <w:tc>
          <w:tcPr>
            <w:tcW w:w="1095" w:type="dxa"/>
            <w:tcBorders>
              <w:top w:val="single" w:sz="4" w:space="0" w:color="auto"/>
              <w:bottom w:val="single" w:sz="4" w:space="0" w:color="auto"/>
            </w:tcBorders>
            <w:vAlign w:val="center"/>
            <w:hideMark/>
          </w:tcPr>
          <w:p w14:paraId="094B58DE"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ECS</w:t>
            </w:r>
          </w:p>
        </w:tc>
        <w:tc>
          <w:tcPr>
            <w:tcW w:w="1072" w:type="dxa"/>
            <w:tcBorders>
              <w:top w:val="single" w:sz="4" w:space="0" w:color="auto"/>
              <w:bottom w:val="single" w:sz="4" w:space="0" w:color="auto"/>
            </w:tcBorders>
            <w:vAlign w:val="center"/>
            <w:hideMark/>
          </w:tcPr>
          <w:p w14:paraId="2A9CE676"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LIS</w:t>
            </w:r>
          </w:p>
        </w:tc>
        <w:tc>
          <w:tcPr>
            <w:tcW w:w="916" w:type="dxa"/>
            <w:tcBorders>
              <w:top w:val="single" w:sz="4" w:space="0" w:color="auto"/>
              <w:bottom w:val="single" w:sz="4" w:space="0" w:color="auto"/>
            </w:tcBorders>
            <w:vAlign w:val="center"/>
            <w:hideMark/>
          </w:tcPr>
          <w:p w14:paraId="6041FDFA"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IMTS</w:t>
            </w:r>
          </w:p>
        </w:tc>
        <w:tc>
          <w:tcPr>
            <w:tcW w:w="1018" w:type="dxa"/>
            <w:tcBorders>
              <w:top w:val="single" w:sz="4" w:space="0" w:color="auto"/>
              <w:bottom w:val="single" w:sz="4" w:space="0" w:color="auto"/>
            </w:tcBorders>
            <w:vAlign w:val="center"/>
            <w:hideMark/>
          </w:tcPr>
          <w:p w14:paraId="5EB95A1A"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LCS</w:t>
            </w:r>
          </w:p>
        </w:tc>
        <w:tc>
          <w:tcPr>
            <w:tcW w:w="1524" w:type="dxa"/>
            <w:tcBorders>
              <w:top w:val="single" w:sz="4" w:space="0" w:color="auto"/>
              <w:bottom w:val="single" w:sz="4" w:space="0" w:color="auto"/>
            </w:tcBorders>
            <w:vAlign w:val="center"/>
          </w:tcPr>
          <w:p w14:paraId="07C28212" w14:textId="77777777" w:rsidR="00DA36EB" w:rsidRPr="00834973" w:rsidRDefault="00DA36EB" w:rsidP="004003A5">
            <w:pPr>
              <w:spacing w:after="0" w:line="240" w:lineRule="auto"/>
              <w:jc w:val="center"/>
              <w:rPr>
                <w:rFonts w:ascii="Arial" w:eastAsia="Times New Roman" w:hAnsi="Arial" w:cs="Arial"/>
                <w:b/>
                <w:bCs/>
                <w:sz w:val="20"/>
                <w:szCs w:val="20"/>
              </w:rPr>
            </w:pPr>
            <w:r w:rsidRPr="00834973">
              <w:rPr>
                <w:rFonts w:ascii="Arial" w:eastAsia="Times New Roman" w:hAnsi="Arial" w:cs="Arial"/>
                <w:b/>
                <w:bCs/>
                <w:sz w:val="20"/>
                <w:szCs w:val="20"/>
              </w:rPr>
              <w:t xml:space="preserve">21st </w:t>
            </w:r>
          </w:p>
        </w:tc>
      </w:tr>
      <w:tr w:rsidR="00DA36EB" w:rsidRPr="00834973" w14:paraId="6188E7D0" w14:textId="77777777" w:rsidTr="004003A5">
        <w:trPr>
          <w:trHeight w:val="251"/>
        </w:trPr>
        <w:tc>
          <w:tcPr>
            <w:tcW w:w="1525" w:type="dxa"/>
            <w:vMerge w:val="restart"/>
            <w:tcBorders>
              <w:top w:val="single" w:sz="4" w:space="0" w:color="auto"/>
            </w:tcBorders>
            <w:vAlign w:val="center"/>
            <w:hideMark/>
          </w:tcPr>
          <w:p w14:paraId="6B360BB2"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1 </w:t>
            </w:r>
          </w:p>
        </w:tc>
        <w:tc>
          <w:tcPr>
            <w:tcW w:w="1510" w:type="dxa"/>
            <w:tcBorders>
              <w:top w:val="single" w:sz="4" w:space="0" w:color="auto"/>
            </w:tcBorders>
            <w:vAlign w:val="center"/>
            <w:hideMark/>
          </w:tcPr>
          <w:p w14:paraId="136BA773"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tcBorders>
              <w:top w:val="single" w:sz="4" w:space="0" w:color="auto"/>
            </w:tcBorders>
            <w:vAlign w:val="center"/>
            <w:hideMark/>
          </w:tcPr>
          <w:p w14:paraId="24039CF4"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-0.310</w:t>
            </w:r>
          </w:p>
        </w:tc>
        <w:tc>
          <w:tcPr>
            <w:tcW w:w="1072" w:type="dxa"/>
            <w:tcBorders>
              <w:top w:val="single" w:sz="4" w:space="0" w:color="auto"/>
            </w:tcBorders>
            <w:vAlign w:val="center"/>
            <w:hideMark/>
          </w:tcPr>
          <w:p w14:paraId="39A8FCA1"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-0.240</w:t>
            </w:r>
          </w:p>
        </w:tc>
        <w:tc>
          <w:tcPr>
            <w:tcW w:w="916" w:type="dxa"/>
            <w:tcBorders>
              <w:top w:val="single" w:sz="4" w:space="0" w:color="auto"/>
            </w:tcBorders>
            <w:vAlign w:val="center"/>
            <w:hideMark/>
          </w:tcPr>
          <w:p w14:paraId="22F08AFA"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-0.200</w:t>
            </w:r>
          </w:p>
        </w:tc>
        <w:tc>
          <w:tcPr>
            <w:tcW w:w="1018" w:type="dxa"/>
            <w:tcBorders>
              <w:top w:val="single" w:sz="4" w:space="0" w:color="auto"/>
            </w:tcBorders>
            <w:vAlign w:val="center"/>
            <w:hideMark/>
          </w:tcPr>
          <w:p w14:paraId="01104E2C"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-0.269</w:t>
            </w:r>
          </w:p>
        </w:tc>
        <w:tc>
          <w:tcPr>
            <w:tcW w:w="1524" w:type="dxa"/>
            <w:tcBorders>
              <w:top w:val="single" w:sz="4" w:space="0" w:color="auto"/>
            </w:tcBorders>
            <w:vAlign w:val="center"/>
            <w:hideMark/>
          </w:tcPr>
          <w:p w14:paraId="6993AE0C"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-0.278</w:t>
            </w:r>
          </w:p>
        </w:tc>
      </w:tr>
      <w:tr w:rsidR="00DA36EB" w:rsidRPr="00834973" w14:paraId="198D149A" w14:textId="77777777" w:rsidTr="004003A5">
        <w:trPr>
          <w:trHeight w:val="251"/>
        </w:trPr>
        <w:tc>
          <w:tcPr>
            <w:tcW w:w="1525" w:type="dxa"/>
            <w:vMerge/>
            <w:vAlign w:val="center"/>
            <w:hideMark/>
          </w:tcPr>
          <w:p w14:paraId="5C31F99E"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04420130"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7334394B" w14:textId="5D8F52D1"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0.051</w:t>
            </w:r>
            <w:r>
              <w:rPr>
                <w:rFonts w:ascii="Arial" w:eastAsia="Times New Roman" w:hAnsi="Arial" w:cs="Arial"/>
                <w:sz w:val="20"/>
                <w:szCs w:val="20"/>
              </w:rPr>
              <w:t>0</w:t>
            </w:r>
          </w:p>
        </w:tc>
        <w:tc>
          <w:tcPr>
            <w:tcW w:w="1072" w:type="dxa"/>
            <w:vAlign w:val="center"/>
            <w:hideMark/>
          </w:tcPr>
          <w:p w14:paraId="3586EE8E" w14:textId="7E7AB169"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0.136</w:t>
            </w:r>
            <w:r>
              <w:rPr>
                <w:rFonts w:ascii="Arial" w:eastAsia="Times New Roman" w:hAnsi="Arial" w:cs="Arial"/>
                <w:sz w:val="20"/>
                <w:szCs w:val="20"/>
              </w:rPr>
              <w:t>)</w:t>
            </w:r>
          </w:p>
        </w:tc>
        <w:tc>
          <w:tcPr>
            <w:tcW w:w="916" w:type="dxa"/>
            <w:vAlign w:val="center"/>
            <w:hideMark/>
          </w:tcPr>
          <w:p w14:paraId="147A7E41" w14:textId="2A99CB53"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0.217</w:t>
            </w:r>
            <w:r>
              <w:rPr>
                <w:rFonts w:ascii="Arial" w:eastAsia="Times New Roman" w:hAnsi="Arial" w:cs="Arial"/>
                <w:sz w:val="20"/>
                <w:szCs w:val="20"/>
              </w:rPr>
              <w:t>)</w:t>
            </w:r>
          </w:p>
        </w:tc>
        <w:tc>
          <w:tcPr>
            <w:tcW w:w="1018" w:type="dxa"/>
            <w:vAlign w:val="center"/>
            <w:hideMark/>
          </w:tcPr>
          <w:p w14:paraId="3A4A2DB9" w14:textId="247F04FA"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0.093</w:t>
            </w:r>
            <w:r>
              <w:rPr>
                <w:rFonts w:ascii="Arial" w:eastAsia="Times New Roman" w:hAnsi="Arial" w:cs="Arial"/>
                <w:sz w:val="20"/>
                <w:szCs w:val="20"/>
              </w:rPr>
              <w:t>)</w:t>
            </w:r>
          </w:p>
        </w:tc>
        <w:tc>
          <w:tcPr>
            <w:tcW w:w="1524" w:type="dxa"/>
            <w:vAlign w:val="center"/>
            <w:hideMark/>
          </w:tcPr>
          <w:p w14:paraId="4AC8EF31" w14:textId="5AC25E2E"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0.082</w:t>
            </w:r>
            <w:r>
              <w:rPr>
                <w:rFonts w:ascii="Arial" w:eastAsia="Times New Roman" w:hAnsi="Arial" w:cs="Arial"/>
                <w:b/>
                <w:sz w:val="20"/>
                <w:szCs w:val="20"/>
              </w:rPr>
              <w:t>)</w:t>
            </w:r>
          </w:p>
        </w:tc>
      </w:tr>
      <w:tr w:rsidR="00DA36EB" w:rsidRPr="00834973" w14:paraId="409519DF" w14:textId="77777777" w:rsidTr="004003A5">
        <w:trPr>
          <w:trHeight w:val="240"/>
        </w:trPr>
        <w:tc>
          <w:tcPr>
            <w:tcW w:w="1525" w:type="dxa"/>
            <w:vMerge w:val="restart"/>
            <w:vAlign w:val="center"/>
            <w:hideMark/>
          </w:tcPr>
          <w:p w14:paraId="545C1DB4"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2 </w:t>
            </w:r>
          </w:p>
        </w:tc>
        <w:tc>
          <w:tcPr>
            <w:tcW w:w="1510" w:type="dxa"/>
            <w:vAlign w:val="center"/>
            <w:hideMark/>
          </w:tcPr>
          <w:p w14:paraId="6CEC6059"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vAlign w:val="center"/>
            <w:hideMark/>
          </w:tcPr>
          <w:p w14:paraId="43392DF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0.017</w:t>
            </w:r>
          </w:p>
        </w:tc>
        <w:tc>
          <w:tcPr>
            <w:tcW w:w="1072" w:type="dxa"/>
            <w:vAlign w:val="center"/>
            <w:hideMark/>
          </w:tcPr>
          <w:p w14:paraId="03A64643"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0.077</w:t>
            </w:r>
          </w:p>
        </w:tc>
        <w:tc>
          <w:tcPr>
            <w:tcW w:w="916" w:type="dxa"/>
            <w:vAlign w:val="center"/>
            <w:hideMark/>
          </w:tcPr>
          <w:p w14:paraId="1CE23BC7"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0.137</w:t>
            </w:r>
          </w:p>
        </w:tc>
        <w:tc>
          <w:tcPr>
            <w:tcW w:w="1018" w:type="dxa"/>
            <w:vAlign w:val="center"/>
            <w:hideMark/>
          </w:tcPr>
          <w:p w14:paraId="2E1C070D"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0.032</w:t>
            </w:r>
          </w:p>
        </w:tc>
        <w:tc>
          <w:tcPr>
            <w:tcW w:w="1524" w:type="dxa"/>
            <w:vAlign w:val="center"/>
            <w:hideMark/>
          </w:tcPr>
          <w:p w14:paraId="04475BB0"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0.069</w:t>
            </w:r>
          </w:p>
        </w:tc>
      </w:tr>
      <w:tr w:rsidR="00DA36EB" w:rsidRPr="00834973" w14:paraId="57A6D456" w14:textId="77777777" w:rsidTr="004003A5">
        <w:trPr>
          <w:trHeight w:val="251"/>
        </w:trPr>
        <w:tc>
          <w:tcPr>
            <w:tcW w:w="1525" w:type="dxa"/>
            <w:vMerge/>
            <w:vAlign w:val="center"/>
            <w:hideMark/>
          </w:tcPr>
          <w:p w14:paraId="330E5CED"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490FAC91"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795C008D" w14:textId="483830B5"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0.917</w:t>
            </w:r>
            <w:r>
              <w:rPr>
                <w:rFonts w:ascii="Arial" w:eastAsia="Times New Roman" w:hAnsi="Arial" w:cs="Arial"/>
                <w:sz w:val="20"/>
                <w:szCs w:val="20"/>
              </w:rPr>
              <w:t>)</w:t>
            </w:r>
          </w:p>
        </w:tc>
        <w:tc>
          <w:tcPr>
            <w:tcW w:w="1072" w:type="dxa"/>
            <w:vAlign w:val="center"/>
            <w:hideMark/>
          </w:tcPr>
          <w:p w14:paraId="598E252C" w14:textId="670FFF2F"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0.636</w:t>
            </w:r>
            <w:r>
              <w:rPr>
                <w:rFonts w:ascii="Arial" w:eastAsia="Times New Roman" w:hAnsi="Arial" w:cs="Arial"/>
                <w:sz w:val="20"/>
                <w:szCs w:val="20"/>
              </w:rPr>
              <w:t>)</w:t>
            </w:r>
          </w:p>
        </w:tc>
        <w:tc>
          <w:tcPr>
            <w:tcW w:w="916" w:type="dxa"/>
            <w:vAlign w:val="center"/>
            <w:hideMark/>
          </w:tcPr>
          <w:p w14:paraId="3D34DDE1" w14:textId="616FE98A"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0.398</w:t>
            </w:r>
            <w:r>
              <w:rPr>
                <w:rFonts w:ascii="Arial" w:eastAsia="Times New Roman" w:hAnsi="Arial" w:cs="Arial"/>
                <w:sz w:val="20"/>
                <w:szCs w:val="20"/>
              </w:rPr>
              <w:t>)</w:t>
            </w:r>
          </w:p>
        </w:tc>
        <w:tc>
          <w:tcPr>
            <w:tcW w:w="1018" w:type="dxa"/>
            <w:vAlign w:val="center"/>
            <w:hideMark/>
          </w:tcPr>
          <w:p w14:paraId="3030D2DC" w14:textId="6A7D7966"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0.845</w:t>
            </w:r>
            <w:r>
              <w:rPr>
                <w:rFonts w:ascii="Arial" w:eastAsia="Times New Roman" w:hAnsi="Arial" w:cs="Arial"/>
                <w:sz w:val="20"/>
                <w:szCs w:val="20"/>
              </w:rPr>
              <w:t>)</w:t>
            </w:r>
          </w:p>
        </w:tc>
        <w:tc>
          <w:tcPr>
            <w:tcW w:w="1524" w:type="dxa"/>
            <w:vAlign w:val="center"/>
            <w:hideMark/>
          </w:tcPr>
          <w:p w14:paraId="5C161EC2" w14:textId="2A0F9E0D"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0.671</w:t>
            </w:r>
            <w:r>
              <w:rPr>
                <w:rFonts w:ascii="Arial" w:eastAsia="Times New Roman" w:hAnsi="Arial" w:cs="Arial"/>
                <w:b/>
                <w:sz w:val="20"/>
                <w:szCs w:val="20"/>
              </w:rPr>
              <w:t>)</w:t>
            </w:r>
          </w:p>
        </w:tc>
      </w:tr>
      <w:tr w:rsidR="00DA36EB" w:rsidRPr="00834973" w14:paraId="54FF7546" w14:textId="77777777" w:rsidTr="004003A5">
        <w:trPr>
          <w:trHeight w:val="251"/>
        </w:trPr>
        <w:tc>
          <w:tcPr>
            <w:tcW w:w="1525" w:type="dxa"/>
            <w:vMerge w:val="restart"/>
            <w:vAlign w:val="center"/>
            <w:hideMark/>
          </w:tcPr>
          <w:p w14:paraId="362CDB9B"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3 </w:t>
            </w:r>
          </w:p>
        </w:tc>
        <w:tc>
          <w:tcPr>
            <w:tcW w:w="1510" w:type="dxa"/>
            <w:vAlign w:val="center"/>
            <w:hideMark/>
          </w:tcPr>
          <w:p w14:paraId="71F1A684"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vAlign w:val="center"/>
            <w:hideMark/>
          </w:tcPr>
          <w:p w14:paraId="5E8E14A8"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0.191</w:t>
            </w:r>
          </w:p>
        </w:tc>
        <w:tc>
          <w:tcPr>
            <w:tcW w:w="1072" w:type="dxa"/>
            <w:vAlign w:val="center"/>
            <w:hideMark/>
          </w:tcPr>
          <w:p w14:paraId="0BBB50DE"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0.151</w:t>
            </w:r>
          </w:p>
        </w:tc>
        <w:tc>
          <w:tcPr>
            <w:tcW w:w="916" w:type="dxa"/>
            <w:vAlign w:val="center"/>
            <w:hideMark/>
          </w:tcPr>
          <w:p w14:paraId="2C1A1457"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0.031</w:t>
            </w:r>
          </w:p>
        </w:tc>
        <w:tc>
          <w:tcPr>
            <w:tcW w:w="1018" w:type="dxa"/>
            <w:vAlign w:val="center"/>
            <w:hideMark/>
          </w:tcPr>
          <w:p w14:paraId="7F8B1037"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0.125</w:t>
            </w:r>
          </w:p>
        </w:tc>
        <w:tc>
          <w:tcPr>
            <w:tcW w:w="1524" w:type="dxa"/>
            <w:vAlign w:val="center"/>
            <w:hideMark/>
          </w:tcPr>
          <w:p w14:paraId="14F9FA2E"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0.136</w:t>
            </w:r>
          </w:p>
        </w:tc>
      </w:tr>
      <w:tr w:rsidR="00DA36EB" w:rsidRPr="00834973" w14:paraId="1136BA7A" w14:textId="77777777" w:rsidTr="004003A5">
        <w:trPr>
          <w:trHeight w:val="251"/>
        </w:trPr>
        <w:tc>
          <w:tcPr>
            <w:tcW w:w="1525" w:type="dxa"/>
            <w:vMerge/>
            <w:vAlign w:val="center"/>
            <w:hideMark/>
          </w:tcPr>
          <w:p w14:paraId="6742F1F8"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0E499462"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37CE2C8C" w14:textId="0F2FACF5"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0.238</w:t>
            </w:r>
            <w:r>
              <w:rPr>
                <w:rFonts w:ascii="Arial" w:eastAsia="Times New Roman" w:hAnsi="Arial" w:cs="Arial"/>
                <w:sz w:val="20"/>
                <w:szCs w:val="20"/>
              </w:rPr>
              <w:t>)</w:t>
            </w:r>
          </w:p>
        </w:tc>
        <w:tc>
          <w:tcPr>
            <w:tcW w:w="1072" w:type="dxa"/>
            <w:vAlign w:val="center"/>
            <w:hideMark/>
          </w:tcPr>
          <w:p w14:paraId="7B8FD27E" w14:textId="44838AFE"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0.353</w:t>
            </w:r>
            <w:r>
              <w:rPr>
                <w:rFonts w:ascii="Arial" w:eastAsia="Times New Roman" w:hAnsi="Arial" w:cs="Arial"/>
                <w:sz w:val="20"/>
                <w:szCs w:val="20"/>
              </w:rPr>
              <w:t>)</w:t>
            </w:r>
          </w:p>
        </w:tc>
        <w:tc>
          <w:tcPr>
            <w:tcW w:w="916" w:type="dxa"/>
            <w:vAlign w:val="center"/>
            <w:hideMark/>
          </w:tcPr>
          <w:p w14:paraId="578B3198" w14:textId="6A94F946"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0.847</w:t>
            </w:r>
            <w:r>
              <w:rPr>
                <w:rFonts w:ascii="Arial" w:eastAsia="Times New Roman" w:hAnsi="Arial" w:cs="Arial"/>
                <w:sz w:val="20"/>
                <w:szCs w:val="20"/>
              </w:rPr>
              <w:t>)</w:t>
            </w:r>
          </w:p>
        </w:tc>
        <w:tc>
          <w:tcPr>
            <w:tcW w:w="1018" w:type="dxa"/>
            <w:vAlign w:val="center"/>
            <w:hideMark/>
          </w:tcPr>
          <w:p w14:paraId="11FA7DF2" w14:textId="5CB27471"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0.442</w:t>
            </w:r>
            <w:r>
              <w:rPr>
                <w:rFonts w:ascii="Arial" w:eastAsia="Times New Roman" w:hAnsi="Arial" w:cs="Arial"/>
                <w:sz w:val="20"/>
                <w:szCs w:val="20"/>
              </w:rPr>
              <w:t>)</w:t>
            </w:r>
          </w:p>
        </w:tc>
        <w:tc>
          <w:tcPr>
            <w:tcW w:w="1524" w:type="dxa"/>
            <w:vAlign w:val="center"/>
            <w:hideMark/>
          </w:tcPr>
          <w:p w14:paraId="51BE6BB4" w14:textId="770C9A7E"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0.402</w:t>
            </w:r>
            <w:r>
              <w:rPr>
                <w:rFonts w:ascii="Arial" w:eastAsia="Times New Roman" w:hAnsi="Arial" w:cs="Arial"/>
                <w:b/>
                <w:sz w:val="20"/>
                <w:szCs w:val="20"/>
              </w:rPr>
              <w:t>)</w:t>
            </w:r>
          </w:p>
        </w:tc>
      </w:tr>
      <w:tr w:rsidR="00DA36EB" w:rsidRPr="00834973" w14:paraId="3885AE7F" w14:textId="77777777" w:rsidTr="004003A5">
        <w:trPr>
          <w:trHeight w:val="251"/>
        </w:trPr>
        <w:tc>
          <w:tcPr>
            <w:tcW w:w="1525" w:type="dxa"/>
            <w:vMerge w:val="restart"/>
            <w:vAlign w:val="center"/>
            <w:hideMark/>
          </w:tcPr>
          <w:p w14:paraId="7B9C84E0"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KRA 4 </w:t>
            </w:r>
          </w:p>
        </w:tc>
        <w:tc>
          <w:tcPr>
            <w:tcW w:w="1510" w:type="dxa"/>
            <w:vAlign w:val="center"/>
            <w:hideMark/>
          </w:tcPr>
          <w:p w14:paraId="3EA28C2C"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Pearson's r </w:t>
            </w:r>
          </w:p>
        </w:tc>
        <w:tc>
          <w:tcPr>
            <w:tcW w:w="1095" w:type="dxa"/>
            <w:vAlign w:val="center"/>
            <w:hideMark/>
          </w:tcPr>
          <w:p w14:paraId="7CE84521"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0.278</w:t>
            </w:r>
          </w:p>
        </w:tc>
        <w:tc>
          <w:tcPr>
            <w:tcW w:w="1072" w:type="dxa"/>
            <w:vAlign w:val="center"/>
            <w:hideMark/>
          </w:tcPr>
          <w:p w14:paraId="75B0F853"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0.220</w:t>
            </w:r>
          </w:p>
        </w:tc>
        <w:tc>
          <w:tcPr>
            <w:tcW w:w="916" w:type="dxa"/>
            <w:vAlign w:val="center"/>
            <w:hideMark/>
          </w:tcPr>
          <w:p w14:paraId="21337360"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0.138</w:t>
            </w:r>
          </w:p>
        </w:tc>
        <w:tc>
          <w:tcPr>
            <w:tcW w:w="1018" w:type="dxa"/>
            <w:vAlign w:val="center"/>
            <w:hideMark/>
          </w:tcPr>
          <w:p w14:paraId="4DDE0104" w14:textId="77777777" w:rsidR="00DA36EB" w:rsidRPr="00834973" w:rsidRDefault="00DA36EB" w:rsidP="004003A5">
            <w:pPr>
              <w:spacing w:after="0" w:line="240" w:lineRule="auto"/>
              <w:jc w:val="center"/>
              <w:rPr>
                <w:rFonts w:ascii="Arial" w:eastAsia="Times New Roman" w:hAnsi="Arial" w:cs="Arial"/>
                <w:sz w:val="20"/>
                <w:szCs w:val="20"/>
              </w:rPr>
            </w:pPr>
            <w:r w:rsidRPr="00834973">
              <w:rPr>
                <w:rFonts w:ascii="Arial" w:eastAsia="Times New Roman" w:hAnsi="Arial" w:cs="Arial"/>
                <w:sz w:val="20"/>
                <w:szCs w:val="20"/>
              </w:rPr>
              <w:t>0.273</w:t>
            </w:r>
          </w:p>
        </w:tc>
        <w:tc>
          <w:tcPr>
            <w:tcW w:w="1524" w:type="dxa"/>
            <w:vAlign w:val="center"/>
            <w:hideMark/>
          </w:tcPr>
          <w:p w14:paraId="58D9D9CF"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0.249</w:t>
            </w:r>
          </w:p>
        </w:tc>
      </w:tr>
      <w:tr w:rsidR="00DA36EB" w:rsidRPr="00834973" w14:paraId="550F4494" w14:textId="77777777" w:rsidTr="004003A5">
        <w:trPr>
          <w:trHeight w:val="251"/>
        </w:trPr>
        <w:tc>
          <w:tcPr>
            <w:tcW w:w="1525" w:type="dxa"/>
            <w:vMerge/>
            <w:vAlign w:val="center"/>
            <w:hideMark/>
          </w:tcPr>
          <w:p w14:paraId="7B83FEDF" w14:textId="77777777" w:rsidR="00DA36EB" w:rsidRPr="00834973" w:rsidRDefault="00DA36EB" w:rsidP="004003A5">
            <w:pPr>
              <w:spacing w:after="0" w:line="480" w:lineRule="auto"/>
              <w:rPr>
                <w:rFonts w:ascii="Arial" w:eastAsia="Times New Roman" w:hAnsi="Arial" w:cs="Arial"/>
                <w:b/>
                <w:sz w:val="20"/>
                <w:szCs w:val="20"/>
              </w:rPr>
            </w:pPr>
          </w:p>
        </w:tc>
        <w:tc>
          <w:tcPr>
            <w:tcW w:w="1510" w:type="dxa"/>
            <w:vAlign w:val="center"/>
            <w:hideMark/>
          </w:tcPr>
          <w:p w14:paraId="11D5AED2" w14:textId="77777777" w:rsidR="00DA36EB" w:rsidRPr="00834973" w:rsidRDefault="00DA36EB" w:rsidP="004003A5">
            <w:pPr>
              <w:spacing w:after="0" w:line="240" w:lineRule="auto"/>
              <w:rPr>
                <w:rFonts w:ascii="Arial" w:eastAsia="Times New Roman" w:hAnsi="Arial" w:cs="Arial"/>
                <w:sz w:val="20"/>
                <w:szCs w:val="20"/>
              </w:rPr>
            </w:pPr>
            <w:r w:rsidRPr="00834973">
              <w:rPr>
                <w:rFonts w:ascii="Arial" w:eastAsia="Times New Roman" w:hAnsi="Arial" w:cs="Arial"/>
                <w:sz w:val="20"/>
                <w:szCs w:val="20"/>
              </w:rPr>
              <w:t xml:space="preserve">p-value </w:t>
            </w:r>
          </w:p>
        </w:tc>
        <w:tc>
          <w:tcPr>
            <w:tcW w:w="1095" w:type="dxa"/>
            <w:vAlign w:val="center"/>
            <w:hideMark/>
          </w:tcPr>
          <w:p w14:paraId="4DA060DD" w14:textId="5E25AB2B"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0.083</w:t>
            </w:r>
            <w:r>
              <w:rPr>
                <w:rFonts w:ascii="Arial" w:eastAsia="Times New Roman" w:hAnsi="Arial" w:cs="Arial"/>
                <w:sz w:val="20"/>
                <w:szCs w:val="20"/>
              </w:rPr>
              <w:t>)</w:t>
            </w:r>
          </w:p>
        </w:tc>
        <w:tc>
          <w:tcPr>
            <w:tcW w:w="1072" w:type="dxa"/>
            <w:vAlign w:val="center"/>
            <w:hideMark/>
          </w:tcPr>
          <w:p w14:paraId="1CB0EF6E" w14:textId="210EC045"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0.173</w:t>
            </w:r>
            <w:r>
              <w:rPr>
                <w:rFonts w:ascii="Arial" w:eastAsia="Times New Roman" w:hAnsi="Arial" w:cs="Arial"/>
                <w:sz w:val="20"/>
                <w:szCs w:val="20"/>
              </w:rPr>
              <w:t>)</w:t>
            </w:r>
          </w:p>
        </w:tc>
        <w:tc>
          <w:tcPr>
            <w:tcW w:w="916" w:type="dxa"/>
            <w:vAlign w:val="center"/>
            <w:hideMark/>
          </w:tcPr>
          <w:p w14:paraId="4ADE0D13" w14:textId="795085A2"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0.396</w:t>
            </w:r>
            <w:r>
              <w:rPr>
                <w:rFonts w:ascii="Arial" w:eastAsia="Times New Roman" w:hAnsi="Arial" w:cs="Arial"/>
                <w:sz w:val="20"/>
                <w:szCs w:val="20"/>
              </w:rPr>
              <w:t>)</w:t>
            </w:r>
          </w:p>
        </w:tc>
        <w:tc>
          <w:tcPr>
            <w:tcW w:w="1018" w:type="dxa"/>
            <w:vAlign w:val="center"/>
            <w:hideMark/>
          </w:tcPr>
          <w:p w14:paraId="43A881FF" w14:textId="6F506E73" w:rsidR="00DA36EB" w:rsidRPr="00834973" w:rsidRDefault="00E800EC" w:rsidP="004003A5">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DA36EB" w:rsidRPr="00834973">
              <w:rPr>
                <w:rFonts w:ascii="Arial" w:eastAsia="Times New Roman" w:hAnsi="Arial" w:cs="Arial"/>
                <w:sz w:val="20"/>
                <w:szCs w:val="20"/>
              </w:rPr>
              <w:t>0.088</w:t>
            </w:r>
            <w:r>
              <w:rPr>
                <w:rFonts w:ascii="Arial" w:eastAsia="Times New Roman" w:hAnsi="Arial" w:cs="Arial"/>
                <w:sz w:val="20"/>
                <w:szCs w:val="20"/>
              </w:rPr>
              <w:t>)</w:t>
            </w:r>
          </w:p>
        </w:tc>
        <w:tc>
          <w:tcPr>
            <w:tcW w:w="1524" w:type="dxa"/>
            <w:vAlign w:val="center"/>
            <w:hideMark/>
          </w:tcPr>
          <w:p w14:paraId="328FE349" w14:textId="4C0153DB"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0.122</w:t>
            </w:r>
            <w:r>
              <w:rPr>
                <w:rFonts w:ascii="Arial" w:eastAsia="Times New Roman" w:hAnsi="Arial" w:cs="Arial"/>
                <w:b/>
                <w:sz w:val="20"/>
                <w:szCs w:val="20"/>
              </w:rPr>
              <w:t>)</w:t>
            </w:r>
          </w:p>
        </w:tc>
      </w:tr>
      <w:tr w:rsidR="00DA36EB" w:rsidRPr="00834973" w14:paraId="46FFEFF6" w14:textId="77777777" w:rsidTr="004003A5">
        <w:trPr>
          <w:trHeight w:val="251"/>
        </w:trPr>
        <w:tc>
          <w:tcPr>
            <w:tcW w:w="1525" w:type="dxa"/>
            <w:vMerge w:val="restart"/>
            <w:vAlign w:val="center"/>
            <w:hideMark/>
          </w:tcPr>
          <w:p w14:paraId="45C6D288" w14:textId="77777777" w:rsidR="00DA36EB" w:rsidRPr="00834973" w:rsidRDefault="00DA36EB" w:rsidP="004003A5">
            <w:pPr>
              <w:spacing w:after="0" w:line="480" w:lineRule="auto"/>
              <w:rPr>
                <w:rFonts w:ascii="Arial" w:eastAsia="Times New Roman" w:hAnsi="Arial" w:cs="Arial"/>
                <w:b/>
                <w:sz w:val="20"/>
                <w:szCs w:val="20"/>
              </w:rPr>
            </w:pPr>
            <w:r w:rsidRPr="00834973">
              <w:rPr>
                <w:rFonts w:ascii="Arial" w:eastAsia="Times New Roman" w:hAnsi="Arial" w:cs="Arial"/>
                <w:b/>
                <w:sz w:val="20"/>
                <w:szCs w:val="20"/>
              </w:rPr>
              <w:t xml:space="preserve">TOTAL </w:t>
            </w:r>
          </w:p>
        </w:tc>
        <w:tc>
          <w:tcPr>
            <w:tcW w:w="1510" w:type="dxa"/>
            <w:vAlign w:val="center"/>
            <w:hideMark/>
          </w:tcPr>
          <w:p w14:paraId="77879367" w14:textId="77777777" w:rsidR="00DA36EB" w:rsidRPr="00834973" w:rsidRDefault="00DA36EB" w:rsidP="004003A5">
            <w:pPr>
              <w:spacing w:after="0" w:line="240" w:lineRule="auto"/>
              <w:rPr>
                <w:rFonts w:ascii="Arial" w:eastAsia="Times New Roman" w:hAnsi="Arial" w:cs="Arial"/>
                <w:b/>
                <w:sz w:val="20"/>
                <w:szCs w:val="20"/>
              </w:rPr>
            </w:pPr>
            <w:r w:rsidRPr="00834973">
              <w:rPr>
                <w:rFonts w:ascii="Arial" w:eastAsia="Times New Roman" w:hAnsi="Arial" w:cs="Arial"/>
                <w:b/>
                <w:sz w:val="20"/>
                <w:szCs w:val="20"/>
              </w:rPr>
              <w:t xml:space="preserve">Pearson's r </w:t>
            </w:r>
          </w:p>
        </w:tc>
        <w:tc>
          <w:tcPr>
            <w:tcW w:w="1095" w:type="dxa"/>
            <w:vAlign w:val="center"/>
            <w:hideMark/>
          </w:tcPr>
          <w:p w14:paraId="272EDB1E"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0.028</w:t>
            </w:r>
          </w:p>
        </w:tc>
        <w:tc>
          <w:tcPr>
            <w:tcW w:w="1072" w:type="dxa"/>
            <w:vAlign w:val="center"/>
            <w:hideMark/>
          </w:tcPr>
          <w:p w14:paraId="4B98DBC0"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0.097</w:t>
            </w:r>
          </w:p>
        </w:tc>
        <w:tc>
          <w:tcPr>
            <w:tcW w:w="916" w:type="dxa"/>
            <w:vAlign w:val="center"/>
            <w:hideMark/>
          </w:tcPr>
          <w:p w14:paraId="42332406"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-0.018</w:t>
            </w:r>
          </w:p>
        </w:tc>
        <w:tc>
          <w:tcPr>
            <w:tcW w:w="1018" w:type="dxa"/>
            <w:vAlign w:val="center"/>
            <w:hideMark/>
          </w:tcPr>
          <w:p w14:paraId="3EF9DAC3"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0.052</w:t>
            </w:r>
          </w:p>
        </w:tc>
        <w:tc>
          <w:tcPr>
            <w:tcW w:w="1524" w:type="dxa"/>
            <w:vAlign w:val="center"/>
            <w:hideMark/>
          </w:tcPr>
          <w:p w14:paraId="124A49DA" w14:textId="77777777" w:rsidR="00DA36EB" w:rsidRPr="00834973" w:rsidRDefault="00DA36EB" w:rsidP="004003A5">
            <w:pPr>
              <w:spacing w:after="0" w:line="240" w:lineRule="auto"/>
              <w:jc w:val="center"/>
              <w:rPr>
                <w:rFonts w:ascii="Arial" w:eastAsia="Times New Roman" w:hAnsi="Arial" w:cs="Arial"/>
                <w:b/>
                <w:sz w:val="20"/>
                <w:szCs w:val="20"/>
              </w:rPr>
            </w:pPr>
            <w:r w:rsidRPr="00834973">
              <w:rPr>
                <w:rFonts w:ascii="Arial" w:eastAsia="Times New Roman" w:hAnsi="Arial" w:cs="Arial"/>
                <w:b/>
                <w:sz w:val="20"/>
                <w:szCs w:val="20"/>
              </w:rPr>
              <w:t>0.042</w:t>
            </w:r>
          </w:p>
        </w:tc>
      </w:tr>
      <w:tr w:rsidR="00DA36EB" w:rsidRPr="00834973" w14:paraId="16AD9AA5" w14:textId="77777777" w:rsidTr="004003A5">
        <w:trPr>
          <w:trHeight w:val="240"/>
        </w:trPr>
        <w:tc>
          <w:tcPr>
            <w:tcW w:w="1525" w:type="dxa"/>
            <w:vMerge/>
            <w:vAlign w:val="center"/>
            <w:hideMark/>
          </w:tcPr>
          <w:p w14:paraId="63A579F2" w14:textId="77777777" w:rsidR="00DA36EB" w:rsidRPr="00834973" w:rsidRDefault="00DA36EB" w:rsidP="004003A5">
            <w:pPr>
              <w:spacing w:after="0" w:line="480" w:lineRule="auto"/>
              <w:rPr>
                <w:rFonts w:ascii="Arial" w:eastAsia="Times New Roman" w:hAnsi="Arial" w:cs="Arial"/>
                <w:sz w:val="20"/>
                <w:szCs w:val="20"/>
              </w:rPr>
            </w:pPr>
          </w:p>
        </w:tc>
        <w:tc>
          <w:tcPr>
            <w:tcW w:w="1510" w:type="dxa"/>
            <w:vAlign w:val="center"/>
            <w:hideMark/>
          </w:tcPr>
          <w:p w14:paraId="5E4420FD" w14:textId="77777777" w:rsidR="00DA36EB" w:rsidRPr="00834973" w:rsidRDefault="00DA36EB" w:rsidP="004003A5">
            <w:pPr>
              <w:spacing w:after="0" w:line="240" w:lineRule="auto"/>
              <w:rPr>
                <w:rFonts w:ascii="Arial" w:eastAsia="Times New Roman" w:hAnsi="Arial" w:cs="Arial"/>
                <w:b/>
                <w:sz w:val="20"/>
                <w:szCs w:val="20"/>
              </w:rPr>
            </w:pPr>
            <w:r w:rsidRPr="00834973">
              <w:rPr>
                <w:rFonts w:ascii="Arial" w:eastAsia="Times New Roman" w:hAnsi="Arial" w:cs="Arial"/>
                <w:b/>
                <w:sz w:val="20"/>
                <w:szCs w:val="20"/>
              </w:rPr>
              <w:t xml:space="preserve">p-value </w:t>
            </w:r>
          </w:p>
        </w:tc>
        <w:tc>
          <w:tcPr>
            <w:tcW w:w="1095" w:type="dxa"/>
            <w:vAlign w:val="center"/>
            <w:hideMark/>
          </w:tcPr>
          <w:p w14:paraId="76B26F36" w14:textId="59C4BDED"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0.862</w:t>
            </w:r>
            <w:r>
              <w:rPr>
                <w:rFonts w:ascii="Arial" w:eastAsia="Times New Roman" w:hAnsi="Arial" w:cs="Arial"/>
                <w:b/>
                <w:sz w:val="20"/>
                <w:szCs w:val="20"/>
              </w:rPr>
              <w:t>)</w:t>
            </w:r>
          </w:p>
        </w:tc>
        <w:tc>
          <w:tcPr>
            <w:tcW w:w="1072" w:type="dxa"/>
            <w:vAlign w:val="center"/>
            <w:hideMark/>
          </w:tcPr>
          <w:p w14:paraId="36615AA3" w14:textId="6BF3046B"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0.550</w:t>
            </w:r>
            <w:r>
              <w:rPr>
                <w:rFonts w:ascii="Arial" w:eastAsia="Times New Roman" w:hAnsi="Arial" w:cs="Arial"/>
                <w:b/>
                <w:sz w:val="20"/>
                <w:szCs w:val="20"/>
              </w:rPr>
              <w:t>)</w:t>
            </w:r>
          </w:p>
        </w:tc>
        <w:tc>
          <w:tcPr>
            <w:tcW w:w="916" w:type="dxa"/>
            <w:vAlign w:val="center"/>
            <w:hideMark/>
          </w:tcPr>
          <w:p w14:paraId="4FDEE7F8" w14:textId="6C3E0D70"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0.910</w:t>
            </w:r>
            <w:r>
              <w:rPr>
                <w:rFonts w:ascii="Arial" w:eastAsia="Times New Roman" w:hAnsi="Arial" w:cs="Arial"/>
                <w:b/>
                <w:sz w:val="20"/>
                <w:szCs w:val="20"/>
              </w:rPr>
              <w:t>)</w:t>
            </w:r>
          </w:p>
        </w:tc>
        <w:tc>
          <w:tcPr>
            <w:tcW w:w="1018" w:type="dxa"/>
            <w:vAlign w:val="center"/>
            <w:hideMark/>
          </w:tcPr>
          <w:p w14:paraId="3575FD3F" w14:textId="6015F8BE"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0.752</w:t>
            </w:r>
            <w:r>
              <w:rPr>
                <w:rFonts w:ascii="Arial" w:eastAsia="Times New Roman" w:hAnsi="Arial" w:cs="Arial"/>
                <w:b/>
                <w:sz w:val="20"/>
                <w:szCs w:val="20"/>
              </w:rPr>
              <w:t>)</w:t>
            </w:r>
          </w:p>
        </w:tc>
        <w:tc>
          <w:tcPr>
            <w:tcW w:w="1524" w:type="dxa"/>
            <w:vAlign w:val="center"/>
            <w:hideMark/>
          </w:tcPr>
          <w:p w14:paraId="0A811FCC" w14:textId="5026EA41" w:rsidR="00DA36EB" w:rsidRPr="00834973" w:rsidRDefault="00E800EC" w:rsidP="004003A5">
            <w:pPr>
              <w:spacing w:after="0" w:line="240" w:lineRule="auto"/>
              <w:jc w:val="center"/>
              <w:rPr>
                <w:rFonts w:ascii="Arial" w:eastAsia="Times New Roman" w:hAnsi="Arial" w:cs="Arial"/>
                <w:b/>
                <w:sz w:val="20"/>
                <w:szCs w:val="20"/>
              </w:rPr>
            </w:pPr>
            <w:r>
              <w:rPr>
                <w:rFonts w:ascii="Arial" w:eastAsia="Times New Roman" w:hAnsi="Arial" w:cs="Arial"/>
                <w:b/>
                <w:sz w:val="20"/>
                <w:szCs w:val="20"/>
              </w:rPr>
              <w:t>(</w:t>
            </w:r>
            <w:r w:rsidR="00DA36EB" w:rsidRPr="00834973">
              <w:rPr>
                <w:rFonts w:ascii="Arial" w:eastAsia="Times New Roman" w:hAnsi="Arial" w:cs="Arial"/>
                <w:b/>
                <w:sz w:val="20"/>
                <w:szCs w:val="20"/>
              </w:rPr>
              <w:t>0.795</w:t>
            </w:r>
            <w:r>
              <w:rPr>
                <w:rFonts w:ascii="Arial" w:eastAsia="Times New Roman" w:hAnsi="Arial" w:cs="Arial"/>
                <w:b/>
                <w:sz w:val="20"/>
                <w:szCs w:val="20"/>
              </w:rPr>
              <w:t>)</w:t>
            </w:r>
          </w:p>
        </w:tc>
      </w:tr>
    </w:tbl>
    <w:p w14:paraId="780B207D"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Legends: KRA1 – Teaching and learning process</w:t>
      </w:r>
    </w:p>
    <w:p w14:paraId="5DEA5A30"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 xml:space="preserve">                KRA 2 – Pupil’s outcome</w:t>
      </w:r>
    </w:p>
    <w:p w14:paraId="0292CA2B"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 xml:space="preserve">                KRA 3 – Community Involvement</w:t>
      </w:r>
    </w:p>
    <w:p w14:paraId="54628838" w14:textId="77777777" w:rsidR="00DA36EB" w:rsidRPr="008669D4" w:rsidRDefault="00DA36EB" w:rsidP="00DA36EB">
      <w:pPr>
        <w:pStyle w:val="ListParagraph"/>
        <w:spacing w:after="0" w:line="480" w:lineRule="auto"/>
        <w:ind w:left="155"/>
        <w:rPr>
          <w:rFonts w:ascii="Arial" w:hAnsi="Arial" w:cs="Arial"/>
          <w:sz w:val="18"/>
        </w:rPr>
      </w:pPr>
      <w:r w:rsidRPr="008669D4">
        <w:rPr>
          <w:rFonts w:ascii="Arial" w:hAnsi="Arial" w:cs="Arial"/>
          <w:sz w:val="18"/>
        </w:rPr>
        <w:t xml:space="preserve">                KRA 4 – Professional Growth and Development</w:t>
      </w:r>
    </w:p>
    <w:p w14:paraId="6310B9D1" w14:textId="77777777" w:rsidR="00DA36EB" w:rsidRPr="008669D4" w:rsidRDefault="00DA36EB" w:rsidP="00DA36EB">
      <w:pPr>
        <w:spacing w:after="0" w:line="480" w:lineRule="auto"/>
        <w:jc w:val="both"/>
        <w:rPr>
          <w:rFonts w:ascii="Arial" w:hAnsi="Arial" w:cs="Arial"/>
          <w:sz w:val="18"/>
        </w:rPr>
      </w:pPr>
      <w:r w:rsidRPr="008669D4">
        <w:rPr>
          <w:rFonts w:ascii="Arial" w:hAnsi="Arial" w:cs="Arial"/>
          <w:sz w:val="18"/>
        </w:rPr>
        <w:tab/>
        <w:t xml:space="preserve">     ECS – Effective Communication Skills</w:t>
      </w:r>
    </w:p>
    <w:p w14:paraId="13B55FDE" w14:textId="77777777" w:rsidR="00DA36EB" w:rsidRPr="008669D4" w:rsidRDefault="00DA36EB" w:rsidP="00DA36EB">
      <w:pPr>
        <w:spacing w:after="0" w:line="480" w:lineRule="auto"/>
        <w:jc w:val="both"/>
        <w:rPr>
          <w:rFonts w:ascii="Arial" w:hAnsi="Arial" w:cs="Arial"/>
          <w:sz w:val="18"/>
        </w:rPr>
      </w:pPr>
      <w:r w:rsidRPr="008669D4">
        <w:rPr>
          <w:rFonts w:ascii="Arial" w:hAnsi="Arial" w:cs="Arial"/>
          <w:sz w:val="18"/>
        </w:rPr>
        <w:tab/>
        <w:t xml:space="preserve"> </w:t>
      </w:r>
      <w:r>
        <w:rPr>
          <w:rFonts w:ascii="Arial" w:hAnsi="Arial" w:cs="Arial"/>
          <w:sz w:val="18"/>
        </w:rPr>
        <w:t xml:space="preserve">   </w:t>
      </w:r>
      <w:r w:rsidRPr="008669D4">
        <w:rPr>
          <w:rFonts w:ascii="Arial" w:hAnsi="Arial" w:cs="Arial"/>
          <w:sz w:val="18"/>
        </w:rPr>
        <w:t xml:space="preserve"> LIS – Learning and Innovation Skills</w:t>
      </w:r>
    </w:p>
    <w:p w14:paraId="302B926E" w14:textId="77777777" w:rsidR="00DA36EB" w:rsidRPr="008669D4" w:rsidRDefault="00DA36EB" w:rsidP="00DA36EB">
      <w:pPr>
        <w:spacing w:after="0" w:line="480" w:lineRule="auto"/>
        <w:jc w:val="both"/>
        <w:rPr>
          <w:rFonts w:ascii="Arial" w:hAnsi="Arial" w:cs="Arial"/>
          <w:sz w:val="18"/>
        </w:rPr>
      </w:pPr>
      <w:r w:rsidRPr="008669D4">
        <w:rPr>
          <w:rFonts w:ascii="Arial" w:hAnsi="Arial" w:cs="Arial"/>
          <w:sz w:val="18"/>
        </w:rPr>
        <w:tab/>
        <w:t xml:space="preserve">  </w:t>
      </w:r>
      <w:r>
        <w:rPr>
          <w:rFonts w:ascii="Arial" w:hAnsi="Arial" w:cs="Arial"/>
          <w:sz w:val="18"/>
        </w:rPr>
        <w:t xml:space="preserve">   </w:t>
      </w:r>
      <w:r w:rsidRPr="008669D4">
        <w:rPr>
          <w:rFonts w:ascii="Arial" w:hAnsi="Arial" w:cs="Arial"/>
          <w:sz w:val="18"/>
        </w:rPr>
        <w:t>IMTS – Information and Media Technology Skills</w:t>
      </w:r>
    </w:p>
    <w:p w14:paraId="0527ABE3" w14:textId="73C35794" w:rsidR="001B1F82" w:rsidRPr="00DA36EB" w:rsidRDefault="00DA36EB" w:rsidP="00DA36EB">
      <w:pPr>
        <w:spacing w:after="0" w:line="480" w:lineRule="auto"/>
        <w:ind w:left="720"/>
        <w:jc w:val="both"/>
        <w:rPr>
          <w:rFonts w:ascii="Arial" w:hAnsi="Arial" w:cs="Arial"/>
          <w:sz w:val="18"/>
        </w:rPr>
      </w:pPr>
      <w:r>
        <w:rPr>
          <w:rFonts w:ascii="Arial" w:hAnsi="Arial" w:cs="Arial"/>
          <w:sz w:val="18"/>
        </w:rPr>
        <w:t xml:space="preserve">     </w:t>
      </w:r>
      <w:r w:rsidRPr="008669D4">
        <w:rPr>
          <w:rFonts w:ascii="Arial" w:hAnsi="Arial" w:cs="Arial"/>
          <w:sz w:val="18"/>
        </w:rPr>
        <w:t xml:space="preserve">LCS- Lifelong and Career Skills </w:t>
      </w:r>
    </w:p>
    <w:p w14:paraId="48703F8D" w14:textId="2B7184E2"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The results of this study support the claim of </w:t>
      </w:r>
      <w:proofErr w:type="spellStart"/>
      <w:r w:rsidRPr="0095031B">
        <w:rPr>
          <w:rFonts w:ascii="Arial" w:hAnsi="Arial" w:cs="Arial"/>
          <w:sz w:val="20"/>
          <w:szCs w:val="20"/>
        </w:rPr>
        <w:t>Doecke</w:t>
      </w:r>
      <w:proofErr w:type="spellEnd"/>
      <w:r w:rsidRPr="0095031B">
        <w:rPr>
          <w:rFonts w:ascii="Arial" w:hAnsi="Arial" w:cs="Arial"/>
          <w:sz w:val="20"/>
          <w:szCs w:val="20"/>
        </w:rPr>
        <w:t xml:space="preserve">, Parr and North (2008) that the professional skills acquired by the teachers in many years of practicing their profession would not be enough unless the persons themselves were committed in delivering the services such as the 21st-century skills. As Mac </w:t>
      </w:r>
      <w:proofErr w:type="spellStart"/>
      <w:r w:rsidRPr="0095031B">
        <w:rPr>
          <w:rFonts w:ascii="Arial" w:hAnsi="Arial" w:cs="Arial"/>
          <w:sz w:val="20"/>
          <w:szCs w:val="20"/>
        </w:rPr>
        <w:t>Meekin</w:t>
      </w:r>
      <w:proofErr w:type="spellEnd"/>
      <w:r w:rsidRPr="0095031B">
        <w:rPr>
          <w:rFonts w:ascii="Arial" w:hAnsi="Arial" w:cs="Arial"/>
          <w:sz w:val="20"/>
          <w:szCs w:val="20"/>
        </w:rPr>
        <w:t xml:space="preserve"> (2014) advocated that </w:t>
      </w:r>
      <w:r w:rsidR="006A7C38">
        <w:rPr>
          <w:rFonts w:ascii="Arial" w:hAnsi="Arial" w:cs="Arial"/>
          <w:sz w:val="20"/>
          <w:szCs w:val="20"/>
        </w:rPr>
        <w:t>“</w:t>
      </w:r>
      <w:r w:rsidRPr="0095031B">
        <w:rPr>
          <w:rFonts w:ascii="Arial" w:hAnsi="Arial" w:cs="Arial"/>
          <w:sz w:val="20"/>
          <w:szCs w:val="20"/>
        </w:rPr>
        <w:t xml:space="preserve">teacher must be techno savvy; they should be able to guide students’ </w:t>
      </w:r>
      <w:r w:rsidRPr="0095031B">
        <w:rPr>
          <w:rFonts w:ascii="Arial" w:hAnsi="Arial" w:cs="Arial"/>
          <w:sz w:val="20"/>
          <w:szCs w:val="20"/>
        </w:rPr>
        <w:lastRenderedPageBreak/>
        <w:t>learning in the creation, designing, contribution and questioning, relating all these to the real world and learn how to discern between right from wrong and later on affect their academic performance</w:t>
      </w:r>
      <w:r w:rsidR="006A7C38">
        <w:rPr>
          <w:rFonts w:ascii="Arial" w:hAnsi="Arial" w:cs="Arial"/>
          <w:sz w:val="20"/>
          <w:szCs w:val="20"/>
        </w:rPr>
        <w:t>”</w:t>
      </w:r>
      <w:r w:rsidRPr="0095031B">
        <w:rPr>
          <w:rFonts w:ascii="Arial" w:hAnsi="Arial" w:cs="Arial"/>
          <w:sz w:val="20"/>
          <w:szCs w:val="20"/>
        </w:rPr>
        <w:t>.</w:t>
      </w:r>
    </w:p>
    <w:p w14:paraId="1542EF26" w14:textId="41CEB456"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However, the overall findings of this study found disagreement in the study of Roberto and Madrigal (2019) that </w:t>
      </w:r>
      <w:r w:rsidR="006A7C38">
        <w:rPr>
          <w:rFonts w:ascii="Arial" w:hAnsi="Arial" w:cs="Arial"/>
          <w:sz w:val="20"/>
          <w:szCs w:val="20"/>
        </w:rPr>
        <w:t>“</w:t>
      </w:r>
      <w:r w:rsidRPr="0095031B">
        <w:rPr>
          <w:rFonts w:ascii="Arial" w:hAnsi="Arial" w:cs="Arial"/>
          <w:sz w:val="20"/>
          <w:szCs w:val="20"/>
        </w:rPr>
        <w:t>there is a significant relationship between the level of teaching standards competence and performance</w:t>
      </w:r>
      <w:r w:rsidR="006A7C38">
        <w:rPr>
          <w:rFonts w:ascii="Arial" w:hAnsi="Arial" w:cs="Arial"/>
          <w:sz w:val="20"/>
          <w:szCs w:val="20"/>
        </w:rPr>
        <w:t>”</w:t>
      </w:r>
      <w:r w:rsidRPr="0095031B">
        <w:rPr>
          <w:rFonts w:ascii="Arial" w:hAnsi="Arial" w:cs="Arial"/>
          <w:sz w:val="20"/>
          <w:szCs w:val="20"/>
        </w:rPr>
        <w:t>. Likewise, the results of the study negate the findings of Pa-</w:t>
      </w:r>
      <w:proofErr w:type="spellStart"/>
      <w:r w:rsidRPr="0095031B">
        <w:rPr>
          <w:rFonts w:ascii="Arial" w:hAnsi="Arial" w:cs="Arial"/>
          <w:sz w:val="20"/>
          <w:szCs w:val="20"/>
        </w:rPr>
        <w:t>alisbo</w:t>
      </w:r>
      <w:proofErr w:type="spellEnd"/>
      <w:r w:rsidRPr="0095031B">
        <w:rPr>
          <w:rFonts w:ascii="Arial" w:hAnsi="Arial" w:cs="Arial"/>
          <w:sz w:val="20"/>
          <w:szCs w:val="20"/>
        </w:rPr>
        <w:t xml:space="preserve"> (2017) that the 21st-century skills </w:t>
      </w:r>
      <w:proofErr w:type="gramStart"/>
      <w:r w:rsidRPr="0095031B">
        <w:rPr>
          <w:rFonts w:ascii="Arial" w:hAnsi="Arial" w:cs="Arial"/>
          <w:sz w:val="20"/>
          <w:szCs w:val="20"/>
        </w:rPr>
        <w:t>has</w:t>
      </w:r>
      <w:proofErr w:type="gramEnd"/>
      <w:r w:rsidRPr="0095031B">
        <w:rPr>
          <w:rFonts w:ascii="Arial" w:hAnsi="Arial" w:cs="Arial"/>
          <w:sz w:val="20"/>
          <w:szCs w:val="20"/>
        </w:rPr>
        <w:t xml:space="preserve"> a significant relationship to the job performance of teachers.</w:t>
      </w:r>
    </w:p>
    <w:p w14:paraId="43DD4000"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The non-significant relationships suggest that teachers’ teaching performance of grade 6 teachers in one of the districts in the division of Davao del Sur is affected by other factors not included in the study. Hence, other researchers may extend this study utilizing those factors.</w:t>
      </w:r>
    </w:p>
    <w:p w14:paraId="7A54892D" w14:textId="77777777" w:rsidR="000B513B" w:rsidRPr="0095031B" w:rsidRDefault="000B513B" w:rsidP="0095031B">
      <w:pPr>
        <w:jc w:val="both"/>
        <w:rPr>
          <w:rFonts w:ascii="Arial" w:hAnsi="Arial" w:cs="Arial"/>
          <w:sz w:val="20"/>
          <w:szCs w:val="20"/>
        </w:rPr>
      </w:pPr>
    </w:p>
    <w:p w14:paraId="1483D9E5" w14:textId="53A30B88" w:rsidR="0095031B" w:rsidRPr="000B513B" w:rsidRDefault="0095031B" w:rsidP="0095031B">
      <w:pPr>
        <w:jc w:val="both"/>
        <w:rPr>
          <w:rFonts w:ascii="Arial" w:hAnsi="Arial" w:cs="Arial"/>
          <w:b/>
          <w:bCs/>
          <w:sz w:val="20"/>
          <w:szCs w:val="20"/>
        </w:rPr>
      </w:pPr>
      <w:r w:rsidRPr="000B513B">
        <w:rPr>
          <w:rFonts w:ascii="Arial" w:hAnsi="Arial" w:cs="Arial"/>
          <w:b/>
          <w:bCs/>
          <w:sz w:val="20"/>
          <w:szCs w:val="20"/>
        </w:rPr>
        <w:t>Summary</w:t>
      </w:r>
      <w:r w:rsidR="004356C8">
        <w:rPr>
          <w:rFonts w:ascii="Arial" w:hAnsi="Arial" w:cs="Arial"/>
          <w:b/>
          <w:bCs/>
          <w:sz w:val="20"/>
          <w:szCs w:val="20"/>
        </w:rPr>
        <w:t xml:space="preserve"> and </w:t>
      </w:r>
      <w:r w:rsidR="004356C8" w:rsidRPr="004356C8">
        <w:rPr>
          <w:rFonts w:ascii="Arial" w:hAnsi="Arial" w:cs="Arial"/>
          <w:b/>
          <w:bCs/>
          <w:sz w:val="20"/>
          <w:szCs w:val="20"/>
        </w:rPr>
        <w:t>policy implications</w:t>
      </w:r>
      <w:r w:rsidR="004356C8">
        <w:rPr>
          <w:rFonts w:ascii="Arial" w:hAnsi="Arial" w:cs="Arial"/>
          <w:b/>
          <w:bCs/>
          <w:sz w:val="20"/>
          <w:szCs w:val="20"/>
        </w:rPr>
        <w:t xml:space="preserve">: </w:t>
      </w:r>
    </w:p>
    <w:p w14:paraId="214AE07D"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The study was conducted to determine the relationship between the 21st-century skills of teachers and their teaching performance using the descriptive-correlation quantitative research involving 40 elementary public-school teachers in one of the districts in the Division of Davao del Sur as respondents who answered the survey questionnaire. The findings of this study were as follows:</w:t>
      </w:r>
    </w:p>
    <w:p w14:paraId="5092DB06"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1. The profile of the grade six teachers in the said district shows that a </w:t>
      </w:r>
      <w:proofErr w:type="spellStart"/>
      <w:r w:rsidRPr="0095031B">
        <w:rPr>
          <w:rFonts w:ascii="Arial" w:hAnsi="Arial" w:cs="Arial"/>
          <w:sz w:val="20"/>
          <w:szCs w:val="20"/>
        </w:rPr>
        <w:t>substantialger</w:t>
      </w:r>
      <w:proofErr w:type="spellEnd"/>
      <w:r w:rsidRPr="0095031B">
        <w:rPr>
          <w:rFonts w:ascii="Arial" w:hAnsi="Arial" w:cs="Arial"/>
          <w:sz w:val="20"/>
          <w:szCs w:val="20"/>
        </w:rPr>
        <w:t xml:space="preserve"> number are female (82.50%), in their middle and late forties and have been ten to fourteen years in the service with a percentage of 22.50%; and, in terms of years in service majority of the respondents served ten years but less than fifteen years which has a frequency of nine (9) and a percentage of 22.50%.</w:t>
      </w:r>
    </w:p>
    <w:p w14:paraId="2CE95730"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2. The Grade Six Public Elementary Teachers’ 21st-century skills have an overall mean value of 3.976 or descriptively high. This means that the teacher practices 21st Century Skill most of the time.</w:t>
      </w:r>
    </w:p>
    <w:p w14:paraId="0EC29665"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3. The Grade Six Public Elementary Teachers overall level of teaching performance is 3.957 or equivalent to adjectival rating of highly satisfactory. This further means that performance exceeded expectations. The teachers have accomplished all goals, objectives, and targets were achieved above the established standards. 4. The correlation between Public Elementary Teachers 21st-century skills and their teaching performance have p-value of 0.795 or non-significant. This means that Teachers 21st-century skills do not affect their teaching performance. Thus, this leads the researcher not to reject the null hypothesis.</w:t>
      </w:r>
    </w:p>
    <w:p w14:paraId="5A105EE1" w14:textId="4D5688CE" w:rsidR="0095031B" w:rsidRPr="0095031B" w:rsidRDefault="0095031B" w:rsidP="0095031B">
      <w:pPr>
        <w:jc w:val="both"/>
        <w:rPr>
          <w:rFonts w:ascii="Arial" w:hAnsi="Arial" w:cs="Arial"/>
          <w:sz w:val="20"/>
          <w:szCs w:val="20"/>
        </w:rPr>
      </w:pPr>
      <w:r w:rsidRPr="0095031B">
        <w:rPr>
          <w:rFonts w:ascii="Arial" w:hAnsi="Arial" w:cs="Arial"/>
          <w:sz w:val="20"/>
          <w:szCs w:val="20"/>
        </w:rPr>
        <w:t>Based on the results above, policy implications are generated.</w:t>
      </w:r>
    </w:p>
    <w:p w14:paraId="4114D4CD" w14:textId="26F2F332" w:rsidR="0095031B" w:rsidRPr="0095031B" w:rsidRDefault="0095031B" w:rsidP="0095031B">
      <w:pPr>
        <w:jc w:val="both"/>
        <w:rPr>
          <w:rFonts w:ascii="Arial" w:hAnsi="Arial" w:cs="Arial"/>
          <w:sz w:val="20"/>
          <w:szCs w:val="20"/>
        </w:rPr>
      </w:pPr>
      <w:r w:rsidRPr="0095031B">
        <w:rPr>
          <w:rFonts w:ascii="Arial" w:hAnsi="Arial" w:cs="Arial"/>
          <w:sz w:val="20"/>
          <w:szCs w:val="20"/>
        </w:rPr>
        <w:t>1. There must be an adaptation of the 21st-century skills among teachers to align to Philippine Professional Standards for Teachers (PPST) (the revised NCBTS). It is the concern of the Department and the State to provide a professional growth and development that addresses the quality needs of teachers.</w:t>
      </w:r>
    </w:p>
    <w:p w14:paraId="2D9C05C2" w14:textId="77777777" w:rsidR="004356C8" w:rsidRDefault="0095031B" w:rsidP="0095031B">
      <w:pPr>
        <w:jc w:val="both"/>
        <w:rPr>
          <w:rFonts w:ascii="Arial" w:hAnsi="Arial" w:cs="Arial"/>
          <w:sz w:val="20"/>
          <w:szCs w:val="20"/>
        </w:rPr>
      </w:pPr>
      <w:r w:rsidRPr="0095031B">
        <w:rPr>
          <w:rFonts w:ascii="Arial" w:hAnsi="Arial" w:cs="Arial"/>
          <w:sz w:val="20"/>
          <w:szCs w:val="20"/>
        </w:rPr>
        <w:t>2. The learning and innovation skills and information, media and technology domain of 21st-century skills of teachers were found to be least among the four areas. This implies that teachers’ skills related to innovation and technology needs further assist from the Department that should uplift by the training program.</w:t>
      </w:r>
    </w:p>
    <w:p w14:paraId="15524570" w14:textId="2F10ABD0" w:rsidR="0095031B" w:rsidRPr="0095031B" w:rsidRDefault="0095031B" w:rsidP="0095031B">
      <w:pPr>
        <w:jc w:val="both"/>
        <w:rPr>
          <w:rFonts w:ascii="Arial" w:hAnsi="Arial" w:cs="Arial"/>
          <w:sz w:val="20"/>
          <w:szCs w:val="20"/>
        </w:rPr>
      </w:pPr>
      <w:r w:rsidRPr="0095031B">
        <w:rPr>
          <w:rFonts w:ascii="Arial" w:hAnsi="Arial" w:cs="Arial"/>
          <w:sz w:val="20"/>
          <w:szCs w:val="20"/>
        </w:rPr>
        <w:t>3. The framework formulated by the Partnership for 21st-century skills include learning and innovation skills; information, media and technology skills; and life and career skills. In line with this, there should be active learning opportunities, practice and evidence of student learning. This also includes modern and innovative ways of assessment in the 21st Century.</w:t>
      </w:r>
    </w:p>
    <w:p w14:paraId="103EA093" w14:textId="69A6FF76" w:rsidR="0095031B" w:rsidRPr="0095031B" w:rsidRDefault="0095031B" w:rsidP="0095031B">
      <w:pPr>
        <w:jc w:val="both"/>
        <w:rPr>
          <w:rFonts w:ascii="Arial" w:hAnsi="Arial" w:cs="Arial"/>
          <w:sz w:val="20"/>
          <w:szCs w:val="20"/>
        </w:rPr>
      </w:pPr>
      <w:r w:rsidRPr="0095031B">
        <w:rPr>
          <w:rFonts w:ascii="Arial" w:hAnsi="Arial" w:cs="Arial"/>
          <w:sz w:val="20"/>
          <w:szCs w:val="20"/>
        </w:rPr>
        <w:lastRenderedPageBreak/>
        <w:t>4. This study implies that DepEd may continuously improve its individual performance commitment review to strengthen the culture of performance and accountability in the agency.</w:t>
      </w:r>
    </w:p>
    <w:p w14:paraId="4DA2D46F" w14:textId="00DB61DF" w:rsidR="0095031B" w:rsidRPr="0095031B" w:rsidRDefault="0095031B" w:rsidP="0095031B">
      <w:pPr>
        <w:jc w:val="both"/>
        <w:rPr>
          <w:rFonts w:ascii="Arial" w:hAnsi="Arial" w:cs="Arial"/>
          <w:sz w:val="20"/>
          <w:szCs w:val="20"/>
        </w:rPr>
      </w:pPr>
      <w:r w:rsidRPr="0095031B">
        <w:rPr>
          <w:rFonts w:ascii="Arial" w:hAnsi="Arial" w:cs="Arial"/>
          <w:sz w:val="20"/>
          <w:szCs w:val="20"/>
        </w:rPr>
        <w:t>5. The public elementary schools must design an intensive training and workshops on enhancing teachers’ 21st-century skills particularly the Information, Media and Technology Skills. In addition, the 21st-century skills should be fully-developed in order to meet the maximum effect in terms of Job Performance.</w:t>
      </w:r>
    </w:p>
    <w:p w14:paraId="7ABC8687" w14:textId="57024722" w:rsidR="0095031B" w:rsidRDefault="0095031B" w:rsidP="0095031B">
      <w:pPr>
        <w:jc w:val="both"/>
        <w:rPr>
          <w:rFonts w:ascii="Arial" w:hAnsi="Arial" w:cs="Arial"/>
          <w:sz w:val="20"/>
          <w:szCs w:val="20"/>
        </w:rPr>
      </w:pPr>
      <w:r w:rsidRPr="0095031B">
        <w:rPr>
          <w:rFonts w:ascii="Arial" w:hAnsi="Arial" w:cs="Arial"/>
          <w:sz w:val="20"/>
          <w:szCs w:val="20"/>
        </w:rPr>
        <w:t>6. The non-significant relationship of 21st-century skills and teaching performance implies that conditions needed for the acquisition of 21st-century skills of teachers may be further investigated. This is to determine the strengths and weaknesses of teachers in relation to the implementation of 21st-century skills in their teaching practices.</w:t>
      </w:r>
    </w:p>
    <w:p w14:paraId="2D170A18" w14:textId="67EAF8E8" w:rsidR="004356C8" w:rsidRDefault="004356C8" w:rsidP="0095031B">
      <w:pPr>
        <w:jc w:val="both"/>
        <w:rPr>
          <w:rFonts w:ascii="Arial" w:hAnsi="Arial" w:cs="Arial"/>
          <w:sz w:val="20"/>
          <w:szCs w:val="20"/>
        </w:rPr>
      </w:pPr>
    </w:p>
    <w:p w14:paraId="764C1374" w14:textId="323159F1" w:rsidR="004356C8" w:rsidRPr="004356C8" w:rsidRDefault="004356C8" w:rsidP="004356C8">
      <w:pPr>
        <w:jc w:val="both"/>
        <w:rPr>
          <w:rFonts w:ascii="Arial" w:hAnsi="Arial" w:cs="Arial"/>
          <w:b/>
          <w:sz w:val="20"/>
          <w:szCs w:val="20"/>
        </w:rPr>
      </w:pPr>
      <w:r w:rsidRPr="004356C8">
        <w:rPr>
          <w:rFonts w:ascii="Arial" w:hAnsi="Arial" w:cs="Arial"/>
          <w:b/>
          <w:sz w:val="20"/>
          <w:szCs w:val="20"/>
        </w:rPr>
        <w:t xml:space="preserve">Conclusion: </w:t>
      </w:r>
    </w:p>
    <w:p w14:paraId="2D81F1F0" w14:textId="0BD88C0B" w:rsidR="0095031B" w:rsidRPr="0095031B" w:rsidRDefault="0095031B" w:rsidP="0095031B">
      <w:pPr>
        <w:jc w:val="both"/>
        <w:rPr>
          <w:rFonts w:ascii="Arial" w:hAnsi="Arial" w:cs="Arial"/>
          <w:sz w:val="20"/>
          <w:szCs w:val="20"/>
        </w:rPr>
      </w:pPr>
      <w:r w:rsidRPr="0095031B">
        <w:rPr>
          <w:rFonts w:ascii="Arial" w:hAnsi="Arial" w:cs="Arial"/>
          <w:sz w:val="20"/>
          <w:szCs w:val="20"/>
        </w:rPr>
        <w:t xml:space="preserve">Based on the results, the researcher concluded that the </w:t>
      </w:r>
      <w:r w:rsidR="000B513B" w:rsidRPr="0095031B">
        <w:rPr>
          <w:rFonts w:ascii="Arial" w:hAnsi="Arial" w:cs="Arial"/>
          <w:sz w:val="20"/>
          <w:szCs w:val="20"/>
        </w:rPr>
        <w:t>public-school</w:t>
      </w:r>
      <w:r w:rsidRPr="0095031B">
        <w:rPr>
          <w:rFonts w:ascii="Arial" w:hAnsi="Arial" w:cs="Arial"/>
          <w:sz w:val="20"/>
          <w:szCs w:val="20"/>
        </w:rPr>
        <w:t xml:space="preserve"> elementary teachers are in middle and late forties and have served ten years and above, and most of them are female. Though teacher’s practices 21st-century skills and have highly satisfactory teaching performance, there are still certain indicators in the 21st-century skills and teaching performance key result areas that need policy formulation.</w:t>
      </w:r>
    </w:p>
    <w:p w14:paraId="6D2B58A1"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In light of these conclusions, there must be an adaptation of the 21st-century skills among teachers to align to Philippine Professional Standards for Teachers (PPST) (the revised NCBTS). It is the concern of the Department and the State to provide a professional growth and development that addresses the quality needs of teachers. The framework formulated by the Partnership for 21st-century skills include learning and innovation skills; information, media and technology skills; and life and career skills. In line with this, there should be active learning opportunities, practice and evidence of student learning. This also includes modern and innovative ways of assessment in the 21st Century. Lastly, the 21st-century skills should be fully-developed in order to meet the maximum effect in terms of Job Performance.</w:t>
      </w:r>
    </w:p>
    <w:p w14:paraId="7E3D12EC" w14:textId="77777777" w:rsidR="004356C8" w:rsidRPr="004356C8" w:rsidRDefault="0095031B" w:rsidP="0095031B">
      <w:pPr>
        <w:jc w:val="both"/>
        <w:rPr>
          <w:rFonts w:ascii="Arial" w:hAnsi="Arial" w:cs="Arial"/>
          <w:b/>
          <w:sz w:val="20"/>
          <w:szCs w:val="20"/>
        </w:rPr>
      </w:pPr>
      <w:r w:rsidRPr="004356C8">
        <w:rPr>
          <w:rFonts w:ascii="Arial" w:hAnsi="Arial" w:cs="Arial"/>
          <w:b/>
          <w:sz w:val="20"/>
          <w:szCs w:val="20"/>
        </w:rPr>
        <w:t xml:space="preserve">Recommendations </w:t>
      </w:r>
    </w:p>
    <w:p w14:paraId="485B3B90" w14:textId="77777777" w:rsidR="004356C8" w:rsidRDefault="0095031B" w:rsidP="0095031B">
      <w:pPr>
        <w:jc w:val="both"/>
        <w:rPr>
          <w:rFonts w:ascii="Arial" w:hAnsi="Arial" w:cs="Arial"/>
          <w:sz w:val="20"/>
          <w:szCs w:val="20"/>
        </w:rPr>
      </w:pPr>
      <w:r w:rsidRPr="0095031B">
        <w:rPr>
          <w:rFonts w:ascii="Arial" w:hAnsi="Arial" w:cs="Arial"/>
          <w:sz w:val="20"/>
          <w:szCs w:val="20"/>
        </w:rPr>
        <w:t xml:space="preserve">1. The Department of Education-Division of Davao del Sur to devise more specialized training programs that may further improve the 21st-century skills of teachers like trainings on the integration of open educational resources (OER) in the curriculum. Likewise, skills like effective communication, information media and technology, learning and innovation are quite necessary in the new normal modalities. </w:t>
      </w:r>
    </w:p>
    <w:p w14:paraId="4766F054" w14:textId="080BD0F0" w:rsidR="0095031B" w:rsidRPr="0095031B" w:rsidRDefault="0095031B" w:rsidP="0095031B">
      <w:pPr>
        <w:jc w:val="both"/>
        <w:rPr>
          <w:rFonts w:ascii="Arial" w:hAnsi="Arial" w:cs="Arial"/>
          <w:sz w:val="20"/>
          <w:szCs w:val="20"/>
        </w:rPr>
      </w:pPr>
      <w:r w:rsidRPr="0095031B">
        <w:rPr>
          <w:rFonts w:ascii="Arial" w:hAnsi="Arial" w:cs="Arial"/>
          <w:sz w:val="20"/>
          <w:szCs w:val="20"/>
        </w:rPr>
        <w:t>2. As a policy implication, the Department may continuously improve the key result area indicators of individual performance commitment review to strengthen the culture of performance and accountability in the agency</w:t>
      </w:r>
    </w:p>
    <w:p w14:paraId="531EADD7" w14:textId="77777777" w:rsidR="0095031B" w:rsidRPr="0095031B" w:rsidRDefault="0095031B" w:rsidP="0095031B">
      <w:pPr>
        <w:jc w:val="both"/>
        <w:rPr>
          <w:rFonts w:ascii="Arial" w:hAnsi="Arial" w:cs="Arial"/>
          <w:sz w:val="20"/>
          <w:szCs w:val="20"/>
        </w:rPr>
      </w:pPr>
      <w:r w:rsidRPr="0095031B">
        <w:rPr>
          <w:rFonts w:ascii="Arial" w:hAnsi="Arial" w:cs="Arial"/>
          <w:sz w:val="20"/>
          <w:szCs w:val="20"/>
        </w:rPr>
        <w:t>3. Sustainability of Professional Development Program in Elementary Schools that will assist teachers in developing their 21st-century skills is highly recommended. In connection of this, they may design an intensive training and workshops on enhancing teachers’ 21st-century skills particularly the Information, Media and Technology Skills. In addition, the 21st-century skills should be fully-developed in order to meet the maximum effect in terms of Job Performance.</w:t>
      </w:r>
    </w:p>
    <w:p w14:paraId="67E9C351" w14:textId="5AFFFD73" w:rsidR="00452FC6" w:rsidRDefault="0095031B" w:rsidP="0095031B">
      <w:pPr>
        <w:jc w:val="both"/>
        <w:rPr>
          <w:rFonts w:ascii="Arial" w:hAnsi="Arial" w:cs="Arial"/>
          <w:sz w:val="22"/>
          <w:szCs w:val="22"/>
        </w:rPr>
      </w:pPr>
      <w:r w:rsidRPr="0095031B">
        <w:rPr>
          <w:rFonts w:ascii="Arial" w:hAnsi="Arial" w:cs="Arial"/>
          <w:sz w:val="20"/>
          <w:szCs w:val="20"/>
        </w:rPr>
        <w:t>4. Further studies can be conducted about the teachers 21st-century skills that focus only on the number 1 KRA of the IPCRF which is the Teaching and learning process that may influence teacher’s performance covering greater number of teachers.</w:t>
      </w:r>
    </w:p>
    <w:p w14:paraId="4804C97F" w14:textId="77777777" w:rsidR="00B233C9" w:rsidRPr="00B233C9" w:rsidRDefault="00B233C9" w:rsidP="00B233C9">
      <w:pPr>
        <w:rPr>
          <w:rFonts w:ascii="Arial" w:eastAsia="Calibri" w:hAnsi="Arial" w:cs="Arial"/>
          <w:b/>
          <w:sz w:val="20"/>
          <w:szCs w:val="20"/>
        </w:rPr>
      </w:pPr>
      <w:bookmarkStart w:id="1" w:name="_Hlk197351200"/>
      <w:bookmarkStart w:id="2" w:name="_Hlk187485061"/>
      <w:r w:rsidRPr="00B233C9">
        <w:rPr>
          <w:rFonts w:ascii="Arial" w:eastAsia="Calibri" w:hAnsi="Arial" w:cs="Arial"/>
          <w:b/>
          <w:sz w:val="20"/>
          <w:szCs w:val="20"/>
        </w:rPr>
        <w:t>Ethical Approval:</w:t>
      </w:r>
    </w:p>
    <w:p w14:paraId="7AB2E865" w14:textId="77777777" w:rsidR="00B233C9" w:rsidRPr="00B233C9" w:rsidRDefault="00B233C9" w:rsidP="00B233C9">
      <w:pPr>
        <w:rPr>
          <w:rFonts w:ascii="Arial" w:eastAsia="Calibri" w:hAnsi="Arial" w:cs="Arial"/>
          <w:sz w:val="20"/>
          <w:szCs w:val="20"/>
        </w:rPr>
      </w:pPr>
    </w:p>
    <w:p w14:paraId="56D9E235" w14:textId="77777777" w:rsidR="00B233C9" w:rsidRPr="00B233C9" w:rsidRDefault="00B233C9" w:rsidP="00B233C9">
      <w:pPr>
        <w:rPr>
          <w:rFonts w:ascii="Arial" w:eastAsia="Calibri" w:hAnsi="Arial" w:cs="Arial"/>
          <w:sz w:val="20"/>
          <w:szCs w:val="20"/>
        </w:rPr>
      </w:pPr>
      <w:r w:rsidRPr="00B233C9">
        <w:rPr>
          <w:rFonts w:ascii="Arial" w:eastAsia="Calibri" w:hAnsi="Arial" w:cs="Arial"/>
          <w:sz w:val="20"/>
          <w:szCs w:val="20"/>
        </w:rPr>
        <w:t>As per international standards or university standards written ethical approval has been collected and preserved by the author(s).</w:t>
      </w:r>
    </w:p>
    <w:p w14:paraId="5D5AC4C3" w14:textId="77777777" w:rsidR="00B233C9" w:rsidRPr="00B233C9" w:rsidRDefault="00B233C9" w:rsidP="00B233C9">
      <w:pPr>
        <w:rPr>
          <w:rFonts w:ascii="Arial" w:eastAsia="Calibri" w:hAnsi="Arial" w:cs="Arial"/>
          <w:b/>
          <w:sz w:val="20"/>
          <w:szCs w:val="20"/>
        </w:rPr>
      </w:pPr>
      <w:r w:rsidRPr="00B233C9">
        <w:rPr>
          <w:rFonts w:ascii="Arial" w:eastAsia="Calibri" w:hAnsi="Arial" w:cs="Arial"/>
          <w:b/>
          <w:sz w:val="20"/>
          <w:szCs w:val="20"/>
        </w:rPr>
        <w:t xml:space="preserve">Consent </w:t>
      </w:r>
    </w:p>
    <w:p w14:paraId="0AE365CD" w14:textId="4751E1FF" w:rsidR="004356C8" w:rsidRPr="00B233C9" w:rsidRDefault="00B233C9" w:rsidP="00B233C9">
      <w:pPr>
        <w:rPr>
          <w:rFonts w:ascii="Arial" w:eastAsia="Calibri" w:hAnsi="Arial" w:cs="Arial"/>
          <w:sz w:val="20"/>
          <w:szCs w:val="20"/>
        </w:rPr>
      </w:pPr>
      <w:r w:rsidRPr="00B233C9">
        <w:rPr>
          <w:rFonts w:ascii="Arial" w:eastAsia="Calibri" w:hAnsi="Arial" w:cs="Arial"/>
          <w:sz w:val="20"/>
          <w:szCs w:val="20"/>
        </w:rPr>
        <w:t>As per international standards or university standards, respondents’ written consent has been collected and preserved by the author(s).</w:t>
      </w:r>
    </w:p>
    <w:p w14:paraId="2B57DC2A" w14:textId="77777777" w:rsidR="00B233C9" w:rsidRDefault="00B233C9" w:rsidP="00B233C9">
      <w:pPr>
        <w:rPr>
          <w:rFonts w:ascii="Arial" w:eastAsia="Calibri" w:hAnsi="Arial" w:cs="Arial"/>
          <w:b/>
          <w:sz w:val="20"/>
          <w:szCs w:val="20"/>
        </w:rPr>
      </w:pPr>
    </w:p>
    <w:p w14:paraId="2588CB78" w14:textId="16FD34E8" w:rsidR="00D04F39" w:rsidRPr="004356C8" w:rsidRDefault="00D04F39" w:rsidP="00D04F39">
      <w:pPr>
        <w:rPr>
          <w:rFonts w:ascii="Arial" w:eastAsia="Calibri" w:hAnsi="Arial" w:cs="Arial"/>
          <w:b/>
          <w:sz w:val="20"/>
          <w:szCs w:val="20"/>
        </w:rPr>
      </w:pPr>
      <w:r w:rsidRPr="004356C8">
        <w:rPr>
          <w:rFonts w:ascii="Arial" w:eastAsia="Calibri" w:hAnsi="Arial" w:cs="Arial"/>
          <w:b/>
          <w:sz w:val="20"/>
          <w:szCs w:val="20"/>
        </w:rPr>
        <w:t>DISCLAIMER (ARTIFICIAL INTELLIGENCE)</w:t>
      </w:r>
    </w:p>
    <w:p w14:paraId="71CB33CC" w14:textId="2426E9F8" w:rsidR="00D04F39" w:rsidRPr="000B513B" w:rsidRDefault="00D04F39" w:rsidP="00D04F39">
      <w:pPr>
        <w:jc w:val="both"/>
        <w:rPr>
          <w:rFonts w:ascii="Arial" w:eastAsia="Calibri" w:hAnsi="Arial" w:cs="Arial"/>
          <w:sz w:val="20"/>
          <w:szCs w:val="20"/>
        </w:rPr>
      </w:pPr>
      <w:r w:rsidRPr="000B513B">
        <w:rPr>
          <w:rFonts w:ascii="Arial" w:eastAsia="Calibri" w:hAnsi="Arial" w:cs="Arial"/>
          <w:sz w:val="20"/>
          <w:szCs w:val="20"/>
        </w:rPr>
        <w:t>The authors acknowledge that generative artificial intelligence (AI) tools were used during the writing and editing of this manuscript. Consistent with ethical guidelines for transparency and the APA’s recommendations for responsible use, the specific AI technologies involved, including their name, version or model, source, and the nature of their contributions, are fully documented below. All interpretations, decisions, and conclusions remain the sole responsibility of the authors.</w:t>
      </w:r>
    </w:p>
    <w:p w14:paraId="5C467E52" w14:textId="03EA977A" w:rsidR="00D04F39" w:rsidRPr="000B513B" w:rsidRDefault="00D04F39" w:rsidP="00D04F39">
      <w:pPr>
        <w:rPr>
          <w:rFonts w:ascii="Arial" w:eastAsia="Calibri" w:hAnsi="Arial" w:cs="Arial"/>
          <w:sz w:val="20"/>
          <w:szCs w:val="20"/>
        </w:rPr>
      </w:pPr>
      <w:r w:rsidRPr="000B513B">
        <w:rPr>
          <w:rFonts w:ascii="Arial" w:eastAsia="Calibri" w:hAnsi="Arial" w:cs="Arial"/>
          <w:sz w:val="20"/>
          <w:szCs w:val="20"/>
        </w:rPr>
        <w:t>Details of AI Usage</w:t>
      </w:r>
    </w:p>
    <w:p w14:paraId="176905BB" w14:textId="31DC5DEB" w:rsidR="00D04F39" w:rsidRPr="000B513B" w:rsidRDefault="00D04F39" w:rsidP="00D04F39">
      <w:pPr>
        <w:pStyle w:val="ListParagraph"/>
        <w:numPr>
          <w:ilvl w:val="0"/>
          <w:numId w:val="19"/>
        </w:numPr>
        <w:rPr>
          <w:rFonts w:ascii="Arial" w:eastAsia="Calibri" w:hAnsi="Arial" w:cs="Arial"/>
          <w:sz w:val="20"/>
          <w:szCs w:val="20"/>
        </w:rPr>
      </w:pPr>
      <w:r w:rsidRPr="000B513B">
        <w:rPr>
          <w:rFonts w:ascii="Arial" w:eastAsia="Calibri" w:hAnsi="Arial" w:cs="Arial"/>
          <w:sz w:val="20"/>
          <w:szCs w:val="20"/>
        </w:rPr>
        <w:t>Microsoft Copilot (GPT-4o mini model).</w:t>
      </w:r>
    </w:p>
    <w:p w14:paraId="28F3F649" w14:textId="1D74B435" w:rsidR="00D04F39" w:rsidRPr="000B513B" w:rsidRDefault="00D04F39" w:rsidP="00D04F39">
      <w:pPr>
        <w:rPr>
          <w:rFonts w:ascii="Arial" w:eastAsia="Calibri" w:hAnsi="Arial" w:cs="Arial"/>
          <w:sz w:val="20"/>
          <w:szCs w:val="20"/>
        </w:rPr>
      </w:pPr>
      <w:r w:rsidRPr="000B513B">
        <w:rPr>
          <w:rFonts w:ascii="Arial" w:eastAsia="Calibri" w:hAnsi="Arial" w:cs="Arial"/>
          <w:sz w:val="20"/>
          <w:szCs w:val="20"/>
        </w:rPr>
        <w:t xml:space="preserve">Developed by Microsoft Corporation and powered by </w:t>
      </w:r>
      <w:proofErr w:type="spellStart"/>
      <w:r w:rsidRPr="000B513B">
        <w:rPr>
          <w:rFonts w:ascii="Arial" w:eastAsia="Calibri" w:hAnsi="Arial" w:cs="Arial"/>
          <w:sz w:val="20"/>
          <w:szCs w:val="20"/>
        </w:rPr>
        <w:t>OpenAI</w:t>
      </w:r>
      <w:proofErr w:type="spellEnd"/>
      <w:r w:rsidRPr="000B513B">
        <w:rPr>
          <w:rFonts w:ascii="Arial" w:eastAsia="Calibri" w:hAnsi="Arial" w:cs="Arial"/>
          <w:sz w:val="20"/>
          <w:szCs w:val="20"/>
        </w:rPr>
        <w:t xml:space="preserve"> technology. Copilot was used to generate initial phrasing, reorganize several sentences, and provide alternative wording suggestions during the drafting stage.</w:t>
      </w:r>
    </w:p>
    <w:p w14:paraId="323C0FC9" w14:textId="38871B62" w:rsidR="00D04F39" w:rsidRPr="000B513B" w:rsidRDefault="00D04F39" w:rsidP="00D04F39">
      <w:pPr>
        <w:pStyle w:val="ListParagraph"/>
        <w:numPr>
          <w:ilvl w:val="0"/>
          <w:numId w:val="19"/>
        </w:numPr>
        <w:rPr>
          <w:rFonts w:ascii="Arial" w:eastAsia="Calibri" w:hAnsi="Arial" w:cs="Arial"/>
          <w:sz w:val="20"/>
          <w:szCs w:val="20"/>
        </w:rPr>
      </w:pPr>
      <w:proofErr w:type="spellStart"/>
      <w:r w:rsidRPr="000B513B">
        <w:rPr>
          <w:rFonts w:ascii="Arial" w:eastAsia="Calibri" w:hAnsi="Arial" w:cs="Arial"/>
          <w:sz w:val="20"/>
          <w:szCs w:val="20"/>
        </w:rPr>
        <w:t>ChatGPT</w:t>
      </w:r>
      <w:proofErr w:type="spellEnd"/>
      <w:r w:rsidRPr="000B513B">
        <w:rPr>
          <w:rFonts w:ascii="Arial" w:eastAsia="Calibri" w:hAnsi="Arial" w:cs="Arial"/>
          <w:sz w:val="20"/>
          <w:szCs w:val="20"/>
        </w:rPr>
        <w:t xml:space="preserve"> (GPT-5.1).</w:t>
      </w:r>
    </w:p>
    <w:p w14:paraId="143328DE" w14:textId="1854B64C" w:rsidR="00D04F39" w:rsidRPr="000B513B" w:rsidRDefault="00D04F39" w:rsidP="00D04F39">
      <w:pPr>
        <w:rPr>
          <w:rFonts w:ascii="Arial" w:eastAsia="Calibri" w:hAnsi="Arial" w:cs="Arial"/>
          <w:sz w:val="20"/>
          <w:szCs w:val="20"/>
        </w:rPr>
      </w:pPr>
      <w:r w:rsidRPr="000B513B">
        <w:rPr>
          <w:rFonts w:ascii="Arial" w:eastAsia="Calibri" w:hAnsi="Arial" w:cs="Arial"/>
          <w:sz w:val="20"/>
          <w:szCs w:val="20"/>
        </w:rPr>
        <w:t xml:space="preserve">Developed by </w:t>
      </w:r>
      <w:proofErr w:type="spellStart"/>
      <w:r w:rsidRPr="000B513B">
        <w:rPr>
          <w:rFonts w:ascii="Arial" w:eastAsia="Calibri" w:hAnsi="Arial" w:cs="Arial"/>
          <w:sz w:val="20"/>
          <w:szCs w:val="20"/>
        </w:rPr>
        <w:t>OpenAI</w:t>
      </w:r>
      <w:proofErr w:type="spellEnd"/>
      <w:r w:rsidRPr="000B513B">
        <w:rPr>
          <w:rFonts w:ascii="Arial" w:eastAsia="Calibri" w:hAnsi="Arial" w:cs="Arial"/>
          <w:sz w:val="20"/>
          <w:szCs w:val="20"/>
        </w:rPr>
        <w:t xml:space="preserve">. </w:t>
      </w:r>
      <w:proofErr w:type="spellStart"/>
      <w:r w:rsidRPr="000B513B">
        <w:rPr>
          <w:rFonts w:ascii="Arial" w:eastAsia="Calibri" w:hAnsi="Arial" w:cs="Arial"/>
          <w:sz w:val="20"/>
          <w:szCs w:val="20"/>
        </w:rPr>
        <w:t>ChatGPT</w:t>
      </w:r>
      <w:proofErr w:type="spellEnd"/>
      <w:r w:rsidRPr="000B513B">
        <w:rPr>
          <w:rFonts w:ascii="Arial" w:eastAsia="Calibri" w:hAnsi="Arial" w:cs="Arial"/>
          <w:sz w:val="20"/>
          <w:szCs w:val="20"/>
        </w:rPr>
        <w:t xml:space="preserve"> assisted in refining explanations, enhancing the coherence of selected sections, and drafting specific academic components such as descriptions, conceptual clarifications, and paraphrased text. </w:t>
      </w:r>
    </w:p>
    <w:p w14:paraId="2C7DA9D2" w14:textId="77777777" w:rsidR="000B513B" w:rsidRDefault="00D04F39" w:rsidP="000B513B">
      <w:pPr>
        <w:rPr>
          <w:rFonts w:ascii="Arial" w:eastAsia="Calibri" w:hAnsi="Arial" w:cs="Arial"/>
          <w:sz w:val="20"/>
          <w:szCs w:val="20"/>
        </w:rPr>
      </w:pPr>
      <w:r w:rsidRPr="000B513B">
        <w:rPr>
          <w:rFonts w:ascii="Arial" w:eastAsia="Calibri" w:hAnsi="Arial" w:cs="Arial"/>
          <w:sz w:val="20"/>
          <w:szCs w:val="20"/>
        </w:rPr>
        <w:t>The authors affirm that the final content reflects their own scholarly judgment, and AI tools served only as support for language, clarity, and structural refinement.</w:t>
      </w:r>
      <w:bookmarkEnd w:id="1"/>
      <w:bookmarkEnd w:id="2"/>
    </w:p>
    <w:p w14:paraId="58ADE163" w14:textId="26A1E93E" w:rsidR="00E04579" w:rsidRPr="000B513B" w:rsidRDefault="006C3E85" w:rsidP="000B513B">
      <w:pPr>
        <w:rPr>
          <w:rFonts w:ascii="Arial" w:eastAsia="Calibri" w:hAnsi="Arial" w:cs="Arial"/>
          <w:sz w:val="20"/>
          <w:szCs w:val="20"/>
        </w:rPr>
      </w:pPr>
      <w:r w:rsidRPr="001B1F82">
        <w:rPr>
          <w:rFonts w:ascii="Arial" w:hAnsi="Arial" w:cs="Arial"/>
          <w:b/>
          <w:bCs/>
          <w:sz w:val="22"/>
          <w:szCs w:val="22"/>
        </w:rPr>
        <w:t>REFERENCES</w:t>
      </w:r>
    </w:p>
    <w:p w14:paraId="463DD0BB" w14:textId="320785EA"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Ahedo</w:t>
      </w:r>
      <w:proofErr w:type="spellEnd"/>
      <w:r w:rsidRPr="004003A5">
        <w:rPr>
          <w:rFonts w:ascii="Arial" w:hAnsi="Arial" w:cs="Arial"/>
          <w:sz w:val="22"/>
          <w:szCs w:val="22"/>
        </w:rPr>
        <w:t xml:space="preserve">, M. (2009). Comparing the principles of adult learning with traditional pedagogical teaching in relation to the use of technology: The tacit dimension in ICT-based university teaching. In V. C. X. Wang (Ed.), Integrating adult learning and technologies for effective education: Strategic approaches (pp. 238–254). IGI Global. </w:t>
      </w:r>
      <w:hyperlink r:id="rId10" w:history="1">
        <w:r w:rsidRPr="00C81524">
          <w:rPr>
            <w:rStyle w:val="Hyperlink"/>
            <w:rFonts w:ascii="Arial" w:hAnsi="Arial" w:cs="Arial"/>
            <w:sz w:val="22"/>
            <w:szCs w:val="22"/>
          </w:rPr>
          <w:t>https://doi.org/10.4018/978-1-61520-694-0.ch008</w:t>
        </w:r>
      </w:hyperlink>
    </w:p>
    <w:p w14:paraId="2AC8698F" w14:textId="7BE4DAA3" w:rsidR="004003A5" w:rsidRDefault="004003A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Wambugu, P. W., &amp; </w:t>
      </w:r>
      <w:proofErr w:type="spellStart"/>
      <w:r w:rsidRPr="004003A5">
        <w:rPr>
          <w:rFonts w:ascii="Arial" w:hAnsi="Arial" w:cs="Arial"/>
          <w:sz w:val="22"/>
          <w:szCs w:val="22"/>
        </w:rPr>
        <w:t>Changeiywo</w:t>
      </w:r>
      <w:proofErr w:type="spellEnd"/>
      <w:r w:rsidRPr="004003A5">
        <w:rPr>
          <w:rFonts w:ascii="Arial" w:hAnsi="Arial" w:cs="Arial"/>
          <w:sz w:val="22"/>
          <w:szCs w:val="22"/>
        </w:rPr>
        <w:t xml:space="preserve">, J. M. (2008). Effects of Mastery Learning Approach on Secondary School Students' Physics Achievement. Eurasia Journal of Mathematics, Science and Technology Education, 4(3), 293-302. </w:t>
      </w:r>
      <w:hyperlink r:id="rId11" w:history="1">
        <w:r w:rsidRPr="00C81524">
          <w:rPr>
            <w:rStyle w:val="Hyperlink"/>
            <w:rFonts w:ascii="Arial" w:hAnsi="Arial" w:cs="Arial"/>
            <w:sz w:val="22"/>
            <w:szCs w:val="22"/>
          </w:rPr>
          <w:t>https://doi.org/10.12973/ejmste/75352</w:t>
        </w:r>
      </w:hyperlink>
    </w:p>
    <w:p w14:paraId="0687459C" w14:textId="0D28557D"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Ampadu</w:t>
      </w:r>
      <w:proofErr w:type="spellEnd"/>
      <w:r w:rsidRPr="004003A5">
        <w:rPr>
          <w:rFonts w:ascii="Arial" w:hAnsi="Arial" w:cs="Arial"/>
          <w:sz w:val="22"/>
          <w:szCs w:val="22"/>
        </w:rPr>
        <w:t xml:space="preserve">, E. (2012). Students' perceptions of their teachers' teaching of mathematics: The case of Ghana. International Online Journal of Educational Sciences, 4(2), 351-358. </w:t>
      </w:r>
      <w:hyperlink r:id="rId12" w:history="1">
        <w:r w:rsidRPr="00C81524">
          <w:rPr>
            <w:rStyle w:val="Hyperlink"/>
            <w:rFonts w:ascii="Arial" w:hAnsi="Arial" w:cs="Arial"/>
            <w:sz w:val="22"/>
            <w:szCs w:val="22"/>
          </w:rPr>
          <w:t>https://ajindex.com/uploads/papers/Students%E2%80%99-Perceptions-of-their-Teachers%E2%80%99-Teaching-of-Mathematics-The-Case-of-Ghana.pdf</w:t>
        </w:r>
      </w:hyperlink>
    </w:p>
    <w:p w14:paraId="2801F8EF" w14:textId="0E212720" w:rsidR="004003A5" w:rsidRDefault="004003A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lastRenderedPageBreak/>
        <w:t>Atuhurra</w:t>
      </w:r>
      <w:proofErr w:type="spellEnd"/>
      <w:r w:rsidRPr="004003A5">
        <w:rPr>
          <w:rFonts w:ascii="Arial" w:hAnsi="Arial" w:cs="Arial"/>
          <w:sz w:val="22"/>
          <w:szCs w:val="22"/>
        </w:rPr>
        <w:t xml:space="preserve">, J. F. (2016). Does community involvement affect teacher effort? Assessing learning impacts of Free Primary Education in Kenya. International Journal of Educational Development, 49, 234-246. </w:t>
      </w:r>
      <w:hyperlink r:id="rId13" w:history="1">
        <w:r w:rsidRPr="00C81524">
          <w:rPr>
            <w:rStyle w:val="Hyperlink"/>
            <w:rFonts w:ascii="Arial" w:hAnsi="Arial" w:cs="Arial"/>
            <w:sz w:val="22"/>
            <w:szCs w:val="22"/>
          </w:rPr>
          <w:t>https://doi.org/10.1016/j.ijedudev.2016.03.008</w:t>
        </w:r>
      </w:hyperlink>
    </w:p>
    <w:p w14:paraId="0D2597F6" w14:textId="1C1E73FD" w:rsidR="004003A5" w:rsidRDefault="004003A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Avalos, B. (2011). Teacher professional development in teaching and teacher education over ten years. Teaching and Teacher Education, 27(1), 10-20. </w:t>
      </w:r>
      <w:hyperlink r:id="rId14" w:history="1">
        <w:r w:rsidRPr="00C81524">
          <w:rPr>
            <w:rStyle w:val="Hyperlink"/>
            <w:rFonts w:ascii="Arial" w:hAnsi="Arial" w:cs="Arial"/>
            <w:sz w:val="22"/>
            <w:szCs w:val="22"/>
          </w:rPr>
          <w:t>https://doi.org/10.1016/j.tate.2010.08.007</w:t>
        </w:r>
      </w:hyperlink>
    </w:p>
    <w:p w14:paraId="2EE8A170" w14:textId="338A8153" w:rsidR="004003A5" w:rsidRDefault="004003A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Ball, D. L., &amp; Bass, H. (2000). Interweaving content and pedagogy in teaching and learning to teach: Knowing and using mathematics. In J. </w:t>
      </w:r>
      <w:proofErr w:type="spellStart"/>
      <w:r w:rsidRPr="004003A5">
        <w:rPr>
          <w:rFonts w:ascii="Arial" w:hAnsi="Arial" w:cs="Arial"/>
          <w:sz w:val="22"/>
          <w:szCs w:val="22"/>
        </w:rPr>
        <w:t>Boaler</w:t>
      </w:r>
      <w:proofErr w:type="spellEnd"/>
      <w:r w:rsidRPr="004003A5">
        <w:rPr>
          <w:rFonts w:ascii="Arial" w:hAnsi="Arial" w:cs="Arial"/>
          <w:sz w:val="22"/>
          <w:szCs w:val="22"/>
        </w:rPr>
        <w:t xml:space="preserve"> (Ed.), Multiple perspectives on the teaching and learning of mathematics (pp. 83-104). </w:t>
      </w:r>
      <w:proofErr w:type="spellStart"/>
      <w:r w:rsidRPr="004003A5">
        <w:rPr>
          <w:rFonts w:ascii="Arial" w:hAnsi="Arial" w:cs="Arial"/>
          <w:sz w:val="22"/>
          <w:szCs w:val="22"/>
        </w:rPr>
        <w:t>Ablex</w:t>
      </w:r>
      <w:proofErr w:type="spellEnd"/>
      <w:r w:rsidRPr="004003A5">
        <w:rPr>
          <w:rFonts w:ascii="Arial" w:hAnsi="Arial" w:cs="Arial"/>
          <w:sz w:val="22"/>
          <w:szCs w:val="22"/>
        </w:rPr>
        <w:t xml:space="preserve">. </w:t>
      </w:r>
      <w:hyperlink r:id="rId15" w:history="1">
        <w:r w:rsidRPr="00C81524">
          <w:rPr>
            <w:rStyle w:val="Hyperlink"/>
            <w:rFonts w:ascii="Arial" w:hAnsi="Arial" w:cs="Arial"/>
            <w:sz w:val="22"/>
            <w:szCs w:val="22"/>
          </w:rPr>
          <w:t>https://doi.org/10.5040/9798400688362</w:t>
        </w:r>
      </w:hyperlink>
    </w:p>
    <w:p w14:paraId="34130A3A" w14:textId="77777777" w:rsidR="000C086F" w:rsidRDefault="000C086F" w:rsidP="004003A5">
      <w:pPr>
        <w:pStyle w:val="ListParagraph"/>
        <w:numPr>
          <w:ilvl w:val="0"/>
          <w:numId w:val="18"/>
        </w:numPr>
        <w:rPr>
          <w:rFonts w:ascii="Arial" w:hAnsi="Arial" w:cs="Arial"/>
          <w:sz w:val="22"/>
          <w:szCs w:val="22"/>
        </w:rPr>
      </w:pPr>
      <w:r w:rsidRPr="000C086F">
        <w:rPr>
          <w:rFonts w:ascii="Arial" w:hAnsi="Arial" w:cs="Arial"/>
          <w:sz w:val="22"/>
          <w:szCs w:val="22"/>
        </w:rPr>
        <w:t xml:space="preserve">Bamidele, A. D., &amp; </w:t>
      </w:r>
      <w:proofErr w:type="spellStart"/>
      <w:r w:rsidRPr="000C086F">
        <w:rPr>
          <w:rFonts w:ascii="Arial" w:hAnsi="Arial" w:cs="Arial"/>
          <w:sz w:val="22"/>
          <w:szCs w:val="22"/>
        </w:rPr>
        <w:t>Adekola</w:t>
      </w:r>
      <w:proofErr w:type="spellEnd"/>
      <w:r w:rsidRPr="000C086F">
        <w:rPr>
          <w:rFonts w:ascii="Arial" w:hAnsi="Arial" w:cs="Arial"/>
          <w:sz w:val="22"/>
          <w:szCs w:val="22"/>
        </w:rPr>
        <w:t>, F. F. (2017). Effects of teacher’s qualifications and teaching experience on students’ academic achievement in Basic Science in Junior Secondary School. International Journal of Education and Evaluation, 3(2), 1-9. https://iiardpub.org/get/IJEE/VOL.%203%20 NO.%202%202017/Effects%20of%20Teacher%E2%80%99s.pdf</w:t>
      </w:r>
    </w:p>
    <w:p w14:paraId="1801DF7B" w14:textId="1BCA1EF9"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Bandura, A. (1994). Self-efficacy. In V. S. </w:t>
      </w:r>
      <w:proofErr w:type="spellStart"/>
      <w:r w:rsidRPr="004003A5">
        <w:rPr>
          <w:rFonts w:ascii="Arial" w:hAnsi="Arial" w:cs="Arial"/>
          <w:sz w:val="22"/>
          <w:szCs w:val="22"/>
        </w:rPr>
        <w:t>Ramachaudran</w:t>
      </w:r>
      <w:proofErr w:type="spellEnd"/>
      <w:r w:rsidRPr="004003A5">
        <w:rPr>
          <w:rFonts w:ascii="Arial" w:hAnsi="Arial" w:cs="Arial"/>
          <w:sz w:val="22"/>
          <w:szCs w:val="22"/>
        </w:rPr>
        <w:t xml:space="preserve"> (Ed.), Encyclopedia of human behavior (Vol. 4, pp. 71-81). New York: Academic Press.</w:t>
      </w:r>
    </w:p>
    <w:p w14:paraId="0A46AFF2" w14:textId="645CF146" w:rsidR="000C086F" w:rsidRDefault="000C086F" w:rsidP="004003A5">
      <w:pPr>
        <w:pStyle w:val="ListParagraph"/>
        <w:numPr>
          <w:ilvl w:val="0"/>
          <w:numId w:val="18"/>
        </w:numPr>
        <w:rPr>
          <w:rFonts w:ascii="Arial" w:hAnsi="Arial" w:cs="Arial"/>
          <w:sz w:val="22"/>
          <w:szCs w:val="22"/>
        </w:rPr>
      </w:pPr>
      <w:r w:rsidRPr="000C086F">
        <w:rPr>
          <w:rFonts w:ascii="Arial" w:hAnsi="Arial" w:cs="Arial"/>
          <w:sz w:val="22"/>
          <w:szCs w:val="22"/>
        </w:rPr>
        <w:t xml:space="preserve">Bean, R. (2007). The promise and potential of literacy coaching. Pittsburgh, PA: Department of Education and Pennsylvania High School Coaching Initiative. </w:t>
      </w:r>
      <w:hyperlink r:id="rId16" w:history="1">
        <w:r w:rsidRPr="00C81524">
          <w:rPr>
            <w:rStyle w:val="Hyperlink"/>
            <w:rFonts w:ascii="Arial" w:hAnsi="Arial" w:cs="Arial"/>
            <w:sz w:val="22"/>
            <w:szCs w:val="22"/>
          </w:rPr>
          <w:t>http://www.pacoaching.org/files/Research%20Findings/bean_coaching_annenber_doc.pdf</w:t>
        </w:r>
      </w:hyperlink>
    </w:p>
    <w:p w14:paraId="62652EF1" w14:textId="2BE30A9A" w:rsidR="000C086F" w:rsidRDefault="000C086F" w:rsidP="004003A5">
      <w:pPr>
        <w:pStyle w:val="ListParagraph"/>
        <w:numPr>
          <w:ilvl w:val="0"/>
          <w:numId w:val="18"/>
        </w:numPr>
        <w:rPr>
          <w:rFonts w:ascii="Arial" w:hAnsi="Arial" w:cs="Arial"/>
          <w:sz w:val="22"/>
          <w:szCs w:val="22"/>
        </w:rPr>
      </w:pPr>
      <w:r w:rsidRPr="000C086F">
        <w:rPr>
          <w:rFonts w:ascii="Arial" w:hAnsi="Arial" w:cs="Arial"/>
          <w:sz w:val="22"/>
          <w:szCs w:val="22"/>
        </w:rPr>
        <w:t xml:space="preserve">Beck, C., Hart, D., &amp; </w:t>
      </w:r>
      <w:proofErr w:type="spellStart"/>
      <w:r w:rsidRPr="000C086F">
        <w:rPr>
          <w:rFonts w:ascii="Arial" w:hAnsi="Arial" w:cs="Arial"/>
          <w:sz w:val="22"/>
          <w:szCs w:val="22"/>
        </w:rPr>
        <w:t>Kosnik</w:t>
      </w:r>
      <w:proofErr w:type="spellEnd"/>
      <w:r w:rsidRPr="000C086F">
        <w:rPr>
          <w:rFonts w:ascii="Arial" w:hAnsi="Arial" w:cs="Arial"/>
          <w:sz w:val="22"/>
          <w:szCs w:val="22"/>
        </w:rPr>
        <w:t xml:space="preserve">, C. (2002). The teaching standards movement and current teaching practices. Canadian Journal of Education, 27(2/3), 175-194. </w:t>
      </w:r>
      <w:hyperlink r:id="rId17" w:history="1">
        <w:r w:rsidRPr="00C81524">
          <w:rPr>
            <w:rStyle w:val="Hyperlink"/>
            <w:rFonts w:ascii="Arial" w:hAnsi="Arial" w:cs="Arial"/>
            <w:sz w:val="22"/>
            <w:szCs w:val="22"/>
          </w:rPr>
          <w:t>https://cje.oise.utoronto.ca/index.php/cje-rce/article/view/1839/1839</w:t>
        </w:r>
      </w:hyperlink>
    </w:p>
    <w:p w14:paraId="00898329" w14:textId="01C471B9"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Bell, S. (2010). Project-based learning for the 21st century: Skills for the future. The Clearing House: A Journal of Educational Strategies, Issues and Ideas, 83(2), 39-43. </w:t>
      </w:r>
      <w:hyperlink r:id="rId18" w:history="1">
        <w:r w:rsidRPr="00C81524">
          <w:rPr>
            <w:rStyle w:val="Hyperlink"/>
            <w:rFonts w:ascii="Arial" w:hAnsi="Arial" w:cs="Arial"/>
            <w:sz w:val="22"/>
            <w:szCs w:val="22"/>
          </w:rPr>
          <w:t>https://doi.org/10.1080/00098650903505415</w:t>
        </w:r>
      </w:hyperlink>
    </w:p>
    <w:p w14:paraId="6757951C" w14:textId="2A4EFFA9"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Bello, A. T., &amp; </w:t>
      </w:r>
      <w:proofErr w:type="spellStart"/>
      <w:r w:rsidRPr="00207F29">
        <w:rPr>
          <w:rFonts w:ascii="Arial" w:hAnsi="Arial" w:cs="Arial"/>
          <w:sz w:val="22"/>
          <w:szCs w:val="22"/>
        </w:rPr>
        <w:t>Olaer</w:t>
      </w:r>
      <w:proofErr w:type="spellEnd"/>
      <w:r w:rsidRPr="00207F29">
        <w:rPr>
          <w:rFonts w:ascii="Arial" w:hAnsi="Arial" w:cs="Arial"/>
          <w:sz w:val="22"/>
          <w:szCs w:val="22"/>
        </w:rPr>
        <w:t xml:space="preserve">, J. H. (2020). The influence of clinical supervision on the instructional competence of secondary school teachers. Asian Journal of Education and Social Studies </w:t>
      </w:r>
      <w:hyperlink r:id="rId19" w:history="1">
        <w:r w:rsidRPr="00C81524">
          <w:rPr>
            <w:rStyle w:val="Hyperlink"/>
            <w:rFonts w:ascii="Arial" w:hAnsi="Arial" w:cs="Arial"/>
            <w:sz w:val="22"/>
            <w:szCs w:val="22"/>
          </w:rPr>
          <w:t>https://doi.org/10.9734/AJESS/2020/v12i330314</w:t>
        </w:r>
      </w:hyperlink>
    </w:p>
    <w:p w14:paraId="64D64756" w14:textId="16F112C8"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Bilbao, P.P., </w:t>
      </w:r>
      <w:proofErr w:type="spellStart"/>
      <w:r w:rsidRPr="00207F29">
        <w:rPr>
          <w:rFonts w:ascii="Arial" w:hAnsi="Arial" w:cs="Arial"/>
          <w:sz w:val="22"/>
          <w:szCs w:val="22"/>
        </w:rPr>
        <w:t>Corpuz</w:t>
      </w:r>
      <w:proofErr w:type="spellEnd"/>
      <w:r w:rsidRPr="00207F29">
        <w:rPr>
          <w:rFonts w:ascii="Arial" w:hAnsi="Arial" w:cs="Arial"/>
          <w:sz w:val="22"/>
          <w:szCs w:val="22"/>
        </w:rPr>
        <w:t xml:space="preserve">, B.B., </w:t>
      </w:r>
      <w:proofErr w:type="spellStart"/>
      <w:r w:rsidRPr="00207F29">
        <w:rPr>
          <w:rFonts w:ascii="Arial" w:hAnsi="Arial" w:cs="Arial"/>
          <w:sz w:val="22"/>
          <w:szCs w:val="22"/>
        </w:rPr>
        <w:t>Llagas</w:t>
      </w:r>
      <w:proofErr w:type="spellEnd"/>
      <w:r w:rsidRPr="00207F29">
        <w:rPr>
          <w:rFonts w:ascii="Arial" w:hAnsi="Arial" w:cs="Arial"/>
          <w:sz w:val="22"/>
          <w:szCs w:val="22"/>
        </w:rPr>
        <w:t xml:space="preserve">, A.T., &amp; </w:t>
      </w:r>
      <w:proofErr w:type="spellStart"/>
      <w:r w:rsidRPr="00207F29">
        <w:rPr>
          <w:rFonts w:ascii="Arial" w:hAnsi="Arial" w:cs="Arial"/>
          <w:sz w:val="22"/>
          <w:szCs w:val="22"/>
        </w:rPr>
        <w:t>Salandanan</w:t>
      </w:r>
      <w:proofErr w:type="spellEnd"/>
      <w:r w:rsidRPr="00207F29">
        <w:rPr>
          <w:rFonts w:ascii="Arial" w:hAnsi="Arial" w:cs="Arial"/>
          <w:sz w:val="22"/>
          <w:szCs w:val="22"/>
        </w:rPr>
        <w:t xml:space="preserve">, G.G. (2012). The teaching profession (2nd ed.). Adriana Printing Co., Inc. </w:t>
      </w:r>
      <w:hyperlink r:id="rId20" w:history="1">
        <w:r w:rsidRPr="00C81524">
          <w:rPr>
            <w:rStyle w:val="Hyperlink"/>
            <w:rFonts w:ascii="Arial" w:hAnsi="Arial" w:cs="Arial"/>
            <w:sz w:val="22"/>
            <w:szCs w:val="22"/>
          </w:rPr>
          <w:t>https://adrianaprinting.com/collections/obe-teacher-education-series/products/the-teaching-profession</w:t>
        </w:r>
      </w:hyperlink>
    </w:p>
    <w:p w14:paraId="072DC9D2" w14:textId="63470251"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Billett</w:t>
      </w:r>
      <w:proofErr w:type="spellEnd"/>
      <w:r w:rsidRPr="00207F29">
        <w:rPr>
          <w:rFonts w:ascii="Arial" w:hAnsi="Arial" w:cs="Arial"/>
          <w:sz w:val="22"/>
          <w:szCs w:val="22"/>
        </w:rPr>
        <w:t xml:space="preserve">, S. (2007). Exercising self through working life: Learning, work and identity. In A. Brown, S. </w:t>
      </w:r>
      <w:proofErr w:type="spellStart"/>
      <w:r w:rsidRPr="00207F29">
        <w:rPr>
          <w:rFonts w:ascii="Arial" w:hAnsi="Arial" w:cs="Arial"/>
          <w:sz w:val="22"/>
          <w:szCs w:val="22"/>
        </w:rPr>
        <w:t>Kirpal</w:t>
      </w:r>
      <w:proofErr w:type="spellEnd"/>
      <w:r w:rsidRPr="00207F29">
        <w:rPr>
          <w:rFonts w:ascii="Arial" w:hAnsi="Arial" w:cs="Arial"/>
          <w:sz w:val="22"/>
          <w:szCs w:val="22"/>
        </w:rPr>
        <w:t xml:space="preserve">, &amp; F. </w:t>
      </w:r>
      <w:proofErr w:type="spellStart"/>
      <w:r w:rsidRPr="00207F29">
        <w:rPr>
          <w:rFonts w:ascii="Arial" w:hAnsi="Arial" w:cs="Arial"/>
          <w:sz w:val="22"/>
          <w:szCs w:val="22"/>
        </w:rPr>
        <w:t>Rauner</w:t>
      </w:r>
      <w:proofErr w:type="spellEnd"/>
      <w:r w:rsidRPr="00207F29">
        <w:rPr>
          <w:rFonts w:ascii="Arial" w:hAnsi="Arial" w:cs="Arial"/>
          <w:sz w:val="22"/>
          <w:szCs w:val="22"/>
        </w:rPr>
        <w:t xml:space="preserve"> (Eds.), Identities at work (pp. 183-210). Springer. </w:t>
      </w:r>
      <w:hyperlink r:id="rId21" w:history="1">
        <w:r w:rsidRPr="00C81524">
          <w:rPr>
            <w:rStyle w:val="Hyperlink"/>
            <w:rFonts w:ascii="Arial" w:hAnsi="Arial" w:cs="Arial"/>
            <w:sz w:val="22"/>
            <w:szCs w:val="22"/>
          </w:rPr>
          <w:t>https://doi.org/10.1007/978-1-4020-4989-7_7</w:t>
        </w:r>
      </w:hyperlink>
    </w:p>
    <w:p w14:paraId="1CDF6088" w14:textId="13B71030"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Fisher, D., den </w:t>
      </w:r>
      <w:proofErr w:type="spellStart"/>
      <w:r w:rsidRPr="00207F29">
        <w:rPr>
          <w:rFonts w:ascii="Arial" w:hAnsi="Arial" w:cs="Arial"/>
          <w:sz w:val="22"/>
          <w:szCs w:val="22"/>
        </w:rPr>
        <w:t>Brok</w:t>
      </w:r>
      <w:proofErr w:type="spellEnd"/>
      <w:r w:rsidRPr="00207F29">
        <w:rPr>
          <w:rFonts w:ascii="Arial" w:hAnsi="Arial" w:cs="Arial"/>
          <w:sz w:val="22"/>
          <w:szCs w:val="22"/>
        </w:rPr>
        <w:t xml:space="preserve">, P., &amp; Rickards, T. (2006). Factors influencing students' perceptions of their teachers' interpersonal </w:t>
      </w:r>
      <w:proofErr w:type="spellStart"/>
      <w:r w:rsidRPr="00207F29">
        <w:rPr>
          <w:rFonts w:ascii="Arial" w:hAnsi="Arial" w:cs="Arial"/>
          <w:sz w:val="22"/>
          <w:szCs w:val="22"/>
        </w:rPr>
        <w:t>behaviour</w:t>
      </w:r>
      <w:proofErr w:type="spellEnd"/>
      <w:r w:rsidRPr="00207F29">
        <w:rPr>
          <w:rFonts w:ascii="Arial" w:hAnsi="Arial" w:cs="Arial"/>
          <w:sz w:val="22"/>
          <w:szCs w:val="22"/>
        </w:rPr>
        <w:t xml:space="preserve">: A multilevel analysis. In D. L. Fisher &amp; M. S. </w:t>
      </w:r>
      <w:proofErr w:type="spellStart"/>
      <w:r w:rsidRPr="00207F29">
        <w:rPr>
          <w:rFonts w:ascii="Arial" w:hAnsi="Arial" w:cs="Arial"/>
          <w:sz w:val="22"/>
          <w:szCs w:val="22"/>
        </w:rPr>
        <w:t>Khine</w:t>
      </w:r>
      <w:proofErr w:type="spellEnd"/>
      <w:r w:rsidRPr="00207F29">
        <w:rPr>
          <w:rFonts w:ascii="Arial" w:hAnsi="Arial" w:cs="Arial"/>
          <w:sz w:val="22"/>
          <w:szCs w:val="22"/>
        </w:rPr>
        <w:t xml:space="preserve"> (Eds.), Contemporary approaches to research on learning environments: World views. </w:t>
      </w:r>
      <w:hyperlink r:id="rId22" w:history="1">
        <w:r w:rsidRPr="00C81524">
          <w:rPr>
            <w:rStyle w:val="Hyperlink"/>
            <w:rFonts w:ascii="Arial" w:hAnsi="Arial" w:cs="Arial"/>
            <w:sz w:val="22"/>
            <w:szCs w:val="22"/>
          </w:rPr>
          <w:t>https://doi.org/10.1142/5946</w:t>
        </w:r>
      </w:hyperlink>
    </w:p>
    <w:p w14:paraId="2E73DC9F" w14:textId="7848D34E"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Brok</w:t>
      </w:r>
      <w:proofErr w:type="spellEnd"/>
      <w:r w:rsidRPr="004003A5">
        <w:rPr>
          <w:rFonts w:ascii="Arial" w:hAnsi="Arial" w:cs="Arial"/>
          <w:sz w:val="22"/>
          <w:szCs w:val="22"/>
        </w:rPr>
        <w:t xml:space="preserve">, P., Fisher, D. &amp; Rickards, T (2006). Factors affecting Australian students‟ Perception of their science teachers‟ interpersonal behavior. Retrievedfromhttps://www.academia.edu/234327/Factors_ </w:t>
      </w:r>
      <w:r w:rsidRPr="004003A5">
        <w:rPr>
          <w:rFonts w:ascii="Arial" w:hAnsi="Arial" w:cs="Arial"/>
          <w:sz w:val="22"/>
          <w:szCs w:val="22"/>
        </w:rPr>
        <w:lastRenderedPageBreak/>
        <w:t>influencing_students_perceptions_of_their_teachers_interpersonal_behaviour_A_multilevelanalysis</w:t>
      </w:r>
    </w:p>
    <w:p w14:paraId="6D27B749" w14:textId="3E05E5C1"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Brown, C. L. (2007). Content-based ESL instruction and curriculum. Academic Exchange Quarterly, 11(1), 114-119. </w:t>
      </w:r>
      <w:hyperlink r:id="rId23" w:history="1">
        <w:r w:rsidRPr="00C81524">
          <w:rPr>
            <w:rStyle w:val="Hyperlink"/>
            <w:rFonts w:ascii="Arial" w:hAnsi="Arial" w:cs="Arial"/>
            <w:sz w:val="22"/>
            <w:szCs w:val="22"/>
          </w:rPr>
          <w:t>http://www.thefreelibrary.com/_/print/PrintArticle.aspx?id=165912654</w:t>
        </w:r>
      </w:hyperlink>
    </w:p>
    <w:p w14:paraId="5CEABEFB" w14:textId="075FEE90"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Camarao</w:t>
      </w:r>
      <w:proofErr w:type="spellEnd"/>
      <w:r w:rsidRPr="00207F29">
        <w:rPr>
          <w:rFonts w:ascii="Arial" w:hAnsi="Arial" w:cs="Arial"/>
          <w:sz w:val="22"/>
          <w:szCs w:val="22"/>
        </w:rPr>
        <w:t xml:space="preserve">, M. K. G., &amp; Nava, F. J. G. (2017, November 9–11). High school students’ difficulties in physics. Paper presented at the National Conference on Research in Teacher Education (NCRTE) 2017, Quezon City, The Philippines. </w:t>
      </w:r>
      <w:hyperlink r:id="rId24" w:history="1">
        <w:r w:rsidRPr="00C81524">
          <w:rPr>
            <w:rStyle w:val="Hyperlink"/>
            <w:rFonts w:ascii="Arial" w:hAnsi="Arial" w:cs="Arial"/>
            <w:sz w:val="22"/>
            <w:szCs w:val="22"/>
          </w:rPr>
          <w:t>https://www.researchgate.net/publication/320980117_HIGH_SCHOOL_STUDENTS'_DIFFICULTIES_IN_PHYSICS/link/5a057eafaca2726b4c78071a/download</w:t>
        </w:r>
      </w:hyperlink>
    </w:p>
    <w:p w14:paraId="6F5DDDAB" w14:textId="14F73D2F"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Capuno</w:t>
      </w:r>
      <w:proofErr w:type="spellEnd"/>
      <w:r w:rsidRPr="00207F29">
        <w:rPr>
          <w:rFonts w:ascii="Arial" w:hAnsi="Arial" w:cs="Arial"/>
          <w:sz w:val="22"/>
          <w:szCs w:val="22"/>
        </w:rPr>
        <w:t xml:space="preserve">, R., </w:t>
      </w:r>
      <w:proofErr w:type="spellStart"/>
      <w:r w:rsidRPr="00207F29">
        <w:rPr>
          <w:rFonts w:ascii="Arial" w:hAnsi="Arial" w:cs="Arial"/>
          <w:sz w:val="22"/>
          <w:szCs w:val="22"/>
        </w:rPr>
        <w:t>Necesario</w:t>
      </w:r>
      <w:proofErr w:type="spellEnd"/>
      <w:r w:rsidRPr="00207F29">
        <w:rPr>
          <w:rFonts w:ascii="Arial" w:hAnsi="Arial" w:cs="Arial"/>
          <w:sz w:val="22"/>
          <w:szCs w:val="22"/>
        </w:rPr>
        <w:t xml:space="preserve">, R., </w:t>
      </w:r>
      <w:proofErr w:type="spellStart"/>
      <w:r w:rsidRPr="00207F29">
        <w:rPr>
          <w:rFonts w:ascii="Arial" w:hAnsi="Arial" w:cs="Arial"/>
          <w:sz w:val="22"/>
          <w:szCs w:val="22"/>
        </w:rPr>
        <w:t>Etcuban</w:t>
      </w:r>
      <w:proofErr w:type="spellEnd"/>
      <w:r w:rsidRPr="00207F29">
        <w:rPr>
          <w:rFonts w:ascii="Arial" w:hAnsi="Arial" w:cs="Arial"/>
          <w:sz w:val="22"/>
          <w:szCs w:val="22"/>
        </w:rPr>
        <w:t xml:space="preserve">, J. O., </w:t>
      </w:r>
      <w:proofErr w:type="spellStart"/>
      <w:r w:rsidRPr="00207F29">
        <w:rPr>
          <w:rFonts w:ascii="Arial" w:hAnsi="Arial" w:cs="Arial"/>
          <w:sz w:val="22"/>
          <w:szCs w:val="22"/>
        </w:rPr>
        <w:t>Espina</w:t>
      </w:r>
      <w:proofErr w:type="spellEnd"/>
      <w:r w:rsidRPr="00207F29">
        <w:rPr>
          <w:rFonts w:ascii="Arial" w:hAnsi="Arial" w:cs="Arial"/>
          <w:sz w:val="22"/>
          <w:szCs w:val="22"/>
        </w:rPr>
        <w:t xml:space="preserve">, R., </w:t>
      </w:r>
      <w:proofErr w:type="spellStart"/>
      <w:r w:rsidRPr="00207F29">
        <w:rPr>
          <w:rFonts w:ascii="Arial" w:hAnsi="Arial" w:cs="Arial"/>
          <w:sz w:val="22"/>
          <w:szCs w:val="22"/>
        </w:rPr>
        <w:t>Padillo</w:t>
      </w:r>
      <w:proofErr w:type="spellEnd"/>
      <w:r w:rsidRPr="00207F29">
        <w:rPr>
          <w:rFonts w:ascii="Arial" w:hAnsi="Arial" w:cs="Arial"/>
          <w:sz w:val="22"/>
          <w:szCs w:val="22"/>
        </w:rPr>
        <w:t xml:space="preserve">, G., &amp; </w:t>
      </w:r>
      <w:proofErr w:type="spellStart"/>
      <w:r w:rsidRPr="00207F29">
        <w:rPr>
          <w:rFonts w:ascii="Arial" w:hAnsi="Arial" w:cs="Arial"/>
          <w:sz w:val="22"/>
          <w:szCs w:val="22"/>
        </w:rPr>
        <w:t>Manguilimotan</w:t>
      </w:r>
      <w:proofErr w:type="spellEnd"/>
      <w:r w:rsidRPr="00207F29">
        <w:rPr>
          <w:rFonts w:ascii="Arial" w:hAnsi="Arial" w:cs="Arial"/>
          <w:sz w:val="22"/>
          <w:szCs w:val="22"/>
        </w:rPr>
        <w:t xml:space="preserve">, R. (2019). Attitudes, study habits, and academic performance of Junior High School Students in Mathematics. International Electronic Journal of Mathematics Education, 14(3), 547-561. </w:t>
      </w:r>
      <w:hyperlink r:id="rId25" w:history="1">
        <w:r w:rsidRPr="00C81524">
          <w:rPr>
            <w:rStyle w:val="Hyperlink"/>
            <w:rFonts w:ascii="Arial" w:hAnsi="Arial" w:cs="Arial"/>
            <w:sz w:val="22"/>
            <w:szCs w:val="22"/>
          </w:rPr>
          <w:t>https://doi.org/10.29333/iejme/5768</w:t>
        </w:r>
      </w:hyperlink>
    </w:p>
    <w:p w14:paraId="2029BCBE" w14:textId="273B91D5"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Carlone</w:t>
      </w:r>
      <w:proofErr w:type="spellEnd"/>
      <w:r w:rsidRPr="00207F29">
        <w:rPr>
          <w:rFonts w:ascii="Arial" w:hAnsi="Arial" w:cs="Arial"/>
          <w:sz w:val="22"/>
          <w:szCs w:val="22"/>
        </w:rPr>
        <w:t xml:space="preserve">, H. B., </w:t>
      </w:r>
      <w:proofErr w:type="spellStart"/>
      <w:r w:rsidRPr="00207F29">
        <w:rPr>
          <w:rFonts w:ascii="Arial" w:hAnsi="Arial" w:cs="Arial"/>
          <w:sz w:val="22"/>
          <w:szCs w:val="22"/>
        </w:rPr>
        <w:t>Haun</w:t>
      </w:r>
      <w:proofErr w:type="spellEnd"/>
      <w:r w:rsidRPr="00207F29">
        <w:rPr>
          <w:rFonts w:ascii="Arial" w:hAnsi="Arial" w:cs="Arial"/>
          <w:sz w:val="22"/>
          <w:szCs w:val="22"/>
        </w:rPr>
        <w:t xml:space="preserve">-Frank, J., &amp; Kimmel, S. C. (2010). Tempered radicals: Elementary teachers' narratives of teaching science within and against prevailing meanings of schooling. Cultural Studies of Science Education, 5(4), 941-964. </w:t>
      </w:r>
      <w:hyperlink r:id="rId26" w:history="1">
        <w:r w:rsidRPr="00C81524">
          <w:rPr>
            <w:rStyle w:val="Hyperlink"/>
            <w:rFonts w:ascii="Arial" w:hAnsi="Arial" w:cs="Arial"/>
            <w:sz w:val="22"/>
            <w:szCs w:val="22"/>
          </w:rPr>
          <w:t>https://doi.org/10.1007/s11422-010-9282-6</w:t>
        </w:r>
      </w:hyperlink>
    </w:p>
    <w:p w14:paraId="14E5FA8E" w14:textId="5E2B1097"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Gregoric</w:t>
      </w:r>
      <w:proofErr w:type="spellEnd"/>
      <w:r w:rsidRPr="00207F29">
        <w:rPr>
          <w:rFonts w:ascii="Arial" w:hAnsi="Arial" w:cs="Arial"/>
          <w:sz w:val="22"/>
          <w:szCs w:val="22"/>
        </w:rPr>
        <w:t xml:space="preserve">, C., &amp; Owens, L. (2015). The impact of school-community involvement on students, teachers, and the community. In H. </w:t>
      </w:r>
      <w:proofErr w:type="spellStart"/>
      <w:r w:rsidRPr="00207F29">
        <w:rPr>
          <w:rFonts w:ascii="Arial" w:hAnsi="Arial" w:cs="Arial"/>
          <w:sz w:val="22"/>
          <w:szCs w:val="22"/>
        </w:rPr>
        <w:t>Askell</w:t>
      </w:r>
      <w:proofErr w:type="spellEnd"/>
      <w:r w:rsidRPr="00207F29">
        <w:rPr>
          <w:rFonts w:ascii="Arial" w:hAnsi="Arial" w:cs="Arial"/>
          <w:sz w:val="22"/>
          <w:szCs w:val="22"/>
        </w:rPr>
        <w:t xml:space="preserve">-Williams (Ed.), Transforming the future of learning with educational research (pp. 221-239). IGI Global. </w:t>
      </w:r>
      <w:hyperlink r:id="rId27" w:history="1">
        <w:r w:rsidRPr="00C81524">
          <w:rPr>
            <w:rStyle w:val="Hyperlink"/>
            <w:rFonts w:ascii="Arial" w:hAnsi="Arial" w:cs="Arial"/>
            <w:sz w:val="22"/>
            <w:szCs w:val="22"/>
          </w:rPr>
          <w:t>https://doi.org/10.4018/978-1-4666-7495-0.ch012</w:t>
        </w:r>
      </w:hyperlink>
    </w:p>
    <w:p w14:paraId="38FBE04A" w14:textId="2DB984BA"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Centre of Study for Policies and Practices in Education (CEPPE). (2013). Learning standards, teaching standards and standards for school principals: A comparative study. OECD Education Working Papers, No. 99 </w:t>
      </w:r>
      <w:hyperlink r:id="rId28" w:history="1">
        <w:r w:rsidRPr="00C81524">
          <w:rPr>
            <w:rStyle w:val="Hyperlink"/>
            <w:rFonts w:ascii="Arial" w:hAnsi="Arial" w:cs="Arial"/>
            <w:sz w:val="22"/>
            <w:szCs w:val="22"/>
          </w:rPr>
          <w:t>https://doi.org/10.1787/5k3tsjqtp90v-en</w:t>
        </w:r>
      </w:hyperlink>
    </w:p>
    <w:p w14:paraId="1D930503" w14:textId="59C7A54F"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Chai, C. S., Koh, J. H. L., Tsai, C. C., &amp; Tan, L. L. W. (2011). Modeling primary school pre-service teachers’ Technological Pedagogical Content Knowledge (TPACK) for meaningful learning with information and communication technology (ICT). Computers &amp; Education, 57(1), 1184–1193. </w:t>
      </w:r>
      <w:hyperlink r:id="rId29" w:history="1">
        <w:r w:rsidRPr="00C81524">
          <w:rPr>
            <w:rStyle w:val="Hyperlink"/>
            <w:rFonts w:ascii="Arial" w:hAnsi="Arial" w:cs="Arial"/>
            <w:sz w:val="22"/>
            <w:szCs w:val="22"/>
          </w:rPr>
          <w:t>https://doi.org/10.1016/j.compedu.2011.01.007</w:t>
        </w:r>
      </w:hyperlink>
    </w:p>
    <w:p w14:paraId="756A8AA5" w14:textId="3CA83F59"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Cheewa</w:t>
      </w:r>
      <w:proofErr w:type="spellEnd"/>
      <w:r w:rsidRPr="004003A5">
        <w:rPr>
          <w:rFonts w:ascii="Arial" w:hAnsi="Arial" w:cs="Arial"/>
          <w:sz w:val="22"/>
          <w:szCs w:val="22"/>
        </w:rPr>
        <w:t>, J. (2003). Communicating for the 21st Century. Retrieved http://www.cheewa.com/pdfs/communication_article.pdf</w:t>
      </w:r>
    </w:p>
    <w:p w14:paraId="2C5F7190" w14:textId="09F8CC52"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Cherubini, L. (2009). Reconciling the tensions of new teachers' </w:t>
      </w:r>
      <w:proofErr w:type="spellStart"/>
      <w:r w:rsidRPr="00207F29">
        <w:rPr>
          <w:rFonts w:ascii="Arial" w:hAnsi="Arial" w:cs="Arial"/>
          <w:sz w:val="22"/>
          <w:szCs w:val="22"/>
        </w:rPr>
        <w:t>socialisation</w:t>
      </w:r>
      <w:proofErr w:type="spellEnd"/>
      <w:r w:rsidRPr="00207F29">
        <w:rPr>
          <w:rFonts w:ascii="Arial" w:hAnsi="Arial" w:cs="Arial"/>
          <w:sz w:val="22"/>
          <w:szCs w:val="22"/>
        </w:rPr>
        <w:t xml:space="preserve"> into school culture: A review of the research. Issues in Educational Research, 19(2), 83-99. </w:t>
      </w:r>
      <w:hyperlink r:id="rId30" w:history="1">
        <w:r w:rsidRPr="00C81524">
          <w:rPr>
            <w:rStyle w:val="Hyperlink"/>
            <w:rFonts w:ascii="Arial" w:hAnsi="Arial" w:cs="Arial"/>
            <w:sz w:val="22"/>
            <w:szCs w:val="22"/>
          </w:rPr>
          <w:t>http://www.iier.org.au/iier19/cherubini.html</w:t>
        </w:r>
      </w:hyperlink>
    </w:p>
    <w:p w14:paraId="1D598CC5" w14:textId="6EFDC179" w:rsidR="00207F29" w:rsidRDefault="00207F29" w:rsidP="004003A5">
      <w:pPr>
        <w:pStyle w:val="ListParagraph"/>
        <w:numPr>
          <w:ilvl w:val="0"/>
          <w:numId w:val="18"/>
        </w:numPr>
        <w:rPr>
          <w:rFonts w:ascii="Arial" w:hAnsi="Arial" w:cs="Arial"/>
          <w:sz w:val="22"/>
          <w:szCs w:val="22"/>
        </w:rPr>
      </w:pPr>
      <w:proofErr w:type="spellStart"/>
      <w:r w:rsidRPr="00207F29">
        <w:rPr>
          <w:rFonts w:ascii="Arial" w:hAnsi="Arial" w:cs="Arial"/>
          <w:sz w:val="22"/>
          <w:szCs w:val="22"/>
        </w:rPr>
        <w:t>Chien</w:t>
      </w:r>
      <w:proofErr w:type="spellEnd"/>
      <w:r w:rsidRPr="00207F29">
        <w:rPr>
          <w:rFonts w:ascii="Arial" w:hAnsi="Arial" w:cs="Arial"/>
          <w:sz w:val="22"/>
          <w:szCs w:val="22"/>
        </w:rPr>
        <w:t xml:space="preserve">, S. P., Wu, H. K., &amp; Hsu, Y. S. (2014). An investigation of teachers' beliefs and their use of technology-based assessments. Computers in Human Behavior, 31, 198-210. </w:t>
      </w:r>
      <w:hyperlink r:id="rId31" w:history="1">
        <w:r w:rsidRPr="00C81524">
          <w:rPr>
            <w:rStyle w:val="Hyperlink"/>
            <w:rFonts w:ascii="Arial" w:hAnsi="Arial" w:cs="Arial"/>
            <w:sz w:val="22"/>
            <w:szCs w:val="22"/>
          </w:rPr>
          <w:t>https://doi.org/10.1016/j.chb.2013.10.037</w:t>
        </w:r>
      </w:hyperlink>
    </w:p>
    <w:p w14:paraId="71F748D1" w14:textId="0AFBC7A1"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Cochran-Smith, M. (2006). Policy, practice, and politics in teacher education: Editorials from the Journal of Teacher Education. Corwin Press. </w:t>
      </w:r>
      <w:hyperlink r:id="rId32" w:history="1">
        <w:r w:rsidRPr="00C81524">
          <w:rPr>
            <w:rStyle w:val="Hyperlink"/>
            <w:rFonts w:ascii="Arial" w:hAnsi="Arial" w:cs="Arial"/>
            <w:sz w:val="22"/>
            <w:szCs w:val="22"/>
          </w:rPr>
          <w:t>https://us.sagepub.com/en-us/nam/policy-practice-and-politics-in-teacher-education/book227000</w:t>
        </w:r>
      </w:hyperlink>
    </w:p>
    <w:p w14:paraId="027D6F73" w14:textId="6ECB593B"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Clotfelter, C. T., Ladd, H. F., &amp; </w:t>
      </w:r>
      <w:proofErr w:type="spellStart"/>
      <w:r w:rsidRPr="00207F29">
        <w:rPr>
          <w:rFonts w:ascii="Arial" w:hAnsi="Arial" w:cs="Arial"/>
          <w:sz w:val="22"/>
          <w:szCs w:val="22"/>
        </w:rPr>
        <w:t>Vigdor</w:t>
      </w:r>
      <w:proofErr w:type="spellEnd"/>
      <w:r w:rsidRPr="00207F29">
        <w:rPr>
          <w:rFonts w:ascii="Arial" w:hAnsi="Arial" w:cs="Arial"/>
          <w:sz w:val="22"/>
          <w:szCs w:val="22"/>
        </w:rPr>
        <w:t xml:space="preserve">, J. L. (2007). How and why do teacher credentials matter for student achievement? (CALDER Working Paper No. 2-0307). CALDER Center. </w:t>
      </w:r>
      <w:hyperlink r:id="rId33" w:history="1">
        <w:r w:rsidRPr="00C81524">
          <w:rPr>
            <w:rStyle w:val="Hyperlink"/>
            <w:rFonts w:ascii="Arial" w:hAnsi="Arial" w:cs="Arial"/>
            <w:sz w:val="22"/>
            <w:szCs w:val="22"/>
          </w:rPr>
          <w:t>https://caldercenter.org/publications/how-and-why-do-teacher-credentials-matter-student-achievement</w:t>
        </w:r>
      </w:hyperlink>
    </w:p>
    <w:p w14:paraId="1C590A6E" w14:textId="48F2175A"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lastRenderedPageBreak/>
        <w:t xml:space="preserve">Clotfelter, C. T., Ladd, H. F., &amp; </w:t>
      </w:r>
      <w:proofErr w:type="spellStart"/>
      <w:r w:rsidRPr="00207F29">
        <w:rPr>
          <w:rFonts w:ascii="Arial" w:hAnsi="Arial" w:cs="Arial"/>
          <w:sz w:val="22"/>
          <w:szCs w:val="22"/>
        </w:rPr>
        <w:t>Vigdor</w:t>
      </w:r>
      <w:proofErr w:type="spellEnd"/>
      <w:r w:rsidRPr="00207F29">
        <w:rPr>
          <w:rFonts w:ascii="Arial" w:hAnsi="Arial" w:cs="Arial"/>
          <w:sz w:val="22"/>
          <w:szCs w:val="22"/>
        </w:rPr>
        <w:t xml:space="preserve">, J. L. (2007). Teacher Credentials and Student Achievement in High School: A Cross-Subject Analysis with Student Fixed Effects. NBER Working Papers. </w:t>
      </w:r>
      <w:hyperlink r:id="rId34" w:history="1">
        <w:r w:rsidRPr="00C81524">
          <w:rPr>
            <w:rStyle w:val="Hyperlink"/>
            <w:rFonts w:ascii="Arial" w:hAnsi="Arial" w:cs="Arial"/>
            <w:sz w:val="22"/>
            <w:szCs w:val="22"/>
          </w:rPr>
          <w:t>https://doi.org/10.3386/w13617</w:t>
        </w:r>
      </w:hyperlink>
    </w:p>
    <w:p w14:paraId="1EE46A45" w14:textId="55249F0C" w:rsidR="00207F29" w:rsidRDefault="00207F29" w:rsidP="004003A5">
      <w:pPr>
        <w:pStyle w:val="ListParagraph"/>
        <w:numPr>
          <w:ilvl w:val="0"/>
          <w:numId w:val="18"/>
        </w:numPr>
        <w:rPr>
          <w:rFonts w:ascii="Arial" w:hAnsi="Arial" w:cs="Arial"/>
          <w:sz w:val="22"/>
          <w:szCs w:val="22"/>
        </w:rPr>
      </w:pPr>
      <w:r w:rsidRPr="00207F29">
        <w:rPr>
          <w:rFonts w:ascii="Arial" w:hAnsi="Arial" w:cs="Arial"/>
          <w:sz w:val="22"/>
          <w:szCs w:val="22"/>
        </w:rPr>
        <w:t xml:space="preserve">Cooper, J. M., &amp; Alvarado, A. (2006). Preparation, recruitment, and retention of teachers. International Institute for Educational Planning. </w:t>
      </w:r>
      <w:hyperlink r:id="rId35" w:history="1">
        <w:r w:rsidRPr="00C81524">
          <w:rPr>
            <w:rStyle w:val="Hyperlink"/>
            <w:rFonts w:ascii="Arial" w:hAnsi="Arial" w:cs="Arial"/>
            <w:sz w:val="22"/>
            <w:szCs w:val="22"/>
          </w:rPr>
          <w:t>https://unesdoc.unesco.org/ark:/48223/pf0000147099</w:t>
        </w:r>
      </w:hyperlink>
    </w:p>
    <w:p w14:paraId="1563AB04" w14:textId="795722F1"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Costa, A. and </w:t>
      </w:r>
      <w:proofErr w:type="spellStart"/>
      <w:r w:rsidRPr="004003A5">
        <w:rPr>
          <w:rFonts w:ascii="Arial" w:hAnsi="Arial" w:cs="Arial"/>
          <w:sz w:val="22"/>
          <w:szCs w:val="22"/>
        </w:rPr>
        <w:t>Garmston</w:t>
      </w:r>
      <w:proofErr w:type="spellEnd"/>
      <w:r w:rsidRPr="004003A5">
        <w:rPr>
          <w:rFonts w:ascii="Arial" w:hAnsi="Arial" w:cs="Arial"/>
          <w:sz w:val="22"/>
          <w:szCs w:val="22"/>
        </w:rPr>
        <w:t xml:space="preserve">, R. J., (2009). Overview of Cognitive Coaching Center </w:t>
      </w:r>
      <w:proofErr w:type="gramStart"/>
      <w:r w:rsidRPr="004003A5">
        <w:rPr>
          <w:rFonts w:ascii="Arial" w:hAnsi="Arial" w:cs="Arial"/>
          <w:sz w:val="22"/>
          <w:szCs w:val="22"/>
        </w:rPr>
        <w:t>For</w:t>
      </w:r>
      <w:proofErr w:type="gramEnd"/>
      <w:r w:rsidRPr="004003A5">
        <w:rPr>
          <w:rFonts w:ascii="Arial" w:hAnsi="Arial" w:cs="Arial"/>
          <w:sz w:val="22"/>
          <w:szCs w:val="22"/>
        </w:rPr>
        <w:t xml:space="preserve"> Cognitive Coaching, web page Highlands Ranch, N.J.: Center for Cognitive Coaching</w:t>
      </w:r>
    </w:p>
    <w:p w14:paraId="2BA48076" w14:textId="77777777"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Creswell, J. (2002). Educational research: Planning, conducting and evaluating quantitative and qualitative research. Retrieved from http://goo.gl/LR0l5T</w:t>
      </w:r>
    </w:p>
    <w:p w14:paraId="44FE8076" w14:textId="1A7739EE"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Crites, C. (2008). Parent and community involvement: A case study (Doctoral Dissertation, Liberty University). </w:t>
      </w:r>
      <w:hyperlink r:id="rId36" w:history="1">
        <w:r w:rsidRPr="00C81524">
          <w:rPr>
            <w:rStyle w:val="Hyperlink"/>
            <w:rFonts w:ascii="Arial" w:hAnsi="Arial" w:cs="Arial"/>
            <w:sz w:val="22"/>
            <w:szCs w:val="22"/>
          </w:rPr>
          <w:t>https://digitalcommons.liberty.edu/doctoral/89</w:t>
        </w:r>
      </w:hyperlink>
    </w:p>
    <w:p w14:paraId="233D3C73" w14:textId="3DEE61D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Darling-Hammond, L., &amp; Bransford, J. (2005). Preparing teachers for a changing world: What teachers should learn and be able to do. Jossey-Bass. </w:t>
      </w:r>
      <w:hyperlink r:id="rId37" w:history="1">
        <w:r w:rsidRPr="00C81524">
          <w:rPr>
            <w:rStyle w:val="Hyperlink"/>
            <w:rFonts w:ascii="Arial" w:hAnsi="Arial" w:cs="Arial"/>
            <w:sz w:val="22"/>
            <w:szCs w:val="22"/>
          </w:rPr>
          <w:t>https://doi.org/10.1002/9780470756274</w:t>
        </w:r>
      </w:hyperlink>
    </w:p>
    <w:p w14:paraId="22B2BAB9" w14:textId="7777777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Darling-Hammond, L. (1997). What matters most: 21st century teaching. The Education Digest, 63(3), 4-10.</w:t>
      </w:r>
    </w:p>
    <w:p w14:paraId="7D82352E" w14:textId="51656AB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Davies, R. (2008). Making a difference in children’s lives: the story of Nancy, a novice early years teacher in a Jamaican primary school. International Journal of Early Years Education. </w:t>
      </w:r>
      <w:hyperlink r:id="rId38" w:history="1">
        <w:r w:rsidRPr="00C81524">
          <w:rPr>
            <w:rStyle w:val="Hyperlink"/>
            <w:rFonts w:ascii="Arial" w:hAnsi="Arial" w:cs="Arial"/>
            <w:sz w:val="22"/>
            <w:szCs w:val="22"/>
          </w:rPr>
          <w:t>https://doi.org/10.1080/09669760801892151</w:t>
        </w:r>
      </w:hyperlink>
    </w:p>
    <w:p w14:paraId="10DBEF95" w14:textId="03F0AB67"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Day, C. (2008). Committed for life? Variations in teachers' work, lives and effectiveness. Journal of Educational Change, 9(3), 243-260. </w:t>
      </w:r>
      <w:hyperlink r:id="rId39" w:history="1">
        <w:r w:rsidRPr="00C81524">
          <w:rPr>
            <w:rStyle w:val="Hyperlink"/>
            <w:rFonts w:ascii="Arial" w:hAnsi="Arial" w:cs="Arial"/>
            <w:sz w:val="22"/>
            <w:szCs w:val="22"/>
          </w:rPr>
          <w:t>https://doi.org/10.1007/s10833-007-9054-6</w:t>
        </w:r>
      </w:hyperlink>
    </w:p>
    <w:p w14:paraId="1A6E3DE7" w14:textId="64C8F058"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Day, C., &amp; Gu, Q. (2010). The new lives of teachers (teacher quality and school development). Routledge. </w:t>
      </w:r>
      <w:hyperlink r:id="rId40" w:history="1">
        <w:r w:rsidRPr="00C81524">
          <w:rPr>
            <w:rStyle w:val="Hyperlink"/>
            <w:rFonts w:ascii="Arial" w:hAnsi="Arial" w:cs="Arial"/>
            <w:sz w:val="22"/>
            <w:szCs w:val="22"/>
          </w:rPr>
          <w:t>https://doi.org/10.4324/9780203847909</w:t>
        </w:r>
      </w:hyperlink>
    </w:p>
    <w:p w14:paraId="1C2CEB17" w14:textId="6FF61D55" w:rsidR="00387183" w:rsidRDefault="00387183" w:rsidP="004003A5">
      <w:pPr>
        <w:pStyle w:val="ListParagraph"/>
        <w:numPr>
          <w:ilvl w:val="0"/>
          <w:numId w:val="18"/>
        </w:numPr>
        <w:rPr>
          <w:rFonts w:ascii="Arial" w:hAnsi="Arial" w:cs="Arial"/>
          <w:sz w:val="22"/>
          <w:szCs w:val="22"/>
        </w:rPr>
      </w:pPr>
      <w:r w:rsidRPr="00387183">
        <w:rPr>
          <w:rFonts w:ascii="Arial" w:hAnsi="Arial" w:cs="Arial"/>
          <w:sz w:val="22"/>
          <w:szCs w:val="22"/>
        </w:rPr>
        <w:t xml:space="preserve">Dede, C. (2009). Comparing frameworks for “21st century skills. Harvard Graduate School of Education. </w:t>
      </w:r>
      <w:hyperlink r:id="rId41" w:history="1">
        <w:r w:rsidRPr="00C81524">
          <w:rPr>
            <w:rStyle w:val="Hyperlink"/>
            <w:rFonts w:ascii="Arial" w:hAnsi="Arial" w:cs="Arial"/>
            <w:sz w:val="22"/>
            <w:szCs w:val="22"/>
          </w:rPr>
          <w:t>http://www.watertown.k12.ma.us/dept/ed_tech/research/pdf/ChrisDede.pdf</w:t>
        </w:r>
      </w:hyperlink>
    </w:p>
    <w:p w14:paraId="29239A77" w14:textId="77777777"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Department of Education. (2006). National Competency-Based Teacher Standards.</w:t>
      </w:r>
    </w:p>
    <w:p w14:paraId="7A747C55" w14:textId="77777777"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Board for Professional Teachers, Professional Regulation Commission. (1997). Code of Ethics for Professional Teachers (Resolution No. 435, Series of 1997).</w:t>
      </w:r>
    </w:p>
    <w:p w14:paraId="65B95FB3" w14:textId="430839AC"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t xml:space="preserve">Department of Education. (2015). Policy Guidelines on Classroom Assessment for the K to 12 Basic Education Program. </w:t>
      </w:r>
      <w:hyperlink r:id="rId42" w:history="1">
        <w:r w:rsidRPr="00C81524">
          <w:rPr>
            <w:rStyle w:val="Hyperlink"/>
            <w:rFonts w:ascii="Arial" w:hAnsi="Arial" w:cs="Arial"/>
            <w:sz w:val="22"/>
            <w:szCs w:val="22"/>
          </w:rPr>
          <w:t>https://www.deped.gov.ph/wp-content/uploads/2015/04/DO_s2015_08.pdf</w:t>
        </w:r>
      </w:hyperlink>
    </w:p>
    <w:p w14:paraId="04C7E0D2" w14:textId="1B994B1E"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DepED</w:t>
      </w:r>
      <w:proofErr w:type="spellEnd"/>
      <w:r w:rsidRPr="00554C7F">
        <w:rPr>
          <w:rFonts w:ascii="Arial" w:hAnsi="Arial" w:cs="Arial"/>
          <w:sz w:val="22"/>
          <w:szCs w:val="22"/>
        </w:rPr>
        <w:t xml:space="preserve">. (2009). National Adoption and Implementation of NCBTS-TSNA and IPPD for Teachers, and Integration of Its System Operations in the Overall Program for Continuing Teacher Capacity Building. </w:t>
      </w:r>
      <w:hyperlink r:id="rId43" w:history="1">
        <w:r w:rsidRPr="00C81524">
          <w:rPr>
            <w:rStyle w:val="Hyperlink"/>
            <w:rFonts w:ascii="Arial" w:hAnsi="Arial" w:cs="Arial"/>
            <w:sz w:val="22"/>
            <w:szCs w:val="22"/>
          </w:rPr>
          <w:t>https://www.deped.gov.ph/wp-content/uploads/2009/04/DO_s2009_32.pdf</w:t>
        </w:r>
      </w:hyperlink>
    </w:p>
    <w:p w14:paraId="54B41025" w14:textId="5251247F"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DepED</w:t>
      </w:r>
      <w:proofErr w:type="spellEnd"/>
      <w:r w:rsidRPr="00554C7F">
        <w:rPr>
          <w:rFonts w:ascii="Arial" w:hAnsi="Arial" w:cs="Arial"/>
          <w:sz w:val="22"/>
          <w:szCs w:val="22"/>
        </w:rPr>
        <w:t xml:space="preserve">. (2012). DO 31, s. 2012 – Policy Guidelines on the Implementation of Grades 1 to 10 of the K to 12 Basic Education Curriculum (BEC) Effective School Year 2012-2013. </w:t>
      </w:r>
      <w:hyperlink r:id="rId44" w:history="1">
        <w:r w:rsidRPr="00C81524">
          <w:rPr>
            <w:rStyle w:val="Hyperlink"/>
            <w:rFonts w:ascii="Arial" w:hAnsi="Arial" w:cs="Arial"/>
            <w:sz w:val="22"/>
            <w:szCs w:val="22"/>
          </w:rPr>
          <w:t>http://www.deped.gov.ph/orders/do-31-s-2012</w:t>
        </w:r>
      </w:hyperlink>
    </w:p>
    <w:p w14:paraId="452E1386" w14:textId="138E2150"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DepED</w:t>
      </w:r>
      <w:proofErr w:type="spellEnd"/>
      <w:r w:rsidRPr="00554C7F">
        <w:rPr>
          <w:rFonts w:ascii="Arial" w:hAnsi="Arial" w:cs="Arial"/>
          <w:sz w:val="22"/>
          <w:szCs w:val="22"/>
        </w:rPr>
        <w:t xml:space="preserve">. (2017). DO 42, s. 2017 – National Adoption and Implementation of the Philippine Professional Standards for Teachers. </w:t>
      </w:r>
      <w:hyperlink r:id="rId45" w:history="1">
        <w:r w:rsidRPr="00C81524">
          <w:rPr>
            <w:rStyle w:val="Hyperlink"/>
            <w:rFonts w:ascii="Arial" w:hAnsi="Arial" w:cs="Arial"/>
            <w:sz w:val="22"/>
            <w:szCs w:val="22"/>
          </w:rPr>
          <w:t>http://www.deped.gov.ph/orders/do-42-s-2017</w:t>
        </w:r>
      </w:hyperlink>
    </w:p>
    <w:p w14:paraId="098D68F4" w14:textId="77777777" w:rsidR="00554C7F" w:rsidRDefault="00554C7F" w:rsidP="004003A5">
      <w:pPr>
        <w:pStyle w:val="ListParagraph"/>
        <w:numPr>
          <w:ilvl w:val="0"/>
          <w:numId w:val="18"/>
        </w:numPr>
        <w:rPr>
          <w:rFonts w:ascii="Arial" w:hAnsi="Arial" w:cs="Arial"/>
          <w:sz w:val="22"/>
          <w:szCs w:val="22"/>
        </w:rPr>
      </w:pPr>
      <w:r w:rsidRPr="00554C7F">
        <w:rPr>
          <w:rFonts w:ascii="Arial" w:hAnsi="Arial" w:cs="Arial"/>
          <w:sz w:val="22"/>
          <w:szCs w:val="22"/>
        </w:rPr>
        <w:lastRenderedPageBreak/>
        <w:t>Diaz, V. H. (2012). Beginning teachers' production of pedagogical content knowledge: A cultural historical perspective. Arizona State University.</w:t>
      </w:r>
    </w:p>
    <w:p w14:paraId="51F7942A" w14:textId="00AC1656"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Dizon</w:t>
      </w:r>
      <w:proofErr w:type="spellEnd"/>
      <w:r w:rsidRPr="00554C7F">
        <w:rPr>
          <w:rFonts w:ascii="Arial" w:hAnsi="Arial" w:cs="Arial"/>
          <w:sz w:val="22"/>
          <w:szCs w:val="22"/>
        </w:rPr>
        <w:t xml:space="preserve">, D. (2018). *Digital exclusion in later life: a phenomenological inquiry on technophobia among public school elementary teachers*. (Action Research presented at the 3rd Research Forum of DepEd Region XI, October 2018). Policy Planning and Research Division, DepEd Region XI Office. </w:t>
      </w:r>
      <w:hyperlink r:id="rId46" w:history="1">
        <w:r w:rsidRPr="00C81524">
          <w:rPr>
            <w:rStyle w:val="Hyperlink"/>
            <w:rFonts w:ascii="Arial" w:hAnsi="Arial" w:cs="Arial"/>
            <w:sz w:val="22"/>
            <w:szCs w:val="22"/>
          </w:rPr>
          <w:t>https://region11.deped.gov.ph/wp-content/uploads/2019/01/3rd-Regional-Research-Forum-Proceedings.pdf</w:t>
        </w:r>
      </w:hyperlink>
    </w:p>
    <w:p w14:paraId="1A2CC062" w14:textId="28A13D88"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Doecke</w:t>
      </w:r>
      <w:proofErr w:type="spellEnd"/>
      <w:r w:rsidRPr="00554C7F">
        <w:rPr>
          <w:rFonts w:ascii="Arial" w:hAnsi="Arial" w:cs="Arial"/>
          <w:sz w:val="22"/>
          <w:szCs w:val="22"/>
        </w:rPr>
        <w:t xml:space="preserve">, B., Parr, G., North, S., Gale, T., Long, M., Mitchell, J., Rennie, J., &amp; Williams, J. (2008). National mapping of teacher professional learning project: Final report. Department of Education, Employment and Workplace Relations. </w:t>
      </w:r>
      <w:hyperlink r:id="rId47" w:history="1">
        <w:r w:rsidRPr="00C81524">
          <w:rPr>
            <w:rStyle w:val="Hyperlink"/>
            <w:rFonts w:ascii="Arial" w:hAnsi="Arial" w:cs="Arial"/>
            <w:sz w:val="22"/>
            <w:szCs w:val="22"/>
          </w:rPr>
          <w:t>https://hdl.handle.net/10536/DRO/DU:30035340</w:t>
        </w:r>
      </w:hyperlink>
    </w:p>
    <w:p w14:paraId="2DFA0FEF" w14:textId="1F2C0E35" w:rsidR="00554C7F" w:rsidRDefault="00554C7F" w:rsidP="004003A5">
      <w:pPr>
        <w:pStyle w:val="ListParagraph"/>
        <w:numPr>
          <w:ilvl w:val="0"/>
          <w:numId w:val="18"/>
        </w:numPr>
        <w:rPr>
          <w:rFonts w:ascii="Arial" w:hAnsi="Arial" w:cs="Arial"/>
          <w:sz w:val="22"/>
          <w:szCs w:val="22"/>
        </w:rPr>
      </w:pPr>
      <w:proofErr w:type="spellStart"/>
      <w:r w:rsidRPr="00554C7F">
        <w:rPr>
          <w:rFonts w:ascii="Arial" w:hAnsi="Arial" w:cs="Arial"/>
          <w:sz w:val="22"/>
          <w:szCs w:val="22"/>
        </w:rPr>
        <w:t>Dundar</w:t>
      </w:r>
      <w:proofErr w:type="spellEnd"/>
      <w:r w:rsidRPr="00554C7F">
        <w:rPr>
          <w:rFonts w:ascii="Arial" w:hAnsi="Arial" w:cs="Arial"/>
          <w:sz w:val="22"/>
          <w:szCs w:val="22"/>
        </w:rPr>
        <w:t xml:space="preserve">, H., </w:t>
      </w:r>
      <w:proofErr w:type="spellStart"/>
      <w:r w:rsidRPr="00554C7F">
        <w:rPr>
          <w:rFonts w:ascii="Arial" w:hAnsi="Arial" w:cs="Arial"/>
          <w:sz w:val="22"/>
          <w:szCs w:val="22"/>
        </w:rPr>
        <w:t>Béteille</w:t>
      </w:r>
      <w:proofErr w:type="spellEnd"/>
      <w:r w:rsidRPr="00554C7F">
        <w:rPr>
          <w:rFonts w:ascii="Arial" w:hAnsi="Arial" w:cs="Arial"/>
          <w:sz w:val="22"/>
          <w:szCs w:val="22"/>
        </w:rPr>
        <w:t xml:space="preserve">, T., Riboud, M., &amp; Deolalikar, A. (2014). Teacher quality in South Asia. In H. </w:t>
      </w:r>
      <w:proofErr w:type="spellStart"/>
      <w:r w:rsidRPr="00554C7F">
        <w:rPr>
          <w:rFonts w:ascii="Arial" w:hAnsi="Arial" w:cs="Arial"/>
          <w:sz w:val="22"/>
          <w:szCs w:val="22"/>
        </w:rPr>
        <w:t>Dundar</w:t>
      </w:r>
      <w:proofErr w:type="spellEnd"/>
      <w:r w:rsidRPr="00554C7F">
        <w:rPr>
          <w:rFonts w:ascii="Arial" w:hAnsi="Arial" w:cs="Arial"/>
          <w:sz w:val="22"/>
          <w:szCs w:val="22"/>
        </w:rPr>
        <w:t xml:space="preserve">, T. </w:t>
      </w:r>
      <w:proofErr w:type="spellStart"/>
      <w:r w:rsidRPr="00554C7F">
        <w:rPr>
          <w:rFonts w:ascii="Arial" w:hAnsi="Arial" w:cs="Arial"/>
          <w:sz w:val="22"/>
          <w:szCs w:val="22"/>
        </w:rPr>
        <w:t>Béteille</w:t>
      </w:r>
      <w:proofErr w:type="spellEnd"/>
      <w:r w:rsidRPr="00554C7F">
        <w:rPr>
          <w:rFonts w:ascii="Arial" w:hAnsi="Arial" w:cs="Arial"/>
          <w:sz w:val="22"/>
          <w:szCs w:val="22"/>
        </w:rPr>
        <w:t xml:space="preserve">, M. Riboud, &amp; A. Deolalikar (Eds.), Student Learning in South Asia: Challenges, Opportunities, and Policy Priorities (pp. 195–238). World Bank. </w:t>
      </w:r>
      <w:hyperlink r:id="rId48" w:history="1">
        <w:r w:rsidRPr="00C81524">
          <w:rPr>
            <w:rStyle w:val="Hyperlink"/>
            <w:rFonts w:ascii="Arial" w:hAnsi="Arial" w:cs="Arial"/>
            <w:sz w:val="22"/>
            <w:szCs w:val="22"/>
          </w:rPr>
          <w:t>https://doi.org/10.1596/978-1-4648-0160-0</w:t>
        </w:r>
      </w:hyperlink>
    </w:p>
    <w:p w14:paraId="4268510D" w14:textId="50F3BBFA"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Durban, J. M., &amp; Catalan, R. D. (2012). Issues and Concerns of Philippine Education Through </w:t>
      </w:r>
      <w:proofErr w:type="gramStart"/>
      <w:r w:rsidRPr="00CC4851">
        <w:rPr>
          <w:rFonts w:ascii="Arial" w:hAnsi="Arial" w:cs="Arial"/>
          <w:sz w:val="22"/>
          <w:szCs w:val="22"/>
        </w:rPr>
        <w:t>The</w:t>
      </w:r>
      <w:proofErr w:type="gramEnd"/>
      <w:r w:rsidRPr="00CC4851">
        <w:rPr>
          <w:rFonts w:ascii="Arial" w:hAnsi="Arial" w:cs="Arial"/>
          <w:sz w:val="22"/>
          <w:szCs w:val="22"/>
        </w:rPr>
        <w:t xml:space="preserve"> Years. Asian Journal of Social Sciences &amp; Humanities. </w:t>
      </w:r>
      <w:hyperlink r:id="rId49" w:history="1">
        <w:r w:rsidRPr="00C81524">
          <w:rPr>
            <w:rStyle w:val="Hyperlink"/>
            <w:rFonts w:ascii="Arial" w:hAnsi="Arial" w:cs="Arial"/>
            <w:sz w:val="22"/>
            <w:szCs w:val="22"/>
          </w:rPr>
          <w:t>https://www.ajssh.leena-luna.co.jp/ajssh_vol1_no2_2012/61-69.pdf</w:t>
        </w:r>
      </w:hyperlink>
    </w:p>
    <w:p w14:paraId="304FB4B2" w14:textId="61DBA57B"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Elger</w:t>
      </w:r>
      <w:proofErr w:type="spellEnd"/>
      <w:r w:rsidRPr="004003A5">
        <w:rPr>
          <w:rFonts w:ascii="Arial" w:hAnsi="Arial" w:cs="Arial"/>
          <w:sz w:val="22"/>
          <w:szCs w:val="22"/>
        </w:rPr>
        <w:t xml:space="preserve">, D. (2007). Theory of performance. In S. W. </w:t>
      </w:r>
      <w:proofErr w:type="spellStart"/>
      <w:r w:rsidRPr="004003A5">
        <w:rPr>
          <w:rFonts w:ascii="Arial" w:hAnsi="Arial" w:cs="Arial"/>
          <w:sz w:val="22"/>
          <w:szCs w:val="22"/>
        </w:rPr>
        <w:t>Beyerlein</w:t>
      </w:r>
      <w:proofErr w:type="spellEnd"/>
      <w:r w:rsidRPr="004003A5">
        <w:rPr>
          <w:rFonts w:ascii="Arial" w:hAnsi="Arial" w:cs="Arial"/>
          <w:sz w:val="22"/>
          <w:szCs w:val="22"/>
        </w:rPr>
        <w:t>, C. Holmes, &amp; D. K. Apple, (Eds.), Faculty guidebook: A comprehensive tool for improving faculty performance (4th ed.). Lisle, IL: Pacific Crest.</w:t>
      </w:r>
    </w:p>
    <w:p w14:paraId="35D425FE" w14:textId="1D3BA7E9" w:rsidR="00CC4851" w:rsidRDefault="00CC4851" w:rsidP="004003A5">
      <w:pPr>
        <w:pStyle w:val="ListParagraph"/>
        <w:numPr>
          <w:ilvl w:val="0"/>
          <w:numId w:val="18"/>
        </w:numPr>
        <w:rPr>
          <w:rFonts w:ascii="Arial" w:hAnsi="Arial" w:cs="Arial"/>
          <w:sz w:val="22"/>
          <w:szCs w:val="22"/>
        </w:rPr>
      </w:pPr>
      <w:proofErr w:type="spellStart"/>
      <w:r w:rsidRPr="00CC4851">
        <w:rPr>
          <w:rFonts w:ascii="Arial" w:hAnsi="Arial" w:cs="Arial"/>
          <w:sz w:val="22"/>
          <w:szCs w:val="22"/>
        </w:rPr>
        <w:t>Fauth</w:t>
      </w:r>
      <w:proofErr w:type="spellEnd"/>
      <w:r w:rsidRPr="00CC4851">
        <w:rPr>
          <w:rFonts w:ascii="Arial" w:hAnsi="Arial" w:cs="Arial"/>
          <w:sz w:val="22"/>
          <w:szCs w:val="22"/>
        </w:rPr>
        <w:t xml:space="preserve">, B., </w:t>
      </w:r>
      <w:proofErr w:type="spellStart"/>
      <w:r w:rsidRPr="00CC4851">
        <w:rPr>
          <w:rFonts w:ascii="Arial" w:hAnsi="Arial" w:cs="Arial"/>
          <w:sz w:val="22"/>
          <w:szCs w:val="22"/>
        </w:rPr>
        <w:t>Decristan</w:t>
      </w:r>
      <w:proofErr w:type="spellEnd"/>
      <w:r w:rsidRPr="00CC4851">
        <w:rPr>
          <w:rFonts w:ascii="Arial" w:hAnsi="Arial" w:cs="Arial"/>
          <w:sz w:val="22"/>
          <w:szCs w:val="22"/>
        </w:rPr>
        <w:t xml:space="preserve">, J., Decker, A. T., </w:t>
      </w:r>
      <w:proofErr w:type="spellStart"/>
      <w:r w:rsidRPr="00CC4851">
        <w:rPr>
          <w:rFonts w:ascii="Arial" w:hAnsi="Arial" w:cs="Arial"/>
          <w:sz w:val="22"/>
          <w:szCs w:val="22"/>
        </w:rPr>
        <w:t>Büttner</w:t>
      </w:r>
      <w:proofErr w:type="spellEnd"/>
      <w:r w:rsidRPr="00CC4851">
        <w:rPr>
          <w:rFonts w:ascii="Arial" w:hAnsi="Arial" w:cs="Arial"/>
          <w:sz w:val="22"/>
          <w:szCs w:val="22"/>
        </w:rPr>
        <w:t xml:space="preserve">, G., Hardy, I., </w:t>
      </w:r>
      <w:proofErr w:type="spellStart"/>
      <w:r w:rsidRPr="00CC4851">
        <w:rPr>
          <w:rFonts w:ascii="Arial" w:hAnsi="Arial" w:cs="Arial"/>
          <w:sz w:val="22"/>
          <w:szCs w:val="22"/>
        </w:rPr>
        <w:t>Klieme</w:t>
      </w:r>
      <w:proofErr w:type="spellEnd"/>
      <w:r w:rsidRPr="00CC4851">
        <w:rPr>
          <w:rFonts w:ascii="Arial" w:hAnsi="Arial" w:cs="Arial"/>
          <w:sz w:val="22"/>
          <w:szCs w:val="22"/>
        </w:rPr>
        <w:t xml:space="preserve">, E., &amp; </w:t>
      </w:r>
      <w:proofErr w:type="spellStart"/>
      <w:r w:rsidRPr="00CC4851">
        <w:rPr>
          <w:rFonts w:ascii="Arial" w:hAnsi="Arial" w:cs="Arial"/>
          <w:sz w:val="22"/>
          <w:szCs w:val="22"/>
        </w:rPr>
        <w:t>Kunter</w:t>
      </w:r>
      <w:proofErr w:type="spellEnd"/>
      <w:r w:rsidRPr="00CC4851">
        <w:rPr>
          <w:rFonts w:ascii="Arial" w:hAnsi="Arial" w:cs="Arial"/>
          <w:sz w:val="22"/>
          <w:szCs w:val="22"/>
        </w:rPr>
        <w:t xml:space="preserve">, M. (2019). The effects of teacher competence on student outcomes in elementary science education: The mediating role of teaching quality. Teaching and Teacher Education, 86, 102882. </w:t>
      </w:r>
      <w:hyperlink r:id="rId50" w:history="1">
        <w:r w:rsidRPr="00C81524">
          <w:rPr>
            <w:rStyle w:val="Hyperlink"/>
            <w:rFonts w:ascii="Arial" w:hAnsi="Arial" w:cs="Arial"/>
            <w:sz w:val="22"/>
            <w:szCs w:val="22"/>
          </w:rPr>
          <w:t>https://doi.org/10.1016/j.tate.2019.102882</w:t>
        </w:r>
      </w:hyperlink>
    </w:p>
    <w:p w14:paraId="5C4A7E7D" w14:textId="7E1A2A84"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Feng, L. (2005). *Hire today, gone tomorrow: The determinants of attrition among public school teachers* (Doctoral dissertation, Florida State University). </w:t>
      </w:r>
      <w:hyperlink r:id="rId51" w:history="1">
        <w:r w:rsidRPr="00C81524">
          <w:rPr>
            <w:rStyle w:val="Hyperlink"/>
            <w:rFonts w:ascii="Arial" w:hAnsi="Arial" w:cs="Arial"/>
            <w:sz w:val="22"/>
            <w:szCs w:val="22"/>
          </w:rPr>
          <w:t>https://mpra.ub.uni-muenchen.de/589/1/MPRA_paper_589.pdf</w:t>
        </w:r>
      </w:hyperlink>
    </w:p>
    <w:p w14:paraId="41BF73C7" w14:textId="0BFE761D"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Flores, M. A., &amp; Day, C. (2006). Contexts which shape and reshape new teachers' identities: A multi-perspective study. Teaching and Teacher Education, 22(2), 219-232. </w:t>
      </w:r>
      <w:hyperlink r:id="rId52" w:history="1">
        <w:r w:rsidRPr="00C81524">
          <w:rPr>
            <w:rStyle w:val="Hyperlink"/>
            <w:rFonts w:ascii="Arial" w:hAnsi="Arial" w:cs="Arial"/>
            <w:sz w:val="22"/>
            <w:szCs w:val="22"/>
          </w:rPr>
          <w:t>https://doi.org/10.1016/j.tate.2005.09.002</w:t>
        </w:r>
      </w:hyperlink>
    </w:p>
    <w:p w14:paraId="4684C043" w14:textId="7B4BDD3D"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Forde, C., McMahon, M., McPhee, A. D., &amp; Patrick, F. (2006). Professional development, reflection and enquiry. SAGE Publications Ltd. </w:t>
      </w:r>
      <w:hyperlink r:id="rId53" w:history="1">
        <w:r w:rsidRPr="00C81524">
          <w:rPr>
            <w:rStyle w:val="Hyperlink"/>
            <w:rFonts w:ascii="Arial" w:hAnsi="Arial" w:cs="Arial"/>
            <w:sz w:val="22"/>
            <w:szCs w:val="22"/>
          </w:rPr>
          <w:t>https://us.sagepub.com/en-us/nam/professional-development-reflection-and-enquiry/book226600</w:t>
        </w:r>
      </w:hyperlink>
    </w:p>
    <w:p w14:paraId="545F9AA8" w14:textId="2827E2B2"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Gaudreault, K. L., &amp; Woods, A. M. (2013). Factors leading to career frustration and exit: A case of a veteran physical educator. Journal of Physical Education and Sport Management. </w:t>
      </w:r>
      <w:hyperlink r:id="rId54" w:history="1">
        <w:r w:rsidRPr="00C81524">
          <w:rPr>
            <w:rStyle w:val="Hyperlink"/>
            <w:rFonts w:ascii="Arial" w:hAnsi="Arial" w:cs="Arial"/>
            <w:sz w:val="22"/>
            <w:szCs w:val="22"/>
          </w:rPr>
          <w:t>https://doi.org/10.5897/JPESM2012.0159</w:t>
        </w:r>
      </w:hyperlink>
    </w:p>
    <w:p w14:paraId="6694DBF8" w14:textId="0D0C5203" w:rsidR="00CC4851" w:rsidRDefault="00CC4851" w:rsidP="004003A5">
      <w:pPr>
        <w:pStyle w:val="ListParagraph"/>
        <w:numPr>
          <w:ilvl w:val="0"/>
          <w:numId w:val="18"/>
        </w:numPr>
        <w:rPr>
          <w:rFonts w:ascii="Arial" w:hAnsi="Arial" w:cs="Arial"/>
          <w:sz w:val="22"/>
          <w:szCs w:val="22"/>
        </w:rPr>
      </w:pPr>
      <w:proofErr w:type="spellStart"/>
      <w:r w:rsidRPr="00CC4851">
        <w:rPr>
          <w:rFonts w:ascii="Arial" w:hAnsi="Arial" w:cs="Arial"/>
          <w:sz w:val="22"/>
          <w:szCs w:val="22"/>
        </w:rPr>
        <w:t>Ghavifekr</w:t>
      </w:r>
      <w:proofErr w:type="spellEnd"/>
      <w:r w:rsidRPr="00CC4851">
        <w:rPr>
          <w:rFonts w:ascii="Arial" w:hAnsi="Arial" w:cs="Arial"/>
          <w:sz w:val="22"/>
          <w:szCs w:val="22"/>
        </w:rPr>
        <w:t xml:space="preserve">, S., &amp; </w:t>
      </w:r>
      <w:proofErr w:type="spellStart"/>
      <w:r w:rsidRPr="00CC4851">
        <w:rPr>
          <w:rFonts w:ascii="Arial" w:hAnsi="Arial" w:cs="Arial"/>
          <w:sz w:val="22"/>
          <w:szCs w:val="22"/>
        </w:rPr>
        <w:t>Rosdy</w:t>
      </w:r>
      <w:proofErr w:type="spellEnd"/>
      <w:r w:rsidRPr="00CC4851">
        <w:rPr>
          <w:rFonts w:ascii="Arial" w:hAnsi="Arial" w:cs="Arial"/>
          <w:sz w:val="22"/>
          <w:szCs w:val="22"/>
        </w:rPr>
        <w:t xml:space="preserve">, W. A. W. (2015). Teaching and learning with technology: Effectiveness of ICT integration in schools. International Journal of Research in Education and Science (IJRES), 1(2), 175-191. </w:t>
      </w:r>
      <w:hyperlink r:id="rId55" w:history="1">
        <w:r w:rsidRPr="00C81524">
          <w:rPr>
            <w:rStyle w:val="Hyperlink"/>
            <w:rFonts w:ascii="Arial" w:hAnsi="Arial" w:cs="Arial"/>
            <w:sz w:val="22"/>
            <w:szCs w:val="22"/>
          </w:rPr>
          <w:t>https://doi.org/10.21890/ijres.23596</w:t>
        </w:r>
      </w:hyperlink>
    </w:p>
    <w:p w14:paraId="2B3A005C" w14:textId="09BEBB16" w:rsidR="00CC4851" w:rsidRDefault="00CC4851" w:rsidP="004003A5">
      <w:pPr>
        <w:pStyle w:val="ListParagraph"/>
        <w:numPr>
          <w:ilvl w:val="0"/>
          <w:numId w:val="18"/>
        </w:numPr>
        <w:rPr>
          <w:rFonts w:ascii="Arial" w:hAnsi="Arial" w:cs="Arial"/>
          <w:sz w:val="22"/>
          <w:szCs w:val="22"/>
        </w:rPr>
      </w:pPr>
      <w:r w:rsidRPr="00CC4851">
        <w:rPr>
          <w:rFonts w:ascii="Arial" w:hAnsi="Arial" w:cs="Arial"/>
          <w:sz w:val="22"/>
          <w:szCs w:val="22"/>
        </w:rPr>
        <w:t xml:space="preserve">Goldhaber, D., &amp; Anthony, E. (2007). Can teacher quality be effectively assessed? National Board certification as a signal of effective teaching. Review of Economics and Statistics, 89, 134-150. </w:t>
      </w:r>
      <w:hyperlink r:id="rId56" w:history="1">
        <w:r w:rsidRPr="00C81524">
          <w:rPr>
            <w:rStyle w:val="Hyperlink"/>
            <w:rFonts w:ascii="Arial" w:hAnsi="Arial" w:cs="Arial"/>
            <w:sz w:val="22"/>
            <w:szCs w:val="22"/>
          </w:rPr>
          <w:t>https://doi.org/10.1162/rest.89.1.134</w:t>
        </w:r>
      </w:hyperlink>
    </w:p>
    <w:p w14:paraId="3B0739CC" w14:textId="04661900"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lastRenderedPageBreak/>
        <w:t xml:space="preserve">Hanif, R., Tariq, S., &amp; Nadeem, M. (2011). Personal and </w:t>
      </w:r>
      <w:proofErr w:type="gramStart"/>
      <w:r w:rsidRPr="00E827B7">
        <w:rPr>
          <w:rFonts w:ascii="Arial" w:hAnsi="Arial" w:cs="Arial"/>
          <w:sz w:val="22"/>
          <w:szCs w:val="22"/>
        </w:rPr>
        <w:t>job related</w:t>
      </w:r>
      <w:proofErr w:type="gramEnd"/>
      <w:r w:rsidRPr="00E827B7">
        <w:rPr>
          <w:rFonts w:ascii="Arial" w:hAnsi="Arial" w:cs="Arial"/>
          <w:sz w:val="22"/>
          <w:szCs w:val="22"/>
        </w:rPr>
        <w:t xml:space="preserve"> predictors of teacher stress and job performance among school teachers. Pakistan Journal of Commerce and Social Sciences, 5(2), 319-329. </w:t>
      </w:r>
      <w:hyperlink r:id="rId57" w:history="1">
        <w:r w:rsidRPr="00C81524">
          <w:rPr>
            <w:rStyle w:val="Hyperlink"/>
            <w:rFonts w:ascii="Arial" w:hAnsi="Arial" w:cs="Arial"/>
            <w:sz w:val="22"/>
            <w:szCs w:val="22"/>
          </w:rPr>
          <w:t>https://www.econstor.eu/bitstream/10419/188040/1/pjcss-v5n2-2011-pp319-329.pdf</w:t>
        </w:r>
      </w:hyperlink>
    </w:p>
    <w:p w14:paraId="60EA975C" w14:textId="7BEB04A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Harris, D., &amp; Sass, T. (2007). What makes a good teacher and who can </w:t>
      </w:r>
      <w:proofErr w:type="gramStart"/>
      <w:r w:rsidRPr="00E827B7">
        <w:rPr>
          <w:rFonts w:ascii="Arial" w:hAnsi="Arial" w:cs="Arial"/>
          <w:sz w:val="22"/>
          <w:szCs w:val="22"/>
        </w:rPr>
        <w:t>tell?.</w:t>
      </w:r>
      <w:proofErr w:type="gramEnd"/>
      <w:r w:rsidRPr="00E827B7">
        <w:rPr>
          <w:rFonts w:ascii="Arial" w:hAnsi="Arial" w:cs="Arial"/>
          <w:sz w:val="22"/>
          <w:szCs w:val="22"/>
        </w:rPr>
        <w:t xml:space="preserve"> Informally published manuscript, Department of Economics, Florida State University. </w:t>
      </w:r>
      <w:hyperlink r:id="rId58" w:history="1">
        <w:r w:rsidRPr="00C81524">
          <w:rPr>
            <w:rStyle w:val="Hyperlink"/>
            <w:rFonts w:ascii="Arial" w:hAnsi="Arial" w:cs="Arial"/>
            <w:sz w:val="22"/>
            <w:szCs w:val="22"/>
          </w:rPr>
          <w:t>http://belkcollegeofbusiness.uncc.edu/azillant/IES%20Harris%20Sass%20Princip%20al%20Eval%2034.pdf</w:t>
        </w:r>
      </w:hyperlink>
    </w:p>
    <w:p w14:paraId="2E6A7045" w14:textId="6FB4EA20"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Hasbay</w:t>
      </w:r>
      <w:proofErr w:type="spellEnd"/>
      <w:r w:rsidRPr="00E827B7">
        <w:rPr>
          <w:rFonts w:ascii="Arial" w:hAnsi="Arial" w:cs="Arial"/>
          <w:sz w:val="22"/>
          <w:szCs w:val="22"/>
        </w:rPr>
        <w:t xml:space="preserve">, D., &amp; </w:t>
      </w:r>
      <w:proofErr w:type="spellStart"/>
      <w:r w:rsidRPr="00E827B7">
        <w:rPr>
          <w:rFonts w:ascii="Arial" w:hAnsi="Arial" w:cs="Arial"/>
          <w:sz w:val="22"/>
          <w:szCs w:val="22"/>
        </w:rPr>
        <w:t>Altındag</w:t>
      </w:r>
      <w:proofErr w:type="spellEnd"/>
      <w:r w:rsidRPr="00E827B7">
        <w:rPr>
          <w:rFonts w:ascii="Arial" w:hAnsi="Arial" w:cs="Arial"/>
          <w:sz w:val="22"/>
          <w:szCs w:val="22"/>
        </w:rPr>
        <w:t xml:space="preserve">, E. (2018). Factors that affect the performance of teachers working in secondary-level education. Academy of Educational Leadership Journal, 22(1), 1-19. </w:t>
      </w:r>
      <w:hyperlink r:id="rId59" w:history="1">
        <w:r w:rsidRPr="00C81524">
          <w:rPr>
            <w:rStyle w:val="Hyperlink"/>
            <w:rFonts w:ascii="Arial" w:hAnsi="Arial" w:cs="Arial"/>
            <w:sz w:val="22"/>
            <w:szCs w:val="22"/>
          </w:rPr>
          <w:t>https://www.abacademies.org/articles/Factors-that-affect-the-performance-of-teachers-working-in-secondary-level-education-1528-2643-22-1-113.pdf</w:t>
        </w:r>
      </w:hyperlink>
    </w:p>
    <w:p w14:paraId="401B29E0" w14:textId="6F892BEA"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Hervie</w:t>
      </w:r>
      <w:proofErr w:type="spellEnd"/>
      <w:r w:rsidRPr="00E827B7">
        <w:rPr>
          <w:rFonts w:ascii="Arial" w:hAnsi="Arial" w:cs="Arial"/>
          <w:sz w:val="22"/>
          <w:szCs w:val="22"/>
        </w:rPr>
        <w:t xml:space="preserve">, D. M., &amp; </w:t>
      </w:r>
      <w:proofErr w:type="spellStart"/>
      <w:r w:rsidRPr="00E827B7">
        <w:rPr>
          <w:rFonts w:ascii="Arial" w:hAnsi="Arial" w:cs="Arial"/>
          <w:sz w:val="22"/>
          <w:szCs w:val="22"/>
        </w:rPr>
        <w:t>Winful</w:t>
      </w:r>
      <w:proofErr w:type="spellEnd"/>
      <w:r w:rsidRPr="00E827B7">
        <w:rPr>
          <w:rFonts w:ascii="Arial" w:hAnsi="Arial" w:cs="Arial"/>
          <w:sz w:val="22"/>
          <w:szCs w:val="22"/>
        </w:rPr>
        <w:t xml:space="preserve">, E. C. (2018). Enhancing teachers’ performance through training and development in Ghana Education Service (A Case Study of Ebenezer Senior High School). Journal of Human Resource Management, 6(1), 1-8. </w:t>
      </w:r>
      <w:hyperlink r:id="rId60" w:history="1">
        <w:r w:rsidRPr="00C81524">
          <w:rPr>
            <w:rStyle w:val="Hyperlink"/>
            <w:rFonts w:ascii="Arial" w:hAnsi="Arial" w:cs="Arial"/>
            <w:sz w:val="22"/>
            <w:szCs w:val="22"/>
          </w:rPr>
          <w:t>https://doi.org/10.11648/j.jhrm.20180601.11</w:t>
        </w:r>
      </w:hyperlink>
    </w:p>
    <w:p w14:paraId="73EB0BB3" w14:textId="23E26A77"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Holcomb, E. (2009). Asking the right questions: tools for collaboration and school change. Thousand Oaks, CA: Corwin Press, A SAGE Company.</w:t>
      </w:r>
    </w:p>
    <w:p w14:paraId="56C4956B" w14:textId="4D327563"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Jepsen, C. (2005). Teacher characteristics and student achievement: Evidence from teacher surveys. Journal of Urban Economics, 57(2), 302-319. </w:t>
      </w:r>
      <w:hyperlink r:id="rId61" w:history="1">
        <w:r w:rsidRPr="00C81524">
          <w:rPr>
            <w:rStyle w:val="Hyperlink"/>
            <w:rFonts w:ascii="Arial" w:hAnsi="Arial" w:cs="Arial"/>
            <w:sz w:val="22"/>
            <w:szCs w:val="22"/>
          </w:rPr>
          <w:t>https://doi.org/10.1016/j.jue.2004.11.001</w:t>
        </w:r>
      </w:hyperlink>
    </w:p>
    <w:p w14:paraId="27F03E77" w14:textId="6C85F29B"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New Hampshire Department of Education. (n.d.). *Why family and community involvement </w:t>
      </w:r>
      <w:proofErr w:type="gramStart"/>
      <w:r w:rsidRPr="00E827B7">
        <w:rPr>
          <w:rFonts w:ascii="Arial" w:hAnsi="Arial" w:cs="Arial"/>
          <w:sz w:val="22"/>
          <w:szCs w:val="22"/>
        </w:rPr>
        <w:t>is</w:t>
      </w:r>
      <w:proofErr w:type="gramEnd"/>
      <w:r w:rsidRPr="00E827B7">
        <w:rPr>
          <w:rFonts w:ascii="Arial" w:hAnsi="Arial" w:cs="Arial"/>
          <w:sz w:val="22"/>
          <w:szCs w:val="22"/>
        </w:rPr>
        <w:t xml:space="preserve"> important*. New Hampshire Department of Education website. </w:t>
      </w:r>
      <w:hyperlink r:id="rId62" w:history="1">
        <w:r w:rsidRPr="00C81524">
          <w:rPr>
            <w:rStyle w:val="Hyperlink"/>
            <w:rFonts w:ascii="Arial" w:hAnsi="Arial" w:cs="Arial"/>
            <w:sz w:val="22"/>
            <w:szCs w:val="22"/>
          </w:rPr>
          <w:t>https://www.education.nh.gov/instruction/school_health/health_coord_family.htm</w:t>
        </w:r>
      </w:hyperlink>
    </w:p>
    <w:p w14:paraId="5DB5A0CA" w14:textId="2F01C40E"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Kay, K., &amp; Greenhill, V. (2011). Twenty-First Century Students Need 21st Century Skills. In G. Wan &amp; D.M. Gut (Eds.), Bringing Schools into the 21st Century (pp. 41-65). </w:t>
      </w:r>
      <w:hyperlink r:id="rId63" w:history="1">
        <w:r w:rsidRPr="00C81524">
          <w:rPr>
            <w:rStyle w:val="Hyperlink"/>
            <w:rFonts w:ascii="Arial" w:hAnsi="Arial" w:cs="Arial"/>
            <w:sz w:val="22"/>
            <w:szCs w:val="22"/>
          </w:rPr>
          <w:t>https://doi.org/10.1007/978-94-007-0268-4_3</w:t>
        </w:r>
      </w:hyperlink>
    </w:p>
    <w:p w14:paraId="01E99C54" w14:textId="77777777"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Kazmi, S. F., Pervez, T., &amp; Mumtaz, S. (2011). In-service teacher training in Pakistani schools and total quality management (TQM). Interdisciplinary Journal of Contemporary Research in Business, March Edition, 2, 238-248.</w:t>
      </w:r>
    </w:p>
    <w:p w14:paraId="1B00C619" w14:textId="294FE37B"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Kivunja</w:t>
      </w:r>
      <w:proofErr w:type="spellEnd"/>
      <w:r w:rsidRPr="00E827B7">
        <w:rPr>
          <w:rFonts w:ascii="Arial" w:hAnsi="Arial" w:cs="Arial"/>
          <w:sz w:val="22"/>
          <w:szCs w:val="22"/>
        </w:rPr>
        <w:t xml:space="preserve">, C. (2014). Theoretical perspectives of how Digital Natives learn. International Journal of Higher Education, 3(1), 94–109. </w:t>
      </w:r>
      <w:hyperlink r:id="rId64" w:history="1">
        <w:r w:rsidRPr="00C81524">
          <w:rPr>
            <w:rStyle w:val="Hyperlink"/>
            <w:rFonts w:ascii="Arial" w:hAnsi="Arial" w:cs="Arial"/>
            <w:sz w:val="22"/>
            <w:szCs w:val="22"/>
          </w:rPr>
          <w:t>https://doi.org/10.5430/ijhe.v3n1p94</w:t>
        </w:r>
      </w:hyperlink>
    </w:p>
    <w:p w14:paraId="5E03F27A" w14:textId="5B45ACBD"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Kopp, W. (2001). One day all children: the unlikely triumph of teach for America and what I learned along the way. New York: Public Affairs.</w:t>
      </w:r>
    </w:p>
    <w:p w14:paraId="4AB088E2" w14:textId="06830DC2"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Labaree</w:t>
      </w:r>
      <w:proofErr w:type="spellEnd"/>
      <w:r w:rsidRPr="00E827B7">
        <w:rPr>
          <w:rFonts w:ascii="Arial" w:hAnsi="Arial" w:cs="Arial"/>
          <w:sz w:val="22"/>
          <w:szCs w:val="22"/>
        </w:rPr>
        <w:t xml:space="preserve">, D. (2010). Teach for America and Teacher Ed: Heads They Win, Tails We Lose. Journal of Teacher Education, 61(1-2), 48-55. </w:t>
      </w:r>
      <w:hyperlink r:id="rId65" w:history="1">
        <w:r w:rsidRPr="00C81524">
          <w:rPr>
            <w:rStyle w:val="Hyperlink"/>
            <w:rFonts w:ascii="Arial" w:hAnsi="Arial" w:cs="Arial"/>
            <w:sz w:val="22"/>
            <w:szCs w:val="22"/>
          </w:rPr>
          <w:t>https://doi.org/10.1177/0022487109347317</w:t>
        </w:r>
      </w:hyperlink>
    </w:p>
    <w:p w14:paraId="11E17E53" w14:textId="06156B76"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Lin, T. C., Tsai, C. C., Chai, C. S., &amp; Lee, M. H. (2013). Identifying science teachers’ perceptions of technological pedagogical and content knowledge (TPACK). Journal of Science Education and Technology, 22(3), 325–336. </w:t>
      </w:r>
      <w:hyperlink r:id="rId66" w:history="1">
        <w:r w:rsidRPr="00C81524">
          <w:rPr>
            <w:rStyle w:val="Hyperlink"/>
            <w:rFonts w:ascii="Arial" w:hAnsi="Arial" w:cs="Arial"/>
            <w:sz w:val="22"/>
            <w:szCs w:val="22"/>
          </w:rPr>
          <w:t>https://doi.org/10.1007/s10956-012-9396-6</w:t>
        </w:r>
      </w:hyperlink>
    </w:p>
    <w:p w14:paraId="5D49F434" w14:textId="262E386B"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Lin, T. C., Tsai, C. C., Chai, C. S., &amp; Lee, M. H. (2013). Identifying Science Teachers' Perceptions of Technological Pedagogical and Content Knowledge (TPACK). Journal of </w:t>
      </w:r>
      <w:r w:rsidRPr="00E827B7">
        <w:rPr>
          <w:rFonts w:ascii="Arial" w:hAnsi="Arial" w:cs="Arial"/>
          <w:sz w:val="22"/>
          <w:szCs w:val="22"/>
        </w:rPr>
        <w:lastRenderedPageBreak/>
        <w:t xml:space="preserve">Science Education and Technology, 22(3), 325–336. </w:t>
      </w:r>
      <w:hyperlink r:id="rId67" w:history="1">
        <w:r w:rsidRPr="00C81524">
          <w:rPr>
            <w:rStyle w:val="Hyperlink"/>
            <w:rFonts w:ascii="Arial" w:hAnsi="Arial" w:cs="Arial"/>
            <w:sz w:val="22"/>
            <w:szCs w:val="22"/>
          </w:rPr>
          <w:t>https://doi.org/10.1007/s10956-012-9396-6</w:t>
        </w:r>
      </w:hyperlink>
    </w:p>
    <w:p w14:paraId="7298CC88" w14:textId="0A15762F"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Vail, L. M. (2010). Teaching in the 21st century (Master's thesis, University of North Carolina Wilmington). </w:t>
      </w:r>
      <w:hyperlink r:id="rId68" w:history="1">
        <w:r w:rsidRPr="00C81524">
          <w:rPr>
            <w:rStyle w:val="Hyperlink"/>
            <w:rFonts w:ascii="Arial" w:hAnsi="Arial" w:cs="Arial"/>
            <w:sz w:val="22"/>
            <w:szCs w:val="22"/>
          </w:rPr>
          <w:t>http://dl.uncw.edu/Etd/2010-2/vaill/lisavail.pdf</w:t>
        </w:r>
      </w:hyperlink>
    </w:p>
    <w:p w14:paraId="22204BFF" w14:textId="34C772B8"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Loughran, J., Mulhall, P., &amp; Berry, A. (2004). In search of pedagogical content knowledge in science: Developing ways of articulating and documenting professional practice. Journal of Research in Science Teaching, 41(4), 370–391. </w:t>
      </w:r>
      <w:hyperlink r:id="rId69" w:history="1">
        <w:r w:rsidRPr="00C81524">
          <w:rPr>
            <w:rStyle w:val="Hyperlink"/>
            <w:rFonts w:ascii="Arial" w:hAnsi="Arial" w:cs="Arial"/>
            <w:sz w:val="22"/>
            <w:szCs w:val="22"/>
          </w:rPr>
          <w:t>https://doi.org/10.1002/tea.20007</w:t>
        </w:r>
      </w:hyperlink>
    </w:p>
    <w:p w14:paraId="50C6DDC5" w14:textId="76FB4F5B"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Mac </w:t>
      </w:r>
      <w:proofErr w:type="spellStart"/>
      <w:r w:rsidRPr="004003A5">
        <w:rPr>
          <w:rFonts w:ascii="Arial" w:hAnsi="Arial" w:cs="Arial"/>
          <w:sz w:val="22"/>
          <w:szCs w:val="22"/>
        </w:rPr>
        <w:t>Meekin</w:t>
      </w:r>
      <w:proofErr w:type="spellEnd"/>
      <w:r w:rsidRPr="004003A5">
        <w:rPr>
          <w:rFonts w:ascii="Arial" w:hAnsi="Arial" w:cs="Arial"/>
          <w:sz w:val="22"/>
          <w:szCs w:val="22"/>
        </w:rPr>
        <w:t xml:space="preserve">, M. (2014). The 27 characteristics of the 21st century </w:t>
      </w:r>
      <w:proofErr w:type="spellStart"/>
      <w:proofErr w:type="gramStart"/>
      <w:r w:rsidRPr="004003A5">
        <w:rPr>
          <w:rFonts w:ascii="Arial" w:hAnsi="Arial" w:cs="Arial"/>
          <w:sz w:val="22"/>
          <w:szCs w:val="22"/>
        </w:rPr>
        <w:t>teacher,Retrieved</w:t>
      </w:r>
      <w:proofErr w:type="spellEnd"/>
      <w:proofErr w:type="gramEnd"/>
      <w:r w:rsidRPr="004003A5">
        <w:rPr>
          <w:rFonts w:ascii="Arial" w:hAnsi="Arial" w:cs="Arial"/>
          <w:sz w:val="22"/>
          <w:szCs w:val="22"/>
        </w:rPr>
        <w:t xml:space="preserve"> from http://www.educatorstechnology.com/2013/04/the-27-characteristics-of-21st century.html</w:t>
      </w:r>
    </w:p>
    <w:p w14:paraId="3103AE35" w14:textId="5805C500"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Mahgoub</w:t>
      </w:r>
      <w:proofErr w:type="spellEnd"/>
      <w:r w:rsidRPr="00E827B7">
        <w:rPr>
          <w:rFonts w:ascii="Arial" w:hAnsi="Arial" w:cs="Arial"/>
          <w:sz w:val="22"/>
          <w:szCs w:val="22"/>
        </w:rPr>
        <w:t xml:space="preserve">, Y. M., &amp; </w:t>
      </w:r>
      <w:proofErr w:type="spellStart"/>
      <w:r w:rsidRPr="00E827B7">
        <w:rPr>
          <w:rFonts w:ascii="Arial" w:hAnsi="Arial" w:cs="Arial"/>
          <w:sz w:val="22"/>
          <w:szCs w:val="22"/>
        </w:rPr>
        <w:t>Elyas</w:t>
      </w:r>
      <w:proofErr w:type="spellEnd"/>
      <w:r w:rsidRPr="00E827B7">
        <w:rPr>
          <w:rFonts w:ascii="Arial" w:hAnsi="Arial" w:cs="Arial"/>
          <w:sz w:val="22"/>
          <w:szCs w:val="22"/>
        </w:rPr>
        <w:t xml:space="preserve">, S. A. (2014). Development of teacher performance and its impact on enhancing on the quality of the educational process. </w:t>
      </w:r>
      <w:proofErr w:type="spellStart"/>
      <w:r w:rsidRPr="00E827B7">
        <w:rPr>
          <w:rFonts w:ascii="Arial" w:hAnsi="Arial" w:cs="Arial"/>
          <w:sz w:val="22"/>
          <w:szCs w:val="22"/>
        </w:rPr>
        <w:t>Pensee</w:t>
      </w:r>
      <w:proofErr w:type="spellEnd"/>
      <w:r w:rsidRPr="00E827B7">
        <w:rPr>
          <w:rFonts w:ascii="Arial" w:hAnsi="Arial" w:cs="Arial"/>
          <w:sz w:val="22"/>
          <w:szCs w:val="22"/>
        </w:rPr>
        <w:t xml:space="preserve"> Journal, 76(2), 169-179. </w:t>
      </w:r>
      <w:hyperlink r:id="rId70" w:history="1">
        <w:r w:rsidRPr="00C81524">
          <w:rPr>
            <w:rStyle w:val="Hyperlink"/>
            <w:rFonts w:ascii="Arial" w:hAnsi="Arial" w:cs="Arial"/>
            <w:sz w:val="22"/>
            <w:szCs w:val="22"/>
          </w:rPr>
          <w:t>https://www.researchgate.net/publication/260960000_Development_of_Teacher_Performance_and_its_Impact_on_Enhancing_on_the_Quality_of_the_Educational_Process</w:t>
        </w:r>
      </w:hyperlink>
    </w:p>
    <w:p w14:paraId="66545384" w14:textId="21C58172"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Malik, M. A. M., Murtaza, A.  &amp; Khan, A.M. (2011). Role of teachers in managing teaching learning situation. Interdisciplinary Journal of Contemporary Research in Business, 3(5), 784-833.</w:t>
      </w:r>
    </w:p>
    <w:p w14:paraId="567FE562" w14:textId="516987AC"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Marcelo, C. (2009). Professional Development of Teachers: Past and Future. </w:t>
      </w:r>
      <w:proofErr w:type="spellStart"/>
      <w:r w:rsidRPr="00E827B7">
        <w:rPr>
          <w:rFonts w:ascii="Arial" w:hAnsi="Arial" w:cs="Arial"/>
          <w:sz w:val="22"/>
          <w:szCs w:val="22"/>
        </w:rPr>
        <w:t>Sisifo</w:t>
      </w:r>
      <w:proofErr w:type="spellEnd"/>
      <w:r w:rsidRPr="00E827B7">
        <w:rPr>
          <w:rFonts w:ascii="Arial" w:hAnsi="Arial" w:cs="Arial"/>
          <w:sz w:val="22"/>
          <w:szCs w:val="22"/>
        </w:rPr>
        <w:t xml:space="preserve">. Educational Sciences Journal, 8, 5-20. </w:t>
      </w:r>
      <w:hyperlink r:id="rId71" w:history="1">
        <w:r w:rsidRPr="00C81524">
          <w:rPr>
            <w:rStyle w:val="Hyperlink"/>
            <w:rFonts w:ascii="Arial" w:hAnsi="Arial" w:cs="Arial"/>
            <w:sz w:val="22"/>
            <w:szCs w:val="22"/>
          </w:rPr>
          <w:t>http://sisifo.fpce.ul.pt</w:t>
        </w:r>
      </w:hyperlink>
    </w:p>
    <w:p w14:paraId="0194B260" w14:textId="33F22A2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Marzano, R. J., &amp; </w:t>
      </w:r>
      <w:proofErr w:type="spellStart"/>
      <w:r w:rsidRPr="00E827B7">
        <w:rPr>
          <w:rFonts w:ascii="Arial" w:hAnsi="Arial" w:cs="Arial"/>
          <w:sz w:val="22"/>
          <w:szCs w:val="22"/>
        </w:rPr>
        <w:t>Heflebower</w:t>
      </w:r>
      <w:proofErr w:type="spellEnd"/>
      <w:r w:rsidRPr="00E827B7">
        <w:rPr>
          <w:rFonts w:ascii="Arial" w:hAnsi="Arial" w:cs="Arial"/>
          <w:sz w:val="22"/>
          <w:szCs w:val="22"/>
        </w:rPr>
        <w:t xml:space="preserve">, T. (2011). Teaching &amp; Assessing 21st Century Skills. Marzano Research Laboratory. </w:t>
      </w:r>
      <w:hyperlink r:id="rId72" w:history="1">
        <w:r w:rsidRPr="00C81524">
          <w:rPr>
            <w:rStyle w:val="Hyperlink"/>
            <w:rFonts w:ascii="Arial" w:hAnsi="Arial" w:cs="Arial"/>
            <w:sz w:val="22"/>
            <w:szCs w:val="22"/>
          </w:rPr>
          <w:t>https://www.marzanoresources.com/teaching-assessing-21st-century-skills</w:t>
        </w:r>
      </w:hyperlink>
    </w:p>
    <w:p w14:paraId="79315B74" w14:textId="39B50DFE"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Meador, D. (2019). Effective strategies to increase parental involvement in education. ThoughtCo. </w:t>
      </w:r>
      <w:hyperlink r:id="rId73" w:history="1">
        <w:r w:rsidRPr="00C81524">
          <w:rPr>
            <w:rStyle w:val="Hyperlink"/>
            <w:rFonts w:ascii="Arial" w:hAnsi="Arial" w:cs="Arial"/>
            <w:sz w:val="22"/>
            <w:szCs w:val="22"/>
          </w:rPr>
          <w:t>https://www.thoughtco.com/increase-parental-involvement-in-education-3194407</w:t>
        </w:r>
      </w:hyperlink>
    </w:p>
    <w:p w14:paraId="174138F8" w14:textId="04D86D07"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Muriithi</w:t>
      </w:r>
      <w:proofErr w:type="spellEnd"/>
      <w:r w:rsidRPr="00E827B7">
        <w:rPr>
          <w:rFonts w:ascii="Arial" w:hAnsi="Arial" w:cs="Arial"/>
          <w:sz w:val="22"/>
          <w:szCs w:val="22"/>
        </w:rPr>
        <w:t xml:space="preserve">, E. M. (2018). Effect of teacher characteristics on learner academic achievement in physics in Kenyan Secondary Schools. International Journal of Education and Research, 6(3), 165-178. </w:t>
      </w:r>
      <w:hyperlink r:id="rId74" w:history="1">
        <w:r w:rsidRPr="00C81524">
          <w:rPr>
            <w:rStyle w:val="Hyperlink"/>
            <w:rFonts w:ascii="Arial" w:hAnsi="Arial" w:cs="Arial"/>
            <w:sz w:val="22"/>
            <w:szCs w:val="22"/>
          </w:rPr>
          <w:t>http://www.ijern.com/journal/2018/March-2018/18.pdf</w:t>
        </w:r>
      </w:hyperlink>
    </w:p>
    <w:p w14:paraId="680874B3" w14:textId="21F05229"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Mynbayeva</w:t>
      </w:r>
      <w:proofErr w:type="spellEnd"/>
      <w:r w:rsidRPr="00E827B7">
        <w:rPr>
          <w:rFonts w:ascii="Arial" w:hAnsi="Arial" w:cs="Arial"/>
          <w:sz w:val="22"/>
          <w:szCs w:val="22"/>
        </w:rPr>
        <w:t xml:space="preserve">, A., </w:t>
      </w:r>
      <w:proofErr w:type="spellStart"/>
      <w:r w:rsidRPr="00E827B7">
        <w:rPr>
          <w:rFonts w:ascii="Arial" w:hAnsi="Arial" w:cs="Arial"/>
          <w:sz w:val="22"/>
          <w:szCs w:val="22"/>
        </w:rPr>
        <w:t>Sadvakassova</w:t>
      </w:r>
      <w:proofErr w:type="spellEnd"/>
      <w:r w:rsidRPr="00E827B7">
        <w:rPr>
          <w:rFonts w:ascii="Arial" w:hAnsi="Arial" w:cs="Arial"/>
          <w:sz w:val="22"/>
          <w:szCs w:val="22"/>
        </w:rPr>
        <w:t xml:space="preserve">, Z., &amp; </w:t>
      </w:r>
      <w:proofErr w:type="spellStart"/>
      <w:r w:rsidRPr="00E827B7">
        <w:rPr>
          <w:rFonts w:ascii="Arial" w:hAnsi="Arial" w:cs="Arial"/>
          <w:sz w:val="22"/>
          <w:szCs w:val="22"/>
        </w:rPr>
        <w:t>Akshalova</w:t>
      </w:r>
      <w:proofErr w:type="spellEnd"/>
      <w:r w:rsidRPr="00E827B7">
        <w:rPr>
          <w:rFonts w:ascii="Arial" w:hAnsi="Arial" w:cs="Arial"/>
          <w:sz w:val="22"/>
          <w:szCs w:val="22"/>
        </w:rPr>
        <w:t xml:space="preserve">, B. (2018). Pedagogy of the twenty-first century: Innovative teaching methods. In O. </w:t>
      </w:r>
      <w:proofErr w:type="spellStart"/>
      <w:r w:rsidRPr="00E827B7">
        <w:rPr>
          <w:rFonts w:ascii="Arial" w:hAnsi="Arial" w:cs="Arial"/>
          <w:sz w:val="22"/>
          <w:szCs w:val="22"/>
        </w:rPr>
        <w:t>Bernad</w:t>
      </w:r>
      <w:proofErr w:type="spellEnd"/>
      <w:r w:rsidRPr="00E827B7">
        <w:rPr>
          <w:rFonts w:ascii="Arial" w:hAnsi="Arial" w:cs="Arial"/>
          <w:sz w:val="22"/>
          <w:szCs w:val="22"/>
        </w:rPr>
        <w:t xml:space="preserve"> </w:t>
      </w:r>
      <w:proofErr w:type="spellStart"/>
      <w:r w:rsidRPr="00E827B7">
        <w:rPr>
          <w:rFonts w:ascii="Arial" w:hAnsi="Arial" w:cs="Arial"/>
          <w:sz w:val="22"/>
          <w:szCs w:val="22"/>
        </w:rPr>
        <w:t>Cavero</w:t>
      </w:r>
      <w:proofErr w:type="spellEnd"/>
      <w:r w:rsidRPr="00E827B7">
        <w:rPr>
          <w:rFonts w:ascii="Arial" w:hAnsi="Arial" w:cs="Arial"/>
          <w:sz w:val="22"/>
          <w:szCs w:val="22"/>
        </w:rPr>
        <w:t xml:space="preserve"> &amp; N. </w:t>
      </w:r>
      <w:proofErr w:type="spellStart"/>
      <w:r w:rsidRPr="00E827B7">
        <w:rPr>
          <w:rFonts w:ascii="Arial" w:hAnsi="Arial" w:cs="Arial"/>
          <w:sz w:val="22"/>
          <w:szCs w:val="22"/>
        </w:rPr>
        <w:t>Llevot-Calvet</w:t>
      </w:r>
      <w:proofErr w:type="spellEnd"/>
      <w:r w:rsidRPr="00E827B7">
        <w:rPr>
          <w:rFonts w:ascii="Arial" w:hAnsi="Arial" w:cs="Arial"/>
          <w:sz w:val="22"/>
          <w:szCs w:val="22"/>
        </w:rPr>
        <w:t xml:space="preserve"> (Eds.), New pedagogical challenges in the 21st century - Contributions of research in education. </w:t>
      </w:r>
      <w:proofErr w:type="spellStart"/>
      <w:r w:rsidRPr="00E827B7">
        <w:rPr>
          <w:rFonts w:ascii="Arial" w:hAnsi="Arial" w:cs="Arial"/>
          <w:sz w:val="22"/>
          <w:szCs w:val="22"/>
        </w:rPr>
        <w:t>IntechOpen</w:t>
      </w:r>
      <w:proofErr w:type="spellEnd"/>
      <w:r w:rsidRPr="00E827B7">
        <w:rPr>
          <w:rFonts w:ascii="Arial" w:hAnsi="Arial" w:cs="Arial"/>
          <w:sz w:val="22"/>
          <w:szCs w:val="22"/>
        </w:rPr>
        <w:t xml:space="preserve">. </w:t>
      </w:r>
      <w:hyperlink r:id="rId75" w:history="1">
        <w:r w:rsidRPr="00C81524">
          <w:rPr>
            <w:rStyle w:val="Hyperlink"/>
            <w:rFonts w:ascii="Arial" w:hAnsi="Arial" w:cs="Arial"/>
            <w:sz w:val="22"/>
            <w:szCs w:val="22"/>
          </w:rPr>
          <w:t>https://doi.org/10.5772/intechopen.72341</w:t>
        </w:r>
      </w:hyperlink>
    </w:p>
    <w:p w14:paraId="2A6ED49F" w14:textId="13BC21DC"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Nebor</w:t>
      </w:r>
      <w:proofErr w:type="spellEnd"/>
      <w:r w:rsidRPr="00E827B7">
        <w:rPr>
          <w:rFonts w:ascii="Arial" w:hAnsi="Arial" w:cs="Arial"/>
          <w:sz w:val="22"/>
          <w:szCs w:val="22"/>
        </w:rPr>
        <w:t xml:space="preserve">, J. N. (1984). The role of the teacher in school-community relations. </w:t>
      </w:r>
      <w:hyperlink r:id="rId76" w:history="1">
        <w:r w:rsidRPr="00C81524">
          <w:rPr>
            <w:rStyle w:val="Hyperlink"/>
            <w:rFonts w:ascii="Arial" w:hAnsi="Arial" w:cs="Arial"/>
            <w:sz w:val="22"/>
            <w:szCs w:val="22"/>
          </w:rPr>
          <w:t>https://eric.ed.gov/?id=ED287827</w:t>
        </w:r>
      </w:hyperlink>
    </w:p>
    <w:p w14:paraId="7422F51D" w14:textId="3A11BB94"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O'Bannon, B. W., &amp; Thomas, K. (2014). Teacher perceptions of using mobile phones in the classroom: Age matters! Computers &amp; Education, 74, 15–25. </w:t>
      </w:r>
      <w:hyperlink r:id="rId77" w:history="1">
        <w:r w:rsidRPr="00C81524">
          <w:rPr>
            <w:rStyle w:val="Hyperlink"/>
            <w:rFonts w:ascii="Arial" w:hAnsi="Arial" w:cs="Arial"/>
            <w:sz w:val="22"/>
            <w:szCs w:val="22"/>
          </w:rPr>
          <w:t>https://doi.org/10.1016/j.compedu.2014.01.006</w:t>
        </w:r>
      </w:hyperlink>
    </w:p>
    <w:p w14:paraId="5ED82FFE" w14:textId="208046A5" w:rsidR="00E04579" w:rsidRPr="004003A5" w:rsidRDefault="006C3E85" w:rsidP="004003A5">
      <w:pPr>
        <w:pStyle w:val="ListParagraph"/>
        <w:numPr>
          <w:ilvl w:val="0"/>
          <w:numId w:val="18"/>
        </w:numPr>
        <w:rPr>
          <w:rFonts w:ascii="Arial" w:hAnsi="Arial" w:cs="Arial"/>
          <w:sz w:val="22"/>
          <w:szCs w:val="22"/>
        </w:rPr>
      </w:pPr>
      <w:r w:rsidRPr="004003A5">
        <w:rPr>
          <w:rFonts w:ascii="Arial" w:hAnsi="Arial" w:cs="Arial"/>
          <w:sz w:val="22"/>
          <w:szCs w:val="22"/>
        </w:rPr>
        <w:t xml:space="preserve">O'Hare, J. M. (2008). Utilizing a program planning and evaluation framework to educate general education eighth grade students about various disabilities: Promoting Acceptance and tolerance from a cultural diversity perspective. </w:t>
      </w:r>
      <w:proofErr w:type="spellStart"/>
      <w:proofErr w:type="gramStart"/>
      <w:r w:rsidRPr="004003A5">
        <w:rPr>
          <w:rFonts w:ascii="Arial" w:hAnsi="Arial" w:cs="Arial"/>
          <w:sz w:val="22"/>
          <w:szCs w:val="22"/>
        </w:rPr>
        <w:t>Rutgers,The</w:t>
      </w:r>
      <w:proofErr w:type="spellEnd"/>
      <w:proofErr w:type="gramEnd"/>
      <w:r w:rsidRPr="004003A5">
        <w:rPr>
          <w:rFonts w:ascii="Arial" w:hAnsi="Arial" w:cs="Arial"/>
          <w:sz w:val="22"/>
          <w:szCs w:val="22"/>
        </w:rPr>
        <w:t xml:space="preserve"> State University of New Jersey. New Brunswick, New Jersey, USA: ProQuest.</w:t>
      </w:r>
    </w:p>
    <w:p w14:paraId="26B5FA6B" w14:textId="77777777"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lastRenderedPageBreak/>
        <w:t>Onwu</w:t>
      </w:r>
      <w:proofErr w:type="spellEnd"/>
      <w:r w:rsidRPr="004003A5">
        <w:rPr>
          <w:rFonts w:ascii="Arial" w:hAnsi="Arial" w:cs="Arial"/>
          <w:sz w:val="22"/>
          <w:szCs w:val="22"/>
        </w:rPr>
        <w:t xml:space="preserve">, G.O. (2008). Dilemmas of identity, practice and science teacher preparation: Creating professional identities. Paper presented at the Department of Science Mathematics </w:t>
      </w:r>
      <w:proofErr w:type="spellStart"/>
      <w:r w:rsidRPr="004003A5">
        <w:rPr>
          <w:rFonts w:ascii="Arial" w:hAnsi="Arial" w:cs="Arial"/>
          <w:sz w:val="22"/>
          <w:szCs w:val="22"/>
        </w:rPr>
        <w:t>andTechnology</w:t>
      </w:r>
      <w:proofErr w:type="spellEnd"/>
      <w:r w:rsidRPr="004003A5">
        <w:rPr>
          <w:rFonts w:ascii="Arial" w:hAnsi="Arial" w:cs="Arial"/>
          <w:sz w:val="22"/>
          <w:szCs w:val="22"/>
        </w:rPr>
        <w:t xml:space="preserve"> Education, Faculty of Education, University of Pretoria. Unpublished Research Seminar Series</w:t>
      </w:r>
    </w:p>
    <w:p w14:paraId="68B391C9" w14:textId="2CCDF995"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Osgood, J. (2006). Professionalism and performativity: The feminist challenge facing early years practitioners. Early Years: An International Journal of Research and Development, 26(2), 187-199. </w:t>
      </w:r>
      <w:hyperlink r:id="rId78" w:history="1">
        <w:r w:rsidRPr="00C81524">
          <w:rPr>
            <w:rStyle w:val="Hyperlink"/>
            <w:rFonts w:ascii="Arial" w:hAnsi="Arial" w:cs="Arial"/>
            <w:sz w:val="22"/>
            <w:szCs w:val="22"/>
          </w:rPr>
          <w:t>https://doi.org/10.1080/09575140600759997</w:t>
        </w:r>
      </w:hyperlink>
    </w:p>
    <w:p w14:paraId="7EC56CD8" w14:textId="76BD22E0"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Ozor</w:t>
      </w:r>
      <w:proofErr w:type="spellEnd"/>
      <w:r w:rsidRPr="00E827B7">
        <w:rPr>
          <w:rFonts w:ascii="Arial" w:hAnsi="Arial" w:cs="Arial"/>
          <w:sz w:val="22"/>
          <w:szCs w:val="22"/>
        </w:rPr>
        <w:t xml:space="preserve">, N., &amp; Nwankwo, N. (2008). The Role of Local Leaders in Community Development </w:t>
      </w:r>
      <w:proofErr w:type="spellStart"/>
      <w:r w:rsidRPr="00E827B7">
        <w:rPr>
          <w:rFonts w:ascii="Arial" w:hAnsi="Arial" w:cs="Arial"/>
          <w:sz w:val="22"/>
          <w:szCs w:val="22"/>
        </w:rPr>
        <w:t>Programmes</w:t>
      </w:r>
      <w:proofErr w:type="spellEnd"/>
      <w:r w:rsidRPr="00E827B7">
        <w:rPr>
          <w:rFonts w:ascii="Arial" w:hAnsi="Arial" w:cs="Arial"/>
          <w:sz w:val="22"/>
          <w:szCs w:val="22"/>
        </w:rPr>
        <w:t xml:space="preserve"> in </w:t>
      </w:r>
      <w:proofErr w:type="spellStart"/>
      <w:r w:rsidRPr="00E827B7">
        <w:rPr>
          <w:rFonts w:ascii="Arial" w:hAnsi="Arial" w:cs="Arial"/>
          <w:sz w:val="22"/>
          <w:szCs w:val="22"/>
        </w:rPr>
        <w:t>Ideato</w:t>
      </w:r>
      <w:proofErr w:type="spellEnd"/>
      <w:r w:rsidRPr="00E827B7">
        <w:rPr>
          <w:rFonts w:ascii="Arial" w:hAnsi="Arial" w:cs="Arial"/>
          <w:sz w:val="22"/>
          <w:szCs w:val="22"/>
        </w:rPr>
        <w:t xml:space="preserve"> Local Government Area of Imo State: Implication for Extension Policy. Journal of Agricultural Extension, 12(2). </w:t>
      </w:r>
      <w:hyperlink r:id="rId79" w:history="1">
        <w:r w:rsidRPr="00C81524">
          <w:rPr>
            <w:rStyle w:val="Hyperlink"/>
            <w:rFonts w:ascii="Arial" w:hAnsi="Arial" w:cs="Arial"/>
            <w:sz w:val="22"/>
            <w:szCs w:val="22"/>
          </w:rPr>
          <w:t>https://doi.org/10.4314/jae.v12i2.47051</w:t>
        </w:r>
      </w:hyperlink>
    </w:p>
    <w:p w14:paraId="16DB50B5" w14:textId="41D81582"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Pa-</w:t>
      </w:r>
      <w:proofErr w:type="spellStart"/>
      <w:r w:rsidRPr="00E827B7">
        <w:rPr>
          <w:rFonts w:ascii="Arial" w:hAnsi="Arial" w:cs="Arial"/>
          <w:sz w:val="22"/>
          <w:szCs w:val="22"/>
        </w:rPr>
        <w:t>alisbo</w:t>
      </w:r>
      <w:proofErr w:type="spellEnd"/>
      <w:r w:rsidRPr="00E827B7">
        <w:rPr>
          <w:rFonts w:ascii="Arial" w:hAnsi="Arial" w:cs="Arial"/>
          <w:sz w:val="22"/>
          <w:szCs w:val="22"/>
        </w:rPr>
        <w:t xml:space="preserve">, M. A. C. (2017). The 21st century skills and job performance of teachers. Journal of Education and Practice, 8(32), 7-12. </w:t>
      </w:r>
      <w:hyperlink r:id="rId80" w:history="1">
        <w:r w:rsidRPr="00C81524">
          <w:rPr>
            <w:rStyle w:val="Hyperlink"/>
            <w:rFonts w:ascii="Arial" w:hAnsi="Arial" w:cs="Arial"/>
            <w:sz w:val="22"/>
            <w:szCs w:val="22"/>
          </w:rPr>
          <w:t>https://files.eric.ed.gov/fulltext/ED578609.pdf</w:t>
        </w:r>
      </w:hyperlink>
    </w:p>
    <w:p w14:paraId="2A6184DE" w14:textId="361B5B99"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Pana, G. U., &amp; </w:t>
      </w:r>
      <w:proofErr w:type="spellStart"/>
      <w:r w:rsidRPr="00E827B7">
        <w:rPr>
          <w:rFonts w:ascii="Arial" w:hAnsi="Arial" w:cs="Arial"/>
          <w:sz w:val="22"/>
          <w:szCs w:val="22"/>
        </w:rPr>
        <w:t>Escarlos</w:t>
      </w:r>
      <w:proofErr w:type="spellEnd"/>
      <w:r w:rsidRPr="00E827B7">
        <w:rPr>
          <w:rFonts w:ascii="Arial" w:hAnsi="Arial" w:cs="Arial"/>
          <w:sz w:val="22"/>
          <w:szCs w:val="22"/>
        </w:rPr>
        <w:t xml:space="preserve">, G. S. (2017). Contemporary teaching strategies on students’ attitude, academic performance and acquisition of the 21st century skills. International Journal of Scientific &amp; Technology Research, 6(08), 332-337. </w:t>
      </w:r>
      <w:hyperlink r:id="rId81" w:history="1">
        <w:r w:rsidRPr="00C81524">
          <w:rPr>
            <w:rStyle w:val="Hyperlink"/>
            <w:rFonts w:ascii="Arial" w:hAnsi="Arial" w:cs="Arial"/>
            <w:sz w:val="22"/>
            <w:szCs w:val="22"/>
          </w:rPr>
          <w:t>https://www.ijstr.org/final-print/aug2017/Contemporary-Teaching-Strategies-On-Students-Attitude-Academic-Performance-And-Acquisition-Of-The-21st-Century-Skills.pdf</w:t>
        </w:r>
      </w:hyperlink>
    </w:p>
    <w:p w14:paraId="27741324" w14:textId="30406478" w:rsidR="00E827B7" w:rsidRDefault="00E827B7" w:rsidP="004003A5">
      <w:pPr>
        <w:pStyle w:val="ListParagraph"/>
        <w:numPr>
          <w:ilvl w:val="0"/>
          <w:numId w:val="18"/>
        </w:numPr>
        <w:rPr>
          <w:rFonts w:ascii="Arial" w:hAnsi="Arial" w:cs="Arial"/>
          <w:sz w:val="22"/>
          <w:szCs w:val="22"/>
        </w:rPr>
      </w:pPr>
      <w:proofErr w:type="spellStart"/>
      <w:r w:rsidRPr="00E827B7">
        <w:rPr>
          <w:rFonts w:ascii="Arial" w:hAnsi="Arial" w:cs="Arial"/>
          <w:sz w:val="22"/>
          <w:szCs w:val="22"/>
        </w:rPr>
        <w:t>Racca</w:t>
      </w:r>
      <w:proofErr w:type="spellEnd"/>
      <w:r w:rsidRPr="00E827B7">
        <w:rPr>
          <w:rFonts w:ascii="Arial" w:hAnsi="Arial" w:cs="Arial"/>
          <w:sz w:val="22"/>
          <w:szCs w:val="22"/>
        </w:rPr>
        <w:t xml:space="preserve">, R. M. A. B., &amp; </w:t>
      </w:r>
      <w:proofErr w:type="spellStart"/>
      <w:r w:rsidRPr="00E827B7">
        <w:rPr>
          <w:rFonts w:ascii="Arial" w:hAnsi="Arial" w:cs="Arial"/>
          <w:sz w:val="22"/>
          <w:szCs w:val="22"/>
        </w:rPr>
        <w:t>Lasaten</w:t>
      </w:r>
      <w:proofErr w:type="spellEnd"/>
      <w:r w:rsidRPr="00E827B7">
        <w:rPr>
          <w:rFonts w:ascii="Arial" w:hAnsi="Arial" w:cs="Arial"/>
          <w:sz w:val="22"/>
          <w:szCs w:val="22"/>
        </w:rPr>
        <w:t xml:space="preserve">, R. C. S. (2016). English language proficiency and academic performance of Philippine Science High School Students. International Journal of Languages, Literature and Linguistics, 2(2), 44-49. </w:t>
      </w:r>
      <w:hyperlink r:id="rId82" w:history="1">
        <w:r w:rsidRPr="00C81524">
          <w:rPr>
            <w:rStyle w:val="Hyperlink"/>
            <w:rFonts w:ascii="Arial" w:hAnsi="Arial" w:cs="Arial"/>
            <w:sz w:val="22"/>
            <w:szCs w:val="22"/>
          </w:rPr>
          <w:t>https://doi.org/10.18178/ijlll.2016.2.2.65</w:t>
        </w:r>
      </w:hyperlink>
    </w:p>
    <w:p w14:paraId="336548F5" w14:textId="1C88890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Rasool, G., Mahboob, U., Sajid, M., &amp; Ahmad, S. (2017). Characteristics of effective teaching: a survey on teacher’s perceptions. Pakistan Oral &amp; Dental Journal, 37(1). </w:t>
      </w:r>
      <w:hyperlink r:id="rId83" w:history="1">
        <w:r w:rsidRPr="00C81524">
          <w:rPr>
            <w:rStyle w:val="Hyperlink"/>
            <w:rFonts w:ascii="Arial" w:hAnsi="Arial" w:cs="Arial"/>
            <w:sz w:val="22"/>
            <w:szCs w:val="22"/>
          </w:rPr>
          <w:t>https://search.proquest.com/docview/1891291525?accountid=34542</w:t>
        </w:r>
      </w:hyperlink>
    </w:p>
    <w:p w14:paraId="43072F8F" w14:textId="30D7713A"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Rivkin, S. G., Hanushek, E. A., &amp; Kain, J. F. (2005). Teachers, schools, and academic achievement. </w:t>
      </w:r>
      <w:proofErr w:type="spellStart"/>
      <w:r w:rsidRPr="00E827B7">
        <w:rPr>
          <w:rFonts w:ascii="Arial" w:hAnsi="Arial" w:cs="Arial"/>
          <w:sz w:val="22"/>
          <w:szCs w:val="22"/>
        </w:rPr>
        <w:t>Econometrica</w:t>
      </w:r>
      <w:proofErr w:type="spellEnd"/>
      <w:r w:rsidRPr="00E827B7">
        <w:rPr>
          <w:rFonts w:ascii="Arial" w:hAnsi="Arial" w:cs="Arial"/>
          <w:sz w:val="22"/>
          <w:szCs w:val="22"/>
        </w:rPr>
        <w:t xml:space="preserve">, 73(2), 417–458. </w:t>
      </w:r>
      <w:hyperlink r:id="rId84" w:history="1">
        <w:r w:rsidRPr="00C81524">
          <w:rPr>
            <w:rStyle w:val="Hyperlink"/>
            <w:rFonts w:ascii="Arial" w:hAnsi="Arial" w:cs="Arial"/>
            <w:sz w:val="22"/>
            <w:szCs w:val="22"/>
          </w:rPr>
          <w:t>https://doi.org/10.1111/j.1468-0262.2005.00584.x</w:t>
        </w:r>
      </w:hyperlink>
    </w:p>
    <w:p w14:paraId="356AB96F" w14:textId="5CA258CF"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Rivkin, S. G., Hanushek, E. A., &amp; Kain, J. F. (2005). Teachers, schools, and academic achievement. </w:t>
      </w:r>
      <w:proofErr w:type="spellStart"/>
      <w:r w:rsidRPr="00E827B7">
        <w:rPr>
          <w:rFonts w:ascii="Arial" w:hAnsi="Arial" w:cs="Arial"/>
          <w:sz w:val="22"/>
          <w:szCs w:val="22"/>
        </w:rPr>
        <w:t>Econometrica</w:t>
      </w:r>
      <w:proofErr w:type="spellEnd"/>
      <w:r w:rsidRPr="00E827B7">
        <w:rPr>
          <w:rFonts w:ascii="Arial" w:hAnsi="Arial" w:cs="Arial"/>
          <w:sz w:val="22"/>
          <w:szCs w:val="22"/>
        </w:rPr>
        <w:t xml:space="preserve">, 73, 417–458. </w:t>
      </w:r>
      <w:hyperlink r:id="rId85" w:history="1">
        <w:r w:rsidRPr="00C81524">
          <w:rPr>
            <w:rStyle w:val="Hyperlink"/>
            <w:rFonts w:ascii="Arial" w:hAnsi="Arial" w:cs="Arial"/>
            <w:sz w:val="22"/>
            <w:szCs w:val="22"/>
          </w:rPr>
          <w:t>https://doi.org/10.1111/j.1468-0262.2005.00584.x</w:t>
        </w:r>
      </w:hyperlink>
    </w:p>
    <w:p w14:paraId="20BFB4F2" w14:textId="27A0146C"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Rizza, C. (2011). New Teachers' Working Experience: A Secondary Analysis of TALIS. In *Back to the Future: Legacies, Continuities and Changes in Educational Policy, Practice and Research: 15th Biennial of the International Study Association on Teachers and Teaching (ISATT)*. Braga, Portugal: Centro de </w:t>
      </w:r>
      <w:proofErr w:type="spellStart"/>
      <w:r w:rsidRPr="00E827B7">
        <w:rPr>
          <w:rFonts w:ascii="Arial" w:hAnsi="Arial" w:cs="Arial"/>
          <w:sz w:val="22"/>
          <w:szCs w:val="22"/>
        </w:rPr>
        <w:t>Investigação</w:t>
      </w:r>
      <w:proofErr w:type="spellEnd"/>
      <w:r w:rsidRPr="00E827B7">
        <w:rPr>
          <w:rFonts w:ascii="Arial" w:hAnsi="Arial" w:cs="Arial"/>
          <w:sz w:val="22"/>
          <w:szCs w:val="22"/>
        </w:rPr>
        <w:t xml:space="preserve"> </w:t>
      </w:r>
      <w:proofErr w:type="spellStart"/>
      <w:r w:rsidRPr="00E827B7">
        <w:rPr>
          <w:rFonts w:ascii="Arial" w:hAnsi="Arial" w:cs="Arial"/>
          <w:sz w:val="22"/>
          <w:szCs w:val="22"/>
        </w:rPr>
        <w:t>em</w:t>
      </w:r>
      <w:proofErr w:type="spellEnd"/>
      <w:r w:rsidRPr="00E827B7">
        <w:rPr>
          <w:rFonts w:ascii="Arial" w:hAnsi="Arial" w:cs="Arial"/>
          <w:sz w:val="22"/>
          <w:szCs w:val="22"/>
        </w:rPr>
        <w:t xml:space="preserve"> </w:t>
      </w:r>
      <w:proofErr w:type="spellStart"/>
      <w:r w:rsidRPr="00E827B7">
        <w:rPr>
          <w:rFonts w:ascii="Arial" w:hAnsi="Arial" w:cs="Arial"/>
          <w:sz w:val="22"/>
          <w:szCs w:val="22"/>
        </w:rPr>
        <w:t>Educação</w:t>
      </w:r>
      <w:proofErr w:type="spellEnd"/>
      <w:r w:rsidRPr="00E827B7">
        <w:rPr>
          <w:rFonts w:ascii="Arial" w:hAnsi="Arial" w:cs="Arial"/>
          <w:sz w:val="22"/>
          <w:szCs w:val="22"/>
        </w:rPr>
        <w:t xml:space="preserve"> (</w:t>
      </w:r>
      <w:proofErr w:type="spellStart"/>
      <w:r w:rsidRPr="00E827B7">
        <w:rPr>
          <w:rFonts w:ascii="Arial" w:hAnsi="Arial" w:cs="Arial"/>
          <w:sz w:val="22"/>
          <w:szCs w:val="22"/>
        </w:rPr>
        <w:t>CIEd</w:t>
      </w:r>
      <w:proofErr w:type="spellEnd"/>
      <w:r w:rsidRPr="00E827B7">
        <w:rPr>
          <w:rFonts w:ascii="Arial" w:hAnsi="Arial" w:cs="Arial"/>
          <w:sz w:val="22"/>
          <w:szCs w:val="22"/>
        </w:rPr>
        <w:t xml:space="preserve">), Instituto de </w:t>
      </w:r>
      <w:proofErr w:type="spellStart"/>
      <w:r w:rsidRPr="00E827B7">
        <w:rPr>
          <w:rFonts w:ascii="Arial" w:hAnsi="Arial" w:cs="Arial"/>
          <w:sz w:val="22"/>
          <w:szCs w:val="22"/>
        </w:rPr>
        <w:t>Educação</w:t>
      </w:r>
      <w:proofErr w:type="spellEnd"/>
      <w:r w:rsidRPr="00E827B7">
        <w:rPr>
          <w:rFonts w:ascii="Arial" w:hAnsi="Arial" w:cs="Arial"/>
          <w:sz w:val="22"/>
          <w:szCs w:val="22"/>
        </w:rPr>
        <w:t xml:space="preserve">, </w:t>
      </w:r>
      <w:proofErr w:type="spellStart"/>
      <w:r w:rsidRPr="00E827B7">
        <w:rPr>
          <w:rFonts w:ascii="Arial" w:hAnsi="Arial" w:cs="Arial"/>
          <w:sz w:val="22"/>
          <w:szCs w:val="22"/>
        </w:rPr>
        <w:t>Universidade</w:t>
      </w:r>
      <w:proofErr w:type="spellEnd"/>
      <w:r w:rsidRPr="00E827B7">
        <w:rPr>
          <w:rFonts w:ascii="Arial" w:hAnsi="Arial" w:cs="Arial"/>
          <w:sz w:val="22"/>
          <w:szCs w:val="22"/>
        </w:rPr>
        <w:t xml:space="preserve"> do Minho. </w:t>
      </w:r>
      <w:hyperlink r:id="rId86" w:history="1">
        <w:r w:rsidRPr="00C81524">
          <w:rPr>
            <w:rStyle w:val="Hyperlink"/>
            <w:rFonts w:ascii="Arial" w:hAnsi="Arial" w:cs="Arial"/>
            <w:sz w:val="22"/>
            <w:szCs w:val="22"/>
          </w:rPr>
          <w:t>https://publications.jrc.ec.europa.eu/repository/handle/JRC65910</w:t>
        </w:r>
      </w:hyperlink>
    </w:p>
    <w:p w14:paraId="62A22C00" w14:textId="5940472D"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Roberto, J., &amp; Madrigal, D. V. (2018). Teacher quality in the light of the Philippine professional standards for teachers. Philippine Social Science Journal, 1(1), 67-79. </w:t>
      </w:r>
      <w:hyperlink r:id="rId87" w:history="1">
        <w:r w:rsidRPr="00C81524">
          <w:rPr>
            <w:rStyle w:val="Hyperlink"/>
            <w:rFonts w:ascii="Arial" w:hAnsi="Arial" w:cs="Arial"/>
            <w:sz w:val="22"/>
            <w:szCs w:val="22"/>
          </w:rPr>
          <w:t>https://doi.org/10.52006/main.v1i1.13</w:t>
        </w:r>
      </w:hyperlink>
    </w:p>
    <w:p w14:paraId="48C61BBE" w14:textId="6C1F7E4E" w:rsidR="00E827B7" w:rsidRDefault="00E827B7" w:rsidP="004003A5">
      <w:pPr>
        <w:pStyle w:val="ListParagraph"/>
        <w:numPr>
          <w:ilvl w:val="0"/>
          <w:numId w:val="18"/>
        </w:numPr>
        <w:rPr>
          <w:rFonts w:ascii="Arial" w:hAnsi="Arial" w:cs="Arial"/>
          <w:sz w:val="22"/>
          <w:szCs w:val="22"/>
        </w:rPr>
      </w:pPr>
      <w:r w:rsidRPr="00E827B7">
        <w:rPr>
          <w:rFonts w:ascii="Arial" w:hAnsi="Arial" w:cs="Arial"/>
          <w:sz w:val="22"/>
          <w:szCs w:val="22"/>
        </w:rPr>
        <w:t xml:space="preserve">Ross, J. A., &amp; Bruce, C. D. (2007). Teacher self-assessment: A mechanism for facilitating professional growth. Teaching and Teacher Education. </w:t>
      </w:r>
      <w:hyperlink r:id="rId88" w:history="1">
        <w:r w:rsidRPr="00C81524">
          <w:rPr>
            <w:rStyle w:val="Hyperlink"/>
            <w:rFonts w:ascii="Arial" w:hAnsi="Arial" w:cs="Arial"/>
            <w:sz w:val="22"/>
            <w:szCs w:val="22"/>
          </w:rPr>
          <w:t>https://doi.org/10.1016/j.tate.2006.04.035</w:t>
        </w:r>
      </w:hyperlink>
    </w:p>
    <w:p w14:paraId="464EE497" w14:textId="0DBEE1EA"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lastRenderedPageBreak/>
        <w:t>Roxas</w:t>
      </w:r>
      <w:proofErr w:type="spellEnd"/>
      <w:r w:rsidRPr="00361C1D">
        <w:rPr>
          <w:rFonts w:ascii="Arial" w:hAnsi="Arial" w:cs="Arial"/>
          <w:sz w:val="22"/>
          <w:szCs w:val="22"/>
        </w:rPr>
        <w:t xml:space="preserve">, L. B., </w:t>
      </w:r>
      <w:proofErr w:type="spellStart"/>
      <w:r w:rsidRPr="00361C1D">
        <w:rPr>
          <w:rFonts w:ascii="Arial" w:hAnsi="Arial" w:cs="Arial"/>
          <w:sz w:val="22"/>
          <w:szCs w:val="22"/>
        </w:rPr>
        <w:t>Viuya</w:t>
      </w:r>
      <w:proofErr w:type="spellEnd"/>
      <w:r w:rsidRPr="00361C1D">
        <w:rPr>
          <w:rFonts w:ascii="Arial" w:hAnsi="Arial" w:cs="Arial"/>
          <w:sz w:val="22"/>
          <w:szCs w:val="22"/>
        </w:rPr>
        <w:t xml:space="preserve">, P. C., &amp; Vallejo, O. T. (2018). Community involvement of public secondary school teachers in Northern Aurora, Philippines. International Journal of Scientific and Research Publications, 8(10), 442-452. </w:t>
      </w:r>
      <w:hyperlink r:id="rId89" w:history="1">
        <w:r w:rsidRPr="00C81524">
          <w:rPr>
            <w:rStyle w:val="Hyperlink"/>
            <w:rFonts w:ascii="Arial" w:hAnsi="Arial" w:cs="Arial"/>
            <w:sz w:val="22"/>
            <w:szCs w:val="22"/>
          </w:rPr>
          <w:t>https://doi.org/10.29322/IJSRP.8.10.2018.p8258</w:t>
        </w:r>
      </w:hyperlink>
    </w:p>
    <w:p w14:paraId="04400F59" w14:textId="572BCC71" w:rsidR="00E04579" w:rsidRPr="004003A5"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Salandanan</w:t>
      </w:r>
      <w:proofErr w:type="spellEnd"/>
      <w:r w:rsidRPr="004003A5">
        <w:rPr>
          <w:rFonts w:ascii="Arial" w:hAnsi="Arial" w:cs="Arial"/>
          <w:sz w:val="22"/>
          <w:szCs w:val="22"/>
        </w:rPr>
        <w:t>, G. (2001). Teachers’ educational journal (First edition). Katha Publishing Company, Inc.</w:t>
      </w:r>
    </w:p>
    <w:p w14:paraId="6303540E" w14:textId="2EE06D09"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Samuel, M. (2008). Accountability to whom? For what? Teacher identity and the force field model of teacher development. *Perspectives in Education*, *26*(2), 3–16. </w:t>
      </w:r>
      <w:hyperlink r:id="rId90" w:history="1">
        <w:r w:rsidRPr="00C81524">
          <w:rPr>
            <w:rStyle w:val="Hyperlink"/>
            <w:rFonts w:ascii="Arial" w:hAnsi="Arial" w:cs="Arial"/>
            <w:sz w:val="22"/>
            <w:szCs w:val="22"/>
          </w:rPr>
          <w:t>https://hdl.handle.net/10520/EJC87476</w:t>
        </w:r>
      </w:hyperlink>
    </w:p>
    <w:p w14:paraId="2F80CAA7" w14:textId="4B0B2A7F"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Wahlstrom, K. L., Louis, K. S., </w:t>
      </w:r>
      <w:proofErr w:type="spellStart"/>
      <w:r w:rsidRPr="00361C1D">
        <w:rPr>
          <w:rFonts w:ascii="Arial" w:hAnsi="Arial" w:cs="Arial"/>
          <w:sz w:val="22"/>
          <w:szCs w:val="22"/>
        </w:rPr>
        <w:t>Leithwood</w:t>
      </w:r>
      <w:proofErr w:type="spellEnd"/>
      <w:r w:rsidRPr="00361C1D">
        <w:rPr>
          <w:rFonts w:ascii="Arial" w:hAnsi="Arial" w:cs="Arial"/>
          <w:sz w:val="22"/>
          <w:szCs w:val="22"/>
        </w:rPr>
        <w:t xml:space="preserve">, K., &amp; Anderson, S. E. (2010). Learning from Leadership: Investigating the Links to Improved Student Learning. The Wallace Foundation. </w:t>
      </w:r>
      <w:hyperlink r:id="rId91" w:history="1">
        <w:r w:rsidRPr="00C81524">
          <w:rPr>
            <w:rStyle w:val="Hyperlink"/>
            <w:rFonts w:ascii="Arial" w:hAnsi="Arial" w:cs="Arial"/>
            <w:sz w:val="22"/>
            <w:szCs w:val="22"/>
          </w:rPr>
          <w:t>http://www.wallacefoundation.org/KnowledgeCenter/KnowledgeTopics/CurrentAreasofFocus/EducationLeadership/Documents/Learning-from-Leadership-Investigating-Links-Final-Report.pdf</w:t>
        </w:r>
      </w:hyperlink>
    </w:p>
    <w:p w14:paraId="294D819C" w14:textId="6C59A139"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Shamina</w:t>
      </w:r>
      <w:proofErr w:type="spellEnd"/>
      <w:r w:rsidRPr="00361C1D">
        <w:rPr>
          <w:rFonts w:ascii="Arial" w:hAnsi="Arial" w:cs="Arial"/>
          <w:sz w:val="22"/>
          <w:szCs w:val="22"/>
        </w:rPr>
        <w:t xml:space="preserve">, E., &amp; </w:t>
      </w:r>
      <w:proofErr w:type="spellStart"/>
      <w:r w:rsidRPr="00361C1D">
        <w:rPr>
          <w:rFonts w:ascii="Arial" w:hAnsi="Arial" w:cs="Arial"/>
          <w:sz w:val="22"/>
          <w:szCs w:val="22"/>
        </w:rPr>
        <w:t>Mumthas</w:t>
      </w:r>
      <w:proofErr w:type="spellEnd"/>
      <w:r w:rsidRPr="00361C1D">
        <w:rPr>
          <w:rFonts w:ascii="Arial" w:hAnsi="Arial" w:cs="Arial"/>
          <w:sz w:val="22"/>
          <w:szCs w:val="22"/>
        </w:rPr>
        <w:t xml:space="preserve">, N. S. (2018). Classroom Management: Implications for Teacher Preparation </w:t>
      </w:r>
      <w:proofErr w:type="spellStart"/>
      <w:r w:rsidRPr="00361C1D">
        <w:rPr>
          <w:rFonts w:ascii="Arial" w:hAnsi="Arial" w:cs="Arial"/>
          <w:sz w:val="22"/>
          <w:szCs w:val="22"/>
        </w:rPr>
        <w:t>Programmes</w:t>
      </w:r>
      <w:proofErr w:type="spellEnd"/>
      <w:r w:rsidRPr="00361C1D">
        <w:rPr>
          <w:rFonts w:ascii="Arial" w:hAnsi="Arial" w:cs="Arial"/>
          <w:sz w:val="22"/>
          <w:szCs w:val="22"/>
        </w:rPr>
        <w:t xml:space="preserve">. IOSR Journal </w:t>
      </w:r>
      <w:proofErr w:type="gramStart"/>
      <w:r w:rsidRPr="00361C1D">
        <w:rPr>
          <w:rFonts w:ascii="Arial" w:hAnsi="Arial" w:cs="Arial"/>
          <w:sz w:val="22"/>
          <w:szCs w:val="22"/>
        </w:rPr>
        <w:t>Of</w:t>
      </w:r>
      <w:proofErr w:type="gramEnd"/>
      <w:r w:rsidRPr="00361C1D">
        <w:rPr>
          <w:rFonts w:ascii="Arial" w:hAnsi="Arial" w:cs="Arial"/>
          <w:sz w:val="22"/>
          <w:szCs w:val="22"/>
        </w:rPr>
        <w:t xml:space="preserve"> Humanities And Social Science (IOSR-JHSS), 23(1), 41-44. </w:t>
      </w:r>
      <w:hyperlink r:id="rId92" w:history="1">
        <w:r w:rsidRPr="00C81524">
          <w:rPr>
            <w:rStyle w:val="Hyperlink"/>
            <w:rFonts w:ascii="Arial" w:hAnsi="Arial" w:cs="Arial"/>
            <w:sz w:val="22"/>
            <w:szCs w:val="22"/>
          </w:rPr>
          <w:t>https://doi.org/10.9790/0837-2301034144</w:t>
        </w:r>
      </w:hyperlink>
    </w:p>
    <w:p w14:paraId="3050F6AC" w14:textId="06FA4F99"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Smith, R. G. (2007). Developing professional identities and knowledge: Becoming primary teachers. Teachers and Teaching: Theory and Practice, 13(4), 377-397. </w:t>
      </w:r>
      <w:hyperlink r:id="rId93" w:history="1">
        <w:r w:rsidRPr="00C81524">
          <w:rPr>
            <w:rStyle w:val="Hyperlink"/>
            <w:rFonts w:ascii="Arial" w:hAnsi="Arial" w:cs="Arial"/>
            <w:sz w:val="22"/>
            <w:szCs w:val="22"/>
          </w:rPr>
          <w:t>https://doi.org/10.1080/13540600701391937</w:t>
        </w:r>
      </w:hyperlink>
    </w:p>
    <w:p w14:paraId="3CD76455" w14:textId="27029771"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Stanulis</w:t>
      </w:r>
      <w:proofErr w:type="spellEnd"/>
      <w:r w:rsidRPr="00361C1D">
        <w:rPr>
          <w:rFonts w:ascii="Arial" w:hAnsi="Arial" w:cs="Arial"/>
          <w:sz w:val="22"/>
          <w:szCs w:val="22"/>
        </w:rPr>
        <w:t xml:space="preserve">, R. N., &amp; </w:t>
      </w:r>
      <w:proofErr w:type="spellStart"/>
      <w:r w:rsidRPr="00361C1D">
        <w:rPr>
          <w:rFonts w:ascii="Arial" w:hAnsi="Arial" w:cs="Arial"/>
          <w:sz w:val="22"/>
          <w:szCs w:val="22"/>
        </w:rPr>
        <w:t>Floden</w:t>
      </w:r>
      <w:proofErr w:type="spellEnd"/>
      <w:r w:rsidRPr="00361C1D">
        <w:rPr>
          <w:rFonts w:ascii="Arial" w:hAnsi="Arial" w:cs="Arial"/>
          <w:sz w:val="22"/>
          <w:szCs w:val="22"/>
        </w:rPr>
        <w:t xml:space="preserve">, R. E. (2009). Intensive mentoring as a way to help beginning teachers develop balanced instruction. Journal of Teacher Education, 60(2), 112-122. </w:t>
      </w:r>
      <w:hyperlink r:id="rId94" w:history="1">
        <w:r w:rsidRPr="00C81524">
          <w:rPr>
            <w:rStyle w:val="Hyperlink"/>
            <w:rFonts w:ascii="Arial" w:hAnsi="Arial" w:cs="Arial"/>
            <w:sz w:val="22"/>
            <w:szCs w:val="22"/>
          </w:rPr>
          <w:t>https://doi.org/10.1177/0022487108330553</w:t>
        </w:r>
      </w:hyperlink>
    </w:p>
    <w:p w14:paraId="3CD474B6" w14:textId="1FA03C1E"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Stanulis</w:t>
      </w:r>
      <w:proofErr w:type="spellEnd"/>
      <w:r w:rsidRPr="00361C1D">
        <w:rPr>
          <w:rFonts w:ascii="Arial" w:hAnsi="Arial" w:cs="Arial"/>
          <w:sz w:val="22"/>
          <w:szCs w:val="22"/>
        </w:rPr>
        <w:t xml:space="preserve">, R. N., Little, S., &amp; </w:t>
      </w:r>
      <w:proofErr w:type="spellStart"/>
      <w:r w:rsidRPr="00361C1D">
        <w:rPr>
          <w:rFonts w:ascii="Arial" w:hAnsi="Arial" w:cs="Arial"/>
          <w:sz w:val="22"/>
          <w:szCs w:val="22"/>
        </w:rPr>
        <w:t>Wibbens</w:t>
      </w:r>
      <w:proofErr w:type="spellEnd"/>
      <w:r w:rsidRPr="00361C1D">
        <w:rPr>
          <w:rFonts w:ascii="Arial" w:hAnsi="Arial" w:cs="Arial"/>
          <w:sz w:val="22"/>
          <w:szCs w:val="22"/>
        </w:rPr>
        <w:t xml:space="preserve">, E. (2012). Intensive mentoring that contributes to change in beginning elementary teachers' learning to lead classroom discussions. Teaching and Teacher Education, 28(1), 32-43. </w:t>
      </w:r>
      <w:hyperlink r:id="rId95" w:history="1">
        <w:r w:rsidRPr="00C81524">
          <w:rPr>
            <w:rStyle w:val="Hyperlink"/>
            <w:rFonts w:ascii="Arial" w:hAnsi="Arial" w:cs="Arial"/>
            <w:sz w:val="22"/>
            <w:szCs w:val="22"/>
          </w:rPr>
          <w:t>https://doi.org/10.1016/j.tate.2011.08.007</w:t>
        </w:r>
      </w:hyperlink>
    </w:p>
    <w:p w14:paraId="2C764A4E" w14:textId="684B768B"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Steckel, B. (2009). Fulfilling the promise of literacy coaches in urban schools: What does it take to make an impact? The Reading Teacher, 63(1), 14-23. </w:t>
      </w:r>
      <w:hyperlink r:id="rId96" w:history="1">
        <w:r w:rsidRPr="00C81524">
          <w:rPr>
            <w:rStyle w:val="Hyperlink"/>
            <w:rFonts w:ascii="Arial" w:hAnsi="Arial" w:cs="Arial"/>
            <w:sz w:val="22"/>
            <w:szCs w:val="22"/>
          </w:rPr>
          <w:t>https://doi.org/10.1598/RT.63.1.2</w:t>
        </w:r>
      </w:hyperlink>
    </w:p>
    <w:p w14:paraId="5FC9D0E6" w14:textId="5496A301"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Tehseen</w:t>
      </w:r>
      <w:proofErr w:type="spellEnd"/>
      <w:r w:rsidRPr="00361C1D">
        <w:rPr>
          <w:rFonts w:ascii="Arial" w:hAnsi="Arial" w:cs="Arial"/>
          <w:sz w:val="22"/>
          <w:szCs w:val="22"/>
        </w:rPr>
        <w:t xml:space="preserve">, S., &amp; Ul </w:t>
      </w:r>
      <w:proofErr w:type="spellStart"/>
      <w:r w:rsidRPr="00361C1D">
        <w:rPr>
          <w:rFonts w:ascii="Arial" w:hAnsi="Arial" w:cs="Arial"/>
          <w:sz w:val="22"/>
          <w:szCs w:val="22"/>
        </w:rPr>
        <w:t>Hadi</w:t>
      </w:r>
      <w:proofErr w:type="spellEnd"/>
      <w:r w:rsidRPr="00361C1D">
        <w:rPr>
          <w:rFonts w:ascii="Arial" w:hAnsi="Arial" w:cs="Arial"/>
          <w:sz w:val="22"/>
          <w:szCs w:val="22"/>
        </w:rPr>
        <w:t xml:space="preserve">, N. (2015). Factors influencing teachers’ performance and retention. Mediterranean Journal of Social Sciences, 6(1), 233-244. </w:t>
      </w:r>
      <w:hyperlink r:id="rId97" w:history="1">
        <w:r w:rsidRPr="00C81524">
          <w:rPr>
            <w:rStyle w:val="Hyperlink"/>
            <w:rFonts w:ascii="Arial" w:hAnsi="Arial" w:cs="Arial"/>
            <w:sz w:val="22"/>
            <w:szCs w:val="22"/>
          </w:rPr>
          <w:t>https://doi.org/10.5901/mjss.2015.v6n1p233</w:t>
        </w:r>
      </w:hyperlink>
    </w:p>
    <w:p w14:paraId="283C8717" w14:textId="2C40DEB0"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Thomas, L., &amp; Beauchamp, C. (2007). Learning to live well as teachers in a changing world: Insights into developing a professional identity in teacher education. Journal of Educational Thought. </w:t>
      </w:r>
      <w:hyperlink r:id="rId98" w:history="1">
        <w:r w:rsidRPr="00C81524">
          <w:rPr>
            <w:rStyle w:val="Hyperlink"/>
            <w:rFonts w:ascii="Arial" w:hAnsi="Arial" w:cs="Arial"/>
            <w:sz w:val="22"/>
            <w:szCs w:val="22"/>
          </w:rPr>
          <w:t>https://doi.org/10.11575/jet.v41i3.52496</w:t>
        </w:r>
      </w:hyperlink>
    </w:p>
    <w:p w14:paraId="5E6D8A50" w14:textId="4768F285"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Tucker, P. D., &amp; </w:t>
      </w:r>
      <w:proofErr w:type="spellStart"/>
      <w:r w:rsidRPr="00361C1D">
        <w:rPr>
          <w:rFonts w:ascii="Arial" w:hAnsi="Arial" w:cs="Arial"/>
          <w:sz w:val="22"/>
          <w:szCs w:val="22"/>
        </w:rPr>
        <w:t>Stronge</w:t>
      </w:r>
      <w:proofErr w:type="spellEnd"/>
      <w:r w:rsidRPr="00361C1D">
        <w:rPr>
          <w:rFonts w:ascii="Arial" w:hAnsi="Arial" w:cs="Arial"/>
          <w:sz w:val="22"/>
          <w:szCs w:val="22"/>
        </w:rPr>
        <w:t xml:space="preserve">, J. H. (2005). Linking teacher evaluation and student learning. ASCD. </w:t>
      </w:r>
      <w:hyperlink r:id="rId99" w:history="1">
        <w:r w:rsidRPr="00C81524">
          <w:rPr>
            <w:rStyle w:val="Hyperlink"/>
            <w:rFonts w:ascii="Arial" w:hAnsi="Arial" w:cs="Arial"/>
            <w:sz w:val="22"/>
            <w:szCs w:val="22"/>
          </w:rPr>
          <w:t>https://www.ascd.org/books/linking-teacher-evaluation-and-student-learning</w:t>
        </w:r>
      </w:hyperlink>
    </w:p>
    <w:p w14:paraId="1DCB89B2" w14:textId="55F2B24A"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Vaillant, D. (2007). Do initial and continuing professional development sufficiently prepare teachers to understand and cope with the complexities of today and tomorrow's education? Journal of Educational Change, 8(2), 175–179. </w:t>
      </w:r>
      <w:hyperlink r:id="rId100" w:history="1">
        <w:r w:rsidRPr="00C81524">
          <w:rPr>
            <w:rStyle w:val="Hyperlink"/>
            <w:rFonts w:ascii="Arial" w:hAnsi="Arial" w:cs="Arial"/>
            <w:sz w:val="22"/>
            <w:szCs w:val="22"/>
          </w:rPr>
          <w:t>https://doi.org/10.1007/s10833-007-9028-8</w:t>
        </w:r>
      </w:hyperlink>
    </w:p>
    <w:p w14:paraId="72B10ABE" w14:textId="62A53DBE"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lastRenderedPageBreak/>
        <w:t xml:space="preserve">Van den Bergh, L., Ros, A., &amp; </w:t>
      </w:r>
      <w:proofErr w:type="spellStart"/>
      <w:r w:rsidRPr="00361C1D">
        <w:rPr>
          <w:rFonts w:ascii="Arial" w:hAnsi="Arial" w:cs="Arial"/>
          <w:sz w:val="22"/>
          <w:szCs w:val="22"/>
        </w:rPr>
        <w:t>Beijaard</w:t>
      </w:r>
      <w:proofErr w:type="spellEnd"/>
      <w:r w:rsidRPr="00361C1D">
        <w:rPr>
          <w:rFonts w:ascii="Arial" w:hAnsi="Arial" w:cs="Arial"/>
          <w:sz w:val="22"/>
          <w:szCs w:val="22"/>
        </w:rPr>
        <w:t xml:space="preserve">, D. (2014). Improving teacher feedback during active learning: Effects of a professional development program. American Educational Research Journal, 51(4), 772-809. </w:t>
      </w:r>
      <w:hyperlink r:id="rId101" w:history="1">
        <w:r w:rsidRPr="00C81524">
          <w:rPr>
            <w:rStyle w:val="Hyperlink"/>
            <w:rFonts w:ascii="Arial" w:hAnsi="Arial" w:cs="Arial"/>
            <w:sz w:val="22"/>
            <w:szCs w:val="22"/>
          </w:rPr>
          <w:t>https://doi.org/10.3102/0002831214531322</w:t>
        </w:r>
      </w:hyperlink>
    </w:p>
    <w:p w14:paraId="4969A40A" w14:textId="00440510"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Walkington</w:t>
      </w:r>
      <w:proofErr w:type="spellEnd"/>
      <w:r w:rsidRPr="00361C1D">
        <w:rPr>
          <w:rFonts w:ascii="Arial" w:hAnsi="Arial" w:cs="Arial"/>
          <w:sz w:val="22"/>
          <w:szCs w:val="22"/>
        </w:rPr>
        <w:t xml:space="preserve">, J. (2005). Becoming a teacher: encouraging development of teacher identity through reflective practice. Asia-Pacific Journal of Teacher Education, 33(1), 53-64. </w:t>
      </w:r>
      <w:hyperlink r:id="rId102" w:history="1">
        <w:r w:rsidRPr="00C81524">
          <w:rPr>
            <w:rStyle w:val="Hyperlink"/>
            <w:rFonts w:ascii="Arial" w:hAnsi="Arial" w:cs="Arial"/>
            <w:sz w:val="22"/>
            <w:szCs w:val="22"/>
          </w:rPr>
          <w:t>https://doi.org/10.1080/1359866052000341124</w:t>
        </w:r>
      </w:hyperlink>
    </w:p>
    <w:p w14:paraId="0AADEA45" w14:textId="078E0465"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Wang, W. (2007). Evaluation of 2 + 2 alternative teacher performance appraisal </w:t>
      </w:r>
      <w:proofErr w:type="gramStart"/>
      <w:r w:rsidRPr="00361C1D">
        <w:rPr>
          <w:rFonts w:ascii="Arial" w:hAnsi="Arial" w:cs="Arial"/>
          <w:sz w:val="22"/>
          <w:szCs w:val="22"/>
        </w:rPr>
        <w:t>program</w:t>
      </w:r>
      <w:proofErr w:type="gramEnd"/>
      <w:r w:rsidRPr="00361C1D">
        <w:rPr>
          <w:rFonts w:ascii="Arial" w:hAnsi="Arial" w:cs="Arial"/>
          <w:sz w:val="22"/>
          <w:szCs w:val="22"/>
        </w:rPr>
        <w:t xml:space="preserve"> in Shanxi, People’s Republic of China. Teaching and Teacher Education, 23, 1012-1023. </w:t>
      </w:r>
      <w:hyperlink r:id="rId103" w:history="1">
        <w:r w:rsidRPr="00C81524">
          <w:rPr>
            <w:rStyle w:val="Hyperlink"/>
            <w:rFonts w:ascii="Arial" w:hAnsi="Arial" w:cs="Arial"/>
            <w:sz w:val="22"/>
            <w:szCs w:val="22"/>
          </w:rPr>
          <w:t>https://doi.org/10.1016/j.tate.2006.05.005</w:t>
        </w:r>
      </w:hyperlink>
    </w:p>
    <w:p w14:paraId="3D6E75E3" w14:textId="143E1652"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Webster-Wright, A. (2009). Reframing professional development through understanding authentic professional learning. Review of Educational Research, 79(2), 702-739. </w:t>
      </w:r>
      <w:hyperlink r:id="rId104" w:history="1">
        <w:r w:rsidRPr="00C81524">
          <w:rPr>
            <w:rStyle w:val="Hyperlink"/>
            <w:rFonts w:ascii="Arial" w:hAnsi="Arial" w:cs="Arial"/>
            <w:sz w:val="22"/>
            <w:szCs w:val="22"/>
          </w:rPr>
          <w:t>https://doi.org/10.3102/0034654308330970</w:t>
        </w:r>
      </w:hyperlink>
    </w:p>
    <w:p w14:paraId="1C32BA03" w14:textId="33486460" w:rsidR="00361C1D" w:rsidRDefault="00361C1D" w:rsidP="004003A5">
      <w:pPr>
        <w:pStyle w:val="ListParagraph"/>
        <w:numPr>
          <w:ilvl w:val="0"/>
          <w:numId w:val="18"/>
        </w:numPr>
        <w:rPr>
          <w:rFonts w:ascii="Arial" w:hAnsi="Arial" w:cs="Arial"/>
          <w:sz w:val="22"/>
          <w:szCs w:val="22"/>
        </w:rPr>
      </w:pPr>
      <w:proofErr w:type="spellStart"/>
      <w:r w:rsidRPr="00361C1D">
        <w:rPr>
          <w:rFonts w:ascii="Arial" w:hAnsi="Arial" w:cs="Arial"/>
          <w:sz w:val="22"/>
          <w:szCs w:val="22"/>
        </w:rPr>
        <w:t>Wesch</w:t>
      </w:r>
      <w:proofErr w:type="spellEnd"/>
      <w:r w:rsidRPr="00361C1D">
        <w:rPr>
          <w:rFonts w:ascii="Arial" w:hAnsi="Arial" w:cs="Arial"/>
          <w:sz w:val="22"/>
          <w:szCs w:val="22"/>
        </w:rPr>
        <w:t xml:space="preserve">, M. (2008). An anthropological introduction to YouTube. </w:t>
      </w:r>
      <w:hyperlink r:id="rId105" w:history="1">
        <w:r w:rsidRPr="00C81524">
          <w:rPr>
            <w:rStyle w:val="Hyperlink"/>
            <w:rFonts w:ascii="Arial" w:hAnsi="Arial" w:cs="Arial"/>
            <w:sz w:val="22"/>
            <w:szCs w:val="22"/>
          </w:rPr>
          <w:t>http://www.youtube.com/watch?v=TPAO-lZ4_hU&amp;feature=search</w:t>
        </w:r>
      </w:hyperlink>
    </w:p>
    <w:p w14:paraId="73C0C2D9" w14:textId="45C62986"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Wirth, K. R., &amp; Perkins, D. (2013). Learning to learn. </w:t>
      </w:r>
      <w:hyperlink r:id="rId106" w:history="1">
        <w:r w:rsidRPr="00C81524">
          <w:rPr>
            <w:rStyle w:val="Hyperlink"/>
            <w:rFonts w:ascii="Arial" w:hAnsi="Arial" w:cs="Arial"/>
            <w:sz w:val="22"/>
            <w:szCs w:val="22"/>
          </w:rPr>
          <w:t>https://www.macalester.edu/academics/geology/wirth/learning.doc</w:t>
        </w:r>
      </w:hyperlink>
    </w:p>
    <w:p w14:paraId="3B86C314" w14:textId="3CA2A8B0" w:rsidR="00361C1D" w:rsidRDefault="00361C1D" w:rsidP="004003A5">
      <w:pPr>
        <w:pStyle w:val="ListParagraph"/>
        <w:numPr>
          <w:ilvl w:val="0"/>
          <w:numId w:val="18"/>
        </w:numPr>
        <w:rPr>
          <w:rFonts w:ascii="Arial" w:hAnsi="Arial" w:cs="Arial"/>
          <w:sz w:val="22"/>
          <w:szCs w:val="22"/>
        </w:rPr>
      </w:pPr>
      <w:r w:rsidRPr="00361C1D">
        <w:rPr>
          <w:rFonts w:ascii="Arial" w:hAnsi="Arial" w:cs="Arial"/>
          <w:sz w:val="22"/>
          <w:szCs w:val="22"/>
        </w:rPr>
        <w:t xml:space="preserve">Wittrock, M. C. (2010). Learning as a generative process. Educational Psychologist, 45(1), 40–45. </w:t>
      </w:r>
      <w:hyperlink r:id="rId107" w:history="1">
        <w:r w:rsidRPr="00C81524">
          <w:rPr>
            <w:rStyle w:val="Hyperlink"/>
            <w:rFonts w:ascii="Arial" w:hAnsi="Arial" w:cs="Arial"/>
            <w:sz w:val="22"/>
            <w:szCs w:val="22"/>
          </w:rPr>
          <w:t>https://doi.org/10.1080/00461520903433554</w:t>
        </w:r>
      </w:hyperlink>
    </w:p>
    <w:p w14:paraId="496AAC6E" w14:textId="0CA05E45" w:rsidR="005471EF" w:rsidRDefault="005471EF" w:rsidP="004003A5">
      <w:pPr>
        <w:pStyle w:val="ListParagraph"/>
        <w:numPr>
          <w:ilvl w:val="0"/>
          <w:numId w:val="18"/>
        </w:numPr>
        <w:rPr>
          <w:rFonts w:ascii="Arial" w:hAnsi="Arial" w:cs="Arial"/>
          <w:sz w:val="22"/>
          <w:szCs w:val="22"/>
        </w:rPr>
      </w:pPr>
      <w:r w:rsidRPr="005471EF">
        <w:rPr>
          <w:rFonts w:ascii="Arial" w:hAnsi="Arial" w:cs="Arial"/>
          <w:sz w:val="22"/>
          <w:szCs w:val="22"/>
        </w:rPr>
        <w:t xml:space="preserve">Yariv, E. (2011). Deterioration in Teachers' Performance: Causes and Some Remedies. World Journal of Education, 1(1), 81-91. </w:t>
      </w:r>
      <w:hyperlink r:id="rId108" w:history="1">
        <w:r w:rsidRPr="00C81524">
          <w:rPr>
            <w:rStyle w:val="Hyperlink"/>
            <w:rFonts w:ascii="Arial" w:hAnsi="Arial" w:cs="Arial"/>
            <w:sz w:val="22"/>
            <w:szCs w:val="22"/>
          </w:rPr>
          <w:t>https://doi.org/10.5430/wje.v1n1p81</w:t>
        </w:r>
      </w:hyperlink>
    </w:p>
    <w:p w14:paraId="2BE4B8DA" w14:textId="7FC46167" w:rsidR="00E04579" w:rsidRDefault="006C3E85" w:rsidP="004003A5">
      <w:pPr>
        <w:pStyle w:val="ListParagraph"/>
        <w:numPr>
          <w:ilvl w:val="0"/>
          <w:numId w:val="18"/>
        </w:numPr>
        <w:rPr>
          <w:rFonts w:ascii="Arial" w:hAnsi="Arial" w:cs="Arial"/>
          <w:sz w:val="22"/>
          <w:szCs w:val="22"/>
        </w:rPr>
      </w:pPr>
      <w:proofErr w:type="spellStart"/>
      <w:r w:rsidRPr="004003A5">
        <w:rPr>
          <w:rFonts w:ascii="Arial" w:hAnsi="Arial" w:cs="Arial"/>
          <w:sz w:val="22"/>
          <w:szCs w:val="22"/>
        </w:rPr>
        <w:t>Таubayeva</w:t>
      </w:r>
      <w:proofErr w:type="spellEnd"/>
      <w:r w:rsidRPr="004003A5">
        <w:rPr>
          <w:rFonts w:ascii="Arial" w:hAnsi="Arial" w:cs="Arial"/>
          <w:sz w:val="22"/>
          <w:szCs w:val="22"/>
        </w:rPr>
        <w:t xml:space="preserve">, Sh. T., &amp; </w:t>
      </w:r>
      <w:proofErr w:type="spellStart"/>
      <w:r w:rsidRPr="004003A5">
        <w:rPr>
          <w:rFonts w:ascii="Arial" w:hAnsi="Arial" w:cs="Arial"/>
          <w:sz w:val="22"/>
          <w:szCs w:val="22"/>
        </w:rPr>
        <w:t>Laktionova</w:t>
      </w:r>
      <w:proofErr w:type="spellEnd"/>
      <w:r w:rsidRPr="004003A5">
        <w:rPr>
          <w:rFonts w:ascii="Arial" w:hAnsi="Arial" w:cs="Arial"/>
          <w:sz w:val="22"/>
          <w:szCs w:val="22"/>
        </w:rPr>
        <w:t xml:space="preserve"> SN. (2001). Pedagogical Innovation as a Theory and Practice of Innovations in the Education System. </w:t>
      </w:r>
      <w:proofErr w:type="spellStart"/>
      <w:r w:rsidRPr="004003A5">
        <w:rPr>
          <w:rFonts w:ascii="Arial" w:hAnsi="Arial" w:cs="Arial"/>
          <w:sz w:val="22"/>
          <w:szCs w:val="22"/>
        </w:rPr>
        <w:t>Алматy</w:t>
      </w:r>
      <w:proofErr w:type="spellEnd"/>
      <w:r w:rsidRPr="004003A5">
        <w:rPr>
          <w:rFonts w:ascii="Arial" w:hAnsi="Arial" w:cs="Arial"/>
          <w:sz w:val="22"/>
          <w:szCs w:val="22"/>
        </w:rPr>
        <w:t xml:space="preserve">: </w:t>
      </w:r>
      <w:proofErr w:type="spellStart"/>
      <w:r w:rsidRPr="004003A5">
        <w:rPr>
          <w:rFonts w:ascii="Arial" w:hAnsi="Arial" w:cs="Arial"/>
          <w:sz w:val="22"/>
          <w:szCs w:val="22"/>
        </w:rPr>
        <w:t>Gylym</w:t>
      </w:r>
      <w:proofErr w:type="spellEnd"/>
      <w:r w:rsidRPr="004003A5">
        <w:rPr>
          <w:rFonts w:ascii="Arial" w:hAnsi="Arial" w:cs="Arial"/>
          <w:sz w:val="22"/>
          <w:szCs w:val="22"/>
        </w:rPr>
        <w:t>, 296.</w:t>
      </w:r>
    </w:p>
    <w:p w14:paraId="2BD9AA39" w14:textId="345D904D" w:rsidR="00B43EAE" w:rsidRDefault="00B43EAE" w:rsidP="004003A5">
      <w:pPr>
        <w:pStyle w:val="ListParagraph"/>
        <w:numPr>
          <w:ilvl w:val="0"/>
          <w:numId w:val="18"/>
        </w:numPr>
        <w:rPr>
          <w:rFonts w:ascii="Arial" w:hAnsi="Arial" w:cs="Arial"/>
          <w:sz w:val="22"/>
          <w:szCs w:val="22"/>
        </w:rPr>
      </w:pPr>
      <w:r w:rsidRPr="00B43EAE">
        <w:rPr>
          <w:rFonts w:ascii="Arial" w:hAnsi="Arial" w:cs="Arial"/>
          <w:sz w:val="22"/>
          <w:szCs w:val="22"/>
        </w:rPr>
        <w:t>Ball, A., Joyce, H. D., &amp; Anderson-Butcher, D. (2016). Exploring 21st century skills and learning environments for middle school youth. International Journal of School Social Work, 1(1), 1.</w:t>
      </w:r>
    </w:p>
    <w:p w14:paraId="7617BDDB" w14:textId="17FD4FE9" w:rsidR="004356C8" w:rsidRPr="004003A5" w:rsidRDefault="004356C8" w:rsidP="006144D2">
      <w:pPr>
        <w:pStyle w:val="ListParagraph"/>
        <w:rPr>
          <w:rFonts w:ascii="Arial" w:hAnsi="Arial" w:cs="Arial"/>
          <w:sz w:val="22"/>
          <w:szCs w:val="22"/>
        </w:rPr>
      </w:pPr>
    </w:p>
    <w:sectPr w:rsidR="004356C8" w:rsidRPr="004003A5">
      <w:headerReference w:type="even" r:id="rId109"/>
      <w:headerReference w:type="default" r:id="rId110"/>
      <w:footerReference w:type="even" r:id="rId111"/>
      <w:footerReference w:type="default" r:id="rId112"/>
      <w:headerReference w:type="first" r:id="rId113"/>
      <w:footerReference w:type="first" r:id="rId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A56E2" w14:textId="77777777" w:rsidR="00983226" w:rsidRDefault="00983226" w:rsidP="00010905">
      <w:pPr>
        <w:spacing w:after="0" w:line="240" w:lineRule="auto"/>
      </w:pPr>
      <w:r>
        <w:separator/>
      </w:r>
    </w:p>
  </w:endnote>
  <w:endnote w:type="continuationSeparator" w:id="0">
    <w:p w14:paraId="6AE6D777" w14:textId="77777777" w:rsidR="00983226" w:rsidRDefault="00983226" w:rsidP="0001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EC2C2" w14:textId="77777777" w:rsidR="004356C8" w:rsidRDefault="0043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70E2" w14:textId="77777777" w:rsidR="004356C8" w:rsidRDefault="0043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A51D" w14:textId="77777777" w:rsidR="004356C8" w:rsidRDefault="0043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6148" w14:textId="77777777" w:rsidR="00983226" w:rsidRDefault="00983226" w:rsidP="00010905">
      <w:pPr>
        <w:spacing w:after="0" w:line="240" w:lineRule="auto"/>
      </w:pPr>
      <w:r>
        <w:separator/>
      </w:r>
    </w:p>
  </w:footnote>
  <w:footnote w:type="continuationSeparator" w:id="0">
    <w:p w14:paraId="2C9B1236" w14:textId="77777777" w:rsidR="00983226" w:rsidRDefault="00983226" w:rsidP="0001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5D93" w14:textId="7EA099ED" w:rsidR="004356C8" w:rsidRDefault="004356C8">
    <w:pPr>
      <w:pStyle w:val="Header"/>
    </w:pPr>
    <w:r>
      <w:rPr>
        <w:noProof/>
      </w:rPr>
      <w:pict w14:anchorId="6D054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D8EA" w14:textId="417E293E" w:rsidR="004356C8" w:rsidRDefault="004356C8">
    <w:pPr>
      <w:pStyle w:val="Header"/>
    </w:pPr>
    <w:r>
      <w:rPr>
        <w:noProof/>
      </w:rPr>
      <w:pict w14:anchorId="35741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9B67" w14:textId="74429447" w:rsidR="004356C8" w:rsidRDefault="004356C8">
    <w:pPr>
      <w:pStyle w:val="Header"/>
    </w:pPr>
    <w:r>
      <w:rPr>
        <w:noProof/>
      </w:rPr>
      <w:pict w14:anchorId="50E17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5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319B6"/>
    <w:multiLevelType w:val="hybridMultilevel"/>
    <w:tmpl w:val="EAF07D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E0A578D"/>
    <w:multiLevelType w:val="hybridMultilevel"/>
    <w:tmpl w:val="58485B9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E366779"/>
    <w:multiLevelType w:val="hybridMultilevel"/>
    <w:tmpl w:val="CD9E9E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4"/>
  </w:num>
  <w:num w:numId="14">
    <w:abstractNumId w:val="13"/>
  </w:num>
  <w:num w:numId="15">
    <w:abstractNumId w:val="18"/>
  </w:num>
  <w:num w:numId="16">
    <w:abstractNumId w:val="12"/>
  </w:num>
  <w:num w:numId="17">
    <w:abstractNumId w:val="10"/>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0905"/>
    <w:rsid w:val="000740BE"/>
    <w:rsid w:val="000808C2"/>
    <w:rsid w:val="000A1AA8"/>
    <w:rsid w:val="000A6488"/>
    <w:rsid w:val="000B513B"/>
    <w:rsid w:val="000C086F"/>
    <w:rsid w:val="00152C20"/>
    <w:rsid w:val="001776DD"/>
    <w:rsid w:val="00187BE8"/>
    <w:rsid w:val="001B1F82"/>
    <w:rsid w:val="001F40EA"/>
    <w:rsid w:val="00207F29"/>
    <w:rsid w:val="00237B43"/>
    <w:rsid w:val="00274949"/>
    <w:rsid w:val="00295CB3"/>
    <w:rsid w:val="002E51AB"/>
    <w:rsid w:val="00306C81"/>
    <w:rsid w:val="00312914"/>
    <w:rsid w:val="00324B44"/>
    <w:rsid w:val="00361C1D"/>
    <w:rsid w:val="0036562D"/>
    <w:rsid w:val="00372CB6"/>
    <w:rsid w:val="00375512"/>
    <w:rsid w:val="00387183"/>
    <w:rsid w:val="003A12DE"/>
    <w:rsid w:val="004003A5"/>
    <w:rsid w:val="004356C8"/>
    <w:rsid w:val="0044055D"/>
    <w:rsid w:val="00452FC6"/>
    <w:rsid w:val="00457D48"/>
    <w:rsid w:val="00461D99"/>
    <w:rsid w:val="004976E0"/>
    <w:rsid w:val="004E7F94"/>
    <w:rsid w:val="005471EF"/>
    <w:rsid w:val="00554C7F"/>
    <w:rsid w:val="00557114"/>
    <w:rsid w:val="0057109F"/>
    <w:rsid w:val="005A534A"/>
    <w:rsid w:val="005F4021"/>
    <w:rsid w:val="006144D2"/>
    <w:rsid w:val="00652601"/>
    <w:rsid w:val="006A7C38"/>
    <w:rsid w:val="006C3E85"/>
    <w:rsid w:val="007171F9"/>
    <w:rsid w:val="0074472D"/>
    <w:rsid w:val="00774D51"/>
    <w:rsid w:val="008211F9"/>
    <w:rsid w:val="00827C87"/>
    <w:rsid w:val="00834973"/>
    <w:rsid w:val="00874EF0"/>
    <w:rsid w:val="008C54FE"/>
    <w:rsid w:val="008E14A0"/>
    <w:rsid w:val="0095031B"/>
    <w:rsid w:val="00983226"/>
    <w:rsid w:val="00A20880"/>
    <w:rsid w:val="00A352C8"/>
    <w:rsid w:val="00AA5F5D"/>
    <w:rsid w:val="00AC67AB"/>
    <w:rsid w:val="00AE1E17"/>
    <w:rsid w:val="00AE5D5E"/>
    <w:rsid w:val="00B233C9"/>
    <w:rsid w:val="00B41C2B"/>
    <w:rsid w:val="00B43EAE"/>
    <w:rsid w:val="00BA2920"/>
    <w:rsid w:val="00BB197B"/>
    <w:rsid w:val="00C26D93"/>
    <w:rsid w:val="00C27141"/>
    <w:rsid w:val="00C626A3"/>
    <w:rsid w:val="00C82614"/>
    <w:rsid w:val="00CC4851"/>
    <w:rsid w:val="00D04F39"/>
    <w:rsid w:val="00D32292"/>
    <w:rsid w:val="00D75435"/>
    <w:rsid w:val="00DA36EB"/>
    <w:rsid w:val="00DA6C12"/>
    <w:rsid w:val="00DE5146"/>
    <w:rsid w:val="00DF2FBF"/>
    <w:rsid w:val="00E04579"/>
    <w:rsid w:val="00E56CB6"/>
    <w:rsid w:val="00E800EC"/>
    <w:rsid w:val="00E827B7"/>
    <w:rsid w:val="00F506A7"/>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A63C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0808C2"/>
    <w:rPr>
      <w:color w:val="467886" w:themeColor="hyperlink"/>
      <w:u w:val="single"/>
    </w:rPr>
  </w:style>
  <w:style w:type="character" w:styleId="UnresolvedMention">
    <w:name w:val="Unresolved Mention"/>
    <w:basedOn w:val="DefaultParagraphFont"/>
    <w:uiPriority w:val="99"/>
    <w:semiHidden/>
    <w:unhideWhenUsed/>
    <w:rsid w:val="000808C2"/>
    <w:rPr>
      <w:color w:val="605E5C"/>
      <w:shd w:val="clear" w:color="auto" w:fill="E1DFDD"/>
    </w:rPr>
  </w:style>
  <w:style w:type="paragraph" w:customStyle="1" w:styleId="Affiliation">
    <w:name w:val="Affiliation"/>
    <w:basedOn w:val="Normal"/>
    <w:rsid w:val="00010905"/>
    <w:pPr>
      <w:spacing w:after="240" w:line="240" w:lineRule="exact"/>
      <w:jc w:val="right"/>
    </w:pPr>
    <w:rPr>
      <w:rFonts w:ascii="Helvetica" w:eastAsia="Times New Roman" w:hAnsi="Helvetica" w:cs="Times New Roman"/>
      <w:kern w:val="0"/>
      <w:sz w:val="20"/>
      <w:szCs w:val="20"/>
      <w:lang w:eastAsia="en-US"/>
      <w14:ligatures w14:val="none"/>
    </w:rPr>
  </w:style>
  <w:style w:type="paragraph" w:customStyle="1" w:styleId="Body">
    <w:name w:val="Body"/>
    <w:basedOn w:val="Normal"/>
    <w:rsid w:val="00010905"/>
    <w:pPr>
      <w:spacing w:after="240" w:line="240" w:lineRule="auto"/>
      <w:jc w:val="both"/>
    </w:pPr>
    <w:rPr>
      <w:rFonts w:ascii="Helvetica" w:eastAsia="Times New Roman" w:hAnsi="Helvetica"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5333">
      <w:bodyDiv w:val="1"/>
      <w:marLeft w:val="0"/>
      <w:marRight w:val="0"/>
      <w:marTop w:val="0"/>
      <w:marBottom w:val="0"/>
      <w:divBdr>
        <w:top w:val="none" w:sz="0" w:space="0" w:color="auto"/>
        <w:left w:val="none" w:sz="0" w:space="0" w:color="auto"/>
        <w:bottom w:val="none" w:sz="0" w:space="0" w:color="auto"/>
        <w:right w:val="none" w:sz="0" w:space="0" w:color="auto"/>
      </w:divBdr>
      <w:divsChild>
        <w:div w:id="1300067640">
          <w:marLeft w:val="0"/>
          <w:marRight w:val="0"/>
          <w:marTop w:val="0"/>
          <w:marBottom w:val="0"/>
          <w:divBdr>
            <w:top w:val="none" w:sz="0" w:space="0" w:color="auto"/>
            <w:left w:val="none" w:sz="0" w:space="0" w:color="auto"/>
            <w:bottom w:val="none" w:sz="0" w:space="0" w:color="auto"/>
            <w:right w:val="none" w:sz="0" w:space="0" w:color="auto"/>
          </w:divBdr>
        </w:div>
      </w:divsChild>
    </w:div>
    <w:div w:id="258149050">
      <w:bodyDiv w:val="1"/>
      <w:marLeft w:val="0"/>
      <w:marRight w:val="0"/>
      <w:marTop w:val="0"/>
      <w:marBottom w:val="0"/>
      <w:divBdr>
        <w:top w:val="none" w:sz="0" w:space="0" w:color="auto"/>
        <w:left w:val="none" w:sz="0" w:space="0" w:color="auto"/>
        <w:bottom w:val="none" w:sz="0" w:space="0" w:color="auto"/>
        <w:right w:val="none" w:sz="0" w:space="0" w:color="auto"/>
      </w:divBdr>
      <w:divsChild>
        <w:div w:id="33311860">
          <w:marLeft w:val="0"/>
          <w:marRight w:val="0"/>
          <w:marTop w:val="0"/>
          <w:marBottom w:val="0"/>
          <w:divBdr>
            <w:top w:val="none" w:sz="0" w:space="0" w:color="auto"/>
            <w:left w:val="none" w:sz="0" w:space="0" w:color="auto"/>
            <w:bottom w:val="none" w:sz="0" w:space="0" w:color="auto"/>
            <w:right w:val="none" w:sz="0" w:space="0" w:color="auto"/>
          </w:divBdr>
        </w:div>
      </w:divsChild>
    </w:div>
    <w:div w:id="271938295">
      <w:bodyDiv w:val="1"/>
      <w:marLeft w:val="0"/>
      <w:marRight w:val="0"/>
      <w:marTop w:val="0"/>
      <w:marBottom w:val="0"/>
      <w:divBdr>
        <w:top w:val="none" w:sz="0" w:space="0" w:color="auto"/>
        <w:left w:val="none" w:sz="0" w:space="0" w:color="auto"/>
        <w:bottom w:val="none" w:sz="0" w:space="0" w:color="auto"/>
        <w:right w:val="none" w:sz="0" w:space="0" w:color="auto"/>
      </w:divBdr>
      <w:divsChild>
        <w:div w:id="930813637">
          <w:marLeft w:val="0"/>
          <w:marRight w:val="0"/>
          <w:marTop w:val="0"/>
          <w:marBottom w:val="0"/>
          <w:divBdr>
            <w:top w:val="none" w:sz="0" w:space="0" w:color="auto"/>
            <w:left w:val="none" w:sz="0" w:space="0" w:color="auto"/>
            <w:bottom w:val="none" w:sz="0" w:space="0" w:color="auto"/>
            <w:right w:val="none" w:sz="0" w:space="0" w:color="auto"/>
          </w:divBdr>
        </w:div>
      </w:divsChild>
    </w:div>
    <w:div w:id="459110521">
      <w:bodyDiv w:val="1"/>
      <w:marLeft w:val="0"/>
      <w:marRight w:val="0"/>
      <w:marTop w:val="0"/>
      <w:marBottom w:val="0"/>
      <w:divBdr>
        <w:top w:val="none" w:sz="0" w:space="0" w:color="auto"/>
        <w:left w:val="none" w:sz="0" w:space="0" w:color="auto"/>
        <w:bottom w:val="none" w:sz="0" w:space="0" w:color="auto"/>
        <w:right w:val="none" w:sz="0" w:space="0" w:color="auto"/>
      </w:divBdr>
      <w:divsChild>
        <w:div w:id="344946166">
          <w:marLeft w:val="0"/>
          <w:marRight w:val="0"/>
          <w:marTop w:val="0"/>
          <w:marBottom w:val="0"/>
          <w:divBdr>
            <w:top w:val="none" w:sz="0" w:space="0" w:color="auto"/>
            <w:left w:val="none" w:sz="0" w:space="0" w:color="auto"/>
            <w:bottom w:val="none" w:sz="0" w:space="0" w:color="auto"/>
            <w:right w:val="none" w:sz="0" w:space="0" w:color="auto"/>
          </w:divBdr>
        </w:div>
      </w:divsChild>
    </w:div>
    <w:div w:id="1144084622">
      <w:bodyDiv w:val="1"/>
      <w:marLeft w:val="0"/>
      <w:marRight w:val="0"/>
      <w:marTop w:val="0"/>
      <w:marBottom w:val="0"/>
      <w:divBdr>
        <w:top w:val="none" w:sz="0" w:space="0" w:color="auto"/>
        <w:left w:val="none" w:sz="0" w:space="0" w:color="auto"/>
        <w:bottom w:val="none" w:sz="0" w:space="0" w:color="auto"/>
        <w:right w:val="none" w:sz="0" w:space="0" w:color="auto"/>
      </w:divBdr>
      <w:divsChild>
        <w:div w:id="1453137323">
          <w:marLeft w:val="0"/>
          <w:marRight w:val="0"/>
          <w:marTop w:val="0"/>
          <w:marBottom w:val="0"/>
          <w:divBdr>
            <w:top w:val="none" w:sz="0" w:space="0" w:color="auto"/>
            <w:left w:val="none" w:sz="0" w:space="0" w:color="auto"/>
            <w:bottom w:val="none" w:sz="0" w:space="0" w:color="auto"/>
            <w:right w:val="none" w:sz="0" w:space="0" w:color="auto"/>
          </w:divBdr>
        </w:div>
      </w:divsChild>
    </w:div>
    <w:div w:id="1787459059">
      <w:bodyDiv w:val="1"/>
      <w:marLeft w:val="0"/>
      <w:marRight w:val="0"/>
      <w:marTop w:val="0"/>
      <w:marBottom w:val="0"/>
      <w:divBdr>
        <w:top w:val="none" w:sz="0" w:space="0" w:color="auto"/>
        <w:left w:val="none" w:sz="0" w:space="0" w:color="auto"/>
        <w:bottom w:val="none" w:sz="0" w:space="0" w:color="auto"/>
        <w:right w:val="none" w:sz="0" w:space="0" w:color="auto"/>
      </w:divBdr>
      <w:divsChild>
        <w:div w:id="1763911795">
          <w:marLeft w:val="0"/>
          <w:marRight w:val="0"/>
          <w:marTop w:val="0"/>
          <w:marBottom w:val="0"/>
          <w:divBdr>
            <w:top w:val="none" w:sz="0" w:space="0" w:color="auto"/>
            <w:left w:val="none" w:sz="0" w:space="0" w:color="auto"/>
            <w:bottom w:val="none" w:sz="0" w:space="0" w:color="auto"/>
            <w:right w:val="none" w:sz="0" w:space="0" w:color="auto"/>
          </w:divBdr>
        </w:div>
      </w:divsChild>
    </w:div>
    <w:div w:id="2094693456">
      <w:bodyDiv w:val="1"/>
      <w:marLeft w:val="0"/>
      <w:marRight w:val="0"/>
      <w:marTop w:val="0"/>
      <w:marBottom w:val="0"/>
      <w:divBdr>
        <w:top w:val="none" w:sz="0" w:space="0" w:color="auto"/>
        <w:left w:val="none" w:sz="0" w:space="0" w:color="auto"/>
        <w:bottom w:val="none" w:sz="0" w:space="0" w:color="auto"/>
        <w:right w:val="none" w:sz="0" w:space="0" w:color="auto"/>
      </w:divBdr>
      <w:divsChild>
        <w:div w:id="1684044929">
          <w:marLeft w:val="0"/>
          <w:marRight w:val="0"/>
          <w:marTop w:val="0"/>
          <w:marBottom w:val="0"/>
          <w:divBdr>
            <w:top w:val="none" w:sz="0" w:space="0" w:color="auto"/>
            <w:left w:val="none" w:sz="0" w:space="0" w:color="auto"/>
            <w:bottom w:val="none" w:sz="0" w:space="0" w:color="auto"/>
            <w:right w:val="none" w:sz="0" w:space="0" w:color="auto"/>
          </w:divBdr>
        </w:div>
      </w:divsChild>
    </w:div>
    <w:div w:id="2112429758">
      <w:bodyDiv w:val="1"/>
      <w:marLeft w:val="0"/>
      <w:marRight w:val="0"/>
      <w:marTop w:val="0"/>
      <w:marBottom w:val="0"/>
      <w:divBdr>
        <w:top w:val="none" w:sz="0" w:space="0" w:color="auto"/>
        <w:left w:val="none" w:sz="0" w:space="0" w:color="auto"/>
        <w:bottom w:val="none" w:sz="0" w:space="0" w:color="auto"/>
        <w:right w:val="none" w:sz="0" w:space="0" w:color="auto"/>
      </w:divBdr>
      <w:divsChild>
        <w:div w:id="58229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422-010-9282-6" TargetMode="External"/><Relationship Id="rId21" Type="http://schemas.openxmlformats.org/officeDocument/2006/relationships/hyperlink" Target="https://doi.org/10.1007/978-1-4020-4989-7_7" TargetMode="External"/><Relationship Id="rId42" Type="http://schemas.openxmlformats.org/officeDocument/2006/relationships/hyperlink" Target="https://www.deped.gov.ph/wp-content/uploads/2015/04/DO_s2015_08.pdf" TargetMode="External"/><Relationship Id="rId47" Type="http://schemas.openxmlformats.org/officeDocument/2006/relationships/hyperlink" Target="https://hdl.handle.net/10536/DRO/DU:30035340" TargetMode="External"/><Relationship Id="rId63" Type="http://schemas.openxmlformats.org/officeDocument/2006/relationships/hyperlink" Target="https://doi.org/10.1007/978-94-007-0268-4_3" TargetMode="External"/><Relationship Id="rId68" Type="http://schemas.openxmlformats.org/officeDocument/2006/relationships/hyperlink" Target="http://dl.uncw.edu/Etd/2010-2/vaill/lisavail.pdf" TargetMode="External"/><Relationship Id="rId84" Type="http://schemas.openxmlformats.org/officeDocument/2006/relationships/hyperlink" Target="https://doi.org/10.1111/j.1468-0262.2005.00584.x" TargetMode="External"/><Relationship Id="rId89" Type="http://schemas.openxmlformats.org/officeDocument/2006/relationships/hyperlink" Target="https://doi.org/10.29322/IJSRP.8.10.2018.p8258" TargetMode="External"/><Relationship Id="rId112" Type="http://schemas.openxmlformats.org/officeDocument/2006/relationships/footer" Target="footer2.xml"/><Relationship Id="rId16" Type="http://schemas.openxmlformats.org/officeDocument/2006/relationships/hyperlink" Target="http://www.pacoaching.org/files/Research%20Findings/bean_coaching_annenber_doc.pdf" TargetMode="External"/><Relationship Id="rId107" Type="http://schemas.openxmlformats.org/officeDocument/2006/relationships/hyperlink" Target="https://doi.org/10.1080/00461520903433554" TargetMode="External"/><Relationship Id="rId11" Type="http://schemas.openxmlformats.org/officeDocument/2006/relationships/hyperlink" Target="https://doi.org/10.12973/ejmste/75352" TargetMode="External"/><Relationship Id="rId32" Type="http://schemas.openxmlformats.org/officeDocument/2006/relationships/hyperlink" Target="https://us.sagepub.com/en-us/nam/policy-practice-and-politics-in-teacher-education/book227000" TargetMode="External"/><Relationship Id="rId37" Type="http://schemas.openxmlformats.org/officeDocument/2006/relationships/hyperlink" Target="https://doi.org/10.1002/9780470756274" TargetMode="External"/><Relationship Id="rId53" Type="http://schemas.openxmlformats.org/officeDocument/2006/relationships/hyperlink" Target="https://us.sagepub.com/en-us/nam/professional-development-reflection-and-enquiry/book226600" TargetMode="External"/><Relationship Id="rId58" Type="http://schemas.openxmlformats.org/officeDocument/2006/relationships/hyperlink" Target="http://belkcollegeofbusiness.uncc.edu/azillant/IES%20Harris%20Sass%20Princip%20al%20Eval%2034.pdf" TargetMode="External"/><Relationship Id="rId74" Type="http://schemas.openxmlformats.org/officeDocument/2006/relationships/hyperlink" Target="http://www.ijern.com/journal/2018/March-2018/18.pdf" TargetMode="External"/><Relationship Id="rId79" Type="http://schemas.openxmlformats.org/officeDocument/2006/relationships/hyperlink" Target="https://doi.org/10.4314/jae.v12i2.47051" TargetMode="External"/><Relationship Id="rId102" Type="http://schemas.openxmlformats.org/officeDocument/2006/relationships/hyperlink" Target="https://doi.org/10.1080/1359866052000341124" TargetMode="External"/><Relationship Id="rId5" Type="http://schemas.openxmlformats.org/officeDocument/2006/relationships/footnotes" Target="footnotes.xml"/><Relationship Id="rId90" Type="http://schemas.openxmlformats.org/officeDocument/2006/relationships/hyperlink" Target="https://hdl.handle.net/10520/EJC87476" TargetMode="External"/><Relationship Id="rId95" Type="http://schemas.openxmlformats.org/officeDocument/2006/relationships/hyperlink" Target="https://doi.org/10.1016/j.tate.2011.08.007" TargetMode="External"/><Relationship Id="rId22" Type="http://schemas.openxmlformats.org/officeDocument/2006/relationships/hyperlink" Target="https://doi.org/10.1142/5946" TargetMode="External"/><Relationship Id="rId27" Type="http://schemas.openxmlformats.org/officeDocument/2006/relationships/hyperlink" Target="https://doi.org/10.4018/978-1-4666-7495-0.ch012" TargetMode="External"/><Relationship Id="rId43" Type="http://schemas.openxmlformats.org/officeDocument/2006/relationships/hyperlink" Target="https://www.deped.gov.ph/wp-content/uploads/2009/04/DO_s2009_32.pdf" TargetMode="External"/><Relationship Id="rId48" Type="http://schemas.openxmlformats.org/officeDocument/2006/relationships/hyperlink" Target="https://doi.org/10.1596/978-1-4648-0160-0" TargetMode="External"/><Relationship Id="rId64" Type="http://schemas.openxmlformats.org/officeDocument/2006/relationships/hyperlink" Target="https://doi.org/10.5430/ijhe.v3n1p94" TargetMode="External"/><Relationship Id="rId69" Type="http://schemas.openxmlformats.org/officeDocument/2006/relationships/hyperlink" Target="https://doi.org/10.1002/tea.20007" TargetMode="External"/><Relationship Id="rId113" Type="http://schemas.openxmlformats.org/officeDocument/2006/relationships/header" Target="header3.xml"/><Relationship Id="rId80" Type="http://schemas.openxmlformats.org/officeDocument/2006/relationships/hyperlink" Target="https://files.eric.ed.gov/fulltext/ED578609.pdf" TargetMode="External"/><Relationship Id="rId85" Type="http://schemas.openxmlformats.org/officeDocument/2006/relationships/hyperlink" Target="https://doi.org/10.1111/j.1468-0262.2005.00584.x" TargetMode="External"/><Relationship Id="rId12" Type="http://schemas.openxmlformats.org/officeDocument/2006/relationships/hyperlink" Target="https://ajindex.com/uploads/papers/Students%E2%80%99-Perceptions-of-their-Teachers%E2%80%99-Teaching-of-Mathematics-The-Case-of-Ghana.pdf" TargetMode="External"/><Relationship Id="rId17" Type="http://schemas.openxmlformats.org/officeDocument/2006/relationships/hyperlink" Target="https://cje.oise.utoronto.ca/index.php/cje-rce/article/view/1839/1839" TargetMode="External"/><Relationship Id="rId33" Type="http://schemas.openxmlformats.org/officeDocument/2006/relationships/hyperlink" Target="https://caldercenter.org/publications/how-and-why-do-teacher-credentials-matter-student-achievement" TargetMode="External"/><Relationship Id="rId38" Type="http://schemas.openxmlformats.org/officeDocument/2006/relationships/hyperlink" Target="https://doi.org/10.1080/09669760801892151" TargetMode="External"/><Relationship Id="rId59" Type="http://schemas.openxmlformats.org/officeDocument/2006/relationships/hyperlink" Target="https://www.abacademies.org/articles/Factors-that-affect-the-performance-of-teachers-working-in-secondary-level-education-1528-2643-22-1-113.pdf" TargetMode="External"/><Relationship Id="rId103" Type="http://schemas.openxmlformats.org/officeDocument/2006/relationships/hyperlink" Target="https://doi.org/10.1016/j.tate.2006.05.005" TargetMode="External"/><Relationship Id="rId108" Type="http://schemas.openxmlformats.org/officeDocument/2006/relationships/hyperlink" Target="https://doi.org/10.5430/wje.v1n1p81" TargetMode="External"/><Relationship Id="rId54" Type="http://schemas.openxmlformats.org/officeDocument/2006/relationships/hyperlink" Target="https://doi.org/10.5897/JPESM2012.0159" TargetMode="External"/><Relationship Id="rId70" Type="http://schemas.openxmlformats.org/officeDocument/2006/relationships/hyperlink" Target="https://www.researchgate.net/publication/260960000_Development_of_Teacher_Performance_and_its_Impact_on_Enhancing_on_the_Quality_of_the_Educational_Process" TargetMode="External"/><Relationship Id="rId75" Type="http://schemas.openxmlformats.org/officeDocument/2006/relationships/hyperlink" Target="https://doi.org/10.5772/intechopen.72341" TargetMode="External"/><Relationship Id="rId91" Type="http://schemas.openxmlformats.org/officeDocument/2006/relationships/hyperlink" Target="http://www.wallacefoundation.org/KnowledgeCenter/KnowledgeTopics/CurrentAreasofFocus/EducationLeadership/Documents/Learning-from-Leadership-Investigating-Links-Final-Report.pdf" TargetMode="External"/><Relationship Id="rId96" Type="http://schemas.openxmlformats.org/officeDocument/2006/relationships/hyperlink" Target="https://doi.org/10.1598/RT.63.1.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040/9798400688362" TargetMode="External"/><Relationship Id="rId23" Type="http://schemas.openxmlformats.org/officeDocument/2006/relationships/hyperlink" Target="http://www.thefreelibrary.com/_/print/PrintArticle.aspx?id=165912654" TargetMode="External"/><Relationship Id="rId28" Type="http://schemas.openxmlformats.org/officeDocument/2006/relationships/hyperlink" Target="https://doi.org/10.1787/5k3tsjqtp90v-en" TargetMode="External"/><Relationship Id="rId36" Type="http://schemas.openxmlformats.org/officeDocument/2006/relationships/hyperlink" Target="https://digitalcommons.liberty.edu/doctoral/89" TargetMode="External"/><Relationship Id="rId49" Type="http://schemas.openxmlformats.org/officeDocument/2006/relationships/hyperlink" Target="https://www.ajssh.leena-luna.co.jp/ajssh_vol1_no2_2012/61-69.pdf" TargetMode="External"/><Relationship Id="rId57" Type="http://schemas.openxmlformats.org/officeDocument/2006/relationships/hyperlink" Target="https://www.econstor.eu/bitstream/10419/188040/1/pjcss-v5n2-2011-pp319-329.pdf" TargetMode="External"/><Relationship Id="rId106" Type="http://schemas.openxmlformats.org/officeDocument/2006/relationships/hyperlink" Target="https://www.macalester.edu/academics/geology/wirth/learning.doc" TargetMode="External"/><Relationship Id="rId114" Type="http://schemas.openxmlformats.org/officeDocument/2006/relationships/footer" Target="footer3.xml"/><Relationship Id="rId10" Type="http://schemas.openxmlformats.org/officeDocument/2006/relationships/hyperlink" Target="https://doi.org/10.4018/978-1-61520-694-0.ch008" TargetMode="External"/><Relationship Id="rId31" Type="http://schemas.openxmlformats.org/officeDocument/2006/relationships/hyperlink" Target="https://doi.org/10.1016/j.chb.2013.10.037" TargetMode="External"/><Relationship Id="rId44" Type="http://schemas.openxmlformats.org/officeDocument/2006/relationships/hyperlink" Target="http://www.deped.gov.ph/orders/do-31-s-2012" TargetMode="External"/><Relationship Id="rId52" Type="http://schemas.openxmlformats.org/officeDocument/2006/relationships/hyperlink" Target="https://doi.org/10.1016/j.tate.2005.09.002" TargetMode="External"/><Relationship Id="rId60" Type="http://schemas.openxmlformats.org/officeDocument/2006/relationships/hyperlink" Target="https://doi.org/10.11648/j.jhrm.20180601.11" TargetMode="External"/><Relationship Id="rId65" Type="http://schemas.openxmlformats.org/officeDocument/2006/relationships/hyperlink" Target="https://doi.org/10.1177/0022487109347317" TargetMode="External"/><Relationship Id="rId73" Type="http://schemas.openxmlformats.org/officeDocument/2006/relationships/hyperlink" Target="https://www.thoughtco.com/increase-parental-involvement-in-education-3194407" TargetMode="External"/><Relationship Id="rId78" Type="http://schemas.openxmlformats.org/officeDocument/2006/relationships/hyperlink" Target="https://doi.org/10.1080/09575140600759997" TargetMode="External"/><Relationship Id="rId81" Type="http://schemas.openxmlformats.org/officeDocument/2006/relationships/hyperlink" Target="https://www.ijstr.org/final-print/aug2017/Contemporary-Teaching-Strategies-On-Students-Attitude-Academic-Performance-And-Acquisition-Of-The-21st-Century-Skills.pdf" TargetMode="External"/><Relationship Id="rId86" Type="http://schemas.openxmlformats.org/officeDocument/2006/relationships/hyperlink" Target="https://publications.jrc.ec.europa.eu/repository/handle/JRC65910" TargetMode="External"/><Relationship Id="rId94" Type="http://schemas.openxmlformats.org/officeDocument/2006/relationships/hyperlink" Target="https://doi.org/10.1177/0022487108330553" TargetMode="External"/><Relationship Id="rId99" Type="http://schemas.openxmlformats.org/officeDocument/2006/relationships/hyperlink" Target="https://www.ascd.org/books/linking-teacher-evaluation-and-student-learning" TargetMode="External"/><Relationship Id="rId101" Type="http://schemas.openxmlformats.org/officeDocument/2006/relationships/hyperlink" Target="https://doi.org/10.3102/0002831214531322" TargetMode="Externa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hyperlink" Target="https://doi.org/10.1016/j.ijedudev.2016.03.008" TargetMode="External"/><Relationship Id="rId18" Type="http://schemas.openxmlformats.org/officeDocument/2006/relationships/hyperlink" Target="https://doi.org/10.1080/00098650903505415" TargetMode="External"/><Relationship Id="rId39" Type="http://schemas.openxmlformats.org/officeDocument/2006/relationships/hyperlink" Target="https://doi.org/10.1007/s10833-007-9054-6" TargetMode="External"/><Relationship Id="rId109" Type="http://schemas.openxmlformats.org/officeDocument/2006/relationships/header" Target="header1.xml"/><Relationship Id="rId34" Type="http://schemas.openxmlformats.org/officeDocument/2006/relationships/hyperlink" Target="https://doi.org/10.3386/w13617" TargetMode="External"/><Relationship Id="rId50" Type="http://schemas.openxmlformats.org/officeDocument/2006/relationships/hyperlink" Target="https://doi.org/10.1016/j.tate.2019.102882" TargetMode="External"/><Relationship Id="rId55" Type="http://schemas.openxmlformats.org/officeDocument/2006/relationships/hyperlink" Target="https://doi.org/10.21890/ijres.23596" TargetMode="External"/><Relationship Id="rId76" Type="http://schemas.openxmlformats.org/officeDocument/2006/relationships/hyperlink" Target="https://eric.ed.gov/?id=ED287827" TargetMode="External"/><Relationship Id="rId97" Type="http://schemas.openxmlformats.org/officeDocument/2006/relationships/hyperlink" Target="https://doi.org/10.5901/mjss.2015.v6n1p233" TargetMode="External"/><Relationship Id="rId104" Type="http://schemas.openxmlformats.org/officeDocument/2006/relationships/hyperlink" Target="https://doi.org/10.3102/0034654308330970" TargetMode="External"/><Relationship Id="rId7" Type="http://schemas.openxmlformats.org/officeDocument/2006/relationships/chart" Target="charts/chart1.xml"/><Relationship Id="rId71" Type="http://schemas.openxmlformats.org/officeDocument/2006/relationships/hyperlink" Target="http://sisifo.fpce.ul.pt" TargetMode="External"/><Relationship Id="rId92" Type="http://schemas.openxmlformats.org/officeDocument/2006/relationships/hyperlink" Target="https://doi.org/10.9790/0837-2301034144" TargetMode="External"/><Relationship Id="rId2" Type="http://schemas.openxmlformats.org/officeDocument/2006/relationships/styles" Target="styles.xml"/><Relationship Id="rId29" Type="http://schemas.openxmlformats.org/officeDocument/2006/relationships/hyperlink" Target="https://doi.org/10.1016/j.compedu.2011.01.007" TargetMode="External"/><Relationship Id="rId24" Type="http://schemas.openxmlformats.org/officeDocument/2006/relationships/hyperlink" Target="https://www.researchgate.net/publication/320980117_HIGH_SCHOOL_STUDENTS'_DIFFICULTIES_IN_PHYSICS/link/5a057eafaca2726b4c78071a/download" TargetMode="External"/><Relationship Id="rId40" Type="http://schemas.openxmlformats.org/officeDocument/2006/relationships/hyperlink" Target="https://doi.org/10.4324/9780203847909" TargetMode="External"/><Relationship Id="rId45" Type="http://schemas.openxmlformats.org/officeDocument/2006/relationships/hyperlink" Target="http://www.deped.gov.ph/orders/do-42-s-2017" TargetMode="External"/><Relationship Id="rId66" Type="http://schemas.openxmlformats.org/officeDocument/2006/relationships/hyperlink" Target="https://doi.org/10.1007/s10956-012-9396-6" TargetMode="External"/><Relationship Id="rId87" Type="http://schemas.openxmlformats.org/officeDocument/2006/relationships/hyperlink" Target="https://doi.org/10.52006/main.v1i1.13" TargetMode="External"/><Relationship Id="rId110" Type="http://schemas.openxmlformats.org/officeDocument/2006/relationships/header" Target="header2.xml"/><Relationship Id="rId115" Type="http://schemas.openxmlformats.org/officeDocument/2006/relationships/fontTable" Target="fontTable.xml"/><Relationship Id="rId61" Type="http://schemas.openxmlformats.org/officeDocument/2006/relationships/hyperlink" Target="https://doi.org/10.1016/j.jue.2004.11.001" TargetMode="External"/><Relationship Id="rId82" Type="http://schemas.openxmlformats.org/officeDocument/2006/relationships/hyperlink" Target="https://doi.org/10.18178/ijlll.2016.2.2.65" TargetMode="External"/><Relationship Id="rId19" Type="http://schemas.openxmlformats.org/officeDocument/2006/relationships/hyperlink" Target="https://doi.org/10.9734/AJESS/2020/v12i330314" TargetMode="External"/><Relationship Id="rId14" Type="http://schemas.openxmlformats.org/officeDocument/2006/relationships/hyperlink" Target="https://doi.org/10.1016/j.tate.2010.08.007" TargetMode="External"/><Relationship Id="rId30" Type="http://schemas.openxmlformats.org/officeDocument/2006/relationships/hyperlink" Target="http://www.iier.org.au/iier19/cherubini.html" TargetMode="External"/><Relationship Id="rId35" Type="http://schemas.openxmlformats.org/officeDocument/2006/relationships/hyperlink" Target="https://unesdoc.unesco.org/ark:/48223/pf0000147099" TargetMode="External"/><Relationship Id="rId56" Type="http://schemas.openxmlformats.org/officeDocument/2006/relationships/hyperlink" Target="https://doi.org/10.1162/rest.89.1.134" TargetMode="External"/><Relationship Id="rId77" Type="http://schemas.openxmlformats.org/officeDocument/2006/relationships/hyperlink" Target="https://doi.org/10.1016/j.compedu.2014.01.006" TargetMode="External"/><Relationship Id="rId100" Type="http://schemas.openxmlformats.org/officeDocument/2006/relationships/hyperlink" Target="https://doi.org/10.1007/s10833-007-9028-8" TargetMode="External"/><Relationship Id="rId105" Type="http://schemas.openxmlformats.org/officeDocument/2006/relationships/hyperlink" Target="http://www.youtube.com/watch?v=TPAO-lZ4_hU&amp;feature=search" TargetMode="External"/><Relationship Id="rId8" Type="http://schemas.openxmlformats.org/officeDocument/2006/relationships/chart" Target="charts/chart2.xml"/><Relationship Id="rId51" Type="http://schemas.openxmlformats.org/officeDocument/2006/relationships/hyperlink" Target="https://mpra.ub.uni-muenchen.de/589/1/MPRA_paper_589.pdf" TargetMode="External"/><Relationship Id="rId72" Type="http://schemas.openxmlformats.org/officeDocument/2006/relationships/hyperlink" Target="https://www.marzanoresources.com/teaching-assessing-21st-century-skills" TargetMode="External"/><Relationship Id="rId93" Type="http://schemas.openxmlformats.org/officeDocument/2006/relationships/hyperlink" Target="https://doi.org/10.1080/13540600701391937" TargetMode="External"/><Relationship Id="rId98" Type="http://schemas.openxmlformats.org/officeDocument/2006/relationships/hyperlink" Target="https://doi.org/10.11575/jet.v41i3.52496" TargetMode="External"/><Relationship Id="rId3" Type="http://schemas.openxmlformats.org/officeDocument/2006/relationships/settings" Target="settings.xml"/><Relationship Id="rId25" Type="http://schemas.openxmlformats.org/officeDocument/2006/relationships/hyperlink" Target="https://doi.org/10.29333/iejme/5768" TargetMode="External"/><Relationship Id="rId46" Type="http://schemas.openxmlformats.org/officeDocument/2006/relationships/hyperlink" Target="https://region11.deped.gov.ph/wp-content/uploads/2019/01/3rd-Regional-Research-Forum-Proceedings.pdf" TargetMode="External"/><Relationship Id="rId67" Type="http://schemas.openxmlformats.org/officeDocument/2006/relationships/hyperlink" Target="https://doi.org/10.1007/s10956-012-9396-6" TargetMode="External"/><Relationship Id="rId116" Type="http://schemas.openxmlformats.org/officeDocument/2006/relationships/theme" Target="theme/theme1.xml"/><Relationship Id="rId20" Type="http://schemas.openxmlformats.org/officeDocument/2006/relationships/hyperlink" Target="https://adrianaprinting.com/collections/obe-teacher-education-series/products/the-teaching-profession" TargetMode="External"/><Relationship Id="rId41" Type="http://schemas.openxmlformats.org/officeDocument/2006/relationships/hyperlink" Target="http://www.watertown.k12.ma.us/dept/ed_tech/research/pdf/ChrisDede.pdf" TargetMode="External"/><Relationship Id="rId62" Type="http://schemas.openxmlformats.org/officeDocument/2006/relationships/hyperlink" Target="https://www.education.nh.gov/instruction/school_health/health_coord_family.htm" TargetMode="External"/><Relationship Id="rId83" Type="http://schemas.openxmlformats.org/officeDocument/2006/relationships/hyperlink" Target="https://search.proquest.com/docview/1891291525?accountid=34542" TargetMode="External"/><Relationship Id="rId88" Type="http://schemas.openxmlformats.org/officeDocument/2006/relationships/hyperlink" Target="https://doi.org/10.1016/j.tate.2006.04.035" TargetMode="External"/><Relationship Id="rId11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rogeliorasayiii\Documents\Researches\Caipang-New-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rogeliorasayiii\Documents\Researches\Caipang-New-Tab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rogeliorasayiii\Documents\Researches\Caipang-New-Tab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Sheet3!$B$1:$C$1</c:f>
              <c:strCache>
                <c:ptCount val="2"/>
                <c:pt idx="0">
                  <c:v>Male</c:v>
                </c:pt>
                <c:pt idx="1">
                  <c:v>Female</c:v>
                </c:pt>
              </c:strCache>
            </c:strRef>
          </c:cat>
          <c:val>
            <c:numRef>
              <c:f>Sheet3!$B$2:$C$2</c:f>
              <c:numCache>
                <c:formatCode>General</c:formatCode>
                <c:ptCount val="2"/>
                <c:pt idx="0">
                  <c:v>7</c:v>
                </c:pt>
                <c:pt idx="1">
                  <c:v>33</c:v>
                </c:pt>
              </c:numCache>
            </c:numRef>
          </c:val>
          <c:extLst>
            <c:ext xmlns:c16="http://schemas.microsoft.com/office/drawing/2014/chart" uri="{C3380CC4-5D6E-409C-BE32-E72D297353CC}">
              <c16:uniqueId val="{00000000-3ECC-4F9A-88A2-CF671236EAC0}"/>
            </c:ext>
          </c:extLst>
        </c:ser>
        <c:dLbls>
          <c:showLegendKey val="0"/>
          <c:showVal val="0"/>
          <c:showCatName val="0"/>
          <c:showSerName val="0"/>
          <c:showPercent val="0"/>
          <c:showBubbleSize val="0"/>
        </c:dLbls>
        <c:gapWidth val="219"/>
        <c:overlap val="-27"/>
        <c:axId val="-541360112"/>
        <c:axId val="-541360656"/>
      </c:barChart>
      <c:catAx>
        <c:axId val="-54136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60656"/>
        <c:crosses val="autoZero"/>
        <c:auto val="1"/>
        <c:lblAlgn val="ctr"/>
        <c:lblOffset val="100"/>
        <c:noMultiLvlLbl val="0"/>
      </c:catAx>
      <c:valAx>
        <c:axId val="-54136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60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Sheet3!$D$1:$K$1</c:f>
              <c:strCache>
                <c:ptCount val="8"/>
                <c:pt idx="0">
                  <c:v>25-29</c:v>
                </c:pt>
                <c:pt idx="1">
                  <c:v>30-34</c:v>
                </c:pt>
                <c:pt idx="2">
                  <c:v>35-39</c:v>
                </c:pt>
                <c:pt idx="3">
                  <c:v>40-44</c:v>
                </c:pt>
                <c:pt idx="4">
                  <c:v>45-49</c:v>
                </c:pt>
                <c:pt idx="5">
                  <c:v>50-54</c:v>
                </c:pt>
                <c:pt idx="6">
                  <c:v>55-59</c:v>
                </c:pt>
                <c:pt idx="7">
                  <c:v>60-65</c:v>
                </c:pt>
              </c:strCache>
            </c:strRef>
          </c:cat>
          <c:val>
            <c:numRef>
              <c:f>Sheet3!$D$2:$K$2</c:f>
              <c:numCache>
                <c:formatCode>General</c:formatCode>
                <c:ptCount val="8"/>
                <c:pt idx="0">
                  <c:v>5</c:v>
                </c:pt>
                <c:pt idx="1">
                  <c:v>3</c:v>
                </c:pt>
                <c:pt idx="2">
                  <c:v>4</c:v>
                </c:pt>
                <c:pt idx="3">
                  <c:v>7</c:v>
                </c:pt>
                <c:pt idx="4">
                  <c:v>9</c:v>
                </c:pt>
                <c:pt idx="5">
                  <c:v>6</c:v>
                </c:pt>
                <c:pt idx="6">
                  <c:v>3</c:v>
                </c:pt>
                <c:pt idx="7">
                  <c:v>3</c:v>
                </c:pt>
              </c:numCache>
            </c:numRef>
          </c:val>
          <c:extLst>
            <c:ext xmlns:c16="http://schemas.microsoft.com/office/drawing/2014/chart" uri="{C3380CC4-5D6E-409C-BE32-E72D297353CC}">
              <c16:uniqueId val="{00000000-6C3F-492C-A759-F7DE7ECC927C}"/>
            </c:ext>
          </c:extLst>
        </c:ser>
        <c:dLbls>
          <c:showLegendKey val="0"/>
          <c:showVal val="0"/>
          <c:showCatName val="0"/>
          <c:showSerName val="0"/>
          <c:showPercent val="0"/>
          <c:showBubbleSize val="0"/>
        </c:dLbls>
        <c:gapWidth val="219"/>
        <c:overlap val="-27"/>
        <c:axId val="-541354128"/>
        <c:axId val="-541355760"/>
      </c:barChart>
      <c:catAx>
        <c:axId val="-54135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5760"/>
        <c:crosses val="autoZero"/>
        <c:auto val="1"/>
        <c:lblAlgn val="ctr"/>
        <c:lblOffset val="100"/>
        <c:noMultiLvlLbl val="0"/>
      </c:catAx>
      <c:valAx>
        <c:axId val="-54135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4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Sheet3!$L$1:$Q$1</c:f>
              <c:strCache>
                <c:ptCount val="6"/>
                <c:pt idx="0">
                  <c:v>5-9</c:v>
                </c:pt>
                <c:pt idx="1">
                  <c:v>10-14</c:v>
                </c:pt>
                <c:pt idx="2">
                  <c:v>15-19</c:v>
                </c:pt>
                <c:pt idx="3">
                  <c:v>20-24</c:v>
                </c:pt>
                <c:pt idx="4">
                  <c:v>25-29</c:v>
                </c:pt>
                <c:pt idx="5">
                  <c:v>30 and above</c:v>
                </c:pt>
              </c:strCache>
            </c:strRef>
          </c:cat>
          <c:val>
            <c:numRef>
              <c:f>Sheet3!$L$2:$Q$2</c:f>
              <c:numCache>
                <c:formatCode>General</c:formatCode>
                <c:ptCount val="6"/>
                <c:pt idx="0">
                  <c:v>7</c:v>
                </c:pt>
                <c:pt idx="1">
                  <c:v>9</c:v>
                </c:pt>
                <c:pt idx="2">
                  <c:v>5</c:v>
                </c:pt>
                <c:pt idx="3">
                  <c:v>8</c:v>
                </c:pt>
                <c:pt idx="4">
                  <c:v>6</c:v>
                </c:pt>
                <c:pt idx="5">
                  <c:v>5</c:v>
                </c:pt>
              </c:numCache>
            </c:numRef>
          </c:val>
          <c:extLst>
            <c:ext xmlns:c16="http://schemas.microsoft.com/office/drawing/2014/chart" uri="{C3380CC4-5D6E-409C-BE32-E72D297353CC}">
              <c16:uniqueId val="{00000000-C908-4FD2-81C7-CE5C285D44FF}"/>
            </c:ext>
          </c:extLst>
        </c:ser>
        <c:dLbls>
          <c:showLegendKey val="0"/>
          <c:showVal val="0"/>
          <c:showCatName val="0"/>
          <c:showSerName val="0"/>
          <c:showPercent val="0"/>
          <c:showBubbleSize val="0"/>
        </c:dLbls>
        <c:gapWidth val="219"/>
        <c:overlap val="-27"/>
        <c:axId val="-541354672"/>
        <c:axId val="-541358480"/>
      </c:barChart>
      <c:catAx>
        <c:axId val="-54135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8480"/>
        <c:crosses val="autoZero"/>
        <c:auto val="1"/>
        <c:lblAlgn val="ctr"/>
        <c:lblOffset val="100"/>
        <c:noMultiLvlLbl val="0"/>
      </c:catAx>
      <c:valAx>
        <c:axId val="-54135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354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26</Pages>
  <Words>12624</Words>
  <Characters>71962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Editor-1183</cp:lastModifiedBy>
  <cp:revision>48</cp:revision>
  <dcterms:created xsi:type="dcterms:W3CDTF">2025-06-25T20:44:00Z</dcterms:created>
  <dcterms:modified xsi:type="dcterms:W3CDTF">2025-12-09T09:36:00Z</dcterms:modified>
</cp:coreProperties>
</file>