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473C1" w14:textId="77777777" w:rsidR="00551101" w:rsidRDefault="0056152E">
      <w:pPr>
        <w:pStyle w:val="Author"/>
        <w:spacing w:line="240" w:lineRule="auto"/>
        <w:rPr>
          <w:rFonts w:ascii="Arial" w:hAnsi="Arial" w:cs="Arial"/>
          <w:bCs/>
          <w:iCs/>
          <w:kern w:val="28"/>
          <w:sz w:val="36"/>
        </w:rPr>
      </w:pPr>
      <w:r>
        <w:rPr>
          <w:rFonts w:ascii="Arial" w:hAnsi="Arial" w:cs="Arial"/>
          <w:bCs/>
          <w:iCs/>
          <w:kern w:val="28"/>
          <w:sz w:val="36"/>
        </w:rPr>
        <w:t>Theoretical Conceptual Framework Model of Service Innovation in Improving Academic Quality at Gorontalo Private Universities</w:t>
      </w:r>
    </w:p>
    <w:p w14:paraId="2C29AC20" w14:textId="77777777" w:rsidR="00551101" w:rsidRDefault="00551101">
      <w:pPr>
        <w:rPr>
          <w:rFonts w:asciiTheme="majorHAnsi" w:hAnsiTheme="majorHAnsi" w:cstheme="majorHAnsi"/>
        </w:rPr>
      </w:pPr>
    </w:p>
    <w:p w14:paraId="55BD0896" w14:textId="77777777" w:rsidR="00551101" w:rsidRDefault="00551101">
      <w:pPr>
        <w:pStyle w:val="NormalWeb"/>
        <w:snapToGrid w:val="0"/>
        <w:spacing w:before="0" w:beforeAutospacing="0" w:after="0" w:afterAutospacing="0" w:line="276" w:lineRule="auto"/>
        <w:rPr>
          <w:rFonts w:asciiTheme="majorHAnsi" w:hAnsiTheme="majorHAnsi" w:cstheme="majorHAnsi"/>
        </w:rPr>
      </w:pPr>
    </w:p>
    <w:p w14:paraId="4FFF4ED6" w14:textId="77777777" w:rsidR="00551101" w:rsidRDefault="00551101">
      <w:pPr>
        <w:pStyle w:val="NormalWeb"/>
        <w:snapToGrid w:val="0"/>
        <w:spacing w:before="0" w:beforeAutospacing="0" w:after="0" w:afterAutospacing="0" w:line="276" w:lineRule="auto"/>
        <w:rPr>
          <w:rFonts w:asciiTheme="majorHAnsi" w:hAnsiTheme="majorHAnsi" w:cstheme="majorHAnsi"/>
        </w:rPr>
      </w:pPr>
    </w:p>
    <w:p w14:paraId="10805A9C" w14:textId="77777777" w:rsidR="00551101" w:rsidRDefault="0056152E">
      <w:pPr>
        <w:pStyle w:val="AbstHead"/>
        <w:spacing w:after="0"/>
        <w:jc w:val="both"/>
        <w:rPr>
          <w:rFonts w:ascii="Arial" w:hAnsi="Arial" w:cs="Arial"/>
        </w:rPr>
      </w:pPr>
      <w:r>
        <w:rPr>
          <w:rFonts w:ascii="Arial" w:hAnsi="Arial" w:cs="Arial"/>
        </w:rPr>
        <w:t>Abstract</w:t>
      </w:r>
    </w:p>
    <w:p w14:paraId="2720D79C" w14:textId="77777777" w:rsidR="00551101" w:rsidRDefault="0056152E">
      <w:pPr>
        <w:pStyle w:val="Body"/>
        <w:spacing w:after="0"/>
        <w:rPr>
          <w:rFonts w:ascii="Arial" w:eastAsia="Calibri" w:hAnsi="Arial" w:cs="Arial"/>
          <w:szCs w:val="22"/>
        </w:rPr>
      </w:pPr>
      <w:r>
        <w:rPr>
          <w:rFonts w:ascii="Arial" w:eastAsia="Calibri" w:hAnsi="Arial" w:cs="Arial"/>
          <w:b/>
          <w:bCs/>
          <w:szCs w:val="22"/>
        </w:rPr>
        <w:t>Aims</w:t>
      </w:r>
      <w:r>
        <w:rPr>
          <w:rFonts w:ascii="Arial" w:eastAsia="Calibri" w:hAnsi="Arial" w:cs="Arial"/>
          <w:szCs w:val="22"/>
        </w:rPr>
        <w:t xml:space="preserve">: Digital transformation in higher education requires service innovations that can respond to academic quality challenges in a sustainable manner. However, in the context of private universities, the adoption of innovations is often not optimal due to technical, structural, and cultural constraints. This study aims to develop a theoretical conceptual framework model of service innovation to improve academic quality at private universities in Gorontalo. </w:t>
      </w:r>
    </w:p>
    <w:p w14:paraId="31FC3358" w14:textId="77777777" w:rsidR="00551101" w:rsidRDefault="0056152E">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00E85CF2" w:rsidRPr="00E85CF2">
        <w:rPr>
          <w:rFonts w:ascii="Arial" w:eastAsia="Calibri" w:hAnsi="Arial" w:cs="Arial"/>
          <w:szCs w:val="22"/>
        </w:rPr>
        <w:t xml:space="preserve">This study employed a purely qualitative exploratory approach through in-depth interviews, direct observations, and document analysis. </w:t>
      </w:r>
      <w:r w:rsidR="00E85CF2" w:rsidRPr="00E85CF2">
        <w:rPr>
          <w:rFonts w:ascii="Arial" w:eastAsia="Calibri" w:hAnsi="Arial" w:cs="Arial"/>
          <w:szCs w:val="22"/>
          <w:highlight w:val="yellow"/>
        </w:rPr>
        <w:t>The observations were carried out starting in March 2025, while the in-depth interviews were conducted from June to August 2025 in three private universities in Gorontalo.</w:t>
      </w:r>
      <w:r w:rsidR="00E85CF2" w:rsidRPr="00E85CF2">
        <w:rPr>
          <w:rFonts w:ascii="Arial" w:eastAsia="Calibri" w:hAnsi="Arial" w:cs="Arial"/>
          <w:szCs w:val="22"/>
        </w:rPr>
        <w:t xml:space="preserve"> This approach was used to reconstruct the conceptual model of service innovation governance in improving academic qualit</w:t>
      </w:r>
      <w:r w:rsidR="00E85CF2">
        <w:rPr>
          <w:rFonts w:ascii="Arial" w:eastAsia="Calibri" w:hAnsi="Arial" w:cs="Arial"/>
          <w:szCs w:val="22"/>
        </w:rPr>
        <w:t xml:space="preserve">y. </w:t>
      </w:r>
      <w:r>
        <w:rPr>
          <w:rFonts w:ascii="Arial" w:eastAsia="Calibri" w:hAnsi="Arial" w:cs="Arial"/>
          <w:szCs w:val="22"/>
        </w:rPr>
        <w:t xml:space="preserve">The results showed that academic service innovations, such as the implementation of an integrated academic information system, learning management system (LMS), blended learning, and project-based learning, were proven to improve service efficiency, data transparency, and academic accountability. </w:t>
      </w:r>
    </w:p>
    <w:p w14:paraId="334A8F3C" w14:textId="77777777" w:rsidR="00551101" w:rsidRDefault="0056152E">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main finding of this study is the development of a conceptual framework that integrates Rogers' Diffusion of Innovation theory with extrinsic factors, namely policy pressure, infrastructure availability, institutional ecosystem readiness, and human resource readiness. In addition, this study introduces the principles of sustainable innovation governance (commitment, consistency, communication, coordination, collaboration, cooperation, and creativity) as moderating elements that determine the success of innovation in improving academic quality. </w:t>
      </w:r>
    </w:p>
    <w:p w14:paraId="4E65C996" w14:textId="77777777" w:rsidR="00551101" w:rsidRDefault="0056152E">
      <w:pPr>
        <w:pStyle w:val="Body"/>
        <w:spacing w:after="0"/>
        <w:rPr>
          <w:rFonts w:ascii="Arial" w:eastAsia="Calibri" w:hAnsi="Arial" w:cs="Arial"/>
          <w:color w:val="FF0000"/>
          <w:szCs w:val="22"/>
        </w:rPr>
      </w:pPr>
      <w:r>
        <w:rPr>
          <w:rFonts w:ascii="Arial" w:eastAsia="Calibri" w:hAnsi="Arial" w:cs="Arial"/>
          <w:b/>
          <w:bCs/>
          <w:szCs w:val="22"/>
        </w:rPr>
        <w:t>Conclusion</w:t>
      </w:r>
      <w:r>
        <w:rPr>
          <w:rFonts w:ascii="Arial" w:eastAsia="Calibri" w:hAnsi="Arial" w:cs="Arial"/>
          <w:szCs w:val="22"/>
        </w:rPr>
        <w:t>: Theoretically, this study expands the scope of innovation adoption theory by emphasising the importance of sustainable governance, while in practice, the developed model can serve as a strategic reference for private universities in designing and implementing adaptive and long-term impactful service innovation policies</w:t>
      </w:r>
      <w:r w:rsidR="00E85CF2">
        <w:rPr>
          <w:rFonts w:ascii="Arial" w:eastAsia="Calibri" w:hAnsi="Arial" w:cs="Arial"/>
          <w:szCs w:val="22"/>
        </w:rPr>
        <w:t xml:space="preserve">. </w:t>
      </w:r>
      <w:r w:rsidR="00E85CF2" w:rsidRPr="00E85CF2">
        <w:rPr>
          <w:rFonts w:ascii="Arial" w:eastAsia="Calibri" w:hAnsi="Arial" w:cs="Arial"/>
          <w:szCs w:val="22"/>
          <w:highlight w:val="yellow"/>
        </w:rPr>
        <w:t>This study will benefit private universities in improving academic quality through sustainable service innovation</w:t>
      </w:r>
      <w:r w:rsidR="00E85CF2" w:rsidRPr="00E85CF2">
        <w:rPr>
          <w:rFonts w:ascii="Arial" w:eastAsia="Calibri" w:hAnsi="Arial" w:cs="Arial"/>
          <w:color w:val="FF0000"/>
          <w:szCs w:val="22"/>
          <w:highlight w:val="yellow"/>
        </w:rPr>
        <w:t>.</w:t>
      </w:r>
      <w:r w:rsidR="00E85CF2">
        <w:rPr>
          <w:rFonts w:ascii="Arial" w:eastAsia="Calibri" w:hAnsi="Arial" w:cs="Arial"/>
          <w:color w:val="FF0000"/>
          <w:szCs w:val="22"/>
        </w:rPr>
        <w:t xml:space="preserve"> </w:t>
      </w:r>
    </w:p>
    <w:p w14:paraId="31F362B3" w14:textId="77777777" w:rsidR="00551101" w:rsidRDefault="00551101">
      <w:pPr>
        <w:snapToGrid w:val="0"/>
        <w:spacing w:line="276" w:lineRule="auto"/>
        <w:jc w:val="both"/>
        <w:rPr>
          <w:rFonts w:asciiTheme="majorHAnsi" w:hAnsiTheme="majorHAnsi" w:cstheme="majorHAnsi"/>
        </w:rPr>
      </w:pPr>
    </w:p>
    <w:p w14:paraId="611E3362" w14:textId="77777777" w:rsidR="00551101" w:rsidRDefault="0056152E">
      <w:pPr>
        <w:pStyle w:val="Body"/>
        <w:spacing w:after="0"/>
        <w:rPr>
          <w:rFonts w:ascii="Arial" w:hAnsi="Arial" w:cs="Arial"/>
          <w:i/>
        </w:rPr>
      </w:pPr>
      <w:r>
        <w:rPr>
          <w:rFonts w:ascii="Arial" w:hAnsi="Arial" w:cs="Arial"/>
          <w:i/>
        </w:rPr>
        <w:t>Keywords: Service Innovation, Academic Quality, Private Higher Education Institutions, Sustainable Innovation Management, Theoretical Conceptual Framework</w:t>
      </w:r>
    </w:p>
    <w:p w14:paraId="5EA625F2" w14:textId="77777777" w:rsidR="00551101" w:rsidRDefault="00551101">
      <w:pPr>
        <w:snapToGrid w:val="0"/>
        <w:spacing w:line="276" w:lineRule="auto"/>
        <w:jc w:val="both"/>
        <w:rPr>
          <w:rFonts w:asciiTheme="majorHAnsi" w:hAnsiTheme="majorHAnsi" w:cstheme="majorHAnsi"/>
        </w:rPr>
      </w:pPr>
    </w:p>
    <w:p w14:paraId="270A8B9C" w14:textId="77777777" w:rsidR="00551101" w:rsidRDefault="0056152E">
      <w:pPr>
        <w:pStyle w:val="AbstHead"/>
        <w:spacing w:after="0"/>
        <w:jc w:val="both"/>
        <w:rPr>
          <w:rFonts w:ascii="Arial" w:hAnsi="Arial" w:cs="Arial"/>
        </w:rPr>
      </w:pPr>
      <w:r>
        <w:rPr>
          <w:rFonts w:ascii="Arial" w:hAnsi="Arial" w:cs="Arial"/>
        </w:rPr>
        <w:t>Introduction</w:t>
      </w:r>
    </w:p>
    <w:p w14:paraId="5A9A9937" w14:textId="77777777" w:rsidR="00551101" w:rsidRDefault="0056152E">
      <w:pPr>
        <w:pStyle w:val="Body"/>
        <w:snapToGrid w:val="0"/>
        <w:spacing w:after="120"/>
        <w:rPr>
          <w:rFonts w:ascii="Arial" w:hAnsi="Arial" w:cs="Arial"/>
        </w:rPr>
      </w:pPr>
      <w:r>
        <w:rPr>
          <w:rFonts w:ascii="Arial" w:hAnsi="Arial" w:cs="Arial"/>
        </w:rPr>
        <w:t xml:space="preserve">Private universities play an important role in supporting equal access to higher education and improving the quality of human resources </w:t>
      </w:r>
      <w:r>
        <w:rPr>
          <w:rFonts w:ascii="Arial" w:hAnsi="Arial" w:cs="Arial"/>
        </w:rPr>
        <w:fldChar w:fldCharType="begin" w:fldLock="1"/>
      </w:r>
      <w:r>
        <w:rPr>
          <w:rFonts w:ascii="Arial" w:hAnsi="Arial" w:cs="Arial"/>
        </w:rPr>
        <w:instrText>ADDIN CSL_CITATION {"citationItems":[{"id":"ITEM-1","itemData":{"DOI":"10.36346/sarjhss.2025.v07i01.008","ISSN":"26644002","abstract":"The quality of human resources at private universities in the Mekong Delta is pivotal to the region’s socio-economic development and the success of its higher education system. Despite notable growth, these institutions face underqualified faculty, limited professional development, and insufficient industry partnerships, which hinder their ability to meet the demands of a competitive job market. This paper adopts a mixed-methods approach, combining qualitative and quantitative research techniques to explore the key issues affecting human resource quality at private universities. Through surveys and interviews with faculty members, administrators, and industry stakeholders, the study gathers insights into current challenges and potential areas for improvement. Additionally, the research analyzes secondary data from policy documents, institutional reports, and case studies of successful models from other regions and countries. The findings emphasize the necessity of comprehensive faculty development programs, including ongoing professional training, research opportunities, and competitive compensation to attract and retain qualified educators. The study also underscores the importance of aligning academic programs with industry needs through enhanced collaboration between universities and businesses. Furthermore, government support in the form of policy reforms, funding, and quality assurance measures is deemed essential to create parity between public and private institutions. Moreover, the research highlights the need for digital transformation at private universities to address the rising demand for online and hybrid learning models. By leveraging a robust methodological framework, this research provides actionable strategies for private universities in the Mekong Delta to strengthen their human resource capabilities and produce a skilled workforce that supports regional and national development.","author":[{"dropping-particle":"","family":"Bich","given":"Luong Ngoc","non-dropping-particle":"","parse-names":false,"suffix":""}],"container-title":"South Asian Research Journal of Humanities and Social Sciences","id":"ITEM-1","issue":"01","issued":{"date-parts":[["2025"]]},"page":"21-30","title":"Improving the Quality of Human Resources at Private Universities in the Mekong Delta – Vietnam","type":"article-journal","volume":"7"},"uris":["http://www.mendeley.com/documents/?uuid=976773af-ed35-40b2-98fc-85bce26980ed"]},{"id":"ITEM-2","itemData":{"DOI":"10.1177/2158244015624950","abstract":"… of a given economy. This study identified factors of leadership and governance in private higher education institutions in Ethiopia that may contribute to a declining quality of education. …","author":[{"dropping-particle":"","family":"Yirdaw","given":"A","non-dropping-particle":"","parse-names":false,"suffix":""}],"container-title":"SAGE open","id":"ITEM-2","issued":{"date-parts":[["2016"]]},"note":"Cited By (since 2016): 102","publisher":"journals.sagepub.com","title":"Quality of education in private higher institutions in Ethiopia: The role of governance","type":"article-journal"},"uris":["http://www.mendeley.com/documents/?uuid=3035c494-b585-4a86-a14e-382badb9951d"]}],"mendeley":{"formattedCitation":"(Bich, 2025; Yirdaw, 2016)"},"properties":{"noteIndex":0},"schema":"https://github.com/citation-style-language/schema/raw/master/csl-citation.json"}</w:instrText>
      </w:r>
      <w:r>
        <w:rPr>
          <w:rFonts w:ascii="Arial" w:hAnsi="Arial" w:cs="Arial"/>
        </w:rPr>
        <w:fldChar w:fldCharType="separate"/>
      </w:r>
      <w:r>
        <w:rPr>
          <w:rFonts w:ascii="Arial" w:hAnsi="Arial" w:cs="Arial"/>
        </w:rPr>
        <w:t>(Bich, 2025; Yirdaw, 2016)</w:t>
      </w:r>
      <w:r>
        <w:rPr>
          <w:rFonts w:ascii="Arial" w:hAnsi="Arial" w:cs="Arial"/>
        </w:rPr>
        <w:fldChar w:fldCharType="end"/>
      </w:r>
      <w:r>
        <w:rPr>
          <w:rFonts w:ascii="Arial" w:hAnsi="Arial" w:cs="Arial"/>
        </w:rPr>
        <w:t xml:space="preserve"> . Amidst the demands of the digital age and globalisation, private universities are not only required to provide education, but also to ensure that academic quality continues to improve in line with national and international standards </w:t>
      </w:r>
      <w:r>
        <w:rPr>
          <w:rFonts w:ascii="Arial" w:hAnsi="Arial" w:cs="Arial"/>
        </w:rPr>
        <w:fldChar w:fldCharType="begin" w:fldLock="1"/>
      </w:r>
      <w:r>
        <w:rPr>
          <w:rFonts w:ascii="Arial" w:hAnsi="Arial" w:cs="Arial"/>
        </w:rPr>
        <w:instrText>ADDIN CSL_CITATION {"citationItems":[{"id":"ITEM-1","itemData":{"DOI":"https://doi.org/10.1007/s10639-022-10924-w","ISSN":"1360-2357","author":[{"dropping-particle":"","family":"Mohamed Hashim","given":"Mohamed Ashmel","non-dropping-particle":"","parse-names":false,"suffix":""},{"dropping-particle":"","family":"Tlemsani","given":"Issam","non-dropping-particle":"","parse-names":false,"suffix":""},{"dropping-particle":"","family":"Matthews","given":"Robin","non-dropping-particle":"","parse-names":false,"suffix":""}],"container-title":"Education and Information Technologies","id":"ITEM-1","issue":"3","issued":{"date-parts":[["2022"]]},"page":"3171-3195","publisher":"Springer","title":"Higher education strategy in digital transformation","type":"article-journal","volume":"27"},"uris":["http://www.mendeley.com/documents/?uuid=05da325e-be2a-4256-8cb3-ba9630b691ee"]}],"mendeley":{"formattedCitation":"(Mohamed Hashim et al., 2022)"},"properties":{"noteIndex":0},"schema":"https://github.com/citation-style-language/schema/raw/master/csl-citation.json"}</w:instrText>
      </w:r>
      <w:r>
        <w:rPr>
          <w:rFonts w:ascii="Arial" w:hAnsi="Arial" w:cs="Arial"/>
        </w:rPr>
        <w:fldChar w:fldCharType="separate"/>
      </w:r>
      <w:r>
        <w:rPr>
          <w:rFonts w:ascii="Arial" w:hAnsi="Arial" w:cs="Arial"/>
        </w:rPr>
        <w:t>(Mohamed Hashim et al., 2022)</w:t>
      </w:r>
      <w:r>
        <w:rPr>
          <w:rFonts w:ascii="Arial" w:hAnsi="Arial" w:cs="Arial"/>
        </w:rPr>
        <w:fldChar w:fldCharType="end"/>
      </w:r>
      <w:r>
        <w:rPr>
          <w:rFonts w:ascii="Arial" w:hAnsi="Arial" w:cs="Arial"/>
        </w:rPr>
        <w:t xml:space="preserve">. Academic quality essentially encompasses the quality of the learning process, curriculum relevance, lecturer performance, student achievement, research output, and contribution to community service </w:t>
      </w:r>
      <w:r>
        <w:rPr>
          <w:rFonts w:ascii="Arial" w:hAnsi="Arial" w:cs="Arial"/>
        </w:rPr>
        <w:fldChar w:fldCharType="begin" w:fldLock="1"/>
      </w:r>
      <w:r>
        <w:rPr>
          <w:rFonts w:ascii="Arial" w:hAnsi="Arial" w:cs="Arial"/>
        </w:rPr>
        <w:instrText>ADDIN CSL_CITATION {"citationItems":[{"id":"ITEM-1","itemData":{"DOI":"10.1108/TQM-04-2021-0115","ISSN":"1754-2731","abstract":"The higher education system has been entrusted globally to provide quality education, especially to the youth, and equip them with required skills and capabilities. The visionaries and policymakers of the countries around the world have been working relentlessly to improve the standard of the higher education system by establishing national and global accreditation and ranking bodies and expecting measuring performance through setting up accreditation and ranking parameters. This paper focuses on the review of Indian university accreditation and ranking system and determining its efficacy in improving academic quality for achieving good position in global quality accreditation and ranking.The study employed exploratory research approach to know about the accreditation and ranking issues of Indian higher education institutions to overcome the challenges for being globally competitive. The accreditation and ranking parameters and score of leading Indian universities was collected from secondary data sources. Similarly, the global ranking parameters and scores of these Indian universities with top global universities was explored. The performance gaps of Indian university in global academic quality parameter is assessed by comparing it with scores of global top universities. Further, each domestic and global accreditation and ranking parameters have been taken up for discussion.The study identified teaching and learning, research and industry collaboration as common parameter in the accreditation and ranking by Indian and global accreditation and ranking body. Furthermore, the study revealed that Indian accreditation and ranking body assess leniently on parameters and award high scores as compared to rigorous global accreditation and ranking practice. The study revealed that “research” and “citations” are important parameters for securing prestigious position in global ranking, this is the reason Indian universities are trailing. The study exposed that Indian academic fraternity lack prominence in research, publication and citations as per need of global accreditation and ranking standards.The limitation of this study is that it focused only on few Indian and global accreditation and ranking bodies. The future implication of this study will be the use of methodology designed in this study for comparing accreditation and ranking bodies’ parameters of different continents and countries in different economic development stages i.e. emerging and developed econ…","author":[{"dropping-particle":"","family":"Fernandes","given":"Jerald Ozee","non-dropping-particle":"","parse-names":false,"suffix":""},{"dropping-particle":"","family":"Singh","given":"Balgopal","non-dropping-particle":"","parse-names":false,"suffix":""}],"container-title":"The TQM Journal","id":"ITEM-1","issue":"5","issued":{"date-parts":[["2021","7","30"]]},"page":"1013-1038","title":"Accreditation and ranking of higher education institutions (HEIs): review, observations and recommendations for the Indian higher education system","type":"article-journal","volume":"34"},"uris":["http://www.mendeley.com/documents/?uuid=1c1f7fc9-d08b-43b6-b7b2-a0b59d20104b"]},{"id":"ITEM-2","itemData":{"author":[{"dropping-particle":"","family":"Maiya","given":"Adithya Kumar","non-dropping-particle":"","parse-names":false,"suffix":""},{"dropping-particle":"","family":"Aithal","given":"P S","non-dropping-particle":"","parse-names":false,"suffix":""}],"container-title":"Maiya, AK, &amp; Aithal, PS,(2023). A Review based Research Topic Identification on How to Improve the Quality Services of Higher Education Institutions in Academic, Administrative, and Research Areas. International Journal of Management, Technology, and Soci","id":"ITEM-2","issue":"3","issued":{"date-parts":[["2023"]]},"page":"103-153","title":"A review-based research topic identification on how to improve the quality services of higher education institutions in academic, administrative, and research areas","type":"article-journal","volume":"8"},"uris":["http://www.mendeley.com/documents/?uuid=14fc3376-016a-4f76-99fd-6be57b7770b9"]},{"id":"ITEM-3","itemData":{"DOI":"10.1108/JEAS-08-2018-0092","ISSN":"2054-6238","abstract":"This paper aims to study the relationship between higher education accreditation and teaching and learning enhancements in academic institutions. Higher education institutions are now looking at satisfying the standard by standard list assigned by internationally recognized accreditation agencies. The purpose of this paper is to investigate whether outside quality confirmation can truly influence the inward life of higher education institutions. Will accreditation implementation have an impact on teaching and learning enhancement and drive institution change?This study was based on an explanatory qualitative design whereby individual faculty members who are tenured or in tenure-track positions in business schools in Lebanese universities were interviewed. The latter universities from which interviewees were questioned are either the Association to Advance Collegiate Schools of Business (AACSB) accredited or currently pursuing accreditation. The sample included 30 faculty members from four different higher education Lebanese institutions.Following thorough review of previous literature, and building on the outcomes of the interviews conducted for the purpose of this research, the author deduced that AACSB serves as the optimal guiding mechanism that incorporates effective evaluation criteria for learning quality and universities. There also exist a lack of commonality and shared standards among accrediting agencies. The researchers also highlight the need to introduce further quantification into the accrediting measures adopted including faculty retention and student attrition rates.Ranking agencies were not considered in this study. Those can be used to assess the effectiveness of higher education institutions and will provide fair quality assurance of learning. It is encouraged to incorporate the ranking agencies variable within the scope of future studies for further analysis.The paper includes the need to introduce further quantification into the accrediting measures adopted including faculty retention and student attrition rates.The focus of this study will be of particular interest to Business school seeking or maintaining accreditation. It will also be of interest to the Lebanese government if they want to look at having a regional accreditation. Future research could possibly explore the need to have a regional accreditation especially with the emerging numbers of higher education institutions in Lebanon.","author":[{"dropping-particle":"","family":"Makhoul","given":"Samar Aad","non-dropping-particle":"","parse-names":false,"suffix":""}],"container-title":"Journal of Economic and Administrative Sciences","id":"ITEM-3","issue":"4","issued":{"date-parts":[["2019","6","28"]]},"page":"235-250","title":"Higher education accreditation, quality assurance and their impact to teaching and learning enhancement","type":"article-journal","volume":"35"},"uris":["http://www.mendeley.com/documents/?uuid=60b62aa1-0e19-4f1c-8b56-b4152ad77968"]},{"id":"ITEM-4","itemData":{"DOI":"10.1080/03075079.2015.1104659","ISSN":"0307-5079","author":[{"dropping-particle":"","family":"Cadez","given":"Simon","non-dropping-particle":"","parse-names":false,"suffix":""},{"dropping-particle":"","family":"Dimovski","given":"Vlado","non-dropping-particle":"","parse-names":false,"suffix":""},{"dropping-particle":"","family":"Zaman Groff","given":"Maja","non-dropping-particle":"","parse-names":false,"suffix":""}],"container-title":"Studies in Higher Education","id":"ITEM-4","issue":"8","issued":{"date-parts":[["2017","8","3"]]},"note":"doi: 10.1080/03075079.2015.1104659","page":"1455-1473","publisher":"SRHE Website","title":"Research, teaching and performance evaluation in academia: the salience of quality","type":"article-journal","volume":"42"},"uris":["http://www.mendeley.com/documents/?uuid=ce23d0ea-c65e-4ed1-9aca-a7f1efd6338d"]}],"mendeley":{"formattedCitation":"(Cadez et al., 2017; Fernandes &amp; Singh, 2021; Maiya &amp; Aithal, 2023; Makhoul, 2019)"},"properties":{"noteIndex":0},"schema":"https://github.com/citation-style-language/schema/raw/master/csl-citation.json"}</w:instrText>
      </w:r>
      <w:r>
        <w:rPr>
          <w:rFonts w:ascii="Arial" w:hAnsi="Arial" w:cs="Arial"/>
        </w:rPr>
        <w:fldChar w:fldCharType="separate"/>
      </w:r>
      <w:r>
        <w:rPr>
          <w:rFonts w:ascii="Arial" w:hAnsi="Arial" w:cs="Arial"/>
        </w:rPr>
        <w:t>(Cadez et al., 2017; Fernandes &amp; Singh, 2021; Maiya &amp; Aithal, 2023; Makhoul, 2019)</w:t>
      </w:r>
      <w:r>
        <w:rPr>
          <w:rFonts w:ascii="Arial" w:hAnsi="Arial" w:cs="Arial"/>
        </w:rPr>
        <w:fldChar w:fldCharType="end"/>
      </w:r>
      <w:r>
        <w:rPr>
          <w:rFonts w:ascii="Arial" w:hAnsi="Arial" w:cs="Arial"/>
        </w:rPr>
        <w:t>. Thus, academic quality is a comprehensive picture of the quality of a higher education institution's performance in carrying out its three pillars consistently and measurably.</w:t>
      </w:r>
    </w:p>
    <w:p w14:paraId="77F4BFFF" w14:textId="4584C68D" w:rsidR="00551101" w:rsidRDefault="0056152E">
      <w:pPr>
        <w:pStyle w:val="Body"/>
        <w:snapToGrid w:val="0"/>
        <w:spacing w:after="120"/>
        <w:rPr>
          <w:rFonts w:ascii="Arial" w:hAnsi="Arial" w:cs="Arial"/>
        </w:rPr>
      </w:pPr>
      <w:r>
        <w:rPr>
          <w:rFonts w:ascii="Arial" w:hAnsi="Arial" w:cs="Arial"/>
        </w:rPr>
        <w:t xml:space="preserve">In this context, innovation is one of the main instruments for promoting academic quality. In general, innovation can be understood as a process of renewal or creation of something new, whether in the form of products, methods, or systems that provide added value and greater benefits compared to previous conditions </w:t>
      </w:r>
      <w:r>
        <w:rPr>
          <w:rFonts w:ascii="Arial" w:hAnsi="Arial" w:cs="Arial"/>
        </w:rPr>
        <w:fldChar w:fldCharType="begin" w:fldLock="1"/>
      </w:r>
      <w:r>
        <w:rPr>
          <w:rFonts w:ascii="Arial" w:hAnsi="Arial" w:cs="Arial"/>
        </w:rPr>
        <w:instrText>ADDIN CSL_CITATION {"citationItems":[{"id":"ITEM-1","itemData":{"DOI":"https://doi.org/10.1016/j.bushor.2018.01.011","ISSN":"0007-6813","abstract":"While innovation has become a pervasive term, many of today’s organizations still find innovation elusive. One reason may be that much of what is being said about innovation contributes to misunderstanding. To truly manifest innovation and reap its benefits, one must recognize that innovation is three different things: innovation is an outcome, innovation is a process, and innovation is a mindset. Innovation as an outcome emphasizes what output is sought, including product innovation, process innovation, marketing innovation, business model innovation, supply chain innovation, and organizational innovation. Innovation as a process attends to the way in which innovation should be organized so that outcomes can come to fruition; this includes an overall innovation process and a new product development process. Innovation as a mindset addresses the internalization of innovation by individual members of the organization where innovation is instilled and ingrained along with the creation of a supportive organizational culture that allows innovation to flourish. Such an understanding defines necessary elements, considerations, and vernacular surrounding the term so that better decisions can be made, thereby enabling innovation and having a greater propensity to succeed.","author":[{"dropping-particle":"","family":"Kahn","given":"Kenneth B","non-dropping-particle":"","parse-names":false,"suffix":""}],"container-title":"Business Horizons","id":"ITEM-1","issue":"3","issued":{"date-parts":[["2018"]]},"page":"453-460","title":"Understanding innovation","type":"article-journal","volume":"61"},"uris":["http://www.mendeley.com/documents/?uuid=8cdd123c-4a42-4aaa-b0ae-52b504ff53d0"]},{"id":"ITEM-2","itemData":{"DOI":"10.1007/978-3-319-76394-1_4","ISBN":"978-3-319-76394-1","abstract":"The transformation of the financial services implies new forms of innovation. There was a slow uptake of open innovation after we introduced the concept to financial services in 2009. Meanwhile banks recovered from the financial crisis, and with the simultaneous arrival of multiple disruptive trends, they took up innovation as a route to grow, differentiate, and survive. The banking, wealth, and asset management industry is facing competition from new market entrants that embrace open innovation from the beginning. We explain open innovation as a facilitator to create value for clients and businesses as it fits perfectly into the era of sharing, collaborating, and digitalization. Knowledge on how to manage the transition to open innovation and on how to provide a culture based on openness improved. Open innovation is all about learning and collaborating with firms – both inside and outside the traditional financial services industry – to capitalize opportunities arising out of the disruptive trends. We discuss the amalgamation of products, services, and processes. Value derives from efficiency gains for the provider along the opportunity to collect and analyse vast amount of data. Open innovation is the prerequisite for future value streams and must be realized in the business models of incumbents as well as fintechs and non-banks. Basic understanding is essential before defining new strategies, also because it is the enabler for further engagements in innovation ecosystems.","author":[{"dropping-particle":"","family":"Fasnacht","given":"Daniel","non-dropping-particle":"","parse-names":false,"suffix":""}],"editor":[{"dropping-particle":"","family":"Fasnacht","given":"Daniel","non-dropping-particle":"","parse-names":false,"suffix":""}],"id":"ITEM-2","issued":{"date-parts":[["2018"]]},"page":"97-130","publisher":"Springer International Publishing","publisher-place":"Cham","title":"Open Innovation in the Financial Services BT  - Open Innovation Ecosystems: Creating New Value Constellations in the Financial Services","type":"chapter"},"uris":["http://www.mendeley.com/documents/?uuid=a79c80e8-9528-4fbc-aa62-c2eaf1427de7"]},{"id":"ITEM-3","itemData":{"DOI":"10.47814/ijssrr.v8i9.2879","abstract":"This study aims to explore service innovations in enhancing academic quality at private universities in Gorontalo. The main problem identified is the low sustainability of innovation due to weak governance structures. Employing a qualitative approach with a case study method, the research was conducted at selected private universities in Gorontalo. Data were collected through interviews, observations, focus group discussions, and document analysis, and were analyzed thematically. The findings reveal that innovations are predominantly technical and administrative in nature and have yet to be fully integrated into institutional quality systems. Although the innovations demonstrate relative advantage, compatibility, complexity, trialability, and observability, their implementation remains suboptimal. The study recommends strengthening principles of sustainable innovation governance and integrating both intrinsic and extrinsic factors of the diffusion of innovation theory into institutional quality improvement practices. These findings offer conceptual contributions to the development of service innovations in higher education, particularly in a local contextual framework.","author":[{"dropping-particle":"","family":"Arsana","given":"I Kadek","non-dropping-particle":"","parse-names":false,"suffix":""},{"dropping-particle":"","family":"Ansar","given":"Ansar","non-dropping-particle":"","parse-names":false,"suffix":""},{"dropping-particle":"","family":"Hasim","given":"Hasim","non-dropping-particle":"","parse-names":false,"suffix":""},{"dropping-particle":"","family":"Abdussamad","given":"Juriko","non-dropping-particle":"","parse-names":false,"suffix":""},{"dropping-particle":"","family":"Aneta","given":"Yanti","non-dropping-particle":"","parse-names":false,"suffix":""}],"container-title":"International Journal of Social Science Research and Review","id":"ITEM-3","issue":"9 SE - Main Articles","issued":{"date-parts":[["2025","8","29"]]},"title":"Service Innovation in Enhancing Academic Quality at Private Higher Education Institution in Gorontalo: An Integrative Conceptual Approach Based on the Diffusion of Innovation Theory","type":"article-journal","volume":"8"},"uris":["http://www.mendeley.com/documents/?uuid=6fbe9535-79de-4ba3-b982-9adfc9e7375a"]}],"mendeley":{"formattedCitation":"(I. K. Arsana et al., 2025; Fasnacht, 2018; Kahn, 2018)"},"properties":{"noteIndex":0},"schema":"https://github.com/citation-style-language/schema/raw/master/csl-citation.json"}</w:instrText>
      </w:r>
      <w:r>
        <w:rPr>
          <w:rFonts w:ascii="Arial" w:hAnsi="Arial" w:cs="Arial"/>
        </w:rPr>
        <w:fldChar w:fldCharType="separate"/>
      </w:r>
      <w:r w:rsidR="00E85CF2">
        <w:rPr>
          <w:rFonts w:ascii="Arial" w:hAnsi="Arial" w:cs="Arial"/>
          <w:color w:val="FF0000"/>
        </w:rPr>
        <w:t>(</w:t>
      </w:r>
      <w:r>
        <w:rPr>
          <w:rFonts w:ascii="Arial" w:hAnsi="Arial" w:cs="Arial"/>
        </w:rPr>
        <w:t>Arsana et al., 2025; Fasnacht, 2018; Kahn, 2018)</w:t>
      </w:r>
      <w:r>
        <w:rPr>
          <w:rFonts w:ascii="Arial" w:hAnsi="Arial" w:cs="Arial"/>
        </w:rPr>
        <w:fldChar w:fldCharType="end"/>
      </w:r>
      <w:r>
        <w:rPr>
          <w:rFonts w:ascii="Arial" w:hAnsi="Arial" w:cs="Arial"/>
        </w:rPr>
        <w:t xml:space="preserve">. In higher education, innovation does not always mean a completely new discovery (radical innovation), but can also be in the form of improvements to systems, learning methods, or more efficient academic management (incremental innovation) </w:t>
      </w:r>
      <w:r>
        <w:rPr>
          <w:rFonts w:ascii="Arial" w:hAnsi="Arial" w:cs="Arial"/>
        </w:rPr>
        <w:fldChar w:fldCharType="begin" w:fldLock="1"/>
      </w:r>
      <w:r>
        <w:rPr>
          <w:rFonts w:ascii="Arial" w:hAnsi="Arial" w:cs="Arial"/>
        </w:rPr>
        <w:instrText>ADDIN CSL_CITATION {"citationItems":[{"id":"ITEM-1","itemData":{"DOI":"10.32702/2306-6814.2019.11.66","ISSN":"2306-6814","abstract":"Innovation is one of the most important forms of expanding the economic system's capabilities and competitiveness in a modern, dynamic world. Since the beginning of the 20th century, the theory of innovation has been developing, changing, and improving significantly and many scientific papers have been created on the topic of types of innovation. However, even today, scientists are confused in basic concepts, replacing one with another and taking one for the other without proper and inn depth terminology understanding. Although from innovation direction point of view, there is a clear distinction between types, some uncertainty in the levels (degrees) of innovations is present. For many years there have been many differences in the scientific literature, which significantly influenced both the inndepth understanding of the innovation concept and the quality of approaches to assessing the levels of innovation. The purpose of this paper is to inndepth review the literature on innovation types to identify approaches that emphasize the degree of innovation. We considered the different conclusions of the researchers step by step and argue that there is the problem of identifying one or another innovation in terms of its degree and find the disagreements in the scientific literature in basic concepts to understand high degree innovation. The most complete and extended definitions of incremental, semiiradical, radical, disruptive, and breakthrough innovation were proposed as well as Degree of Innovation matrix was created to clearly demonstrate the existing distinctive features of each individual degree of innovation. This paper contributes to the theoretical analysis of the impact of innovative knowledge, as well as broadens previously published scientific literature, analyzing its impact on understanding the types and degrees of innovation, as well as the relationships, characteristics and key differences between them. The results of the research is the conceptual basis supported by the scientific literature for the modern understanding of terminology in the field of innovation activities.","author":[{"dropping-particle":"","family":"Shestakov","given":"D.","non-dropping-particle":"","parse-names":false,"suffix":""},{"dropping-particle":"","family":"Poliarush","given":"O.","non-dropping-particle":"","parse-names":false,"suffix":""}],"container-title":"Investytsiyi: praktyka ta dosvid","id":"ITEM-1","issue":"11","issued":{"date-parts":[["2019"]]},"page":"66","title":"The Degree of Innovation: Through Incremental To Radical","type":"article-journal"},"uris":["http://www.mendeley.com/documents/?uuid=9d682d9e-1291-46e8-a0a2-23a489cf080b"]},{"id":"ITEM-2","itemData":{"DOI":"10.1148/radiol.2018171239","ISSN":"15271315","PMID":"29969069","abstract":"While the looming threat of large-scale disruptive innovation consumes disproportionate attention, incremental innovation remains an important tool for preserving and growing radiology practices within a dynamic marketplace. Incremental innovation, defined as the process of making improvements or additions to an organization while maintaining the organization’s core product or service model, is accessible to practices of all sizes and must not be overlooked if practices are to maintain their competitive advantage. This article explores cultural, structural, and process enablers for incremental innovation. Successful innovation cultures foster the ability to import and exploit external knowledge (adaptive capacity), encourage creative thought from all levels of the organization, display sensitivity toward the competency-destroying potential of certain changes, cultivate a positive perceptual bias toward organizational threats, and build tolerance for risk and uncertainty when prototyping new ideas. Structural elements promoting incremental innovation include dedicated resources for innovation planning, flexible and organic team structures, strong centralized governance models, robust communication systems, and organizational incentives encouraging exploration of new concepts. Processes important to innovation include periodic environmental scanning, strategic and scenario planning, use of an objectively gated system for testing and filtering new ideas, and use of an approach to implementation that emphasizes empowerment of project managers, removal of barriers, and proactive communication around change.","author":[{"dropping-particle":"","family":"Rubin","given":"Geoffrey D.","non-dropping-particle":"","parse-names":false,"suffix":""},{"dropping-particle":"","family":"Abramson","given":"Richard G.","non-dropping-particle":"","parse-names":false,"suffix":""}],"container-title":"Radiology","id":"ITEM-2","issue":"2","issued":{"date-parts":[["2018"]]},"page":"330-340","title":"Creating value through incremental innovation: Managing culture, structure, and process","type":"article-journal","volume":"288"},"uris":["http://www.mendeley.com/documents/?uuid=0a0f2b6c-36f3-456b-b444-52fb080ff94f"]},{"id":"ITEM-3","itemData":{"DOI":"https://doi.org/10.1016/j.technovation.2015.11.008","ISSN":"0166-4972","abstract":"Most research on innovation management at the organizational level has typically been focused on one specific innovation project phase or innovation management concept. This has resulted in many valuable insights, though scattered in different (innovation) research fields and studies. With the development of the Organizational Innovation System (OIS), we bring together important insights from the Innovation Systems, Open Innovation and other related fields into a guiding concept useful for both innovation managers developing (radical) innovations and innovation scholars. In this paper, we define the OIS and its key structural components, and discuss the identified functions and categories of potential imperfections. With the OIS, we provide a holistic, hands-on concept currently lacking in the open innovation approach. From the conceptualization, a framework for analysis is put forward which provides structure to the study of ongoing and finished innovation processes. Additionally, the development of the OIS is a first step in the development of a currently underdeveloped micro-level within the innovation systems perspective. The insights in OISs and the future insights derived from analytical efforts, will not only be beneficial for the performance of innovating organizations and organizational innovation systems but also for the performance of the higher, interconnected system levels.","author":[{"dropping-particle":"","family":"Lancker","given":"Jonas","non-dropping-particle":"Van","parse-names":false,"suffix":""},{"dropping-particle":"","family":"Mondelaers","given":"Koen","non-dropping-particle":"","parse-names":false,"suffix":""},{"dropping-particle":"","family":"Wauters","given":"Erwin","non-dropping-particle":"","parse-names":false,"suffix":""},{"dropping-particle":"","family":"Huylenbroeck","given":"Guido","non-dropping-particle":"Van","parse-names":false,"suffix":""}],"container-title":"Technovation","id":"ITEM-3","issued":{"date-parts":[["2016"]]},"page":"40-50","title":"The Organizational Innovation System: A systemic framework for radical innovation at the organizational level","type":"article-journal","volume":"52-53"},"uris":["http://www.mendeley.com/documents/?uuid=996d7e7b-e8d2-4307-b943-ae0f569ccab7"]}],"mendeley":{"formattedCitation":"(Rubin &amp; Abramson, 2018; Shestakov &amp; Poliarush, 2019; Van Lancker et al., 2016)"},"properties":{"noteIndex":0},"schema":"https://github.com/citation-style-language/schema/raw/master/csl-citation.json"}</w:instrText>
      </w:r>
      <w:r>
        <w:rPr>
          <w:rFonts w:ascii="Arial" w:hAnsi="Arial" w:cs="Arial"/>
        </w:rPr>
        <w:fldChar w:fldCharType="separate"/>
      </w:r>
      <w:r>
        <w:rPr>
          <w:rFonts w:ascii="Arial" w:hAnsi="Arial" w:cs="Arial"/>
        </w:rPr>
        <w:t xml:space="preserve">(Rubin &amp; </w:t>
      </w:r>
      <w:r>
        <w:rPr>
          <w:rFonts w:ascii="Arial" w:hAnsi="Arial" w:cs="Arial"/>
        </w:rPr>
        <w:lastRenderedPageBreak/>
        <w:t>Abramson, 2018; Shestakov &amp; Poliarush, 2019; Van Lancker et al., 2016)</w:t>
      </w:r>
      <w:r>
        <w:rPr>
          <w:rFonts w:ascii="Arial" w:hAnsi="Arial" w:cs="Arial"/>
        </w:rPr>
        <w:fldChar w:fldCharType="end"/>
      </w:r>
      <w:r>
        <w:rPr>
          <w:rFonts w:ascii="Arial" w:hAnsi="Arial" w:cs="Arial"/>
        </w:rPr>
        <w:t>. Thus, innovation can be viewed as an adaptation strategy that enables higher education institutions to remain relevant and competitive in the face of changing times.</w:t>
      </w:r>
    </w:p>
    <w:p w14:paraId="11C1D79B" w14:textId="7F86AF8E" w:rsidR="00E85CF2" w:rsidRDefault="00E85CF2">
      <w:pPr>
        <w:pStyle w:val="Body"/>
        <w:snapToGrid w:val="0"/>
        <w:spacing w:after="120"/>
        <w:rPr>
          <w:rFonts w:ascii="Arial" w:hAnsi="Arial" w:cs="Arial"/>
        </w:rPr>
      </w:pPr>
      <w:r w:rsidRPr="00E85CF2">
        <w:rPr>
          <w:rFonts w:ascii="Arial" w:hAnsi="Arial" w:cs="Arial"/>
          <w:highlight w:val="yellow"/>
        </w:rPr>
        <w:t>The purpose of this study is to develop a theoretical conceptual framework model of service innovation that contributes to the improvement of academic quality in private universities in Gorontalo through the integration of sustainable innovation governance principles.</w:t>
      </w:r>
    </w:p>
    <w:p w14:paraId="6D09D697" w14:textId="3F025ED3" w:rsidR="00E85CF2" w:rsidRDefault="00E85CF2">
      <w:pPr>
        <w:pStyle w:val="Body"/>
        <w:snapToGrid w:val="0"/>
        <w:spacing w:after="120"/>
        <w:rPr>
          <w:rFonts w:ascii="Arial" w:hAnsi="Arial" w:cs="Arial"/>
        </w:rPr>
      </w:pPr>
      <w:r w:rsidRPr="00E85CF2">
        <w:rPr>
          <w:rFonts w:ascii="Arial" w:hAnsi="Arial" w:cs="Arial"/>
          <w:highlight w:val="yellow"/>
        </w:rPr>
        <w:t xml:space="preserve">Theoretically, this study strengthens the scientific development of innovation adoption in higher education by </w:t>
      </w:r>
      <w:proofErr w:type="spellStart"/>
      <w:r w:rsidRPr="00E85CF2">
        <w:rPr>
          <w:rFonts w:ascii="Arial" w:hAnsi="Arial" w:cs="Arial"/>
          <w:highlight w:val="yellow"/>
        </w:rPr>
        <w:t>emphasising</w:t>
      </w:r>
      <w:proofErr w:type="spellEnd"/>
      <w:r w:rsidRPr="00E85CF2">
        <w:rPr>
          <w:rFonts w:ascii="Arial" w:hAnsi="Arial" w:cs="Arial"/>
          <w:highlight w:val="yellow"/>
        </w:rPr>
        <w:t xml:space="preserve"> governance as a key determinant for sustaining innovation impact. Practically, the proposed model can be used as a strategic reference by private universities in Gorontalo to design, implement, and evaluate service innovation policies that are more adaptive, measurable, and oriented toward long-term academic quality enhancement. Stakeholders such as university leaders, quality assurance units, and policymakers in higher education are expected to benefit directly from this study.</w:t>
      </w:r>
    </w:p>
    <w:p w14:paraId="3142168A" w14:textId="77777777" w:rsidR="00551101" w:rsidRDefault="0056152E">
      <w:pPr>
        <w:pStyle w:val="Body"/>
        <w:snapToGrid w:val="0"/>
        <w:spacing w:after="120"/>
        <w:rPr>
          <w:rFonts w:ascii="Arial" w:hAnsi="Arial" w:cs="Arial"/>
        </w:rPr>
      </w:pPr>
      <w:r>
        <w:rPr>
          <w:rFonts w:ascii="Arial" w:hAnsi="Arial" w:cs="Arial"/>
        </w:rPr>
        <w:t xml:space="preserve">More specifically, service innovation in higher education refers to innovations in the form of academic services, both administrative and pedagogical. Administrative service innovation includes the digitisation of academic information systems, integrated data management, and the acceleration of bureaucracy through information technology </w:t>
      </w:r>
      <w:r>
        <w:rPr>
          <w:rFonts w:ascii="Arial" w:hAnsi="Arial" w:cs="Arial"/>
        </w:rPr>
        <w:fldChar w:fldCharType="begin" w:fldLock="1"/>
      </w:r>
      <w:r>
        <w:rPr>
          <w:rFonts w:ascii="Arial" w:hAnsi="Arial" w:cs="Arial"/>
        </w:rPr>
        <w:instrText>ADDIN CSL_CITATION {"citationItems":[{"id":"ITEM-1","itemData":{"DOI":"https://doi.org/10.1016/j.jbusres.2015.12.055","ISSN":"0148-2963","abstract":"Research on service innovation appears in several research disciplines, with important contributions in marketing, management, and operations research. Although the concept is widely used, few research papers have explicitly defined service innovation. This dearth of research is the motivation for the present study. Through a systematic review of 1301 articles on service innovation appearing in academic journals between 1979 and 2014, this article examines research defining service innovation. The study identifies the key characteristics within 84 definitions of service innovation in different perspectives (assimilation, demarcation and synthesis) and shows how the meaning of the concept is changing. The review suggests that the large variety in definitions limits and hinders knowledge development of service innovation.","author":[{"dropping-particle":"","family":"Witell","given":"Lars","non-dropping-particle":"","parse-names":false,"suffix":""},{"dropping-particle":"","family":"Snyder","given":"Hannah","non-dropping-particle":"","parse-names":false,"suffix":""},{"dropping-particle":"","family":"Gustafsson","given":"Anders","non-dropping-particle":"","parse-names":false,"suffix":""},{"dropping-particle":"","family":"Fombelle","given":"Paul","non-dropping-particle":"","parse-names":false,"suffix":""},{"dropping-particle":"","family":"Kristensson","given":"Per","non-dropping-particle":"","parse-names":false,"suffix":""}],"container-title":"Journal of Business Research","id":"ITEM-1","issue":"8","issued":{"date-parts":[["2016"]]},"page":"2863-2872","title":"Defining service innovation: A review and synthesis","type":"article-journal","volume":"69"},"uris":["http://www.mendeley.com/documents/?uuid=4906f0d2-df0e-4286-8a53-7c8f81e69dfb"]},{"id":"ITEM-2","itemData":{"DOI":"https://doi.org/10.1016/j.jbusres.2016.01.009","ISSN":"0148-2963","abstract":"Service innovation acts as society's engine of renewal and provides the necessary catalyst for the service sector's economic growth. Despite service innovation's importance, the concept remains fuzzy and poorly defined. Building on an extensive and systematic review of 1046 academic articles, this research investigates and explores how service innovation is defined and used in research. Results identify four unique service innovation categorizations emphasizing the following traits: (1) degree of change, (2) type of change, (3) newness, and (4) means of provision. The results show that most research focuses inward and views service innovation as something (only) new to the firm. Interestingly, service innovation categorizations appear to neglect both customer value and financial performance.","author":[{"dropping-particle":"","family":"Snyder","given":"Hannah","non-dropping-particle":"","parse-names":false,"suffix":""},{"dropping-particle":"","family":"Witell","given":"Lars","non-dropping-particle":"","parse-names":false,"suffix":""},{"dropping-particle":"","family":"Gustafsson","given":"Anders","non-dropping-particle":"","parse-names":false,"suffix":""},{"dropping-particle":"","family":"Fombelle","given":"Paul","non-dropping-particle":"","parse-names":false,"suffix":""},{"dropping-particle":"","family":"Kristensson","given":"Per","non-dropping-particle":"","parse-names":false,"suffix":""}],"container-title":"Journal of Business Research","id":"ITEM-2","issue":"7","issued":{"date-parts":[["2016"]]},"page":"2401-2408","title":"Identifying categories of service innovation: A review and synthesis of the literature","type":"article-journal","volume":"69"},"uris":["http://www.mendeley.com/documents/?uuid=b8b8a58d-5efd-46ed-80d3-fe38cd97ff35"]}],"mendeley":{"formattedCitation":"(Snyder et al., 2016; Witell et al., 2016)","plainTextFormattedCitation":"(Snyder et al., 2016; Witell et al., 2016)","previouslyFormattedCitation":"(Snyder et al., 2016; Witell et al., 2016)"},"properties":{"noteIndex":0},"schema":"https://github.com/citation-style-language/schema/raw/master/csl-citation.json"}</w:instrText>
      </w:r>
      <w:r>
        <w:rPr>
          <w:rFonts w:ascii="Arial" w:hAnsi="Arial" w:cs="Arial"/>
        </w:rPr>
        <w:fldChar w:fldCharType="separate"/>
      </w:r>
      <w:r>
        <w:rPr>
          <w:rFonts w:ascii="Arial" w:hAnsi="Arial" w:cs="Arial"/>
        </w:rPr>
        <w:t>(Snyder et al., 2016; Witell et al., 2016)</w:t>
      </w:r>
      <w:r>
        <w:rPr>
          <w:rFonts w:ascii="Arial" w:hAnsi="Arial" w:cs="Arial"/>
        </w:rPr>
        <w:fldChar w:fldCharType="end"/>
      </w:r>
      <w:r>
        <w:rPr>
          <w:rFonts w:ascii="Arial" w:hAnsi="Arial" w:cs="Arial"/>
        </w:rPr>
        <w:t xml:space="preserve">. Meanwhile, pedagogical service innovations include the use of learning management systems (LMS), the implementation of blended learning, and project-based learning that emphasises academic outputs in the form of scientific articles, textbooks, and research-based creative products </w:t>
      </w:r>
      <w:r>
        <w:rPr>
          <w:rFonts w:ascii="Arial" w:hAnsi="Arial" w:cs="Arial"/>
        </w:rPr>
        <w:fldChar w:fldCharType="begin" w:fldLock="1"/>
      </w:r>
      <w:r>
        <w:rPr>
          <w:rFonts w:ascii="Arial" w:hAnsi="Arial" w:cs="Arial"/>
        </w:rPr>
        <w:instrText>ADDIN CSL_CITATION {"citationItems":[{"id":"ITEM-1","itemData":{"author":[{"dropping-particle":"","family":"Prapasanobol","given":"Vatcharaporn","non-dropping-particle":"","parse-names":false,"suffix":""},{"dropping-particle":"","family":"Vanichwatanavorachai","given":"Siriwan","non-dropping-particle":"","parse-names":false,"suffix":""}],"id":"ITEM-1","issued":{"date-parts":[["2022"]]},"publisher":"Silpakorn University","title":"A Model for Developing Pre-service Teachers’ Teaching Competencies by Using Project-Based and Creative Learning Management to Enhance Students' Creative Innovation Ability","type":"article"},"uris":["http://www.mendeley.com/documents/?uuid=bfbfadf3-4ee7-4a69-bf1e-ba198ca31370"]},{"id":"ITEM-2","itemData":{"ISBN":"9798886063196","author":[{"dropping-particle":"","family":"Muthuswamy","given":"P R","non-dropping-particle":"","parse-names":false,"suffix":""}],"id":"ITEM-2","issued":{"date-parts":[["2022"]]},"publisher":"Notion Press","title":"New age education models: Innovation and reform in the 21st century","type":"book"},"uris":["http://www.mendeley.com/documents/?uuid=16b9044c-98f6-49e6-aa6a-8a6e273c3882"]}],"mendeley":{"formattedCitation":"(Muthuswamy, 2022; Prapasanobol &amp; Vanichwatanavorachai, 2022)"},"properties":{"noteIndex":0},"schema":"https://github.com/citation-style-language/schema/raw/master/csl-citation.json"}</w:instrText>
      </w:r>
      <w:r>
        <w:rPr>
          <w:rFonts w:ascii="Arial" w:hAnsi="Arial" w:cs="Arial"/>
        </w:rPr>
        <w:fldChar w:fldCharType="separate"/>
      </w:r>
      <w:r>
        <w:rPr>
          <w:rFonts w:ascii="Arial" w:hAnsi="Arial" w:cs="Arial"/>
        </w:rPr>
        <w:t>(Muthuswamy, 2022; Prapasanobol &amp; Vanichwatanavorachai, 2022)</w:t>
      </w:r>
      <w:r>
        <w:rPr>
          <w:rFonts w:ascii="Arial" w:hAnsi="Arial" w:cs="Arial"/>
        </w:rPr>
        <w:fldChar w:fldCharType="end"/>
      </w:r>
      <w:r>
        <w:rPr>
          <w:rFonts w:ascii="Arial" w:hAnsi="Arial" w:cs="Arial"/>
        </w:rPr>
        <w:t xml:space="preserve">. </w:t>
      </w:r>
    </w:p>
    <w:p w14:paraId="4F67739D" w14:textId="77777777" w:rsidR="00551101" w:rsidRDefault="0056152E">
      <w:pPr>
        <w:pStyle w:val="Body"/>
        <w:snapToGrid w:val="0"/>
        <w:spacing w:after="120"/>
        <w:rPr>
          <w:rFonts w:ascii="Arial" w:hAnsi="Arial" w:cs="Arial"/>
        </w:rPr>
      </w:pPr>
      <w:r>
        <w:rPr>
          <w:rFonts w:ascii="Arial" w:hAnsi="Arial" w:cs="Arial"/>
        </w:rPr>
        <w:t xml:space="preserve">However, the success of service innovation in improving academic quality is not solely determined by technological superiority. Another factor that is equally important is the extent to which the innovation can be accepted, internalised, and understood by the entire academic community. Within the framework of innovation diffusion theory, the adoption of innovation is influenced by five main dimensions, namely relative advantage (advantages over the old system), compatibility (suitability with organisational values and culture), complexity (ease of use), trialability (opportunity to try), and observability (ease of observing results) </w:t>
      </w:r>
      <w:r>
        <w:rPr>
          <w:rFonts w:ascii="Arial" w:hAnsi="Arial" w:cs="Arial"/>
        </w:rPr>
        <w:fldChar w:fldCharType="begin" w:fldLock="1"/>
      </w:r>
      <w:r>
        <w:rPr>
          <w:rFonts w:ascii="Arial" w:hAnsi="Arial" w:cs="Arial"/>
        </w:rPr>
        <w:instrText>ADDIN CSL_CITATION {"citationItems":[{"id":"ITEM-1","itemData":{"author":[{"dropping-particle":"","family":"Rogers","given":"Everett M","non-dropping-particle":"","parse-names":false,"suffix":""},{"dropping-particle":"","family":"Singhal","given":"Arvind","non-dropping-particle":"","parse-names":false,"suffix":""},{"dropping-particle":"","family":"Quinlan","given":"Margaret M","non-dropping-particle":"","parse-names":false,"suffix":""}],"container-title":"An integrated approach to communication theory and research","id":"ITEM-1","issued":{"date-parts":[["2019"]]},"page":"415-434","publisher":"Routledge","title":"Diffusion of innovations 1","type":"chapter"},"uris":["http://www.mendeley.com/documents/?uuid=07c3f047-c0c6-47c9-8236-78b889f8bd02"]}],"mendeley":{"formattedCitation":"(Rogers et al., 2019)"},"properties":{"noteIndex":0},"schema":"https://github.com/citation-style-language/schema/raw/master/csl-citation.json"}</w:instrText>
      </w:r>
      <w:r>
        <w:rPr>
          <w:rFonts w:ascii="Arial" w:hAnsi="Arial" w:cs="Arial"/>
        </w:rPr>
        <w:fldChar w:fldCharType="separate"/>
      </w:r>
      <w:r>
        <w:rPr>
          <w:rFonts w:ascii="Arial" w:hAnsi="Arial" w:cs="Arial"/>
        </w:rPr>
        <w:t>(Rogers et al., 2019)</w:t>
      </w:r>
      <w:r>
        <w:rPr>
          <w:rFonts w:ascii="Arial" w:hAnsi="Arial" w:cs="Arial"/>
        </w:rPr>
        <w:fldChar w:fldCharType="end"/>
      </w:r>
      <w:r>
        <w:rPr>
          <w:rFonts w:ascii="Arial" w:hAnsi="Arial" w:cs="Arial"/>
        </w:rPr>
        <w:t xml:space="preserve">. </w:t>
      </w:r>
    </w:p>
    <w:p w14:paraId="4ECB32D0" w14:textId="77777777" w:rsidR="00551101" w:rsidRDefault="0056152E">
      <w:pPr>
        <w:pStyle w:val="Body"/>
        <w:snapToGrid w:val="0"/>
        <w:spacing w:after="120"/>
        <w:rPr>
          <w:rFonts w:ascii="Arial" w:hAnsi="Arial" w:cs="Arial"/>
        </w:rPr>
      </w:pPr>
      <w:r>
        <w:rPr>
          <w:rFonts w:ascii="Arial" w:hAnsi="Arial" w:cs="Arial"/>
        </w:rPr>
        <w:t xml:space="preserve">In relation to governance, the principle of sustainable innovation governance is a key factor that determines the long-term effectiveness of innovation </w:t>
      </w:r>
      <w:r>
        <w:rPr>
          <w:rFonts w:ascii="Arial" w:hAnsi="Arial" w:cs="Arial"/>
        </w:rPr>
        <w:fldChar w:fldCharType="begin" w:fldLock="1"/>
      </w:r>
      <w:r>
        <w:rPr>
          <w:rFonts w:ascii="Arial" w:hAnsi="Arial" w:cs="Arial"/>
        </w:rPr>
        <w:instrText>ADDIN CSL_CITATION {"citationItems":[{"id":"ITEM-1","itemData":{"DOI":"https://doi.org/10.1016/j.sbspro.2015.06.443","ISSN":"1877-0428","abstract":"Sustainable tourism development is now a necessity of time. All the parties involved in tourism should participate in efforts to sustainable tourism development. Sustainability, as the best way of doing business today, is a new concept in the tourism sector and sustainable tourism practices can be considered as a new type of innovation in the tourism industry. Therefore knowledge of the factors affecting tourism businesses to integrate sustainability in their activities is critical. Without this type of information, we are limited in our ability to design tools that work in the future to mitigate barriers and increase motivations tourism businesses to adopt sustainable tourism practices in their activity. Factors’ influencing in the integration of sustainable practices into business activities is very subject discussed in different industries and different scientific disciplines after the late 80's. However, a limited number of studies addressed perspective of tourism businesses to adopt sustainable tourism practices. These studies have used different theoretical models. This paper undertakes the analysis of these models from the review of literatures, giving their advantages and limitations in the study of the factors influencing businesses to adopt sustainable tourism practices. After analysis, the paper finally concludes that Rogers's theory on adaptation and diffusion of innovation is a suitable theoretical model in the study of factors influencing the adoption of sustainable tourism practices in tourism businesses.","author":[{"dropping-particle":"","family":"Dibra","given":"Mirjam","non-dropping-particle":"","parse-names":false,"suffix":""}],"container-title":"Procedia - Social and Behavioral Sciences","id":"ITEM-1","issued":{"date-parts":[["2015"]]},"page":"1453-1462","title":"Rogers Theory on Diffusion of Innovation-The Most Appropriate Theoretical Model in the Study of Factors Influencing the Integration of Sustainability in Tourism Businesses","type":"article-journal","volume":"195"},"uris":["http://www.mendeley.com/documents/?uuid=7f7c3449-0997-450b-ac67-4c03a2443dec"]}],"mendeley":{"formattedCitation":"(Dibra, 2015)"},"properties":{"noteIndex":0},"schema":"https://github.com/citation-style-language/schema/raw/master/csl-citation.json"}</w:instrText>
      </w:r>
      <w:r>
        <w:rPr>
          <w:rFonts w:ascii="Arial" w:hAnsi="Arial" w:cs="Arial"/>
        </w:rPr>
        <w:fldChar w:fldCharType="separate"/>
      </w:r>
      <w:r>
        <w:rPr>
          <w:rFonts w:ascii="Arial" w:hAnsi="Arial" w:cs="Arial"/>
        </w:rPr>
        <w:t>(Dibra, 2015)</w:t>
      </w:r>
      <w:r>
        <w:rPr>
          <w:rFonts w:ascii="Arial" w:hAnsi="Arial" w:cs="Arial"/>
        </w:rPr>
        <w:fldChar w:fldCharType="end"/>
      </w:r>
      <w:r>
        <w:rPr>
          <w:rFonts w:ascii="Arial" w:hAnsi="Arial" w:cs="Arial"/>
        </w:rPr>
        <w:t>. Good innovation governance does not only rely on technology, but also emphasises institutional commitment, consistency of implementation, and coordination between work units. Similarly, coordination between quality assurance units, lecturers, and university leaders is important so that the digital system does not merely serve as an administrative tool, but truly drives improvements in learning quality and academic accountability. In other words, sustainable innovation management is an institutional framework that ensures innovation does not merely become a passing trend, but is integrated into the organisational culture and supports continuous improvement in academic quality.</w:t>
      </w:r>
    </w:p>
    <w:p w14:paraId="64693B2A" w14:textId="77777777" w:rsidR="00551101" w:rsidRDefault="0056152E">
      <w:pPr>
        <w:pStyle w:val="Body"/>
        <w:snapToGrid w:val="0"/>
        <w:spacing w:after="120"/>
        <w:rPr>
          <w:rFonts w:ascii="Arial" w:hAnsi="Arial" w:cs="Arial"/>
        </w:rPr>
      </w:pPr>
      <w:r>
        <w:rPr>
          <w:rFonts w:ascii="Arial" w:hAnsi="Arial" w:cs="Arial"/>
        </w:rPr>
        <w:t xml:space="preserve">Academic quality reflects the quality of the implementation of the three pillars of higher education, which is assessed from various aspects, such as curriculum quality, lecturer competence, student participation in research, scientific publications, study programme accreditation, and relevance to community needs. High academic quality not only enhances the reputation of higher education institutions, but also has an impact on the competitiveness of graduates in the world of work </w:t>
      </w:r>
      <w:r>
        <w:rPr>
          <w:rFonts w:ascii="Arial" w:hAnsi="Arial" w:cs="Arial"/>
        </w:rPr>
        <w:fldChar w:fldCharType="begin" w:fldLock="1"/>
      </w:r>
      <w:r>
        <w:rPr>
          <w:rFonts w:ascii="Arial" w:hAnsi="Arial" w:cs="Arial"/>
        </w:rPr>
        <w:instrText>ADDIN CSL_CITATION {"citationItems":[{"id":"ITEM-1","itemData":{"DOI":"10.1057/hep.2014.27","ISSN":"1740-3863","abstract":"Since the mid-1990s, the pressure of globalization and the pressing demands of a knowledge economy led to a series of educational reforms. The focus of these was the promotion of quality education and massification of higher education. After the Asian financial crisis in 1997, the governments in different parts of Asia have implemented comprehensive reforms to their higher education systems in order to enhance their global competiveness. Confronted with increasing pressure for global university ranking, governments and universities in Asia have tried to adopt different strategies in terms of special funding schemes, and different forms of measures in shaping teaching, learning and research activities to enhance their global ranking. This article sets out against the context briefly outlined above to highlight major higher education transformations for global competitiveness, with particular reference to discuss policy responses, social consequences, and impact on the academic profession in Asia especially when major attention is geared towards the quest for global university ranking among universities in Asia.","author":[{"dropping-particle":"","family":"Mok","given":"Ka Ho","non-dropping-particle":"","parse-names":false,"suffix":""}],"container-title":"Higher Education Policy","id":"ITEM-1","issue":"1","issued":{"date-parts":[["2015"]]},"page":"1-15","title":"Higher Education Transformations for Global Competitiveness: Policy Responses, Social Consequences and Impact on the Academic Profession in Asia","type":"article-journal","volume":"28"},"uris":["http://www.mendeley.com/documents/?uuid=847d143d-ffda-4339-845f-589f2c5c9f8f"]},{"id":"ITEM-2","itemData":{"DOI":"10.1080/23322969.2018.1424562","ISSN":"2332-2969","author":[{"dropping-particle":"","family":"Hazelkorn","given":"Ellen","non-dropping-particle":"","parse-names":false,"suffix":""}],"container-title":"Policy Reviews in Higher Education","id":"ITEM-2","issue":"1","issued":{"date-parts":[["2018","1","2"]]},"note":"doi: 10.1080/23322969.2018.1424562","page":"4-31","publisher":"SRHE Website","title":"Reshaping the world order of higher education: the role and impact of rankings on national and global systems*","type":"article-journal","volume":"2"},"uris":["http://www.mendeley.com/documents/?uuid=c9200315-ad91-49c2-9af0-180bce1e32e4"]},{"id":"ITEM-3","itemData":{"ISBN":"9087907567","author":[{"dropping-particle":"","family":"Teichler","given":"Ulrich","non-dropping-particle":"","parse-names":false,"suffix":""}],"id":"ITEM-3","issued":{"date-parts":[["2019"]]},"publisher":"Brill","title":"Higher education and the world of work: Conceptual frameworks, comparative perspectives, empirical findings","type":"book","volume":"16"},"uris":["http://www.mendeley.com/documents/?uuid=b636cd58-2e38-4a56-ad5a-1e252283d654"]},{"id":"ITEM-4","itemData":{"DOI":"https://doi.org/10.1016/j.bushor.2016.01.003","ISSN":"0007-6813","abstract":"Like several other nonprofit and for-profit industries, the higher education sector has been subject to a series of fundamental challenges in the past decade. Education used to be considered a public good, provided by nonprofit organizations that were unexposed to market pressure and had clear societal missions. Now, education is becoming a global service delivered by quasi-companies in an ever-more complex and competitive knowledge marketplace. To cope with these challenges, higher education institutions need an appropriate strategy, a necessity reflected in numerous calls for research on strategy in the higher education sector. This article's purpose is to contribute to this discussion by providing prescriptive guidance to higher education managers and policy makers. To this end, it proposes a SWOT (strengths, weaknesses, opportunities, threats) analysis illustrating eight key trends that will impact higher education and academia in the short-to-medium term. Drawing from these trends, three core challenges are identified that higher education institutions will face and that have fundamental implications for research and practice: (1) the need to enhance prestige and market share; (2) the need to embrace an entrepreneurial mindset; and (3) the need to expand interactions and value co-creation with key stakeholders.","author":[{"dropping-particle":"","family":"Pucciarelli","given":"Francesca","non-dropping-particle":"","parse-names":false,"suffix":""},{"dropping-particle":"","family":"Kaplan","given":"Andreas","non-dropping-particle":"","parse-names":false,"suffix":""}],"container-title":"Business Horizons","id":"ITEM-4","issue":"3","issued":{"date-parts":[["2016"]]},"page":"311-320","title":"Competition and strategy in higher education: Managing complexity and uncertainty","type":"article-journal","volume":"59"},"uris":["http://www.mendeley.com/documents/?uuid=a9ee122e-11d8-4b8a-8eb3-df39b9e7cf08"]}],"mendeley":{"formattedCitation":"(Hazelkorn, 2018; Mok, 2015; Pucciarelli &amp; Kaplan, 2016; Teichler, 2019)"},"properties":{"noteIndex":0},"schema":"https://github.com/citation-style-language/schema/raw/master/csl-citation.json"}</w:instrText>
      </w:r>
      <w:r>
        <w:rPr>
          <w:rFonts w:ascii="Arial" w:hAnsi="Arial" w:cs="Arial"/>
        </w:rPr>
        <w:fldChar w:fldCharType="separate"/>
      </w:r>
      <w:r>
        <w:rPr>
          <w:rFonts w:ascii="Arial" w:hAnsi="Arial" w:cs="Arial"/>
        </w:rPr>
        <w:t>(Hazelkorn, 2018; Mok, 2015; Pucciarelli &amp; Kaplan, 2016; Teichler, 2019)</w:t>
      </w:r>
      <w:r>
        <w:rPr>
          <w:rFonts w:ascii="Arial" w:hAnsi="Arial" w:cs="Arial"/>
        </w:rPr>
        <w:fldChar w:fldCharType="end"/>
      </w:r>
      <w:r>
        <w:rPr>
          <w:rFonts w:ascii="Arial" w:hAnsi="Arial" w:cs="Arial"/>
        </w:rPr>
        <w:t>. Therefore, the relationship between service innovation and academic quality is relevant to study, particularly in the context of private higher education institutions that still face limitations in resources, infrastructure, and managerial challenges.</w:t>
      </w:r>
    </w:p>
    <w:p w14:paraId="340F9FC9" w14:textId="1004E976" w:rsidR="00551101" w:rsidRDefault="0056152E">
      <w:pPr>
        <w:pStyle w:val="Body"/>
        <w:snapToGrid w:val="0"/>
        <w:spacing w:after="120"/>
        <w:rPr>
          <w:rFonts w:ascii="Arial" w:hAnsi="Arial" w:cs="Arial"/>
        </w:rPr>
      </w:pPr>
      <w:r>
        <w:rPr>
          <w:rFonts w:ascii="Arial" w:hAnsi="Arial" w:cs="Arial"/>
        </w:rPr>
        <w:t>The context of private universities in Gorontalo clearly illustrates this dynamic. Despite various efforts to digitise and innovate learning, practices in the field still show gaps in implementation. Technical barriers such as network limitations, infrastructure, and system integration, as well as non-technical barriers such as work culture resistance, low technological literacy, and lack of lecturer participation, pose serious challenges in ensuring the effectiveness of innovation. Therefore, this research is important not only from a practical perspective but also from a theoretical perspective, particularly in developing a conceptual framework on how service innovations can contribute to academic quality when managed with sustainable governance principles.</w:t>
      </w:r>
    </w:p>
    <w:p w14:paraId="277D119C" w14:textId="6BD314FF" w:rsidR="00E85CF2" w:rsidRDefault="00E85CF2">
      <w:pPr>
        <w:pStyle w:val="Body"/>
        <w:snapToGrid w:val="0"/>
        <w:spacing w:after="120"/>
        <w:rPr>
          <w:rFonts w:ascii="Arial" w:hAnsi="Arial" w:cs="Arial"/>
        </w:rPr>
      </w:pPr>
      <w:r w:rsidRPr="00E85CF2">
        <w:rPr>
          <w:rFonts w:ascii="Arial" w:hAnsi="Arial" w:cs="Arial"/>
          <w:highlight w:val="yellow"/>
        </w:rPr>
        <w:t xml:space="preserve">This study is delimited to the context of private universities in Gorontalo, focusing specifically on academic service innovations related to teaching and learning, research, and community engagement. It does not </w:t>
      </w:r>
      <w:r w:rsidRPr="00E85CF2">
        <w:rPr>
          <w:rFonts w:ascii="Arial" w:hAnsi="Arial" w:cs="Arial"/>
          <w:highlight w:val="yellow"/>
        </w:rPr>
        <w:lastRenderedPageBreak/>
        <w:t>include public universities nor innovations in other institutional domains such as financial management, infrastructure development, or external partnership programs. Therefore, the proposed conceptual framework is intended primarily for application within private higher education institutions that share similar organizational characteristics.</w:t>
      </w:r>
    </w:p>
    <w:p w14:paraId="64F5D072" w14:textId="77777777" w:rsidR="00551101" w:rsidRDefault="0056152E">
      <w:pPr>
        <w:pStyle w:val="Body"/>
        <w:snapToGrid w:val="0"/>
        <w:spacing w:after="120"/>
        <w:rPr>
          <w:rFonts w:ascii="Arial" w:hAnsi="Arial" w:cs="Arial"/>
        </w:rPr>
      </w:pPr>
      <w:r>
        <w:rPr>
          <w:rFonts w:ascii="Arial" w:hAnsi="Arial" w:cs="Arial"/>
        </w:rPr>
        <w:t>Thus, this study attempts to formulate a theoretical conceptual framework model of service innovation in improving academic quality at Gorontalo Private Universities, which integrates the concepts of service innovation, academic quality, and sustainable innovation management. This model is expected to enrich scientific literature in the field of public administration and public service management, while also providing practical contributions to private universities in developing effective, adaptive, and sustainable innovation strategies.</w:t>
      </w:r>
    </w:p>
    <w:p w14:paraId="454A87B8" w14:textId="77777777" w:rsidR="00551101" w:rsidRDefault="0056152E">
      <w:pPr>
        <w:pStyle w:val="AbstHead"/>
        <w:spacing w:after="0"/>
        <w:jc w:val="both"/>
        <w:rPr>
          <w:rFonts w:ascii="Arial" w:hAnsi="Arial" w:cs="Arial"/>
        </w:rPr>
      </w:pPr>
      <w:r>
        <w:rPr>
          <w:rFonts w:ascii="Arial" w:hAnsi="Arial" w:cs="Arial"/>
        </w:rPr>
        <w:t>material and methods</w:t>
      </w:r>
    </w:p>
    <w:p w14:paraId="574583AC" w14:textId="77777777" w:rsidR="00551101" w:rsidRDefault="00E85CF2">
      <w:pPr>
        <w:pStyle w:val="Body"/>
        <w:snapToGrid w:val="0"/>
        <w:spacing w:after="120"/>
        <w:rPr>
          <w:rFonts w:ascii="Arial" w:hAnsi="Arial" w:cs="Arial"/>
        </w:rPr>
      </w:pPr>
      <w:r>
        <w:rPr>
          <w:rFonts w:ascii="Arial" w:hAnsi="Arial" w:cs="Arial"/>
        </w:rPr>
        <w:t xml:space="preserve">This study employs a qualitative approach with a naturalistic design, specifically </w:t>
      </w:r>
      <w:r>
        <w:rPr>
          <w:rFonts w:ascii="Arial" w:hAnsi="Arial" w:cs="Arial"/>
        </w:rPr>
        <w:fldChar w:fldCharType="begin" w:fldLock="1"/>
      </w:r>
      <w:r>
        <w:rPr>
          <w:rFonts w:ascii="Arial" w:hAnsi="Arial" w:cs="Arial"/>
        </w:rPr>
        <w:instrText>ADDIN CSL_CITATION {"citationItems":[{"id":"ITEM-1","itemData":{"author":[{"dropping-particle":"","family":"Lee","given":"Sang-Hie","non-dropping-particle":"","parse-names":false,"suffix":""}],"container-title":"Scholarly Research in Music","id":"ITEM-1","issued":{"date-parts":[["2022"]]},"page":"87-94","publisher":"Routledge","title":"Naturalistic Inquiry/Qualitative Studies","type":"chapter"},"uris":["http://www.mendeley.com/documents/?uuid=0cb8888b-3c60-464a-8a3c-0ce8fcc45d47"]}],"mendeley":{"formattedCitation":"(Lee, 2022)"},"properties":{"noteIndex":0},"schema":"https://github.com/citation-style-language/schema/raw/master/csl-citation.json"}</w:instrText>
      </w:r>
      <w:r>
        <w:rPr>
          <w:rFonts w:ascii="Arial" w:hAnsi="Arial" w:cs="Arial"/>
        </w:rPr>
        <w:fldChar w:fldCharType="separate"/>
      </w:r>
      <w:r>
        <w:rPr>
          <w:rFonts w:ascii="Arial" w:hAnsi="Arial" w:cs="Arial"/>
        </w:rPr>
        <w:t>(Lee, 2022)</w:t>
      </w:r>
      <w:r>
        <w:rPr>
          <w:rFonts w:ascii="Arial" w:hAnsi="Arial" w:cs="Arial"/>
        </w:rPr>
        <w:fldChar w:fldCharType="end"/>
      </w:r>
      <w:r>
        <w:rPr>
          <w:rFonts w:ascii="Arial" w:hAnsi="Arial" w:cs="Arial"/>
        </w:rPr>
        <w:t>, as its primary focus is to gain an in-depth understanding of the dynamics of academic service innovation occurring within private higher education institutions in Gorontalo. The naturalistic approach was chosen so that researchers could capture the reality in the field, without intervention or experimental treatment. In this way, the phenomenon of service innovation is understood as a process that grows from institutional culture, academic community interactions, and the context of higher education policy in a more authentic way.</w:t>
      </w:r>
    </w:p>
    <w:p w14:paraId="20D9318E" w14:textId="77777777" w:rsidR="00551101" w:rsidRDefault="0056152E">
      <w:pPr>
        <w:pStyle w:val="Body"/>
        <w:snapToGrid w:val="0"/>
        <w:spacing w:after="120"/>
        <w:rPr>
          <w:rFonts w:ascii="Arial" w:hAnsi="Arial" w:cs="Arial"/>
        </w:rPr>
      </w:pPr>
      <w:r>
        <w:rPr>
          <w:rFonts w:ascii="Arial" w:hAnsi="Arial" w:cs="Arial"/>
        </w:rPr>
        <w:t>The research locations were several private universities in Gorontalo that were actively transforming their services to be digitally based. The locations were selected purposively, considering that these institutions are developing academic information systems (SIAKAD), learning management systems (LMS), and digital-based learning models as strategies for improving academic quality. These locations are considered representative of the patterns of service innovation occurring in private universities at the regional level.</w:t>
      </w:r>
    </w:p>
    <w:p w14:paraId="474EE6C8" w14:textId="77777777" w:rsidR="00551101" w:rsidRDefault="0056152E">
      <w:pPr>
        <w:pStyle w:val="Body"/>
        <w:snapToGrid w:val="0"/>
        <w:spacing w:after="120"/>
        <w:rPr>
          <w:rFonts w:ascii="Arial" w:hAnsi="Arial" w:cs="Arial"/>
        </w:rPr>
      </w:pPr>
      <w:r>
        <w:rPr>
          <w:rFonts w:ascii="Arial" w:hAnsi="Arial" w:cs="Arial"/>
        </w:rPr>
        <w:t xml:space="preserve">Research informants were determined using purposive sampling techniques based on their roles and involvement in the innovation process </w:t>
      </w:r>
      <w:r>
        <w:rPr>
          <w:rFonts w:ascii="Arial" w:hAnsi="Arial" w:cs="Arial"/>
        </w:rPr>
        <w:fldChar w:fldCharType="begin" w:fldLock="1"/>
      </w:r>
      <w:r>
        <w:rPr>
          <w:rFonts w:ascii="Arial" w:hAnsi="Arial" w:cs="Arial"/>
        </w:rPr>
        <w:instrText>ADDIN CSL_CITATION {"citationItems":[{"id":"ITEM-1","itemData":{"DOI":"10.1007/s11846-025-00881-2","ISSN":"1863-6691","abstract":"Qualitative research has been flourishing in business and management research over the past decades. The insights gathered from rich qualitative data fundamentally depend on the analyzed subjects and case(s). Hence, highly substantial to qualitative research is how to achieve purposeful case selection and saturation of cases and informants. Our study reviews previous research on purposeful case selection and saturation. We specify that considering the level of analysis is particularly challenging in business and management research as cases are not typically individuals but rather aggregated individuals or collective entities, such as units, organizations, or types of organizations. Furthermore, informants and cases can provide coherent or differing information (‘harmony’ and ‘discord’) on different levels and across informants or cases so influencing purposeful selection and especially saturation. Our study zooms in on three qualitative approaches in business and management research: the so-called Gioia, the Eisenhardt, and the flexible pattern matching approach. We review how empirical studies following those approaches have explained the purposeful case selection and the saturation as well as what number of informants and cases they used. From these reviews, we deduct critical reflections, considerations, and guidelines about harmony and discord when including different informants and cases in the qualitative research process.","author":[{"dropping-particle":"","family":"Bouncken","given":"Ricarda B","non-dropping-particle":"","parse-names":false,"suffix":""},{"dropping-particle":"","family":"Czakon","given":"Wojciech","non-dropping-particle":"","parse-names":false,"suffix":""},{"dropping-particle":"","family":"Schmitt","given":"Florian","non-dropping-particle":"","parse-names":false,"suffix":""}],"container-title":"Review of Managerial Science","id":"ITEM-1","issued":{"date-parts":[["2025"]]},"title":"Purposeful sampling and saturation in qualitative research methodologies: recommendations and review","type":"article-journal"},"uris":["http://www.mendeley.com/documents/?uuid=8a8dc81e-1f63-43c9-9230-626d42cba4d9"]}],"mendeley":{"formattedCitation":"(Bouncken et al., 2025)"},"properties":{"noteIndex":0},"schema":"https://github.com/citation-style-language/schema/raw/master/csl-citation.json"}</w:instrText>
      </w:r>
      <w:r>
        <w:rPr>
          <w:rFonts w:ascii="Arial" w:hAnsi="Arial" w:cs="Arial"/>
        </w:rPr>
        <w:fldChar w:fldCharType="separate"/>
      </w:r>
      <w:r>
        <w:rPr>
          <w:rFonts w:ascii="Arial" w:hAnsi="Arial" w:cs="Arial"/>
        </w:rPr>
        <w:t>(Bouncken et al., 2025)</w:t>
      </w:r>
      <w:r>
        <w:rPr>
          <w:rFonts w:ascii="Arial" w:hAnsi="Arial" w:cs="Arial"/>
        </w:rPr>
        <w:fldChar w:fldCharType="end"/>
      </w:r>
      <w:r>
        <w:rPr>
          <w:rFonts w:ascii="Arial" w:hAnsi="Arial" w:cs="Arial"/>
        </w:rPr>
        <w:t>. They consisted of university leaders who set academic policy directions, lecturers who were the main implementers of learning and research, and educational staff who managed academic administration. The involvement of these diverse informants was intended to ensure that the perspectives obtained were holistic, reflecting experiences from the policy-making level to the end users.</w:t>
      </w:r>
    </w:p>
    <w:p w14:paraId="38F86A76" w14:textId="514FEFB6" w:rsidR="00551101" w:rsidRDefault="0056152E">
      <w:pPr>
        <w:pStyle w:val="Body"/>
        <w:snapToGrid w:val="0"/>
        <w:spacing w:after="120"/>
        <w:rPr>
          <w:rFonts w:ascii="Arial" w:hAnsi="Arial" w:cs="Arial"/>
        </w:rPr>
      </w:pPr>
      <w:r>
        <w:rPr>
          <w:rFonts w:ascii="Arial" w:hAnsi="Arial" w:cs="Arial"/>
        </w:rPr>
        <w:t>Research dat</w:t>
      </w:r>
      <w:r w:rsidR="00E85CF2">
        <w:rPr>
          <w:rFonts w:ascii="Arial" w:hAnsi="Arial" w:cs="Arial"/>
        </w:rPr>
        <w:t xml:space="preserve">a </w:t>
      </w:r>
      <w:r w:rsidR="00E85CF2" w:rsidRPr="00E85CF2">
        <w:rPr>
          <w:rFonts w:ascii="Arial" w:hAnsi="Arial" w:cs="Arial"/>
          <w:highlight w:val="yellow"/>
        </w:rPr>
        <w:t>were</w:t>
      </w:r>
      <w:r w:rsidR="00E85CF2">
        <w:rPr>
          <w:rFonts w:ascii="Arial" w:hAnsi="Arial" w:cs="Arial"/>
        </w:rPr>
        <w:t xml:space="preserve"> </w:t>
      </w:r>
      <w:r>
        <w:rPr>
          <w:rFonts w:ascii="Arial" w:hAnsi="Arial" w:cs="Arial"/>
        </w:rPr>
        <w:t xml:space="preserve">obtained through several techniques, namely in-depth interviews, participant observation, and documentation. Interviews were used to explore informants' experiences, perceptions, and evaluations of the effectiveness of academic service innovations. Observations were conducted to directly understand how digital systems are operated in daily activities, including in administrative services and learning processes. </w:t>
      </w:r>
      <w:r w:rsidR="00E85CF2" w:rsidRPr="00E85CF2">
        <w:rPr>
          <w:rFonts w:ascii="Arial" w:hAnsi="Arial" w:cs="Arial"/>
          <w:highlight w:val="yellow"/>
        </w:rPr>
        <w:t>Observations were carried out from March to May 2025, and in-depth interviews were conducted from June to August 2025</w:t>
      </w:r>
      <w:r w:rsidR="00E85CF2">
        <w:rPr>
          <w:rFonts w:ascii="Arial" w:hAnsi="Arial" w:cs="Arial"/>
        </w:rPr>
        <w:t xml:space="preserve">. </w:t>
      </w:r>
      <w:r>
        <w:rPr>
          <w:rFonts w:ascii="Arial" w:hAnsi="Arial" w:cs="Arial"/>
        </w:rPr>
        <w:t>Documentation focused on reviewing internal policies, accreditation reports, quality documents, and scientific publication data as part of academic quality indicators.</w:t>
      </w:r>
    </w:p>
    <w:p w14:paraId="2D19089C" w14:textId="77777777" w:rsidR="00551101" w:rsidRDefault="0056152E">
      <w:pPr>
        <w:pStyle w:val="Body"/>
        <w:snapToGrid w:val="0"/>
        <w:spacing w:after="120"/>
        <w:rPr>
          <w:rFonts w:ascii="Arial" w:hAnsi="Arial" w:cs="Arial"/>
        </w:rPr>
      </w:pPr>
      <w:r>
        <w:rPr>
          <w:rFonts w:ascii="Arial" w:hAnsi="Arial" w:cs="Arial"/>
        </w:rPr>
        <w:t xml:space="preserve">Data analysis was conducted simultaneously with data collection, following the interactive pattern of Miles and Huberman. The analysis included data collection, data reduction, data presentation, and conclusion drawing. The data was then verified by comparing between informants and between sources, resulting in more robust patterns of relationships between service innovation, governance, and academic quality </w:t>
      </w:r>
      <w:r>
        <w:rPr>
          <w:rFonts w:ascii="Arial" w:hAnsi="Arial" w:cs="Arial"/>
        </w:rPr>
        <w:fldChar w:fldCharType="begin" w:fldLock="1"/>
      </w:r>
      <w:r>
        <w:rPr>
          <w:rFonts w:ascii="Arial" w:hAnsi="Arial" w:cs="Arial"/>
        </w:rPr>
        <w:instrText>ADDIN CSL_CITATION {"citationItems":[{"id":"ITEM-1","itemData":{"ISSN":"1052-0147","author":[{"dropping-particle":"","family":"Kalpokaite","given":"Neringa","non-dropping-particle":"","parse-names":false,"suffix":""},{"dropping-particle":"","family":"Radivojevic","given":"Ivana","non-dropping-particle":"","parse-names":false,"suffix":""}],"container-title":"The Qualitative Report","id":"ITEM-1","issue":"13","issued":{"date-parts":[["2019"]]},"page":"44-57","title":"Demystifying qualitative data analysis for novice qualitative researchers","type":"article-journal","volume":"24"},"uris":["http://www.mendeley.com/documents/?uuid=889aa1b0-f0f9-4a1d-b494-5b5595636578"]}],"mendeley":{"formattedCitation":"(Kalpokaite &amp; Radivojevic, 2019)"},"properties":{"noteIndex":0},"schema":"https://github.com/citation-style-language/schema/raw/master/csl-citation.json"}</w:instrText>
      </w:r>
      <w:r>
        <w:rPr>
          <w:rFonts w:ascii="Arial" w:hAnsi="Arial" w:cs="Arial"/>
        </w:rPr>
        <w:fldChar w:fldCharType="separate"/>
      </w:r>
      <w:r>
        <w:rPr>
          <w:rFonts w:ascii="Arial" w:hAnsi="Arial" w:cs="Arial"/>
        </w:rPr>
        <w:t>(Kalpokaite &amp; Radivojevic, 2019)</w:t>
      </w:r>
      <w:r>
        <w:rPr>
          <w:rFonts w:ascii="Arial" w:hAnsi="Arial" w:cs="Arial"/>
        </w:rPr>
        <w:fldChar w:fldCharType="end"/>
      </w:r>
      <w:r>
        <w:rPr>
          <w:rFonts w:ascii="Arial" w:hAnsi="Arial" w:cs="Arial"/>
        </w:rPr>
        <w:t>.</w:t>
      </w:r>
    </w:p>
    <w:p w14:paraId="346C170C" w14:textId="77777777" w:rsidR="00551101" w:rsidRDefault="0056152E">
      <w:pPr>
        <w:pStyle w:val="Head1"/>
        <w:spacing w:after="0"/>
        <w:jc w:val="both"/>
        <w:rPr>
          <w:rFonts w:ascii="Arial" w:hAnsi="Arial" w:cs="Arial"/>
        </w:rPr>
      </w:pPr>
      <w:r>
        <w:rPr>
          <w:rFonts w:ascii="Arial" w:hAnsi="Arial" w:cs="Arial"/>
        </w:rPr>
        <w:t>Results and Discussion</w:t>
      </w:r>
    </w:p>
    <w:p w14:paraId="31BD010D" w14:textId="77777777" w:rsidR="00551101" w:rsidRDefault="0056152E">
      <w:pPr>
        <w:pStyle w:val="Body"/>
        <w:snapToGrid w:val="0"/>
        <w:spacing w:after="120"/>
        <w:rPr>
          <w:rFonts w:ascii="Arial" w:hAnsi="Arial" w:cs="Arial"/>
        </w:rPr>
      </w:pPr>
      <w:bookmarkStart w:id="0" w:name="_Toc204721811"/>
      <w:r>
        <w:rPr>
          <w:rFonts w:ascii="Arial" w:hAnsi="Arial" w:cs="Arial"/>
        </w:rPr>
        <w:t xml:space="preserve">Service Innovation in Enhancing Academic Quality at Private Universities </w:t>
      </w:r>
      <w:bookmarkEnd w:id="0"/>
    </w:p>
    <w:p w14:paraId="3ADE1375" w14:textId="325DF172" w:rsidR="00551101" w:rsidRDefault="00496CB4">
      <w:pPr>
        <w:pStyle w:val="Body"/>
        <w:snapToGrid w:val="0"/>
        <w:spacing w:after="120"/>
        <w:rPr>
          <w:rFonts w:ascii="Arial" w:hAnsi="Arial" w:cs="Arial"/>
        </w:rPr>
      </w:pPr>
      <w:r>
        <w:rPr>
          <w:rFonts w:ascii="Arial" w:hAnsi="Arial" w:cs="Arial"/>
        </w:rPr>
        <w:t>“</w:t>
      </w:r>
      <w:r w:rsidR="0056152E">
        <w:rPr>
          <w:rFonts w:ascii="Arial" w:hAnsi="Arial" w:cs="Arial"/>
        </w:rPr>
        <w:t>The adoption of service innovations has not been optimal, despite various efforts to improve academic quality at three private universities in Gorontalo. Service innovations in the field of education that have been implemented include the use of an integrated academic information system, a learning management system (LMS), a blended learning process, and a project-based learning method with outputs in the form of scientific articles and books. The advantages of these innovations include increased efficiency in academic administrative services, which were previously manual, inefficient, prone to errors, and time-consuming</w:t>
      </w:r>
      <w:r>
        <w:rPr>
          <w:rFonts w:ascii="Arial" w:hAnsi="Arial" w:cs="Arial"/>
        </w:rPr>
        <w:t>” (</w:t>
      </w:r>
      <w:proofErr w:type="spellStart"/>
      <w:r w:rsidRPr="00496CB4">
        <w:rPr>
          <w:rFonts w:ascii="Arial" w:hAnsi="Arial" w:cs="Arial"/>
        </w:rPr>
        <w:t>Arsana</w:t>
      </w:r>
      <w:proofErr w:type="spellEnd"/>
      <w:r>
        <w:rPr>
          <w:rFonts w:ascii="Arial" w:hAnsi="Arial" w:cs="Arial"/>
        </w:rPr>
        <w:t xml:space="preserve"> et al., 2025)</w:t>
      </w:r>
      <w:r w:rsidR="0056152E">
        <w:rPr>
          <w:rFonts w:ascii="Arial" w:hAnsi="Arial" w:cs="Arial"/>
        </w:rPr>
        <w:t>.</w:t>
      </w:r>
    </w:p>
    <w:p w14:paraId="749D5122" w14:textId="77777777" w:rsidR="00551101" w:rsidRDefault="0056152E">
      <w:pPr>
        <w:pStyle w:val="Body"/>
        <w:snapToGrid w:val="0"/>
        <w:spacing w:after="120"/>
        <w:rPr>
          <w:rFonts w:ascii="Arial" w:hAnsi="Arial" w:cs="Arial"/>
        </w:rPr>
      </w:pPr>
      <w:r>
        <w:rPr>
          <w:rFonts w:ascii="Arial" w:hAnsi="Arial" w:cs="Arial"/>
        </w:rPr>
        <w:lastRenderedPageBreak/>
        <w:t xml:space="preserve">Digitalisation enables the comprehensive integration of academic services, ranging from KRS, KHS, attendance, to BKD and </w:t>
      </w:r>
      <w:proofErr w:type="spellStart"/>
      <w:r>
        <w:rPr>
          <w:rFonts w:ascii="Arial" w:hAnsi="Arial" w:cs="Arial"/>
        </w:rPr>
        <w:t>PDDikti</w:t>
      </w:r>
      <w:proofErr w:type="spellEnd"/>
      <w:r>
        <w:rPr>
          <w:rFonts w:ascii="Arial" w:hAnsi="Arial" w:cs="Arial"/>
        </w:rPr>
        <w:t xml:space="preserve"> reporting, all of which are structured and interconnected between systems. These innovations are also considered compatible with the values, culture, and needs of private higher education organisations in Gorontalo. Support for innovation is strengthened by the active involvement of users, responsiveness to feedback, and integration with national policies.</w:t>
      </w:r>
    </w:p>
    <w:p w14:paraId="523E7931" w14:textId="327DFBDB" w:rsidR="00551101" w:rsidRDefault="00496CB4">
      <w:pPr>
        <w:pStyle w:val="Body"/>
        <w:snapToGrid w:val="0"/>
        <w:spacing w:after="120"/>
        <w:rPr>
          <w:rFonts w:ascii="Arial" w:hAnsi="Arial" w:cs="Arial"/>
        </w:rPr>
      </w:pPr>
      <w:r>
        <w:rPr>
          <w:rFonts w:ascii="Arial" w:hAnsi="Arial" w:cs="Arial"/>
        </w:rPr>
        <w:t>“</w:t>
      </w:r>
      <w:r w:rsidR="0056152E">
        <w:rPr>
          <w:rFonts w:ascii="Arial" w:hAnsi="Arial" w:cs="Arial"/>
        </w:rPr>
        <w:t xml:space="preserve">Ease of use is reflected in reduced physical interaction requirements, increased service speed, and open access to the system anytime and anywhere via online devices. The ability to test the system before full implementation also has a significant impact on user acceptance and comfort in adapting to new technology. The observability aspect of this academic service innovation has been realised in a tangible way, directly observable through service transparency, openness of academic data, tracking of student and lecturer activities, and accountability for external reporting such as accreditation and </w:t>
      </w:r>
      <w:proofErr w:type="spellStart"/>
      <w:r w:rsidR="0056152E">
        <w:rPr>
          <w:rFonts w:ascii="Arial" w:hAnsi="Arial" w:cs="Arial"/>
        </w:rPr>
        <w:t>PDDikti</w:t>
      </w:r>
      <w:proofErr w:type="spellEnd"/>
      <w:r w:rsidR="0056152E">
        <w:rPr>
          <w:rFonts w:ascii="Arial" w:hAnsi="Arial" w:cs="Arial"/>
        </w:rPr>
        <w:t>. This demonstrates that digital transformation is not an abstract concept but brings about tangible and measurable changes</w:t>
      </w:r>
      <w:r>
        <w:rPr>
          <w:rFonts w:ascii="Arial" w:hAnsi="Arial" w:cs="Arial"/>
        </w:rPr>
        <w:t>”</w:t>
      </w:r>
      <w:r w:rsidR="0056152E">
        <w:rPr>
          <w:rFonts w:ascii="Arial" w:hAnsi="Arial" w:cs="Arial"/>
        </w:rPr>
        <w:t xml:space="preserve"> </w:t>
      </w:r>
      <w:r w:rsidR="0056152E">
        <w:rPr>
          <w:rFonts w:ascii="Arial" w:hAnsi="Arial" w:cs="Arial"/>
        </w:rPr>
        <w:fldChar w:fldCharType="begin" w:fldLock="1"/>
      </w:r>
      <w:r w:rsidR="0056152E">
        <w:rPr>
          <w:rFonts w:ascii="Arial" w:hAnsi="Arial" w:cs="Arial"/>
        </w:rPr>
        <w:instrText>ADDIN CSL_CITATION {"citationItems":[{"id":"ITEM-1","itemData":{"ISSN":"2518-668X","author":[{"dropping-particle":"","family":"Aneta","given":"Yanti","non-dropping-particle":"","parse-names":false,"suffix":""},{"dropping-particle":"","family":"Akib","given":"Haedar","non-dropping-particle":"","parse-names":false,"suffix":""},{"dropping-particle":"","family":"Pakaya","given":"Rahmatia","non-dropping-particle":"","parse-names":false,"suffix":""},{"dropping-particle":"","family":"Hulinggi","given":"Pebriyanto A","non-dropping-particle":"","parse-names":false,"suffix":""}],"container-title":"KnE Social Sciences","id":"ITEM-1","issue":"4","issued":{"date-parts":[["2025"]]},"page":"1-20","title":"The Impact of Digital Transformation and Artificial Intelligence on Bureaucratic Culture Between Efficiency and Discretion","type":"article-journal","volume":"10"},"uris":["http://www.mendeley.com/documents/?uuid=07fdfbc9-9e90-4daf-9713-b59c4465af7e"]}],"mendeley":{"formattedCitation":"(Aneta et al., 2025)"},"properties":{"noteIndex":0},"schema":"https://github.com/citation-style-language/schema/raw/master/csl-citation.json"}</w:instrText>
      </w:r>
      <w:r w:rsidR="0056152E">
        <w:rPr>
          <w:rFonts w:ascii="Arial" w:hAnsi="Arial" w:cs="Arial"/>
        </w:rPr>
        <w:fldChar w:fldCharType="separate"/>
      </w:r>
      <w:r w:rsidR="0056152E">
        <w:rPr>
          <w:rFonts w:ascii="Arial" w:hAnsi="Arial" w:cs="Arial"/>
        </w:rPr>
        <w:t>(</w:t>
      </w:r>
      <w:proofErr w:type="spellStart"/>
      <w:r w:rsidR="0056152E">
        <w:rPr>
          <w:rFonts w:ascii="Arial" w:hAnsi="Arial" w:cs="Arial"/>
        </w:rPr>
        <w:t>Aneta</w:t>
      </w:r>
      <w:proofErr w:type="spellEnd"/>
      <w:r w:rsidR="0056152E">
        <w:rPr>
          <w:rFonts w:ascii="Arial" w:hAnsi="Arial" w:cs="Arial"/>
        </w:rPr>
        <w:t xml:space="preserve"> et al., 2025)</w:t>
      </w:r>
      <w:r w:rsidR="0056152E">
        <w:rPr>
          <w:rFonts w:ascii="Arial" w:hAnsi="Arial" w:cs="Arial"/>
        </w:rPr>
        <w:fldChar w:fldCharType="end"/>
      </w:r>
      <w:r w:rsidR="0056152E">
        <w:rPr>
          <w:rFonts w:ascii="Arial" w:hAnsi="Arial" w:cs="Arial"/>
        </w:rPr>
        <w:t>.</w:t>
      </w:r>
    </w:p>
    <w:p w14:paraId="41BC1FBF" w14:textId="77777777" w:rsidR="00551101" w:rsidRDefault="0056152E">
      <w:pPr>
        <w:pStyle w:val="Body"/>
        <w:snapToGrid w:val="0"/>
        <w:spacing w:after="120"/>
        <w:rPr>
          <w:rFonts w:ascii="Arial" w:hAnsi="Arial" w:cs="Arial"/>
        </w:rPr>
      </w:pPr>
      <w:r>
        <w:rPr>
          <w:rFonts w:ascii="Arial" w:hAnsi="Arial" w:cs="Arial"/>
        </w:rPr>
        <w:t>However, the implementation of digital-based academic service innovations still faces fundamental challenges that are multidimensional in nature. Research findings show that the adoption of systems such as SIAKAD, LMS, blended learning, and output-based learning not only requires technical readiness, but also organisational readiness, human resources, and the work culture orientation of the academic community.</w:t>
      </w:r>
    </w:p>
    <w:p w14:paraId="691ABF25" w14:textId="77777777" w:rsidR="00551101" w:rsidRDefault="0056152E">
      <w:pPr>
        <w:pStyle w:val="Body"/>
        <w:snapToGrid w:val="0"/>
        <w:spacing w:after="120"/>
        <w:rPr>
          <w:rFonts w:ascii="Arial" w:hAnsi="Arial" w:cs="Arial"/>
        </w:rPr>
      </w:pPr>
      <w:r>
        <w:rPr>
          <w:rFonts w:ascii="Arial" w:hAnsi="Arial" w:cs="Arial"/>
        </w:rPr>
        <w:t>Meanwhile, innovation in the field of research and community service is marked by the existence of scientific publication and intellectual property rights (IPR) policies, grant funding for research and community service activities, and human resource empowerment through training, mentoring, and ongoing technical guidance. These efforts are aimed at improving the capacity of lecturers in preparing grant proposals, developing publication strategies, and strengthening their understanding of the direction of national research policy.</w:t>
      </w:r>
    </w:p>
    <w:p w14:paraId="4223E9B3" w14:textId="77777777" w:rsidR="00551101" w:rsidRDefault="0056152E">
      <w:pPr>
        <w:pStyle w:val="Body"/>
        <w:snapToGrid w:val="0"/>
        <w:spacing w:after="120"/>
        <w:rPr>
          <w:rFonts w:ascii="Arial" w:hAnsi="Arial" w:cs="Arial"/>
        </w:rPr>
      </w:pPr>
      <w:r>
        <w:rPr>
          <w:rFonts w:ascii="Arial" w:hAnsi="Arial" w:cs="Arial"/>
        </w:rPr>
        <w:t>However, there are a number of obstacles in implementing these programmes. From a structural perspective, limited funding is a major obstacle. The weak fiscal condition of institutions means that not all research and community service proposals can obtain funding, even though the substance of the proposals is considered promising. In addition, the lack of programme socialisation, the absence of an adequate mentoring system, weak reporting documentation, and a suboptimal digitisation system also pose challenges. In terms of human resource capacity, there are still gaps in research literacy and the ability to write proposals and scientific articles, especially among young lecturers and students.</w:t>
      </w:r>
    </w:p>
    <w:p w14:paraId="76C94A25" w14:textId="77777777" w:rsidR="00551101" w:rsidRDefault="0056152E">
      <w:pPr>
        <w:pStyle w:val="Body"/>
        <w:snapToGrid w:val="0"/>
        <w:spacing w:after="120"/>
        <w:rPr>
          <w:rFonts w:ascii="Arial" w:hAnsi="Arial" w:cs="Arial"/>
        </w:rPr>
      </w:pPr>
      <w:r>
        <w:rPr>
          <w:rFonts w:ascii="Arial" w:hAnsi="Arial" w:cs="Arial"/>
        </w:rPr>
        <w:t>Factors Determining the Success of Service Innovation Implementation in Improving Academic Quality</w:t>
      </w:r>
    </w:p>
    <w:p w14:paraId="232E70A5" w14:textId="77777777" w:rsidR="00551101" w:rsidRDefault="0056152E">
      <w:pPr>
        <w:pStyle w:val="Body"/>
        <w:snapToGrid w:val="0"/>
        <w:spacing w:after="120"/>
        <w:rPr>
          <w:rFonts w:ascii="Arial" w:hAnsi="Arial" w:cs="Arial"/>
        </w:rPr>
      </w:pPr>
      <w:r>
        <w:rPr>
          <w:rFonts w:ascii="Arial" w:hAnsi="Arial" w:cs="Arial"/>
        </w:rPr>
        <w:t xml:space="preserve">There are a number of factors that influence the effectiveness of innovation, both from the individual, institutional structure, and organisational culture perspectives. From an individual perspective, the motivation of academics towards innovation shows heterogeneity. Young lecturers, employees who have undergone training, and final-year students tend to have higher enthusiasm because they have experienced the concrete benefits of innovation, such as easy access to digital services and opportunities for scientific publication. However, the sustainability of commitment and consistency in implementing innovation remains a challenge. The lack of institutional support in the form of facilities, incentives, applied training, and creative space has been shown to contribute to low active participation and even reduce trust in innovation itself </w:t>
      </w:r>
      <w:r>
        <w:rPr>
          <w:rFonts w:ascii="Arial" w:hAnsi="Arial" w:cs="Arial"/>
        </w:rPr>
        <w:fldChar w:fldCharType="begin" w:fldLock="1"/>
      </w:r>
      <w:r>
        <w:rPr>
          <w:rFonts w:ascii="Arial" w:hAnsi="Arial" w:cs="Arial"/>
        </w:rPr>
        <w:instrText>ADDIN CSL_CITATION {"citationItems":[{"id":"ITEM-1","itemData":{"DOI":"10.56113/takuana.v4i2.159","abstract":"This study examines the effect of e-administration transformation on learning quality, with administrative efficiency serving as a mediating variable in the context of higher education. Using a SEM-PLS approach, data were collected from 179 respondents comprising lecturers, academic administrative staff, and students through random sampling. The findings confirm that e-administration transformation significantly enhances administrative efficiency, which in turn exerts a strong positive impact on learning quality. Furthermore, administrative efficiency partially mediates the relationship between e-administration transformation and learning quality, underscoring its strategic role as a driver of digital transformation. This study contributes to the development of the digital administrative transformation framework, offering theoretical novelty by integrating administrative efficiency with pedagogical quality improvement. Practically, the findings provide valuable insights for higher education institutions to redesign administrative systems that not only improve efficiency but also directly strengthen learning quality in the era of digital transformation.","author":[{"dropping-particle":"","family":"Arsana","given":"I Kadek Satria","non-dropping-particle":"","parse-names":false,"suffix":""},{"dropping-particle":"","family":"Afnita","given":"Vinda","non-dropping-particle":"","parse-names":false,"suffix":""},{"dropping-particle":"","family":"Hutahaean","given":"Lidia Aprileny","non-dropping-particle":"","parse-names":false,"suffix":""},{"dropping-particle":"","family":"Gintulangi","given":"Sabriana Oktaviana","non-dropping-particle":"","parse-names":false,"suffix":""}],"container-title":"Takuana: Jurnal Pendidikan, Sains, dan Humaniora","id":"ITEM-1","issue":"2 SE - Articles","issued":{"date-parts":[["2025","9","25"]]},"page":"306-319","title":"Transformasi e-administrasi jurusan Pendidikan Ekonomi dan pengaruhnya terhadap efisiensi dan kualitas pembelajaran","type":"article-journal","volume":"4"},"uris":["http://www.mendeley.com/documents/?uuid=3559f9c7-2aaa-43e8-aebf-b356ab3cde7a"]}],"mendeley":{"formattedCitation":"(I. K. S. Arsana et al., 2025)","plainTextFormattedCitation":"(I. K. S. Arsana et al., 2025)"},"properties":{"noteIndex":0},"schema":"https://github.com/citation-style-language/schema/raw/master/csl-citation.json"}</w:instrText>
      </w:r>
      <w:r>
        <w:rPr>
          <w:rFonts w:ascii="Arial" w:hAnsi="Arial" w:cs="Arial"/>
        </w:rPr>
        <w:fldChar w:fldCharType="separate"/>
      </w:r>
      <w:r>
        <w:rPr>
          <w:rFonts w:ascii="Arial" w:hAnsi="Arial" w:cs="Arial"/>
        </w:rPr>
        <w:t>(I. K. S. Arsana et al., 2025)</w:t>
      </w:r>
      <w:r>
        <w:rPr>
          <w:rFonts w:ascii="Arial" w:hAnsi="Arial" w:cs="Arial"/>
        </w:rPr>
        <w:fldChar w:fldCharType="end"/>
      </w:r>
      <w:r>
        <w:rPr>
          <w:rFonts w:ascii="Arial" w:hAnsi="Arial" w:cs="Arial"/>
        </w:rPr>
        <w:t xml:space="preserve">. </w:t>
      </w:r>
    </w:p>
    <w:p w14:paraId="47A41F84" w14:textId="77777777" w:rsidR="00551101" w:rsidRDefault="0056152E">
      <w:pPr>
        <w:pStyle w:val="Body"/>
        <w:snapToGrid w:val="0"/>
        <w:spacing w:after="120"/>
        <w:rPr>
          <w:rFonts w:ascii="Arial" w:hAnsi="Arial" w:cs="Arial"/>
        </w:rPr>
      </w:pPr>
      <w:r>
        <w:rPr>
          <w:rFonts w:ascii="Arial" w:hAnsi="Arial" w:cs="Arial"/>
        </w:rPr>
        <w:t>Structurally, although some leaders have provided space for innovative initiatives, the implementation of innovation is still often hampered by hierarchical bureaucratic patterns and limited delegation of authority to implementing units. Internal communication is not yet effective, tending to be one-way and formal, resulting in strategic information about innovation not reaching all levels of lecturers and educational staff. Coordination between units has also not been systematically established, so that cross-faculty and study programme collaboration relies more on informal relationships and individual initiatives, reflecting the lack of optimal organisational alignment.</w:t>
      </w:r>
    </w:p>
    <w:p w14:paraId="7E59DFEB" w14:textId="77777777" w:rsidR="00551101" w:rsidRDefault="0056152E">
      <w:pPr>
        <w:pStyle w:val="Body"/>
        <w:snapToGrid w:val="0"/>
        <w:spacing w:after="120"/>
        <w:rPr>
          <w:rFonts w:ascii="Arial" w:hAnsi="Arial" w:cs="Arial"/>
        </w:rPr>
      </w:pPr>
      <w:r>
        <w:rPr>
          <w:rFonts w:ascii="Arial" w:hAnsi="Arial" w:cs="Arial"/>
        </w:rPr>
        <w:t xml:space="preserve">From an organisational culture perspective, most of the private universities studied do not yet have a structured reward system. Rewards for innovative efforts are still symbolic and informal, and therefore not strong enough to encourage sustained motivation. Efforts to transform towards an organisational culture that supports innovation are still in various stages of development. Several institutions have demonstrated a strategic commitment in this direction, but these initiatives have not yet been fully integrated into the </w:t>
      </w:r>
      <w:r>
        <w:rPr>
          <w:rFonts w:ascii="Arial" w:hAnsi="Arial" w:cs="Arial"/>
        </w:rPr>
        <w:lastRenderedPageBreak/>
        <w:t xml:space="preserve">formal policies and structures of the institutions. Therefore, the success of service innovation at Gorontalo PTS is highly dependent on the integration of individual motivation, adaptive structural support, and the strengthening of an </w:t>
      </w:r>
      <w:proofErr w:type="spellStart"/>
      <w:r>
        <w:rPr>
          <w:rFonts w:ascii="Arial" w:hAnsi="Arial" w:cs="Arial"/>
        </w:rPr>
        <w:t>organisational</w:t>
      </w:r>
      <w:proofErr w:type="spellEnd"/>
      <w:r>
        <w:rPr>
          <w:rFonts w:ascii="Arial" w:hAnsi="Arial" w:cs="Arial"/>
        </w:rPr>
        <w:t xml:space="preserve"> culture that </w:t>
      </w:r>
      <w:proofErr w:type="spellStart"/>
      <w:r>
        <w:rPr>
          <w:rFonts w:ascii="Arial" w:hAnsi="Arial" w:cs="Arial"/>
        </w:rPr>
        <w:t>favours</w:t>
      </w:r>
      <w:proofErr w:type="spellEnd"/>
      <w:r>
        <w:rPr>
          <w:rFonts w:ascii="Arial" w:hAnsi="Arial" w:cs="Arial"/>
        </w:rPr>
        <w:t xml:space="preserve"> innovation.</w:t>
      </w:r>
    </w:p>
    <w:p w14:paraId="58F039D3" w14:textId="77777777" w:rsidR="00551101" w:rsidRDefault="0056152E">
      <w:pPr>
        <w:pStyle w:val="Body"/>
        <w:snapToGrid w:val="0"/>
        <w:spacing w:after="120"/>
        <w:rPr>
          <w:rFonts w:ascii="Arial" w:hAnsi="Arial" w:cs="Arial"/>
        </w:rPr>
      </w:pPr>
      <w:r>
        <w:rPr>
          <w:rFonts w:ascii="Arial" w:hAnsi="Arial" w:cs="Arial"/>
        </w:rPr>
        <w:t>Theoretical Conceptual Framework Model of Service Innovation in Improving Academic Quality at Gorontalo Private Universities</w:t>
      </w:r>
    </w:p>
    <w:p w14:paraId="12E72C72" w14:textId="77777777" w:rsidR="00551101" w:rsidRDefault="0056152E">
      <w:pPr>
        <w:pStyle w:val="Body"/>
        <w:snapToGrid w:val="0"/>
        <w:spacing w:after="120"/>
        <w:rPr>
          <w:rFonts w:ascii="Arial" w:hAnsi="Arial" w:cs="Arial"/>
        </w:rPr>
      </w:pPr>
      <w:r>
        <w:rPr>
          <w:rFonts w:ascii="Arial" w:hAnsi="Arial" w:cs="Arial"/>
        </w:rPr>
        <w:t>This study develops a theoretical conceptual framework rooted in the local context of Gorontalo to improve the effectiveness of service innovation adoption in private universities. In its development, this study proposes a reclassification of Rogers' Diffusion of Innovation (</w:t>
      </w:r>
      <w:proofErr w:type="spellStart"/>
      <w:r>
        <w:rPr>
          <w:rFonts w:ascii="Arial" w:hAnsi="Arial" w:cs="Arial"/>
        </w:rPr>
        <w:t>DoI</w:t>
      </w:r>
      <w:proofErr w:type="spellEnd"/>
      <w:r>
        <w:rPr>
          <w:rFonts w:ascii="Arial" w:hAnsi="Arial" w:cs="Arial"/>
        </w:rPr>
        <w:t>) theory, dividing it into two main categories, namely intrinsic factors and extrinsic factors. Intrinsic factors refer to perceptions of the characteristics of innovation as formulated by Rogers, which include relative advantage, compatibility, complexity, trialability, and observability. Meanwhile, extrinsic factors are conceptual contributions from this study, which include policy pressure, infrastructure availability, institutional ecosystem readiness, and human resource readiness.</w:t>
      </w:r>
    </w:p>
    <w:p w14:paraId="49A0CE41" w14:textId="77777777" w:rsidR="00551101" w:rsidRDefault="0056152E">
      <w:pPr>
        <w:pStyle w:val="Body"/>
        <w:snapToGrid w:val="0"/>
        <w:spacing w:after="120"/>
        <w:rPr>
          <w:rFonts w:ascii="Arial" w:hAnsi="Arial" w:cs="Arial"/>
        </w:rPr>
      </w:pPr>
      <w:r>
        <w:rPr>
          <w:rFonts w:ascii="Arial" w:hAnsi="Arial" w:cs="Arial"/>
        </w:rPr>
        <w:t>In addition, this study also proposes the principle of sustainable innovation governance as a second conceptual novelty that enriches the theoretical framework of innovation adoption. This principle encompasses seven key elements, namely commitment, consistency, communication, collaboration, coordination, cooperation, and creativity, all of which are important factors in supporting the sustainability of service innovation. Conceptually, these findings not only complement but also expand the scope of the Diffusion of Innovation theory, which has tended to focus on the early adoption phase and the intrinsic characteristics of innovation alone.</w:t>
      </w:r>
    </w:p>
    <w:p w14:paraId="39158056" w14:textId="77777777" w:rsidR="00551101" w:rsidRDefault="0056152E">
      <w:pPr>
        <w:pStyle w:val="Body"/>
        <w:snapToGrid w:val="0"/>
        <w:spacing w:after="120"/>
        <w:rPr>
          <w:rFonts w:ascii="Arial" w:hAnsi="Arial" w:cs="Arial"/>
        </w:rPr>
      </w:pPr>
      <w:r>
        <w:rPr>
          <w:rFonts w:ascii="Arial" w:hAnsi="Arial" w:cs="Arial"/>
        </w:rPr>
        <w:t>In higher education, particularly in private universities that have unique structural dynamics and institutional cultures, this study confirms that the sustainability of innovation is more determined by the quality of governance and the readiness of the institutional ecosystem than by perceptions of the characteristics of innovation itself. By optimising this theoretical conceptual model, it is hoped that academic quality at Gorontalo Private University can be significantly and sustainably improved.</w:t>
      </w:r>
    </w:p>
    <w:p w14:paraId="08E92C3A" w14:textId="02ABF9EE" w:rsidR="00551101" w:rsidRDefault="0056152E">
      <w:pPr>
        <w:pStyle w:val="Body"/>
        <w:snapToGrid w:val="0"/>
        <w:spacing w:after="120"/>
        <w:rPr>
          <w:rFonts w:ascii="Arial" w:hAnsi="Arial" w:cs="Arial"/>
        </w:rPr>
      </w:pPr>
      <w:r>
        <w:rPr>
          <w:rFonts w:ascii="Arial" w:hAnsi="Arial" w:cs="Arial"/>
        </w:rPr>
        <w:t>Based on the theoretical implications and novel contributions outlined above, the conceptual framework developed in this study is presented in the following figure:</w:t>
      </w:r>
    </w:p>
    <w:p w14:paraId="1A9FC6A7" w14:textId="7E94A811" w:rsidR="00E85CF2" w:rsidRDefault="00E85CF2">
      <w:pPr>
        <w:pStyle w:val="Body"/>
        <w:snapToGrid w:val="0"/>
        <w:spacing w:after="120"/>
        <w:rPr>
          <w:rFonts w:ascii="Arial" w:hAnsi="Arial" w:cs="Arial"/>
        </w:rPr>
      </w:pPr>
    </w:p>
    <w:p w14:paraId="28009C3F" w14:textId="3A76F155" w:rsidR="00E85CF2" w:rsidRDefault="00E85CF2">
      <w:pPr>
        <w:pStyle w:val="Body"/>
        <w:snapToGrid w:val="0"/>
        <w:spacing w:after="120"/>
        <w:rPr>
          <w:rFonts w:ascii="Arial" w:hAnsi="Arial" w:cs="Arial"/>
        </w:rPr>
      </w:pPr>
    </w:p>
    <w:p w14:paraId="0015188F" w14:textId="445BCEC9" w:rsidR="00E85CF2" w:rsidRDefault="00E85CF2">
      <w:pPr>
        <w:pStyle w:val="Body"/>
        <w:snapToGrid w:val="0"/>
        <w:spacing w:after="120"/>
        <w:rPr>
          <w:rFonts w:ascii="Arial" w:hAnsi="Arial" w:cs="Arial"/>
        </w:rPr>
      </w:pPr>
    </w:p>
    <w:p w14:paraId="1118CEA3" w14:textId="7FBC0D9D" w:rsidR="00E85CF2" w:rsidRDefault="00E85CF2">
      <w:pPr>
        <w:pStyle w:val="Body"/>
        <w:snapToGrid w:val="0"/>
        <w:spacing w:after="120"/>
        <w:rPr>
          <w:rFonts w:ascii="Arial" w:hAnsi="Arial" w:cs="Arial"/>
        </w:rPr>
      </w:pPr>
    </w:p>
    <w:p w14:paraId="6C634E66" w14:textId="38C37D64" w:rsidR="00E85CF2" w:rsidRDefault="00E85CF2">
      <w:pPr>
        <w:pStyle w:val="Body"/>
        <w:snapToGrid w:val="0"/>
        <w:spacing w:after="120"/>
        <w:rPr>
          <w:rFonts w:ascii="Arial" w:hAnsi="Arial" w:cs="Arial"/>
        </w:rPr>
      </w:pPr>
    </w:p>
    <w:p w14:paraId="3EAE332E" w14:textId="3BEE3AFC" w:rsidR="00E85CF2" w:rsidRDefault="00E85CF2">
      <w:pPr>
        <w:pStyle w:val="Body"/>
        <w:snapToGrid w:val="0"/>
        <w:spacing w:after="120"/>
        <w:rPr>
          <w:rFonts w:ascii="Arial" w:hAnsi="Arial" w:cs="Arial"/>
        </w:rPr>
      </w:pPr>
    </w:p>
    <w:p w14:paraId="3D59B621" w14:textId="35ACEF00" w:rsidR="00E85CF2" w:rsidRDefault="00E85CF2">
      <w:pPr>
        <w:pStyle w:val="Body"/>
        <w:snapToGrid w:val="0"/>
        <w:spacing w:after="120"/>
        <w:rPr>
          <w:rFonts w:ascii="Arial" w:hAnsi="Arial" w:cs="Arial"/>
        </w:rPr>
      </w:pPr>
    </w:p>
    <w:p w14:paraId="465992C4" w14:textId="756032C8" w:rsidR="00E85CF2" w:rsidRDefault="00E85CF2">
      <w:pPr>
        <w:pStyle w:val="Body"/>
        <w:snapToGrid w:val="0"/>
        <w:spacing w:after="120"/>
        <w:rPr>
          <w:rFonts w:ascii="Arial" w:hAnsi="Arial" w:cs="Arial"/>
        </w:rPr>
      </w:pPr>
    </w:p>
    <w:p w14:paraId="06890ABC" w14:textId="526D8D50" w:rsidR="00E85CF2" w:rsidRDefault="00E85CF2">
      <w:pPr>
        <w:pStyle w:val="Body"/>
        <w:snapToGrid w:val="0"/>
        <w:spacing w:after="120"/>
        <w:rPr>
          <w:rFonts w:ascii="Arial" w:hAnsi="Arial" w:cs="Arial"/>
        </w:rPr>
      </w:pPr>
    </w:p>
    <w:p w14:paraId="4FD306AF" w14:textId="6DB4527F" w:rsidR="00E85CF2" w:rsidRDefault="00E85CF2">
      <w:pPr>
        <w:pStyle w:val="Body"/>
        <w:snapToGrid w:val="0"/>
        <w:spacing w:after="120"/>
        <w:rPr>
          <w:rFonts w:ascii="Arial" w:hAnsi="Arial" w:cs="Arial"/>
        </w:rPr>
      </w:pPr>
    </w:p>
    <w:p w14:paraId="39CDB3B2" w14:textId="23737A53" w:rsidR="00E85CF2" w:rsidRDefault="00E85CF2">
      <w:pPr>
        <w:pStyle w:val="Body"/>
        <w:snapToGrid w:val="0"/>
        <w:spacing w:after="120"/>
        <w:rPr>
          <w:rFonts w:ascii="Arial" w:hAnsi="Arial" w:cs="Arial"/>
        </w:rPr>
      </w:pPr>
    </w:p>
    <w:p w14:paraId="202880A5" w14:textId="4CDC0026" w:rsidR="00E85CF2" w:rsidRDefault="00E85CF2">
      <w:pPr>
        <w:pStyle w:val="Body"/>
        <w:snapToGrid w:val="0"/>
        <w:spacing w:after="120"/>
        <w:rPr>
          <w:rFonts w:ascii="Arial" w:hAnsi="Arial" w:cs="Arial"/>
        </w:rPr>
      </w:pPr>
    </w:p>
    <w:p w14:paraId="2EFE9336" w14:textId="77625D8C" w:rsidR="00E85CF2" w:rsidRDefault="00E85CF2">
      <w:pPr>
        <w:pStyle w:val="Body"/>
        <w:snapToGrid w:val="0"/>
        <w:spacing w:after="120"/>
        <w:rPr>
          <w:rFonts w:ascii="Arial" w:hAnsi="Arial" w:cs="Arial"/>
        </w:rPr>
      </w:pPr>
    </w:p>
    <w:p w14:paraId="13ABC962" w14:textId="40598274" w:rsidR="00E85CF2" w:rsidRDefault="00E85CF2">
      <w:pPr>
        <w:pStyle w:val="Body"/>
        <w:snapToGrid w:val="0"/>
        <w:spacing w:after="120"/>
        <w:rPr>
          <w:rFonts w:ascii="Arial" w:hAnsi="Arial" w:cs="Arial"/>
        </w:rPr>
      </w:pPr>
    </w:p>
    <w:p w14:paraId="44EE6B6A" w14:textId="099BA218" w:rsidR="00E85CF2" w:rsidRDefault="00E85CF2">
      <w:pPr>
        <w:pStyle w:val="Body"/>
        <w:snapToGrid w:val="0"/>
        <w:spacing w:after="120"/>
        <w:rPr>
          <w:rFonts w:ascii="Arial" w:hAnsi="Arial" w:cs="Arial"/>
        </w:rPr>
      </w:pPr>
    </w:p>
    <w:p w14:paraId="32A62B5E" w14:textId="2BDA74EA" w:rsidR="00E85CF2" w:rsidRDefault="00E85CF2">
      <w:pPr>
        <w:pStyle w:val="Body"/>
        <w:snapToGrid w:val="0"/>
        <w:spacing w:after="120"/>
        <w:rPr>
          <w:rFonts w:ascii="Arial" w:hAnsi="Arial" w:cs="Arial"/>
        </w:rPr>
      </w:pPr>
    </w:p>
    <w:p w14:paraId="76C3FE96" w14:textId="580AA891" w:rsidR="00E85CF2" w:rsidRDefault="00E85CF2">
      <w:pPr>
        <w:pStyle w:val="Body"/>
        <w:snapToGrid w:val="0"/>
        <w:spacing w:after="120"/>
        <w:rPr>
          <w:rFonts w:ascii="Arial" w:hAnsi="Arial" w:cs="Arial"/>
        </w:rPr>
      </w:pPr>
    </w:p>
    <w:p w14:paraId="67ED97AD" w14:textId="77777777" w:rsidR="00E85CF2" w:rsidRDefault="00E85CF2">
      <w:pPr>
        <w:pStyle w:val="Body"/>
        <w:snapToGrid w:val="0"/>
        <w:spacing w:after="120"/>
        <w:rPr>
          <w:rFonts w:ascii="Arial" w:hAnsi="Arial" w:cs="Arial"/>
        </w:rPr>
      </w:pPr>
    </w:p>
    <w:p w14:paraId="74525D65" w14:textId="77777777" w:rsidR="00551101" w:rsidRDefault="0056152E">
      <w:pPr>
        <w:spacing w:line="480" w:lineRule="auto"/>
        <w:ind w:right="-1"/>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85888" behindDoc="0" locked="0" layoutInCell="1" allowOverlap="1" wp14:anchorId="0A3A90B6" wp14:editId="03CE5463">
                <wp:simplePos x="0" y="0"/>
                <wp:positionH relativeFrom="column">
                  <wp:posOffset>-238539</wp:posOffset>
                </wp:positionH>
                <wp:positionV relativeFrom="paragraph">
                  <wp:posOffset>139148</wp:posOffset>
                </wp:positionV>
                <wp:extent cx="6650653" cy="4479235"/>
                <wp:effectExtent l="0" t="0" r="17145" b="17145"/>
                <wp:wrapNone/>
                <wp:docPr id="1539405026" name="Group 1"/>
                <wp:cNvGraphicFramePr/>
                <a:graphic xmlns:a="http://schemas.openxmlformats.org/drawingml/2006/main">
                  <a:graphicData uri="http://schemas.microsoft.com/office/word/2010/wordprocessingGroup">
                    <wpg:wgp>
                      <wpg:cNvGrpSpPr/>
                      <wpg:grpSpPr>
                        <a:xfrm>
                          <a:off x="0" y="0"/>
                          <a:ext cx="6650653" cy="4479235"/>
                          <a:chOff x="0" y="0"/>
                          <a:chExt cx="6650653" cy="4479235"/>
                        </a:xfrm>
                      </wpg:grpSpPr>
                      <wps:wsp>
                        <wps:cNvPr id="1519849647" name="Elbow Connector 4"/>
                        <wps:cNvCnPr/>
                        <wps:spPr>
                          <a:xfrm flipH="1">
                            <a:off x="4447822" y="1253067"/>
                            <a:ext cx="45719" cy="2730500"/>
                          </a:xfrm>
                          <a:prstGeom prst="bentConnector3">
                            <a:avLst>
                              <a:gd name="adj1" fmla="val -16049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5276022" name="Rectangle 1"/>
                        <wps:cNvSpPr/>
                        <wps:spPr>
                          <a:xfrm>
                            <a:off x="191911" y="0"/>
                            <a:ext cx="1242584" cy="3409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738C4" w14:textId="77777777" w:rsidR="00551101" w:rsidRDefault="0056152E">
                              <w:pPr>
                                <w:jc w:val="center"/>
                                <w:rPr>
                                  <w:rFonts w:ascii="Helvetica" w:hAnsi="Helvetica" w:cstheme="majorHAnsi"/>
                                  <w:color w:val="000000" w:themeColor="text1"/>
                                  <w:sz w:val="20"/>
                                  <w:szCs w:val="20"/>
                                </w:rPr>
                              </w:pPr>
                              <w:r>
                                <w:rPr>
                                  <w:rFonts w:ascii="Helvetica" w:hAnsi="Helvetica" w:cstheme="majorHAnsi"/>
                                  <w:color w:val="000000" w:themeColor="text1"/>
                                  <w:sz w:val="20"/>
                                  <w:szCs w:val="20"/>
                                </w:rPr>
                                <w:t>Service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384671" name="Rectangle 1"/>
                        <wps:cNvSpPr/>
                        <wps:spPr>
                          <a:xfrm>
                            <a:off x="0" y="541867"/>
                            <a:ext cx="1593166" cy="3415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662DC" w14:textId="77777777" w:rsidR="00551101" w:rsidRDefault="0056152E">
                              <w:pPr>
                                <w:jc w:val="center"/>
                                <w:rPr>
                                  <w:rFonts w:ascii="Helvetica" w:hAnsi="Helvetica" w:cstheme="majorHAnsi"/>
                                  <w:color w:val="000000" w:themeColor="text1"/>
                                  <w:sz w:val="20"/>
                                  <w:szCs w:val="20"/>
                                </w:rPr>
                              </w:pPr>
                              <w:r>
                                <w:rPr>
                                  <w:rFonts w:ascii="Helvetica" w:hAnsi="Helvetica" w:cstheme="majorHAnsi"/>
                                  <w:color w:val="000000" w:themeColor="text1"/>
                                  <w:sz w:val="20"/>
                                  <w:szCs w:val="20"/>
                                </w:rPr>
                                <w:t>Innovation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077652" name="Rectangle 1"/>
                        <wps:cNvSpPr/>
                        <wps:spPr>
                          <a:xfrm>
                            <a:off x="67731" y="1015950"/>
                            <a:ext cx="1473068" cy="139594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B0BA8" w14:textId="77777777" w:rsidR="00551101" w:rsidRDefault="0056152E">
                              <w:pPr>
                                <w:jc w:val="center"/>
                                <w:rPr>
                                  <w:rFonts w:ascii="Helvetica" w:hAnsi="Helvetica" w:cstheme="majorHAnsi"/>
                                  <w:color w:val="000000" w:themeColor="text1"/>
                                </w:rPr>
                              </w:pPr>
                              <w:r>
                                <w:rPr>
                                  <w:rFonts w:ascii="Helvetica" w:hAnsi="Helvetica" w:cstheme="majorHAnsi"/>
                                  <w:color w:val="000000" w:themeColor="text1"/>
                                </w:rPr>
                                <w:t>Intrinsic Factors</w:t>
                              </w:r>
                            </w:p>
                            <w:p w14:paraId="15BAECD9"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Relative Advantage</w:t>
                              </w:r>
                            </w:p>
                            <w:p w14:paraId="3F1CF8E1"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Compatibility</w:t>
                              </w:r>
                            </w:p>
                            <w:p w14:paraId="5584A47B"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Complexity</w:t>
                              </w:r>
                            </w:p>
                            <w:p w14:paraId="5CA6ED3B"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Trialability</w:t>
                              </w:r>
                            </w:p>
                            <w:p w14:paraId="0AE7D584"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Observability</w:t>
                              </w:r>
                            </w:p>
                            <w:p w14:paraId="7AF6DDB3" w14:textId="77777777" w:rsidR="00551101" w:rsidRDefault="00551101">
                              <w:pPr>
                                <w:rPr>
                                  <w:rFonts w:ascii="Helvetica" w:hAnsi="Helvetica" w:cs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2176084" name="Rectangle 1"/>
                        <wps:cNvSpPr/>
                        <wps:spPr>
                          <a:xfrm>
                            <a:off x="2517422" y="1004711"/>
                            <a:ext cx="1946554" cy="53354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3DD76" w14:textId="77777777" w:rsidR="00551101" w:rsidRDefault="0056152E">
                              <w:pPr>
                                <w:jc w:val="center"/>
                                <w:rPr>
                                  <w:rFonts w:ascii="Helvetica" w:hAnsi="Helvetica" w:cstheme="majorHAnsi"/>
                                  <w:color w:val="000000" w:themeColor="text1"/>
                                  <w:sz w:val="20"/>
                                  <w:szCs w:val="20"/>
                                </w:rPr>
                              </w:pPr>
                              <w:r>
                                <w:rPr>
                                  <w:rFonts w:ascii="Helvetica" w:hAnsi="Helvetica" w:cstheme="majorHAnsi"/>
                                  <w:color w:val="000000" w:themeColor="text1"/>
                                  <w:sz w:val="20"/>
                                  <w:szCs w:val="20"/>
                                </w:rPr>
                                <w:t>Principles of Sustainable Innovation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3627036" name="Rectangle 1"/>
                        <wps:cNvSpPr/>
                        <wps:spPr>
                          <a:xfrm>
                            <a:off x="1998134" y="1772356"/>
                            <a:ext cx="850824" cy="32062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61D89" w14:textId="77777777" w:rsidR="00551101" w:rsidRDefault="0056152E">
                              <w:pPr>
                                <w:jc w:val="center"/>
                                <w:rPr>
                                  <w:rFonts w:ascii="Helvetica" w:hAnsi="Helvetica" w:cstheme="majorHAnsi"/>
                                  <w:color w:val="000000" w:themeColor="text1"/>
                                  <w:sz w:val="18"/>
                                  <w:szCs w:val="18"/>
                                </w:rPr>
                              </w:pPr>
                              <w:r>
                                <w:rPr>
                                  <w:rFonts w:ascii="Helvetica" w:hAnsi="Helvetica" w:cstheme="majorHAnsi"/>
                                  <w:color w:val="000000" w:themeColor="text1"/>
                                  <w:sz w:val="18"/>
                                  <w:szCs w:val="1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605677" name="Rectangle 1"/>
                        <wps:cNvSpPr/>
                        <wps:spPr>
                          <a:xfrm>
                            <a:off x="3002845" y="1772356"/>
                            <a:ext cx="850824" cy="32062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BD930" w14:textId="77777777" w:rsidR="00551101" w:rsidRDefault="0056152E">
                              <w:pPr>
                                <w:jc w:val="center"/>
                                <w:rPr>
                                  <w:rFonts w:ascii="Helvetica" w:hAnsi="Helvetica" w:cstheme="majorHAnsi"/>
                                  <w:color w:val="000000" w:themeColor="text1"/>
                                  <w:sz w:val="18"/>
                                  <w:szCs w:val="18"/>
                                </w:rPr>
                              </w:pPr>
                              <w:r>
                                <w:rPr>
                                  <w:rFonts w:ascii="Helvetica" w:hAnsi="Helvetica" w:cstheme="majorHAnsi"/>
                                  <w:color w:val="000000" w:themeColor="text1"/>
                                  <w:sz w:val="18"/>
                                  <w:szCs w:val="18"/>
                                </w:rPr>
                                <w:t>Consistency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338715" name="Rectangle 1"/>
                        <wps:cNvSpPr/>
                        <wps:spPr>
                          <a:xfrm>
                            <a:off x="3996088" y="1772127"/>
                            <a:ext cx="973477"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C7B3A"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76609" name="Rectangle 1"/>
                        <wps:cNvSpPr/>
                        <wps:spPr>
                          <a:xfrm>
                            <a:off x="67725" y="2491409"/>
                            <a:ext cx="1473068" cy="198782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599C8" w14:textId="77777777" w:rsidR="00551101" w:rsidRDefault="0056152E">
                              <w:pPr>
                                <w:jc w:val="center"/>
                                <w:rPr>
                                  <w:rFonts w:ascii="Helvetica" w:hAnsi="Helvetica" w:cstheme="majorHAnsi"/>
                                  <w:color w:val="000000" w:themeColor="text1"/>
                                </w:rPr>
                              </w:pPr>
                              <w:r>
                                <w:rPr>
                                  <w:rFonts w:ascii="Helvetica" w:hAnsi="Helvetica" w:cstheme="majorHAnsi"/>
                                  <w:color w:val="000000" w:themeColor="text1"/>
                                </w:rPr>
                                <w:t>Extrinsic Factors</w:t>
                              </w:r>
                            </w:p>
                            <w:p w14:paraId="292951EB"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Policy Pressure</w:t>
                              </w:r>
                            </w:p>
                            <w:p w14:paraId="31386A0E"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Infrastructure Availability</w:t>
                              </w:r>
                            </w:p>
                            <w:p w14:paraId="5C497214"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Institutional Ecosystem Readiness</w:t>
                              </w:r>
                            </w:p>
                            <w:p w14:paraId="08AA3EB0"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Human Resource Readiness</w:t>
                              </w:r>
                            </w:p>
                            <w:p w14:paraId="06339C1D" w14:textId="77777777" w:rsidR="00551101" w:rsidRDefault="00551101">
                              <w:pPr>
                                <w:ind w:left="142"/>
                                <w:rPr>
                                  <w:rFonts w:ascii="Helvetica" w:hAnsi="Helvetica" w:cs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344877" name="Rectangle 1"/>
                        <wps:cNvSpPr/>
                        <wps:spPr>
                          <a:xfrm>
                            <a:off x="1761067" y="3465689"/>
                            <a:ext cx="812727"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8272A"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408291" name="Rectangle 1"/>
                        <wps:cNvSpPr/>
                        <wps:spPr>
                          <a:xfrm>
                            <a:off x="5249334" y="1241778"/>
                            <a:ext cx="1401319" cy="278120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C7D86" w14:textId="77777777" w:rsidR="00551101" w:rsidRDefault="0056152E">
                              <w:pPr>
                                <w:jc w:val="center"/>
                                <w:rPr>
                                  <w:rFonts w:ascii="Helvetica" w:hAnsi="Helvetica" w:cstheme="majorHAnsi"/>
                                  <w:b/>
                                  <w:bCs/>
                                  <w:color w:val="000000" w:themeColor="text1"/>
                                  <w:sz w:val="20"/>
                                  <w:szCs w:val="20"/>
                                </w:rPr>
                              </w:pPr>
                              <w:r>
                                <w:rPr>
                                  <w:rFonts w:ascii="Helvetica" w:hAnsi="Helvetica" w:cstheme="majorHAnsi"/>
                                  <w:b/>
                                  <w:bCs/>
                                  <w:color w:val="000000" w:themeColor="text1"/>
                                  <w:sz w:val="20"/>
                                  <w:szCs w:val="20"/>
                                </w:rPr>
                                <w:t>Academic Quality</w:t>
                              </w:r>
                            </w:p>
                            <w:p w14:paraId="5E383CC5" w14:textId="77777777" w:rsidR="00551101" w:rsidRDefault="00551101">
                              <w:pPr>
                                <w:jc w:val="center"/>
                                <w:rPr>
                                  <w:rFonts w:ascii="Helvetica" w:hAnsi="Helvetica" w:cstheme="majorHAnsi"/>
                                  <w:color w:val="000000" w:themeColor="text1"/>
                                  <w:sz w:val="20"/>
                                  <w:szCs w:val="20"/>
                                </w:rPr>
                              </w:pPr>
                            </w:p>
                            <w:p w14:paraId="2E802929"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Quality of Instruction </w:t>
                              </w:r>
                            </w:p>
                            <w:p w14:paraId="05B7CA56"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Academic Advising </w:t>
                              </w:r>
                            </w:p>
                            <w:p w14:paraId="76DA00CF"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Library Resources </w:t>
                              </w:r>
                            </w:p>
                            <w:p w14:paraId="245DEE8D"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Extracurricular Activities </w:t>
                              </w:r>
                            </w:p>
                            <w:p w14:paraId="429559AF"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Opportunities to Talk with Faculty </w:t>
                              </w:r>
                            </w:p>
                            <w:p w14:paraId="769E6CD5"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Employment Services</w:t>
                              </w:r>
                            </w:p>
                            <w:p w14:paraId="36C2148D" w14:textId="77777777" w:rsidR="00551101" w:rsidRDefault="00551101">
                              <w:pPr>
                                <w:pStyle w:val="ListParagraph"/>
                                <w:ind w:left="0"/>
                                <w:rPr>
                                  <w:rFonts w:ascii="Helvetica" w:hAnsi="Helvetica" w:cstheme="majorHAnsi"/>
                                  <w:color w:val="000000" w:themeColor="text1"/>
                                  <w:sz w:val="20"/>
                                  <w:szCs w:val="20"/>
                                </w:rPr>
                              </w:pPr>
                            </w:p>
                            <w:p w14:paraId="4E9B31B9" w14:textId="77777777" w:rsidR="00551101" w:rsidRDefault="0056152E">
                              <w:pPr>
                                <w:pStyle w:val="ListParagraph"/>
                                <w:ind w:left="0"/>
                                <w:rPr>
                                  <w:rFonts w:ascii="Helvetica" w:hAnsi="Helvetica" w:cstheme="majorHAnsi"/>
                                  <w:color w:val="000000" w:themeColor="text1"/>
                                  <w:sz w:val="20"/>
                                  <w:szCs w:val="20"/>
                                </w:rPr>
                              </w:pPr>
                              <w:r>
                                <w:rPr>
                                  <w:rFonts w:ascii="Helvetica" w:hAnsi="Helvetica" w:cstheme="majorHAnsi"/>
                                  <w:color w:val="000000" w:themeColor="text1"/>
                                  <w:sz w:val="20"/>
                                  <w:szCs w:val="20"/>
                                </w:rPr>
                                <w:t>Kotler &amp; Fox in (Darwyansyah, 2014)</w:t>
                              </w:r>
                            </w:p>
                            <w:p w14:paraId="32CF7181" w14:textId="77777777" w:rsidR="00551101" w:rsidRDefault="00551101">
                              <w:pPr>
                                <w:pStyle w:val="ListParagraph"/>
                                <w:ind w:left="426"/>
                                <w:jc w:val="left"/>
                                <w:rPr>
                                  <w:rFonts w:ascii="Helvetica" w:hAnsi="Helvetica" w:cstheme="maj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616557" name="Elbow Connector 4"/>
                        <wps:cNvCnPr/>
                        <wps:spPr>
                          <a:xfrm>
                            <a:off x="1546578" y="1659467"/>
                            <a:ext cx="45715" cy="2209721"/>
                          </a:xfrm>
                          <a:prstGeom prst="bentConnector3">
                            <a:avLst>
                              <a:gd name="adj1" fmla="val 2411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72300" name="Straight Arrow Connector 6"/>
                        <wps:cNvCnPr/>
                        <wps:spPr>
                          <a:xfrm>
                            <a:off x="2400300" y="2077156"/>
                            <a:ext cx="0" cy="6324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2846304" name="Straight Arrow Connector 6"/>
                        <wps:cNvCnPr/>
                        <wps:spPr>
                          <a:xfrm>
                            <a:off x="3427589" y="2077156"/>
                            <a:ext cx="0" cy="6324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6168458" name="Straight Arrow Connector 6"/>
                        <wps:cNvCnPr/>
                        <wps:spPr>
                          <a:xfrm>
                            <a:off x="4421011" y="2077156"/>
                            <a:ext cx="0" cy="6324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519177" name="Straight Arrow Connector 5"/>
                        <wps:cNvCnPr/>
                        <wps:spPr>
                          <a:xfrm>
                            <a:off x="1670756" y="2740378"/>
                            <a:ext cx="3581079"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7104643" name="Straight Arrow Connector 7"/>
                        <wps:cNvCnPr/>
                        <wps:spPr>
                          <a:xfrm flipV="1">
                            <a:off x="2129367"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1574145" name="Straight Arrow Connector 7"/>
                        <wps:cNvCnPr/>
                        <wps:spPr>
                          <a:xfrm flipV="1">
                            <a:off x="3021189"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2799025" name="Elbow Connector 8"/>
                        <wps:cNvCnPr/>
                        <wps:spPr>
                          <a:xfrm>
                            <a:off x="1993900" y="1253067"/>
                            <a:ext cx="2483262" cy="2730403"/>
                          </a:xfrm>
                          <a:prstGeom prst="bentConnector3">
                            <a:avLst>
                              <a:gd name="adj1" fmla="val -1034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1412813" name="Straight Arrow Connector 10"/>
                        <wps:cNvCnPr/>
                        <wps:spPr>
                          <a:xfrm>
                            <a:off x="774700" y="338667"/>
                            <a:ext cx="0" cy="2050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3823038" name="Rectangle 1"/>
                        <wps:cNvSpPr/>
                        <wps:spPr>
                          <a:xfrm>
                            <a:off x="2607734" y="3465689"/>
                            <a:ext cx="825426"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A32D3"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055968" name="Rectangle 1"/>
                        <wps:cNvSpPr/>
                        <wps:spPr>
                          <a:xfrm>
                            <a:off x="3476978" y="3465689"/>
                            <a:ext cx="815902"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A9179"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947578" name="Rectangle 1"/>
                        <wps:cNvSpPr/>
                        <wps:spPr>
                          <a:xfrm>
                            <a:off x="4323645" y="3465689"/>
                            <a:ext cx="825426"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C0D69" w14:textId="77777777" w:rsidR="00551101" w:rsidRDefault="0056152E">
                              <w:pPr>
                                <w:jc w:val="center"/>
                                <w:rPr>
                                  <w:rFonts w:ascii="Helvetica" w:hAnsi="Helvetica" w:cstheme="majorHAnsi"/>
                                  <w:color w:val="000000" w:themeColor="text1"/>
                                  <w:sz w:val="18"/>
                                  <w:szCs w:val="18"/>
                                </w:rPr>
                              </w:pPr>
                              <w:r>
                                <w:rPr>
                                  <w:rFonts w:ascii="Helvetica" w:hAnsi="Helvetica" w:cstheme="majorHAnsi"/>
                                  <w:color w:val="000000" w:themeColor="text1"/>
                                  <w:sz w:val="18"/>
                                  <w:szCs w:val="18"/>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455284" name="Straight Arrow Connector 7"/>
                        <wps:cNvCnPr/>
                        <wps:spPr>
                          <a:xfrm flipV="1">
                            <a:off x="3867856"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13069" name="Straight Arrow Connector 7"/>
                        <wps:cNvCnPr/>
                        <wps:spPr>
                          <a:xfrm flipV="1">
                            <a:off x="4804834"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5673862" name="Straight Arrow Connector 9"/>
                        <wps:cNvCnPr/>
                        <wps:spPr>
                          <a:xfrm>
                            <a:off x="1998134" y="1248834"/>
                            <a:ext cx="5333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804741" name="Straight Arrow Connector 11"/>
                        <wps:cNvCnPr/>
                        <wps:spPr>
                          <a:xfrm>
                            <a:off x="774700" y="880534"/>
                            <a:ext cx="0" cy="128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3A90B6" id="Group 1" o:spid="_x0000_s1026" style="position:absolute;margin-left:-18.8pt;margin-top:10.95pt;width:523.65pt;height:352.7pt;z-index:251685888;mso-height-relative:margin" coordsize="66506,4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yU7ggAAMhgAAAOAAAAZHJzL2Uyb0RvYy54bWzsXVlv28Yafb9A/wPB90SzckghSmG4SXqB&#10;oA2aLs80RS0FRbIkHdn3198zM1wkRaptyYkTeVBAFS2uH8+cOd82efXjzSrzPqVVvSzyiU9fEt9L&#10;86SYLvP5xP/j97cvQt+rmzifxlmRpxP/Nq39H1//8J9X63KcsmJRZNO08nCSvB6vy4m/aJpyPBrV&#10;ySJdxfXLokxz/DgrqlXcYLOaj6ZVvMbZV9mIERKM1kU1LasiSesaf/3J/ui/NuefzdKk+XU2q9PG&#10;yyY+7q0xn5X5vNKfo9ev4vG8isvFMmlvIz7iLlbxMsdF+1P9FDexd10tPzvVaplURV3MmpdJsRoV&#10;s9kySc0z4Gko2Xmad1VxXZpnmY/X87I3E0y7Y6ejT5v88ulD5S2neHeSR4JIwgLfy+MV3pW5vEe1&#10;jdblfIxd31Xlx/JD1f5hbrf0Y9/MqpX+Px7IuzHWve2tm940XoI/BoEkgeS+l+A3IVTEuLT2TxZ4&#10;SZ8dlyze3HHkqLvwSN9ffzvrEliqB3PVp5nr4yIuU/MWam2D3lw0CkUUCNWZ6012Vay9yyLPgbqi&#10;8oQ1nDnoMm+tVo9rGLAzmTfLluXPsL3BTms8AduEjPkezESZ5CRQ1kydIYVUNLJmZIrjlRkY98aI&#10;x2VVN+/SYuXpLxP/Ks2b/ra4uVT86X3dGLxO25cdT/+mvjdbZYD/pzjzXtCAiIibS+PU7QH41p1c&#10;H53l+rMusuX07TLLzIYeuellVnk4y8Rvbgx+cNzGXtjSR+KtdeYw35rbLLVn/S2dAZPAjDWMYYPh&#10;nHGS4Im682Y59taHzXAH/YHEPOa/Htjurw9NDVM85OD+CHPlIm/6g1fLvKj2XX0wxczu31nAPrc2&#10;wVUxvTVAMaYBhvXI+xpgxsBkKiAadXbs/wYMx/k8S7vxb2DcD/7uvXUDsB/5NMJ/ANLnw58ywWQo&#10;LG65IFHINayBhY48OmS1sK1wCwNY7a7dLtrqG4DCxjbsruYdPLb2+uJ4ZftefIdXc9OLeJraoYFx&#10;24/c/vaNQfZD+h5j4WtDOutH4UFINzdXN2a+6NDtVYWdhesyebsEQb2P6+ZDXIF3MEFDSjS/4mOW&#10;FeuJX7TffG9RVP/b93e9P+gdv/reGtP4xK//uY6r1Pey/+Yg/ogKoed9swHiZNioNn+52vwlv15d&#10;FmAtABh3Z77q/Zus+zqritVfUBwX+qr4Kc4TXHviJ03VbVw2Vl5AsyTpxYXZDXN9GTfv849l0nGa&#10;RvLvN3/FVdnCvQG9/1J0k03LuAPq7b4aQnlxcd0Us2WjfxxYo934mqRBGA9FoGCt00gDhgRfSEHD&#10;3amOyojTAIpEawYuqAS3WJs40hg47yxJw4rSTkPZmdFxh5lfvn/u4FFAlILoOJU6AqW4lRuUgCxk&#10;69F1UpkKCOQAPqjmD8ojGYngCQjEw1xGmcJ0f5dwGUTihnC5v152+sM6FYOk1vrDUAlzVHKeMiRU&#10;jMJ30a7FaTKESapE53gTIpQVG3AP2zgEBXtI2bowknP5JGTiKGQjvtD5VlYUHuGV39OFMRRiHNZB&#10;cTs1ciZqBKEuHmB65n3o8/jwRxRSDobQckMpRDiN3BgoJJQkZF0QhJGAPUUQxMmRe4QHvzCX9NFh&#10;59mcVVSEkZAERMIvOVWOcEJYKKTjEpsKcK7NQdfGpNGcLjm7CKsUcDJCRcEBp3k2PEK8JUQYpJUl&#10;iEVob3iQJZHiQjOWCbMir84iFyV5blka4+IYueqo5OyoJIikCgKCsoHTmAS6hllJwgRyazjhFo9s&#10;x1ujEIUMLt767PK9hknMDOOY5OyYhIZRxIUIT3dwELWlurhJqxKOyGoQ7rBJCJ0CpeJUSVv68Rxr&#10;RwyXhC53c5a5Gxai5DRk0ckVJBJqhHdxVyYQejWQGRwcSBXKh6pJMAt5ikoSF3l9+sirmWScMDk/&#10;YcIYCygStH3k9YiKbB0UaeuwKdK7EjxigiaBrhzZCZroOmz4QjpmwhiJkIb+96DJUXXYIDNqyQxV&#10;IK4K++R871Bgc7Bk9amqsBkPkDFEkVDro39sqng5XzTeRVVtdRb0QRq0IxzoLNjAMROEmLNqnKLq&#10;iu7mJHFBjeGAM9HX+x8or6zbW+rbCawyNbi0KfjNCu0jy63jcRMvszf51GtuS/ShNNXSlKK3o8u1&#10;Duh+h91kwFOBVnEkqQJO+uqbR0ItF0xJOISafR1qXcPLRlPgg5rduoJ6LfiG7i0ZQikguYrZ3cZD&#10;Hwm1QjDUodqCVIdah9rHRa3uf4jg294J2j4hfC+BQANFFESBoVolCN91nrkMKVFty+EdzYYPVQja&#10;I+Y4/ZGl0U4rDG0gux2X36DAVZSIQKAH+A7W7ZMHhwFsemf/7NqpWp+NURZBRbdQlugNMD7ZEAfq&#10;tC4q/tQdmamHIvmoulyH3+8Jv4RRqQTVRVlfCMAcl0CGxQEYXZjbvv7+pth7hBO/dlPsNxxhQDpe&#10;RRHRGXyL390IWZ9oOcy7G5EFikxgpOMV8NH2rlTARMhZgCYvEyNDKxbExReIkb2ghGNSsQEIFyPb&#10;HjdH1DF/wwim6AcWlKHIvoPwQc+NGqXa+n13h8mUErpBT2MZRXfBbrC3FQ4My21EZpQcXrjACQfT&#10;kOx4t18sBoHVEJFd3ocbju0vYbptts1z7i+ZYFLoFXxcIadttX22JRMD+7kGk7NqMKGolyBSRrqr&#10;3Yq4Y8kEJd9B1CY495MJOupJq964qwqvny+ZmCiKq5k4w5qJECVYypQ5nEYmgiN93Xar7ScTp0w6&#10;x8xECp8vmbiVOLyzrObESmtCSpQDdMLkoGt+bHgffrkK+0yVC++7VTD7lYIfoSiAYgJTFOtF9V1S&#10;jw5gERKERO36EKhvcfmpfgFJF95/yMrQ+6taQnCjAkf2q6odxG9fA33fOP+wqgli+hrBW21/aFPm&#10;ei03HXV65PoAl1XVyyh3ytGmOM4rpI/AAlgRadU7ZYNN5h8T0Q9DIndB20b0kUzQOSxrWVf2ur2O&#10;8jbuvo+IPipjzXL5JgnRLu2v1+Pf3Db1s8M/QPD6/wAAAP//AwBQSwMEFAAGAAgAAAAhAMX6HOvi&#10;AAAACwEAAA8AAABkcnMvZG93bnJldi54bWxMj8FqwzAQRO+F/oPYQm+JZJvGjWs5hND2FApNCiE3&#10;xdrYJtbKWIrt/H2VU3tc5jHzNl9NpmUD9q6xJCGaC2BIpdUNVRJ+9h+zV2DOK9KqtYQSbuhgVTw+&#10;5CrTdqRvHHa+YqGEXKYk1N53GeeurNEoN7cdUsjOtjfKh7OvuO7VGMpNy2MhFtyohsJCrTrc1Fhe&#10;dlcj4XNU4zqJ3oft5by5HfcvX4dthFI+P03rN2AeJ/8Hw10/qEMRnE72StqxVsIsSRcBlRBHS2B3&#10;QIhlCuwkIY3TBHiR8/8/FL8AAAD//wMAUEsBAi0AFAAGAAgAAAAhALaDOJL+AAAA4QEAABMAAAAA&#10;AAAAAAAAAAAAAAAAAFtDb250ZW50X1R5cGVzXS54bWxQSwECLQAUAAYACAAAACEAOP0h/9YAAACU&#10;AQAACwAAAAAAAAAAAAAAAAAvAQAAX3JlbHMvLnJlbHNQSwECLQAUAAYACAAAACEA7CQslO4IAADI&#10;YAAADgAAAAAAAAAAAAAAAAAuAgAAZHJzL2Uyb0RvYy54bWxQSwECLQAUAAYACAAAACEAxfoc6+IA&#10;AAALAQAADwAAAAAAAAAAAAAAAABICwAAZHJzL2Rvd25yZXYueG1sUEsFBgAAAAAEAAQA8wAAAFcM&#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7" type="#_x0000_t34" style="position:absolute;left:44478;top:12530;width:457;height:2730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4wxgAAAOMAAAAPAAAAZHJzL2Rvd25yZXYueG1sRE9Li8Iw&#10;EL4L+x/CLHjTRHFdrUYR2QVBEHzhdWjGtthMuk3U+u+NIOxxvvdM540txY1qXzjW0OsqEMSpMwVn&#10;Gg77384IhA/IBkvHpOFBHuazj9YUE+PuvKXbLmQihrBPUEMeQpVI6dOcLPquq4gjd3a1xRDPOpOm&#10;xnsMt6XsKzWUFguODTlWtMwpveyuVsM2KxePv82PPa43K6U8cX95PGnd/mwWExCBmvAvfrtXJs7/&#10;6o1Hg/Fw8A2vnyIAcvYEAAD//wMAUEsBAi0AFAAGAAgAAAAhANvh9svuAAAAhQEAABMAAAAAAAAA&#10;AAAAAAAAAAAAAFtDb250ZW50X1R5cGVzXS54bWxQSwECLQAUAAYACAAAACEAWvQsW78AAAAVAQAA&#10;CwAAAAAAAAAAAAAAAAAfAQAAX3JlbHMvLnJlbHNQSwECLQAUAAYACAAAACEAGG+OMMYAAADjAAAA&#10;DwAAAAAAAAAAAAAAAAAHAgAAZHJzL2Rvd25yZXYueG1sUEsFBgAAAAADAAMAtwAAAPoCAAAAAA==&#10;" adj="-346666" strokecolor="black [3213]" strokeweight=".5pt"/>
                <v:rect id="Rectangle 1" o:spid="_x0000_s1028" style="position:absolute;left:1919;width:12425;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igxgAAAOMAAAAPAAAAZHJzL2Rvd25yZXYueG1sRE9LT8Mw&#10;DL4j8R8iT+LGkkWiQ92yiYd47cZgO1uN11bUTtWErfDrCRISR39vL9cjd+pIQ2yDOJhNDSiSKvhW&#10;agfvbw+X16BiQvHYBSEHXxRhvTo/W2Lpw0le6bhNtcohEkt00KTUl1rHqiHGOA09SeYOYWBM+Rxq&#10;7Qc85XDutDWm0Iyt5IYGe7prqPrYfrID3shtv3syyLZ4+Y5cPc7v271zF5PxZgEq0Zj+xX/uZ5/n&#10;m+LKzgtjLfz+lAHQqx8AAAD//wMAUEsBAi0AFAAGAAgAAAAhANvh9svuAAAAhQEAABMAAAAAAAAA&#10;AAAAAAAAAAAAAFtDb250ZW50X1R5cGVzXS54bWxQSwECLQAUAAYACAAAACEAWvQsW78AAAAVAQAA&#10;CwAAAAAAAAAAAAAAAAAfAQAAX3JlbHMvLnJlbHNQSwECLQAUAAYACAAAACEAKENIoMYAAADjAAAA&#10;DwAAAAAAAAAAAAAAAAAHAgAAZHJzL2Rvd25yZXYueG1sUEsFBgAAAAADAAMAtwAAAPoCAAAAAA==&#10;" fillcolor="white [3212]" strokecolor="black [3213]" strokeweight="1pt">
                  <v:textbox>
                    <w:txbxContent>
                      <w:p w14:paraId="598738C4" w14:textId="77777777" w:rsidR="00551101" w:rsidRDefault="0056152E">
                        <w:pPr>
                          <w:jc w:val="center"/>
                          <w:rPr>
                            <w:rFonts w:ascii="Helvetica" w:hAnsi="Helvetica" w:cstheme="majorHAnsi"/>
                            <w:color w:val="000000" w:themeColor="text1"/>
                            <w:sz w:val="20"/>
                            <w:szCs w:val="20"/>
                          </w:rPr>
                        </w:pPr>
                        <w:r>
                          <w:rPr>
                            <w:rFonts w:ascii="Helvetica" w:hAnsi="Helvetica" w:cstheme="majorHAnsi"/>
                            <w:color w:val="000000" w:themeColor="text1"/>
                            <w:sz w:val="20"/>
                            <w:szCs w:val="20"/>
                          </w:rPr>
                          <w:t>Service Innovation</w:t>
                        </w:r>
                      </w:p>
                    </w:txbxContent>
                  </v:textbox>
                </v:rect>
                <v:rect id="Rectangle 1" o:spid="_x0000_s1029" style="position:absolute;top:5418;width:15931;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PvxwAAAOMAAAAPAAAAZHJzL2Rvd25yZXYueG1sRE9LT8JA&#10;EL6b+B82Y+JNdqmkkMpCBKOIN/FxnnTHtrEz23RXKPx618SE43zvmS8HbtWe+tB4sTAeGVAkpXeN&#10;VBbe3x5vZqBCRHHYeiELRwqwXFxezLFw/iCvtN/FSqUQCQVaqGPsCq1DWRNjGPmOJHFfvmeM6ewr&#10;7Xo8pHBudWZMrhkbSQ01drSuqfze/bAFfpFV97ExyFm+PQUun6YPzae111fD/R2oSEM8i//dzy7N&#10;Nya7nU3y6Rj+fkoA6MUvAAAA//8DAFBLAQItABQABgAIAAAAIQDb4fbL7gAAAIUBAAATAAAAAAAA&#10;AAAAAAAAAAAAAABbQ29udGVudF9UeXBlc10ueG1sUEsBAi0AFAAGAAgAAAAhAFr0LFu/AAAAFQEA&#10;AAsAAAAAAAAAAAAAAAAAHwEAAF9yZWxzLy5yZWxzUEsBAi0AFAAGAAgAAAAhAOJ1A+/HAAAA4wAA&#10;AA8AAAAAAAAAAAAAAAAABwIAAGRycy9kb3ducmV2LnhtbFBLBQYAAAAAAwADALcAAAD7AgAAAAA=&#10;" fillcolor="white [3212]" strokecolor="black [3213]" strokeweight="1pt">
                  <v:textbox>
                    <w:txbxContent>
                      <w:p w14:paraId="258662DC" w14:textId="77777777" w:rsidR="00551101" w:rsidRDefault="0056152E">
                        <w:pPr>
                          <w:jc w:val="center"/>
                          <w:rPr>
                            <w:rFonts w:ascii="Helvetica" w:hAnsi="Helvetica" w:cstheme="majorHAnsi"/>
                            <w:color w:val="000000" w:themeColor="text1"/>
                            <w:sz w:val="20"/>
                            <w:szCs w:val="20"/>
                          </w:rPr>
                        </w:pPr>
                        <w:r>
                          <w:rPr>
                            <w:rFonts w:ascii="Helvetica" w:hAnsi="Helvetica" w:cstheme="majorHAnsi"/>
                            <w:color w:val="000000" w:themeColor="text1"/>
                            <w:sz w:val="20"/>
                            <w:szCs w:val="20"/>
                          </w:rPr>
                          <w:t>Innovation Adoption</w:t>
                        </w:r>
                      </w:p>
                    </w:txbxContent>
                  </v:textbox>
                </v:rect>
                <v:rect id="Rectangle 1" o:spid="_x0000_s1030" style="position:absolute;left:677;top:10159;width:14730;height:1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vSuyQAAAOIAAAAPAAAAZHJzL2Rvd25yZXYueG1sRI/NTsMw&#10;EITvSLyDtZW4UbtBJCXUrfgRULjRAudVvCQR2XUUmzb06XElJI6jmflGs1iN3KkdDaH1YmE2NaBI&#10;Ku9aqS28bR/O56BCRHHYeSELPxRgtTw9WWDp/F5eabeJtUoQCSVaaGLsS61D1RBjmPqeJHmffmCM&#10;SQ61dgPuE5w7nRmTa8ZW0kKDPd01VH1tvtkCv8ht//5kkLP8+RC4eizu2w9rzybjzTWoSGP8D/+1&#10;187CxVVuiiK/zOB4Kd0BvfwFAAD//wMAUEsBAi0AFAAGAAgAAAAhANvh9svuAAAAhQEAABMAAAAA&#10;AAAAAAAAAAAAAAAAAFtDb250ZW50X1R5cGVzXS54bWxQSwECLQAUAAYACAAAACEAWvQsW78AAAAV&#10;AQAACwAAAAAAAAAAAAAAAAAfAQAAX3JlbHMvLnJlbHNQSwECLQAUAAYACAAAACEAr/L0rskAAADi&#10;AAAADwAAAAAAAAAAAAAAAAAHAgAAZHJzL2Rvd25yZXYueG1sUEsFBgAAAAADAAMAtwAAAP0CAAAA&#10;AA==&#10;" fillcolor="white [3212]" strokecolor="black [3213]" strokeweight="1pt">
                  <v:textbox>
                    <w:txbxContent>
                      <w:p w14:paraId="0FBB0BA8" w14:textId="77777777" w:rsidR="00551101" w:rsidRDefault="0056152E">
                        <w:pPr>
                          <w:jc w:val="center"/>
                          <w:rPr>
                            <w:rFonts w:ascii="Helvetica" w:hAnsi="Helvetica" w:cstheme="majorHAnsi"/>
                            <w:color w:val="000000" w:themeColor="text1"/>
                          </w:rPr>
                        </w:pPr>
                        <w:r>
                          <w:rPr>
                            <w:rFonts w:ascii="Helvetica" w:hAnsi="Helvetica" w:cstheme="majorHAnsi"/>
                            <w:color w:val="000000" w:themeColor="text1"/>
                          </w:rPr>
                          <w:t>Intrinsic Factors</w:t>
                        </w:r>
                      </w:p>
                      <w:p w14:paraId="15BAECD9"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Relative Advantage</w:t>
                        </w:r>
                      </w:p>
                      <w:p w14:paraId="3F1CF8E1"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Compatibility</w:t>
                        </w:r>
                      </w:p>
                      <w:p w14:paraId="5584A47B"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Complexity</w:t>
                        </w:r>
                      </w:p>
                      <w:p w14:paraId="5CA6ED3B"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Trialability</w:t>
                        </w:r>
                      </w:p>
                      <w:p w14:paraId="0AE7D584"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Observability</w:t>
                        </w:r>
                      </w:p>
                      <w:p w14:paraId="7AF6DDB3" w14:textId="77777777" w:rsidR="00551101" w:rsidRDefault="00551101">
                        <w:pPr>
                          <w:rPr>
                            <w:rFonts w:ascii="Helvetica" w:hAnsi="Helvetica" w:cstheme="majorHAnsi"/>
                            <w:color w:val="000000" w:themeColor="text1"/>
                          </w:rPr>
                        </w:pPr>
                      </w:p>
                    </w:txbxContent>
                  </v:textbox>
                </v:rect>
                <v:rect id="Rectangle 1" o:spid="_x0000_s1031" style="position:absolute;left:25174;top:10047;width:19465;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6eNxgAAAOMAAAAPAAAAZHJzL2Rvd25yZXYueG1sRE9LS8NA&#10;EL4L/Q/LFLzZ3QZJQuy22Iqv3qyP85Adk2BmNmTXNvrrXUHwON97VpuJe3WkMXReLCwXBhRJ7V0n&#10;jYWX59uLElSIKA57L2ThiwJs1rOzFVbOn+SJjofYqBQioUILbYxDpXWoW2IMCz+QJO7dj4wxnWOj&#10;3YinFM69zozJNWMnqaHFgXYt1R+HT7bAe9kOr/cGOcsfvwPXd8VN92bt+Xy6vgIVaYr/4j/3g0vz&#10;yyJbFrkpL+H3pwSAXv8AAAD//wMAUEsBAi0AFAAGAAgAAAAhANvh9svuAAAAhQEAABMAAAAAAAAA&#10;AAAAAAAAAAAAAFtDb250ZW50X1R5cGVzXS54bWxQSwECLQAUAAYACAAAACEAWvQsW78AAAAVAQAA&#10;CwAAAAAAAAAAAAAAAAAfAQAAX3JlbHMvLnJlbHNQSwECLQAUAAYACAAAACEA5IenjcYAAADjAAAA&#10;DwAAAAAAAAAAAAAAAAAHAgAAZHJzL2Rvd25yZXYueG1sUEsFBgAAAAADAAMAtwAAAPoCAAAAAA==&#10;" fillcolor="white [3212]" strokecolor="black [3213]" strokeweight="1pt">
                  <v:textbox>
                    <w:txbxContent>
                      <w:p w14:paraId="1123DD76" w14:textId="77777777" w:rsidR="00551101" w:rsidRDefault="0056152E">
                        <w:pPr>
                          <w:jc w:val="center"/>
                          <w:rPr>
                            <w:rFonts w:ascii="Helvetica" w:hAnsi="Helvetica" w:cstheme="majorHAnsi"/>
                            <w:color w:val="000000" w:themeColor="text1"/>
                            <w:sz w:val="20"/>
                            <w:szCs w:val="20"/>
                          </w:rPr>
                        </w:pPr>
                        <w:r>
                          <w:rPr>
                            <w:rFonts w:ascii="Helvetica" w:hAnsi="Helvetica" w:cstheme="majorHAnsi"/>
                            <w:color w:val="000000" w:themeColor="text1"/>
                            <w:sz w:val="20"/>
                            <w:szCs w:val="20"/>
                          </w:rPr>
                          <w:t>Principles of Sustainable Innovation Governance</w:t>
                        </w:r>
                      </w:p>
                    </w:txbxContent>
                  </v:textbox>
                </v:rect>
                <v:rect id="Rectangle 1" o:spid="_x0000_s1032" style="position:absolute;left:19981;top:17723;width:8508;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HZyAAAAOMAAAAPAAAAZHJzL2Rvd25yZXYueG1sRE/LasMw&#10;ELwX+g9iA701UlxwihMlpC195da8zou1sU28K2OpiduvrwqFXgZ2Z2dmZ74cuFVn6kPjxcJkbECR&#10;lN41UlnYbZ9v70GFiOKw9UIWvijAcnF9NcfC+Yt80HkTK5VMJBRooY6xK7QOZU2MYew7ksQdfc8Y&#10;09hX2vV4Sebc6syYXDM2khJq7OixpvK0+WQLvJaHbv9qkLP8/Ttw+TJ9ag7W3oyG1QxUpCH+H/+p&#10;31x6Pzd3eTZNAL+d0gL04gcAAP//AwBQSwECLQAUAAYACAAAACEA2+H2y+4AAACFAQAAEwAAAAAA&#10;AAAAAAAAAAAAAAAAW0NvbnRlbnRfVHlwZXNdLnhtbFBLAQItABQABgAIAAAAIQBa9CxbvwAAABUB&#10;AAALAAAAAAAAAAAAAAAAAB8BAABfcmVscy8ucmVsc1BLAQItABQABgAIAAAAIQCgqvHZyAAAAOMA&#10;AAAPAAAAAAAAAAAAAAAAAAcCAABkcnMvZG93bnJldi54bWxQSwUGAAAAAAMAAwC3AAAA/AIAAAAA&#10;" fillcolor="white [3212]" strokecolor="black [3213]" strokeweight="1pt">
                  <v:textbox>
                    <w:txbxContent>
                      <w:p w14:paraId="4A461D89" w14:textId="77777777" w:rsidR="00551101" w:rsidRDefault="0056152E">
                        <w:pPr>
                          <w:jc w:val="center"/>
                          <w:rPr>
                            <w:rFonts w:ascii="Helvetica" w:hAnsi="Helvetica" w:cstheme="majorHAnsi"/>
                            <w:color w:val="000000" w:themeColor="text1"/>
                            <w:sz w:val="18"/>
                            <w:szCs w:val="18"/>
                          </w:rPr>
                        </w:pPr>
                        <w:r>
                          <w:rPr>
                            <w:rFonts w:ascii="Helvetica" w:hAnsi="Helvetica" w:cstheme="majorHAnsi"/>
                            <w:color w:val="000000" w:themeColor="text1"/>
                            <w:sz w:val="18"/>
                            <w:szCs w:val="18"/>
                          </w:rPr>
                          <w:t>Commitment</w:t>
                        </w:r>
                      </w:p>
                    </w:txbxContent>
                  </v:textbox>
                </v:rect>
                <v:rect id="Rectangle 1" o:spid="_x0000_s1033" style="position:absolute;left:30028;top:17723;width:8508;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NJyQAAAOMAAAAPAAAAZHJzL2Rvd25yZXYueG1sRI9fS8NA&#10;EMTfC36HYwXf2jsDJiX2WtRSrX2z/nlecmsSzO6F3NnGfnpPEPo4zMxvmMVq5E4daAitFwvXMwOK&#10;pPKuldrC2+tmOgcVIorDzgtZ+KEAq+XFZIGl80d5ocM+1ipBJJRooYmxL7UOVUOMYeZ7kuR9+oEx&#10;JjnU2g14THDudGZMrhlbSQsN9vTQUPW1/2YLvJP7/v3JIGf58ylw9Vis2w9rry7Hu1tQkcZ4Dv+3&#10;t85CZuYmNzd5UcDfp/QH9PIXAAD//wMAUEsBAi0AFAAGAAgAAAAhANvh9svuAAAAhQEAABMAAAAA&#10;AAAAAAAAAAAAAAAAAFtDb250ZW50X1R5cGVzXS54bWxQSwECLQAUAAYACAAAACEAWvQsW78AAAAV&#10;AQAACwAAAAAAAAAAAAAAAAAfAQAAX3JlbHMvLnJlbHNQSwECLQAUAAYACAAAACEAzIwTSckAAADj&#10;AAAADwAAAAAAAAAAAAAAAAAHAgAAZHJzL2Rvd25yZXYueG1sUEsFBgAAAAADAAMAtwAAAP0CAAAA&#10;AA==&#10;" fillcolor="white [3212]" strokecolor="black [3213]" strokeweight="1pt">
                  <v:textbox>
                    <w:txbxContent>
                      <w:p w14:paraId="247BD930" w14:textId="77777777" w:rsidR="00551101" w:rsidRDefault="0056152E">
                        <w:pPr>
                          <w:jc w:val="center"/>
                          <w:rPr>
                            <w:rFonts w:ascii="Helvetica" w:hAnsi="Helvetica" w:cstheme="majorHAnsi"/>
                            <w:color w:val="000000" w:themeColor="text1"/>
                            <w:sz w:val="18"/>
                            <w:szCs w:val="18"/>
                          </w:rPr>
                        </w:pPr>
                        <w:r>
                          <w:rPr>
                            <w:rFonts w:ascii="Helvetica" w:hAnsi="Helvetica" w:cstheme="majorHAnsi"/>
                            <w:color w:val="000000" w:themeColor="text1"/>
                            <w:sz w:val="18"/>
                            <w:szCs w:val="18"/>
                          </w:rPr>
                          <w:t>Consistency</w:t>
                        </w:r>
                      </w:p>
                    </w:txbxContent>
                  </v:textbox>
                </v:rect>
                <v:rect id="Rectangle 1" o:spid="_x0000_s1034" style="position:absolute;left:39960;top:17721;width:973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cNygAAAOIAAAAPAAAAZHJzL2Rvd25yZXYueG1sRI/NbsIw&#10;EITvSLyDtUi9gQM0gFIM6o/a0t6AtudVvCQR2XUUuxD69DVSpR5HM/ONZrnuuFYnan3lxMB4lIAi&#10;yZ2tpDDwsX8eLkD5gGKxdkIGLuRhver3lphZd5YtnXahUBEiPkMDZQhNprXPS2L0I9eQRO/gWsYQ&#10;ZVto2+I5wrnWkySZacZK4kKJDT2WlB9332yA3+Wh+XxNkCeztx/P+cv8qfoy5mbQ3d+BCtSF//Bf&#10;e2MNpLfpdLqYj1O4Xop3QK9+AQAA//8DAFBLAQItABQABgAIAAAAIQDb4fbL7gAAAIUBAAATAAAA&#10;AAAAAAAAAAAAAAAAAABbQ29udGVudF9UeXBlc10ueG1sUEsBAi0AFAAGAAgAAAAhAFr0LFu/AAAA&#10;FQEAAAsAAAAAAAAAAAAAAAAAHwEAAF9yZWxzLy5yZWxzUEsBAi0AFAAGAAgAAAAhANaUdw3KAAAA&#10;4gAAAA8AAAAAAAAAAAAAAAAABwIAAGRycy9kb3ducmV2LnhtbFBLBQYAAAAAAwADALcAAAD+AgAA&#10;AAA=&#10;" fillcolor="white [3212]" strokecolor="black [3213]" strokeweight="1pt">
                  <v:textbox>
                    <w:txbxContent>
                      <w:p w14:paraId="632C7B3A"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Communication</w:t>
                        </w:r>
                      </w:p>
                    </w:txbxContent>
                  </v:textbox>
                </v:rect>
                <v:rect id="Rectangle 1" o:spid="_x0000_s1035" style="position:absolute;left:677;top:24914;width:14730;height:1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pfyQAAAOEAAAAPAAAAZHJzL2Rvd25yZXYueG1sRI9LT8Mw&#10;EITvSP0P1lbiRm0q4bahbsVDPNobpeW8ipckIruOYtMGfj1GQuI4mplvNMv1wK06Uh+bIA4uJwYU&#10;SRl8I5WD/evDxRxUTCge2yDk4IsirFejsyUWPpzkhY67VKkMkViggzqlrtA6ljUxxknoSLL3HnrG&#10;lGVfad/jKcO51VNjrGZsJC/U2NFdTeXH7pMd8FZuu8OTQZ7azXfk8nF237w5dz4ebq5BJRrSf/iv&#10;/ewd2MXVzFqzgN9H+Q3o1Q8AAAD//wMAUEsBAi0AFAAGAAgAAAAhANvh9svuAAAAhQEAABMAAAAA&#10;AAAAAAAAAAAAAAAAAFtDb250ZW50X1R5cGVzXS54bWxQSwECLQAUAAYACAAAACEAWvQsW78AAAAV&#10;AQAACwAAAAAAAAAAAAAAAAAfAQAAX3JlbHMvLnJlbHNQSwECLQAUAAYACAAAACEA9qhqX8kAAADh&#10;AAAADwAAAAAAAAAAAAAAAAAHAgAAZHJzL2Rvd25yZXYueG1sUEsFBgAAAAADAAMAtwAAAP0CAAAA&#10;AA==&#10;" fillcolor="white [3212]" strokecolor="black [3213]" strokeweight="1pt">
                  <v:textbox>
                    <w:txbxContent>
                      <w:p w14:paraId="204599C8" w14:textId="77777777" w:rsidR="00551101" w:rsidRDefault="0056152E">
                        <w:pPr>
                          <w:jc w:val="center"/>
                          <w:rPr>
                            <w:rFonts w:ascii="Helvetica" w:hAnsi="Helvetica" w:cstheme="majorHAnsi"/>
                            <w:color w:val="000000" w:themeColor="text1"/>
                          </w:rPr>
                        </w:pPr>
                        <w:r>
                          <w:rPr>
                            <w:rFonts w:ascii="Helvetica" w:hAnsi="Helvetica" w:cstheme="majorHAnsi"/>
                            <w:color w:val="000000" w:themeColor="text1"/>
                          </w:rPr>
                          <w:t>Extrinsic Factors</w:t>
                        </w:r>
                      </w:p>
                      <w:p w14:paraId="292951EB"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Policy Pressure</w:t>
                        </w:r>
                      </w:p>
                      <w:p w14:paraId="31386A0E"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Infrastructure Availability</w:t>
                        </w:r>
                      </w:p>
                      <w:p w14:paraId="5C497214"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Institutional Ecosystem Readiness</w:t>
                        </w:r>
                      </w:p>
                      <w:p w14:paraId="08AA3EB0" w14:textId="77777777" w:rsidR="00551101" w:rsidRDefault="0056152E">
                        <w:pPr>
                          <w:pStyle w:val="ListParagraph"/>
                          <w:numPr>
                            <w:ilvl w:val="0"/>
                            <w:numId w:val="4"/>
                          </w:numPr>
                          <w:ind w:left="426" w:hanging="284"/>
                          <w:jc w:val="left"/>
                          <w:rPr>
                            <w:rFonts w:ascii="Helvetica" w:hAnsi="Helvetica" w:cstheme="majorHAnsi"/>
                            <w:color w:val="000000" w:themeColor="text1"/>
                          </w:rPr>
                        </w:pPr>
                        <w:r>
                          <w:rPr>
                            <w:rFonts w:ascii="Helvetica" w:hAnsi="Helvetica" w:cstheme="majorHAnsi"/>
                            <w:color w:val="000000" w:themeColor="text1"/>
                          </w:rPr>
                          <w:t>Human Resource Readiness</w:t>
                        </w:r>
                      </w:p>
                      <w:p w14:paraId="06339C1D" w14:textId="77777777" w:rsidR="00551101" w:rsidRDefault="00551101">
                        <w:pPr>
                          <w:ind w:left="142"/>
                          <w:rPr>
                            <w:rFonts w:ascii="Helvetica" w:hAnsi="Helvetica" w:cstheme="majorHAnsi"/>
                            <w:color w:val="000000" w:themeColor="text1"/>
                          </w:rPr>
                        </w:pPr>
                      </w:p>
                    </w:txbxContent>
                  </v:textbox>
                </v:rect>
                <v:rect id="Rectangle 1" o:spid="_x0000_s1036" style="position:absolute;left:17610;top:34656;width:8127;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jSxwAAAOMAAAAPAAAAZHJzL2Rvd25yZXYueG1sRE9LT8JA&#10;EL6b+B82Y+JNtiKhpbIQ0IDKjed50h3bxs5s012h+utdExOP871nOu+5UWfqfO3EwP0gAUVSOFtL&#10;aeCwX91loHxAsdg4IQNf5GE+u76aYm7dRbZ03oVSxRDxORqoQmhzrX1REaMfuJYkcu+uYwzx7Ept&#10;O7zEcG70MEnGmrGW2FBhS08VFR+7TzbAG1m2x5cEeTh++/ZcrNPn+mTM7U2/eAQVqA//4j/3q43z&#10;s8nkYTTK0hR+f4oA6NkPAAAA//8DAFBLAQItABQABgAIAAAAIQDb4fbL7gAAAIUBAAATAAAAAAAA&#10;AAAAAAAAAAAAAABbQ29udGVudF9UeXBlc10ueG1sUEsBAi0AFAAGAAgAAAAhAFr0LFu/AAAAFQEA&#10;AAsAAAAAAAAAAAAAAAAAHwEAAF9yZWxzLy5yZWxzUEsBAi0AFAAGAAgAAAAhAEtuyNLHAAAA4wAA&#10;AA8AAAAAAAAAAAAAAAAABwIAAGRycy9kb3ducmV2LnhtbFBLBQYAAAAAAwADALcAAAD7AgAAAAA=&#10;" fillcolor="white [3212]" strokecolor="black [3213]" strokeweight="1pt">
                  <v:textbox>
                    <w:txbxContent>
                      <w:p w14:paraId="5698272A"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Coordination</w:t>
                        </w:r>
                      </w:p>
                    </w:txbxContent>
                  </v:textbox>
                </v:rect>
                <v:rect id="Rectangle 1" o:spid="_x0000_s1037" style="position:absolute;left:52493;top:12417;width:14013;height:27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EygAAAOIAAAAPAAAAZHJzL2Rvd25yZXYueG1sRI9Lb8Iw&#10;EITvlfofrK3UW7GJKggpBvUhaOmt9HFexdskanYdxS6k/HpcCYnjaGa+0cyXA7dqR31ovFgYjwwo&#10;ktK7RioLH++rmxxUiCgOWy9k4Y8CLBeXF3MsnN/LG+22sVIJIqFAC3WMXaF1KGtiDCPfkSTv2/eM&#10;Mcm+0q7HfYJzqzNjJpqxkbRQY0ePNZU/21+2wK/y0H0+G+RssjkELtfTp+bL2uur4f4OVKQhnsOn&#10;9ouzkOWzW5NnszH8X0p3QC+OAAAA//8DAFBLAQItABQABgAIAAAAIQDb4fbL7gAAAIUBAAATAAAA&#10;AAAAAAAAAAAAAAAAAABbQ29udGVudF9UeXBlc10ueG1sUEsBAi0AFAAGAAgAAAAhAFr0LFu/AAAA&#10;FQEAAAsAAAAAAAAAAAAAAAAAHwEAAF9yZWxzLy5yZWxzUEsBAi0AFAAGAAgAAAAhAO4V/8TKAAAA&#10;4gAAAA8AAAAAAAAAAAAAAAAABwIAAGRycy9kb3ducmV2LnhtbFBLBQYAAAAAAwADALcAAAD+AgAA&#10;AAA=&#10;" fillcolor="white [3212]" strokecolor="black [3213]" strokeweight="1pt">
                  <v:textbox>
                    <w:txbxContent>
                      <w:p w14:paraId="340C7D86" w14:textId="77777777" w:rsidR="00551101" w:rsidRDefault="0056152E">
                        <w:pPr>
                          <w:jc w:val="center"/>
                          <w:rPr>
                            <w:rFonts w:ascii="Helvetica" w:hAnsi="Helvetica" w:cstheme="majorHAnsi"/>
                            <w:b/>
                            <w:bCs/>
                            <w:color w:val="000000" w:themeColor="text1"/>
                            <w:sz w:val="20"/>
                            <w:szCs w:val="20"/>
                          </w:rPr>
                        </w:pPr>
                        <w:r>
                          <w:rPr>
                            <w:rFonts w:ascii="Helvetica" w:hAnsi="Helvetica" w:cstheme="majorHAnsi"/>
                            <w:b/>
                            <w:bCs/>
                            <w:color w:val="000000" w:themeColor="text1"/>
                            <w:sz w:val="20"/>
                            <w:szCs w:val="20"/>
                          </w:rPr>
                          <w:t>Academic Quality</w:t>
                        </w:r>
                      </w:p>
                      <w:p w14:paraId="5E383CC5" w14:textId="77777777" w:rsidR="00551101" w:rsidRDefault="00551101">
                        <w:pPr>
                          <w:jc w:val="center"/>
                          <w:rPr>
                            <w:rFonts w:ascii="Helvetica" w:hAnsi="Helvetica" w:cstheme="majorHAnsi"/>
                            <w:color w:val="000000" w:themeColor="text1"/>
                            <w:sz w:val="20"/>
                            <w:szCs w:val="20"/>
                          </w:rPr>
                        </w:pPr>
                      </w:p>
                      <w:p w14:paraId="2E802929"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Quality of Instruction </w:t>
                        </w:r>
                      </w:p>
                      <w:p w14:paraId="05B7CA56"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Academic Advising </w:t>
                        </w:r>
                      </w:p>
                      <w:p w14:paraId="76DA00CF"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Library Resources </w:t>
                        </w:r>
                      </w:p>
                      <w:p w14:paraId="245DEE8D"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Extracurricular Activities </w:t>
                        </w:r>
                      </w:p>
                      <w:p w14:paraId="429559AF"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 xml:space="preserve">Opportunities to Talk with Faculty </w:t>
                        </w:r>
                      </w:p>
                      <w:p w14:paraId="769E6CD5" w14:textId="77777777" w:rsidR="00551101" w:rsidRDefault="0056152E">
                        <w:pPr>
                          <w:pStyle w:val="ListParagraph"/>
                          <w:numPr>
                            <w:ilvl w:val="0"/>
                            <w:numId w:val="5"/>
                          </w:numPr>
                          <w:ind w:left="284" w:hanging="284"/>
                          <w:rPr>
                            <w:rFonts w:ascii="Helvetica" w:hAnsi="Helvetica" w:cstheme="majorHAnsi"/>
                            <w:color w:val="000000" w:themeColor="text1"/>
                            <w:sz w:val="20"/>
                            <w:szCs w:val="20"/>
                          </w:rPr>
                        </w:pPr>
                        <w:r>
                          <w:rPr>
                            <w:rFonts w:ascii="Helvetica" w:hAnsi="Helvetica" w:cstheme="majorHAnsi"/>
                            <w:color w:val="000000" w:themeColor="text1"/>
                            <w:sz w:val="20"/>
                            <w:szCs w:val="20"/>
                          </w:rPr>
                          <w:t>Employment Services</w:t>
                        </w:r>
                      </w:p>
                      <w:p w14:paraId="36C2148D" w14:textId="77777777" w:rsidR="00551101" w:rsidRDefault="00551101">
                        <w:pPr>
                          <w:pStyle w:val="ListParagraph"/>
                          <w:ind w:left="0"/>
                          <w:rPr>
                            <w:rFonts w:ascii="Helvetica" w:hAnsi="Helvetica" w:cstheme="majorHAnsi"/>
                            <w:color w:val="000000" w:themeColor="text1"/>
                            <w:sz w:val="20"/>
                            <w:szCs w:val="20"/>
                          </w:rPr>
                        </w:pPr>
                      </w:p>
                      <w:p w14:paraId="4E9B31B9" w14:textId="77777777" w:rsidR="00551101" w:rsidRDefault="0056152E">
                        <w:pPr>
                          <w:pStyle w:val="ListParagraph"/>
                          <w:ind w:left="0"/>
                          <w:rPr>
                            <w:rFonts w:ascii="Helvetica" w:hAnsi="Helvetica" w:cstheme="majorHAnsi"/>
                            <w:color w:val="000000" w:themeColor="text1"/>
                            <w:sz w:val="20"/>
                            <w:szCs w:val="20"/>
                          </w:rPr>
                        </w:pPr>
                        <w:r>
                          <w:rPr>
                            <w:rFonts w:ascii="Helvetica" w:hAnsi="Helvetica" w:cstheme="majorHAnsi"/>
                            <w:color w:val="000000" w:themeColor="text1"/>
                            <w:sz w:val="20"/>
                            <w:szCs w:val="20"/>
                          </w:rPr>
                          <w:t>Kotler &amp; Fox in (Darwyansyah, 2014)</w:t>
                        </w:r>
                      </w:p>
                      <w:p w14:paraId="32CF7181" w14:textId="77777777" w:rsidR="00551101" w:rsidRDefault="00551101">
                        <w:pPr>
                          <w:pStyle w:val="ListParagraph"/>
                          <w:ind w:left="426"/>
                          <w:jc w:val="left"/>
                          <w:rPr>
                            <w:rFonts w:ascii="Helvetica" w:hAnsi="Helvetica" w:cstheme="majorHAnsi"/>
                            <w:color w:val="000000" w:themeColor="text1"/>
                            <w:sz w:val="20"/>
                            <w:szCs w:val="20"/>
                          </w:rPr>
                        </w:pPr>
                      </w:p>
                    </w:txbxContent>
                  </v:textbox>
                </v:rect>
                <v:shape id="Elbow Connector 4" o:spid="_x0000_s1038" type="#_x0000_t34" style="position:absolute;left:15465;top:16594;width:457;height:220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zKyAAAAOMAAAAPAAAAZHJzL2Rvd25yZXYueG1sRE/NSsNA&#10;EL4LfYdlBG920oWmNXZbirSgFgRTL96G7DQJZmdjdm3j27uC4HG+/1ltRtepMw+h9WJgNs1AsVTe&#10;tlIbeDvub5egQiSx1HlhA98cYLOeXK2osP4ir3wuY61SiISCDDQx9gViqBp2FKa+Z0ncyQ+OYjqH&#10;Gu1AlxTuOtRZlqOjVlJDQz0/NFx9lF/OAD6/Wy11+XL0u8/l4e4JF4cTGnNzPW7vQUUe47/4z/1o&#10;03ytdT7L5/MF/P6UAMD1DwAAAP//AwBQSwECLQAUAAYACAAAACEA2+H2y+4AAACFAQAAEwAAAAAA&#10;AAAAAAAAAAAAAAAAW0NvbnRlbnRfVHlwZXNdLnhtbFBLAQItABQABgAIAAAAIQBa9CxbvwAAABUB&#10;AAALAAAAAAAAAAAAAAAAAB8BAABfcmVscy8ucmVsc1BLAQItABQABgAIAAAAIQDQ3RzKyAAAAOMA&#10;AAAPAAAAAAAAAAAAAAAAAAcCAABkcnMvZG93bnJldi54bWxQSwUGAAAAAAMAAwC3AAAA/AIAAAAA&#10;" adj="52094" strokecolor="black [3213]" strokeweight=".5pt"/>
                <v:shapetype id="_x0000_t32" coordsize="21600,21600" o:spt="32" o:oned="t" path="m,l21600,21600e" filled="f">
                  <v:path arrowok="t" fillok="f" o:connecttype="none"/>
                  <o:lock v:ext="edit" shapetype="t"/>
                </v:shapetype>
                <v:shape id="Straight Arrow Connector 6" o:spid="_x0000_s1039" type="#_x0000_t32" style="position:absolute;left:24003;top:20771;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gzyQAAAOEAAAAPAAAAZHJzL2Rvd25yZXYueG1sRI/NasJA&#10;FIX3Bd9huEJ3OmkCWlNHkUJpxU1NRe3ukrlNBjN3QmZq4tt3FkKXh/PHt1wPthFX6rxxrOBpmoAg&#10;Lp02XCk4fL1NnkH4gKyxcUwKbuRhvRo9LDHXruc9XYtQiTjCPkcFdQhtLqUva7Lop64ljt6P6yyG&#10;KLtK6g77OG4bmSbJTFo0HB9qbOm1pvJS/FoF5eF8WtCnOeo+M/P3dve9y4qtUo/jYfMCItAQ/sP3&#10;9odWkGazeZolkSESRRqQqz8AAAD//wMAUEsBAi0AFAAGAAgAAAAhANvh9svuAAAAhQEAABMAAAAA&#10;AAAAAAAAAAAAAAAAAFtDb250ZW50X1R5cGVzXS54bWxQSwECLQAUAAYACAAAACEAWvQsW78AAAAV&#10;AQAACwAAAAAAAAAAAAAAAAAfAQAAX3JlbHMvLnJlbHNQSwECLQAUAAYACAAAACEAwfSoM8kAAADh&#10;AAAADwAAAAAAAAAAAAAAAAAHAgAAZHJzL2Rvd25yZXYueG1sUEsFBgAAAAADAAMAtwAAAP0CAAAA&#10;AA==&#10;" strokecolor="black [3213]" strokeweight=".5pt">
                  <v:stroke endarrow="block" joinstyle="miter"/>
                </v:shape>
                <v:shape id="Straight Arrow Connector 6" o:spid="_x0000_s1040" type="#_x0000_t32" style="position:absolute;left:34275;top:20771;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7qXzAAAAOIAAAAPAAAAZHJzL2Rvd25yZXYueG1sRI9Pa8JA&#10;FMTvhX6H5RW81U2N+Cd1FRHEFi82ldreHtnXZGn2bciuJn77rlDocZiZ3zCLVW9rcaHWG8cKnoYJ&#10;COLCacOlguP79nEGwgdkjbVjUnAlD6vl/d0CM+06fqNLHkoRIewzVFCF0GRS+qIii37oGuLofbvW&#10;YoiyLaVusYtwW8tRkkykRcNxocKGNhUVP/nZKiiOn6c5HcyH7lIz3TX7r32avyo1eOjXzyAC9eE/&#10;/Nd+0Qqm6Wg2nqTJGG6X4h2Qy18AAAD//wMAUEsBAi0AFAAGAAgAAAAhANvh9svuAAAAhQEAABMA&#10;AAAAAAAAAAAAAAAAAAAAAFtDb250ZW50X1R5cGVzXS54bWxQSwECLQAUAAYACAAAACEAWvQsW78A&#10;AAAVAQAACwAAAAAAAAAAAAAAAAAfAQAAX3JlbHMvLnJlbHNQSwECLQAUAAYACAAAACEAZj+6l8wA&#10;AADiAAAADwAAAAAAAAAAAAAAAAAHAgAAZHJzL2Rvd25yZXYueG1sUEsFBgAAAAADAAMAtwAAAAAD&#10;AAAAAA==&#10;" strokecolor="black [3213]" strokeweight=".5pt">
                  <v:stroke endarrow="block" joinstyle="miter"/>
                </v:shape>
                <v:shape id="Straight Arrow Connector 6" o:spid="_x0000_s1041" type="#_x0000_t32" style="position:absolute;left:44210;top:20771;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aKyQAAAOIAAAAPAAAAZHJzL2Rvd25yZXYueG1sRE/PT8Iw&#10;FL6b8D80j8SbdIiMMSnEmBg1XHQQwNvL+tga1tdlrWz+9/Zg4vHL93u1GWwjrtR541jBdJKAIC6d&#10;Nlwp2O9e7jIQPiBrbByTgh/ysFmPblaYa9fzJ12LUIkYwj5HBXUIbS6lL2uy6CeuJY7c2XUWQ4Rd&#10;JXWHfQy3jbxPklRaNBwbamzpuabyUnxbBeX+dFzShznofmYWr+32azsr3pW6HQ9PjyACDeFf/Od+&#10;0wrmWTpNs4d53BwvxTsg178AAAD//wMAUEsBAi0AFAAGAAgAAAAhANvh9svuAAAAhQEAABMAAAAA&#10;AAAAAAAAAAAAAAAAAFtDb250ZW50X1R5cGVzXS54bWxQSwECLQAUAAYACAAAACEAWvQsW78AAAAV&#10;AQAACwAAAAAAAAAAAAAAAAAfAQAAX3JlbHMvLnJlbHNQSwECLQAUAAYACAAAACEAWeimiskAAADi&#10;AAAADwAAAAAAAAAAAAAAAAAHAgAAZHJzL2Rvd25yZXYueG1sUEsFBgAAAAADAAMAtwAAAP0CAAAA&#10;AA==&#10;" strokecolor="black [3213]" strokeweight=".5pt">
                  <v:stroke endarrow="block" joinstyle="miter"/>
                </v:shape>
                <v:shape id="Straight Arrow Connector 5" o:spid="_x0000_s1042" type="#_x0000_t32" style="position:absolute;left:16707;top:27403;width:35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LlBygAAAOEAAAAPAAAAZHJzL2Rvd25yZXYueG1sRI9PawIx&#10;FMTvhX6H8Aq9lJrdUv+tRpGC4KnUteL1sXlmFzcvS5Lq2k/fFASPw8z8hpkve9uKM/nQOFaQDzIQ&#10;xJXTDRsF37v16wREiMgaW8ek4EoBlovHhzkW2l14S+cyGpEgHApUUMfYFVKGqiaLYeA64uQdnbcY&#10;k/RGao+XBLetfMuykbTYcFqosaOPmqpT+WMV9J+Hbvs79Sd/PZarffNl4ktmlHp+6lczEJH6eA/f&#10;2hut4D0f5tN8PIb/R+kNyMUfAAAA//8DAFBLAQItABQABgAIAAAAIQDb4fbL7gAAAIUBAAATAAAA&#10;AAAAAAAAAAAAAAAAAABbQ29udGVudF9UeXBlc10ueG1sUEsBAi0AFAAGAAgAAAAhAFr0LFu/AAAA&#10;FQEAAAsAAAAAAAAAAAAAAAAAHwEAAF9yZWxzLy5yZWxzUEsBAi0AFAAGAAgAAAAhAJjQuUHKAAAA&#10;4QAAAA8AAAAAAAAAAAAAAAAABwIAAGRycy9kb3ducmV2LnhtbFBLBQYAAAAAAwADALcAAAD+AgAA&#10;AAA=&#10;" strokecolor="black [3213]" strokeweight="3pt">
                  <v:stroke endarrow="block" joinstyle="miter"/>
                </v:shape>
                <v:shape id="Straight Arrow Connector 7" o:spid="_x0000_s1043" type="#_x0000_t32" style="position:absolute;left:21293;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h3ygAAAOIAAAAPAAAAZHJzL2Rvd25yZXYueG1sRI/dagIx&#10;FITvhb5DOIXeiCb+4MpqlCKtKNKCPw9w2Bx3l25O1k2q69s3QsHLYWa+YebL1lbiSo0vHWsY9BUI&#10;4syZknMNp+NnbwrCB2SDlWPScCcPy8VLZ46pcTfe0/UQchEh7FPUUIRQp1L6rCCLvu9q4uidXWMx&#10;RNnk0jR4i3BbyaFSE2mx5LhQYE2rgrKfw6/VYD/Wm6Tt3r+6troczc6r7XdQWr+9tu8zEIHa8Az/&#10;tzdGw3CUDNR4Mh7B41K8A3LxBwAA//8DAFBLAQItABQABgAIAAAAIQDb4fbL7gAAAIUBAAATAAAA&#10;AAAAAAAAAAAAAAAAAABbQ29udGVudF9UeXBlc10ueG1sUEsBAi0AFAAGAAgAAAAhAFr0LFu/AAAA&#10;FQEAAAsAAAAAAAAAAAAAAAAAHwEAAF9yZWxzLy5yZWxzUEsBAi0AFAAGAAgAAAAhAPb/SHfKAAAA&#10;4gAAAA8AAAAAAAAAAAAAAAAABwIAAGRycy9kb3ducmV2LnhtbFBLBQYAAAAAAwADALcAAAD+AgAA&#10;AAA=&#10;" strokecolor="black [3213]" strokeweight=".5pt">
                  <v:stroke endarrow="block" joinstyle="miter"/>
                </v:shape>
                <v:shape id="Straight Arrow Connector 7" o:spid="_x0000_s1044" type="#_x0000_t32" style="position:absolute;left:30211;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JTywAAAOMAAAAPAAAAZHJzL2Rvd25yZXYueG1sRI/dasJA&#10;FITvhb7Dcgq9Ed1N8I/UVYrYYhEL1T7AIXtMgtmzaXar8e1doeDlMDPfMPNlZ2txptZXjjUkQwWC&#10;OHem4kLDz+F9MAPhA7LB2jFpuJKH5eKpN8fMuAt/03kfChEh7DPUUIbQZFL6vCSLfuga4ugdXWsx&#10;RNkW0rR4iXBby1SpibRYcVwosaFVSflp/2c12PXHZtr1r7u+rX8PZuvV51dQWr88d2+vIAJ14RH+&#10;b2+MhlSlyXg6SkZjuH+Kf0AubgAAAP//AwBQSwECLQAUAAYACAAAACEA2+H2y+4AAACFAQAAEwAA&#10;AAAAAAAAAAAAAAAAAAAAW0NvbnRlbnRfVHlwZXNdLnhtbFBLAQItABQABgAIAAAAIQBa9CxbvwAA&#10;ABUBAAALAAAAAAAAAAAAAAAAAB8BAABfcmVscy8ucmVsc1BLAQItABQABgAIAAAAIQDfsSJTywAA&#10;AOMAAAAPAAAAAAAAAAAAAAAAAAcCAABkcnMvZG93bnJldi54bWxQSwUGAAAAAAMAAwC3AAAA/wIA&#10;AAAA&#10;" strokecolor="black [3213]" strokeweight=".5pt">
                  <v:stroke endarrow="block" joinstyle="miter"/>
                </v:shape>
                <v:shape id="Elbow Connector 8" o:spid="_x0000_s1045" type="#_x0000_t34" style="position:absolute;left:19939;top:12530;width:24832;height:273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2gywAAAOIAAAAPAAAAZHJzL2Rvd25yZXYueG1sRI9Ba8JA&#10;FITvBf/D8oTe6saA1URXEaHgpYEmBfX2yD6TYPZtyG5j7K/vFgo9DjPzDbPZjaYVA/WusaxgPotA&#10;EJdWN1wp+CzeXlYgnEfW2FomBQ9ysNtOnjaYanvnDxpyX4kAYZeigtr7LpXSlTUZdDPbEQfvanuD&#10;Psi+krrHe4CbVsZR9CoNNhwWauzoUFN5y7+MgmNxyeJzvhhOjWyzrNDvj+9zotTzdNyvQXga/X/4&#10;r33UCpareJkkUbyA30vhDsjtDwAAAP//AwBQSwECLQAUAAYACAAAACEA2+H2y+4AAACFAQAAEwAA&#10;AAAAAAAAAAAAAAAAAAAAW0NvbnRlbnRfVHlwZXNdLnhtbFBLAQItABQABgAIAAAAIQBa9CxbvwAA&#10;ABUBAAALAAAAAAAAAAAAAAAAAB8BAABfcmVscy8ucmVsc1BLAQItABQABgAIAAAAIQDSbB2gywAA&#10;AOIAAAAPAAAAAAAAAAAAAAAAAAcCAABkcnMvZG93bnJldi54bWxQSwUGAAAAAAMAAwC3AAAA/wIA&#10;AAAA&#10;" adj="-2234" strokecolor="black [3213]" strokeweight=".5pt"/>
                <v:shape id="Straight Arrow Connector 10" o:spid="_x0000_s1046" type="#_x0000_t32" style="position:absolute;left:7747;top:3386;width:0;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61yQAAAOMAAAAPAAAAZHJzL2Rvd25yZXYueG1sRE9LS8NA&#10;EL4X/A/LCN7sJk3RNu22iCBaetFY+rgN2WmymJ0N2bWJ/94VhB7ne89yPdhGXKjzxrGCdJyAIC6d&#10;Nlwp2H2+3M9A+ICssXFMCn7Iw3p1M1pirl3PH3QpQiViCPscFdQhtLmUvqzJoh+7ljhyZ9dZDPHs&#10;Kqk77GO4beQkSR6kRcOxocaWnmsqv4pvq6DcHQ9zejd73Wfm8bXdnrZZsVHq7nZ4WoAINISr+N/9&#10;puP8eZZO08kszeDvpwiAXP0CAAD//wMAUEsBAi0AFAAGAAgAAAAhANvh9svuAAAAhQEAABMAAAAA&#10;AAAAAAAAAAAAAAAAAFtDb250ZW50X1R5cGVzXS54bWxQSwECLQAUAAYACAAAACEAWvQsW78AAAAV&#10;AQAACwAAAAAAAAAAAAAAAAAfAQAAX3JlbHMvLnJlbHNQSwECLQAUAAYACAAAACEA5IdetckAAADj&#10;AAAADwAAAAAAAAAAAAAAAAAHAgAAZHJzL2Rvd25yZXYueG1sUEsFBgAAAAADAAMAtwAAAP0CAAAA&#10;AA==&#10;" strokecolor="black [3213]" strokeweight=".5pt">
                  <v:stroke endarrow="block" joinstyle="miter"/>
                </v:shape>
                <v:rect id="Rectangle 1" o:spid="_x0000_s1047" style="position:absolute;left:26077;top:34656;width:8254;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e8xgAAAOIAAAAPAAAAZHJzL2Rvd25yZXYueG1sRE9NT8JA&#10;EL2b+B82Y+JNdm0JkspCQAOoN1E4T7pj29iZbborFH69ezDx+PK+Z4uBW3WkPjReLNyPDCiS0rtG&#10;KgufH+u7KagQURy2XsjCmQIs5tdXMyycP8k7HXexUilEQoEW6hi7QutQ1sQYRr4jSdyX7xljgn2l&#10;XY+nFM6tzoyZaMZGUkONHT3VVH7vftgCv8mq228NcjZ5vQQuNw/PzcHa25th+Qgq0hD/xX/uF2ch&#10;G+fTLDd52pwupTug578AAAD//wMAUEsBAi0AFAAGAAgAAAAhANvh9svuAAAAhQEAABMAAAAAAAAA&#10;AAAAAAAAAAAAAFtDb250ZW50X1R5cGVzXS54bWxQSwECLQAUAAYACAAAACEAWvQsW78AAAAVAQAA&#10;CwAAAAAAAAAAAAAAAAAfAQAAX3JlbHMvLnJlbHNQSwECLQAUAAYACAAAACEA0LNnvMYAAADiAAAA&#10;DwAAAAAAAAAAAAAAAAAHAgAAZHJzL2Rvd25yZXYueG1sUEsFBgAAAAADAAMAtwAAAPoCAAAAAA==&#10;" fillcolor="white [3212]" strokecolor="black [3213]" strokeweight="1pt">
                  <v:textbox>
                    <w:txbxContent>
                      <w:p w14:paraId="179A32D3"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Collaboration</w:t>
                        </w:r>
                      </w:p>
                    </w:txbxContent>
                  </v:textbox>
                </v:rect>
                <v:rect id="Rectangle 1" o:spid="_x0000_s1048" style="position:absolute;left:34769;top:34656;width:8159;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sOygAAAOMAAAAPAAAAZHJzL2Rvd25yZXYueG1sRI9LT8NA&#10;DITvSPyHlZG40V0iNbSh24qHeJQb5XG2siaJiL1RdmkDvx4fkDjaM575vNpM3Js9jamL4uF85sCQ&#10;1DF00nh4fbk7W4BJGSVgH4U8fFOCzfr4aIVViAd5pv0uN0ZDJFXooc15qKxNdUuMaRYHEtU+4siY&#10;dRwbG0Y8aDj3tnCutIydaEOLA920VH/uvtgDP8n18PbgkIty+5O4vr+47d69Pz2Zri7BZJryv/nv&#10;+jEo/qJYuvl8WSq0/qQLsOtfAAAA//8DAFBLAQItABQABgAIAAAAIQDb4fbL7gAAAIUBAAATAAAA&#10;AAAAAAAAAAAAAAAAAABbQ29udGVudF9UeXBlc10ueG1sUEsBAi0AFAAGAAgAAAAhAFr0LFu/AAAA&#10;FQEAAAsAAAAAAAAAAAAAAAAAHwEAAF9yZWxzLy5yZWxzUEsBAi0AFAAGAAgAAAAhABhDOw7KAAAA&#10;4wAAAA8AAAAAAAAAAAAAAAAABwIAAGRycy9kb3ducmV2LnhtbFBLBQYAAAAAAwADALcAAAD+AgAA&#10;AAA=&#10;" fillcolor="white [3212]" strokecolor="black [3213]" strokeweight="1pt">
                  <v:textbox>
                    <w:txbxContent>
                      <w:p w14:paraId="3B2A9179" w14:textId="77777777" w:rsidR="00551101" w:rsidRDefault="0056152E">
                        <w:pPr>
                          <w:jc w:val="center"/>
                          <w:rPr>
                            <w:rFonts w:ascii="Helvetica" w:hAnsi="Helvetica" w:cstheme="majorHAnsi"/>
                            <w:color w:val="000000" w:themeColor="text1"/>
                            <w:sz w:val="16"/>
                            <w:szCs w:val="16"/>
                          </w:rPr>
                        </w:pPr>
                        <w:r>
                          <w:rPr>
                            <w:rFonts w:ascii="Helvetica" w:hAnsi="Helvetica" w:cstheme="majorHAnsi"/>
                            <w:color w:val="000000" w:themeColor="text1"/>
                            <w:sz w:val="16"/>
                            <w:szCs w:val="16"/>
                          </w:rPr>
                          <w:t>Cooperative</w:t>
                        </w:r>
                      </w:p>
                    </w:txbxContent>
                  </v:textbox>
                </v:rect>
                <v:rect id="Rectangle 1" o:spid="_x0000_s1049" style="position:absolute;left:43236;top:34656;width:8254;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JbygAAAOMAAAAPAAAAZHJzL2Rvd25yZXYueG1sRI/NTsNA&#10;DITvSLzDykjc6IYImjR0W/EjoHCjBc5W1iQRsTfKLm3g6fEBiaM945nPy/XEvdnTGLsgDs5nGRiS&#10;OvhOGgevu/uzEkxMKB77IOTgmyKsV8dHS6x8OMgL7bepMRoisUIHbUpDZW2sW2KMszCQqPYRRsak&#10;49hYP+JBw7m3eZbNLWMn2tDiQLct1Z/bL3bAz3IzvD1myPn86Sdy/VDcde/OnZ5M11dgEk3p3/x3&#10;vfGKn5fl4qK4LBRaf9IF2NUvAAAA//8DAFBLAQItABQABgAIAAAAIQDb4fbL7gAAAIUBAAATAAAA&#10;AAAAAAAAAAAAAAAAAABbQ29udGVudF9UeXBlc10ueG1sUEsBAi0AFAAGAAgAAAAhAFr0LFu/AAAA&#10;FQEAAAsAAAAAAAAAAAAAAAAAHwEAAF9yZWxzLy5yZWxzUEsBAi0AFAAGAAgAAAAhAMaiUlvKAAAA&#10;4wAAAA8AAAAAAAAAAAAAAAAABwIAAGRycy9kb3ducmV2LnhtbFBLBQYAAAAAAwADALcAAAD+AgAA&#10;AAA=&#10;" fillcolor="white [3212]" strokecolor="black [3213]" strokeweight="1pt">
                  <v:textbox>
                    <w:txbxContent>
                      <w:p w14:paraId="1C3C0D69" w14:textId="77777777" w:rsidR="00551101" w:rsidRDefault="0056152E">
                        <w:pPr>
                          <w:jc w:val="center"/>
                          <w:rPr>
                            <w:rFonts w:ascii="Helvetica" w:hAnsi="Helvetica" w:cstheme="majorHAnsi"/>
                            <w:color w:val="000000" w:themeColor="text1"/>
                            <w:sz w:val="18"/>
                            <w:szCs w:val="18"/>
                          </w:rPr>
                        </w:pPr>
                        <w:r>
                          <w:rPr>
                            <w:rFonts w:ascii="Helvetica" w:hAnsi="Helvetica" w:cstheme="majorHAnsi"/>
                            <w:color w:val="000000" w:themeColor="text1"/>
                            <w:sz w:val="18"/>
                            <w:szCs w:val="18"/>
                          </w:rPr>
                          <w:t>Creativity</w:t>
                        </w:r>
                      </w:p>
                    </w:txbxContent>
                  </v:textbox>
                </v:rect>
                <v:shape id="Straight Arrow Connector 7" o:spid="_x0000_s1050" type="#_x0000_t32" style="position:absolute;left:38678;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mYywAAAOIAAAAPAAAAZHJzL2Rvd25yZXYueG1sRI/dasJA&#10;FITvC77DcoTeiO5W4g9pNiKlLZZSwZ8HOGRPk2D2bJrdanx7Vyj0cpiZb5hs1dtGnKnztWMNTxMF&#10;grhwpuZSw/HwNl6C8AHZYOOYNFzJwyofPGSYGnfhHZ33oRQRwj5FDVUIbSqlLyqy6CeuJY7et+ss&#10;hii7UpoOLxFuGzlVai4t1hwXKmzppaLitP+1Guzr+2bRj65fI9v8HMynVx/boLR+HPbrZxCB+vAf&#10;/mtvjIYkUclsNl0mcL8U74DMbwAAAP//AwBQSwECLQAUAAYACAAAACEA2+H2y+4AAACFAQAAEwAA&#10;AAAAAAAAAAAAAAAAAAAAW0NvbnRlbnRfVHlwZXNdLnhtbFBLAQItABQABgAIAAAAIQBa9CxbvwAA&#10;ABUBAAALAAAAAAAAAAAAAAAAAB8BAABfcmVscy8ucmVsc1BLAQItABQABgAIAAAAIQAR1vmYywAA&#10;AOIAAAAPAAAAAAAAAAAAAAAAAAcCAABkcnMvZG93bnJldi54bWxQSwUGAAAAAAMAAwC3AAAA/wIA&#10;AAAA&#10;" strokecolor="black [3213]" strokeweight=".5pt">
                  <v:stroke endarrow="block" joinstyle="miter"/>
                </v:shape>
                <v:shape id="Straight Arrow Connector 7" o:spid="_x0000_s1051" type="#_x0000_t32" style="position:absolute;left:48048;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uyAAAAOMAAAAPAAAAZHJzL2Rvd25yZXYueG1sRE/dasIw&#10;FL4f7B3CEXYjmjhHdZ1RxpiiDAV/HuDQHNuy5qRrota3N4Kwy/P9n8mstZU4U+NLxxoGfQWCOHOm&#10;5FzDYT/vjUH4gGywckwaruRhNn1+mmBq3IW3dN6FXMQQ9ilqKEKoUyl9VpBF33c1ceSOrrEY4tnk&#10;0jR4ieG2kq9KJdJiybGhwJq+Csp+dyerwX4vlqO2e113bfW3Nz9erTZBaf3SaT8/QARqw7/44V6a&#10;OH+YvI0GQ5W8w/2nCICc3gAAAP//AwBQSwECLQAUAAYACAAAACEA2+H2y+4AAACFAQAAEwAAAAAA&#10;AAAAAAAAAAAAAAAAW0NvbnRlbnRfVHlwZXNdLnhtbFBLAQItABQABgAIAAAAIQBa9CxbvwAAABUB&#10;AAALAAAAAAAAAAAAAAAAAB8BAABfcmVscy8ucmVsc1BLAQItABQABgAIAAAAIQB2/fJuyAAAAOMA&#10;AAAPAAAAAAAAAAAAAAAAAAcCAABkcnMvZG93bnJldi54bWxQSwUGAAAAAAMAAwC3AAAA/AIAAAAA&#10;" strokecolor="black [3213]" strokeweight=".5pt">
                  <v:stroke endarrow="block" joinstyle="miter"/>
                </v:shape>
                <v:shape id="Straight Arrow Connector 9" o:spid="_x0000_s1052" type="#_x0000_t32" style="position:absolute;left:19981;top:12488;width:53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f7zAAAAOIAAAAPAAAAZHJzL2Rvd25yZXYueG1sRI9PS8NA&#10;FMTvgt9heUJvdtMG0xi7LUWQKr1oLP65PbKvydLs25Bdm/TbuwXB4zAzv2GW69G24kS9N44VzKYJ&#10;COLKacO1gv37020Owgdkja1jUnAmD+vV9dUSC+0GfqNTGWoRIewLVNCE0BVS+qohi37qOuLoHVxv&#10;MUTZ11L3OES4beU8STJp0XBcaLCjx4aqY/ljFVT7r897ejUfekjNYtvtvndp+aLU5GbcPIAINIb/&#10;8F/7WSvI87tskebZHC6X4h2Qq18AAAD//wMAUEsBAi0AFAAGAAgAAAAhANvh9svuAAAAhQEAABMA&#10;AAAAAAAAAAAAAAAAAAAAAFtDb250ZW50X1R5cGVzXS54bWxQSwECLQAUAAYACAAAACEAWvQsW78A&#10;AAAVAQAACwAAAAAAAAAAAAAAAAAfAQAAX3JlbHMvLnJlbHNQSwECLQAUAAYACAAAACEAMG13+8wA&#10;AADiAAAADwAAAAAAAAAAAAAAAAAHAgAAZHJzL2Rvd25yZXYueG1sUEsFBgAAAAADAAMAtwAAAAAD&#10;AAAAAA==&#10;" strokecolor="black [3213]" strokeweight=".5pt">
                  <v:stroke endarrow="block" joinstyle="miter"/>
                </v:shape>
                <v:shape id="Straight Arrow Connector 11" o:spid="_x0000_s1053" type="#_x0000_t32" style="position:absolute;left:7747;top:8805;width:0;height:1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MnygAAAOIAAAAPAAAAZHJzL2Rvd25yZXYueG1sRI9Ba8JA&#10;FITvBf/D8oTe6sYq1aauUgRpxUuNUu3tkX0mi9m3Ibs18d+7QqHHYWa+YWaLzlbiQo03jhUMBwkI&#10;4txpw4WC/W71NAXhA7LGyjEpuJKHxbz3MMNUu5a3dMlCISKEfYoKyhDqVEqfl2TRD1xNHL2TayyG&#10;KJtC6gbbCLeVfE6SF2nRcFwosaZlSfk5+7UK8v3x8Epf5lu3IzP5qDc/m1G2Vuqx372/gQjUhf/w&#10;X/tTK4jEaTKejIdwvxTvgJzfAAAA//8DAFBLAQItABQABgAIAAAAIQDb4fbL7gAAAIUBAAATAAAA&#10;AAAAAAAAAAAAAAAAAABbQ29udGVudF9UeXBlc10ueG1sUEsBAi0AFAAGAAgAAAAhAFr0LFu/AAAA&#10;FQEAAAsAAAAAAAAAAAAAAAAAHwEAAF9yZWxzLy5yZWxzUEsBAi0AFAAGAAgAAAAhANhtsyfKAAAA&#10;4gAAAA8AAAAAAAAAAAAAAAAABwIAAGRycy9kb3ducmV2LnhtbFBLBQYAAAAAAwADALcAAAD+AgAA&#10;AAA=&#10;" strokecolor="black [3213]" strokeweight=".5pt">
                  <v:stroke endarrow="block" joinstyle="miter"/>
                </v:shape>
              </v:group>
            </w:pict>
          </mc:Fallback>
        </mc:AlternateContent>
      </w:r>
    </w:p>
    <w:p w14:paraId="16D5F1F7" w14:textId="77777777" w:rsidR="00551101" w:rsidRDefault="00551101">
      <w:pPr>
        <w:spacing w:line="480" w:lineRule="auto"/>
        <w:ind w:right="-1"/>
        <w:rPr>
          <w:rFonts w:asciiTheme="majorHAnsi" w:hAnsiTheme="majorHAnsi" w:cstheme="majorHAnsi"/>
        </w:rPr>
      </w:pPr>
    </w:p>
    <w:p w14:paraId="28B05764" w14:textId="77777777" w:rsidR="00551101" w:rsidRDefault="00551101">
      <w:pPr>
        <w:spacing w:line="480" w:lineRule="auto"/>
        <w:ind w:right="-1"/>
        <w:rPr>
          <w:rFonts w:asciiTheme="majorHAnsi" w:hAnsiTheme="majorHAnsi" w:cstheme="majorHAnsi"/>
        </w:rPr>
      </w:pPr>
    </w:p>
    <w:p w14:paraId="101555D2" w14:textId="77777777" w:rsidR="00551101" w:rsidRDefault="00551101">
      <w:pPr>
        <w:spacing w:line="480" w:lineRule="auto"/>
        <w:ind w:right="-1"/>
        <w:rPr>
          <w:rFonts w:asciiTheme="majorHAnsi" w:hAnsiTheme="majorHAnsi" w:cstheme="majorHAnsi"/>
        </w:rPr>
      </w:pPr>
    </w:p>
    <w:p w14:paraId="1D8A1F80" w14:textId="77777777" w:rsidR="00551101" w:rsidRDefault="00551101">
      <w:pPr>
        <w:pStyle w:val="ListParagraph"/>
        <w:spacing w:line="480" w:lineRule="auto"/>
        <w:ind w:left="284" w:right="-1"/>
        <w:rPr>
          <w:rFonts w:asciiTheme="majorHAnsi" w:hAnsiTheme="majorHAnsi" w:cstheme="majorHAnsi"/>
          <w:b/>
          <w:bCs/>
          <w:sz w:val="24"/>
          <w:szCs w:val="24"/>
        </w:rPr>
      </w:pPr>
    </w:p>
    <w:p w14:paraId="56E72C8B" w14:textId="77777777" w:rsidR="00551101" w:rsidRDefault="00551101">
      <w:pPr>
        <w:pStyle w:val="Heading1"/>
        <w:jc w:val="center"/>
        <w:rPr>
          <w:rFonts w:cstheme="majorHAnsi"/>
          <w:sz w:val="24"/>
          <w:szCs w:val="24"/>
        </w:rPr>
      </w:pPr>
    </w:p>
    <w:p w14:paraId="7DA4AF6D" w14:textId="77777777" w:rsidR="00551101" w:rsidRDefault="00551101">
      <w:pPr>
        <w:rPr>
          <w:rFonts w:asciiTheme="majorHAnsi" w:hAnsiTheme="majorHAnsi" w:cstheme="majorHAnsi"/>
        </w:rPr>
      </w:pPr>
    </w:p>
    <w:p w14:paraId="31EAEE1F" w14:textId="77777777" w:rsidR="00551101" w:rsidRDefault="00551101">
      <w:pPr>
        <w:rPr>
          <w:rFonts w:asciiTheme="majorHAnsi" w:hAnsiTheme="majorHAnsi" w:cstheme="majorHAnsi"/>
        </w:rPr>
      </w:pPr>
    </w:p>
    <w:p w14:paraId="1CBDE91D" w14:textId="77777777" w:rsidR="00551101" w:rsidRDefault="00551101">
      <w:pPr>
        <w:rPr>
          <w:rFonts w:asciiTheme="majorHAnsi" w:hAnsiTheme="majorHAnsi" w:cstheme="majorHAnsi"/>
        </w:rPr>
      </w:pPr>
    </w:p>
    <w:p w14:paraId="3CA4CCCF" w14:textId="77777777" w:rsidR="00551101" w:rsidRDefault="00551101">
      <w:pPr>
        <w:rPr>
          <w:rFonts w:asciiTheme="majorHAnsi" w:hAnsiTheme="majorHAnsi" w:cstheme="majorHAnsi"/>
        </w:rPr>
      </w:pPr>
    </w:p>
    <w:p w14:paraId="195201C9" w14:textId="77777777" w:rsidR="00551101" w:rsidRDefault="00551101">
      <w:pPr>
        <w:rPr>
          <w:rFonts w:asciiTheme="majorHAnsi" w:hAnsiTheme="majorHAnsi" w:cstheme="majorHAnsi"/>
        </w:rPr>
      </w:pPr>
    </w:p>
    <w:p w14:paraId="7A1B34A9" w14:textId="77777777" w:rsidR="00551101" w:rsidRDefault="00551101">
      <w:pPr>
        <w:rPr>
          <w:rFonts w:asciiTheme="majorHAnsi" w:hAnsiTheme="majorHAnsi" w:cstheme="majorHAnsi"/>
        </w:rPr>
      </w:pPr>
    </w:p>
    <w:p w14:paraId="00C043E4" w14:textId="77777777" w:rsidR="00551101" w:rsidRDefault="00551101">
      <w:pPr>
        <w:rPr>
          <w:rFonts w:asciiTheme="majorHAnsi" w:hAnsiTheme="majorHAnsi" w:cstheme="majorHAnsi"/>
        </w:rPr>
      </w:pPr>
    </w:p>
    <w:p w14:paraId="6AF9251E" w14:textId="77777777" w:rsidR="00551101" w:rsidRDefault="0056152E">
      <w:pPr>
        <w:pStyle w:val="Heading1"/>
        <w:tabs>
          <w:tab w:val="left" w:pos="515"/>
        </w:tabs>
        <w:rPr>
          <w:rFonts w:cstheme="majorHAnsi"/>
          <w:sz w:val="24"/>
          <w:szCs w:val="24"/>
        </w:rPr>
      </w:pPr>
      <w:r>
        <w:rPr>
          <w:rFonts w:cstheme="majorHAnsi"/>
          <w:sz w:val="24"/>
          <w:szCs w:val="24"/>
        </w:rPr>
        <w:tab/>
      </w:r>
    </w:p>
    <w:p w14:paraId="7311DEF1" w14:textId="77777777" w:rsidR="00551101" w:rsidRDefault="00551101">
      <w:pPr>
        <w:pStyle w:val="Heading1"/>
        <w:jc w:val="center"/>
        <w:rPr>
          <w:rFonts w:cstheme="majorHAnsi"/>
        </w:rPr>
      </w:pPr>
    </w:p>
    <w:p w14:paraId="0FA2B046" w14:textId="77777777" w:rsidR="00551101" w:rsidRDefault="00551101">
      <w:pPr>
        <w:rPr>
          <w:rFonts w:asciiTheme="majorHAnsi" w:hAnsiTheme="majorHAnsi" w:cstheme="majorHAnsi"/>
        </w:rPr>
      </w:pPr>
    </w:p>
    <w:p w14:paraId="6F51367B" w14:textId="77777777" w:rsidR="00551101" w:rsidRDefault="00551101">
      <w:pPr>
        <w:pStyle w:val="Caption"/>
        <w:jc w:val="left"/>
        <w:rPr>
          <w:rFonts w:asciiTheme="majorHAnsi" w:hAnsiTheme="majorHAnsi" w:cstheme="majorHAnsi"/>
        </w:rPr>
      </w:pPr>
      <w:bookmarkStart w:id="1" w:name="_Toc204722343"/>
    </w:p>
    <w:p w14:paraId="19A410B6" w14:textId="77777777" w:rsidR="00551101" w:rsidRDefault="0056152E">
      <w:pPr>
        <w:pStyle w:val="Body"/>
        <w:snapToGrid w:val="0"/>
        <w:spacing w:after="120"/>
        <w:jc w:val="center"/>
        <w:rPr>
          <w:rFonts w:ascii="Arial" w:hAnsi="Arial" w:cs="Arial"/>
          <w:i/>
        </w:rPr>
      </w:pPr>
      <w:r>
        <w:rPr>
          <w:rFonts w:ascii="Arial" w:hAnsi="Arial" w:cs="Arial"/>
          <w:i/>
        </w:rPr>
        <w:t>Fig 1. Theoretical Conceptual Framework Model of Service Innovation in Improving Academic Quality</w:t>
      </w:r>
      <w:bookmarkEnd w:id="1"/>
    </w:p>
    <w:p w14:paraId="4621CBB1" w14:textId="77777777" w:rsidR="00551101" w:rsidRDefault="0056152E">
      <w:pPr>
        <w:pStyle w:val="Body"/>
        <w:snapToGrid w:val="0"/>
        <w:spacing w:after="120"/>
        <w:rPr>
          <w:rFonts w:ascii="Arial" w:hAnsi="Arial" w:cs="Arial"/>
        </w:rPr>
      </w:pPr>
      <w:r>
        <w:rPr>
          <w:rFonts w:ascii="Arial" w:hAnsi="Arial" w:cs="Arial"/>
        </w:rPr>
        <w:t>Based on the conceptual framework model of service innovation in improving academic quality at private universities in Gorontalo, it can be explained that this model is built on a theoretical synthesis that combines Rogers' theory of innovation adoption with new constructs developed by researchers, as well as Kotler &amp; Fox's theory of academic quality. The structure of the model describes three main components, namely input (service innovation and innovation adoption), outcome (academic quality), and the principle of sustainable innovation management, which acts as a moderator. The development of this framework not only aims to fill the existing theoretical gap, but also provides practical guidance for the effective implementation of service innovation in an academic environment.</w:t>
      </w:r>
    </w:p>
    <w:p w14:paraId="19901A46" w14:textId="5BD7A740" w:rsidR="00551101" w:rsidRDefault="0056152E">
      <w:pPr>
        <w:pStyle w:val="Body"/>
        <w:snapToGrid w:val="0"/>
        <w:spacing w:after="120"/>
        <w:rPr>
          <w:rFonts w:ascii="Arial" w:hAnsi="Arial" w:cs="Arial"/>
        </w:rPr>
      </w:pPr>
      <w:r>
        <w:rPr>
          <w:rFonts w:ascii="Arial" w:hAnsi="Arial" w:cs="Arial"/>
        </w:rPr>
        <w:t xml:space="preserve">This model places the five intrinsic factors of Rogers' theory (2003) as fundamental constructs that </w:t>
      </w:r>
      <w:r w:rsidR="00496CB4">
        <w:rPr>
          <w:rFonts w:ascii="Arial" w:hAnsi="Arial" w:cs="Arial"/>
        </w:rPr>
        <w:t>“</w:t>
      </w:r>
      <w:r>
        <w:rPr>
          <w:rFonts w:ascii="Arial" w:hAnsi="Arial" w:cs="Arial"/>
        </w:rPr>
        <w:t>determine the success of service innovation adoption. Relative Advantage is the first factor, indicating that service innovations must provide a clear competitive advantage over existing service systems</w:t>
      </w:r>
      <w:r w:rsidR="00496CB4">
        <w:rPr>
          <w:rFonts w:ascii="Arial" w:hAnsi="Arial" w:cs="Arial"/>
        </w:rPr>
        <w:t>”</w:t>
      </w:r>
      <w:r>
        <w:rPr>
          <w:rFonts w:ascii="Arial" w:hAnsi="Arial" w:cs="Arial"/>
        </w:rPr>
        <w:t xml:space="preserve">. Compatibility, as the second factor, emphasises the importance of the innovation's compatibility with the existing values, experiences, and needs of academic institutions. Complexity indicates that the level of difficulty in understanding and using the innovation will affect the adoption rate, where innovations that are too complex tend to experience greater adoption barriers. Trialability and Observability complement the intrinsic constructs by emphasising the ability to test and observe the results of the innovation. </w:t>
      </w:r>
    </w:p>
    <w:p w14:paraId="484CA228" w14:textId="288C37F4" w:rsidR="00551101" w:rsidRDefault="00496CB4">
      <w:pPr>
        <w:pStyle w:val="Body"/>
        <w:snapToGrid w:val="0"/>
        <w:spacing w:after="120"/>
        <w:rPr>
          <w:rFonts w:ascii="Arial" w:hAnsi="Arial" w:cs="Arial"/>
        </w:rPr>
      </w:pPr>
      <w:r>
        <w:rPr>
          <w:rFonts w:ascii="Arial" w:hAnsi="Arial" w:cs="Arial"/>
        </w:rPr>
        <w:t>“</w:t>
      </w:r>
      <w:r w:rsidR="0056152E">
        <w:rPr>
          <w:rFonts w:ascii="Arial" w:hAnsi="Arial" w:cs="Arial"/>
        </w:rPr>
        <w:t xml:space="preserve">This model </w:t>
      </w:r>
      <w:proofErr w:type="spellStart"/>
      <w:r w:rsidR="0056152E">
        <w:rPr>
          <w:rFonts w:ascii="Arial" w:hAnsi="Arial" w:cs="Arial"/>
        </w:rPr>
        <w:t>internalises</w:t>
      </w:r>
      <w:proofErr w:type="spellEnd"/>
      <w:r w:rsidR="0056152E">
        <w:rPr>
          <w:rFonts w:ascii="Arial" w:hAnsi="Arial" w:cs="Arial"/>
        </w:rPr>
        <w:t xml:space="preserve"> four extrinsic factors as theoretical novelties that enrich our understanding of the adoption of specific innovations in higher education. Policy Pressure acknowledges the reality that educational institutions operate in a heavily regulated environment, where government and regulatory </w:t>
      </w:r>
      <w:r w:rsidR="0056152E">
        <w:rPr>
          <w:rFonts w:ascii="Arial" w:hAnsi="Arial" w:cs="Arial"/>
        </w:rPr>
        <w:lastRenderedPageBreak/>
        <w:t>policies can be either a driving force or a barrier to the adoption of service innovations. Infrastructure Availability reflects the importance of technological and physical infrastructure readiness as an enabler of service innovation. Institutional Ecosystem Readiness encapsulates the readiness of the broader institutional ecosystem, including organisational culture, governance systems, and network relationships that support innovation implementation. Human Resource Readiness indicates that the readiness of human resources, both in terms of competency and willingness to change, is a factor in determining the success of academic service innovation adoption</w:t>
      </w:r>
      <w:r>
        <w:rPr>
          <w:rFonts w:ascii="Arial" w:hAnsi="Arial" w:cs="Arial"/>
        </w:rPr>
        <w:t>” (</w:t>
      </w:r>
      <w:proofErr w:type="spellStart"/>
      <w:r w:rsidRPr="00496CB4">
        <w:rPr>
          <w:rFonts w:ascii="Arial" w:hAnsi="Arial" w:cs="Arial"/>
        </w:rPr>
        <w:t>Arsana</w:t>
      </w:r>
      <w:proofErr w:type="spellEnd"/>
      <w:r>
        <w:rPr>
          <w:rFonts w:ascii="Arial" w:hAnsi="Arial" w:cs="Arial"/>
        </w:rPr>
        <w:t xml:space="preserve"> et al., 2025)</w:t>
      </w:r>
      <w:bookmarkStart w:id="2" w:name="_GoBack"/>
      <w:bookmarkEnd w:id="2"/>
      <w:r w:rsidR="0056152E">
        <w:rPr>
          <w:rFonts w:ascii="Arial" w:hAnsi="Arial" w:cs="Arial"/>
        </w:rPr>
        <w:t>.</w:t>
      </w:r>
    </w:p>
    <w:p w14:paraId="3EF5B13F" w14:textId="77777777" w:rsidR="00551101" w:rsidRDefault="0056152E">
      <w:pPr>
        <w:pStyle w:val="Body"/>
        <w:snapToGrid w:val="0"/>
        <w:spacing w:after="120"/>
        <w:rPr>
          <w:rFonts w:ascii="Arial" w:hAnsi="Arial" w:cs="Arial"/>
        </w:rPr>
      </w:pPr>
      <w:r>
        <w:rPr>
          <w:rFonts w:ascii="Arial" w:hAnsi="Arial" w:cs="Arial"/>
        </w:rPr>
        <w:t>The model also shows that service innovations carried out by private universities lead to improvements in academic quality. This model adopts Kotler &amp; Fox's conceptualisation of academic quality, which covers six dimensions, namely Quality of Instruction as the main dimension reflecting the core function of higher education institutions in delivering quality education. Academic Advising indicates the importance of personalised guidance in students' academic journeys. Library Resources emphasise the importance of adequate learning support infrastructure. Extracurricular Activities acknowledge that holistic learning requires activities outside the formal curriculum. Opportunities to Talk with Faculty reflect the importance of quality interaction between students and lecturers. Job Placement Services demonstrate an outcome orientation that links education with employability and career success.</w:t>
      </w:r>
    </w:p>
    <w:p w14:paraId="729D9A1F" w14:textId="77777777" w:rsidR="00551101" w:rsidRDefault="0056152E">
      <w:pPr>
        <w:pStyle w:val="Body"/>
        <w:snapToGrid w:val="0"/>
        <w:spacing w:after="120"/>
        <w:rPr>
          <w:rFonts w:ascii="Arial" w:hAnsi="Arial" w:cs="Arial"/>
        </w:rPr>
      </w:pPr>
      <w:r>
        <w:rPr>
          <w:rFonts w:ascii="Arial" w:hAnsi="Arial" w:cs="Arial"/>
        </w:rPr>
        <w:t xml:space="preserve">Although service innovation can directly influence academic quality improvement, the success of its sustainable implementation greatly depends on organisational governance conditions. In this case, the principles of sustainable innovation governance play a moderating role that either strengthens or weakens the influence of innovation on academic quality. The model above also explains that there are seven principles of sustainable innovation governance (commitment, consistency, communication, coordination, collaboration, cooperation and creativity) that can moderate the influence of service innovation on academic quality. The principles of sustainable innovation governance ( ) are very important for individuals and institutions. In addition to maintaining the sustainability of innovations that have been implemented, they also prevent innovations from becoming temporary projects or developments. The following explains the relationship between service innovation, academic quality, and the principles of sustainable innovation governance. </w:t>
      </w:r>
    </w:p>
    <w:p w14:paraId="232E881B" w14:textId="77777777" w:rsidR="00551101" w:rsidRDefault="0056152E">
      <w:pPr>
        <w:pStyle w:val="Body"/>
        <w:snapToGrid w:val="0"/>
        <w:spacing w:after="120"/>
        <w:rPr>
          <w:rFonts w:ascii="Arial" w:hAnsi="Arial" w:cs="Arial"/>
        </w:rPr>
      </w:pPr>
      <w:r>
        <w:rPr>
          <w:rFonts w:ascii="Arial" w:hAnsi="Arial" w:cs="Arial"/>
        </w:rPr>
        <w:t>Organisational commitment is a basic prerequisite for successful service innovation. Commitment demonstrates the extent to which service leaders and implementers are serious about implementing change consistently. Without strong commitment, innovation adoption is often temporary and has no significant impact on academic quality.</w:t>
      </w:r>
    </w:p>
    <w:p w14:paraId="4B283C90" w14:textId="77777777" w:rsidR="00551101" w:rsidRDefault="0056152E">
      <w:pPr>
        <w:pStyle w:val="Body"/>
        <w:snapToGrid w:val="0"/>
        <w:spacing w:after="120"/>
        <w:rPr>
          <w:rFonts w:ascii="Arial" w:hAnsi="Arial" w:cs="Arial"/>
        </w:rPr>
      </w:pPr>
      <w:r>
        <w:rPr>
          <w:rFonts w:ascii="Arial" w:hAnsi="Arial" w:cs="Arial"/>
        </w:rPr>
        <w:t xml:space="preserve">Consistency signifies continuity and certainty of policy direction, which are key determinants in strengthening systemic change within institutions. Without consistency, various innovations tend to lose their effectiveness and fail to contribute significantly to academic quality. </w:t>
      </w:r>
    </w:p>
    <w:p w14:paraId="61A84876" w14:textId="77777777" w:rsidR="00551101" w:rsidRDefault="0056152E">
      <w:pPr>
        <w:pStyle w:val="Body"/>
        <w:snapToGrid w:val="0"/>
        <w:spacing w:after="120"/>
        <w:rPr>
          <w:rFonts w:ascii="Arial" w:hAnsi="Arial" w:cs="Arial"/>
        </w:rPr>
      </w:pPr>
      <w:r>
        <w:rPr>
          <w:rFonts w:ascii="Arial" w:hAnsi="Arial" w:cs="Arial"/>
        </w:rPr>
        <w:t xml:space="preserve">The success of innovation implementation is largely determined by the effectiveness of communication between members of the academic community. Open, two-way, data-driven communication strengthens mutual understanding of the objectives and benefits of innovation. Lack of communication often leads to resistance to change. </w:t>
      </w:r>
    </w:p>
    <w:p w14:paraId="0FF0C324" w14:textId="77777777" w:rsidR="00551101" w:rsidRDefault="0056152E">
      <w:pPr>
        <w:pStyle w:val="Body"/>
        <w:snapToGrid w:val="0"/>
        <w:spacing w:after="120"/>
        <w:rPr>
          <w:rFonts w:ascii="Arial" w:hAnsi="Arial" w:cs="Arial"/>
        </w:rPr>
      </w:pPr>
      <w:r>
        <w:rPr>
          <w:rFonts w:ascii="Arial" w:hAnsi="Arial" w:cs="Arial"/>
        </w:rPr>
        <w:t>Innovations that are cross-unit or cross-functional in nature require a high level of coordination. When various units are able to work in a coordinated manner, innovations not only run smoothly but also integrate into a cohesive work system. Weak coordination often results in innovative policies only succeeding in a small number of work units.</w:t>
      </w:r>
    </w:p>
    <w:p w14:paraId="227B019D" w14:textId="77777777" w:rsidR="00551101" w:rsidRDefault="0056152E">
      <w:pPr>
        <w:pStyle w:val="Body"/>
        <w:snapToGrid w:val="0"/>
        <w:spacing w:after="120"/>
        <w:rPr>
          <w:rFonts w:ascii="Arial" w:hAnsi="Arial" w:cs="Arial"/>
        </w:rPr>
      </w:pPr>
      <w:r>
        <w:rPr>
          <w:rFonts w:ascii="Arial" w:hAnsi="Arial" w:cs="Arial"/>
        </w:rPr>
        <w:t>Collaboration between individuals, units, and even external parties such as industry partners or research institutions expands the scope and strengthens the support for innovation. Collaboration creates a space for sharing resources, ideas, and technologies that support academic quality.</w:t>
      </w:r>
    </w:p>
    <w:p w14:paraId="63F9AD17" w14:textId="77777777" w:rsidR="00551101" w:rsidRDefault="0056152E">
      <w:pPr>
        <w:pStyle w:val="Body"/>
        <w:snapToGrid w:val="0"/>
        <w:spacing w:after="120"/>
        <w:rPr>
          <w:rFonts w:ascii="Arial" w:hAnsi="Arial" w:cs="Arial"/>
        </w:rPr>
      </w:pPr>
      <w:r>
        <w:rPr>
          <w:rFonts w:ascii="Arial" w:hAnsi="Arial" w:cs="Arial"/>
        </w:rPr>
        <w:t>A cooperative culture reflects a supportive, open, and trusting work culture. When service providers have a cooperative attitude, innovation can run more smoothly and gain wider acceptance from the academic community.</w:t>
      </w:r>
    </w:p>
    <w:p w14:paraId="7C722903" w14:textId="77777777" w:rsidR="00551101" w:rsidRDefault="0056152E">
      <w:pPr>
        <w:pStyle w:val="Body"/>
        <w:snapToGrid w:val="0"/>
        <w:spacing w:after="120"/>
        <w:rPr>
          <w:rFonts w:ascii="Arial" w:hAnsi="Arial" w:cs="Arial"/>
        </w:rPr>
      </w:pPr>
      <w:r>
        <w:rPr>
          <w:rFonts w:ascii="Arial" w:hAnsi="Arial" w:cs="Arial"/>
        </w:rPr>
        <w:t xml:space="preserve">Creativity is an important element in every innovation process. The ability of the academic community to think creatively determines the quality of the innovation produced, as well as the extent to which the </w:t>
      </w:r>
      <w:r>
        <w:rPr>
          <w:rFonts w:ascii="Arial" w:hAnsi="Arial" w:cs="Arial"/>
        </w:rPr>
        <w:lastRenderedPageBreak/>
        <w:t>innovation can respond to real challenges in the academic process. Creativity also encourages the emergence of new solutions that have a positive impact on academic quality.</w:t>
      </w:r>
    </w:p>
    <w:p w14:paraId="429C5A3E" w14:textId="77777777" w:rsidR="00551101" w:rsidRDefault="0056152E">
      <w:pPr>
        <w:pStyle w:val="Body"/>
        <w:snapToGrid w:val="0"/>
        <w:spacing w:after="120"/>
        <w:rPr>
          <w:rFonts w:ascii="Arial" w:hAnsi="Arial" w:cs="Arial"/>
        </w:rPr>
      </w:pPr>
      <w:r>
        <w:rPr>
          <w:rFonts w:ascii="Arial" w:hAnsi="Arial" w:cs="Arial"/>
        </w:rPr>
        <w:t>This conceptual model attempts to bridge the gap between generic and specific innovation adoption theories in higher education institutions in Indonesia. By integrating governance principles as a moderator, this model provides a theoretical contribution to expanding our understanding of the dynamics of innovation success. In practical terms, the findings of this study are expected to serve as a reference in designing more adaptive and sustainable service innovation policies in private higher education institutions.</w:t>
      </w:r>
    </w:p>
    <w:p w14:paraId="033EC3A2" w14:textId="77777777" w:rsidR="00551101" w:rsidRDefault="0056152E">
      <w:pPr>
        <w:pStyle w:val="ConcHead"/>
        <w:spacing w:after="0"/>
        <w:jc w:val="both"/>
        <w:rPr>
          <w:rFonts w:ascii="Arial" w:hAnsi="Arial" w:cs="Arial"/>
        </w:rPr>
      </w:pPr>
      <w:r>
        <w:rPr>
          <w:rFonts w:ascii="Arial" w:hAnsi="Arial" w:cs="Arial"/>
        </w:rPr>
        <w:t>Conclusion</w:t>
      </w:r>
    </w:p>
    <w:p w14:paraId="19E3DFCB" w14:textId="20E0A97B" w:rsidR="00551101" w:rsidRDefault="0056152E">
      <w:pPr>
        <w:pStyle w:val="Body"/>
        <w:spacing w:after="0"/>
        <w:rPr>
          <w:rFonts w:ascii="Arial" w:hAnsi="Arial" w:cs="Arial"/>
        </w:rPr>
      </w:pPr>
      <w:r>
        <w:rPr>
          <w:rFonts w:ascii="Arial" w:hAnsi="Arial" w:cs="Arial"/>
        </w:rPr>
        <w:t>This study expands on the Diffusion of Innovation theory by integrating the principles of sustainable governance into the analysis of service innovation in higher education. The results confirm that the success of innovation adoption is determined not only by the characteristics of the innovation itself, but also by institutional readiness, policy alignment, and organisational culture. The conceptual framework offered enriches the literature on public sector innovation and higher education service management. Practical Implications The findings indicate the strategic role of digital academic services (such as integrated academic information systems, LMS, and blended learning) in improving efficiency, accountability, and learning quality. Sustainable governance based on commitment, consistency, communication, coordination, collaboration, cooperation, and creativity are key factors for innovations to have a long-term impact. For private universities, innovation should be positioned as a sustainable strategy to strengthen academic quality and institutional competitiveness. Further research can be directed towards broader exploration by conducting comparative studies across regions or types of higher education institutions to examine differences in institutional contexts in the application of service innovations. In addition, the development of indicators derived from the principles of sustainable innovation governance needs to be carried out to obtain more operational and applicable measures. Longitudinal research is also important to assess the consistency and sustainability of the impact of service innovation on academic quality in the long term. In addition, a mixed methods approach or in-depth qualitative study can be considered to explore social and cultural dynamics and organisational resistance that may not be fully revealed through a quantitative approach.</w:t>
      </w:r>
    </w:p>
    <w:p w14:paraId="65D2A128" w14:textId="5C7D74B0" w:rsidR="00E85CF2" w:rsidRDefault="00E85CF2">
      <w:pPr>
        <w:pStyle w:val="Body"/>
        <w:spacing w:after="0"/>
        <w:rPr>
          <w:rFonts w:ascii="Arial" w:hAnsi="Arial" w:cs="Arial"/>
        </w:rPr>
      </w:pPr>
    </w:p>
    <w:p w14:paraId="00137141" w14:textId="77777777" w:rsidR="00DF28A0" w:rsidRPr="00DF28A0" w:rsidRDefault="00DF28A0" w:rsidP="00DF28A0">
      <w:pPr>
        <w:pStyle w:val="Body"/>
        <w:rPr>
          <w:rFonts w:ascii="Arial" w:hAnsi="Arial" w:cs="Arial"/>
          <w:b/>
        </w:rPr>
      </w:pPr>
      <w:r w:rsidRPr="00DF28A0">
        <w:rPr>
          <w:rFonts w:ascii="Arial" w:hAnsi="Arial" w:cs="Arial"/>
          <w:b/>
        </w:rPr>
        <w:t>Ethical Approval:</w:t>
      </w:r>
    </w:p>
    <w:p w14:paraId="04EC7EFE" w14:textId="77777777" w:rsidR="00DF28A0" w:rsidRPr="00DF28A0" w:rsidRDefault="00DF28A0" w:rsidP="00DF28A0">
      <w:pPr>
        <w:pStyle w:val="Body"/>
        <w:rPr>
          <w:rFonts w:ascii="Arial" w:hAnsi="Arial" w:cs="Arial"/>
          <w:b/>
        </w:rPr>
      </w:pPr>
    </w:p>
    <w:p w14:paraId="48D6AB98" w14:textId="7FD08879" w:rsidR="00DF28A0" w:rsidRPr="00DF28A0" w:rsidRDefault="00DF28A0" w:rsidP="00DF28A0">
      <w:pPr>
        <w:pStyle w:val="Body"/>
        <w:spacing w:after="0"/>
        <w:rPr>
          <w:rFonts w:ascii="Arial" w:hAnsi="Arial" w:cs="Arial"/>
          <w:highlight w:val="yellow"/>
        </w:rPr>
      </w:pPr>
      <w:r w:rsidRPr="00DF28A0">
        <w:rPr>
          <w:rFonts w:ascii="Arial" w:hAnsi="Arial" w:cs="Arial"/>
        </w:rPr>
        <w:t>As per international standards or university standards written ethical approval has been collected and preserved by the author(s).</w:t>
      </w:r>
    </w:p>
    <w:p w14:paraId="02DFCF0E" w14:textId="77777777" w:rsidR="00DF28A0" w:rsidRDefault="00DF28A0">
      <w:pPr>
        <w:pStyle w:val="Body"/>
        <w:spacing w:after="0"/>
        <w:rPr>
          <w:rFonts w:ascii="Arial" w:hAnsi="Arial" w:cs="Arial"/>
          <w:b/>
          <w:highlight w:val="yellow"/>
        </w:rPr>
      </w:pPr>
    </w:p>
    <w:p w14:paraId="53F27920" w14:textId="6E81C141" w:rsidR="00E85CF2" w:rsidRPr="00DF28A0" w:rsidRDefault="00E85CF2">
      <w:pPr>
        <w:pStyle w:val="Body"/>
        <w:spacing w:after="0"/>
        <w:rPr>
          <w:rFonts w:ascii="Arial" w:hAnsi="Arial" w:cs="Arial"/>
          <w:b/>
          <w:highlight w:val="yellow"/>
        </w:rPr>
      </w:pPr>
      <w:r w:rsidRPr="00DF28A0">
        <w:rPr>
          <w:rFonts w:ascii="Arial" w:hAnsi="Arial" w:cs="Arial"/>
          <w:b/>
          <w:highlight w:val="yellow"/>
        </w:rPr>
        <w:t>Disclaimer (Artificial intelligence)</w:t>
      </w:r>
    </w:p>
    <w:p w14:paraId="0FAA4F17" w14:textId="5F53D05E" w:rsidR="00E85CF2" w:rsidRDefault="00E85CF2">
      <w:pPr>
        <w:pStyle w:val="Body"/>
        <w:spacing w:after="0"/>
        <w:rPr>
          <w:rFonts w:ascii="Arial" w:hAnsi="Arial" w:cs="Arial"/>
        </w:rPr>
      </w:pPr>
      <w:r w:rsidRPr="00E85CF2">
        <w:rPr>
          <w:rFonts w:ascii="Arial" w:hAnsi="Arial" w:cs="Arial"/>
          <w:highlight w:val="yellow"/>
        </w:rPr>
        <w:t xml:space="preserve">This manuscript involved the use of </w:t>
      </w:r>
      <w:proofErr w:type="spellStart"/>
      <w:r w:rsidRPr="00E85CF2">
        <w:rPr>
          <w:rFonts w:ascii="Arial" w:hAnsi="Arial" w:cs="Arial"/>
          <w:highlight w:val="yellow"/>
        </w:rPr>
        <w:t>ChatGPT</w:t>
      </w:r>
      <w:proofErr w:type="spellEnd"/>
      <w:r w:rsidRPr="00E85CF2">
        <w:rPr>
          <w:rFonts w:ascii="Arial" w:hAnsi="Arial" w:cs="Arial"/>
          <w:highlight w:val="yellow"/>
        </w:rPr>
        <w:t xml:space="preserve"> (GPT-5.1, </w:t>
      </w:r>
      <w:proofErr w:type="spellStart"/>
      <w:r w:rsidRPr="00E85CF2">
        <w:rPr>
          <w:rFonts w:ascii="Arial" w:hAnsi="Arial" w:cs="Arial"/>
          <w:highlight w:val="yellow"/>
        </w:rPr>
        <w:t>OpenAI</w:t>
      </w:r>
      <w:proofErr w:type="spellEnd"/>
      <w:r w:rsidRPr="00E85CF2">
        <w:rPr>
          <w:rFonts w:ascii="Arial" w:hAnsi="Arial" w:cs="Arial"/>
          <w:highlight w:val="yellow"/>
        </w:rPr>
        <w:t>) to refine the English grammar and improve readability. Prompts included: “Please polish the academic writing style,” and “Revise this paragraph for coherence.” All conceptual contributions, analyses, and conclusions are made by the authors.</w:t>
      </w:r>
    </w:p>
    <w:p w14:paraId="560D1C3B" w14:textId="77777777" w:rsidR="00551101" w:rsidRDefault="00551101">
      <w:pPr>
        <w:pStyle w:val="Body"/>
        <w:spacing w:after="0"/>
        <w:rPr>
          <w:rFonts w:ascii="Arial" w:hAnsi="Arial" w:cs="Arial"/>
        </w:rPr>
      </w:pPr>
    </w:p>
    <w:p w14:paraId="5000D7BA" w14:textId="77777777" w:rsidR="00551101" w:rsidRDefault="0056152E">
      <w:pPr>
        <w:pStyle w:val="ReferHead"/>
        <w:spacing w:after="0"/>
        <w:jc w:val="both"/>
        <w:rPr>
          <w:rFonts w:ascii="Arial" w:hAnsi="Arial" w:cs="Arial"/>
        </w:rPr>
      </w:pPr>
      <w:r>
        <w:rPr>
          <w:rFonts w:ascii="Arial" w:hAnsi="Arial" w:cs="Arial"/>
        </w:rPr>
        <w:t>References</w:t>
      </w:r>
    </w:p>
    <w:p w14:paraId="4B60E1AC"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pt-BR"/>
        </w:rPr>
      </w:pPr>
      <w:r>
        <w:rPr>
          <w:rFonts w:ascii="Helvetica" w:hAnsi="Helvetica" w:cstheme="majorHAnsi"/>
          <w:sz w:val="20"/>
          <w:szCs w:val="20"/>
        </w:rPr>
        <w:fldChar w:fldCharType="begin" w:fldLock="1"/>
      </w:r>
      <w:r>
        <w:rPr>
          <w:rFonts w:ascii="Helvetica" w:hAnsi="Helvetica" w:cstheme="majorHAnsi"/>
          <w:sz w:val="20"/>
          <w:szCs w:val="20"/>
        </w:rPr>
        <w:instrText xml:space="preserve">ADDIN Mendeley Bibliography CSL_BIBLIOGRAPHY </w:instrText>
      </w:r>
      <w:r>
        <w:rPr>
          <w:rFonts w:ascii="Helvetica" w:hAnsi="Helvetica" w:cstheme="majorHAnsi"/>
          <w:sz w:val="20"/>
          <w:szCs w:val="20"/>
        </w:rPr>
        <w:fldChar w:fldCharType="separate"/>
      </w:r>
      <w:r>
        <w:rPr>
          <w:rFonts w:ascii="Helvetica" w:hAnsi="Helvetica" w:cstheme="majorHAnsi"/>
          <w:noProof/>
          <w:sz w:val="20"/>
          <w:szCs w:val="20"/>
          <w:lang w:val="en-US"/>
        </w:rPr>
        <w:t xml:space="preserve">Aneta, Y., Akib, H., Pakaya, R., &amp; Hulinggi, P. A. (2025). The Impact of Digital Transformation and Artificial Intelligence on Bureaucratic Culture Between Efficiency and Discretion. </w:t>
      </w:r>
      <w:r>
        <w:rPr>
          <w:rFonts w:ascii="Helvetica" w:hAnsi="Helvetica" w:cstheme="majorHAnsi"/>
          <w:i/>
          <w:iCs/>
          <w:noProof/>
          <w:sz w:val="20"/>
          <w:szCs w:val="20"/>
          <w:lang w:val="pt-BR"/>
        </w:rPr>
        <w:t>KnE Social Sciences</w:t>
      </w:r>
      <w:r>
        <w:rPr>
          <w:rFonts w:ascii="Helvetica" w:hAnsi="Helvetica" w:cstheme="majorHAnsi"/>
          <w:noProof/>
          <w:sz w:val="20"/>
          <w:szCs w:val="20"/>
          <w:lang w:val="pt-BR"/>
        </w:rPr>
        <w:t xml:space="preserve">, </w:t>
      </w:r>
      <w:r>
        <w:rPr>
          <w:rFonts w:ascii="Helvetica" w:hAnsi="Helvetica" w:cstheme="majorHAnsi"/>
          <w:i/>
          <w:iCs/>
          <w:noProof/>
          <w:sz w:val="20"/>
          <w:szCs w:val="20"/>
          <w:lang w:val="pt-BR"/>
        </w:rPr>
        <w:t>10</w:t>
      </w:r>
      <w:r>
        <w:rPr>
          <w:rFonts w:ascii="Helvetica" w:hAnsi="Helvetica" w:cstheme="majorHAnsi"/>
          <w:noProof/>
          <w:sz w:val="20"/>
          <w:szCs w:val="20"/>
          <w:lang w:val="pt-BR"/>
        </w:rPr>
        <w:t>(4), 1–20.</w:t>
      </w:r>
      <w:r>
        <w:t xml:space="preserve"> </w:t>
      </w:r>
      <w:r>
        <w:rPr>
          <w:rFonts w:ascii="Helvetica" w:hAnsi="Helvetica" w:cstheme="majorHAnsi"/>
          <w:noProof/>
          <w:sz w:val="20"/>
          <w:szCs w:val="20"/>
          <w:lang w:val="pt-BR"/>
        </w:rPr>
        <w:t xml:space="preserve">https://doi.org/10.18502/kss.v10i4.18019 </w:t>
      </w:r>
    </w:p>
    <w:p w14:paraId="5EBE5AED"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pt-BR"/>
        </w:rPr>
        <w:t xml:space="preserve">Arsana, I. K. S, Ansar, A., Hasim, H., Abdussamad, J., &amp; Aneta, Y. (2025). </w:t>
      </w:r>
      <w:r>
        <w:rPr>
          <w:rFonts w:ascii="Helvetica" w:hAnsi="Helvetica" w:cstheme="majorHAnsi"/>
          <w:noProof/>
          <w:sz w:val="20"/>
          <w:szCs w:val="20"/>
          <w:lang w:val="en-US"/>
        </w:rPr>
        <w:t xml:space="preserve">Service Innovation in Enhancing Academic Quality at Private Higher Education Institution in Gorontalo: An Integrative Conceptual Approach Based on the Diffusion of Innovation Theory. </w:t>
      </w:r>
      <w:r>
        <w:rPr>
          <w:rFonts w:ascii="Helvetica" w:hAnsi="Helvetica" w:cstheme="majorHAnsi"/>
          <w:i/>
          <w:iCs/>
          <w:noProof/>
          <w:sz w:val="20"/>
          <w:szCs w:val="20"/>
          <w:lang w:val="en-US"/>
        </w:rPr>
        <w:t>International Journal of Social Science Research and Review</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8</w:t>
      </w:r>
      <w:r>
        <w:rPr>
          <w:rFonts w:ascii="Helvetica" w:hAnsi="Helvetica" w:cstheme="majorHAnsi"/>
          <w:noProof/>
          <w:sz w:val="20"/>
          <w:szCs w:val="20"/>
          <w:lang w:val="en-US"/>
        </w:rPr>
        <w:t>(9 SE-Main Articles). https://doi.org/10.47814/ijssrr.v8i9.2879</w:t>
      </w:r>
    </w:p>
    <w:p w14:paraId="47B30EF6"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pt-BR"/>
        </w:rPr>
      </w:pPr>
      <w:r>
        <w:rPr>
          <w:rFonts w:ascii="Helvetica" w:hAnsi="Helvetica" w:cstheme="majorHAnsi"/>
          <w:noProof/>
          <w:sz w:val="20"/>
          <w:szCs w:val="20"/>
          <w:lang w:val="pt-BR"/>
        </w:rPr>
        <w:t xml:space="preserve">Arsana, I. K. S., Afnita, V., Hutahaean, L. A., &amp; Gintulangi, S. O. (2025). Transformasi e-administrasi jurusan Pendidikan Ekonomi dan pengaruhnya terhadap efisiensi dan kualitas pembelajaran. </w:t>
      </w:r>
      <w:r>
        <w:rPr>
          <w:rFonts w:ascii="Helvetica" w:hAnsi="Helvetica" w:cstheme="majorHAnsi"/>
          <w:i/>
          <w:iCs/>
          <w:noProof/>
          <w:sz w:val="20"/>
          <w:szCs w:val="20"/>
          <w:lang w:val="pt-BR"/>
        </w:rPr>
        <w:t>Takuana: Jurnal Pendidikan, Sains, Dan Humaniora</w:t>
      </w:r>
      <w:r>
        <w:rPr>
          <w:rFonts w:ascii="Helvetica" w:hAnsi="Helvetica" w:cstheme="majorHAnsi"/>
          <w:noProof/>
          <w:sz w:val="20"/>
          <w:szCs w:val="20"/>
          <w:lang w:val="pt-BR"/>
        </w:rPr>
        <w:t xml:space="preserve">, </w:t>
      </w:r>
      <w:r>
        <w:rPr>
          <w:rFonts w:ascii="Helvetica" w:hAnsi="Helvetica" w:cstheme="majorHAnsi"/>
          <w:i/>
          <w:iCs/>
          <w:noProof/>
          <w:sz w:val="20"/>
          <w:szCs w:val="20"/>
          <w:lang w:val="pt-BR"/>
        </w:rPr>
        <w:t>4</w:t>
      </w:r>
      <w:r>
        <w:rPr>
          <w:rFonts w:ascii="Helvetica" w:hAnsi="Helvetica" w:cstheme="majorHAnsi"/>
          <w:noProof/>
          <w:sz w:val="20"/>
          <w:szCs w:val="20"/>
          <w:lang w:val="pt-BR"/>
        </w:rPr>
        <w:t>(2 SE-Articles), 306–319. https://doi.org/10.56113/takuana.v4i2.159</w:t>
      </w:r>
    </w:p>
    <w:p w14:paraId="3B51DD8B"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Bich, L. N. (2025). Improving the Quality of Human Resources at Private Universities in the Mekong Delta – Vietnam. </w:t>
      </w:r>
      <w:r>
        <w:rPr>
          <w:rFonts w:ascii="Helvetica" w:hAnsi="Helvetica" w:cstheme="majorHAnsi"/>
          <w:i/>
          <w:iCs/>
          <w:noProof/>
          <w:sz w:val="20"/>
          <w:szCs w:val="20"/>
          <w:lang w:val="en-US"/>
        </w:rPr>
        <w:t>South Asian Research Journal of Humanities and Social Sciences</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7</w:t>
      </w:r>
      <w:r>
        <w:rPr>
          <w:rFonts w:ascii="Helvetica" w:hAnsi="Helvetica" w:cstheme="majorHAnsi"/>
          <w:noProof/>
          <w:sz w:val="20"/>
          <w:szCs w:val="20"/>
          <w:lang w:val="en-US"/>
        </w:rPr>
        <w:t>(01), 21–30. https://doi.org/10.36346/sarjhss.2025.v07i01.008</w:t>
      </w:r>
    </w:p>
    <w:p w14:paraId="4EACDFBB"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lastRenderedPageBreak/>
        <w:t xml:space="preserve">Bouncken, R. B., Czakon, W., &amp; Schmitt, F. (2025). Purposeful sampling and saturation in qualitative research methodologies: recommendations and review. </w:t>
      </w:r>
      <w:r>
        <w:rPr>
          <w:rFonts w:ascii="Helvetica" w:hAnsi="Helvetica" w:cstheme="majorHAnsi"/>
          <w:i/>
          <w:iCs/>
          <w:noProof/>
          <w:sz w:val="20"/>
          <w:szCs w:val="20"/>
          <w:lang w:val="en-US"/>
        </w:rPr>
        <w:t>Review of Managerial Science</w:t>
      </w:r>
      <w:r>
        <w:rPr>
          <w:rFonts w:ascii="Helvetica" w:hAnsi="Helvetica" w:cstheme="majorHAnsi"/>
          <w:noProof/>
          <w:sz w:val="20"/>
          <w:szCs w:val="20"/>
          <w:lang w:val="en-US"/>
        </w:rPr>
        <w:t>. https://doi.org/10.1007/s11846-025-00881-2</w:t>
      </w:r>
    </w:p>
    <w:p w14:paraId="590FF8A7"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Cadez, S., Dimovski, V., &amp; Zaman Groff, M. (2017). Research, teaching and performance evaluation in academia: the salience of quality. </w:t>
      </w:r>
      <w:r>
        <w:rPr>
          <w:rFonts w:ascii="Helvetica" w:hAnsi="Helvetica" w:cstheme="majorHAnsi"/>
          <w:i/>
          <w:iCs/>
          <w:noProof/>
          <w:sz w:val="20"/>
          <w:szCs w:val="20"/>
          <w:lang w:val="en-US"/>
        </w:rPr>
        <w:t>Studies in Higher Education</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42</w:t>
      </w:r>
      <w:r>
        <w:rPr>
          <w:rFonts w:ascii="Helvetica" w:hAnsi="Helvetica" w:cstheme="majorHAnsi"/>
          <w:noProof/>
          <w:sz w:val="20"/>
          <w:szCs w:val="20"/>
          <w:lang w:val="en-US"/>
        </w:rPr>
        <w:t>(8), 1455–1473. https://doi.org/10.1080/03075079.2015.1104659</w:t>
      </w:r>
    </w:p>
    <w:p w14:paraId="54C2F1D6"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Dibra, M. (2015). Rogers Theory on Diffusion of Innovation-The Most Appropriate Theoretical Model in the Study of Factors Influencing the Integration of Sustainability in Tourism Businesses. </w:t>
      </w:r>
      <w:r>
        <w:rPr>
          <w:rFonts w:ascii="Helvetica" w:hAnsi="Helvetica" w:cstheme="majorHAnsi"/>
          <w:i/>
          <w:iCs/>
          <w:noProof/>
          <w:sz w:val="20"/>
          <w:szCs w:val="20"/>
          <w:lang w:val="en-US"/>
        </w:rPr>
        <w:t>Procedia - Social and Behavioral Sciences</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195</w:t>
      </w:r>
      <w:r>
        <w:rPr>
          <w:rFonts w:ascii="Helvetica" w:hAnsi="Helvetica" w:cstheme="majorHAnsi"/>
          <w:noProof/>
          <w:sz w:val="20"/>
          <w:szCs w:val="20"/>
          <w:lang w:val="en-US"/>
        </w:rPr>
        <w:t>, 1453–1462. https://doi.org/https://doi.org/10.1016/j.sbspro.2015.06.443</w:t>
      </w:r>
    </w:p>
    <w:p w14:paraId="55C49068"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Fasnacht, D. (2018). </w:t>
      </w:r>
      <w:r>
        <w:rPr>
          <w:rFonts w:ascii="Helvetica" w:hAnsi="Helvetica" w:cstheme="majorHAnsi"/>
          <w:i/>
          <w:iCs/>
          <w:noProof/>
          <w:sz w:val="20"/>
          <w:szCs w:val="20"/>
          <w:lang w:val="en-US"/>
        </w:rPr>
        <w:t>Open Innovation in the Financial Services BT  - Open Innovation Ecosystems: Creating New Value Constellations in the Financial Services</w:t>
      </w:r>
      <w:r>
        <w:rPr>
          <w:rFonts w:ascii="Helvetica" w:hAnsi="Helvetica" w:cstheme="majorHAnsi"/>
          <w:noProof/>
          <w:sz w:val="20"/>
          <w:szCs w:val="20"/>
          <w:lang w:val="en-US"/>
        </w:rPr>
        <w:t xml:space="preserve"> (D. Fasnacht (ed.); pp. 97–130). Springer International Publishing. https://doi.org/10.1007/978-3-319-76394-1_4</w:t>
      </w:r>
    </w:p>
    <w:p w14:paraId="70E4D4AC"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Fernandes, J. O., &amp; Singh, B. (2021). Accreditation and ranking of higher education institutions (HEIs): review, observations and recommendations for the Indian higher education system. </w:t>
      </w:r>
      <w:r>
        <w:rPr>
          <w:rFonts w:ascii="Helvetica" w:hAnsi="Helvetica" w:cstheme="majorHAnsi"/>
          <w:i/>
          <w:iCs/>
          <w:noProof/>
          <w:sz w:val="20"/>
          <w:szCs w:val="20"/>
          <w:lang w:val="en-US"/>
        </w:rPr>
        <w:t>The TQM Journal</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34</w:t>
      </w:r>
      <w:r>
        <w:rPr>
          <w:rFonts w:ascii="Helvetica" w:hAnsi="Helvetica" w:cstheme="majorHAnsi"/>
          <w:noProof/>
          <w:sz w:val="20"/>
          <w:szCs w:val="20"/>
          <w:lang w:val="en-US"/>
        </w:rPr>
        <w:t>(5), 1013–1038. https://doi.org/10.1108/TQM-04-2021-0115</w:t>
      </w:r>
    </w:p>
    <w:p w14:paraId="15BFC419"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Hazelkorn, E. (2018). Reshaping the world order of higher education: the role and impact of rankings on national and global systems*. </w:t>
      </w:r>
      <w:r>
        <w:rPr>
          <w:rFonts w:ascii="Helvetica" w:hAnsi="Helvetica" w:cstheme="majorHAnsi"/>
          <w:i/>
          <w:iCs/>
          <w:noProof/>
          <w:sz w:val="20"/>
          <w:szCs w:val="20"/>
          <w:lang w:val="en-US"/>
        </w:rPr>
        <w:t>Policy Reviews in Higher Education</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2</w:t>
      </w:r>
      <w:r>
        <w:rPr>
          <w:rFonts w:ascii="Helvetica" w:hAnsi="Helvetica" w:cstheme="majorHAnsi"/>
          <w:noProof/>
          <w:sz w:val="20"/>
          <w:szCs w:val="20"/>
          <w:lang w:val="en-US"/>
        </w:rPr>
        <w:t>(1), 4–31. https://doi.org/10.1080/23322969.2018.1424562</w:t>
      </w:r>
    </w:p>
    <w:p w14:paraId="78D29F10"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Kahn, K. B. (2018). Understanding innovation. </w:t>
      </w:r>
      <w:r>
        <w:rPr>
          <w:rFonts w:ascii="Helvetica" w:hAnsi="Helvetica" w:cstheme="majorHAnsi"/>
          <w:i/>
          <w:iCs/>
          <w:noProof/>
          <w:sz w:val="20"/>
          <w:szCs w:val="20"/>
          <w:lang w:val="en-US"/>
        </w:rPr>
        <w:t>Business Horizons</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61</w:t>
      </w:r>
      <w:r>
        <w:rPr>
          <w:rFonts w:ascii="Helvetica" w:hAnsi="Helvetica" w:cstheme="majorHAnsi"/>
          <w:noProof/>
          <w:sz w:val="20"/>
          <w:szCs w:val="20"/>
          <w:lang w:val="en-US"/>
        </w:rPr>
        <w:t>(3), 453–460. https://doi.org/https://doi.org/10.1016/j.bushor.2018.01.011</w:t>
      </w:r>
    </w:p>
    <w:p w14:paraId="432D1A8E"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Kalpokaite, N., &amp; Radivojevic, I. (2019). Demystifying qualitative data analysis for novice qualitative researchers. </w:t>
      </w:r>
      <w:r>
        <w:rPr>
          <w:rFonts w:ascii="Helvetica" w:hAnsi="Helvetica" w:cstheme="majorHAnsi"/>
          <w:i/>
          <w:iCs/>
          <w:noProof/>
          <w:sz w:val="20"/>
          <w:szCs w:val="20"/>
          <w:lang w:val="en-US"/>
        </w:rPr>
        <w:t>The Qualitative Report</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24</w:t>
      </w:r>
      <w:r>
        <w:rPr>
          <w:rFonts w:ascii="Helvetica" w:hAnsi="Helvetica" w:cstheme="majorHAnsi"/>
          <w:noProof/>
          <w:sz w:val="20"/>
          <w:szCs w:val="20"/>
          <w:lang w:val="en-US"/>
        </w:rPr>
        <w:t xml:space="preserve">(13), 44–57. https://doi.org/10.46743/2160-3715/2019.4120 </w:t>
      </w:r>
    </w:p>
    <w:p w14:paraId="3460893C"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Lee, S.-H. (2022). Naturalistic Inquiry/Qualitative Studies. In </w:t>
      </w:r>
      <w:r>
        <w:rPr>
          <w:rFonts w:ascii="Helvetica" w:hAnsi="Helvetica" w:cstheme="majorHAnsi"/>
          <w:i/>
          <w:iCs/>
          <w:noProof/>
          <w:sz w:val="20"/>
          <w:szCs w:val="20"/>
          <w:lang w:val="en-US"/>
        </w:rPr>
        <w:t>Scholarly Research in Music</w:t>
      </w:r>
      <w:r>
        <w:rPr>
          <w:rFonts w:ascii="Helvetica" w:hAnsi="Helvetica" w:cstheme="majorHAnsi"/>
          <w:noProof/>
          <w:sz w:val="20"/>
          <w:szCs w:val="20"/>
          <w:lang w:val="en-US"/>
        </w:rPr>
        <w:t xml:space="preserve"> (pp. 87–94). Routledge.</w:t>
      </w:r>
      <w:r>
        <w:t xml:space="preserve"> </w:t>
      </w:r>
      <w:r>
        <w:rPr>
          <w:rFonts w:ascii="Helvetica" w:hAnsi="Helvetica" w:cstheme="majorHAnsi"/>
          <w:noProof/>
          <w:sz w:val="20"/>
          <w:szCs w:val="20"/>
          <w:lang w:val="en-US"/>
        </w:rPr>
        <w:t xml:space="preserve">https://doi.org/10.4324/9781003153924 </w:t>
      </w:r>
    </w:p>
    <w:p w14:paraId="767D9FDB"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Maiya, A. K., &amp; Aithal, P. S. (2023). A review-based research topic identification on how to improve the quality services of higher education institutions in academic, administrative, and research areas.</w:t>
      </w:r>
      <w:r>
        <w:rPr>
          <w:rFonts w:ascii="Helvetica" w:hAnsi="Helvetica" w:cstheme="majorHAnsi"/>
          <w:i/>
          <w:iCs/>
          <w:noProof/>
          <w:sz w:val="20"/>
          <w:szCs w:val="20"/>
          <w:lang w:val="en-US"/>
        </w:rPr>
        <w:t xml:space="preserve"> International Journal of Management, Technology, and Soci</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8</w:t>
      </w:r>
      <w:r>
        <w:rPr>
          <w:rFonts w:ascii="Helvetica" w:hAnsi="Helvetica" w:cstheme="majorHAnsi"/>
          <w:noProof/>
          <w:sz w:val="20"/>
          <w:szCs w:val="20"/>
          <w:lang w:val="en-US"/>
        </w:rPr>
        <w:t xml:space="preserve">(3), 103–153. https://doi.org/10.47992/IJMTS.2581.6012.0292 </w:t>
      </w:r>
    </w:p>
    <w:p w14:paraId="4C6A8553"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Makhoul, S. A. (2019). Higher education accreditation, quality assurance and their impact to teaching and learning enhancement. </w:t>
      </w:r>
      <w:r>
        <w:rPr>
          <w:rFonts w:ascii="Helvetica" w:hAnsi="Helvetica" w:cstheme="majorHAnsi"/>
          <w:i/>
          <w:iCs/>
          <w:noProof/>
          <w:sz w:val="20"/>
          <w:szCs w:val="20"/>
          <w:lang w:val="en-US"/>
        </w:rPr>
        <w:t>Journal of Economic and Administrative Sciences</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35</w:t>
      </w:r>
      <w:r>
        <w:rPr>
          <w:rFonts w:ascii="Helvetica" w:hAnsi="Helvetica" w:cstheme="majorHAnsi"/>
          <w:noProof/>
          <w:sz w:val="20"/>
          <w:szCs w:val="20"/>
          <w:lang w:val="en-US"/>
        </w:rPr>
        <w:t>(4), 235–250. https://doi.org/10.1108/JEAS-08-2018-0092</w:t>
      </w:r>
    </w:p>
    <w:p w14:paraId="2D89A93B"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Mohamed Hashim, M. A., Tlemsani, I., &amp; Matthews, R. (2022). Higher education strategy in digital transformation. </w:t>
      </w:r>
      <w:r>
        <w:rPr>
          <w:rFonts w:ascii="Helvetica" w:hAnsi="Helvetica" w:cstheme="majorHAnsi"/>
          <w:i/>
          <w:iCs/>
          <w:noProof/>
          <w:sz w:val="20"/>
          <w:szCs w:val="20"/>
          <w:lang w:val="en-US"/>
        </w:rPr>
        <w:t>Education and Information Technologies</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27</w:t>
      </w:r>
      <w:r>
        <w:rPr>
          <w:rFonts w:ascii="Helvetica" w:hAnsi="Helvetica" w:cstheme="majorHAnsi"/>
          <w:noProof/>
          <w:sz w:val="20"/>
          <w:szCs w:val="20"/>
          <w:lang w:val="en-US"/>
        </w:rPr>
        <w:t xml:space="preserve">(3), 3171–3195. https://doi.org/10.1007/s10639-021-10739-1 </w:t>
      </w:r>
    </w:p>
    <w:p w14:paraId="152DFB60"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Mok, K. H. (2015). Higher Education Transformations for Global Competitiveness: Policy Responses, Social Consequences and Impact on the Academic Profession in Asia. </w:t>
      </w:r>
      <w:r>
        <w:rPr>
          <w:rFonts w:ascii="Helvetica" w:hAnsi="Helvetica" w:cstheme="majorHAnsi"/>
          <w:i/>
          <w:iCs/>
          <w:noProof/>
          <w:sz w:val="20"/>
          <w:szCs w:val="20"/>
          <w:lang w:val="en-US"/>
        </w:rPr>
        <w:t>Higher Education Policy</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28</w:t>
      </w:r>
      <w:r>
        <w:rPr>
          <w:rFonts w:ascii="Helvetica" w:hAnsi="Helvetica" w:cstheme="majorHAnsi"/>
          <w:noProof/>
          <w:sz w:val="20"/>
          <w:szCs w:val="20"/>
          <w:lang w:val="en-US"/>
        </w:rPr>
        <w:t>(1), 1–15. https://doi.org/10.1057/hep.2014.27</w:t>
      </w:r>
    </w:p>
    <w:p w14:paraId="20115B88"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Muthuswamy, P. R. (2022). </w:t>
      </w:r>
      <w:r>
        <w:rPr>
          <w:rFonts w:ascii="Helvetica" w:hAnsi="Helvetica" w:cstheme="majorHAnsi"/>
          <w:i/>
          <w:iCs/>
          <w:noProof/>
          <w:sz w:val="20"/>
          <w:szCs w:val="20"/>
          <w:lang w:val="en-US"/>
        </w:rPr>
        <w:t>New age education models: Innovation and reform in the 21st century</w:t>
      </w:r>
      <w:r>
        <w:rPr>
          <w:rFonts w:ascii="Helvetica" w:hAnsi="Helvetica" w:cstheme="majorHAnsi"/>
          <w:noProof/>
          <w:sz w:val="20"/>
          <w:szCs w:val="20"/>
          <w:lang w:val="en-US"/>
        </w:rPr>
        <w:t>. Notion Press.</w:t>
      </w:r>
      <w:r>
        <w:t xml:space="preserve"> </w:t>
      </w:r>
      <w:r>
        <w:rPr>
          <w:rFonts w:ascii="Helvetica" w:hAnsi="Helvetica" w:cstheme="majorHAnsi"/>
          <w:noProof/>
          <w:sz w:val="20"/>
          <w:szCs w:val="20"/>
          <w:lang w:val="en-US"/>
        </w:rPr>
        <w:t xml:space="preserve">https://books.google.com/books/about/New_Age_Education_Models_Innovation_and.html?id=rP5vEAAAQBAJ </w:t>
      </w:r>
    </w:p>
    <w:p w14:paraId="54F13916"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Prapasanobol, V., &amp; Vanichwatanavorachai, S. (2022). </w:t>
      </w:r>
      <w:r>
        <w:rPr>
          <w:rFonts w:ascii="Helvetica" w:hAnsi="Helvetica" w:cstheme="majorHAnsi"/>
          <w:i/>
          <w:iCs/>
          <w:noProof/>
          <w:sz w:val="20"/>
          <w:szCs w:val="20"/>
          <w:lang w:val="en-US"/>
        </w:rPr>
        <w:t>A Model for Developing Pre-service Teachers’ Teaching Competencies by Using Project-Based and Creative Learning Management to Enhance Students’ Creative Innovation Ability</w:t>
      </w:r>
      <w:r>
        <w:rPr>
          <w:rFonts w:ascii="Helvetica" w:hAnsi="Helvetica" w:cstheme="majorHAnsi"/>
          <w:noProof/>
          <w:sz w:val="20"/>
          <w:szCs w:val="20"/>
          <w:lang w:val="en-US"/>
        </w:rPr>
        <w:t>. Silpakorn University. http://ithesis-ir.su.ac.th/dspace/handle/123456789/3881</w:t>
      </w:r>
    </w:p>
    <w:p w14:paraId="4527E22D"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Pucciarelli, F., &amp; Kaplan, A. (2016). Competition and strategy in higher education: Managing complexity and uncertainty. </w:t>
      </w:r>
      <w:r>
        <w:rPr>
          <w:rFonts w:ascii="Helvetica" w:hAnsi="Helvetica" w:cstheme="majorHAnsi"/>
          <w:i/>
          <w:iCs/>
          <w:noProof/>
          <w:sz w:val="20"/>
          <w:szCs w:val="20"/>
          <w:lang w:val="en-US"/>
        </w:rPr>
        <w:t>Business Horizons</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59</w:t>
      </w:r>
      <w:r>
        <w:rPr>
          <w:rFonts w:ascii="Helvetica" w:hAnsi="Helvetica" w:cstheme="majorHAnsi"/>
          <w:noProof/>
          <w:sz w:val="20"/>
          <w:szCs w:val="20"/>
          <w:lang w:val="en-US"/>
        </w:rPr>
        <w:t>(3), 311–320. https://doi.org/https://doi.org/10.1016/j.bushor.2016.01.003</w:t>
      </w:r>
    </w:p>
    <w:p w14:paraId="261CA261"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fr-FR"/>
        </w:rPr>
        <w:t xml:space="preserve">Rogers, E. M., Singhal, A., &amp; Quinlan, M. M. (2019). </w:t>
      </w:r>
      <w:r>
        <w:rPr>
          <w:rFonts w:ascii="Helvetica" w:hAnsi="Helvetica" w:cstheme="majorHAnsi"/>
          <w:noProof/>
          <w:sz w:val="20"/>
          <w:szCs w:val="20"/>
          <w:lang w:val="en-US"/>
        </w:rPr>
        <w:t xml:space="preserve">Diffusion of innovations 1. In </w:t>
      </w:r>
      <w:r>
        <w:rPr>
          <w:rFonts w:ascii="Helvetica" w:hAnsi="Helvetica" w:cstheme="majorHAnsi"/>
          <w:i/>
          <w:iCs/>
          <w:noProof/>
          <w:sz w:val="20"/>
          <w:szCs w:val="20"/>
          <w:lang w:val="en-US"/>
        </w:rPr>
        <w:t>An integrated approach to communication theory and research</w:t>
      </w:r>
      <w:r>
        <w:rPr>
          <w:rFonts w:ascii="Helvetica" w:hAnsi="Helvetica" w:cstheme="majorHAnsi"/>
          <w:noProof/>
          <w:sz w:val="20"/>
          <w:szCs w:val="20"/>
          <w:lang w:val="en-US"/>
        </w:rPr>
        <w:t xml:space="preserve"> (pp. 415–434). Routledge.</w:t>
      </w:r>
      <w:r>
        <w:t xml:space="preserve"> </w:t>
      </w:r>
      <w:r>
        <w:rPr>
          <w:rFonts w:ascii="Helvetica" w:hAnsi="Helvetica" w:cstheme="majorHAnsi"/>
          <w:noProof/>
          <w:sz w:val="20"/>
          <w:szCs w:val="20"/>
          <w:lang w:val="en-US"/>
        </w:rPr>
        <w:t xml:space="preserve">https://doi.org/10.4324/9780203710753-35 </w:t>
      </w:r>
    </w:p>
    <w:p w14:paraId="338E2866"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Rubin, G. D., &amp; Abramson, R. G. (2018). Creating value through incremental innovation: Managing culture, structure, and process. </w:t>
      </w:r>
      <w:r>
        <w:rPr>
          <w:rFonts w:ascii="Helvetica" w:hAnsi="Helvetica" w:cstheme="majorHAnsi"/>
          <w:i/>
          <w:iCs/>
          <w:noProof/>
          <w:sz w:val="20"/>
          <w:szCs w:val="20"/>
          <w:lang w:val="en-US"/>
        </w:rPr>
        <w:t>Radiology</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288</w:t>
      </w:r>
      <w:r>
        <w:rPr>
          <w:rFonts w:ascii="Helvetica" w:hAnsi="Helvetica" w:cstheme="majorHAnsi"/>
          <w:noProof/>
          <w:sz w:val="20"/>
          <w:szCs w:val="20"/>
          <w:lang w:val="en-US"/>
        </w:rPr>
        <w:t>(2), 330–340. https://doi.org/10.1148/radiol.2018171239</w:t>
      </w:r>
    </w:p>
    <w:p w14:paraId="6FB09DA1"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Shestakov, D., &amp; Poliarush, O. (2019). The Degree of Innovation: Through Incremental To Radical. </w:t>
      </w:r>
      <w:r>
        <w:rPr>
          <w:rFonts w:ascii="Helvetica" w:hAnsi="Helvetica" w:cstheme="majorHAnsi"/>
          <w:i/>
          <w:iCs/>
          <w:noProof/>
          <w:sz w:val="20"/>
          <w:szCs w:val="20"/>
          <w:lang w:val="en-US"/>
        </w:rPr>
        <w:t>Investytsiyi: Praktyka Ta Dosvid</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11</w:t>
      </w:r>
      <w:r>
        <w:rPr>
          <w:rFonts w:ascii="Helvetica" w:hAnsi="Helvetica" w:cstheme="majorHAnsi"/>
          <w:noProof/>
          <w:sz w:val="20"/>
          <w:szCs w:val="20"/>
          <w:lang w:val="en-US"/>
        </w:rPr>
        <w:t>, 66. https://doi.org/10.32702/2306-6814.2019.11.66</w:t>
      </w:r>
    </w:p>
    <w:p w14:paraId="659C1BC1"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lastRenderedPageBreak/>
        <w:t xml:space="preserve">Snyder, H., Witell, L., Gustafsson, A., Fombelle, P., &amp; Kristensson, P. (2016). Identifying categories of service innovation: A review and synthesis of the literature. </w:t>
      </w:r>
      <w:r>
        <w:rPr>
          <w:rFonts w:ascii="Helvetica" w:hAnsi="Helvetica" w:cstheme="majorHAnsi"/>
          <w:i/>
          <w:iCs/>
          <w:noProof/>
          <w:sz w:val="20"/>
          <w:szCs w:val="20"/>
          <w:lang w:val="en-US"/>
        </w:rPr>
        <w:t>Journal of Business Research</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69</w:t>
      </w:r>
      <w:r>
        <w:rPr>
          <w:rFonts w:ascii="Helvetica" w:hAnsi="Helvetica" w:cstheme="majorHAnsi"/>
          <w:noProof/>
          <w:sz w:val="20"/>
          <w:szCs w:val="20"/>
          <w:lang w:val="en-US"/>
        </w:rPr>
        <w:t>(7), 2401–2408. https://doi.org/https://doi.org/10.1016/j.jbusres.2016.01.009</w:t>
      </w:r>
    </w:p>
    <w:p w14:paraId="30E1951A"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Teichler, U. (2019). </w:t>
      </w:r>
      <w:r>
        <w:rPr>
          <w:rFonts w:ascii="Helvetica" w:hAnsi="Helvetica" w:cstheme="majorHAnsi"/>
          <w:i/>
          <w:iCs/>
          <w:noProof/>
          <w:sz w:val="20"/>
          <w:szCs w:val="20"/>
          <w:lang w:val="en-US"/>
        </w:rPr>
        <w:t>Higher education and the world of work: Conceptual frameworks, comparative perspectives, empirical findings</w:t>
      </w:r>
      <w:r>
        <w:rPr>
          <w:rFonts w:ascii="Helvetica" w:hAnsi="Helvetica" w:cstheme="majorHAnsi"/>
          <w:noProof/>
          <w:sz w:val="20"/>
          <w:szCs w:val="20"/>
          <w:lang w:val="en-US"/>
        </w:rPr>
        <w:t xml:space="preserve"> (Vol. 16). Brill.</w:t>
      </w:r>
    </w:p>
    <w:p w14:paraId="5921E60D"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Van Lancker, J., Mondelaers, K., Wauters, E., &amp; Van Huylenbroeck, G. (2016). The Organizational Innovation System: A systemic framework for radical innovation at the organizational level. </w:t>
      </w:r>
      <w:r>
        <w:rPr>
          <w:rFonts w:ascii="Helvetica" w:hAnsi="Helvetica" w:cstheme="majorHAnsi"/>
          <w:i/>
          <w:iCs/>
          <w:noProof/>
          <w:sz w:val="20"/>
          <w:szCs w:val="20"/>
          <w:lang w:val="en-US"/>
        </w:rPr>
        <w:t>Technovation</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52</w:t>
      </w:r>
      <w:r>
        <w:rPr>
          <w:rFonts w:ascii="Helvetica" w:hAnsi="Helvetica" w:cstheme="majorHAnsi"/>
          <w:noProof/>
          <w:sz w:val="20"/>
          <w:szCs w:val="20"/>
          <w:lang w:val="en-US"/>
        </w:rPr>
        <w:t>–</w:t>
      </w:r>
      <w:r>
        <w:rPr>
          <w:rFonts w:ascii="Helvetica" w:hAnsi="Helvetica" w:cstheme="majorHAnsi"/>
          <w:i/>
          <w:iCs/>
          <w:noProof/>
          <w:sz w:val="20"/>
          <w:szCs w:val="20"/>
          <w:lang w:val="en-US"/>
        </w:rPr>
        <w:t>53</w:t>
      </w:r>
      <w:r>
        <w:rPr>
          <w:rFonts w:ascii="Helvetica" w:hAnsi="Helvetica" w:cstheme="majorHAnsi"/>
          <w:noProof/>
          <w:sz w:val="20"/>
          <w:szCs w:val="20"/>
          <w:lang w:val="en-US"/>
        </w:rPr>
        <w:t>, 40–50. https://doi.org/https://doi.org/10.1016/j.technovation.2015.11.008</w:t>
      </w:r>
    </w:p>
    <w:p w14:paraId="0483783D" w14:textId="77777777" w:rsidR="00551101" w:rsidRDefault="0056152E">
      <w:pPr>
        <w:widowControl w:val="0"/>
        <w:autoSpaceDE w:val="0"/>
        <w:autoSpaceDN w:val="0"/>
        <w:adjustRightInd w:val="0"/>
        <w:ind w:left="480" w:hanging="480"/>
        <w:jc w:val="both"/>
        <w:rPr>
          <w:rFonts w:ascii="Helvetica" w:hAnsi="Helvetica" w:cstheme="majorHAnsi"/>
          <w:noProof/>
          <w:sz w:val="20"/>
          <w:szCs w:val="20"/>
          <w:lang w:val="en-US"/>
        </w:rPr>
      </w:pPr>
      <w:r>
        <w:rPr>
          <w:rFonts w:ascii="Helvetica" w:hAnsi="Helvetica" w:cstheme="majorHAnsi"/>
          <w:noProof/>
          <w:sz w:val="20"/>
          <w:szCs w:val="20"/>
          <w:lang w:val="en-US"/>
        </w:rPr>
        <w:t xml:space="preserve">Witell, L., Snyder, H., Gustafsson, A., Fombelle, P., &amp; Kristensson, P. (2016). Defining service innovation: A review and synthesis. </w:t>
      </w:r>
      <w:r>
        <w:rPr>
          <w:rFonts w:ascii="Helvetica" w:hAnsi="Helvetica" w:cstheme="majorHAnsi"/>
          <w:i/>
          <w:iCs/>
          <w:noProof/>
          <w:sz w:val="20"/>
          <w:szCs w:val="20"/>
          <w:lang w:val="en-US"/>
        </w:rPr>
        <w:t>Journal of Business Research</w:t>
      </w:r>
      <w:r>
        <w:rPr>
          <w:rFonts w:ascii="Helvetica" w:hAnsi="Helvetica" w:cstheme="majorHAnsi"/>
          <w:noProof/>
          <w:sz w:val="20"/>
          <w:szCs w:val="20"/>
          <w:lang w:val="en-US"/>
        </w:rPr>
        <w:t xml:space="preserve">, </w:t>
      </w:r>
      <w:r>
        <w:rPr>
          <w:rFonts w:ascii="Helvetica" w:hAnsi="Helvetica" w:cstheme="majorHAnsi"/>
          <w:i/>
          <w:iCs/>
          <w:noProof/>
          <w:sz w:val="20"/>
          <w:szCs w:val="20"/>
          <w:lang w:val="en-US"/>
        </w:rPr>
        <w:t>69</w:t>
      </w:r>
      <w:r>
        <w:rPr>
          <w:rFonts w:ascii="Helvetica" w:hAnsi="Helvetica" w:cstheme="majorHAnsi"/>
          <w:noProof/>
          <w:sz w:val="20"/>
          <w:szCs w:val="20"/>
          <w:lang w:val="en-US"/>
        </w:rPr>
        <w:t>(8), 2863–2872. https://doi.org/https://doi.org/10.1016/j.jbusres.2015.12.055</w:t>
      </w:r>
    </w:p>
    <w:p w14:paraId="42A864C5" w14:textId="77777777" w:rsidR="00551101" w:rsidRDefault="0056152E">
      <w:pPr>
        <w:widowControl w:val="0"/>
        <w:autoSpaceDE w:val="0"/>
        <w:autoSpaceDN w:val="0"/>
        <w:adjustRightInd w:val="0"/>
        <w:ind w:left="480" w:hanging="480"/>
        <w:jc w:val="both"/>
        <w:rPr>
          <w:rFonts w:ascii="Helvetica" w:hAnsi="Helvetica" w:cstheme="majorHAnsi"/>
          <w:noProof/>
          <w:sz w:val="20"/>
          <w:szCs w:val="20"/>
        </w:rPr>
      </w:pPr>
      <w:r>
        <w:rPr>
          <w:rFonts w:ascii="Helvetica" w:hAnsi="Helvetica" w:cstheme="majorHAnsi"/>
          <w:noProof/>
          <w:sz w:val="20"/>
          <w:szCs w:val="20"/>
          <w:lang w:val="en-US"/>
        </w:rPr>
        <w:t xml:space="preserve">Yirdaw, A. (2016). Quality of education in private higher institutions in Ethiopia: The role of governance. </w:t>
      </w:r>
      <w:r>
        <w:rPr>
          <w:rFonts w:ascii="Helvetica" w:hAnsi="Helvetica" w:cstheme="majorHAnsi"/>
          <w:i/>
          <w:iCs/>
          <w:noProof/>
          <w:sz w:val="20"/>
          <w:szCs w:val="20"/>
          <w:lang w:val="en-US"/>
        </w:rPr>
        <w:t>SAGE Open</w:t>
      </w:r>
      <w:r>
        <w:rPr>
          <w:rFonts w:ascii="Helvetica" w:hAnsi="Helvetica" w:cstheme="majorHAnsi"/>
          <w:noProof/>
          <w:sz w:val="20"/>
          <w:szCs w:val="20"/>
          <w:lang w:val="en-US"/>
        </w:rPr>
        <w:t>. https://doi.org/10.1177/2158244015624950</w:t>
      </w:r>
    </w:p>
    <w:p w14:paraId="512EC4A3" w14:textId="77777777" w:rsidR="00551101" w:rsidRDefault="0056152E">
      <w:pPr>
        <w:widowControl w:val="0"/>
        <w:autoSpaceDE w:val="0"/>
        <w:autoSpaceDN w:val="0"/>
        <w:adjustRightInd w:val="0"/>
        <w:ind w:left="480" w:hanging="480"/>
        <w:jc w:val="both"/>
        <w:rPr>
          <w:rFonts w:asciiTheme="majorHAnsi" w:hAnsiTheme="majorHAnsi" w:cstheme="majorHAnsi"/>
        </w:rPr>
      </w:pPr>
      <w:r>
        <w:rPr>
          <w:rFonts w:ascii="Helvetica" w:hAnsi="Helvetica" w:cstheme="majorHAnsi"/>
          <w:sz w:val="20"/>
          <w:szCs w:val="20"/>
        </w:rPr>
        <w:fldChar w:fldCharType="end"/>
      </w:r>
    </w:p>
    <w:sectPr w:rsidR="005511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5BB9" w14:textId="77777777" w:rsidR="00000ED2" w:rsidRDefault="00000ED2">
      <w:r>
        <w:separator/>
      </w:r>
    </w:p>
  </w:endnote>
  <w:endnote w:type="continuationSeparator" w:id="0">
    <w:p w14:paraId="472A4357" w14:textId="77777777" w:rsidR="00000ED2" w:rsidRDefault="0000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F272" w14:textId="77777777" w:rsidR="00551101" w:rsidRDefault="00551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CBFA" w14:textId="77777777" w:rsidR="00551101" w:rsidRDefault="00551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F498" w14:textId="77777777" w:rsidR="00551101" w:rsidRDefault="00551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43A06" w14:textId="77777777" w:rsidR="00000ED2" w:rsidRDefault="00000ED2">
      <w:r>
        <w:separator/>
      </w:r>
    </w:p>
  </w:footnote>
  <w:footnote w:type="continuationSeparator" w:id="0">
    <w:p w14:paraId="21AC5E22" w14:textId="77777777" w:rsidR="00000ED2" w:rsidRDefault="0000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ADE3" w14:textId="77777777" w:rsidR="00551101" w:rsidRDefault="00000ED2">
    <w:pPr>
      <w:pStyle w:val="Header"/>
    </w:pPr>
    <w:r>
      <w:rPr>
        <w:noProof/>
      </w:rPr>
      <w:pict w14:anchorId="0DFF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78704"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0881" w14:textId="77777777" w:rsidR="00551101" w:rsidRDefault="00000ED2">
    <w:pPr>
      <w:pStyle w:val="Header"/>
    </w:pPr>
    <w:r>
      <w:rPr>
        <w:noProof/>
      </w:rPr>
      <w:pict w14:anchorId="49657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78705"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27FE" w14:textId="77777777" w:rsidR="00551101" w:rsidRDefault="00000ED2">
    <w:pPr>
      <w:pStyle w:val="Header"/>
    </w:pPr>
    <w:r>
      <w:rPr>
        <w:noProof/>
      </w:rPr>
      <w:pict w14:anchorId="28664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78703"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47B"/>
    <w:multiLevelType w:val="multilevel"/>
    <w:tmpl w:val="AA2A9FF6"/>
    <w:lvl w:ilvl="0">
      <w:start w:val="1"/>
      <w:numFmt w:val="upperRoman"/>
      <w:lvlText w:val="BAB %1"/>
      <w:lvlJc w:val="left"/>
      <w:pPr>
        <w:ind w:left="432" w:hanging="432"/>
      </w:pPr>
      <w:rPr>
        <w:rFonts w:hint="default"/>
      </w:rPr>
    </w:lvl>
    <w:lvl w:ilvl="1">
      <w:start w:val="1"/>
      <w:numFmt w:val="upperLetter"/>
      <w:pStyle w:val="Heading2"/>
      <w:lvlText w:val="%2."/>
      <w:lvlJc w:val="left"/>
      <w:pPr>
        <w:ind w:left="1277" w:hanging="709"/>
      </w:pPr>
      <w:rPr>
        <w:rFonts w:hint="default"/>
        <w:i w:val="0"/>
      </w:rPr>
    </w:lvl>
    <w:lvl w:ilvl="2">
      <w:start w:val="1"/>
      <w:numFmt w:val="decimal"/>
      <w:pStyle w:val="Heading3"/>
      <w:lvlText w:val="%3."/>
      <w:lvlJc w:val="left"/>
      <w:pPr>
        <w:ind w:left="0" w:firstLine="0"/>
      </w:pPr>
      <w:rPr>
        <w:rFonts w:hint="default"/>
        <w:b/>
        <w:bCs/>
        <w:i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D9915A6"/>
    <w:multiLevelType w:val="hybridMultilevel"/>
    <w:tmpl w:val="2CE0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8734E"/>
    <w:multiLevelType w:val="hybridMultilevel"/>
    <w:tmpl w:val="F022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F6C90"/>
    <w:multiLevelType w:val="hybridMultilevel"/>
    <w:tmpl w:val="8C9E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33DBE"/>
    <w:multiLevelType w:val="hybridMultilevel"/>
    <w:tmpl w:val="AA78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01"/>
    <w:rsid w:val="00000ED2"/>
    <w:rsid w:val="00496CB4"/>
    <w:rsid w:val="00551101"/>
    <w:rsid w:val="0056152E"/>
    <w:rsid w:val="0080265C"/>
    <w:rsid w:val="00DF28A0"/>
    <w:rsid w:val="00E85C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0BC54"/>
  <w15:chartTrackingRefBased/>
  <w15:docId w15:val="{C21D4DED-0C57-A14A-8238-91F337C2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line="480" w:lineRule="auto"/>
      <w:ind w:left="709"/>
      <w:jc w:val="both"/>
      <w:outlineLvl w:val="1"/>
    </w:pPr>
    <w:rPr>
      <w:rFonts w:ascii="Times New Roman" w:eastAsiaTheme="majorEastAsia" w:hAnsi="Times New Roman" w:cstheme="majorBidi"/>
      <w:b/>
      <w:bCs/>
      <w:kern w:val="0"/>
      <w:szCs w:val="26"/>
      <w:lang w:val="en-US"/>
      <w14:ligatures w14:val="none"/>
    </w:rPr>
  </w:style>
  <w:style w:type="paragraph" w:styleId="Heading3">
    <w:name w:val="heading 3"/>
    <w:basedOn w:val="Normal"/>
    <w:next w:val="Normal"/>
    <w:link w:val="Heading3Char"/>
    <w:uiPriority w:val="9"/>
    <w:unhideWhenUsed/>
    <w:qFormat/>
    <w:pPr>
      <w:keepNext/>
      <w:keepLines/>
      <w:numPr>
        <w:ilvl w:val="2"/>
        <w:numId w:val="1"/>
      </w:numPr>
      <w:spacing w:line="480" w:lineRule="auto"/>
      <w:jc w:val="both"/>
      <w:outlineLvl w:val="2"/>
    </w:pPr>
    <w:rPr>
      <w:rFonts w:ascii="Times New Roman" w:eastAsiaTheme="majorEastAsia" w:hAnsi="Times New Roman" w:cstheme="majorBidi"/>
      <w:b/>
      <w:bCs/>
      <w:kern w:val="0"/>
      <w:szCs w:val="22"/>
      <w:lang w:val="en-US"/>
      <w14:ligatures w14:val="none"/>
    </w:rPr>
  </w:style>
  <w:style w:type="paragraph" w:styleId="Heading4">
    <w:name w:val="heading 4"/>
    <w:basedOn w:val="Normal"/>
    <w:next w:val="Normal"/>
    <w:link w:val="Heading4Char"/>
    <w:uiPriority w:val="9"/>
    <w:unhideWhenUsed/>
    <w:qFormat/>
    <w:pPr>
      <w:keepNext/>
      <w:keepLines/>
      <w:numPr>
        <w:ilvl w:val="3"/>
        <w:numId w:val="1"/>
      </w:numPr>
      <w:spacing w:before="200" w:line="480" w:lineRule="auto"/>
      <w:jc w:val="both"/>
      <w:outlineLvl w:val="3"/>
    </w:pPr>
    <w:rPr>
      <w:rFonts w:asciiTheme="majorHAnsi" w:eastAsiaTheme="majorEastAsia" w:hAnsiTheme="majorHAnsi" w:cstheme="majorBidi"/>
      <w:b/>
      <w:bCs/>
      <w:i/>
      <w:iCs/>
      <w:color w:val="4472C4" w:themeColor="accent1"/>
      <w:kern w:val="0"/>
      <w:szCs w:val="22"/>
      <w:lang w:val="en-US"/>
      <w14:ligatures w14:val="none"/>
    </w:rPr>
  </w:style>
  <w:style w:type="paragraph" w:styleId="Heading5">
    <w:name w:val="heading 5"/>
    <w:basedOn w:val="Normal"/>
    <w:next w:val="Normal"/>
    <w:link w:val="Heading5Char"/>
    <w:uiPriority w:val="9"/>
    <w:unhideWhenUsed/>
    <w:qFormat/>
    <w:pPr>
      <w:keepNext/>
      <w:keepLines/>
      <w:numPr>
        <w:ilvl w:val="4"/>
        <w:numId w:val="1"/>
      </w:numPr>
      <w:spacing w:before="200" w:line="480" w:lineRule="auto"/>
      <w:jc w:val="both"/>
      <w:outlineLvl w:val="4"/>
    </w:pPr>
    <w:rPr>
      <w:rFonts w:asciiTheme="majorHAnsi" w:eastAsiaTheme="majorEastAsia" w:hAnsiTheme="majorHAnsi" w:cstheme="majorBidi"/>
      <w:color w:val="1F3763" w:themeColor="accent1" w:themeShade="7F"/>
      <w:kern w:val="0"/>
      <w:szCs w:val="22"/>
      <w:lang w:val="en-US"/>
      <w14:ligatures w14:val="none"/>
    </w:rPr>
  </w:style>
  <w:style w:type="paragraph" w:styleId="Heading6">
    <w:name w:val="heading 6"/>
    <w:basedOn w:val="Normal"/>
    <w:next w:val="Normal"/>
    <w:link w:val="Heading6Char"/>
    <w:uiPriority w:val="9"/>
    <w:unhideWhenUsed/>
    <w:qFormat/>
    <w:pPr>
      <w:keepNext/>
      <w:keepLines/>
      <w:numPr>
        <w:ilvl w:val="5"/>
        <w:numId w:val="1"/>
      </w:numPr>
      <w:spacing w:before="200" w:line="480" w:lineRule="auto"/>
      <w:jc w:val="both"/>
      <w:outlineLvl w:val="5"/>
    </w:pPr>
    <w:rPr>
      <w:rFonts w:asciiTheme="majorHAnsi" w:eastAsiaTheme="majorEastAsia" w:hAnsiTheme="majorHAnsi" w:cstheme="majorBidi"/>
      <w:i/>
      <w:iCs/>
      <w:color w:val="1F3763" w:themeColor="accent1" w:themeShade="7F"/>
      <w:kern w:val="0"/>
      <w:szCs w:val="22"/>
      <w:lang w:val="en-US"/>
      <w14:ligatures w14:val="none"/>
    </w:rPr>
  </w:style>
  <w:style w:type="paragraph" w:styleId="Heading7">
    <w:name w:val="heading 7"/>
    <w:basedOn w:val="Normal"/>
    <w:next w:val="Normal"/>
    <w:link w:val="Heading7Char"/>
    <w:uiPriority w:val="9"/>
    <w:unhideWhenUsed/>
    <w:qFormat/>
    <w:pPr>
      <w:keepNext/>
      <w:keepLines/>
      <w:numPr>
        <w:ilvl w:val="6"/>
        <w:numId w:val="1"/>
      </w:numPr>
      <w:spacing w:before="200" w:line="480" w:lineRule="auto"/>
      <w:jc w:val="both"/>
      <w:outlineLvl w:val="6"/>
    </w:pPr>
    <w:rPr>
      <w:rFonts w:asciiTheme="majorHAnsi" w:eastAsiaTheme="majorEastAsia" w:hAnsiTheme="majorHAnsi" w:cstheme="majorBidi"/>
      <w:i/>
      <w:iCs/>
      <w:color w:val="404040" w:themeColor="text1" w:themeTint="BF"/>
      <w:kern w:val="0"/>
      <w:szCs w:val="22"/>
      <w:lang w:val="en-US"/>
      <w14:ligatures w14:val="none"/>
    </w:rPr>
  </w:style>
  <w:style w:type="paragraph" w:styleId="Heading8">
    <w:name w:val="heading 8"/>
    <w:basedOn w:val="Normal"/>
    <w:next w:val="Normal"/>
    <w:link w:val="Heading8Char"/>
    <w:uiPriority w:val="9"/>
    <w:unhideWhenUsed/>
    <w:qFormat/>
    <w:pPr>
      <w:keepNext/>
      <w:keepLines/>
      <w:numPr>
        <w:ilvl w:val="7"/>
        <w:numId w:val="1"/>
      </w:numPr>
      <w:spacing w:before="200" w:line="480" w:lineRule="auto"/>
      <w:jc w:val="both"/>
      <w:outlineLvl w:val="7"/>
    </w:pPr>
    <w:rPr>
      <w:rFonts w:asciiTheme="majorHAnsi" w:eastAsiaTheme="majorEastAsia" w:hAnsiTheme="majorHAnsi" w:cstheme="majorBidi"/>
      <w:color w:val="404040" w:themeColor="text1" w:themeTint="BF"/>
      <w:kern w:val="0"/>
      <w:sz w:val="20"/>
      <w:szCs w:val="20"/>
      <w:lang w:val="en-US"/>
      <w14:ligatures w14:val="none"/>
    </w:rPr>
  </w:style>
  <w:style w:type="paragraph" w:styleId="Heading9">
    <w:name w:val="heading 9"/>
    <w:basedOn w:val="Normal"/>
    <w:next w:val="Normal"/>
    <w:link w:val="Heading9Char"/>
    <w:uiPriority w:val="9"/>
    <w:unhideWhenUsed/>
    <w:qFormat/>
    <w:pPr>
      <w:keepNext/>
      <w:keepLines/>
      <w:numPr>
        <w:ilvl w:val="8"/>
        <w:numId w:val="1"/>
      </w:numPr>
      <w:spacing w:before="200" w:line="480" w:lineRule="auto"/>
      <w:jc w:val="both"/>
      <w:outlineLvl w:val="8"/>
    </w:pPr>
    <w:rPr>
      <w:rFonts w:asciiTheme="majorHAnsi" w:eastAsiaTheme="majorEastAsia" w:hAnsiTheme="majorHAnsi" w:cstheme="majorBidi"/>
      <w:i/>
      <w:iCs/>
      <w:color w:val="404040" w:themeColor="text1" w:themeTint="B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Pr>
      <w:rFonts w:ascii="Times New Roman" w:eastAsiaTheme="majorEastAsia" w:hAnsi="Times New Roman" w:cstheme="majorBidi"/>
      <w:b/>
      <w:bCs/>
      <w:kern w:val="0"/>
      <w:szCs w:val="26"/>
      <w:lang w:val="en-US"/>
      <w14:ligatures w14:val="none"/>
    </w:rPr>
  </w:style>
  <w:style w:type="character" w:customStyle="1" w:styleId="Heading3Char">
    <w:name w:val="Heading 3 Char"/>
    <w:basedOn w:val="DefaultParagraphFont"/>
    <w:link w:val="Heading3"/>
    <w:uiPriority w:val="9"/>
    <w:rPr>
      <w:rFonts w:ascii="Times New Roman" w:eastAsiaTheme="majorEastAsia" w:hAnsi="Times New Roman" w:cstheme="majorBidi"/>
      <w:b/>
      <w:bCs/>
      <w:kern w:val="0"/>
      <w:szCs w:val="22"/>
      <w:lang w:val="en-US"/>
      <w14:ligatures w14:val="non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kern w:val="0"/>
      <w:szCs w:val="22"/>
      <w:lang w:val="en-US"/>
      <w14:ligatures w14:val="non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kern w:val="0"/>
      <w:szCs w:val="22"/>
      <w:lang w:val="en-US"/>
      <w14:ligatures w14:val="none"/>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kern w:val="0"/>
      <w:szCs w:val="22"/>
      <w:lang w:val="en-US"/>
      <w14:ligatures w14:val="none"/>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kern w:val="0"/>
      <w:szCs w:val="22"/>
      <w:lang w:val="en-US"/>
      <w14:ligatures w14:val="non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kern w:val="0"/>
      <w:sz w:val="20"/>
      <w:szCs w:val="20"/>
      <w:lang w:val="en-US"/>
      <w14:ligatures w14:val="none"/>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kern w:val="0"/>
      <w:sz w:val="20"/>
      <w:szCs w:val="20"/>
      <w:lang w:val="en-US"/>
      <w14:ligatures w14:val="none"/>
    </w:rPr>
  </w:style>
  <w:style w:type="paragraph" w:styleId="ListParagraph">
    <w:name w:val="List Paragraph"/>
    <w:aliases w:val="kepala,List Paragraph1,Body of text,skripsi,Body Text Char1,Char Char2,List Paragraph2,Normal1,Normal2,List Paragraph11,Body of text+1,Body of text+2,Body of text+3,normal,Colorful List - Accent 11,Medium Grid 1 - Accent 21,Bulet1,Tabel"/>
    <w:basedOn w:val="Normal"/>
    <w:link w:val="ListParagraphChar"/>
    <w:uiPriority w:val="34"/>
    <w:qFormat/>
    <w:pPr>
      <w:ind w:left="720"/>
      <w:contextualSpacing/>
      <w:jc w:val="both"/>
    </w:pPr>
    <w:rPr>
      <w:kern w:val="0"/>
      <w:sz w:val="22"/>
      <w:szCs w:val="22"/>
      <w:lang w:val="en-US"/>
      <w14:ligatures w14:val="none"/>
    </w:rPr>
  </w:style>
  <w:style w:type="character" w:customStyle="1" w:styleId="ListParagraphChar">
    <w:name w:val="List Paragraph Char"/>
    <w:aliases w:val="kepala Char,List Paragraph1 Char,Body of text Char,skripsi Char,Body Text Char1 Char,Char Char2 Char,List Paragraph2 Char,Normal1 Char,Normal2 Char,List Paragraph11 Char,Body of text+1 Char,Body of text+2 Char,Body of text+3 Char"/>
    <w:basedOn w:val="DefaultParagraphFont"/>
    <w:link w:val="ListParagraph"/>
    <w:uiPriority w:val="34"/>
    <w:qFormat/>
    <w:locked/>
    <w:rPr>
      <w:kern w:val="0"/>
      <w:sz w:val="22"/>
      <w:szCs w:val="22"/>
      <w:lang w:val="en-US"/>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pPr>
      <w:spacing w:after="200"/>
      <w:jc w:val="center"/>
    </w:pPr>
    <w:rPr>
      <w:rFonts w:ascii="Times New Roman" w:hAnsi="Times New Roman"/>
      <w:iCs/>
      <w:kern w:val="0"/>
      <w:szCs w:val="18"/>
      <w:lang w:val="en-US"/>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bstHead">
    <w:name w:val="Abst Head"/>
    <w:basedOn w:val="Normal"/>
    <w:pPr>
      <w:keepNext/>
      <w:spacing w:after="240"/>
    </w:pPr>
    <w:rPr>
      <w:rFonts w:ascii="Helvetica" w:eastAsia="Times New Roman" w:hAnsi="Helvetica" w:cs="Times New Roman"/>
      <w:b/>
      <w:caps/>
      <w:kern w:val="0"/>
      <w:sz w:val="22"/>
      <w:szCs w:val="20"/>
      <w:lang w:val="en-US"/>
      <w14:ligatures w14:val="none"/>
    </w:rPr>
  </w:style>
  <w:style w:type="paragraph" w:customStyle="1" w:styleId="Body">
    <w:name w:val="Body"/>
    <w:basedOn w:val="Normal"/>
    <w:pPr>
      <w:spacing w:after="240"/>
      <w:jc w:val="both"/>
    </w:pPr>
    <w:rPr>
      <w:rFonts w:ascii="Helvetica" w:eastAsia="Times New Roman" w:hAnsi="Helvetica" w:cs="Times New Roman"/>
      <w:kern w:val="0"/>
      <w:sz w:val="20"/>
      <w:szCs w:val="20"/>
      <w:lang w:val="en-US"/>
      <w14:ligatures w14:val="none"/>
    </w:rPr>
  </w:style>
  <w:style w:type="paragraph" w:customStyle="1" w:styleId="Author">
    <w:name w:val="Author"/>
    <w:basedOn w:val="Normal"/>
    <w:pPr>
      <w:spacing w:line="280" w:lineRule="exact"/>
      <w:jc w:val="right"/>
    </w:pPr>
    <w:rPr>
      <w:rFonts w:ascii="Helvetica" w:eastAsia="Times New Roman" w:hAnsi="Helvetica" w:cs="Times New Roman"/>
      <w:b/>
      <w:kern w:val="0"/>
      <w:szCs w:val="20"/>
      <w:lang w:val="en-US"/>
      <w14:ligatures w14:val="none"/>
    </w:rPr>
  </w:style>
  <w:style w:type="paragraph" w:customStyle="1" w:styleId="Head1">
    <w:name w:val="Head1"/>
    <w:basedOn w:val="Normal"/>
    <w:pPr>
      <w:keepNext/>
      <w:spacing w:after="240"/>
    </w:pPr>
    <w:rPr>
      <w:rFonts w:ascii="Helvetica" w:eastAsia="Times New Roman" w:hAnsi="Helvetica" w:cs="Times New Roman"/>
      <w:b/>
      <w:caps/>
      <w:kern w:val="0"/>
      <w:sz w:val="22"/>
      <w:szCs w:val="20"/>
      <w:lang w:val="en-US"/>
      <w14:ligatures w14:val="none"/>
    </w:rPr>
  </w:style>
  <w:style w:type="paragraph" w:customStyle="1" w:styleId="ConcHead">
    <w:name w:val="Conc Head"/>
    <w:basedOn w:val="Normal"/>
    <w:pPr>
      <w:keepNext/>
      <w:spacing w:after="240"/>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pPr>
      <w:keepNext/>
      <w:spacing w:after="240"/>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8295">
      <w:bodyDiv w:val="1"/>
      <w:marLeft w:val="0"/>
      <w:marRight w:val="0"/>
      <w:marTop w:val="0"/>
      <w:marBottom w:val="0"/>
      <w:divBdr>
        <w:top w:val="none" w:sz="0" w:space="0" w:color="auto"/>
        <w:left w:val="none" w:sz="0" w:space="0" w:color="auto"/>
        <w:bottom w:val="none" w:sz="0" w:space="0" w:color="auto"/>
        <w:right w:val="none" w:sz="0" w:space="0" w:color="auto"/>
      </w:divBdr>
    </w:div>
    <w:div w:id="78599429">
      <w:bodyDiv w:val="1"/>
      <w:marLeft w:val="0"/>
      <w:marRight w:val="0"/>
      <w:marTop w:val="0"/>
      <w:marBottom w:val="0"/>
      <w:divBdr>
        <w:top w:val="none" w:sz="0" w:space="0" w:color="auto"/>
        <w:left w:val="none" w:sz="0" w:space="0" w:color="auto"/>
        <w:bottom w:val="none" w:sz="0" w:space="0" w:color="auto"/>
        <w:right w:val="none" w:sz="0" w:space="0" w:color="auto"/>
      </w:divBdr>
    </w:div>
    <w:div w:id="286132056">
      <w:bodyDiv w:val="1"/>
      <w:marLeft w:val="0"/>
      <w:marRight w:val="0"/>
      <w:marTop w:val="0"/>
      <w:marBottom w:val="0"/>
      <w:divBdr>
        <w:top w:val="none" w:sz="0" w:space="0" w:color="auto"/>
        <w:left w:val="none" w:sz="0" w:space="0" w:color="auto"/>
        <w:bottom w:val="none" w:sz="0" w:space="0" w:color="auto"/>
        <w:right w:val="none" w:sz="0" w:space="0" w:color="auto"/>
      </w:divBdr>
    </w:div>
    <w:div w:id="818225781">
      <w:bodyDiv w:val="1"/>
      <w:marLeft w:val="0"/>
      <w:marRight w:val="0"/>
      <w:marTop w:val="0"/>
      <w:marBottom w:val="0"/>
      <w:divBdr>
        <w:top w:val="none" w:sz="0" w:space="0" w:color="auto"/>
        <w:left w:val="none" w:sz="0" w:space="0" w:color="auto"/>
        <w:bottom w:val="none" w:sz="0" w:space="0" w:color="auto"/>
        <w:right w:val="none" w:sz="0" w:space="0" w:color="auto"/>
      </w:divBdr>
    </w:div>
    <w:div w:id="11275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77FF-A374-43DF-8C3D-FAE29225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12986</Words>
  <Characters>74024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mymac</dc:creator>
  <cp:keywords>, docId:9CB794D5781E11A8DCFA365089C5E3B1</cp:keywords>
  <dc:description/>
  <cp:lastModifiedBy>Editor-1183</cp:lastModifiedBy>
  <cp:revision>14</cp:revision>
  <dcterms:created xsi:type="dcterms:W3CDTF">2025-09-26T00:02:00Z</dcterms:created>
  <dcterms:modified xsi:type="dcterms:W3CDTF">2025-12-06T11:27:00Z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http://www.zotero.org/styles/turabian-notes-bibliography</vt:lpwstr>
  </property>
  <property fmtid="{D5CDD505-2E9C-101B-9397-08002B2CF9AE}" pid="21" name="Mendeley Recent Style Name 9_1">
    <vt:lpwstr>Turabian 9th edition (notes and bibliography)</vt:lpwstr>
  </property>
  <property fmtid="{D5CDD505-2E9C-101B-9397-08002B2CF9AE}" pid="22" name="Mendeley Document_1">
    <vt:lpwstr>True</vt:lpwstr>
  </property>
  <property fmtid="{D5CDD505-2E9C-101B-9397-08002B2CF9AE}" pid="23" name="Mendeley Unique User Id_1">
    <vt:lpwstr>225a9cd9-127f-3f18-81f3-a996d5681bb4</vt:lpwstr>
  </property>
  <property fmtid="{D5CDD505-2E9C-101B-9397-08002B2CF9AE}" pid="24" name="Mendeley Citation Style_1">
    <vt:lpwstr>http://www.zotero.org/styles/apa</vt:lpwstr>
  </property>
</Properties>
</file>