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53F16FDD" w:rsidR="00BA47B2" w:rsidRPr="005D74E8" w:rsidRDefault="00DC4817" w:rsidP="00316097">
      <w:pPr>
        <w:spacing w:before="160" w:after="320" w:line="240" w:lineRule="auto"/>
        <w:jc w:val="right"/>
        <w:rPr>
          <w:rFonts w:ascii="Arial Bold" w:eastAsia="Times New Roman" w:hAnsi="Arial Bold" w:cs="Arial"/>
          <w:b/>
          <w:sz w:val="34"/>
          <w:szCs w:val="40"/>
        </w:rPr>
      </w:pPr>
      <w:bookmarkStart w:id="0" w:name="_Hlk214283206"/>
      <w:r w:rsidRPr="005D74E8">
        <w:rPr>
          <w:rFonts w:ascii="Arial Bold" w:eastAsia="Times New Roman" w:hAnsi="Arial Bold" w:cs="Arial"/>
          <w:b/>
          <w:sz w:val="34"/>
          <w:szCs w:val="40"/>
        </w:rPr>
        <w:t>Effectiveness of Group-based A</w:t>
      </w:r>
      <w:r w:rsidR="00733F89" w:rsidRPr="005D74E8">
        <w:rPr>
          <w:rFonts w:ascii="Arial Bold" w:eastAsia="Times New Roman" w:hAnsi="Arial Bold" w:cs="Arial"/>
          <w:b/>
          <w:sz w:val="34"/>
          <w:szCs w:val="40"/>
        </w:rPr>
        <w:t xml:space="preserve">ctivities in </w:t>
      </w:r>
      <w:r w:rsidRPr="005D74E8">
        <w:rPr>
          <w:rFonts w:ascii="Arial Bold" w:eastAsia="Times New Roman" w:hAnsi="Arial Bold" w:cs="Arial"/>
          <w:b/>
          <w:sz w:val="34"/>
          <w:szCs w:val="40"/>
        </w:rPr>
        <w:t>E</w:t>
      </w:r>
      <w:r w:rsidR="00733F89" w:rsidRPr="005D74E8">
        <w:rPr>
          <w:rFonts w:ascii="Arial Bold" w:eastAsia="Times New Roman" w:hAnsi="Arial Bold" w:cs="Arial"/>
          <w:b/>
          <w:sz w:val="34"/>
          <w:szCs w:val="40"/>
        </w:rPr>
        <w:t xml:space="preserve">nhancing </w:t>
      </w:r>
      <w:r w:rsidR="0018114E" w:rsidRPr="005D74E8">
        <w:rPr>
          <w:rFonts w:ascii="Arial Bold" w:eastAsia="Times New Roman" w:hAnsi="Arial Bold" w:cs="Arial"/>
          <w:b/>
          <w:sz w:val="34"/>
          <w:szCs w:val="40"/>
        </w:rPr>
        <w:t xml:space="preserve">Grade-10 </w:t>
      </w:r>
      <w:r w:rsidRPr="005D74E8">
        <w:rPr>
          <w:rFonts w:ascii="Arial Bold" w:eastAsia="Times New Roman" w:hAnsi="Arial Bold" w:cs="Arial"/>
          <w:b/>
          <w:sz w:val="34"/>
          <w:szCs w:val="40"/>
        </w:rPr>
        <w:t>S</w:t>
      </w:r>
      <w:r w:rsidR="00733F89" w:rsidRPr="005D74E8">
        <w:rPr>
          <w:rFonts w:ascii="Arial Bold" w:eastAsia="Times New Roman" w:hAnsi="Arial Bold" w:cs="Arial"/>
          <w:b/>
          <w:sz w:val="34"/>
          <w:szCs w:val="40"/>
        </w:rPr>
        <w:t xml:space="preserve">tudents’ </w:t>
      </w:r>
      <w:r w:rsidRPr="005D74E8">
        <w:rPr>
          <w:rFonts w:ascii="Arial Bold" w:eastAsia="Times New Roman" w:hAnsi="Arial Bold" w:cs="Arial"/>
          <w:b/>
          <w:sz w:val="34"/>
          <w:szCs w:val="40"/>
        </w:rPr>
        <w:t>C</w:t>
      </w:r>
      <w:r w:rsidR="00733F89" w:rsidRPr="005D74E8">
        <w:rPr>
          <w:rFonts w:ascii="Arial Bold" w:eastAsia="Times New Roman" w:hAnsi="Arial Bold" w:cs="Arial"/>
          <w:b/>
          <w:sz w:val="34"/>
          <w:szCs w:val="40"/>
        </w:rPr>
        <w:t xml:space="preserve">omprehension and </w:t>
      </w:r>
      <w:r w:rsidRPr="005D74E8">
        <w:rPr>
          <w:rFonts w:ascii="Arial Bold" w:eastAsia="Times New Roman" w:hAnsi="Arial Bold" w:cs="Arial"/>
          <w:b/>
          <w:sz w:val="34"/>
          <w:szCs w:val="40"/>
        </w:rPr>
        <w:t>E</w:t>
      </w:r>
      <w:r w:rsidR="00733F89" w:rsidRPr="005D74E8">
        <w:rPr>
          <w:rFonts w:ascii="Arial Bold" w:eastAsia="Times New Roman" w:hAnsi="Arial Bold" w:cs="Arial"/>
          <w:b/>
          <w:sz w:val="34"/>
          <w:szCs w:val="40"/>
        </w:rPr>
        <w:t xml:space="preserve">ngagement in </w:t>
      </w:r>
      <w:r w:rsidRPr="005D74E8">
        <w:rPr>
          <w:rFonts w:ascii="Arial Bold" w:eastAsia="Times New Roman" w:hAnsi="Arial Bold" w:cs="Arial"/>
          <w:b/>
          <w:sz w:val="34"/>
          <w:szCs w:val="40"/>
        </w:rPr>
        <w:t>L</w:t>
      </w:r>
      <w:r w:rsidR="00733F89" w:rsidRPr="005D74E8">
        <w:rPr>
          <w:rFonts w:ascii="Arial Bold" w:eastAsia="Times New Roman" w:hAnsi="Arial Bold" w:cs="Arial"/>
          <w:b/>
          <w:sz w:val="34"/>
          <w:szCs w:val="40"/>
        </w:rPr>
        <w:t xml:space="preserve">earning </w:t>
      </w:r>
      <w:r w:rsidRPr="005D74E8">
        <w:rPr>
          <w:rFonts w:ascii="Arial Bold" w:eastAsia="Times New Roman" w:hAnsi="Arial Bold" w:cs="Arial"/>
          <w:b/>
          <w:sz w:val="34"/>
          <w:szCs w:val="40"/>
        </w:rPr>
        <w:t>C</w:t>
      </w:r>
      <w:r w:rsidR="00733F89" w:rsidRPr="005D74E8">
        <w:rPr>
          <w:rFonts w:ascii="Arial Bold" w:eastAsia="Times New Roman" w:hAnsi="Arial Bold" w:cs="Arial"/>
          <w:b/>
          <w:sz w:val="34"/>
          <w:szCs w:val="40"/>
        </w:rPr>
        <w:t xml:space="preserve">hemical </w:t>
      </w:r>
      <w:r w:rsidRPr="005D74E8">
        <w:rPr>
          <w:rFonts w:ascii="Arial Bold" w:eastAsia="Times New Roman" w:hAnsi="Arial Bold" w:cs="Arial"/>
          <w:b/>
          <w:sz w:val="34"/>
          <w:szCs w:val="40"/>
        </w:rPr>
        <w:t>D</w:t>
      </w:r>
      <w:r w:rsidR="00733F89" w:rsidRPr="005D74E8">
        <w:rPr>
          <w:rFonts w:ascii="Arial Bold" w:eastAsia="Times New Roman" w:hAnsi="Arial Bold" w:cs="Arial"/>
          <w:b/>
          <w:sz w:val="34"/>
          <w:szCs w:val="40"/>
        </w:rPr>
        <w:t>igestion in</w:t>
      </w:r>
      <w:r w:rsidR="00316097" w:rsidRPr="005D74E8">
        <w:rPr>
          <w:rFonts w:ascii="Arial Bold" w:eastAsia="Times New Roman" w:hAnsi="Arial Bold" w:cs="Arial"/>
          <w:b/>
          <w:sz w:val="34"/>
          <w:szCs w:val="40"/>
        </w:rPr>
        <w:t xml:space="preserve"> </w:t>
      </w:r>
      <w:r w:rsidRPr="005D74E8">
        <w:rPr>
          <w:rFonts w:ascii="Arial Bold" w:eastAsia="Times New Roman" w:hAnsi="Arial Bold" w:cs="Arial"/>
          <w:b/>
          <w:sz w:val="34"/>
          <w:szCs w:val="40"/>
        </w:rPr>
        <w:t>B</w:t>
      </w:r>
      <w:r w:rsidR="00733F89" w:rsidRPr="005D74E8">
        <w:rPr>
          <w:rFonts w:ascii="Arial Bold" w:eastAsia="Times New Roman" w:hAnsi="Arial Bold" w:cs="Arial"/>
          <w:b/>
          <w:sz w:val="34"/>
          <w:szCs w:val="40"/>
        </w:rPr>
        <w:t>iology</w:t>
      </w:r>
    </w:p>
    <w:bookmarkEnd w:id="0"/>
    <w:p w14:paraId="00000002" w14:textId="3FCA9814" w:rsidR="00BA47B2" w:rsidRPr="005D74E8" w:rsidRDefault="00742AD3" w:rsidP="00742AD3">
      <w:pPr>
        <w:pStyle w:val="ListParagraph"/>
        <w:numPr>
          <w:ilvl w:val="0"/>
          <w:numId w:val="27"/>
        </w:numPr>
        <w:pBdr>
          <w:top w:val="nil"/>
          <w:left w:val="nil"/>
          <w:bottom w:val="nil"/>
          <w:right w:val="nil"/>
          <w:between w:val="nil"/>
        </w:pBdr>
        <w:spacing w:before="16" w:line="240" w:lineRule="auto"/>
        <w:ind w:right="734"/>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A</w:t>
      </w:r>
      <w:r w:rsidR="00F97A36" w:rsidRPr="005D74E8">
        <w:rPr>
          <w:rFonts w:ascii="Arial Bold" w:eastAsia="Times New Roman" w:hAnsi="Arial Bold" w:cs="Arial"/>
          <w:b/>
          <w:color w:val="000000"/>
          <w:sz w:val="22"/>
          <w:szCs w:val="22"/>
        </w:rPr>
        <w:t xml:space="preserve">BSTRACT </w:t>
      </w:r>
    </w:p>
    <w:p w14:paraId="00000003" w14:textId="3AAD798B" w:rsidR="00BA47B2" w:rsidRPr="00964D72" w:rsidRDefault="008306D2" w:rsidP="00F757A3">
      <w:pPr>
        <w:spacing w:before="16" w:line="240" w:lineRule="auto"/>
        <w:jc w:val="both"/>
        <w:rPr>
          <w:rFonts w:ascii="Arial" w:eastAsia="Times New Roman" w:hAnsi="Arial" w:cs="Arial"/>
          <w:sz w:val="20"/>
          <w:szCs w:val="20"/>
        </w:rPr>
      </w:pPr>
      <w:bookmarkStart w:id="1" w:name="_Hlk214283402"/>
      <w:r w:rsidRPr="00964D72">
        <w:rPr>
          <w:rFonts w:ascii="Arial" w:eastAsia="Times New Roman" w:hAnsi="Arial" w:cs="Arial"/>
          <w:sz w:val="20"/>
          <w:szCs w:val="20"/>
        </w:rPr>
        <w:t>This action research investigated the effectiveness of group-based activities in enhancing students' comprehension and engagement while learning chemical digestion in grade 10 Biology</w:t>
      </w:r>
      <w:r w:rsidR="00CA2831">
        <w:rPr>
          <w:rFonts w:ascii="Arial" w:eastAsia="Times New Roman" w:hAnsi="Arial" w:cs="Arial"/>
          <w:sz w:val="20"/>
          <w:szCs w:val="20"/>
        </w:rPr>
        <w:t xml:space="preserve"> in Bhutan</w:t>
      </w:r>
      <w:r w:rsidRPr="00964D72">
        <w:rPr>
          <w:rFonts w:ascii="Arial" w:eastAsia="Times New Roman" w:hAnsi="Arial" w:cs="Arial"/>
          <w:sz w:val="20"/>
          <w:szCs w:val="20"/>
        </w:rPr>
        <w:t xml:space="preserve">. This study employed a </w:t>
      </w:r>
      <w:r w:rsidR="006416C3">
        <w:rPr>
          <w:rFonts w:ascii="Arial" w:eastAsia="Times New Roman" w:hAnsi="Arial" w:cs="Arial"/>
          <w:sz w:val="20"/>
          <w:szCs w:val="20"/>
        </w:rPr>
        <w:t xml:space="preserve">convergent (parallel) </w:t>
      </w:r>
      <w:r w:rsidRPr="00964D72">
        <w:rPr>
          <w:rFonts w:ascii="Arial" w:eastAsia="Times New Roman" w:hAnsi="Arial" w:cs="Arial"/>
          <w:sz w:val="20"/>
          <w:szCs w:val="20"/>
        </w:rPr>
        <w:t>mixed-method</w:t>
      </w:r>
      <w:r w:rsidR="006416C3">
        <w:rPr>
          <w:rFonts w:ascii="Arial" w:eastAsia="Times New Roman" w:hAnsi="Arial" w:cs="Arial"/>
          <w:sz w:val="20"/>
          <w:szCs w:val="20"/>
        </w:rPr>
        <w:t xml:space="preserve"> research </w:t>
      </w:r>
      <w:r w:rsidRPr="00964D72">
        <w:rPr>
          <w:rFonts w:ascii="Arial" w:eastAsia="Times New Roman" w:hAnsi="Arial" w:cs="Arial"/>
          <w:sz w:val="20"/>
          <w:szCs w:val="20"/>
        </w:rPr>
        <w:t>design</w:t>
      </w:r>
      <w:r w:rsidR="006416C3">
        <w:rPr>
          <w:rFonts w:ascii="Arial" w:eastAsia="Times New Roman" w:hAnsi="Arial" w:cs="Arial"/>
          <w:sz w:val="20"/>
          <w:szCs w:val="20"/>
        </w:rPr>
        <w:t>. T</w:t>
      </w:r>
      <w:r w:rsidR="002E67F1">
        <w:rPr>
          <w:rFonts w:ascii="Arial" w:eastAsia="Times New Roman" w:hAnsi="Arial" w:cs="Arial"/>
          <w:sz w:val="20"/>
          <w:szCs w:val="20"/>
        </w:rPr>
        <w:t>he intervention was carried out for four weeks</w:t>
      </w:r>
      <w:r w:rsidRPr="00964D72">
        <w:rPr>
          <w:rFonts w:ascii="Arial" w:eastAsia="Times New Roman" w:hAnsi="Arial" w:cs="Arial"/>
          <w:sz w:val="20"/>
          <w:szCs w:val="20"/>
        </w:rPr>
        <w:t xml:space="preserve">. A quantitative methodology was administered through a pre-test and post-test and a student perception survey (N = 52), and qualitative data were collected via structured interviews. The findings from the quantitative methodology include a significantly positive outcome in the scores obtained after the intervention (mean difference = 1.63, </w:t>
      </w:r>
      <w:r w:rsidR="00332842" w:rsidRPr="00332842">
        <w:rPr>
          <w:rFonts w:ascii="Arial" w:eastAsia="Times New Roman" w:hAnsi="Arial" w:cs="Arial"/>
          <w:i/>
          <w:iCs/>
          <w:sz w:val="20"/>
          <w:szCs w:val="20"/>
        </w:rPr>
        <w:t>P</w:t>
      </w:r>
      <w:r w:rsidR="00332842" w:rsidRPr="00964D72">
        <w:rPr>
          <w:rFonts w:ascii="Arial" w:eastAsia="Times New Roman" w:hAnsi="Arial" w:cs="Arial"/>
          <w:sz w:val="20"/>
          <w:szCs w:val="20"/>
        </w:rPr>
        <w:t xml:space="preserve"> </w:t>
      </w:r>
      <w:r w:rsidRPr="00964D72">
        <w:rPr>
          <w:rFonts w:ascii="Arial" w:eastAsia="Times New Roman" w:hAnsi="Arial" w:cs="Arial"/>
          <w:sz w:val="20"/>
          <w:szCs w:val="20"/>
        </w:rPr>
        <w:t>&lt; .001</w:t>
      </w:r>
      <w:r w:rsidR="00667394">
        <w:rPr>
          <w:rFonts w:ascii="Arial" w:eastAsia="Times New Roman" w:hAnsi="Arial" w:cs="Arial"/>
          <w:sz w:val="20"/>
          <w:szCs w:val="20"/>
        </w:rPr>
        <w:t xml:space="preserve">, </w:t>
      </w:r>
      <w:r w:rsidR="00C215BE" w:rsidRPr="00C215BE">
        <w:rPr>
          <w:rFonts w:ascii="Arial" w:hAnsi="Arial" w:cs="Arial"/>
          <w:sz w:val="20"/>
          <w:szCs w:val="20"/>
        </w:rPr>
        <w:t>d ≈ 0.63</w:t>
      </w:r>
      <w:r w:rsidRPr="00964D72">
        <w:rPr>
          <w:rFonts w:ascii="Arial" w:eastAsia="Times New Roman" w:hAnsi="Arial" w:cs="Arial"/>
          <w:sz w:val="20"/>
          <w:szCs w:val="20"/>
        </w:rPr>
        <w:t>), and from the survey, a remarkably positive outcome in comprehension (mean = 3.66) and engagement (mean = 3.69) was obtained. The qualitative findings highlighted that peer-tutoring, group discussion, and activities such as role-playing helped the participants to improve their understanding and made learning more enjoyable. However, difficulties that arise include social loafers, coordination problems, and interpersonal conflict. The study finds that using group learning activities is extremely beneficial for both achievement and engagement outcomes, provided that there is a structure that will enable accountability and collaboration.</w:t>
      </w:r>
      <w:r w:rsidR="00C215BE">
        <w:rPr>
          <w:rFonts w:ascii="Arial" w:eastAsia="Times New Roman" w:hAnsi="Arial" w:cs="Arial"/>
          <w:sz w:val="20"/>
          <w:szCs w:val="20"/>
        </w:rPr>
        <w:t xml:space="preserve"> </w:t>
      </w:r>
    </w:p>
    <w:p w14:paraId="46622793" w14:textId="67DD5AEB" w:rsidR="001C1D98" w:rsidRPr="001A0016" w:rsidRDefault="001C1D98" w:rsidP="00660426">
      <w:pPr>
        <w:spacing w:before="16" w:line="240" w:lineRule="auto"/>
        <w:ind w:right="734"/>
        <w:jc w:val="both"/>
        <w:rPr>
          <w:rFonts w:ascii="Arial" w:eastAsia="Times New Roman" w:hAnsi="Arial" w:cs="Arial"/>
          <w:i/>
          <w:iCs/>
          <w:sz w:val="20"/>
          <w:szCs w:val="20"/>
        </w:rPr>
      </w:pPr>
      <w:r w:rsidRPr="001A0016">
        <w:rPr>
          <w:rFonts w:ascii="Arial" w:eastAsia="Times New Roman" w:hAnsi="Arial" w:cs="Arial"/>
          <w:i/>
          <w:iCs/>
          <w:sz w:val="20"/>
          <w:szCs w:val="20"/>
        </w:rPr>
        <w:t>Key words: Group-based activities, comprehension, engagement, chemical digestion</w:t>
      </w:r>
    </w:p>
    <w:bookmarkEnd w:id="1"/>
    <w:p w14:paraId="00000004" w14:textId="6166A5FA" w:rsidR="00BA47B2" w:rsidRPr="005D74E8" w:rsidRDefault="00F97A36" w:rsidP="00742AD3">
      <w:pPr>
        <w:pStyle w:val="ListParagraph"/>
        <w:numPr>
          <w:ilvl w:val="0"/>
          <w:numId w:val="27"/>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INTRODUCTION </w:t>
      </w:r>
    </w:p>
    <w:p w14:paraId="00000005" w14:textId="1198130D"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It is essential to comprehend the processes involved in chemical digestion to grasp key concepts in human biology. However, abstract characteristics of this subject, which encompass intricate and unseen biochemical reactions, render it a perpetually difficult topic for students in middle secondary education (</w:t>
      </w:r>
      <w:proofErr w:type="spellStart"/>
      <w:r w:rsidRPr="00964D72">
        <w:rPr>
          <w:rFonts w:ascii="Arial" w:eastAsia="Times New Roman" w:hAnsi="Arial" w:cs="Arial"/>
          <w:bCs/>
          <w:sz w:val="20"/>
          <w:szCs w:val="20"/>
        </w:rPr>
        <w:t>Tibell</w:t>
      </w:r>
      <w:proofErr w:type="spellEnd"/>
      <w:r w:rsidRPr="00964D72">
        <w:rPr>
          <w:rFonts w:ascii="Arial" w:eastAsia="Times New Roman" w:hAnsi="Arial" w:cs="Arial"/>
          <w:bCs/>
          <w:sz w:val="20"/>
          <w:szCs w:val="20"/>
        </w:rPr>
        <w:t xml:space="preserve"> &amp; </w:t>
      </w:r>
      <w:proofErr w:type="spellStart"/>
      <w:r w:rsidRPr="00964D72">
        <w:rPr>
          <w:rFonts w:ascii="Arial" w:eastAsia="Times New Roman" w:hAnsi="Arial" w:cs="Arial"/>
          <w:bCs/>
          <w:sz w:val="20"/>
          <w:szCs w:val="20"/>
        </w:rPr>
        <w:t>Rundgren</w:t>
      </w:r>
      <w:proofErr w:type="spellEnd"/>
      <w:r w:rsidRPr="00964D72">
        <w:rPr>
          <w:rFonts w:ascii="Arial" w:eastAsia="Times New Roman" w:hAnsi="Arial" w:cs="Arial"/>
          <w:bCs/>
          <w:sz w:val="20"/>
          <w:szCs w:val="20"/>
        </w:rPr>
        <w:t>, 2010).</w:t>
      </w:r>
      <w:sdt>
        <w:sdtPr>
          <w:rPr>
            <w:rFonts w:ascii="Arial" w:hAnsi="Arial" w:cs="Arial"/>
            <w:bCs/>
            <w:sz w:val="20"/>
            <w:szCs w:val="20"/>
          </w:rPr>
          <w:tag w:val="goog_rdk_0"/>
          <w:id w:val="1871072203"/>
        </w:sdtPr>
        <w:sdtEndPr/>
        <w:sdtContent/>
      </w:sdt>
      <w:r w:rsidRPr="00964D72">
        <w:rPr>
          <w:rFonts w:ascii="Arial" w:eastAsia="Times New Roman" w:hAnsi="Arial" w:cs="Arial"/>
          <w:bCs/>
          <w:sz w:val="20"/>
          <w:szCs w:val="20"/>
        </w:rPr>
        <w:t xml:space="preserve"> Evidence from BCSE 2024 </w:t>
      </w:r>
      <w:r w:rsidR="00214783" w:rsidRPr="00964D72">
        <w:rPr>
          <w:rFonts w:ascii="Arial" w:eastAsia="Times New Roman" w:hAnsi="Arial" w:cs="Arial"/>
          <w:bCs/>
          <w:sz w:val="20"/>
          <w:szCs w:val="20"/>
        </w:rPr>
        <w:t>show</w:t>
      </w:r>
      <w:r w:rsidR="007C29B7" w:rsidRPr="00964D72">
        <w:rPr>
          <w:rFonts w:ascii="Arial" w:eastAsia="Times New Roman" w:hAnsi="Arial" w:cs="Arial"/>
          <w:bCs/>
          <w:sz w:val="20"/>
          <w:szCs w:val="20"/>
        </w:rPr>
        <w:t>ed</w:t>
      </w:r>
      <w:r w:rsidR="00214783" w:rsidRPr="00964D72">
        <w:rPr>
          <w:rFonts w:ascii="Arial" w:eastAsia="Times New Roman" w:hAnsi="Arial" w:cs="Arial"/>
          <w:bCs/>
          <w:sz w:val="20"/>
          <w:szCs w:val="20"/>
        </w:rPr>
        <w:t xml:space="preserve"> </w:t>
      </w:r>
      <w:r w:rsidRPr="00964D72">
        <w:rPr>
          <w:rFonts w:ascii="Arial" w:eastAsia="Times New Roman" w:hAnsi="Arial" w:cs="Arial"/>
          <w:bCs/>
          <w:sz w:val="20"/>
          <w:szCs w:val="20"/>
        </w:rPr>
        <w:t xml:space="preserve">that students’ performance in Biology at </w:t>
      </w:r>
      <w:proofErr w:type="spellStart"/>
      <w:r w:rsidRPr="00964D72">
        <w:rPr>
          <w:rFonts w:ascii="Arial" w:eastAsia="Times New Roman" w:hAnsi="Arial" w:cs="Arial"/>
          <w:bCs/>
          <w:sz w:val="20"/>
          <w:szCs w:val="20"/>
        </w:rPr>
        <w:t>Lungtenzampa</w:t>
      </w:r>
      <w:proofErr w:type="spellEnd"/>
      <w:r w:rsidRPr="00964D72">
        <w:rPr>
          <w:rFonts w:ascii="Arial" w:eastAsia="Times New Roman" w:hAnsi="Arial" w:cs="Arial"/>
          <w:bCs/>
          <w:sz w:val="20"/>
          <w:szCs w:val="20"/>
        </w:rPr>
        <w:t xml:space="preserve"> Middle Secondary School was inferior compared to other neighboring schools, as shown in Table 1 (BCSEA, 2025).</w:t>
      </w:r>
    </w:p>
    <w:p w14:paraId="00000006" w14:textId="5DB704FB"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Table 1: Biology BCSE performance of the year 2024.</w:t>
      </w:r>
    </w:p>
    <w:tbl>
      <w:tblPr>
        <w:tblStyle w:val="a"/>
        <w:tblW w:w="9350"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69"/>
        <w:gridCol w:w="6046"/>
        <w:gridCol w:w="2335"/>
      </w:tblGrid>
      <w:tr w:rsidR="00BA47B2" w:rsidRPr="00964D72" w14:paraId="28FF8562" w14:textId="77777777" w:rsidTr="002947D0">
        <w:trPr>
          <w:jc w:val="center"/>
        </w:trPr>
        <w:tc>
          <w:tcPr>
            <w:tcW w:w="969" w:type="dxa"/>
            <w:tcBorders>
              <w:top w:val="single" w:sz="4" w:space="0" w:color="000000"/>
              <w:bottom w:val="single" w:sz="4" w:space="0" w:color="000000"/>
            </w:tcBorders>
          </w:tcPr>
          <w:p w14:paraId="00000007" w14:textId="77777777" w:rsidR="00BA47B2" w:rsidRPr="00964D72" w:rsidRDefault="008306D2" w:rsidP="00026FD8">
            <w:pPr>
              <w:jc w:val="center"/>
              <w:rPr>
                <w:rFonts w:ascii="Arial" w:eastAsia="Times New Roman" w:hAnsi="Arial" w:cs="Arial"/>
                <w:bCs/>
                <w:sz w:val="20"/>
                <w:szCs w:val="20"/>
              </w:rPr>
            </w:pPr>
            <w:proofErr w:type="spellStart"/>
            <w:proofErr w:type="gramStart"/>
            <w:r w:rsidRPr="00964D72">
              <w:rPr>
                <w:rFonts w:ascii="Arial" w:eastAsia="Times New Roman" w:hAnsi="Arial" w:cs="Arial"/>
                <w:bCs/>
                <w:sz w:val="20"/>
                <w:szCs w:val="20"/>
              </w:rPr>
              <w:t>Sl.No</w:t>
            </w:r>
            <w:proofErr w:type="spellEnd"/>
            <w:proofErr w:type="gramEnd"/>
          </w:p>
        </w:tc>
        <w:tc>
          <w:tcPr>
            <w:tcW w:w="6046" w:type="dxa"/>
            <w:tcBorders>
              <w:top w:val="single" w:sz="4" w:space="0" w:color="000000"/>
              <w:bottom w:val="single" w:sz="4" w:space="0" w:color="000000"/>
            </w:tcBorders>
          </w:tcPr>
          <w:p w14:paraId="00000008"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School</w:t>
            </w:r>
          </w:p>
        </w:tc>
        <w:tc>
          <w:tcPr>
            <w:tcW w:w="2335" w:type="dxa"/>
            <w:tcBorders>
              <w:top w:val="single" w:sz="4" w:space="0" w:color="000000"/>
              <w:bottom w:val="single" w:sz="4" w:space="0" w:color="000000"/>
            </w:tcBorders>
          </w:tcPr>
          <w:p w14:paraId="00000009"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Mean</w:t>
            </w:r>
          </w:p>
        </w:tc>
      </w:tr>
      <w:tr w:rsidR="00BA47B2" w:rsidRPr="00964D72" w14:paraId="6DACC010" w14:textId="77777777" w:rsidTr="002947D0">
        <w:trPr>
          <w:jc w:val="center"/>
        </w:trPr>
        <w:tc>
          <w:tcPr>
            <w:tcW w:w="969" w:type="dxa"/>
            <w:tcBorders>
              <w:top w:val="single" w:sz="4" w:space="0" w:color="000000"/>
            </w:tcBorders>
          </w:tcPr>
          <w:p w14:paraId="0000000A"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Borders>
              <w:top w:val="single" w:sz="4" w:space="0" w:color="000000"/>
            </w:tcBorders>
          </w:tcPr>
          <w:p w14:paraId="0000000B" w14:textId="77777777" w:rsidR="00BA47B2" w:rsidRPr="00964D72" w:rsidRDefault="008306D2" w:rsidP="00026FD8">
            <w:pPr>
              <w:jc w:val="both"/>
              <w:rPr>
                <w:rFonts w:ascii="Arial" w:eastAsia="Times New Roman" w:hAnsi="Arial" w:cs="Arial"/>
                <w:bCs/>
                <w:sz w:val="20"/>
                <w:szCs w:val="20"/>
              </w:rPr>
            </w:pPr>
            <w:r w:rsidRPr="00964D72">
              <w:rPr>
                <w:rFonts w:ascii="Arial" w:eastAsia="Times New Roman" w:hAnsi="Arial" w:cs="Arial"/>
                <w:bCs/>
                <w:sz w:val="20"/>
                <w:szCs w:val="20"/>
              </w:rPr>
              <w:t xml:space="preserve">Dr. </w:t>
            </w:r>
            <w:proofErr w:type="spellStart"/>
            <w:r w:rsidRPr="00964D72">
              <w:rPr>
                <w:rFonts w:ascii="Arial" w:eastAsia="Times New Roman" w:hAnsi="Arial" w:cs="Arial"/>
                <w:bCs/>
                <w:sz w:val="20"/>
                <w:szCs w:val="20"/>
              </w:rPr>
              <w:t>Tobgyel</w:t>
            </w:r>
            <w:proofErr w:type="spellEnd"/>
            <w:r w:rsidRPr="00964D72">
              <w:rPr>
                <w:rFonts w:ascii="Arial" w:eastAsia="Times New Roman" w:hAnsi="Arial" w:cs="Arial"/>
                <w:bCs/>
                <w:sz w:val="20"/>
                <w:szCs w:val="20"/>
              </w:rPr>
              <w:t xml:space="preserve"> </w:t>
            </w:r>
          </w:p>
        </w:tc>
        <w:tc>
          <w:tcPr>
            <w:tcW w:w="2335" w:type="dxa"/>
            <w:tcBorders>
              <w:top w:val="single" w:sz="4" w:space="0" w:color="000000"/>
            </w:tcBorders>
          </w:tcPr>
          <w:p w14:paraId="0000000C"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72.3%</w:t>
            </w:r>
          </w:p>
        </w:tc>
      </w:tr>
      <w:tr w:rsidR="00BA47B2" w:rsidRPr="00964D72" w14:paraId="17512040" w14:textId="77777777" w:rsidTr="002947D0">
        <w:trPr>
          <w:jc w:val="center"/>
        </w:trPr>
        <w:tc>
          <w:tcPr>
            <w:tcW w:w="969" w:type="dxa"/>
          </w:tcPr>
          <w:p w14:paraId="0000000D"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0E" w14:textId="77777777" w:rsidR="00BA47B2" w:rsidRPr="00964D72" w:rsidRDefault="008306D2" w:rsidP="00026FD8">
            <w:pPr>
              <w:jc w:val="both"/>
              <w:rPr>
                <w:rFonts w:ascii="Arial" w:eastAsia="Times New Roman" w:hAnsi="Arial" w:cs="Arial"/>
                <w:bCs/>
                <w:sz w:val="20"/>
                <w:szCs w:val="20"/>
              </w:rPr>
            </w:pPr>
            <w:proofErr w:type="spellStart"/>
            <w:r w:rsidRPr="00964D72">
              <w:rPr>
                <w:rFonts w:ascii="Arial" w:eastAsia="Times New Roman" w:hAnsi="Arial" w:cs="Arial"/>
                <w:bCs/>
                <w:sz w:val="20"/>
                <w:szCs w:val="20"/>
              </w:rPr>
              <w:t>Changangkha</w:t>
            </w:r>
            <w:proofErr w:type="spellEnd"/>
            <w:r w:rsidRPr="00964D72">
              <w:rPr>
                <w:rFonts w:ascii="Arial" w:eastAsia="Times New Roman" w:hAnsi="Arial" w:cs="Arial"/>
                <w:bCs/>
                <w:sz w:val="20"/>
                <w:szCs w:val="20"/>
              </w:rPr>
              <w:t xml:space="preserve"> Middle Secondary School </w:t>
            </w:r>
          </w:p>
        </w:tc>
        <w:tc>
          <w:tcPr>
            <w:tcW w:w="2335" w:type="dxa"/>
          </w:tcPr>
          <w:p w14:paraId="0000000F"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68.72%</w:t>
            </w:r>
          </w:p>
        </w:tc>
      </w:tr>
      <w:tr w:rsidR="00BA47B2" w:rsidRPr="00964D72" w14:paraId="1E4EE33C" w14:textId="77777777" w:rsidTr="002947D0">
        <w:trPr>
          <w:jc w:val="center"/>
        </w:trPr>
        <w:tc>
          <w:tcPr>
            <w:tcW w:w="969" w:type="dxa"/>
          </w:tcPr>
          <w:p w14:paraId="00000010"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11" w14:textId="77777777" w:rsidR="00BA47B2" w:rsidRPr="00964D72" w:rsidRDefault="008306D2" w:rsidP="00026FD8">
            <w:pPr>
              <w:jc w:val="both"/>
              <w:rPr>
                <w:rFonts w:ascii="Arial" w:eastAsia="Times New Roman" w:hAnsi="Arial" w:cs="Arial"/>
                <w:bCs/>
                <w:sz w:val="20"/>
                <w:szCs w:val="20"/>
              </w:rPr>
            </w:pPr>
            <w:r w:rsidRPr="00964D72">
              <w:rPr>
                <w:rFonts w:ascii="Arial" w:eastAsia="Times New Roman" w:hAnsi="Arial" w:cs="Arial"/>
                <w:bCs/>
                <w:sz w:val="20"/>
                <w:szCs w:val="20"/>
              </w:rPr>
              <w:t>ELC</w:t>
            </w:r>
          </w:p>
        </w:tc>
        <w:tc>
          <w:tcPr>
            <w:tcW w:w="2335" w:type="dxa"/>
          </w:tcPr>
          <w:p w14:paraId="00000012"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68.55%</w:t>
            </w:r>
          </w:p>
        </w:tc>
      </w:tr>
      <w:tr w:rsidR="00BA47B2" w:rsidRPr="00964D72" w14:paraId="5370402D" w14:textId="77777777" w:rsidTr="002947D0">
        <w:trPr>
          <w:jc w:val="center"/>
        </w:trPr>
        <w:tc>
          <w:tcPr>
            <w:tcW w:w="969" w:type="dxa"/>
          </w:tcPr>
          <w:p w14:paraId="00000013"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14" w14:textId="77777777" w:rsidR="00BA47B2" w:rsidRPr="00964D72" w:rsidRDefault="008306D2" w:rsidP="00026FD8">
            <w:pPr>
              <w:jc w:val="both"/>
              <w:rPr>
                <w:rFonts w:ascii="Arial" w:eastAsia="Times New Roman" w:hAnsi="Arial" w:cs="Arial"/>
                <w:bCs/>
                <w:sz w:val="20"/>
                <w:szCs w:val="20"/>
              </w:rPr>
            </w:pPr>
            <w:proofErr w:type="spellStart"/>
            <w:r w:rsidRPr="00964D72">
              <w:rPr>
                <w:rFonts w:ascii="Arial" w:eastAsia="Times New Roman" w:hAnsi="Arial" w:cs="Arial"/>
                <w:bCs/>
                <w:sz w:val="20"/>
                <w:szCs w:val="20"/>
              </w:rPr>
              <w:t>Changzamtog</w:t>
            </w:r>
            <w:proofErr w:type="spellEnd"/>
            <w:r w:rsidRPr="00964D72">
              <w:rPr>
                <w:rFonts w:ascii="Arial" w:eastAsia="Times New Roman" w:hAnsi="Arial" w:cs="Arial"/>
                <w:bCs/>
                <w:sz w:val="20"/>
                <w:szCs w:val="20"/>
              </w:rPr>
              <w:t xml:space="preserve"> Middle Secondary School </w:t>
            </w:r>
          </w:p>
        </w:tc>
        <w:tc>
          <w:tcPr>
            <w:tcW w:w="2335" w:type="dxa"/>
          </w:tcPr>
          <w:p w14:paraId="00000015"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67.95 %</w:t>
            </w:r>
          </w:p>
        </w:tc>
      </w:tr>
      <w:tr w:rsidR="00BA47B2" w:rsidRPr="00964D72" w14:paraId="145ACDD9" w14:textId="77777777" w:rsidTr="002947D0">
        <w:trPr>
          <w:jc w:val="center"/>
        </w:trPr>
        <w:tc>
          <w:tcPr>
            <w:tcW w:w="969" w:type="dxa"/>
          </w:tcPr>
          <w:p w14:paraId="00000016"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17" w14:textId="77777777" w:rsidR="00BA47B2" w:rsidRPr="00964D72" w:rsidRDefault="008306D2" w:rsidP="00026FD8">
            <w:pPr>
              <w:jc w:val="both"/>
              <w:rPr>
                <w:rFonts w:ascii="Arial" w:eastAsia="Times New Roman" w:hAnsi="Arial" w:cs="Arial"/>
                <w:bCs/>
                <w:sz w:val="20"/>
                <w:szCs w:val="20"/>
              </w:rPr>
            </w:pPr>
            <w:proofErr w:type="spellStart"/>
            <w:r w:rsidRPr="00964D72">
              <w:rPr>
                <w:rFonts w:ascii="Arial" w:eastAsia="Times New Roman" w:hAnsi="Arial" w:cs="Arial"/>
                <w:bCs/>
                <w:sz w:val="20"/>
                <w:szCs w:val="20"/>
              </w:rPr>
              <w:t>Zilukha</w:t>
            </w:r>
            <w:proofErr w:type="spellEnd"/>
            <w:r w:rsidRPr="00964D72">
              <w:rPr>
                <w:rFonts w:ascii="Arial" w:eastAsia="Times New Roman" w:hAnsi="Arial" w:cs="Arial"/>
                <w:bCs/>
                <w:sz w:val="20"/>
                <w:szCs w:val="20"/>
              </w:rPr>
              <w:t xml:space="preserve"> Middle Secondary School </w:t>
            </w:r>
          </w:p>
        </w:tc>
        <w:tc>
          <w:tcPr>
            <w:tcW w:w="2335" w:type="dxa"/>
          </w:tcPr>
          <w:p w14:paraId="00000018"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67.23%</w:t>
            </w:r>
          </w:p>
        </w:tc>
      </w:tr>
      <w:tr w:rsidR="00BA47B2" w:rsidRPr="00964D72" w14:paraId="7A97CCF4" w14:textId="77777777" w:rsidTr="002947D0">
        <w:trPr>
          <w:jc w:val="center"/>
        </w:trPr>
        <w:tc>
          <w:tcPr>
            <w:tcW w:w="969" w:type="dxa"/>
          </w:tcPr>
          <w:p w14:paraId="00000019" w14:textId="77777777" w:rsidR="00BA47B2" w:rsidRPr="00964D72" w:rsidRDefault="00BA47B2" w:rsidP="00026FD8">
            <w:pPr>
              <w:numPr>
                <w:ilvl w:val="0"/>
                <w:numId w:val="21"/>
              </w:numPr>
              <w:pBdr>
                <w:top w:val="nil"/>
                <w:left w:val="nil"/>
                <w:bottom w:val="nil"/>
                <w:right w:val="nil"/>
                <w:between w:val="nil"/>
              </w:pBdr>
              <w:spacing w:after="160"/>
              <w:jc w:val="both"/>
              <w:rPr>
                <w:rFonts w:ascii="Arial" w:eastAsia="Times New Roman" w:hAnsi="Arial" w:cs="Arial"/>
                <w:bCs/>
                <w:color w:val="000000"/>
                <w:sz w:val="20"/>
                <w:szCs w:val="20"/>
              </w:rPr>
            </w:pPr>
          </w:p>
        </w:tc>
        <w:tc>
          <w:tcPr>
            <w:tcW w:w="6046" w:type="dxa"/>
          </w:tcPr>
          <w:p w14:paraId="0000001A" w14:textId="77777777" w:rsidR="00BA47B2" w:rsidRPr="00964D72" w:rsidRDefault="008306D2" w:rsidP="00026FD8">
            <w:pPr>
              <w:jc w:val="both"/>
              <w:rPr>
                <w:rFonts w:ascii="Arial" w:eastAsia="Times New Roman" w:hAnsi="Arial" w:cs="Arial"/>
                <w:b/>
                <w:sz w:val="20"/>
                <w:szCs w:val="20"/>
              </w:rPr>
            </w:pPr>
            <w:proofErr w:type="spellStart"/>
            <w:r w:rsidRPr="00964D72">
              <w:rPr>
                <w:rFonts w:ascii="Arial" w:eastAsia="Times New Roman" w:hAnsi="Arial" w:cs="Arial"/>
                <w:b/>
                <w:sz w:val="20"/>
                <w:szCs w:val="20"/>
              </w:rPr>
              <w:t>Lungtenzampa</w:t>
            </w:r>
            <w:proofErr w:type="spellEnd"/>
            <w:r w:rsidRPr="00964D72">
              <w:rPr>
                <w:rFonts w:ascii="Arial" w:eastAsia="Times New Roman" w:hAnsi="Arial" w:cs="Arial"/>
                <w:b/>
                <w:sz w:val="20"/>
                <w:szCs w:val="20"/>
              </w:rPr>
              <w:t xml:space="preserve"> Middle Secondary School </w:t>
            </w:r>
          </w:p>
        </w:tc>
        <w:tc>
          <w:tcPr>
            <w:tcW w:w="2335" w:type="dxa"/>
          </w:tcPr>
          <w:p w14:paraId="0000001B" w14:textId="77777777" w:rsidR="00BA47B2" w:rsidRPr="00964D72" w:rsidRDefault="008306D2" w:rsidP="00026FD8">
            <w:pPr>
              <w:jc w:val="center"/>
              <w:rPr>
                <w:rFonts w:ascii="Arial" w:eastAsia="Times New Roman" w:hAnsi="Arial" w:cs="Arial"/>
                <w:b/>
                <w:sz w:val="20"/>
                <w:szCs w:val="20"/>
              </w:rPr>
            </w:pPr>
            <w:r w:rsidRPr="00964D72">
              <w:rPr>
                <w:rFonts w:ascii="Arial" w:eastAsia="Times New Roman" w:hAnsi="Arial" w:cs="Arial"/>
                <w:b/>
                <w:sz w:val="20"/>
                <w:szCs w:val="20"/>
              </w:rPr>
              <w:t>67.22%</w:t>
            </w:r>
          </w:p>
        </w:tc>
      </w:tr>
    </w:tbl>
    <w:p w14:paraId="0000001D" w14:textId="496D8CEE"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Grade 10 students showed inadequate conceptual understanding of chemical digestion, particularly the action of enzymes in the breakdown of macronutrients. This issue was observed from poor assessment outcomes and a lack of interest during teaching sessions. Therefore, this kind of issue reflected a demand for more proactive, student-centered teaching approaches.</w:t>
      </w:r>
    </w:p>
    <w:p w14:paraId="0000001E" w14:textId="77777777" w:rsidR="00BA47B2" w:rsidRPr="005522F2" w:rsidRDefault="008306D2" w:rsidP="00026FD8">
      <w:pPr>
        <w:spacing w:line="240" w:lineRule="auto"/>
        <w:jc w:val="both"/>
        <w:rPr>
          <w:rFonts w:ascii="Arial" w:eastAsia="Times New Roman" w:hAnsi="Arial" w:cs="Arial"/>
          <w:b/>
          <w:sz w:val="22"/>
          <w:szCs w:val="22"/>
        </w:rPr>
      </w:pPr>
      <w:r w:rsidRPr="005522F2">
        <w:rPr>
          <w:rFonts w:ascii="Arial" w:eastAsia="Times New Roman" w:hAnsi="Arial" w:cs="Arial"/>
          <w:b/>
          <w:sz w:val="22"/>
          <w:szCs w:val="22"/>
        </w:rPr>
        <w:t>Objectives</w:t>
      </w:r>
    </w:p>
    <w:p w14:paraId="0000001F" w14:textId="77777777" w:rsidR="00BA47B2" w:rsidRPr="00964D72" w:rsidRDefault="008306D2" w:rsidP="00026FD8">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To assess the effectiveness of group-based activities in improving student comprehension of chemical digestion.</w:t>
      </w:r>
    </w:p>
    <w:p w14:paraId="00000020" w14:textId="77777777" w:rsidR="00BA47B2" w:rsidRPr="00964D72" w:rsidRDefault="008306D2" w:rsidP="00026FD8">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To evaluate the impact of group-based activities on student engagement.</w:t>
      </w:r>
    </w:p>
    <w:p w14:paraId="00000021" w14:textId="77777777" w:rsidR="00BA47B2" w:rsidRPr="00964D72" w:rsidRDefault="008306D2" w:rsidP="00026FD8">
      <w:pPr>
        <w:numPr>
          <w:ilvl w:val="0"/>
          <w:numId w:val="19"/>
        </w:numPr>
        <w:pBdr>
          <w:top w:val="nil"/>
          <w:left w:val="nil"/>
          <w:bottom w:val="nil"/>
          <w:right w:val="nil"/>
          <w:between w:val="nil"/>
        </w:pBdr>
        <w:spacing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 xml:space="preserve">To find the challenges students face in group-based activities. </w:t>
      </w:r>
    </w:p>
    <w:p w14:paraId="00000022" w14:textId="63EBD837" w:rsidR="00BA47B2" w:rsidRPr="005522F2" w:rsidRDefault="008306D2" w:rsidP="00026FD8">
      <w:pPr>
        <w:spacing w:line="240" w:lineRule="auto"/>
        <w:jc w:val="both"/>
        <w:rPr>
          <w:rFonts w:ascii="Arial" w:eastAsia="Times New Roman" w:hAnsi="Arial" w:cs="Arial"/>
          <w:b/>
          <w:sz w:val="22"/>
          <w:szCs w:val="22"/>
        </w:rPr>
      </w:pPr>
      <w:r w:rsidRPr="005522F2">
        <w:rPr>
          <w:rFonts w:ascii="Arial" w:eastAsia="Times New Roman" w:hAnsi="Arial" w:cs="Arial"/>
          <w:b/>
          <w:sz w:val="22"/>
          <w:szCs w:val="22"/>
        </w:rPr>
        <w:t xml:space="preserve">Research Question </w:t>
      </w:r>
    </w:p>
    <w:p w14:paraId="00000023" w14:textId="77777777" w:rsidR="00BA47B2" w:rsidRPr="00964D72" w:rsidRDefault="008306D2" w:rsidP="00026FD8">
      <w:pPr>
        <w:numPr>
          <w:ilvl w:val="0"/>
          <w:numId w:val="20"/>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Are group-based activities effective in improving students' comprehension and engagement in learning chemical digestion?</w:t>
      </w:r>
    </w:p>
    <w:p w14:paraId="00000024" w14:textId="77777777" w:rsidR="00BA47B2" w:rsidRPr="00964D72" w:rsidRDefault="008306D2" w:rsidP="00026FD8">
      <w:pPr>
        <w:numPr>
          <w:ilvl w:val="0"/>
          <w:numId w:val="20"/>
        </w:numPr>
        <w:pBdr>
          <w:top w:val="nil"/>
          <w:left w:val="nil"/>
          <w:bottom w:val="nil"/>
          <w:right w:val="nil"/>
          <w:between w:val="nil"/>
        </w:pBdr>
        <w:spacing w:line="240" w:lineRule="auto"/>
        <w:ind w:left="720" w:hanging="360"/>
        <w:jc w:val="both"/>
        <w:rPr>
          <w:rFonts w:ascii="Arial" w:eastAsia="Times New Roman" w:hAnsi="Arial" w:cs="Arial"/>
          <w:bCs/>
          <w:color w:val="000000"/>
          <w:sz w:val="20"/>
          <w:szCs w:val="20"/>
        </w:rPr>
      </w:pPr>
      <w:r w:rsidRPr="00964D72">
        <w:rPr>
          <w:rFonts w:ascii="Arial" w:eastAsia="Times New Roman" w:hAnsi="Arial" w:cs="Arial"/>
          <w:bCs/>
          <w:color w:val="000000"/>
          <w:sz w:val="20"/>
          <w:szCs w:val="20"/>
        </w:rPr>
        <w:t>What are the challenges students face in group-based activities?</w:t>
      </w:r>
    </w:p>
    <w:p w14:paraId="00000025" w14:textId="77777777" w:rsidR="00BA47B2" w:rsidRPr="00964D72" w:rsidRDefault="008306D2" w:rsidP="00026FD8">
      <w:pPr>
        <w:spacing w:line="240" w:lineRule="auto"/>
        <w:jc w:val="both"/>
        <w:rPr>
          <w:rFonts w:ascii="Arial" w:eastAsia="Times New Roman" w:hAnsi="Arial" w:cs="Arial"/>
          <w:b/>
          <w:sz w:val="22"/>
          <w:szCs w:val="22"/>
        </w:rPr>
      </w:pPr>
      <w:r w:rsidRPr="00964D72">
        <w:rPr>
          <w:rFonts w:ascii="Arial" w:eastAsia="Times New Roman" w:hAnsi="Arial" w:cs="Arial"/>
          <w:b/>
          <w:sz w:val="22"/>
          <w:szCs w:val="22"/>
        </w:rPr>
        <w:lastRenderedPageBreak/>
        <w:t>Significance of the Study</w:t>
      </w:r>
    </w:p>
    <w:p w14:paraId="00000026"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The current investigation is important because it investigates the relevance of group-based activities in the school setting. By evaluating a set of group-based activities, this research aimed to provide a practical and effective teaching method that enhances student achievement outcomes, increases interest, and serves as a model for other teachers facing similar challenges.</w:t>
      </w:r>
    </w:p>
    <w:p w14:paraId="00000027" w14:textId="3F902BF3" w:rsidR="00BA47B2" w:rsidRPr="005D74E8" w:rsidRDefault="00F97A36" w:rsidP="00742AD3">
      <w:pPr>
        <w:numPr>
          <w:ilvl w:val="0"/>
          <w:numId w:val="27"/>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RECONNAISSANCE</w:t>
      </w:r>
    </w:p>
    <w:p w14:paraId="00000028"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According to Maxwell (2003), “reconnaissance has three parts, namely: situational analysis, competence, and literature review. </w:t>
      </w:r>
    </w:p>
    <w:p w14:paraId="00000029" w14:textId="77777777" w:rsidR="00BA47B2" w:rsidRPr="00332842" w:rsidRDefault="008306D2" w:rsidP="00026FD8">
      <w:pPr>
        <w:spacing w:line="240" w:lineRule="auto"/>
        <w:jc w:val="both"/>
        <w:rPr>
          <w:rFonts w:ascii="Arial" w:eastAsia="Times New Roman" w:hAnsi="Arial" w:cs="Arial"/>
          <w:b/>
          <w:sz w:val="22"/>
          <w:szCs w:val="22"/>
        </w:rPr>
      </w:pPr>
      <w:r w:rsidRPr="00332842">
        <w:rPr>
          <w:rFonts w:ascii="Arial" w:eastAsia="Times New Roman" w:hAnsi="Arial" w:cs="Arial"/>
          <w:b/>
          <w:sz w:val="22"/>
          <w:szCs w:val="22"/>
        </w:rPr>
        <w:t xml:space="preserve">Situational analysis </w:t>
      </w:r>
    </w:p>
    <w:p w14:paraId="0000002A" w14:textId="33AAC077" w:rsidR="00BA47B2" w:rsidRPr="00964D72" w:rsidRDefault="008306D2" w:rsidP="00026FD8">
      <w:pPr>
        <w:spacing w:line="240" w:lineRule="auto"/>
        <w:jc w:val="both"/>
        <w:rPr>
          <w:rFonts w:ascii="Arial" w:eastAsia="Times New Roman" w:hAnsi="Arial" w:cs="Arial"/>
          <w:bCs/>
          <w:sz w:val="20"/>
          <w:szCs w:val="20"/>
        </w:rPr>
      </w:pPr>
      <w:proofErr w:type="spellStart"/>
      <w:r w:rsidRPr="00964D72">
        <w:rPr>
          <w:rFonts w:ascii="Arial" w:eastAsia="Times New Roman" w:hAnsi="Arial" w:cs="Arial"/>
          <w:bCs/>
          <w:sz w:val="20"/>
          <w:szCs w:val="20"/>
        </w:rPr>
        <w:t>Lungtenzampa</w:t>
      </w:r>
      <w:proofErr w:type="spellEnd"/>
      <w:r w:rsidRPr="00964D72">
        <w:rPr>
          <w:rFonts w:ascii="Arial" w:eastAsia="Times New Roman" w:hAnsi="Arial" w:cs="Arial"/>
          <w:bCs/>
          <w:sz w:val="20"/>
          <w:szCs w:val="20"/>
        </w:rPr>
        <w:t xml:space="preserve"> Middle Secondary School is located in the heart of Thimphu Thromde, just above the Bus terminal and below </w:t>
      </w:r>
      <w:proofErr w:type="spellStart"/>
      <w:r w:rsidRPr="00964D72">
        <w:rPr>
          <w:rFonts w:ascii="Arial" w:eastAsia="Times New Roman" w:hAnsi="Arial" w:cs="Arial"/>
          <w:bCs/>
          <w:sz w:val="20"/>
          <w:szCs w:val="20"/>
        </w:rPr>
        <w:t>Yangchenphug</w:t>
      </w:r>
      <w:proofErr w:type="spellEnd"/>
      <w:r w:rsidRPr="00964D72">
        <w:rPr>
          <w:rFonts w:ascii="Arial" w:eastAsia="Times New Roman" w:hAnsi="Arial" w:cs="Arial"/>
          <w:bCs/>
          <w:sz w:val="20"/>
          <w:szCs w:val="20"/>
        </w:rPr>
        <w:t xml:space="preserve"> Higher Secondary School. It is one of Bhutan’s largest schools, catering to a diverse student population from grades VII to X. The school was initially started in 1970 by a group of women from India House to organize a nursery class for some of their children. They also invited Bhutanese children to attend and volunteered whenever they were free. In 1972, His Majesty’s Representative in the Ministry of Development, HRH </w:t>
      </w:r>
      <w:proofErr w:type="spellStart"/>
      <w:r w:rsidRPr="00964D72">
        <w:rPr>
          <w:rFonts w:ascii="Arial" w:eastAsia="Times New Roman" w:hAnsi="Arial" w:cs="Arial"/>
          <w:bCs/>
          <w:sz w:val="20"/>
          <w:szCs w:val="20"/>
        </w:rPr>
        <w:t>Ashi</w:t>
      </w:r>
      <w:proofErr w:type="spellEnd"/>
      <w:r w:rsidRPr="00964D72">
        <w:rPr>
          <w:rFonts w:ascii="Arial" w:eastAsia="Times New Roman" w:hAnsi="Arial" w:cs="Arial"/>
          <w:bCs/>
          <w:sz w:val="20"/>
          <w:szCs w:val="20"/>
        </w:rPr>
        <w:t xml:space="preserve"> </w:t>
      </w:r>
      <w:proofErr w:type="spellStart"/>
      <w:r w:rsidRPr="00964D72">
        <w:rPr>
          <w:rFonts w:ascii="Arial" w:eastAsia="Times New Roman" w:hAnsi="Arial" w:cs="Arial"/>
          <w:bCs/>
          <w:sz w:val="20"/>
          <w:szCs w:val="20"/>
        </w:rPr>
        <w:t>Dechen</w:t>
      </w:r>
      <w:proofErr w:type="spellEnd"/>
      <w:r w:rsidRPr="00964D72">
        <w:rPr>
          <w:rFonts w:ascii="Arial" w:eastAsia="Times New Roman" w:hAnsi="Arial" w:cs="Arial"/>
          <w:bCs/>
          <w:sz w:val="20"/>
          <w:szCs w:val="20"/>
        </w:rPr>
        <w:t xml:space="preserve"> </w:t>
      </w:r>
      <w:proofErr w:type="spellStart"/>
      <w:r w:rsidRPr="00964D72">
        <w:rPr>
          <w:rFonts w:ascii="Arial" w:eastAsia="Times New Roman" w:hAnsi="Arial" w:cs="Arial"/>
          <w:bCs/>
          <w:sz w:val="20"/>
          <w:szCs w:val="20"/>
        </w:rPr>
        <w:t>Wangmo</w:t>
      </w:r>
      <w:proofErr w:type="spellEnd"/>
      <w:r w:rsidRPr="00964D72">
        <w:rPr>
          <w:rFonts w:ascii="Arial" w:eastAsia="Times New Roman" w:hAnsi="Arial" w:cs="Arial"/>
          <w:bCs/>
          <w:sz w:val="20"/>
          <w:szCs w:val="20"/>
        </w:rPr>
        <w:t xml:space="preserve"> </w:t>
      </w:r>
      <w:proofErr w:type="spellStart"/>
      <w:r w:rsidRPr="00964D72">
        <w:rPr>
          <w:rFonts w:ascii="Arial" w:eastAsia="Times New Roman" w:hAnsi="Arial" w:cs="Arial"/>
          <w:bCs/>
          <w:sz w:val="20"/>
          <w:szCs w:val="20"/>
        </w:rPr>
        <w:t>Wangchuck</w:t>
      </w:r>
      <w:proofErr w:type="spellEnd"/>
      <w:r w:rsidRPr="00964D72">
        <w:rPr>
          <w:rFonts w:ascii="Arial" w:eastAsia="Times New Roman" w:hAnsi="Arial" w:cs="Arial"/>
          <w:bCs/>
          <w:sz w:val="20"/>
          <w:szCs w:val="20"/>
        </w:rPr>
        <w:t xml:space="preserve">, decided that there was a need for the government to institute a nursery school. Her Royal Highness commanded Ms. Carolyn Tshering, who was then a teacher of Thimphu Public School (now </w:t>
      </w:r>
      <w:proofErr w:type="spellStart"/>
      <w:r w:rsidRPr="00964D72">
        <w:rPr>
          <w:rFonts w:ascii="Arial" w:eastAsia="Times New Roman" w:hAnsi="Arial" w:cs="Arial"/>
          <w:bCs/>
          <w:sz w:val="20"/>
          <w:szCs w:val="20"/>
        </w:rPr>
        <w:t>Yangchenphug</w:t>
      </w:r>
      <w:proofErr w:type="spellEnd"/>
      <w:r w:rsidRPr="00964D72">
        <w:rPr>
          <w:rFonts w:ascii="Arial" w:eastAsia="Times New Roman" w:hAnsi="Arial" w:cs="Arial"/>
          <w:bCs/>
          <w:sz w:val="20"/>
          <w:szCs w:val="20"/>
        </w:rPr>
        <w:t xml:space="preserve"> Higher Secondary School), to start school. Then the school was upgraded to a primary school. Later in 2001, this school was upgraded to a Middle secondary school. Currently, the school has around 1,400 students and 80 staff. So far, the school has consistently demonstrated academic progress. However, the issue is widespread in STEM education, particularly in Biology. The 2024 academic record showed student performance in Biology is lower than in physics and mathematics subjects in BCSE 2024, as shown in Table 2 (BCSEA, 2025). This suggests that the students find it difficult in Biology, and a pattern was also identified in the global studies (</w:t>
      </w:r>
      <w:proofErr w:type="spellStart"/>
      <w:r w:rsidRPr="00964D72">
        <w:rPr>
          <w:rFonts w:ascii="Arial" w:eastAsia="Times New Roman" w:hAnsi="Arial" w:cs="Arial"/>
          <w:bCs/>
          <w:sz w:val="20"/>
          <w:szCs w:val="20"/>
        </w:rPr>
        <w:t>Tsui</w:t>
      </w:r>
      <w:proofErr w:type="spellEnd"/>
      <w:r w:rsidRPr="00964D72">
        <w:rPr>
          <w:rFonts w:ascii="Arial" w:eastAsia="Times New Roman" w:hAnsi="Arial" w:cs="Arial"/>
          <w:bCs/>
          <w:sz w:val="20"/>
          <w:szCs w:val="20"/>
        </w:rPr>
        <w:t xml:space="preserve"> &amp; </w:t>
      </w:r>
      <w:proofErr w:type="spellStart"/>
      <w:r w:rsidRPr="00964D72">
        <w:rPr>
          <w:rFonts w:ascii="Arial" w:eastAsia="Times New Roman" w:hAnsi="Arial" w:cs="Arial"/>
          <w:bCs/>
          <w:sz w:val="20"/>
          <w:szCs w:val="20"/>
        </w:rPr>
        <w:t>Treagust</w:t>
      </w:r>
      <w:proofErr w:type="spellEnd"/>
      <w:r w:rsidRPr="00964D72">
        <w:rPr>
          <w:rFonts w:ascii="Arial" w:eastAsia="Times New Roman" w:hAnsi="Arial" w:cs="Arial"/>
          <w:bCs/>
          <w:sz w:val="20"/>
          <w:szCs w:val="20"/>
        </w:rPr>
        <w:t>, 2012; Stones et al., 2020)</w:t>
      </w:r>
    </w:p>
    <w:p w14:paraId="0000002B" w14:textId="77777777" w:rsidR="00BA47B2" w:rsidRPr="00964D72" w:rsidRDefault="008306D2" w:rsidP="00026FD8">
      <w:pPr>
        <w:spacing w:line="240" w:lineRule="auto"/>
        <w:jc w:val="both"/>
        <w:rPr>
          <w:rFonts w:ascii="Arial" w:eastAsia="Times New Roman" w:hAnsi="Arial" w:cs="Arial"/>
          <w:b/>
          <w:sz w:val="20"/>
          <w:szCs w:val="20"/>
        </w:rPr>
      </w:pPr>
      <w:r w:rsidRPr="00964D72">
        <w:rPr>
          <w:rFonts w:ascii="Arial" w:eastAsia="Times New Roman" w:hAnsi="Arial" w:cs="Arial"/>
          <w:b/>
          <w:sz w:val="20"/>
          <w:szCs w:val="20"/>
        </w:rPr>
        <w:t>Table 2: BCSE Performance in 2024</w:t>
      </w:r>
    </w:p>
    <w:tbl>
      <w:tblPr>
        <w:tblStyle w:val="a0"/>
        <w:tblW w:w="935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830"/>
        <w:gridCol w:w="4475"/>
        <w:gridCol w:w="4045"/>
      </w:tblGrid>
      <w:tr w:rsidR="00BA47B2" w:rsidRPr="00964D72" w14:paraId="2C9EA5A7" w14:textId="77777777">
        <w:tc>
          <w:tcPr>
            <w:tcW w:w="830" w:type="dxa"/>
            <w:tcBorders>
              <w:top w:val="single" w:sz="4" w:space="0" w:color="000000"/>
              <w:bottom w:val="single" w:sz="4" w:space="0" w:color="000000"/>
            </w:tcBorders>
          </w:tcPr>
          <w:p w14:paraId="0000002C" w14:textId="77777777" w:rsidR="00BA47B2" w:rsidRPr="00964D72" w:rsidRDefault="008306D2" w:rsidP="00026FD8">
            <w:pPr>
              <w:jc w:val="center"/>
              <w:rPr>
                <w:rFonts w:ascii="Arial" w:eastAsia="Times New Roman" w:hAnsi="Arial" w:cs="Arial"/>
                <w:bCs/>
                <w:sz w:val="20"/>
                <w:szCs w:val="20"/>
              </w:rPr>
            </w:pPr>
            <w:proofErr w:type="spellStart"/>
            <w:r w:rsidRPr="00964D72">
              <w:rPr>
                <w:rFonts w:ascii="Arial" w:eastAsia="Times New Roman" w:hAnsi="Arial" w:cs="Arial"/>
                <w:bCs/>
                <w:sz w:val="20"/>
                <w:szCs w:val="20"/>
              </w:rPr>
              <w:t>Sl.No</w:t>
            </w:r>
            <w:proofErr w:type="spellEnd"/>
            <w:r w:rsidRPr="00964D72">
              <w:rPr>
                <w:rFonts w:ascii="Arial" w:eastAsia="Times New Roman" w:hAnsi="Arial" w:cs="Arial"/>
                <w:bCs/>
                <w:sz w:val="20"/>
                <w:szCs w:val="20"/>
              </w:rPr>
              <w:t>.</w:t>
            </w:r>
          </w:p>
        </w:tc>
        <w:tc>
          <w:tcPr>
            <w:tcW w:w="4475" w:type="dxa"/>
            <w:tcBorders>
              <w:top w:val="single" w:sz="4" w:space="0" w:color="000000"/>
              <w:bottom w:val="single" w:sz="4" w:space="0" w:color="000000"/>
            </w:tcBorders>
          </w:tcPr>
          <w:p w14:paraId="0000002D"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Subject 2024</w:t>
            </w:r>
          </w:p>
        </w:tc>
        <w:tc>
          <w:tcPr>
            <w:tcW w:w="4045" w:type="dxa"/>
            <w:tcBorders>
              <w:top w:val="single" w:sz="4" w:space="0" w:color="000000"/>
              <w:bottom w:val="single" w:sz="4" w:space="0" w:color="000000"/>
            </w:tcBorders>
          </w:tcPr>
          <w:p w14:paraId="0000002E"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Mean mark</w:t>
            </w:r>
          </w:p>
        </w:tc>
      </w:tr>
      <w:tr w:rsidR="00BA47B2" w:rsidRPr="00964D72" w14:paraId="5D45B8A1" w14:textId="77777777">
        <w:tc>
          <w:tcPr>
            <w:tcW w:w="830" w:type="dxa"/>
            <w:tcBorders>
              <w:top w:val="single" w:sz="4" w:space="0" w:color="000000"/>
            </w:tcBorders>
            <w:vAlign w:val="center"/>
          </w:tcPr>
          <w:p w14:paraId="0000002F" w14:textId="77777777" w:rsidR="00BA47B2" w:rsidRPr="00964D72" w:rsidRDefault="00BA47B2" w:rsidP="00026FD8">
            <w:pPr>
              <w:numPr>
                <w:ilvl w:val="3"/>
                <w:numId w:val="22"/>
              </w:numPr>
              <w:pBdr>
                <w:top w:val="nil"/>
                <w:left w:val="nil"/>
                <w:bottom w:val="nil"/>
                <w:right w:val="nil"/>
                <w:between w:val="nil"/>
              </w:pBdr>
              <w:spacing w:after="160"/>
              <w:ind w:left="431"/>
              <w:jc w:val="center"/>
              <w:rPr>
                <w:rFonts w:ascii="Arial" w:eastAsia="Times New Roman" w:hAnsi="Arial" w:cs="Arial"/>
                <w:bCs/>
                <w:color w:val="000000"/>
                <w:sz w:val="20"/>
                <w:szCs w:val="20"/>
              </w:rPr>
            </w:pPr>
          </w:p>
        </w:tc>
        <w:tc>
          <w:tcPr>
            <w:tcW w:w="4475" w:type="dxa"/>
            <w:tcBorders>
              <w:top w:val="single" w:sz="4" w:space="0" w:color="000000"/>
            </w:tcBorders>
          </w:tcPr>
          <w:p w14:paraId="00000030" w14:textId="77777777" w:rsidR="00BA47B2" w:rsidRPr="001650F3" w:rsidRDefault="008306D2" w:rsidP="00026FD8">
            <w:pPr>
              <w:jc w:val="both"/>
              <w:rPr>
                <w:rFonts w:ascii="Arial" w:eastAsia="Times New Roman" w:hAnsi="Arial" w:cs="Arial"/>
                <w:b/>
                <w:sz w:val="20"/>
                <w:szCs w:val="20"/>
              </w:rPr>
            </w:pPr>
            <w:r w:rsidRPr="001650F3">
              <w:rPr>
                <w:rFonts w:ascii="Arial" w:eastAsia="Times New Roman" w:hAnsi="Arial" w:cs="Arial"/>
                <w:b/>
                <w:sz w:val="20"/>
                <w:szCs w:val="20"/>
              </w:rPr>
              <w:t xml:space="preserve">Biology </w:t>
            </w:r>
          </w:p>
        </w:tc>
        <w:tc>
          <w:tcPr>
            <w:tcW w:w="4045" w:type="dxa"/>
            <w:tcBorders>
              <w:top w:val="single" w:sz="4" w:space="0" w:color="000000"/>
            </w:tcBorders>
          </w:tcPr>
          <w:p w14:paraId="00000031" w14:textId="77777777" w:rsidR="00BA47B2" w:rsidRPr="001650F3" w:rsidRDefault="008306D2" w:rsidP="00026FD8">
            <w:pPr>
              <w:jc w:val="center"/>
              <w:rPr>
                <w:rFonts w:ascii="Arial" w:eastAsia="Times New Roman" w:hAnsi="Arial" w:cs="Arial"/>
                <w:b/>
                <w:sz w:val="20"/>
                <w:szCs w:val="20"/>
              </w:rPr>
            </w:pPr>
            <w:r w:rsidRPr="001650F3">
              <w:rPr>
                <w:rFonts w:ascii="Arial" w:eastAsia="Times New Roman" w:hAnsi="Arial" w:cs="Arial"/>
                <w:b/>
                <w:sz w:val="20"/>
                <w:szCs w:val="20"/>
              </w:rPr>
              <w:t>65.28%</w:t>
            </w:r>
          </w:p>
        </w:tc>
      </w:tr>
      <w:tr w:rsidR="00BA47B2" w:rsidRPr="00964D72" w14:paraId="56C8E4D5" w14:textId="77777777">
        <w:tc>
          <w:tcPr>
            <w:tcW w:w="830" w:type="dxa"/>
            <w:vAlign w:val="center"/>
          </w:tcPr>
          <w:p w14:paraId="00000032" w14:textId="77777777" w:rsidR="00BA47B2" w:rsidRPr="00964D72" w:rsidRDefault="00BA47B2" w:rsidP="00026FD8">
            <w:pPr>
              <w:numPr>
                <w:ilvl w:val="3"/>
                <w:numId w:val="22"/>
              </w:numPr>
              <w:pBdr>
                <w:top w:val="nil"/>
                <w:left w:val="nil"/>
                <w:bottom w:val="nil"/>
                <w:right w:val="nil"/>
                <w:between w:val="nil"/>
              </w:pBdr>
              <w:spacing w:after="160"/>
              <w:ind w:left="431"/>
              <w:jc w:val="center"/>
              <w:rPr>
                <w:rFonts w:ascii="Arial" w:eastAsia="Times New Roman" w:hAnsi="Arial" w:cs="Arial"/>
                <w:bCs/>
                <w:color w:val="000000"/>
                <w:sz w:val="20"/>
                <w:szCs w:val="20"/>
              </w:rPr>
            </w:pPr>
          </w:p>
        </w:tc>
        <w:tc>
          <w:tcPr>
            <w:tcW w:w="4475" w:type="dxa"/>
          </w:tcPr>
          <w:p w14:paraId="00000033" w14:textId="77777777" w:rsidR="00BA47B2" w:rsidRPr="00964D72" w:rsidRDefault="008306D2" w:rsidP="00026FD8">
            <w:pPr>
              <w:jc w:val="both"/>
              <w:rPr>
                <w:rFonts w:ascii="Arial" w:eastAsia="Times New Roman" w:hAnsi="Arial" w:cs="Arial"/>
                <w:bCs/>
                <w:sz w:val="20"/>
                <w:szCs w:val="20"/>
              </w:rPr>
            </w:pPr>
            <w:r w:rsidRPr="00964D72">
              <w:rPr>
                <w:rFonts w:ascii="Arial" w:eastAsia="Times New Roman" w:hAnsi="Arial" w:cs="Arial"/>
                <w:bCs/>
                <w:sz w:val="20"/>
                <w:szCs w:val="20"/>
              </w:rPr>
              <w:t xml:space="preserve">Physics </w:t>
            </w:r>
          </w:p>
        </w:tc>
        <w:tc>
          <w:tcPr>
            <w:tcW w:w="4045" w:type="dxa"/>
          </w:tcPr>
          <w:p w14:paraId="00000034"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70.76%</w:t>
            </w:r>
          </w:p>
        </w:tc>
      </w:tr>
      <w:tr w:rsidR="00BA47B2" w:rsidRPr="00964D72" w14:paraId="73FFB23E" w14:textId="77777777">
        <w:tc>
          <w:tcPr>
            <w:tcW w:w="830" w:type="dxa"/>
            <w:vAlign w:val="center"/>
          </w:tcPr>
          <w:p w14:paraId="00000035" w14:textId="77777777" w:rsidR="00BA47B2" w:rsidRPr="00964D72" w:rsidRDefault="00BA47B2" w:rsidP="00026FD8">
            <w:pPr>
              <w:numPr>
                <w:ilvl w:val="3"/>
                <w:numId w:val="22"/>
              </w:numPr>
              <w:pBdr>
                <w:top w:val="nil"/>
                <w:left w:val="nil"/>
                <w:bottom w:val="nil"/>
                <w:right w:val="nil"/>
                <w:between w:val="nil"/>
              </w:pBdr>
              <w:spacing w:after="160"/>
              <w:ind w:left="431"/>
              <w:jc w:val="center"/>
              <w:rPr>
                <w:rFonts w:ascii="Arial" w:eastAsia="Times New Roman" w:hAnsi="Arial" w:cs="Arial"/>
                <w:bCs/>
                <w:color w:val="000000"/>
                <w:sz w:val="20"/>
                <w:szCs w:val="20"/>
              </w:rPr>
            </w:pPr>
          </w:p>
        </w:tc>
        <w:tc>
          <w:tcPr>
            <w:tcW w:w="4475" w:type="dxa"/>
          </w:tcPr>
          <w:p w14:paraId="00000036" w14:textId="77777777" w:rsidR="00BA47B2" w:rsidRPr="00964D72" w:rsidRDefault="008306D2" w:rsidP="00026FD8">
            <w:pPr>
              <w:jc w:val="both"/>
              <w:rPr>
                <w:rFonts w:ascii="Arial" w:eastAsia="Times New Roman" w:hAnsi="Arial" w:cs="Arial"/>
                <w:bCs/>
                <w:sz w:val="20"/>
                <w:szCs w:val="20"/>
              </w:rPr>
            </w:pPr>
            <w:r w:rsidRPr="00964D72">
              <w:rPr>
                <w:rFonts w:ascii="Arial" w:eastAsia="Times New Roman" w:hAnsi="Arial" w:cs="Arial"/>
                <w:bCs/>
                <w:sz w:val="20"/>
                <w:szCs w:val="20"/>
              </w:rPr>
              <w:t xml:space="preserve">Mathematics </w:t>
            </w:r>
          </w:p>
        </w:tc>
        <w:tc>
          <w:tcPr>
            <w:tcW w:w="4045" w:type="dxa"/>
          </w:tcPr>
          <w:p w14:paraId="00000037" w14:textId="77777777" w:rsidR="00BA47B2" w:rsidRPr="00964D72" w:rsidRDefault="008306D2" w:rsidP="00026FD8">
            <w:pPr>
              <w:jc w:val="center"/>
              <w:rPr>
                <w:rFonts w:ascii="Arial" w:eastAsia="Times New Roman" w:hAnsi="Arial" w:cs="Arial"/>
                <w:bCs/>
                <w:sz w:val="20"/>
                <w:szCs w:val="20"/>
              </w:rPr>
            </w:pPr>
            <w:r w:rsidRPr="00964D72">
              <w:rPr>
                <w:rFonts w:ascii="Arial" w:eastAsia="Times New Roman" w:hAnsi="Arial" w:cs="Arial"/>
                <w:bCs/>
                <w:sz w:val="20"/>
                <w:szCs w:val="20"/>
              </w:rPr>
              <w:t xml:space="preserve"> 68.67%</w:t>
            </w:r>
          </w:p>
        </w:tc>
      </w:tr>
    </w:tbl>
    <w:p w14:paraId="00000039"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The teacher's observation indicates that science instruction at the school remains predominantly lecture-based, relying heavily on textbooks and PowerPoint presentation methods. This conventional practice tends to restrict students' involvement and in-depth comprehension, especially for intangible chemical digestion processes (Rutten et al., 2012; Frontmatter, 2014). </w:t>
      </w:r>
    </w:p>
    <w:p w14:paraId="0000003B" w14:textId="77777777" w:rsidR="00BA47B2" w:rsidRPr="00332842" w:rsidRDefault="008306D2" w:rsidP="00026FD8">
      <w:pPr>
        <w:spacing w:line="240" w:lineRule="auto"/>
        <w:jc w:val="both"/>
        <w:rPr>
          <w:rFonts w:ascii="Arial" w:eastAsia="Times New Roman" w:hAnsi="Arial" w:cs="Arial"/>
          <w:b/>
          <w:sz w:val="22"/>
          <w:szCs w:val="22"/>
        </w:rPr>
      </w:pPr>
      <w:r w:rsidRPr="00332842">
        <w:rPr>
          <w:rFonts w:ascii="Arial" w:eastAsia="Times New Roman" w:hAnsi="Arial" w:cs="Arial"/>
          <w:b/>
          <w:sz w:val="22"/>
          <w:szCs w:val="22"/>
        </w:rPr>
        <w:t xml:space="preserve">Theoretical Underpinning: Group-based Activities </w:t>
      </w:r>
    </w:p>
    <w:p w14:paraId="0000003C"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The main focus of this study is the enhancement of students' understanding of chemical digestion processes by the use of group-based learning activities. Chemical digestion involves complex biochemical processes like enzymic action, the effect of pH, and macronutrient breakdown that often pose challenges for students in visualization as well as comprehension levels (Jain &amp; Dwivedi, 2014). Traditionally used teaching approaches, like lectures as well as textbook-instructed exercises, have been unable to allow a deep conceptual understanding of this part of biology (Orgill et al., 2015). To address these challenges, science teacher training has increasingly shifted towards student-centered practices by an increasing focus on collaborative, inquiry-oriented, as well as experiential methods of learning (Capps &amp; Crawford, 2013).</w:t>
      </w:r>
    </w:p>
    <w:p w14:paraId="0000003D" w14:textId="77777777" w:rsidR="00BA47B2" w:rsidRPr="00964D72" w:rsidRDefault="008306D2" w:rsidP="00026FD8">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The research points up the usefulness of collaborative learning; however, comparatively few studies center on its direct value toward students' knowledge of chemical digestion. Previous research prefers broader areas, such as science achievement more broadly or inquiry-based science. Antonio and Prudente (2023), for example, found that the group inquiry was valuable in science classrooms, but neither mentioned chemical digestion explicitly. Likewise, </w:t>
      </w:r>
      <w:proofErr w:type="spellStart"/>
      <w:r w:rsidRPr="00964D72">
        <w:rPr>
          <w:rFonts w:ascii="Arial" w:eastAsia="Times New Roman" w:hAnsi="Arial" w:cs="Arial"/>
          <w:bCs/>
          <w:sz w:val="20"/>
          <w:szCs w:val="20"/>
        </w:rPr>
        <w:t>Yenilmez</w:t>
      </w:r>
      <w:proofErr w:type="spellEnd"/>
      <w:r w:rsidRPr="00964D72">
        <w:rPr>
          <w:rFonts w:ascii="Arial" w:eastAsia="Times New Roman" w:hAnsi="Arial" w:cs="Arial"/>
          <w:bCs/>
          <w:sz w:val="20"/>
          <w:szCs w:val="20"/>
        </w:rPr>
        <w:t xml:space="preserve"> and </w:t>
      </w:r>
      <w:proofErr w:type="spellStart"/>
      <w:r w:rsidRPr="00964D72">
        <w:rPr>
          <w:rFonts w:ascii="Arial" w:eastAsia="Times New Roman" w:hAnsi="Arial" w:cs="Arial"/>
          <w:bCs/>
          <w:sz w:val="20"/>
          <w:szCs w:val="20"/>
        </w:rPr>
        <w:t>Tekkaya</w:t>
      </w:r>
      <w:proofErr w:type="spellEnd"/>
      <w:r w:rsidRPr="00964D72">
        <w:rPr>
          <w:rFonts w:ascii="Arial" w:eastAsia="Times New Roman" w:hAnsi="Arial" w:cs="Arial"/>
          <w:bCs/>
          <w:sz w:val="20"/>
          <w:szCs w:val="20"/>
        </w:rPr>
        <w:t xml:space="preserve"> (2006) wrote on misconceptions involving digestion, but did not linger on the manner in which group-based activities could rectify these misconceptions. This inadequate focus on digestion as a narrow area reflects a need for more specific research. This study attempts to redress this gap by examining chemical digestion more closely. </w:t>
      </w:r>
    </w:p>
    <w:p w14:paraId="2689A537" w14:textId="77777777" w:rsidR="00E026AE" w:rsidRDefault="00E026AE" w:rsidP="00026FD8">
      <w:pPr>
        <w:spacing w:line="240" w:lineRule="auto"/>
        <w:jc w:val="both"/>
        <w:rPr>
          <w:rFonts w:ascii="Arial" w:eastAsia="Times New Roman" w:hAnsi="Arial" w:cs="Arial"/>
          <w:b/>
          <w:sz w:val="22"/>
          <w:szCs w:val="22"/>
        </w:rPr>
      </w:pPr>
    </w:p>
    <w:p w14:paraId="0000003E" w14:textId="28BE45D4" w:rsidR="00BA47B2" w:rsidRPr="0081468F" w:rsidRDefault="008306D2" w:rsidP="00026FD8">
      <w:pPr>
        <w:spacing w:line="240" w:lineRule="auto"/>
        <w:jc w:val="both"/>
        <w:rPr>
          <w:rFonts w:ascii="Arial" w:eastAsia="Times New Roman" w:hAnsi="Arial" w:cs="Arial"/>
          <w:b/>
          <w:sz w:val="22"/>
          <w:szCs w:val="22"/>
        </w:rPr>
      </w:pPr>
      <w:r w:rsidRPr="0081468F">
        <w:rPr>
          <w:rFonts w:ascii="Arial" w:eastAsia="Times New Roman" w:hAnsi="Arial" w:cs="Arial"/>
          <w:b/>
          <w:sz w:val="22"/>
          <w:szCs w:val="22"/>
        </w:rPr>
        <w:t>Literature Review</w:t>
      </w:r>
    </w:p>
    <w:p w14:paraId="0000003F"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lastRenderedPageBreak/>
        <w:t>Group learning has recently become a foundation of modern educational methodologies, shifting from conventional lectures to more interactive forms of group learning. Group-based learning encompasses a range of activities, including short-term problem-solving strategies and project work. This literature review will discuss current research on group activities, exploring their effectiveness in enhancing understanding among students, despite the obstacles they encounter during group learning.</w:t>
      </w:r>
    </w:p>
    <w:p w14:paraId="00000040" w14:textId="77777777" w:rsidR="00BA47B2" w:rsidRPr="00742AD3" w:rsidRDefault="008306D2" w:rsidP="00026FD8">
      <w:pPr>
        <w:spacing w:line="240" w:lineRule="auto"/>
        <w:jc w:val="both"/>
        <w:rPr>
          <w:rFonts w:ascii="Arial" w:eastAsia="Times New Roman" w:hAnsi="Arial" w:cs="Arial"/>
          <w:b/>
          <w:sz w:val="20"/>
          <w:szCs w:val="20"/>
          <w:u w:val="single"/>
        </w:rPr>
      </w:pPr>
      <w:r w:rsidRPr="00742AD3">
        <w:rPr>
          <w:rFonts w:ascii="Arial" w:eastAsia="Times New Roman" w:hAnsi="Arial" w:cs="Arial"/>
          <w:b/>
          <w:sz w:val="20"/>
          <w:szCs w:val="20"/>
          <w:u w:val="single"/>
        </w:rPr>
        <w:t>Effectiveness in Understanding the Topic</w:t>
      </w:r>
    </w:p>
    <w:p w14:paraId="00000041"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An important rationale that can be given in favor of group activities is their effectiveness in encouraging conceptual understanding in students. Theoretical foundations of this rationale can be found in the social development theory of Vygotsky (1980), which states that social interactions play an intrinsic role in student development. Based on teamwork, students participate in various activities involving explanation, discussion, or peer-correction, which helps them to make up their minds.</w:t>
      </w:r>
    </w:p>
    <w:p w14:paraId="00000042"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findings from research prove that the overall level of understanding of students in well-structured group activities can be higher than that of individuals working alone. This was clearly indicated by the findings of a meta-analysis of science, technology, engineering, and mathematics (STEM) education conducted by Springer et al. (1999), which found that small-group learning had highly positive impacts on learning outcomes. The authors stated that asking others for explanations of concepts forces a re-structuring of knowledge on the students' parts, including the discovery of gaps in their own knowledge.</w:t>
      </w:r>
    </w:p>
    <w:p w14:paraId="4FCB603B" w14:textId="77777777" w:rsidR="00894639" w:rsidRDefault="008306D2" w:rsidP="00AB4C27">
      <w:pPr>
        <w:spacing w:line="240" w:lineRule="auto"/>
        <w:jc w:val="both"/>
        <w:rPr>
          <w:rFonts w:ascii="Arial" w:eastAsia="Times New Roman" w:hAnsi="Arial" w:cs="Arial"/>
          <w:sz w:val="20"/>
          <w:szCs w:val="20"/>
        </w:rPr>
      </w:pPr>
      <w:r w:rsidRPr="00F757A3">
        <w:rPr>
          <w:rFonts w:ascii="Arial" w:eastAsia="Times New Roman" w:hAnsi="Arial" w:cs="Arial"/>
          <w:sz w:val="20"/>
          <w:szCs w:val="20"/>
        </w:rPr>
        <w:t>Moreover, this process of collaboration allows students to be exposed to various points of view, in addition to different approaches to solving problems. As Johnson and Johnson (2009) discuss, "a uniquely rich intellectual experience is created." Students feel encouraged "to engage in discussion, debate, and rational challenge of each other’s reasoning." The effect of this process of processing information after a state of "cognitive conflict" is created can evoke more profound levels of learning than mere information transmission. Teaching others, which often happens in group work, not only enhances the learner’s knowledge but also enhances the teacher’s, which was demonstrated by the "protégé effect" (</w:t>
      </w:r>
      <w:proofErr w:type="spellStart"/>
      <w:r w:rsidRPr="00F757A3">
        <w:rPr>
          <w:rFonts w:ascii="Arial" w:eastAsia="Times New Roman" w:hAnsi="Arial" w:cs="Arial"/>
          <w:sz w:val="20"/>
          <w:szCs w:val="20"/>
        </w:rPr>
        <w:t>Annis</w:t>
      </w:r>
      <w:proofErr w:type="spellEnd"/>
      <w:r w:rsidRPr="00F757A3">
        <w:rPr>
          <w:rFonts w:ascii="Arial" w:eastAsia="Times New Roman" w:hAnsi="Arial" w:cs="Arial"/>
          <w:sz w:val="20"/>
          <w:szCs w:val="20"/>
        </w:rPr>
        <w:t>, 1983).</w:t>
      </w:r>
      <w:r w:rsidR="00E026AE">
        <w:rPr>
          <w:rFonts w:ascii="Arial" w:eastAsia="Times New Roman" w:hAnsi="Arial" w:cs="Arial"/>
          <w:sz w:val="20"/>
          <w:szCs w:val="20"/>
        </w:rPr>
        <w:t xml:space="preserve"> </w:t>
      </w:r>
    </w:p>
    <w:p w14:paraId="386EBFB8" w14:textId="776E4649" w:rsidR="00894639" w:rsidRDefault="00AB4C27" w:rsidP="00026FD8">
      <w:pPr>
        <w:spacing w:line="240" w:lineRule="auto"/>
        <w:jc w:val="both"/>
        <w:rPr>
          <w:rFonts w:ascii="Arial" w:eastAsia="Times New Roman" w:hAnsi="Arial" w:cs="Arial"/>
          <w:sz w:val="20"/>
          <w:szCs w:val="20"/>
          <w:lang w:val="en-US"/>
        </w:rPr>
      </w:pPr>
      <w:r>
        <w:rPr>
          <w:rFonts w:ascii="Arial" w:eastAsia="Times New Roman" w:hAnsi="Arial" w:cs="Arial"/>
          <w:sz w:val="20"/>
          <w:szCs w:val="20"/>
        </w:rPr>
        <w:t xml:space="preserve">Further, </w:t>
      </w:r>
      <w:proofErr w:type="spellStart"/>
      <w:r>
        <w:rPr>
          <w:rFonts w:ascii="Arial" w:eastAsia="Times New Roman" w:hAnsi="Arial" w:cs="Arial"/>
          <w:sz w:val="20"/>
          <w:szCs w:val="20"/>
        </w:rPr>
        <w:t>Nidup</w:t>
      </w:r>
      <w:proofErr w:type="spellEnd"/>
      <w:r>
        <w:rPr>
          <w:rFonts w:ascii="Arial" w:eastAsia="Times New Roman" w:hAnsi="Arial" w:cs="Arial"/>
          <w:sz w:val="20"/>
          <w:szCs w:val="20"/>
        </w:rPr>
        <w:t xml:space="preserve"> et al. (2021) posits cooperative learning like </w:t>
      </w:r>
      <w:r w:rsidRPr="00AB4C27">
        <w:rPr>
          <w:rFonts w:ascii="Arial" w:eastAsia="Times New Roman" w:hAnsi="Arial" w:cs="Arial"/>
          <w:sz w:val="20"/>
          <w:szCs w:val="20"/>
          <w:lang w:val="en-US"/>
        </w:rPr>
        <w:t xml:space="preserve">role play is found to be much better </w:t>
      </w:r>
      <w:r>
        <w:rPr>
          <w:rFonts w:ascii="Arial" w:eastAsia="Times New Roman" w:hAnsi="Arial" w:cs="Arial"/>
          <w:sz w:val="20"/>
          <w:szCs w:val="20"/>
          <w:lang w:val="en-US"/>
        </w:rPr>
        <w:t>in enhancing grade X students’ proficiency in Biology</w:t>
      </w:r>
      <w:r w:rsidRPr="00AB4C27">
        <w:rPr>
          <w:rFonts w:ascii="Arial" w:eastAsia="Times New Roman" w:hAnsi="Arial" w:cs="Arial"/>
          <w:sz w:val="20"/>
          <w:szCs w:val="20"/>
          <w:lang w:val="en-US"/>
        </w:rPr>
        <w:t xml:space="preserve">. </w:t>
      </w:r>
      <w:r w:rsidR="00894639">
        <w:rPr>
          <w:rFonts w:ascii="Arial" w:eastAsia="Times New Roman" w:hAnsi="Arial" w:cs="Arial"/>
          <w:sz w:val="20"/>
          <w:szCs w:val="20"/>
          <w:lang w:val="en-US"/>
        </w:rPr>
        <w:t>Similarly, s</w:t>
      </w:r>
      <w:r w:rsidR="00894639" w:rsidRPr="00894639">
        <w:rPr>
          <w:rFonts w:ascii="Arial" w:eastAsia="Times New Roman" w:hAnsi="Arial" w:cs="Arial"/>
          <w:sz w:val="20"/>
          <w:szCs w:val="20"/>
          <w:lang w:val="en-US"/>
        </w:rPr>
        <w:t xml:space="preserve">tudy </w:t>
      </w:r>
      <w:r w:rsidR="00894639">
        <w:rPr>
          <w:rFonts w:ascii="Arial" w:eastAsia="Times New Roman" w:hAnsi="Arial" w:cs="Arial"/>
          <w:sz w:val="20"/>
          <w:szCs w:val="20"/>
          <w:lang w:val="en-US"/>
        </w:rPr>
        <w:t xml:space="preserve">by </w:t>
      </w:r>
      <w:r w:rsidR="00894639">
        <w:t xml:space="preserve">Young (2020) also </w:t>
      </w:r>
      <w:r w:rsidR="00894639">
        <w:rPr>
          <w:rFonts w:ascii="Arial" w:eastAsia="Times New Roman" w:hAnsi="Arial" w:cs="Arial"/>
          <w:sz w:val="20"/>
          <w:szCs w:val="20"/>
          <w:lang w:val="en-US"/>
        </w:rPr>
        <w:t>supports</w:t>
      </w:r>
      <w:r w:rsidR="00894639" w:rsidRPr="00894639">
        <w:rPr>
          <w:rFonts w:ascii="Arial" w:eastAsia="Times New Roman" w:hAnsi="Arial" w:cs="Arial"/>
          <w:sz w:val="20"/>
          <w:szCs w:val="20"/>
          <w:lang w:val="en-US"/>
        </w:rPr>
        <w:t xml:space="preserve"> that implementing group-role play in higher education significantly enhances studen</w:t>
      </w:r>
      <w:r w:rsidR="00894639">
        <w:rPr>
          <w:rFonts w:ascii="Arial" w:eastAsia="Times New Roman" w:hAnsi="Arial" w:cs="Arial"/>
          <w:sz w:val="20"/>
          <w:szCs w:val="20"/>
          <w:lang w:val="en-US"/>
        </w:rPr>
        <w:t>ts</w:t>
      </w:r>
      <w:r w:rsidR="00894639" w:rsidRPr="00894639">
        <w:rPr>
          <w:rFonts w:ascii="Arial" w:eastAsia="Times New Roman" w:hAnsi="Arial" w:cs="Arial"/>
          <w:sz w:val="20"/>
          <w:szCs w:val="20"/>
          <w:lang w:val="en-US"/>
        </w:rPr>
        <w:t xml:space="preserve"> deep learning. </w:t>
      </w:r>
    </w:p>
    <w:p w14:paraId="00000044" w14:textId="68EF1E6A" w:rsidR="00BA47B2" w:rsidRPr="00742AD3" w:rsidRDefault="008306D2" w:rsidP="00026FD8">
      <w:pPr>
        <w:spacing w:line="240" w:lineRule="auto"/>
        <w:jc w:val="both"/>
        <w:rPr>
          <w:rFonts w:ascii="Arial" w:eastAsia="Times New Roman" w:hAnsi="Arial" w:cs="Arial"/>
          <w:b/>
          <w:sz w:val="20"/>
          <w:szCs w:val="20"/>
          <w:u w:val="single"/>
        </w:rPr>
      </w:pPr>
      <w:r w:rsidRPr="00742AD3">
        <w:rPr>
          <w:rFonts w:ascii="Arial" w:eastAsia="Times New Roman" w:hAnsi="Arial" w:cs="Arial"/>
          <w:b/>
          <w:sz w:val="20"/>
          <w:szCs w:val="20"/>
          <w:u w:val="single"/>
        </w:rPr>
        <w:t>Effectiveness in Engaging Students with the Topic</w:t>
      </w:r>
    </w:p>
    <w:p w14:paraId="00000045"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Aside from academic outcom</w:t>
      </w:r>
      <w:sdt>
        <w:sdtPr>
          <w:rPr>
            <w:rFonts w:ascii="Arial" w:hAnsi="Arial" w:cs="Arial"/>
            <w:sz w:val="20"/>
            <w:szCs w:val="20"/>
          </w:rPr>
          <w:tag w:val="goog_rdk_1"/>
          <w:id w:val="1175866257"/>
        </w:sdtPr>
        <w:sdtEndPr/>
        <w:sdtContent/>
      </w:sdt>
      <w:sdt>
        <w:sdtPr>
          <w:rPr>
            <w:rFonts w:ascii="Arial" w:hAnsi="Arial" w:cs="Arial"/>
            <w:sz w:val="20"/>
            <w:szCs w:val="20"/>
          </w:rPr>
          <w:tag w:val="goog_rdk_2"/>
          <w:id w:val="312135058"/>
        </w:sdtPr>
        <w:sdtEndPr/>
        <w:sdtContent/>
      </w:sdt>
      <w:sdt>
        <w:sdtPr>
          <w:rPr>
            <w:rFonts w:ascii="Arial" w:hAnsi="Arial" w:cs="Arial"/>
            <w:sz w:val="20"/>
            <w:szCs w:val="20"/>
          </w:rPr>
          <w:tag w:val="goog_rdk_3"/>
          <w:id w:val="-1424275463"/>
        </w:sdtPr>
        <w:sdtEndPr/>
        <w:sdtContent/>
      </w:sdt>
      <w:r w:rsidRPr="00F757A3">
        <w:rPr>
          <w:rFonts w:ascii="Arial" w:eastAsia="Times New Roman" w:hAnsi="Arial" w:cs="Arial"/>
          <w:sz w:val="20"/>
          <w:szCs w:val="20"/>
        </w:rPr>
        <w:t>es, tasks that involve groups can efficiently raise engagement levels among students. The engagement of students can be viewed in terms of their behavior, cognitive, or emotional engagement. Cognitive engagement involves the use of intellectual effort in processing information.</w:t>
      </w:r>
    </w:p>
    <w:p w14:paraId="00000046"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social aspect of group work is directly related to relatedness, which is an important element of Self-Determination Theory (Ryan &amp; Deci, 2000). Students' feelings of association or affiliation with others will tend to raise their intrinsic motivation. As stated by </w:t>
      </w:r>
      <w:proofErr w:type="spellStart"/>
      <w:r w:rsidRPr="00F757A3">
        <w:rPr>
          <w:rFonts w:ascii="Arial" w:eastAsia="Times New Roman" w:hAnsi="Arial" w:cs="Arial"/>
          <w:sz w:val="20"/>
          <w:szCs w:val="20"/>
        </w:rPr>
        <w:t>Slavin</w:t>
      </w:r>
      <w:proofErr w:type="spellEnd"/>
      <w:r w:rsidRPr="00F757A3">
        <w:rPr>
          <w:rFonts w:ascii="Arial" w:eastAsia="Times New Roman" w:hAnsi="Arial" w:cs="Arial"/>
          <w:sz w:val="20"/>
          <w:szCs w:val="20"/>
        </w:rPr>
        <w:t xml:space="preserve"> (2014), positive interdependence created by various strategies of cooperative learning involving group goals or individual accountability produces an environment where students feel not only personally accountable for their own task or activity but also accountable for others. Hence, they tend to immerse themselves more in the task or activity.</w:t>
      </w:r>
    </w:p>
    <w:p w14:paraId="00000047"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Additionally, group activities can also make learning more active than passive. For this reason, research by Freeman et al. (2014) showed that active learning, including group activities, can positively influence the outcomes of students in STEM classes. The most significant impact of this kind of activity is transforming the role of students from passive constructors of knowledge to active constructors of knowledge, which promotes more interest in the subject matter (Prince, 2004). Active learning can act as a remedy in preventing students from becoming disengaged, which can occur during lectures.</w:t>
      </w:r>
    </w:p>
    <w:p w14:paraId="00000048" w14:textId="01BCA928" w:rsidR="00BA47B2" w:rsidRPr="00742AD3" w:rsidRDefault="008306D2" w:rsidP="00026FD8">
      <w:pPr>
        <w:spacing w:line="240" w:lineRule="auto"/>
        <w:jc w:val="both"/>
        <w:rPr>
          <w:rFonts w:ascii="Arial" w:eastAsia="Times New Roman" w:hAnsi="Arial" w:cs="Arial"/>
          <w:b/>
          <w:sz w:val="20"/>
          <w:szCs w:val="20"/>
          <w:u w:val="single"/>
        </w:rPr>
      </w:pPr>
      <w:r w:rsidRPr="00742AD3">
        <w:rPr>
          <w:rFonts w:ascii="Arial" w:eastAsia="Times New Roman" w:hAnsi="Arial" w:cs="Arial"/>
          <w:b/>
          <w:sz w:val="20"/>
          <w:szCs w:val="20"/>
          <w:u w:val="single"/>
        </w:rPr>
        <w:t>Challenges Students Face While Engaging in Group Activities</w:t>
      </w:r>
    </w:p>
    <w:p w14:paraId="00000049"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Even with all the benefits on offer, there are still many issues involved in the application of group work that can easily diminish its effectiveness if not well addressed. Many of these issues emanate from human dynamics.</w:t>
      </w:r>
    </w:p>
    <w:p w14:paraId="0000004A"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"Social loafing or the ‘sucker effect’" is one of the most often-mentioned issues. This refers to individuals in a group making little effort while still receiving the benefit of the group’s grade (Hall &amp; </w:t>
      </w:r>
      <w:proofErr w:type="spellStart"/>
      <w:r w:rsidRPr="00F757A3">
        <w:rPr>
          <w:rFonts w:ascii="Arial" w:eastAsia="Times New Roman" w:hAnsi="Arial" w:cs="Arial"/>
          <w:sz w:val="20"/>
          <w:szCs w:val="20"/>
        </w:rPr>
        <w:t>Buzwell</w:t>
      </w:r>
      <w:proofErr w:type="spellEnd"/>
      <w:r w:rsidRPr="00F757A3">
        <w:rPr>
          <w:rFonts w:ascii="Arial" w:eastAsia="Times New Roman" w:hAnsi="Arial" w:cs="Arial"/>
          <w:sz w:val="20"/>
          <w:szCs w:val="20"/>
        </w:rPr>
        <w:t xml:space="preserve">, 2013). However, it has been seen that this lack of parity of efforts can give rise to various conflicts among diligent individuals in the group. The "sucker effect" refers to individuals </w:t>
      </w:r>
      <w:proofErr w:type="gramStart"/>
      <w:r w:rsidRPr="00F757A3">
        <w:rPr>
          <w:rFonts w:ascii="Arial" w:eastAsia="Times New Roman" w:hAnsi="Arial" w:cs="Arial"/>
          <w:sz w:val="20"/>
          <w:szCs w:val="20"/>
        </w:rPr>
        <w:t>making an effort</w:t>
      </w:r>
      <w:proofErr w:type="gramEnd"/>
      <w:r w:rsidRPr="00F757A3">
        <w:rPr>
          <w:rFonts w:ascii="Arial" w:eastAsia="Times New Roman" w:hAnsi="Arial" w:cs="Arial"/>
          <w:sz w:val="20"/>
          <w:szCs w:val="20"/>
        </w:rPr>
        <w:t xml:space="preserve"> not to be duped by individuals making less effort (Kerr, 1983).</w:t>
      </w:r>
    </w:p>
    <w:p w14:paraId="0000004B"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lastRenderedPageBreak/>
        <w:t xml:space="preserve">The second significant issue would be conflict. This could be task conflict (conflicts involving ideas and processes) or relational conflict (personality conflicts). While task conflict can often be beneficial, relational conflict that is not attended to will always be harmful to the group dynamics (Levi and </w:t>
      </w:r>
      <w:proofErr w:type="spellStart"/>
      <w:r w:rsidRPr="00F757A3">
        <w:rPr>
          <w:rFonts w:ascii="Arial" w:eastAsia="Times New Roman" w:hAnsi="Arial" w:cs="Arial"/>
          <w:sz w:val="20"/>
          <w:szCs w:val="20"/>
        </w:rPr>
        <w:t>Askay</w:t>
      </w:r>
      <w:proofErr w:type="spellEnd"/>
      <w:r w:rsidRPr="00F757A3">
        <w:rPr>
          <w:rFonts w:ascii="Arial" w:eastAsia="Times New Roman" w:hAnsi="Arial" w:cs="Arial"/>
          <w:sz w:val="20"/>
          <w:szCs w:val="20"/>
        </w:rPr>
        <w:t>, 2020). Students do not always develop the skills that will help them effectively deal with conflicts.</w:t>
      </w:r>
    </w:p>
    <w:p w14:paraId="0000004C"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Third, there are issues of coordination and logistics that pose significant challenges. Organizing classes outside of the scheduled time can prove challenging for the students, given their different commitments (Hansen, 2006). Also, group work assessment is a difficult task. If one grade is used to assess an entire group, it could result in inequity (Bacon, 2005). Finally, there can be significant gaps in knowledge and skills among members of a group. This can result in an unbalance, whereby more skilled students can lead or become bogged down by trying to teach others. This scenario is referred to as the "status differential" problem (Cohen &amp; Lotan, 2014).</w:t>
      </w:r>
    </w:p>
    <w:p w14:paraId="0000004D" w14:textId="5AB5598C" w:rsidR="00BA47B2" w:rsidRPr="005D74E8" w:rsidRDefault="00C20B4D" w:rsidP="00026FD8">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METHODOLOGY </w:t>
      </w:r>
    </w:p>
    <w:p w14:paraId="0000004E" w14:textId="77777777" w:rsidR="00BA47B2" w:rsidRPr="00C20B4D" w:rsidRDefault="008306D2" w:rsidP="00026FD8">
      <w:pPr>
        <w:spacing w:line="240" w:lineRule="auto"/>
        <w:jc w:val="both"/>
        <w:rPr>
          <w:rFonts w:ascii="Arial" w:eastAsia="Times New Roman" w:hAnsi="Arial" w:cs="Arial"/>
          <w:b/>
          <w:sz w:val="22"/>
          <w:szCs w:val="22"/>
        </w:rPr>
      </w:pPr>
      <w:r w:rsidRPr="00C20B4D">
        <w:rPr>
          <w:rFonts w:ascii="Arial" w:eastAsia="Times New Roman" w:hAnsi="Arial" w:cs="Arial"/>
          <w:b/>
          <w:sz w:val="22"/>
          <w:szCs w:val="22"/>
        </w:rPr>
        <w:t>Participants</w:t>
      </w:r>
    </w:p>
    <w:p w14:paraId="0000004F" w14:textId="591CB88B"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A non-probability convenience sampling technique was employed to identify the sample for the study. The study selected two sections of grade X students (N=52), where the researcher teaches Biology at </w:t>
      </w:r>
      <w:proofErr w:type="spellStart"/>
      <w:r w:rsidRPr="00F757A3">
        <w:rPr>
          <w:rFonts w:ascii="Arial" w:eastAsia="Times New Roman" w:hAnsi="Arial" w:cs="Arial"/>
          <w:sz w:val="20"/>
          <w:szCs w:val="20"/>
        </w:rPr>
        <w:t>Lungtenzampa</w:t>
      </w:r>
      <w:proofErr w:type="spellEnd"/>
      <w:r w:rsidRPr="00F757A3">
        <w:rPr>
          <w:rFonts w:ascii="Arial" w:eastAsia="Times New Roman" w:hAnsi="Arial" w:cs="Arial"/>
          <w:sz w:val="20"/>
          <w:szCs w:val="20"/>
        </w:rPr>
        <w:t xml:space="preserve"> Middle Secondary School. </w:t>
      </w:r>
      <w:r w:rsidR="00C82D01">
        <w:rPr>
          <w:rFonts w:ascii="Arial" w:eastAsia="Times New Roman" w:hAnsi="Arial" w:cs="Arial"/>
          <w:sz w:val="20"/>
          <w:szCs w:val="20"/>
        </w:rPr>
        <w:t xml:space="preserve">This study did not use any control group. </w:t>
      </w:r>
    </w:p>
    <w:p w14:paraId="00000050" w14:textId="74FB9EF0" w:rsidR="00BA47B2" w:rsidRPr="00C20B4D" w:rsidRDefault="008306D2" w:rsidP="00026FD8">
      <w:pPr>
        <w:spacing w:line="240" w:lineRule="auto"/>
        <w:jc w:val="both"/>
        <w:rPr>
          <w:rFonts w:ascii="Arial" w:eastAsia="Times New Roman" w:hAnsi="Arial" w:cs="Arial"/>
          <w:b/>
          <w:sz w:val="20"/>
          <w:szCs w:val="20"/>
        </w:rPr>
      </w:pPr>
      <w:r w:rsidRPr="00F757A3">
        <w:rPr>
          <w:rFonts w:ascii="Arial" w:eastAsia="Times New Roman" w:hAnsi="Arial" w:cs="Arial"/>
          <w:b/>
          <w:sz w:val="20"/>
          <w:szCs w:val="20"/>
        </w:rPr>
        <w:t xml:space="preserve"> </w:t>
      </w:r>
      <w:r w:rsidRPr="00332842">
        <w:rPr>
          <w:rFonts w:ascii="Arial" w:eastAsia="Times New Roman" w:hAnsi="Arial" w:cs="Arial"/>
          <w:b/>
          <w:sz w:val="22"/>
          <w:szCs w:val="22"/>
        </w:rPr>
        <w:t>Research Design and Instruments</w:t>
      </w:r>
    </w:p>
    <w:p w14:paraId="00000051" w14:textId="6ABDA14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An action research methodology was adopted, following the trend of the planning-acting-observing-reflecting cycle (</w:t>
      </w:r>
      <w:proofErr w:type="spellStart"/>
      <w:r w:rsidRPr="00F757A3">
        <w:rPr>
          <w:rFonts w:ascii="Arial" w:eastAsia="Times New Roman" w:hAnsi="Arial" w:cs="Arial"/>
          <w:sz w:val="20"/>
          <w:szCs w:val="20"/>
        </w:rPr>
        <w:t>Kemmis</w:t>
      </w:r>
      <w:proofErr w:type="spellEnd"/>
      <w:r w:rsidRPr="00F757A3">
        <w:rPr>
          <w:rFonts w:ascii="Arial" w:eastAsia="Times New Roman" w:hAnsi="Arial" w:cs="Arial"/>
          <w:sz w:val="20"/>
          <w:szCs w:val="20"/>
        </w:rPr>
        <w:t xml:space="preserve"> et al., 2014), by administering a</w:t>
      </w:r>
      <w:r w:rsidR="00BD14D4">
        <w:rPr>
          <w:rFonts w:ascii="Arial" w:eastAsia="Times New Roman" w:hAnsi="Arial" w:cs="Arial"/>
          <w:sz w:val="20"/>
          <w:szCs w:val="20"/>
        </w:rPr>
        <w:t xml:space="preserve"> convergent (parallel)</w:t>
      </w:r>
      <w:r w:rsidRPr="00F757A3">
        <w:rPr>
          <w:rFonts w:ascii="Arial" w:eastAsia="Times New Roman" w:hAnsi="Arial" w:cs="Arial"/>
          <w:sz w:val="20"/>
          <w:szCs w:val="20"/>
        </w:rPr>
        <w:t xml:space="preserve"> mixed-methods application. The following tools were employed:</w:t>
      </w:r>
    </w:p>
    <w:p w14:paraId="00000052" w14:textId="77777777" w:rsidR="00BA47B2" w:rsidRPr="00F757A3" w:rsidRDefault="008306D2" w:rsidP="00026FD8">
      <w:pPr>
        <w:numPr>
          <w:ilvl w:val="0"/>
          <w:numId w:val="2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Pre-test and Post-test: Conducted 10-mark tests to check conceptual knowledge.</w:t>
      </w:r>
    </w:p>
    <w:p w14:paraId="00000053" w14:textId="77777777" w:rsidR="00BA47B2" w:rsidRPr="00F757A3" w:rsidRDefault="008306D2" w:rsidP="00026FD8">
      <w:pPr>
        <w:numPr>
          <w:ilvl w:val="0"/>
          <w:numId w:val="2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Student Survey: A 9-item Likert scale instrument (1=Strongly Disagree, 5=Strongly Agree) measuring perceived effectiveness in enhancing comprehension and engagement.</w:t>
      </w:r>
    </w:p>
    <w:p w14:paraId="00000054" w14:textId="77777777" w:rsidR="00BA47B2" w:rsidRDefault="008306D2" w:rsidP="00026FD8">
      <w:pPr>
        <w:numPr>
          <w:ilvl w:val="0"/>
          <w:numId w:val="23"/>
        </w:numPr>
        <w:pBdr>
          <w:top w:val="nil"/>
          <w:left w:val="nil"/>
          <w:bottom w:val="nil"/>
          <w:right w:val="nil"/>
          <w:between w:val="nil"/>
        </w:pBdr>
        <w:spacing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Structured interview: Performed with a cohort of students to get the qualitative insights.</w:t>
      </w:r>
    </w:p>
    <w:p w14:paraId="66301AEC" w14:textId="3CAA2D50" w:rsidR="0006068B" w:rsidRDefault="0006068B" w:rsidP="0006068B">
      <w:pPr>
        <w:pBdr>
          <w:top w:val="nil"/>
          <w:left w:val="nil"/>
          <w:bottom w:val="nil"/>
          <w:right w:val="nil"/>
          <w:between w:val="nil"/>
        </w:pBdr>
        <w:spacing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Prior to implementation, the aforementioned instruments were reviewed and approved by three senior Biology teachers from same school. </w:t>
      </w:r>
    </w:p>
    <w:p w14:paraId="00000055" w14:textId="269C9BD9" w:rsidR="00BA47B2" w:rsidRPr="00C20B4D" w:rsidRDefault="008306D2" w:rsidP="00026FD8">
      <w:pPr>
        <w:spacing w:line="240" w:lineRule="auto"/>
        <w:jc w:val="both"/>
        <w:rPr>
          <w:rFonts w:ascii="Arial" w:eastAsia="Times New Roman" w:hAnsi="Arial" w:cs="Arial"/>
          <w:b/>
          <w:sz w:val="22"/>
          <w:szCs w:val="22"/>
        </w:rPr>
      </w:pPr>
      <w:r w:rsidRPr="00C20B4D">
        <w:rPr>
          <w:rFonts w:ascii="Arial" w:eastAsia="Times New Roman" w:hAnsi="Arial" w:cs="Arial"/>
          <w:b/>
          <w:sz w:val="22"/>
          <w:szCs w:val="22"/>
        </w:rPr>
        <w:t xml:space="preserve">Procedures and Intervention </w:t>
      </w:r>
    </w:p>
    <w:p w14:paraId="00000056"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study was carried out for six weeks. In each week, there were three periods. </w:t>
      </w:r>
    </w:p>
    <w:p w14:paraId="00000057" w14:textId="77777777" w:rsidR="00BA47B2" w:rsidRPr="00F757A3" w:rsidRDefault="008306D2" w:rsidP="00026FD8">
      <w:pPr>
        <w:numPr>
          <w:ilvl w:val="0"/>
          <w:numId w:val="2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Baseline data collection: A pre-test was conducted in last week of April 2025 to measure the initial knowledge.</w:t>
      </w:r>
    </w:p>
    <w:p w14:paraId="00000058" w14:textId="77777777" w:rsidR="00BA47B2" w:rsidRPr="00F757A3" w:rsidRDefault="008306D2" w:rsidP="00026FD8">
      <w:pPr>
        <w:numPr>
          <w:ilvl w:val="0"/>
          <w:numId w:val="2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Intervention: The intervention was carried out for four weeks in June. The following interventions were implemented:</w:t>
      </w:r>
    </w:p>
    <w:p w14:paraId="00000059" w14:textId="77777777" w:rsidR="00BA47B2" w:rsidRPr="00F757A3" w:rsidRDefault="008306D2" w:rsidP="00026FD8">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Group video making: Students in their respective groups make short video clips on the breakdown of food by enzymes.</w:t>
      </w:r>
    </w:p>
    <w:p w14:paraId="0000005A" w14:textId="77777777" w:rsidR="00BA47B2" w:rsidRPr="00F757A3" w:rsidRDefault="008306D2" w:rsidP="00026FD8">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Role-plays and peer tutoring: Students played the role of specific enzymes acting on food molecules, and the high-achieving students taught the low-achieving students to understand more about the topic. </w:t>
      </w:r>
    </w:p>
    <w:p w14:paraId="0000005B" w14:textId="77777777" w:rsidR="00BA47B2" w:rsidRPr="00F757A3" w:rsidRDefault="008306D2" w:rsidP="00026FD8">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Group discussions and presentation: The students in respective groups reflected on the topic they learned, which reinforced their understanding and rectified the misunderstandings.</w:t>
      </w:r>
    </w:p>
    <w:p w14:paraId="0000005C" w14:textId="77777777" w:rsidR="00BA47B2" w:rsidRPr="00F757A3" w:rsidRDefault="008306D2" w:rsidP="00026FD8">
      <w:pPr>
        <w:numPr>
          <w:ilvl w:val="0"/>
          <w:numId w:val="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Group quiz: At the end of each concept, the quizzes were conducted to check the comprehension of the concept by the students. </w:t>
      </w:r>
    </w:p>
    <w:p w14:paraId="11F3B0A9" w14:textId="3181FD69" w:rsidR="00F757A3" w:rsidRPr="000F4B20" w:rsidRDefault="008306D2" w:rsidP="000F4B20">
      <w:pPr>
        <w:numPr>
          <w:ilvl w:val="0"/>
          <w:numId w:val="2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Post-intervention data: The post-intervention data were collected in the first week of July through a post-test, a perception survey, and the structured student interviews. </w:t>
      </w:r>
    </w:p>
    <w:p w14:paraId="0000005E" w14:textId="6D98EF46" w:rsidR="00BA47B2" w:rsidRPr="005D74E8" w:rsidRDefault="00C20B4D" w:rsidP="00026FD8">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DATA ANALYSIS AND FINDINGS</w:t>
      </w:r>
    </w:p>
    <w:p w14:paraId="0000005F"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data were analyzed as follows:</w:t>
      </w:r>
    </w:p>
    <w:p w14:paraId="2CC6FAEE" w14:textId="3C3B1FBD" w:rsidR="00DE6096"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quantitative data from the pre-test, post-test, and student perception survey were analyzed using SPSS 25 and Excel, and the qualitative data from interviews were analyzed on a thematic basis. To validate the results from various sources, the data from the post-test, student perception survey, and interview were triangulated. The following were the results from the data.</w:t>
      </w:r>
    </w:p>
    <w:p w14:paraId="1CDD7A97" w14:textId="77777777" w:rsidR="000F4B20" w:rsidRDefault="000F4B20" w:rsidP="00026FD8">
      <w:pPr>
        <w:spacing w:line="240" w:lineRule="auto"/>
        <w:jc w:val="both"/>
        <w:rPr>
          <w:rFonts w:ascii="Arial" w:eastAsia="Times New Roman" w:hAnsi="Arial" w:cs="Arial"/>
          <w:b/>
          <w:sz w:val="22"/>
          <w:szCs w:val="22"/>
        </w:rPr>
      </w:pPr>
    </w:p>
    <w:p w14:paraId="6BBF159F" w14:textId="77777777" w:rsidR="000F4B20" w:rsidRDefault="000F4B20" w:rsidP="00026FD8">
      <w:pPr>
        <w:spacing w:line="240" w:lineRule="auto"/>
        <w:jc w:val="both"/>
        <w:rPr>
          <w:rFonts w:ascii="Arial" w:eastAsia="Times New Roman" w:hAnsi="Arial" w:cs="Arial"/>
          <w:b/>
          <w:sz w:val="22"/>
          <w:szCs w:val="22"/>
        </w:rPr>
      </w:pPr>
    </w:p>
    <w:p w14:paraId="00000061" w14:textId="77B4BCE2" w:rsidR="00BA47B2" w:rsidRPr="00C20B4D" w:rsidRDefault="008306D2" w:rsidP="00026FD8">
      <w:pPr>
        <w:spacing w:line="240" w:lineRule="auto"/>
        <w:jc w:val="both"/>
        <w:rPr>
          <w:rFonts w:ascii="Arial" w:eastAsia="Times New Roman" w:hAnsi="Arial" w:cs="Arial"/>
          <w:sz w:val="22"/>
          <w:szCs w:val="22"/>
        </w:rPr>
      </w:pPr>
      <w:r w:rsidRPr="00C20B4D">
        <w:rPr>
          <w:rFonts w:ascii="Arial" w:eastAsia="Times New Roman" w:hAnsi="Arial" w:cs="Arial"/>
          <w:b/>
          <w:sz w:val="22"/>
          <w:szCs w:val="22"/>
        </w:rPr>
        <w:lastRenderedPageBreak/>
        <w:t>Quantitative Findings</w:t>
      </w:r>
    </w:p>
    <w:p w14:paraId="00000062" w14:textId="6E9EAE11" w:rsidR="00BA47B2" w:rsidRPr="00F757A3" w:rsidRDefault="008306D2" w:rsidP="00026FD8">
      <w:pPr>
        <w:spacing w:line="240" w:lineRule="auto"/>
        <w:jc w:val="both"/>
        <w:rPr>
          <w:rFonts w:ascii="Arial" w:eastAsia="Times New Roman" w:hAnsi="Arial" w:cs="Arial"/>
          <w:b/>
          <w:i/>
          <w:sz w:val="20"/>
          <w:szCs w:val="20"/>
        </w:rPr>
      </w:pPr>
      <w:r w:rsidRPr="00F757A3">
        <w:rPr>
          <w:rFonts w:ascii="Arial" w:eastAsia="Times New Roman" w:hAnsi="Arial" w:cs="Arial"/>
          <w:b/>
          <w:i/>
          <w:sz w:val="20"/>
          <w:szCs w:val="20"/>
        </w:rPr>
        <w:t xml:space="preserve">Table </w:t>
      </w:r>
      <w:r w:rsidR="000F4B20">
        <w:rPr>
          <w:rFonts w:ascii="Arial" w:eastAsia="Times New Roman" w:hAnsi="Arial" w:cs="Arial"/>
          <w:b/>
          <w:i/>
          <w:sz w:val="20"/>
          <w:szCs w:val="20"/>
        </w:rPr>
        <w:t>3</w:t>
      </w:r>
      <w:r w:rsidRPr="00F757A3">
        <w:rPr>
          <w:rFonts w:ascii="Arial" w:eastAsia="Times New Roman" w:hAnsi="Arial" w:cs="Arial"/>
          <w:b/>
          <w:i/>
          <w:sz w:val="20"/>
          <w:szCs w:val="20"/>
        </w:rPr>
        <w:t>: A paired-samples t-test was conducted to compare pre-test and post-test scores.</w:t>
      </w:r>
    </w:p>
    <w:tbl>
      <w:tblPr>
        <w:tblStyle w:val="a1"/>
        <w:tblW w:w="9655" w:type="dxa"/>
        <w:tblLayout w:type="fixed"/>
        <w:tblLook w:val="0400" w:firstRow="0" w:lastRow="0" w:firstColumn="0" w:lastColumn="0" w:noHBand="0" w:noVBand="1"/>
      </w:tblPr>
      <w:tblGrid>
        <w:gridCol w:w="1408"/>
        <w:gridCol w:w="1175"/>
        <w:gridCol w:w="667"/>
        <w:gridCol w:w="2596"/>
        <w:gridCol w:w="1345"/>
        <w:gridCol w:w="2464"/>
      </w:tblGrid>
      <w:tr w:rsidR="00BA47B2" w:rsidRPr="00F757A3" w14:paraId="537EEAA9" w14:textId="77777777" w:rsidTr="00FA4A5D">
        <w:trPr>
          <w:trHeight w:val="370"/>
        </w:trPr>
        <w:tc>
          <w:tcPr>
            <w:tcW w:w="9655" w:type="dxa"/>
            <w:gridSpan w:val="6"/>
            <w:tcBorders>
              <w:top w:val="single" w:sz="4" w:space="0" w:color="000000"/>
              <w:left w:val="nil"/>
              <w:bottom w:val="nil"/>
              <w:right w:val="nil"/>
            </w:tcBorders>
            <w:vAlign w:val="bottom"/>
          </w:tcPr>
          <w:p w14:paraId="00000063"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Paired Samples Statistics</w:t>
            </w:r>
          </w:p>
        </w:tc>
      </w:tr>
      <w:tr w:rsidR="00BA47B2" w:rsidRPr="00F757A3" w14:paraId="46FD389A" w14:textId="77777777" w:rsidTr="00FA4A5D">
        <w:trPr>
          <w:trHeight w:val="370"/>
        </w:trPr>
        <w:tc>
          <w:tcPr>
            <w:tcW w:w="1408" w:type="dxa"/>
            <w:tcBorders>
              <w:top w:val="nil"/>
              <w:left w:val="nil"/>
              <w:bottom w:val="single" w:sz="4" w:space="0" w:color="000000"/>
              <w:right w:val="nil"/>
            </w:tcBorders>
            <w:vAlign w:val="bottom"/>
          </w:tcPr>
          <w:p w14:paraId="00000069" w14:textId="77777777" w:rsidR="00BA47B2" w:rsidRPr="00F757A3" w:rsidRDefault="008306D2" w:rsidP="00026FD8">
            <w:pPr>
              <w:spacing w:after="0" w:line="240" w:lineRule="auto"/>
              <w:rPr>
                <w:rFonts w:ascii="Arial" w:eastAsia="Times New Roman" w:hAnsi="Arial" w:cs="Arial"/>
                <w:b/>
                <w:color w:val="000000"/>
                <w:sz w:val="20"/>
                <w:szCs w:val="20"/>
              </w:rPr>
            </w:pPr>
            <w:r w:rsidRPr="00F757A3">
              <w:rPr>
                <w:rFonts w:ascii="Arial" w:eastAsia="Times New Roman" w:hAnsi="Arial" w:cs="Arial"/>
                <w:b/>
                <w:color w:val="000000"/>
                <w:sz w:val="20"/>
                <w:szCs w:val="20"/>
              </w:rPr>
              <w:t> </w:t>
            </w:r>
          </w:p>
        </w:tc>
        <w:tc>
          <w:tcPr>
            <w:tcW w:w="1175" w:type="dxa"/>
            <w:tcBorders>
              <w:top w:val="nil"/>
              <w:left w:val="nil"/>
              <w:bottom w:val="single" w:sz="4" w:space="0" w:color="000000"/>
              <w:right w:val="nil"/>
            </w:tcBorders>
            <w:vAlign w:val="bottom"/>
          </w:tcPr>
          <w:p w14:paraId="0000006A"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Mean</w:t>
            </w:r>
          </w:p>
        </w:tc>
        <w:tc>
          <w:tcPr>
            <w:tcW w:w="667" w:type="dxa"/>
            <w:tcBorders>
              <w:top w:val="nil"/>
              <w:left w:val="nil"/>
              <w:bottom w:val="single" w:sz="4" w:space="0" w:color="000000"/>
              <w:right w:val="nil"/>
            </w:tcBorders>
            <w:vAlign w:val="bottom"/>
          </w:tcPr>
          <w:p w14:paraId="0000006B"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N</w:t>
            </w:r>
          </w:p>
        </w:tc>
        <w:tc>
          <w:tcPr>
            <w:tcW w:w="2596" w:type="dxa"/>
            <w:tcBorders>
              <w:top w:val="nil"/>
              <w:left w:val="nil"/>
              <w:bottom w:val="single" w:sz="4" w:space="0" w:color="000000"/>
              <w:right w:val="nil"/>
            </w:tcBorders>
            <w:vAlign w:val="bottom"/>
          </w:tcPr>
          <w:p w14:paraId="0000006C"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Std. Deviation</w:t>
            </w:r>
          </w:p>
        </w:tc>
        <w:tc>
          <w:tcPr>
            <w:tcW w:w="1345" w:type="dxa"/>
            <w:tcBorders>
              <w:top w:val="nil"/>
              <w:left w:val="nil"/>
              <w:bottom w:val="single" w:sz="4" w:space="0" w:color="000000"/>
              <w:right w:val="nil"/>
            </w:tcBorders>
            <w:vAlign w:val="bottom"/>
          </w:tcPr>
          <w:p w14:paraId="0000006D"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t</w:t>
            </w:r>
          </w:p>
        </w:tc>
        <w:tc>
          <w:tcPr>
            <w:tcW w:w="2461" w:type="dxa"/>
            <w:tcBorders>
              <w:top w:val="nil"/>
              <w:left w:val="nil"/>
              <w:bottom w:val="single" w:sz="4" w:space="0" w:color="000000"/>
              <w:right w:val="nil"/>
            </w:tcBorders>
            <w:vAlign w:val="bottom"/>
          </w:tcPr>
          <w:p w14:paraId="0000006E"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Sig. (2-tailed)</w:t>
            </w:r>
          </w:p>
        </w:tc>
      </w:tr>
      <w:tr w:rsidR="00BA47B2" w:rsidRPr="00F757A3" w14:paraId="7B713DC4" w14:textId="77777777" w:rsidTr="00FA4A5D">
        <w:trPr>
          <w:trHeight w:val="370"/>
        </w:trPr>
        <w:tc>
          <w:tcPr>
            <w:tcW w:w="1408" w:type="dxa"/>
            <w:tcBorders>
              <w:top w:val="nil"/>
              <w:left w:val="nil"/>
              <w:bottom w:val="nil"/>
              <w:right w:val="nil"/>
            </w:tcBorders>
            <w:vAlign w:val="bottom"/>
          </w:tcPr>
          <w:p w14:paraId="0000006F"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Pretest</w:t>
            </w:r>
          </w:p>
        </w:tc>
        <w:tc>
          <w:tcPr>
            <w:tcW w:w="1175" w:type="dxa"/>
            <w:tcBorders>
              <w:top w:val="nil"/>
              <w:left w:val="nil"/>
              <w:bottom w:val="nil"/>
              <w:right w:val="nil"/>
            </w:tcBorders>
            <w:vAlign w:val="bottom"/>
          </w:tcPr>
          <w:p w14:paraId="00000070"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5.48</w:t>
            </w:r>
          </w:p>
        </w:tc>
        <w:tc>
          <w:tcPr>
            <w:tcW w:w="667" w:type="dxa"/>
            <w:tcBorders>
              <w:top w:val="nil"/>
              <w:left w:val="nil"/>
              <w:bottom w:val="nil"/>
              <w:right w:val="nil"/>
            </w:tcBorders>
            <w:vAlign w:val="bottom"/>
          </w:tcPr>
          <w:p w14:paraId="00000071"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2596" w:type="dxa"/>
            <w:tcBorders>
              <w:top w:val="nil"/>
              <w:left w:val="nil"/>
              <w:bottom w:val="nil"/>
              <w:right w:val="nil"/>
            </w:tcBorders>
            <w:vAlign w:val="bottom"/>
          </w:tcPr>
          <w:p w14:paraId="00000072"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2.082</w:t>
            </w:r>
          </w:p>
        </w:tc>
        <w:tc>
          <w:tcPr>
            <w:tcW w:w="1345" w:type="dxa"/>
            <w:vMerge w:val="restart"/>
            <w:tcBorders>
              <w:top w:val="nil"/>
              <w:left w:val="nil"/>
              <w:bottom w:val="single" w:sz="4" w:space="0" w:color="000000"/>
              <w:right w:val="nil"/>
            </w:tcBorders>
            <w:vAlign w:val="center"/>
          </w:tcPr>
          <w:p w14:paraId="00000073"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-4.4639</w:t>
            </w:r>
          </w:p>
        </w:tc>
        <w:tc>
          <w:tcPr>
            <w:tcW w:w="2461" w:type="dxa"/>
            <w:vMerge w:val="restart"/>
            <w:tcBorders>
              <w:top w:val="nil"/>
              <w:left w:val="nil"/>
              <w:bottom w:val="single" w:sz="4" w:space="0" w:color="000000"/>
              <w:right w:val="nil"/>
            </w:tcBorders>
            <w:vAlign w:val="center"/>
          </w:tcPr>
          <w:p w14:paraId="00000074"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0.000</w:t>
            </w:r>
          </w:p>
        </w:tc>
      </w:tr>
      <w:tr w:rsidR="00BA47B2" w:rsidRPr="00F757A3" w14:paraId="425B6F88" w14:textId="77777777" w:rsidTr="00FA4A5D">
        <w:trPr>
          <w:trHeight w:val="370"/>
        </w:trPr>
        <w:tc>
          <w:tcPr>
            <w:tcW w:w="1408" w:type="dxa"/>
            <w:tcBorders>
              <w:top w:val="nil"/>
              <w:left w:val="nil"/>
              <w:bottom w:val="single" w:sz="4" w:space="0" w:color="000000"/>
              <w:right w:val="nil"/>
            </w:tcBorders>
            <w:vAlign w:val="bottom"/>
          </w:tcPr>
          <w:p w14:paraId="00000075"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Posttest</w:t>
            </w:r>
          </w:p>
        </w:tc>
        <w:tc>
          <w:tcPr>
            <w:tcW w:w="1175" w:type="dxa"/>
            <w:tcBorders>
              <w:top w:val="nil"/>
              <w:left w:val="nil"/>
              <w:bottom w:val="single" w:sz="4" w:space="0" w:color="000000"/>
              <w:right w:val="nil"/>
            </w:tcBorders>
            <w:vAlign w:val="bottom"/>
          </w:tcPr>
          <w:p w14:paraId="00000076"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7.11</w:t>
            </w:r>
          </w:p>
        </w:tc>
        <w:tc>
          <w:tcPr>
            <w:tcW w:w="667" w:type="dxa"/>
            <w:tcBorders>
              <w:top w:val="nil"/>
              <w:left w:val="nil"/>
              <w:bottom w:val="single" w:sz="4" w:space="0" w:color="000000"/>
              <w:right w:val="nil"/>
            </w:tcBorders>
            <w:vAlign w:val="bottom"/>
          </w:tcPr>
          <w:p w14:paraId="00000077"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2596" w:type="dxa"/>
            <w:tcBorders>
              <w:top w:val="nil"/>
              <w:left w:val="nil"/>
              <w:bottom w:val="single" w:sz="4" w:space="0" w:color="000000"/>
              <w:right w:val="nil"/>
            </w:tcBorders>
            <w:vAlign w:val="bottom"/>
          </w:tcPr>
          <w:p w14:paraId="00000078"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1.981</w:t>
            </w:r>
          </w:p>
        </w:tc>
        <w:tc>
          <w:tcPr>
            <w:tcW w:w="1345" w:type="dxa"/>
            <w:vMerge/>
            <w:tcBorders>
              <w:top w:val="nil"/>
              <w:left w:val="nil"/>
              <w:bottom w:val="single" w:sz="4" w:space="0" w:color="000000"/>
              <w:right w:val="nil"/>
            </w:tcBorders>
            <w:vAlign w:val="center"/>
          </w:tcPr>
          <w:p w14:paraId="00000079" w14:textId="77777777" w:rsidR="00BA47B2" w:rsidRPr="00F757A3" w:rsidRDefault="00BA47B2" w:rsidP="00026FD8">
            <w:pPr>
              <w:widowControl w:val="0"/>
              <w:pBdr>
                <w:top w:val="nil"/>
                <w:left w:val="nil"/>
                <w:bottom w:val="nil"/>
                <w:right w:val="nil"/>
                <w:between w:val="nil"/>
              </w:pBdr>
              <w:spacing w:after="0" w:line="240" w:lineRule="auto"/>
              <w:rPr>
                <w:rFonts w:ascii="Arial" w:eastAsia="Times New Roman" w:hAnsi="Arial" w:cs="Arial"/>
                <w:color w:val="000000"/>
                <w:sz w:val="20"/>
                <w:szCs w:val="20"/>
              </w:rPr>
            </w:pPr>
          </w:p>
        </w:tc>
        <w:tc>
          <w:tcPr>
            <w:tcW w:w="2461" w:type="dxa"/>
            <w:vMerge/>
            <w:tcBorders>
              <w:top w:val="nil"/>
              <w:left w:val="nil"/>
              <w:bottom w:val="single" w:sz="4" w:space="0" w:color="000000"/>
              <w:right w:val="nil"/>
            </w:tcBorders>
            <w:vAlign w:val="center"/>
          </w:tcPr>
          <w:p w14:paraId="0000007A" w14:textId="77777777" w:rsidR="00BA47B2" w:rsidRPr="00F757A3" w:rsidRDefault="00BA47B2" w:rsidP="00026FD8">
            <w:pPr>
              <w:widowControl w:val="0"/>
              <w:pBdr>
                <w:top w:val="nil"/>
                <w:left w:val="nil"/>
                <w:bottom w:val="nil"/>
                <w:right w:val="nil"/>
                <w:between w:val="nil"/>
              </w:pBdr>
              <w:spacing w:after="0" w:line="240" w:lineRule="auto"/>
              <w:rPr>
                <w:rFonts w:ascii="Arial" w:eastAsia="Times New Roman" w:hAnsi="Arial" w:cs="Arial"/>
                <w:color w:val="000000"/>
                <w:sz w:val="20"/>
                <w:szCs w:val="20"/>
              </w:rPr>
            </w:pPr>
          </w:p>
        </w:tc>
      </w:tr>
    </w:tbl>
    <w:p w14:paraId="0000007B" w14:textId="25763483" w:rsidR="00BA47B2" w:rsidRPr="00F757A3" w:rsidRDefault="008306D2" w:rsidP="00026FD8">
      <w:pPr>
        <w:tabs>
          <w:tab w:val="left" w:pos="435"/>
          <w:tab w:val="left" w:pos="1740"/>
        </w:tabs>
        <w:spacing w:line="240" w:lineRule="auto"/>
        <w:rPr>
          <w:rFonts w:ascii="Arial" w:eastAsia="Times New Roman" w:hAnsi="Arial" w:cs="Arial"/>
          <w:b/>
          <w:sz w:val="20"/>
          <w:szCs w:val="20"/>
        </w:rPr>
      </w:pPr>
      <w:r w:rsidRPr="00F757A3">
        <w:rPr>
          <w:rFonts w:ascii="Arial" w:eastAsia="Times New Roman" w:hAnsi="Arial" w:cs="Arial"/>
          <w:sz w:val="20"/>
          <w:szCs w:val="20"/>
        </w:rPr>
        <w:t xml:space="preserve">     </w:t>
      </w:r>
      <w:r w:rsidRPr="00F757A3">
        <w:rPr>
          <w:rFonts w:ascii="Arial" w:eastAsia="Times New Roman" w:hAnsi="Arial" w:cs="Arial"/>
          <w:b/>
          <w:sz w:val="20"/>
          <w:szCs w:val="20"/>
        </w:rPr>
        <w:t>Mean Diff.</w:t>
      </w:r>
      <w:r w:rsidRPr="00F757A3">
        <w:rPr>
          <w:rFonts w:ascii="Arial" w:eastAsia="Times New Roman" w:hAnsi="Arial" w:cs="Arial"/>
          <w:b/>
          <w:sz w:val="20"/>
          <w:szCs w:val="20"/>
        </w:rPr>
        <w:tab/>
        <w:t xml:space="preserve"> 1.63                                  </w:t>
      </w:r>
      <w:r w:rsidR="00A53094">
        <w:rPr>
          <w:rFonts w:ascii="Arial" w:eastAsia="Times New Roman" w:hAnsi="Arial" w:cs="Arial"/>
          <w:b/>
          <w:sz w:val="20"/>
          <w:szCs w:val="20"/>
        </w:rPr>
        <w:t xml:space="preserve">     </w:t>
      </w:r>
      <w:r w:rsidRPr="00F757A3">
        <w:rPr>
          <w:rFonts w:ascii="Arial" w:eastAsia="Times New Roman" w:hAnsi="Arial" w:cs="Arial"/>
          <w:b/>
          <w:sz w:val="20"/>
          <w:szCs w:val="20"/>
        </w:rPr>
        <w:t xml:space="preserve">2.63                   Pooled std. deviation     </w:t>
      </w:r>
    </w:p>
    <w:p w14:paraId="0000007C" w14:textId="77777777" w:rsidR="00BA47B2" w:rsidRPr="00F757A3" w:rsidRDefault="008306D2" w:rsidP="00026FD8">
      <w:pPr>
        <w:tabs>
          <w:tab w:val="left" w:pos="435"/>
          <w:tab w:val="left" w:pos="1740"/>
        </w:tabs>
        <w:spacing w:line="240" w:lineRule="auto"/>
        <w:rPr>
          <w:rFonts w:ascii="Arial" w:eastAsia="Times New Roman" w:hAnsi="Arial" w:cs="Arial"/>
          <w:b/>
          <w:i/>
          <w:sz w:val="20"/>
          <w:szCs w:val="20"/>
        </w:rPr>
      </w:pPr>
      <w:r w:rsidRPr="00F757A3">
        <w:rPr>
          <w:rFonts w:ascii="Arial" w:eastAsia="Times New Roman" w:hAnsi="Arial" w:cs="Arial"/>
          <w:b/>
          <w:sz w:val="20"/>
          <w:szCs w:val="20"/>
        </w:rPr>
        <w:t xml:space="preserve"> </w:t>
      </w:r>
      <w:r w:rsidRPr="00F757A3">
        <w:rPr>
          <w:rFonts w:ascii="Arial" w:eastAsia="Times New Roman" w:hAnsi="Arial" w:cs="Arial"/>
          <w:b/>
          <w:i/>
          <w:sz w:val="20"/>
          <w:szCs w:val="20"/>
        </w:rPr>
        <w:t>Cohen's d = (Mean Difference) / (Std. Deviation of the Difference)</w:t>
      </w:r>
    </w:p>
    <w:p w14:paraId="0000007D" w14:textId="77777777" w:rsidR="00BA47B2" w:rsidRPr="00F757A3" w:rsidRDefault="008306D2" w:rsidP="00026FD8">
      <w:pPr>
        <w:tabs>
          <w:tab w:val="left" w:pos="435"/>
          <w:tab w:val="left" w:pos="1740"/>
        </w:tabs>
        <w:spacing w:line="240" w:lineRule="auto"/>
        <w:rPr>
          <w:rFonts w:ascii="Arial" w:eastAsia="Times New Roman" w:hAnsi="Arial" w:cs="Arial"/>
          <w:b/>
          <w:i/>
          <w:sz w:val="20"/>
          <w:szCs w:val="20"/>
        </w:rPr>
      </w:pPr>
      <w:r w:rsidRPr="00F757A3">
        <w:rPr>
          <w:rFonts w:ascii="Arial" w:eastAsia="Times New Roman" w:hAnsi="Arial" w:cs="Arial"/>
          <w:b/>
          <w:i/>
          <w:sz w:val="20"/>
          <w:szCs w:val="20"/>
        </w:rPr>
        <w:t xml:space="preserve"> Cohen’s d = 1.63/2.63 = 0.62</w:t>
      </w:r>
    </w:p>
    <w:p w14:paraId="07B5D778" w14:textId="77777777" w:rsidR="004F61B6" w:rsidRDefault="004F61B6" w:rsidP="00026FD8">
      <w:pPr>
        <w:spacing w:line="240" w:lineRule="auto"/>
        <w:rPr>
          <w:rFonts w:ascii="Arial" w:eastAsia="Times New Roman" w:hAnsi="Arial" w:cs="Arial"/>
          <w:sz w:val="20"/>
          <w:szCs w:val="20"/>
        </w:rPr>
      </w:pPr>
      <w:r w:rsidRPr="004F61B6">
        <w:rPr>
          <w:rFonts w:ascii="Arial" w:eastAsia="Times New Roman" w:hAnsi="Arial" w:cs="Arial"/>
          <w:sz w:val="20"/>
          <w:szCs w:val="20"/>
        </w:rPr>
        <w:t>The findings demonstrated a considerable improvement in student comprehension after the intervention, with a statistically significant gain of 1.63 points (P &lt;.001) and a medium effect size of Cohen's d = 0.63.</w:t>
      </w:r>
    </w:p>
    <w:p w14:paraId="0000007F" w14:textId="735A35BD" w:rsidR="00BA47B2" w:rsidRPr="00F757A3" w:rsidRDefault="008306D2" w:rsidP="00026FD8">
      <w:pPr>
        <w:spacing w:line="240" w:lineRule="auto"/>
        <w:rPr>
          <w:rFonts w:ascii="Arial" w:eastAsia="Times New Roman" w:hAnsi="Arial" w:cs="Arial"/>
          <w:sz w:val="20"/>
          <w:szCs w:val="20"/>
        </w:rPr>
      </w:pPr>
      <w:r w:rsidRPr="00F757A3">
        <w:rPr>
          <w:rFonts w:ascii="Arial" w:eastAsia="Times New Roman" w:hAnsi="Arial" w:cs="Arial"/>
          <w:b/>
          <w:sz w:val="20"/>
          <w:szCs w:val="20"/>
        </w:rPr>
        <w:t>Perceived Comprehension and Engagement:</w:t>
      </w:r>
      <w:r w:rsidRPr="00F757A3">
        <w:rPr>
          <w:rFonts w:ascii="Arial" w:eastAsia="Times New Roman" w:hAnsi="Arial" w:cs="Arial"/>
          <w:sz w:val="20"/>
          <w:szCs w:val="20"/>
        </w:rPr>
        <w:br/>
        <w:t xml:space="preserve">The student survey data </w:t>
      </w:r>
      <w:r w:rsidR="004F61B6">
        <w:rPr>
          <w:rFonts w:ascii="Arial" w:eastAsia="Times New Roman" w:hAnsi="Arial" w:cs="Arial"/>
          <w:sz w:val="20"/>
          <w:szCs w:val="20"/>
        </w:rPr>
        <w:t>showed</w:t>
      </w:r>
      <w:r w:rsidRPr="00F757A3">
        <w:rPr>
          <w:rFonts w:ascii="Arial" w:eastAsia="Times New Roman" w:hAnsi="Arial" w:cs="Arial"/>
          <w:sz w:val="20"/>
          <w:szCs w:val="20"/>
        </w:rPr>
        <w:t xml:space="preserve"> highly positive perceptions, as </w:t>
      </w:r>
      <w:r w:rsidR="004F61B6">
        <w:rPr>
          <w:rFonts w:ascii="Arial" w:eastAsia="Times New Roman" w:hAnsi="Arial" w:cs="Arial"/>
          <w:sz w:val="20"/>
          <w:szCs w:val="20"/>
        </w:rPr>
        <w:t>indicated</w:t>
      </w:r>
      <w:r w:rsidRPr="00F757A3">
        <w:rPr>
          <w:rFonts w:ascii="Arial" w:eastAsia="Times New Roman" w:hAnsi="Arial" w:cs="Arial"/>
          <w:sz w:val="20"/>
          <w:szCs w:val="20"/>
        </w:rPr>
        <w:t xml:space="preserve"> in </w:t>
      </w:r>
      <w:r w:rsidRPr="00F757A3">
        <w:rPr>
          <w:rFonts w:ascii="Arial" w:eastAsia="Times New Roman" w:hAnsi="Arial" w:cs="Arial"/>
          <w:b/>
          <w:sz w:val="20"/>
          <w:szCs w:val="20"/>
        </w:rPr>
        <w:t>Tables 4</w:t>
      </w:r>
      <w:r w:rsidRPr="00F757A3">
        <w:rPr>
          <w:rFonts w:ascii="Arial" w:eastAsia="Times New Roman" w:hAnsi="Arial" w:cs="Arial"/>
          <w:sz w:val="20"/>
          <w:szCs w:val="20"/>
        </w:rPr>
        <w:t xml:space="preserve"> and </w:t>
      </w:r>
      <w:r w:rsidRPr="00F757A3">
        <w:rPr>
          <w:rFonts w:ascii="Arial" w:eastAsia="Times New Roman" w:hAnsi="Arial" w:cs="Arial"/>
          <w:b/>
          <w:sz w:val="20"/>
          <w:szCs w:val="20"/>
        </w:rPr>
        <w:t>5</w:t>
      </w:r>
      <w:r w:rsidRPr="00F757A3">
        <w:rPr>
          <w:rFonts w:ascii="Arial" w:eastAsia="Times New Roman" w:hAnsi="Arial" w:cs="Arial"/>
          <w:sz w:val="20"/>
          <w:szCs w:val="20"/>
        </w:rPr>
        <w:t>.</w:t>
      </w:r>
    </w:p>
    <w:p w14:paraId="00000080" w14:textId="0FE0E8A5"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b/>
          <w:sz w:val="20"/>
          <w:szCs w:val="20"/>
        </w:rPr>
        <w:t xml:space="preserve">Table </w:t>
      </w:r>
      <w:r w:rsidR="000F4B20">
        <w:rPr>
          <w:rFonts w:ascii="Arial" w:eastAsia="Times New Roman" w:hAnsi="Arial" w:cs="Arial"/>
          <w:b/>
          <w:sz w:val="20"/>
          <w:szCs w:val="20"/>
        </w:rPr>
        <w:t>4</w:t>
      </w:r>
      <w:r w:rsidRPr="00F757A3">
        <w:rPr>
          <w:rFonts w:ascii="Arial" w:eastAsia="Times New Roman" w:hAnsi="Arial" w:cs="Arial"/>
          <w:b/>
          <w:sz w:val="20"/>
          <w:szCs w:val="20"/>
        </w:rPr>
        <w:t>: Student Perceptions of Comprehension</w:t>
      </w:r>
    </w:p>
    <w:tbl>
      <w:tblPr>
        <w:tblStyle w:val="a2"/>
        <w:tblW w:w="9990" w:type="dxa"/>
        <w:tblInd w:w="-5" w:type="dxa"/>
        <w:tblBorders>
          <w:top w:val="single" w:sz="4" w:space="0" w:color="auto"/>
        </w:tblBorders>
        <w:tblLayout w:type="fixed"/>
        <w:tblLook w:val="0400" w:firstRow="0" w:lastRow="0" w:firstColumn="0" w:lastColumn="0" w:noHBand="0" w:noVBand="1"/>
      </w:tblPr>
      <w:tblGrid>
        <w:gridCol w:w="540"/>
        <w:gridCol w:w="4215"/>
        <w:gridCol w:w="645"/>
        <w:gridCol w:w="1260"/>
        <w:gridCol w:w="1170"/>
        <w:gridCol w:w="810"/>
        <w:gridCol w:w="1350"/>
      </w:tblGrid>
      <w:tr w:rsidR="0081468F" w:rsidRPr="00F757A3" w14:paraId="48D27A77" w14:textId="77777777" w:rsidTr="00C20B4D">
        <w:trPr>
          <w:trHeight w:val="15"/>
        </w:trPr>
        <w:tc>
          <w:tcPr>
            <w:tcW w:w="540" w:type="dxa"/>
            <w:tcBorders>
              <w:top w:val="single" w:sz="4" w:space="0" w:color="auto"/>
              <w:bottom w:val="single" w:sz="4" w:space="0" w:color="auto"/>
            </w:tcBorders>
            <w:vAlign w:val="bottom"/>
          </w:tcPr>
          <w:p w14:paraId="00000081" w14:textId="77777777" w:rsidR="00BA47B2" w:rsidRPr="00F757A3" w:rsidRDefault="008306D2" w:rsidP="00026FD8">
            <w:pPr>
              <w:spacing w:after="0" w:line="240" w:lineRule="auto"/>
              <w:jc w:val="center"/>
              <w:rPr>
                <w:rFonts w:ascii="Arial" w:hAnsi="Arial" w:cs="Arial"/>
                <w:color w:val="000000"/>
                <w:sz w:val="20"/>
                <w:szCs w:val="20"/>
              </w:rPr>
            </w:pPr>
            <w:r w:rsidRPr="00F757A3">
              <w:rPr>
                <w:rFonts w:ascii="Arial" w:hAnsi="Arial" w:cs="Arial"/>
                <w:color w:val="000000"/>
                <w:sz w:val="20"/>
                <w:szCs w:val="20"/>
              </w:rPr>
              <w:t> </w:t>
            </w:r>
          </w:p>
        </w:tc>
        <w:tc>
          <w:tcPr>
            <w:tcW w:w="4215" w:type="dxa"/>
            <w:tcBorders>
              <w:top w:val="single" w:sz="4" w:space="0" w:color="auto"/>
              <w:bottom w:val="single" w:sz="4" w:space="0" w:color="auto"/>
            </w:tcBorders>
            <w:vAlign w:val="center"/>
          </w:tcPr>
          <w:p w14:paraId="00000082"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Survey items</w:t>
            </w:r>
          </w:p>
        </w:tc>
        <w:tc>
          <w:tcPr>
            <w:tcW w:w="645" w:type="dxa"/>
            <w:tcBorders>
              <w:top w:val="single" w:sz="4" w:space="0" w:color="auto"/>
              <w:bottom w:val="single" w:sz="4" w:space="0" w:color="auto"/>
            </w:tcBorders>
            <w:vAlign w:val="center"/>
          </w:tcPr>
          <w:p w14:paraId="00000083"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N</w:t>
            </w:r>
          </w:p>
        </w:tc>
        <w:tc>
          <w:tcPr>
            <w:tcW w:w="1260" w:type="dxa"/>
            <w:tcBorders>
              <w:top w:val="single" w:sz="4" w:space="0" w:color="auto"/>
              <w:bottom w:val="single" w:sz="4" w:space="0" w:color="auto"/>
            </w:tcBorders>
            <w:vAlign w:val="center"/>
          </w:tcPr>
          <w:p w14:paraId="00000084"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Minimum</w:t>
            </w:r>
          </w:p>
        </w:tc>
        <w:tc>
          <w:tcPr>
            <w:tcW w:w="1170" w:type="dxa"/>
            <w:tcBorders>
              <w:top w:val="single" w:sz="4" w:space="0" w:color="auto"/>
              <w:bottom w:val="single" w:sz="4" w:space="0" w:color="auto"/>
            </w:tcBorders>
            <w:vAlign w:val="center"/>
          </w:tcPr>
          <w:p w14:paraId="00000085"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Maximum</w:t>
            </w:r>
          </w:p>
        </w:tc>
        <w:tc>
          <w:tcPr>
            <w:tcW w:w="810" w:type="dxa"/>
            <w:tcBorders>
              <w:top w:val="single" w:sz="4" w:space="0" w:color="auto"/>
              <w:bottom w:val="single" w:sz="4" w:space="0" w:color="auto"/>
            </w:tcBorders>
            <w:vAlign w:val="center"/>
          </w:tcPr>
          <w:p w14:paraId="00000086"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Mean</w:t>
            </w:r>
          </w:p>
        </w:tc>
        <w:tc>
          <w:tcPr>
            <w:tcW w:w="1350" w:type="dxa"/>
            <w:tcBorders>
              <w:top w:val="single" w:sz="4" w:space="0" w:color="auto"/>
              <w:bottom w:val="single" w:sz="4" w:space="0" w:color="auto"/>
            </w:tcBorders>
            <w:vAlign w:val="center"/>
          </w:tcPr>
          <w:p w14:paraId="00000087" w14:textId="77777777" w:rsidR="00BA47B2" w:rsidRPr="00F757A3" w:rsidRDefault="008306D2" w:rsidP="00026FD8">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Std. Deviation</w:t>
            </w:r>
          </w:p>
        </w:tc>
      </w:tr>
      <w:tr w:rsidR="0081468F" w:rsidRPr="00F757A3" w14:paraId="4DB0FAB3" w14:textId="77777777" w:rsidTr="00C20B4D">
        <w:trPr>
          <w:trHeight w:val="15"/>
        </w:trPr>
        <w:tc>
          <w:tcPr>
            <w:tcW w:w="540" w:type="dxa"/>
            <w:tcBorders>
              <w:top w:val="single" w:sz="4" w:space="0" w:color="auto"/>
            </w:tcBorders>
          </w:tcPr>
          <w:p w14:paraId="00000088"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1</w:t>
            </w:r>
          </w:p>
        </w:tc>
        <w:tc>
          <w:tcPr>
            <w:tcW w:w="4215" w:type="dxa"/>
            <w:tcBorders>
              <w:top w:val="single" w:sz="4" w:space="0" w:color="auto"/>
            </w:tcBorders>
            <w:vAlign w:val="bottom"/>
          </w:tcPr>
          <w:p w14:paraId="00000089"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 xml:space="preserve"> I found the group-based activities helpful in understanding how enzymes break down food.</w:t>
            </w:r>
          </w:p>
        </w:tc>
        <w:tc>
          <w:tcPr>
            <w:tcW w:w="645" w:type="dxa"/>
            <w:tcBorders>
              <w:top w:val="single" w:sz="4" w:space="0" w:color="auto"/>
            </w:tcBorders>
            <w:vAlign w:val="center"/>
          </w:tcPr>
          <w:p w14:paraId="0000008A"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single" w:sz="4" w:space="0" w:color="auto"/>
            </w:tcBorders>
            <w:vAlign w:val="center"/>
          </w:tcPr>
          <w:p w14:paraId="0000008B"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170" w:type="dxa"/>
            <w:tcBorders>
              <w:top w:val="single" w:sz="4" w:space="0" w:color="auto"/>
            </w:tcBorders>
            <w:vAlign w:val="center"/>
          </w:tcPr>
          <w:p w14:paraId="0000008C"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single" w:sz="4" w:space="0" w:color="auto"/>
            </w:tcBorders>
            <w:vAlign w:val="center"/>
          </w:tcPr>
          <w:p w14:paraId="0000008D"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3.52</w:t>
            </w:r>
          </w:p>
        </w:tc>
        <w:tc>
          <w:tcPr>
            <w:tcW w:w="1350" w:type="dxa"/>
            <w:tcBorders>
              <w:top w:val="single" w:sz="4" w:space="0" w:color="auto"/>
            </w:tcBorders>
            <w:vAlign w:val="center"/>
          </w:tcPr>
          <w:p w14:paraId="0000008E"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1.093</w:t>
            </w:r>
          </w:p>
        </w:tc>
      </w:tr>
      <w:tr w:rsidR="0081468F" w:rsidRPr="00F757A3" w14:paraId="198E8C35" w14:textId="77777777" w:rsidTr="00C20B4D">
        <w:trPr>
          <w:trHeight w:val="15"/>
        </w:trPr>
        <w:tc>
          <w:tcPr>
            <w:tcW w:w="540" w:type="dxa"/>
          </w:tcPr>
          <w:p w14:paraId="0000008F"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2</w:t>
            </w:r>
          </w:p>
        </w:tc>
        <w:tc>
          <w:tcPr>
            <w:tcW w:w="4215" w:type="dxa"/>
            <w:tcBorders>
              <w:top w:val="nil"/>
            </w:tcBorders>
            <w:vAlign w:val="bottom"/>
          </w:tcPr>
          <w:p w14:paraId="00000090"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was able to learn from my peers during the group tasks.</w:t>
            </w:r>
          </w:p>
        </w:tc>
        <w:tc>
          <w:tcPr>
            <w:tcW w:w="645" w:type="dxa"/>
            <w:tcBorders>
              <w:top w:val="nil"/>
            </w:tcBorders>
            <w:vAlign w:val="center"/>
          </w:tcPr>
          <w:p w14:paraId="00000091"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nil"/>
            </w:tcBorders>
            <w:vAlign w:val="center"/>
          </w:tcPr>
          <w:p w14:paraId="00000092"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170" w:type="dxa"/>
            <w:tcBorders>
              <w:top w:val="nil"/>
            </w:tcBorders>
            <w:vAlign w:val="center"/>
          </w:tcPr>
          <w:p w14:paraId="00000093"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nil"/>
            </w:tcBorders>
            <w:vAlign w:val="center"/>
          </w:tcPr>
          <w:p w14:paraId="00000094"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3.65</w:t>
            </w:r>
          </w:p>
        </w:tc>
        <w:tc>
          <w:tcPr>
            <w:tcW w:w="1350" w:type="dxa"/>
            <w:tcBorders>
              <w:top w:val="nil"/>
            </w:tcBorders>
            <w:vAlign w:val="center"/>
          </w:tcPr>
          <w:p w14:paraId="00000095"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1.153</w:t>
            </w:r>
          </w:p>
        </w:tc>
      </w:tr>
      <w:tr w:rsidR="0081468F" w:rsidRPr="00F757A3" w14:paraId="0CA5854E" w14:textId="77777777" w:rsidTr="00C20B4D">
        <w:trPr>
          <w:trHeight w:val="15"/>
        </w:trPr>
        <w:tc>
          <w:tcPr>
            <w:tcW w:w="540" w:type="dxa"/>
          </w:tcPr>
          <w:p w14:paraId="00000096"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3</w:t>
            </w:r>
          </w:p>
        </w:tc>
        <w:tc>
          <w:tcPr>
            <w:tcW w:w="4215" w:type="dxa"/>
            <w:tcBorders>
              <w:top w:val="nil"/>
            </w:tcBorders>
            <w:vAlign w:val="bottom"/>
          </w:tcPr>
          <w:p w14:paraId="00000097"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The experiments helped me understand the role of enzymes in the digestive process.</w:t>
            </w:r>
          </w:p>
        </w:tc>
        <w:tc>
          <w:tcPr>
            <w:tcW w:w="645" w:type="dxa"/>
            <w:tcBorders>
              <w:top w:val="nil"/>
            </w:tcBorders>
            <w:vAlign w:val="center"/>
          </w:tcPr>
          <w:p w14:paraId="00000098"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nil"/>
            </w:tcBorders>
            <w:vAlign w:val="center"/>
          </w:tcPr>
          <w:p w14:paraId="00000099"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2</w:t>
            </w:r>
          </w:p>
        </w:tc>
        <w:tc>
          <w:tcPr>
            <w:tcW w:w="1170" w:type="dxa"/>
            <w:tcBorders>
              <w:top w:val="nil"/>
            </w:tcBorders>
            <w:vAlign w:val="center"/>
          </w:tcPr>
          <w:p w14:paraId="0000009A"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nil"/>
            </w:tcBorders>
            <w:vAlign w:val="center"/>
          </w:tcPr>
          <w:p w14:paraId="0000009B"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3.71</w:t>
            </w:r>
          </w:p>
        </w:tc>
        <w:tc>
          <w:tcPr>
            <w:tcW w:w="1350" w:type="dxa"/>
            <w:tcBorders>
              <w:top w:val="nil"/>
            </w:tcBorders>
            <w:vAlign w:val="center"/>
          </w:tcPr>
          <w:p w14:paraId="0000009C"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0.957</w:t>
            </w:r>
          </w:p>
        </w:tc>
      </w:tr>
      <w:tr w:rsidR="0081468F" w:rsidRPr="00F757A3" w14:paraId="44F7AFB7" w14:textId="77777777" w:rsidTr="00C20B4D">
        <w:trPr>
          <w:trHeight w:val="15"/>
        </w:trPr>
        <w:tc>
          <w:tcPr>
            <w:tcW w:w="540" w:type="dxa"/>
            <w:tcBorders>
              <w:bottom w:val="nil"/>
            </w:tcBorders>
          </w:tcPr>
          <w:p w14:paraId="0000009D"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4</w:t>
            </w:r>
          </w:p>
        </w:tc>
        <w:tc>
          <w:tcPr>
            <w:tcW w:w="4215" w:type="dxa"/>
            <w:tcBorders>
              <w:top w:val="nil"/>
              <w:bottom w:val="nil"/>
            </w:tcBorders>
            <w:vAlign w:val="bottom"/>
          </w:tcPr>
          <w:p w14:paraId="0000009E"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understand the stages of chemical digestion better after participating in group work.</w:t>
            </w:r>
          </w:p>
        </w:tc>
        <w:tc>
          <w:tcPr>
            <w:tcW w:w="645" w:type="dxa"/>
            <w:tcBorders>
              <w:top w:val="nil"/>
              <w:bottom w:val="nil"/>
            </w:tcBorders>
            <w:vAlign w:val="center"/>
          </w:tcPr>
          <w:p w14:paraId="0000009F"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nil"/>
              <w:bottom w:val="nil"/>
            </w:tcBorders>
            <w:vAlign w:val="center"/>
          </w:tcPr>
          <w:p w14:paraId="000000A0"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170" w:type="dxa"/>
            <w:tcBorders>
              <w:top w:val="nil"/>
              <w:bottom w:val="nil"/>
            </w:tcBorders>
            <w:vAlign w:val="center"/>
          </w:tcPr>
          <w:p w14:paraId="000000A1"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nil"/>
              <w:bottom w:val="nil"/>
            </w:tcBorders>
            <w:vAlign w:val="center"/>
          </w:tcPr>
          <w:p w14:paraId="000000A2"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3.79</w:t>
            </w:r>
          </w:p>
        </w:tc>
        <w:tc>
          <w:tcPr>
            <w:tcW w:w="1350" w:type="dxa"/>
            <w:tcBorders>
              <w:top w:val="nil"/>
              <w:bottom w:val="nil"/>
            </w:tcBorders>
            <w:vAlign w:val="center"/>
          </w:tcPr>
          <w:p w14:paraId="000000A3"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0.977</w:t>
            </w:r>
          </w:p>
        </w:tc>
      </w:tr>
      <w:tr w:rsidR="0081468F" w:rsidRPr="00F757A3" w14:paraId="6D1CEA07" w14:textId="77777777" w:rsidTr="00C20B4D">
        <w:trPr>
          <w:trHeight w:val="1"/>
        </w:trPr>
        <w:tc>
          <w:tcPr>
            <w:tcW w:w="540" w:type="dxa"/>
            <w:tcBorders>
              <w:top w:val="nil"/>
              <w:bottom w:val="single" w:sz="4" w:space="0" w:color="auto"/>
            </w:tcBorders>
          </w:tcPr>
          <w:p w14:paraId="000000A4" w14:textId="77777777" w:rsidR="00BA47B2" w:rsidRPr="00F757A3" w:rsidRDefault="008306D2" w:rsidP="00026FD8">
            <w:pPr>
              <w:spacing w:after="0" w:line="240" w:lineRule="auto"/>
              <w:rPr>
                <w:rFonts w:ascii="Arial" w:hAnsi="Arial" w:cs="Arial"/>
                <w:color w:val="000000"/>
                <w:sz w:val="20"/>
                <w:szCs w:val="20"/>
              </w:rPr>
            </w:pPr>
            <w:r w:rsidRPr="00F757A3">
              <w:rPr>
                <w:rFonts w:ascii="Arial" w:hAnsi="Arial" w:cs="Arial"/>
                <w:color w:val="000000"/>
                <w:sz w:val="20"/>
                <w:szCs w:val="20"/>
              </w:rPr>
              <w:t>5</w:t>
            </w:r>
          </w:p>
        </w:tc>
        <w:tc>
          <w:tcPr>
            <w:tcW w:w="4215" w:type="dxa"/>
            <w:tcBorders>
              <w:top w:val="nil"/>
              <w:bottom w:val="single" w:sz="4" w:space="0" w:color="auto"/>
            </w:tcBorders>
            <w:vAlign w:val="bottom"/>
          </w:tcPr>
          <w:p w14:paraId="000000A5" w14:textId="77777777" w:rsidR="00BA47B2" w:rsidRPr="00F757A3" w:rsidRDefault="008306D2" w:rsidP="00026FD8">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Group activities made it easier to remember the content about chemical digestion.</w:t>
            </w:r>
          </w:p>
        </w:tc>
        <w:tc>
          <w:tcPr>
            <w:tcW w:w="645" w:type="dxa"/>
            <w:tcBorders>
              <w:top w:val="nil"/>
              <w:bottom w:val="single" w:sz="4" w:space="0" w:color="auto"/>
            </w:tcBorders>
            <w:vAlign w:val="center"/>
          </w:tcPr>
          <w:p w14:paraId="000000A6"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60" w:type="dxa"/>
            <w:tcBorders>
              <w:top w:val="nil"/>
              <w:bottom w:val="single" w:sz="4" w:space="0" w:color="auto"/>
            </w:tcBorders>
            <w:vAlign w:val="center"/>
          </w:tcPr>
          <w:p w14:paraId="000000A7"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170" w:type="dxa"/>
            <w:tcBorders>
              <w:top w:val="nil"/>
              <w:bottom w:val="single" w:sz="4" w:space="0" w:color="auto"/>
            </w:tcBorders>
            <w:vAlign w:val="center"/>
          </w:tcPr>
          <w:p w14:paraId="000000A8"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10" w:type="dxa"/>
            <w:tcBorders>
              <w:top w:val="nil"/>
              <w:bottom w:val="single" w:sz="4" w:space="0" w:color="auto"/>
            </w:tcBorders>
            <w:vAlign w:val="center"/>
          </w:tcPr>
          <w:p w14:paraId="000000A9"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3.62</w:t>
            </w:r>
          </w:p>
        </w:tc>
        <w:tc>
          <w:tcPr>
            <w:tcW w:w="1350" w:type="dxa"/>
            <w:tcBorders>
              <w:top w:val="nil"/>
              <w:bottom w:val="single" w:sz="4" w:space="0" w:color="auto"/>
            </w:tcBorders>
            <w:vAlign w:val="center"/>
          </w:tcPr>
          <w:p w14:paraId="000000AA" w14:textId="77777777" w:rsidR="00BA47B2" w:rsidRPr="00F757A3" w:rsidRDefault="008306D2" w:rsidP="00026FD8">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0.973</w:t>
            </w:r>
          </w:p>
        </w:tc>
      </w:tr>
      <w:tr w:rsidR="0081468F" w:rsidRPr="00F757A3" w14:paraId="094AF3A0" w14:textId="77777777" w:rsidTr="00C20B4D">
        <w:trPr>
          <w:trHeight w:val="17"/>
        </w:trPr>
        <w:tc>
          <w:tcPr>
            <w:tcW w:w="540" w:type="dxa"/>
            <w:tcBorders>
              <w:top w:val="single" w:sz="4" w:space="0" w:color="auto"/>
            </w:tcBorders>
            <w:vAlign w:val="bottom"/>
          </w:tcPr>
          <w:p w14:paraId="000000AB" w14:textId="77777777" w:rsidR="0081468F" w:rsidRPr="00F757A3" w:rsidRDefault="0081468F" w:rsidP="00026FD8">
            <w:pPr>
              <w:spacing w:after="0" w:line="240" w:lineRule="auto"/>
              <w:rPr>
                <w:rFonts w:ascii="Arial" w:eastAsia="Times New Roman" w:hAnsi="Arial" w:cs="Arial"/>
                <w:b/>
                <w:color w:val="000000"/>
                <w:sz w:val="20"/>
                <w:szCs w:val="20"/>
              </w:rPr>
            </w:pPr>
          </w:p>
        </w:tc>
        <w:tc>
          <w:tcPr>
            <w:tcW w:w="4215" w:type="dxa"/>
            <w:tcBorders>
              <w:top w:val="single" w:sz="4" w:space="0" w:color="auto"/>
            </w:tcBorders>
          </w:tcPr>
          <w:p w14:paraId="000000AC" w14:textId="4A7F02EF" w:rsidR="0081468F" w:rsidRPr="0081468F" w:rsidRDefault="0081468F" w:rsidP="0081468F">
            <w:pPr>
              <w:spacing w:after="0" w:line="240" w:lineRule="auto"/>
              <w:jc w:val="center"/>
              <w:rPr>
                <w:rFonts w:ascii="Arial" w:eastAsia="Times New Roman" w:hAnsi="Arial" w:cs="Arial"/>
                <w:b/>
                <w:sz w:val="20"/>
                <w:szCs w:val="20"/>
              </w:rPr>
            </w:pPr>
            <w:r w:rsidRPr="00F757A3">
              <w:rPr>
                <w:rFonts w:ascii="Arial" w:eastAsia="Times New Roman" w:hAnsi="Arial" w:cs="Arial"/>
                <w:b/>
                <w:sz w:val="20"/>
                <w:szCs w:val="20"/>
              </w:rPr>
              <w:t>Overall Average for Comprehension</w:t>
            </w:r>
          </w:p>
        </w:tc>
        <w:tc>
          <w:tcPr>
            <w:tcW w:w="645" w:type="dxa"/>
            <w:tcBorders>
              <w:top w:val="single" w:sz="4" w:space="0" w:color="auto"/>
            </w:tcBorders>
          </w:tcPr>
          <w:p w14:paraId="000000AD" w14:textId="77777777" w:rsidR="0081468F" w:rsidRPr="00F757A3" w:rsidRDefault="0081468F" w:rsidP="00026FD8">
            <w:pPr>
              <w:spacing w:after="0" w:line="240" w:lineRule="auto"/>
              <w:jc w:val="center"/>
              <w:rPr>
                <w:rFonts w:ascii="Arial" w:eastAsia="Times New Roman" w:hAnsi="Arial" w:cs="Arial"/>
                <w:b/>
                <w:sz w:val="20"/>
                <w:szCs w:val="20"/>
              </w:rPr>
            </w:pPr>
          </w:p>
        </w:tc>
        <w:tc>
          <w:tcPr>
            <w:tcW w:w="1260" w:type="dxa"/>
            <w:tcBorders>
              <w:top w:val="single" w:sz="4" w:space="0" w:color="auto"/>
            </w:tcBorders>
          </w:tcPr>
          <w:p w14:paraId="000000AE" w14:textId="77777777" w:rsidR="0081468F" w:rsidRPr="00F757A3" w:rsidRDefault="0081468F" w:rsidP="00026FD8">
            <w:pPr>
              <w:spacing w:after="0" w:line="240" w:lineRule="auto"/>
              <w:jc w:val="center"/>
              <w:rPr>
                <w:rFonts w:ascii="Arial" w:eastAsia="Times New Roman" w:hAnsi="Arial" w:cs="Arial"/>
                <w:b/>
                <w:sz w:val="20"/>
                <w:szCs w:val="20"/>
              </w:rPr>
            </w:pPr>
          </w:p>
        </w:tc>
        <w:tc>
          <w:tcPr>
            <w:tcW w:w="3330" w:type="dxa"/>
            <w:gridSpan w:val="3"/>
            <w:tcBorders>
              <w:top w:val="single" w:sz="4" w:space="0" w:color="auto"/>
            </w:tcBorders>
          </w:tcPr>
          <w:p w14:paraId="000000B1" w14:textId="2A1CA9CE" w:rsidR="0081468F" w:rsidRPr="00F757A3" w:rsidRDefault="00EF1E42" w:rsidP="00EF1E42">
            <w:pPr>
              <w:spacing w:after="0" w:line="240" w:lineRule="auto"/>
              <w:rPr>
                <w:rFonts w:ascii="Arial" w:eastAsia="Times New Roman" w:hAnsi="Arial" w:cs="Arial"/>
                <w:b/>
                <w:color w:val="000000"/>
                <w:sz w:val="20"/>
                <w:szCs w:val="20"/>
              </w:rPr>
            </w:pPr>
            <w:r>
              <w:rPr>
                <w:rFonts w:ascii="Arial" w:eastAsia="Times New Roman" w:hAnsi="Arial" w:cs="Arial"/>
                <w:b/>
                <w:color w:val="000000"/>
                <w:sz w:val="20"/>
                <w:szCs w:val="20"/>
              </w:rPr>
              <w:t xml:space="preserve">                       </w:t>
            </w:r>
            <w:r w:rsidR="0081468F" w:rsidRPr="00F757A3">
              <w:rPr>
                <w:rFonts w:ascii="Arial" w:eastAsia="Times New Roman" w:hAnsi="Arial" w:cs="Arial"/>
                <w:b/>
                <w:color w:val="000000"/>
                <w:sz w:val="20"/>
                <w:szCs w:val="20"/>
              </w:rPr>
              <w:t>3.66</w:t>
            </w:r>
          </w:p>
        </w:tc>
      </w:tr>
    </w:tbl>
    <w:p w14:paraId="73EFCC0C" w14:textId="77777777" w:rsidR="00970A21" w:rsidRDefault="00970A21" w:rsidP="00026FD8">
      <w:pPr>
        <w:spacing w:line="240" w:lineRule="auto"/>
        <w:jc w:val="both"/>
        <w:rPr>
          <w:rFonts w:ascii="Arial" w:eastAsia="Times New Roman" w:hAnsi="Arial" w:cs="Arial"/>
          <w:b/>
          <w:sz w:val="20"/>
          <w:szCs w:val="20"/>
        </w:rPr>
      </w:pPr>
    </w:p>
    <w:p w14:paraId="2854FD7E" w14:textId="0B8E4266" w:rsidR="00970A21" w:rsidRPr="00F757A3" w:rsidRDefault="008306D2" w:rsidP="00026FD8">
      <w:pPr>
        <w:spacing w:line="240" w:lineRule="auto"/>
        <w:jc w:val="both"/>
        <w:rPr>
          <w:rFonts w:ascii="Arial" w:eastAsia="Times New Roman" w:hAnsi="Arial" w:cs="Arial"/>
          <w:b/>
          <w:sz w:val="20"/>
          <w:szCs w:val="20"/>
        </w:rPr>
      </w:pPr>
      <w:r w:rsidRPr="00F757A3">
        <w:rPr>
          <w:rFonts w:ascii="Arial" w:eastAsia="Times New Roman" w:hAnsi="Arial" w:cs="Arial"/>
          <w:b/>
          <w:sz w:val="20"/>
          <w:szCs w:val="20"/>
        </w:rPr>
        <w:t>Table</w:t>
      </w:r>
      <w:r w:rsidR="000F4B20">
        <w:rPr>
          <w:rFonts w:ascii="Arial" w:eastAsia="Times New Roman" w:hAnsi="Arial" w:cs="Arial"/>
          <w:b/>
          <w:sz w:val="20"/>
          <w:szCs w:val="20"/>
        </w:rPr>
        <w:t xml:space="preserve"> 5</w:t>
      </w:r>
      <w:r w:rsidRPr="00F757A3">
        <w:rPr>
          <w:rFonts w:ascii="Arial" w:eastAsia="Times New Roman" w:hAnsi="Arial" w:cs="Arial"/>
          <w:b/>
          <w:sz w:val="20"/>
          <w:szCs w:val="20"/>
        </w:rPr>
        <w:t>: Student Perceptions of Engagement</w:t>
      </w:r>
    </w:p>
    <w:tbl>
      <w:tblPr>
        <w:tblStyle w:val="a3"/>
        <w:tblpPr w:leftFromText="180" w:rightFromText="180" w:vertAnchor="text" w:horzAnchor="margin" w:tblpYSpec="center"/>
        <w:tblW w:w="10415" w:type="dxa"/>
        <w:tblBorders>
          <w:top w:val="single" w:sz="4" w:space="0" w:color="auto"/>
        </w:tblBorders>
        <w:tblLayout w:type="fixed"/>
        <w:tblLook w:val="0400" w:firstRow="0" w:lastRow="0" w:firstColumn="0" w:lastColumn="0" w:noHBand="0" w:noVBand="1"/>
      </w:tblPr>
      <w:tblGrid>
        <w:gridCol w:w="486"/>
        <w:gridCol w:w="4515"/>
        <w:gridCol w:w="486"/>
        <w:gridCol w:w="1279"/>
        <w:gridCol w:w="1335"/>
        <w:gridCol w:w="890"/>
        <w:gridCol w:w="1424"/>
      </w:tblGrid>
      <w:tr w:rsidR="00C20B4D" w:rsidRPr="00F757A3" w14:paraId="66DC9473" w14:textId="77777777" w:rsidTr="000F4B20">
        <w:trPr>
          <w:trHeight w:val="232"/>
        </w:trPr>
        <w:tc>
          <w:tcPr>
            <w:tcW w:w="486" w:type="dxa"/>
            <w:tcBorders>
              <w:top w:val="single" w:sz="4" w:space="0" w:color="auto"/>
              <w:bottom w:val="single" w:sz="4" w:space="0" w:color="auto"/>
            </w:tcBorders>
            <w:vAlign w:val="bottom"/>
          </w:tcPr>
          <w:p w14:paraId="2B227F3D"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 </w:t>
            </w:r>
          </w:p>
        </w:tc>
        <w:tc>
          <w:tcPr>
            <w:tcW w:w="4515" w:type="dxa"/>
            <w:tcBorders>
              <w:top w:val="single" w:sz="4" w:space="0" w:color="auto"/>
              <w:bottom w:val="single" w:sz="4" w:space="0" w:color="auto"/>
            </w:tcBorders>
            <w:vAlign w:val="center"/>
          </w:tcPr>
          <w:p w14:paraId="65780B45"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Survey Items</w:t>
            </w:r>
          </w:p>
        </w:tc>
        <w:tc>
          <w:tcPr>
            <w:tcW w:w="486" w:type="dxa"/>
            <w:tcBorders>
              <w:top w:val="single" w:sz="4" w:space="0" w:color="auto"/>
              <w:bottom w:val="single" w:sz="4" w:space="0" w:color="auto"/>
            </w:tcBorders>
            <w:vAlign w:val="center"/>
          </w:tcPr>
          <w:p w14:paraId="4955342D"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N</w:t>
            </w:r>
          </w:p>
        </w:tc>
        <w:tc>
          <w:tcPr>
            <w:tcW w:w="1279" w:type="dxa"/>
            <w:tcBorders>
              <w:top w:val="single" w:sz="4" w:space="0" w:color="auto"/>
              <w:bottom w:val="single" w:sz="4" w:space="0" w:color="auto"/>
            </w:tcBorders>
            <w:vAlign w:val="center"/>
          </w:tcPr>
          <w:p w14:paraId="64BF8194"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Minimum</w:t>
            </w:r>
          </w:p>
        </w:tc>
        <w:tc>
          <w:tcPr>
            <w:tcW w:w="1335" w:type="dxa"/>
            <w:tcBorders>
              <w:top w:val="single" w:sz="4" w:space="0" w:color="auto"/>
              <w:bottom w:val="single" w:sz="4" w:space="0" w:color="auto"/>
            </w:tcBorders>
            <w:vAlign w:val="center"/>
          </w:tcPr>
          <w:p w14:paraId="21DB05CD"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Maximum</w:t>
            </w:r>
          </w:p>
        </w:tc>
        <w:tc>
          <w:tcPr>
            <w:tcW w:w="890" w:type="dxa"/>
            <w:tcBorders>
              <w:top w:val="single" w:sz="4" w:space="0" w:color="auto"/>
              <w:bottom w:val="single" w:sz="4" w:space="0" w:color="auto"/>
            </w:tcBorders>
            <w:vAlign w:val="center"/>
          </w:tcPr>
          <w:p w14:paraId="6A7A46B0"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Mean</w:t>
            </w:r>
          </w:p>
        </w:tc>
        <w:tc>
          <w:tcPr>
            <w:tcW w:w="1424" w:type="dxa"/>
            <w:tcBorders>
              <w:top w:val="single" w:sz="4" w:space="0" w:color="auto"/>
              <w:bottom w:val="single" w:sz="4" w:space="0" w:color="auto"/>
            </w:tcBorders>
            <w:vAlign w:val="center"/>
          </w:tcPr>
          <w:p w14:paraId="6FF6B722" w14:textId="77777777" w:rsidR="00C20B4D" w:rsidRPr="00F757A3" w:rsidRDefault="00C20B4D" w:rsidP="00C20B4D">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Std. Deviation</w:t>
            </w:r>
          </w:p>
        </w:tc>
      </w:tr>
      <w:tr w:rsidR="00C20B4D" w:rsidRPr="00F757A3" w14:paraId="2FACAA99" w14:textId="77777777" w:rsidTr="000F4B20">
        <w:trPr>
          <w:trHeight w:val="232"/>
        </w:trPr>
        <w:tc>
          <w:tcPr>
            <w:tcW w:w="486" w:type="dxa"/>
            <w:tcBorders>
              <w:top w:val="single" w:sz="4" w:space="0" w:color="auto"/>
            </w:tcBorders>
          </w:tcPr>
          <w:p w14:paraId="3737FEC8"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4515" w:type="dxa"/>
            <w:tcBorders>
              <w:top w:val="single" w:sz="4" w:space="0" w:color="auto"/>
            </w:tcBorders>
          </w:tcPr>
          <w:p w14:paraId="7A3613EC"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Working in groups made the topic of chemical digestion more interesting.</w:t>
            </w:r>
          </w:p>
        </w:tc>
        <w:tc>
          <w:tcPr>
            <w:tcW w:w="486" w:type="dxa"/>
            <w:tcBorders>
              <w:top w:val="single" w:sz="4" w:space="0" w:color="auto"/>
            </w:tcBorders>
            <w:vAlign w:val="center"/>
          </w:tcPr>
          <w:p w14:paraId="07A739B4"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79" w:type="dxa"/>
            <w:tcBorders>
              <w:top w:val="single" w:sz="4" w:space="0" w:color="auto"/>
            </w:tcBorders>
            <w:vAlign w:val="center"/>
          </w:tcPr>
          <w:p w14:paraId="355D5056"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335" w:type="dxa"/>
            <w:tcBorders>
              <w:top w:val="single" w:sz="4" w:space="0" w:color="auto"/>
            </w:tcBorders>
            <w:vAlign w:val="center"/>
          </w:tcPr>
          <w:p w14:paraId="57DFB195"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90" w:type="dxa"/>
            <w:tcBorders>
              <w:top w:val="single" w:sz="4" w:space="0" w:color="auto"/>
            </w:tcBorders>
            <w:vAlign w:val="center"/>
          </w:tcPr>
          <w:p w14:paraId="3BAC7FC4"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3.83</w:t>
            </w:r>
          </w:p>
        </w:tc>
        <w:tc>
          <w:tcPr>
            <w:tcW w:w="1424" w:type="dxa"/>
            <w:tcBorders>
              <w:top w:val="single" w:sz="4" w:space="0" w:color="auto"/>
            </w:tcBorders>
            <w:vAlign w:val="center"/>
          </w:tcPr>
          <w:p w14:paraId="63AE457D"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1.024</w:t>
            </w:r>
          </w:p>
        </w:tc>
      </w:tr>
      <w:tr w:rsidR="00C20B4D" w:rsidRPr="00F757A3" w14:paraId="14AF3C24" w14:textId="77777777" w:rsidTr="000F4B20">
        <w:trPr>
          <w:trHeight w:val="232"/>
        </w:trPr>
        <w:tc>
          <w:tcPr>
            <w:tcW w:w="486" w:type="dxa"/>
          </w:tcPr>
          <w:p w14:paraId="0E196F6D"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2</w:t>
            </w:r>
          </w:p>
        </w:tc>
        <w:tc>
          <w:tcPr>
            <w:tcW w:w="4515" w:type="dxa"/>
            <w:tcBorders>
              <w:top w:val="nil"/>
            </w:tcBorders>
          </w:tcPr>
          <w:p w14:paraId="00D452C9"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felt more engaged in class during the group activities.</w:t>
            </w:r>
          </w:p>
        </w:tc>
        <w:tc>
          <w:tcPr>
            <w:tcW w:w="486" w:type="dxa"/>
            <w:tcBorders>
              <w:top w:val="nil"/>
            </w:tcBorders>
            <w:vAlign w:val="center"/>
          </w:tcPr>
          <w:p w14:paraId="6C78A69C"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79" w:type="dxa"/>
            <w:tcBorders>
              <w:top w:val="nil"/>
            </w:tcBorders>
            <w:vAlign w:val="center"/>
          </w:tcPr>
          <w:p w14:paraId="6B9C9459"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335" w:type="dxa"/>
            <w:tcBorders>
              <w:top w:val="nil"/>
            </w:tcBorders>
            <w:vAlign w:val="center"/>
          </w:tcPr>
          <w:p w14:paraId="70F41270"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90" w:type="dxa"/>
            <w:tcBorders>
              <w:top w:val="nil"/>
            </w:tcBorders>
            <w:vAlign w:val="center"/>
          </w:tcPr>
          <w:p w14:paraId="5E74597B"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3.77</w:t>
            </w:r>
          </w:p>
        </w:tc>
        <w:tc>
          <w:tcPr>
            <w:tcW w:w="1424" w:type="dxa"/>
            <w:tcBorders>
              <w:top w:val="nil"/>
            </w:tcBorders>
            <w:vAlign w:val="center"/>
          </w:tcPr>
          <w:p w14:paraId="3099BB32"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1.182</w:t>
            </w:r>
          </w:p>
        </w:tc>
      </w:tr>
      <w:tr w:rsidR="00C20B4D" w:rsidRPr="00F757A3" w14:paraId="55EA1B5E" w14:textId="77777777" w:rsidTr="000F4B20">
        <w:trPr>
          <w:trHeight w:val="232"/>
        </w:trPr>
        <w:tc>
          <w:tcPr>
            <w:tcW w:w="486" w:type="dxa"/>
          </w:tcPr>
          <w:p w14:paraId="21A2F5CA"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3</w:t>
            </w:r>
          </w:p>
        </w:tc>
        <w:tc>
          <w:tcPr>
            <w:tcW w:w="4515" w:type="dxa"/>
            <w:tcBorders>
              <w:top w:val="nil"/>
            </w:tcBorders>
          </w:tcPr>
          <w:p w14:paraId="03BC0F84"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was confident in contributing to my group’s discussion and activities.</w:t>
            </w:r>
          </w:p>
        </w:tc>
        <w:tc>
          <w:tcPr>
            <w:tcW w:w="486" w:type="dxa"/>
            <w:tcBorders>
              <w:top w:val="nil"/>
            </w:tcBorders>
            <w:vAlign w:val="center"/>
          </w:tcPr>
          <w:p w14:paraId="60ABF938"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79" w:type="dxa"/>
            <w:tcBorders>
              <w:top w:val="nil"/>
            </w:tcBorders>
            <w:vAlign w:val="center"/>
          </w:tcPr>
          <w:p w14:paraId="4084B103"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335" w:type="dxa"/>
            <w:tcBorders>
              <w:top w:val="nil"/>
            </w:tcBorders>
            <w:vAlign w:val="center"/>
          </w:tcPr>
          <w:p w14:paraId="3D87877F"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90" w:type="dxa"/>
            <w:tcBorders>
              <w:top w:val="nil"/>
            </w:tcBorders>
            <w:vAlign w:val="center"/>
          </w:tcPr>
          <w:p w14:paraId="1365F0F3"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3.73</w:t>
            </w:r>
          </w:p>
        </w:tc>
        <w:tc>
          <w:tcPr>
            <w:tcW w:w="1424" w:type="dxa"/>
            <w:tcBorders>
              <w:top w:val="nil"/>
            </w:tcBorders>
            <w:vAlign w:val="center"/>
          </w:tcPr>
          <w:p w14:paraId="48D95DA3"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1.069</w:t>
            </w:r>
          </w:p>
        </w:tc>
      </w:tr>
      <w:tr w:rsidR="00C20B4D" w:rsidRPr="00F757A3" w14:paraId="197438B4" w14:textId="77777777" w:rsidTr="000F4B20">
        <w:trPr>
          <w:trHeight w:val="232"/>
        </w:trPr>
        <w:tc>
          <w:tcPr>
            <w:tcW w:w="486" w:type="dxa"/>
            <w:tcBorders>
              <w:bottom w:val="single" w:sz="4" w:space="0" w:color="auto"/>
            </w:tcBorders>
          </w:tcPr>
          <w:p w14:paraId="1128C73C"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4</w:t>
            </w:r>
          </w:p>
        </w:tc>
        <w:tc>
          <w:tcPr>
            <w:tcW w:w="4515" w:type="dxa"/>
            <w:tcBorders>
              <w:top w:val="nil"/>
              <w:bottom w:val="single" w:sz="4" w:space="0" w:color="auto"/>
            </w:tcBorders>
          </w:tcPr>
          <w:p w14:paraId="646FF35B" w14:textId="77777777" w:rsidR="00C20B4D" w:rsidRPr="00F757A3" w:rsidRDefault="00C20B4D" w:rsidP="00C20B4D">
            <w:pPr>
              <w:spacing w:after="0" w:line="240" w:lineRule="auto"/>
              <w:rPr>
                <w:rFonts w:ascii="Arial" w:eastAsia="Times New Roman" w:hAnsi="Arial" w:cs="Arial"/>
                <w:color w:val="000000"/>
                <w:sz w:val="20"/>
                <w:szCs w:val="20"/>
              </w:rPr>
            </w:pPr>
            <w:r w:rsidRPr="00F757A3">
              <w:rPr>
                <w:rFonts w:ascii="Arial" w:eastAsia="Times New Roman" w:hAnsi="Arial" w:cs="Arial"/>
                <w:color w:val="000000"/>
                <w:sz w:val="20"/>
                <w:szCs w:val="20"/>
              </w:rPr>
              <w:t>I prefer learning through group activities compared to individual worksheets or lectures.</w:t>
            </w:r>
          </w:p>
        </w:tc>
        <w:tc>
          <w:tcPr>
            <w:tcW w:w="486" w:type="dxa"/>
            <w:tcBorders>
              <w:top w:val="nil"/>
              <w:bottom w:val="single" w:sz="4" w:space="0" w:color="auto"/>
            </w:tcBorders>
            <w:vAlign w:val="center"/>
          </w:tcPr>
          <w:p w14:paraId="35D7CA7E"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52</w:t>
            </w:r>
          </w:p>
        </w:tc>
        <w:tc>
          <w:tcPr>
            <w:tcW w:w="1279" w:type="dxa"/>
            <w:tcBorders>
              <w:top w:val="nil"/>
              <w:bottom w:val="single" w:sz="4" w:space="0" w:color="auto"/>
            </w:tcBorders>
            <w:vAlign w:val="center"/>
          </w:tcPr>
          <w:p w14:paraId="328014D9"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w:t>
            </w:r>
          </w:p>
        </w:tc>
        <w:tc>
          <w:tcPr>
            <w:tcW w:w="1335" w:type="dxa"/>
            <w:tcBorders>
              <w:top w:val="nil"/>
              <w:bottom w:val="single" w:sz="4" w:space="0" w:color="auto"/>
            </w:tcBorders>
            <w:vAlign w:val="center"/>
          </w:tcPr>
          <w:p w14:paraId="76AC90D6"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5</w:t>
            </w:r>
          </w:p>
        </w:tc>
        <w:tc>
          <w:tcPr>
            <w:tcW w:w="890" w:type="dxa"/>
            <w:tcBorders>
              <w:top w:val="nil"/>
              <w:bottom w:val="single" w:sz="4" w:space="0" w:color="auto"/>
            </w:tcBorders>
            <w:vAlign w:val="center"/>
          </w:tcPr>
          <w:p w14:paraId="553D50EF"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3.44</w:t>
            </w:r>
          </w:p>
        </w:tc>
        <w:tc>
          <w:tcPr>
            <w:tcW w:w="1424" w:type="dxa"/>
            <w:tcBorders>
              <w:top w:val="nil"/>
              <w:bottom w:val="single" w:sz="4" w:space="0" w:color="auto"/>
            </w:tcBorders>
            <w:vAlign w:val="center"/>
          </w:tcPr>
          <w:p w14:paraId="2C56CFF2" w14:textId="77777777" w:rsidR="00C20B4D" w:rsidRPr="00F757A3" w:rsidRDefault="00C20B4D" w:rsidP="00C20B4D">
            <w:pPr>
              <w:spacing w:after="0" w:line="240" w:lineRule="auto"/>
              <w:jc w:val="center"/>
              <w:rPr>
                <w:rFonts w:ascii="Arial" w:eastAsia="Times New Roman" w:hAnsi="Arial" w:cs="Arial"/>
                <w:color w:val="000000"/>
                <w:sz w:val="20"/>
                <w:szCs w:val="20"/>
              </w:rPr>
            </w:pPr>
            <w:r w:rsidRPr="00F757A3">
              <w:rPr>
                <w:rFonts w:ascii="Arial" w:eastAsia="Times New Roman" w:hAnsi="Arial" w:cs="Arial"/>
                <w:color w:val="000000"/>
                <w:sz w:val="20"/>
                <w:szCs w:val="20"/>
              </w:rPr>
              <w:t>1.349</w:t>
            </w:r>
          </w:p>
        </w:tc>
      </w:tr>
      <w:tr w:rsidR="00C20B4D" w:rsidRPr="00F757A3" w14:paraId="5D21CBB9" w14:textId="77777777" w:rsidTr="000F4B20">
        <w:trPr>
          <w:trHeight w:hRule="exact" w:val="388"/>
        </w:trPr>
        <w:tc>
          <w:tcPr>
            <w:tcW w:w="486" w:type="dxa"/>
            <w:tcBorders>
              <w:top w:val="single" w:sz="4" w:space="0" w:color="auto"/>
            </w:tcBorders>
            <w:vAlign w:val="bottom"/>
          </w:tcPr>
          <w:p w14:paraId="097D54EE" w14:textId="77777777" w:rsidR="00C20B4D" w:rsidRDefault="00C20B4D" w:rsidP="00E55723">
            <w:pPr>
              <w:spacing w:after="0" w:line="240" w:lineRule="auto"/>
              <w:rPr>
                <w:rFonts w:ascii="Arial" w:eastAsia="Times New Roman" w:hAnsi="Arial" w:cs="Arial"/>
                <w:color w:val="000000"/>
                <w:sz w:val="20"/>
                <w:szCs w:val="20"/>
              </w:rPr>
            </w:pPr>
          </w:p>
          <w:p w14:paraId="4EAE14DC" w14:textId="77777777" w:rsidR="000F4B20" w:rsidRDefault="000F4B20" w:rsidP="00E55723">
            <w:pPr>
              <w:spacing w:after="0" w:line="240" w:lineRule="auto"/>
              <w:rPr>
                <w:rFonts w:ascii="Arial" w:eastAsia="Times New Roman" w:hAnsi="Arial" w:cs="Arial"/>
                <w:color w:val="000000"/>
                <w:sz w:val="20"/>
                <w:szCs w:val="20"/>
              </w:rPr>
            </w:pPr>
          </w:p>
          <w:p w14:paraId="01DBCDC5" w14:textId="77777777" w:rsidR="000F4B20" w:rsidRDefault="000F4B20" w:rsidP="00E55723">
            <w:pPr>
              <w:spacing w:after="0" w:line="240" w:lineRule="auto"/>
              <w:rPr>
                <w:rFonts w:ascii="Arial" w:eastAsia="Times New Roman" w:hAnsi="Arial" w:cs="Arial"/>
                <w:color w:val="000000"/>
                <w:sz w:val="20"/>
                <w:szCs w:val="20"/>
              </w:rPr>
            </w:pPr>
          </w:p>
          <w:p w14:paraId="6E660F0B" w14:textId="77777777" w:rsidR="000F4B20" w:rsidRDefault="000F4B20" w:rsidP="00E55723">
            <w:pPr>
              <w:spacing w:after="0" w:line="240" w:lineRule="auto"/>
              <w:rPr>
                <w:rFonts w:ascii="Arial" w:eastAsia="Times New Roman" w:hAnsi="Arial" w:cs="Arial"/>
                <w:color w:val="000000"/>
                <w:sz w:val="20"/>
                <w:szCs w:val="20"/>
              </w:rPr>
            </w:pPr>
          </w:p>
          <w:p w14:paraId="54EEE34F" w14:textId="77777777" w:rsidR="000F4B20" w:rsidRDefault="000F4B20" w:rsidP="00E55723">
            <w:pPr>
              <w:spacing w:after="0" w:line="240" w:lineRule="auto"/>
              <w:rPr>
                <w:rFonts w:ascii="Arial" w:eastAsia="Times New Roman" w:hAnsi="Arial" w:cs="Arial"/>
                <w:color w:val="000000"/>
                <w:sz w:val="20"/>
                <w:szCs w:val="20"/>
              </w:rPr>
            </w:pPr>
          </w:p>
          <w:p w14:paraId="09E1ADF8" w14:textId="77777777" w:rsidR="000F4B20" w:rsidRDefault="000F4B20" w:rsidP="00E55723">
            <w:pPr>
              <w:spacing w:after="0" w:line="240" w:lineRule="auto"/>
              <w:rPr>
                <w:rFonts w:ascii="Arial" w:eastAsia="Times New Roman" w:hAnsi="Arial" w:cs="Arial"/>
                <w:color w:val="000000"/>
                <w:sz w:val="20"/>
                <w:szCs w:val="20"/>
              </w:rPr>
            </w:pPr>
          </w:p>
          <w:p w14:paraId="552B8E62" w14:textId="77777777" w:rsidR="000F4B20" w:rsidRDefault="000F4B20" w:rsidP="00E55723">
            <w:pPr>
              <w:spacing w:after="0" w:line="240" w:lineRule="auto"/>
              <w:rPr>
                <w:rFonts w:ascii="Arial" w:eastAsia="Times New Roman" w:hAnsi="Arial" w:cs="Arial"/>
                <w:color w:val="000000"/>
                <w:sz w:val="20"/>
                <w:szCs w:val="20"/>
              </w:rPr>
            </w:pPr>
          </w:p>
          <w:p w14:paraId="03CD801B" w14:textId="77777777" w:rsidR="000F4B20" w:rsidRDefault="000F4B20" w:rsidP="00E55723">
            <w:pPr>
              <w:spacing w:after="0" w:line="240" w:lineRule="auto"/>
              <w:rPr>
                <w:rFonts w:ascii="Arial" w:eastAsia="Times New Roman" w:hAnsi="Arial" w:cs="Arial"/>
                <w:color w:val="000000"/>
                <w:sz w:val="20"/>
                <w:szCs w:val="20"/>
              </w:rPr>
            </w:pPr>
          </w:p>
          <w:p w14:paraId="2043FD7B" w14:textId="77777777" w:rsidR="000F4B20" w:rsidRDefault="000F4B20" w:rsidP="00E55723">
            <w:pPr>
              <w:spacing w:after="0" w:line="240" w:lineRule="auto"/>
              <w:rPr>
                <w:rFonts w:ascii="Arial" w:eastAsia="Times New Roman" w:hAnsi="Arial" w:cs="Arial"/>
                <w:color w:val="000000"/>
                <w:sz w:val="20"/>
                <w:szCs w:val="20"/>
              </w:rPr>
            </w:pPr>
          </w:p>
          <w:p w14:paraId="1AB0174D" w14:textId="77777777" w:rsidR="000F4B20" w:rsidRPr="00F757A3" w:rsidRDefault="000F4B20" w:rsidP="00E55723">
            <w:pPr>
              <w:spacing w:after="0" w:line="240" w:lineRule="auto"/>
              <w:rPr>
                <w:rFonts w:ascii="Arial" w:eastAsia="Times New Roman" w:hAnsi="Arial" w:cs="Arial"/>
                <w:color w:val="000000"/>
                <w:sz w:val="20"/>
                <w:szCs w:val="20"/>
              </w:rPr>
            </w:pPr>
          </w:p>
        </w:tc>
        <w:tc>
          <w:tcPr>
            <w:tcW w:w="4515" w:type="dxa"/>
            <w:tcBorders>
              <w:top w:val="single" w:sz="4" w:space="0" w:color="auto"/>
            </w:tcBorders>
          </w:tcPr>
          <w:p w14:paraId="707AAA81" w14:textId="5938F39E" w:rsidR="000F4B20" w:rsidRPr="000F4B20" w:rsidRDefault="00C20B4D" w:rsidP="000F4B20">
            <w:pPr>
              <w:spacing w:after="0" w:line="240" w:lineRule="auto"/>
              <w:jc w:val="center"/>
              <w:rPr>
                <w:rFonts w:ascii="Arial" w:eastAsia="Times New Roman" w:hAnsi="Arial" w:cs="Arial"/>
                <w:b/>
                <w:color w:val="000000"/>
                <w:sz w:val="20"/>
                <w:szCs w:val="20"/>
              </w:rPr>
            </w:pPr>
            <w:r w:rsidRPr="00F757A3">
              <w:rPr>
                <w:rFonts w:ascii="Arial" w:eastAsia="Times New Roman" w:hAnsi="Arial" w:cs="Arial"/>
                <w:b/>
                <w:color w:val="000000"/>
                <w:sz w:val="20"/>
                <w:szCs w:val="20"/>
              </w:rPr>
              <w:t>Overall Average for Engagement</w:t>
            </w:r>
          </w:p>
        </w:tc>
        <w:tc>
          <w:tcPr>
            <w:tcW w:w="486" w:type="dxa"/>
            <w:tcBorders>
              <w:top w:val="single" w:sz="4" w:space="0" w:color="auto"/>
            </w:tcBorders>
          </w:tcPr>
          <w:p w14:paraId="2CEC0648" w14:textId="77777777" w:rsidR="00C20B4D" w:rsidRPr="00F757A3" w:rsidRDefault="00C20B4D" w:rsidP="00C20B4D">
            <w:pPr>
              <w:spacing w:after="0" w:line="240" w:lineRule="auto"/>
              <w:jc w:val="center"/>
              <w:rPr>
                <w:rFonts w:ascii="Arial" w:eastAsia="Times New Roman" w:hAnsi="Arial" w:cs="Arial"/>
                <w:b/>
                <w:color w:val="000000"/>
                <w:sz w:val="20"/>
                <w:szCs w:val="20"/>
              </w:rPr>
            </w:pPr>
          </w:p>
        </w:tc>
        <w:tc>
          <w:tcPr>
            <w:tcW w:w="1279" w:type="dxa"/>
            <w:tcBorders>
              <w:top w:val="single" w:sz="4" w:space="0" w:color="auto"/>
            </w:tcBorders>
          </w:tcPr>
          <w:p w14:paraId="75B9D5E3" w14:textId="77777777" w:rsidR="00C20B4D" w:rsidRPr="00F757A3" w:rsidRDefault="00C20B4D" w:rsidP="00C20B4D">
            <w:pPr>
              <w:spacing w:after="0" w:line="240" w:lineRule="auto"/>
              <w:jc w:val="center"/>
              <w:rPr>
                <w:rFonts w:ascii="Arial" w:eastAsia="Times New Roman" w:hAnsi="Arial" w:cs="Arial"/>
                <w:sz w:val="20"/>
                <w:szCs w:val="20"/>
              </w:rPr>
            </w:pPr>
          </w:p>
        </w:tc>
        <w:tc>
          <w:tcPr>
            <w:tcW w:w="1335" w:type="dxa"/>
            <w:tcBorders>
              <w:top w:val="single" w:sz="4" w:space="0" w:color="auto"/>
            </w:tcBorders>
          </w:tcPr>
          <w:p w14:paraId="754F6E95" w14:textId="77777777" w:rsidR="00C20B4D" w:rsidRPr="00F757A3" w:rsidRDefault="00C20B4D" w:rsidP="00C20B4D">
            <w:pPr>
              <w:spacing w:after="0" w:line="240" w:lineRule="auto"/>
              <w:jc w:val="center"/>
              <w:rPr>
                <w:rFonts w:ascii="Arial" w:eastAsia="Times New Roman" w:hAnsi="Arial" w:cs="Arial"/>
                <w:sz w:val="20"/>
                <w:szCs w:val="20"/>
              </w:rPr>
            </w:pPr>
          </w:p>
        </w:tc>
        <w:tc>
          <w:tcPr>
            <w:tcW w:w="890" w:type="dxa"/>
            <w:tcBorders>
              <w:top w:val="single" w:sz="4" w:space="0" w:color="auto"/>
            </w:tcBorders>
          </w:tcPr>
          <w:p w14:paraId="0352338F" w14:textId="77777777" w:rsidR="00C20B4D" w:rsidRPr="0081468F" w:rsidRDefault="00C20B4D" w:rsidP="00C20B4D">
            <w:pPr>
              <w:spacing w:after="0" w:line="240" w:lineRule="auto"/>
              <w:jc w:val="center"/>
              <w:rPr>
                <w:rFonts w:ascii="Arial" w:eastAsia="Times New Roman" w:hAnsi="Arial" w:cs="Arial"/>
                <w:b/>
                <w:bCs/>
                <w:color w:val="000000"/>
                <w:sz w:val="20"/>
                <w:szCs w:val="20"/>
              </w:rPr>
            </w:pPr>
            <w:r w:rsidRPr="0081468F">
              <w:rPr>
                <w:rFonts w:ascii="Arial" w:eastAsia="Times New Roman" w:hAnsi="Arial" w:cs="Arial"/>
                <w:b/>
                <w:bCs/>
                <w:color w:val="000000"/>
                <w:sz w:val="20"/>
                <w:szCs w:val="20"/>
              </w:rPr>
              <w:t>3.69</w:t>
            </w:r>
          </w:p>
        </w:tc>
        <w:tc>
          <w:tcPr>
            <w:tcW w:w="1424" w:type="dxa"/>
            <w:tcBorders>
              <w:top w:val="single" w:sz="4" w:space="0" w:color="auto"/>
            </w:tcBorders>
          </w:tcPr>
          <w:p w14:paraId="039097F2" w14:textId="77777777" w:rsidR="00C20B4D" w:rsidRPr="00F757A3" w:rsidRDefault="00C20B4D" w:rsidP="00C20B4D">
            <w:pPr>
              <w:spacing w:after="0" w:line="240" w:lineRule="auto"/>
              <w:jc w:val="center"/>
              <w:rPr>
                <w:rFonts w:ascii="Arial" w:eastAsia="Times New Roman" w:hAnsi="Arial" w:cs="Arial"/>
                <w:color w:val="000000"/>
                <w:sz w:val="20"/>
                <w:szCs w:val="20"/>
              </w:rPr>
            </w:pPr>
          </w:p>
        </w:tc>
      </w:tr>
    </w:tbl>
    <w:p w14:paraId="4373103D" w14:textId="11814D8D" w:rsidR="000F4B20" w:rsidRDefault="003723AC" w:rsidP="000F4B20">
      <w:pPr>
        <w:autoSpaceDE w:val="0"/>
        <w:autoSpaceDN w:val="0"/>
        <w:adjustRightInd w:val="0"/>
        <w:spacing w:after="0" w:line="240" w:lineRule="auto"/>
        <w:rPr>
          <w:rFonts w:ascii="Arial" w:eastAsia="Times New Roman" w:hAnsi="Arial" w:cs="Arial"/>
          <w:sz w:val="20"/>
          <w:szCs w:val="20"/>
        </w:rPr>
      </w:pPr>
      <w:r w:rsidRPr="003723AC">
        <w:rPr>
          <w:rFonts w:ascii="Arial" w:eastAsia="Times New Roman" w:hAnsi="Arial" w:cs="Arial"/>
          <w:sz w:val="20"/>
          <w:szCs w:val="20"/>
        </w:rPr>
        <w:t>The high overall mean scores for comprehension and engagement confirmed that students found the activities both comprehensive and engaging.</w:t>
      </w:r>
    </w:p>
    <w:p w14:paraId="041F2DE0" w14:textId="77777777" w:rsidR="003723AC" w:rsidRDefault="003723AC" w:rsidP="000F4B20">
      <w:pPr>
        <w:autoSpaceDE w:val="0"/>
        <w:autoSpaceDN w:val="0"/>
        <w:adjustRightInd w:val="0"/>
        <w:spacing w:after="0" w:line="240" w:lineRule="auto"/>
        <w:rPr>
          <w:rFonts w:ascii="Arial" w:hAnsi="Arial" w:cs="Arial"/>
          <w:b/>
          <w:bCs/>
          <w:sz w:val="20"/>
          <w:szCs w:val="20"/>
          <w:lang w:val="en-US"/>
        </w:rPr>
      </w:pPr>
    </w:p>
    <w:p w14:paraId="0E55C2A2" w14:textId="77777777" w:rsidR="000F4B20" w:rsidRDefault="000F4B20" w:rsidP="000F4B20">
      <w:pPr>
        <w:autoSpaceDE w:val="0"/>
        <w:autoSpaceDN w:val="0"/>
        <w:adjustRightInd w:val="0"/>
        <w:spacing w:after="0" w:line="240" w:lineRule="auto"/>
        <w:rPr>
          <w:rFonts w:ascii="Arial" w:hAnsi="Arial" w:cs="Arial"/>
          <w:b/>
          <w:bCs/>
          <w:sz w:val="20"/>
          <w:szCs w:val="20"/>
          <w:lang w:val="en-US"/>
        </w:rPr>
      </w:pPr>
    </w:p>
    <w:p w14:paraId="430B7982" w14:textId="77777777" w:rsidR="000F4B20" w:rsidRDefault="000F4B20" w:rsidP="000F4B20">
      <w:pPr>
        <w:autoSpaceDE w:val="0"/>
        <w:autoSpaceDN w:val="0"/>
        <w:adjustRightInd w:val="0"/>
        <w:spacing w:after="0" w:line="240" w:lineRule="auto"/>
        <w:rPr>
          <w:rFonts w:ascii="Arial" w:hAnsi="Arial" w:cs="Arial"/>
          <w:b/>
          <w:bCs/>
          <w:sz w:val="20"/>
          <w:szCs w:val="20"/>
          <w:lang w:val="en-US"/>
        </w:rPr>
      </w:pPr>
    </w:p>
    <w:p w14:paraId="2610DC5C" w14:textId="77777777" w:rsidR="000F4B20" w:rsidRDefault="000F4B20" w:rsidP="000F4B20">
      <w:pPr>
        <w:autoSpaceDE w:val="0"/>
        <w:autoSpaceDN w:val="0"/>
        <w:adjustRightInd w:val="0"/>
        <w:spacing w:after="0" w:line="240" w:lineRule="auto"/>
        <w:rPr>
          <w:rFonts w:ascii="Arial" w:hAnsi="Arial" w:cs="Arial"/>
          <w:b/>
          <w:bCs/>
          <w:sz w:val="20"/>
          <w:szCs w:val="20"/>
          <w:lang w:val="en-US"/>
        </w:rPr>
      </w:pPr>
    </w:p>
    <w:p w14:paraId="5C606B68" w14:textId="77777777" w:rsidR="000F4B20" w:rsidRDefault="000F4B20" w:rsidP="000F4B20">
      <w:pPr>
        <w:autoSpaceDE w:val="0"/>
        <w:autoSpaceDN w:val="0"/>
        <w:adjustRightInd w:val="0"/>
        <w:spacing w:after="0" w:line="240" w:lineRule="auto"/>
        <w:rPr>
          <w:rFonts w:ascii="Arial" w:hAnsi="Arial" w:cs="Arial"/>
          <w:b/>
          <w:bCs/>
          <w:sz w:val="20"/>
          <w:szCs w:val="20"/>
          <w:lang w:val="en-US"/>
        </w:rPr>
      </w:pPr>
    </w:p>
    <w:p w14:paraId="398BF117" w14:textId="77777777" w:rsidR="000F4B20" w:rsidRDefault="000F4B20" w:rsidP="000F4B20">
      <w:pPr>
        <w:autoSpaceDE w:val="0"/>
        <w:autoSpaceDN w:val="0"/>
        <w:adjustRightInd w:val="0"/>
        <w:spacing w:after="0" w:line="240" w:lineRule="auto"/>
        <w:rPr>
          <w:rFonts w:ascii="Arial" w:hAnsi="Arial" w:cs="Arial"/>
          <w:b/>
          <w:bCs/>
          <w:sz w:val="20"/>
          <w:szCs w:val="20"/>
          <w:lang w:val="en-US"/>
        </w:rPr>
      </w:pPr>
    </w:p>
    <w:p w14:paraId="79AD6FA1" w14:textId="7A05549C" w:rsidR="000F4B20" w:rsidRPr="00D77116" w:rsidRDefault="000F4B20" w:rsidP="000F4B20">
      <w:pPr>
        <w:autoSpaceDE w:val="0"/>
        <w:autoSpaceDN w:val="0"/>
        <w:adjustRightInd w:val="0"/>
        <w:spacing w:after="0" w:line="240" w:lineRule="auto"/>
        <w:rPr>
          <w:rFonts w:ascii="Arial" w:hAnsi="Arial" w:cs="Arial"/>
          <w:b/>
          <w:bCs/>
          <w:sz w:val="20"/>
          <w:szCs w:val="20"/>
          <w:lang w:val="en-US"/>
        </w:rPr>
      </w:pPr>
      <w:r w:rsidRPr="00D77116">
        <w:rPr>
          <w:rFonts w:ascii="Arial" w:hAnsi="Arial" w:cs="Arial"/>
          <w:b/>
          <w:bCs/>
          <w:sz w:val="20"/>
          <w:szCs w:val="20"/>
          <w:lang w:val="en-US"/>
        </w:rPr>
        <w:lastRenderedPageBreak/>
        <w:t xml:space="preserve">Table </w:t>
      </w:r>
      <w:r>
        <w:rPr>
          <w:rFonts w:ascii="Arial" w:hAnsi="Arial" w:cs="Arial"/>
          <w:b/>
          <w:bCs/>
          <w:sz w:val="20"/>
          <w:szCs w:val="20"/>
          <w:lang w:val="en-US"/>
        </w:rPr>
        <w:t>6</w:t>
      </w:r>
      <w:r w:rsidRPr="00D77116">
        <w:rPr>
          <w:rFonts w:ascii="Arial" w:hAnsi="Arial" w:cs="Arial"/>
          <w:b/>
          <w:bCs/>
          <w:sz w:val="20"/>
          <w:szCs w:val="20"/>
          <w:lang w:val="en-US"/>
        </w:rPr>
        <w:t>: Reliability statistics for survey questionnaires</w:t>
      </w:r>
    </w:p>
    <w:p w14:paraId="0DA06D40" w14:textId="77777777" w:rsidR="000F4B20" w:rsidRDefault="000F4B20" w:rsidP="000F4B20">
      <w:pPr>
        <w:autoSpaceDE w:val="0"/>
        <w:autoSpaceDN w:val="0"/>
        <w:adjustRightInd w:val="0"/>
        <w:spacing w:after="0" w:line="240" w:lineRule="auto"/>
        <w:rPr>
          <w:rFonts w:ascii="Times New Roman" w:hAnsi="Times New Roman" w:cs="Times New Roman"/>
          <w:lang w:val="en-US"/>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157"/>
      </w:tblGrid>
      <w:tr w:rsidR="000F4B20" w14:paraId="7EC2EFAB" w14:textId="77777777" w:rsidTr="001127EA">
        <w:trPr>
          <w:trHeight w:val="330"/>
        </w:trPr>
        <w:tc>
          <w:tcPr>
            <w:tcW w:w="2157" w:type="dxa"/>
            <w:tcBorders>
              <w:top w:val="single" w:sz="4" w:space="0" w:color="auto"/>
              <w:bottom w:val="single" w:sz="4" w:space="0" w:color="auto"/>
            </w:tcBorders>
          </w:tcPr>
          <w:p w14:paraId="5E8BEA2B" w14:textId="77777777" w:rsidR="000F4B20" w:rsidRPr="00D77116" w:rsidRDefault="000F4B20" w:rsidP="001127EA">
            <w:pPr>
              <w:autoSpaceDE w:val="0"/>
              <w:autoSpaceDN w:val="0"/>
              <w:adjustRightInd w:val="0"/>
              <w:jc w:val="center"/>
              <w:rPr>
                <w:rFonts w:ascii="Arial" w:hAnsi="Arial" w:cs="Arial"/>
                <w:b/>
                <w:bCs/>
                <w:sz w:val="20"/>
                <w:szCs w:val="20"/>
                <w:lang w:val="en-US"/>
              </w:rPr>
            </w:pPr>
          </w:p>
        </w:tc>
        <w:tc>
          <w:tcPr>
            <w:tcW w:w="2157" w:type="dxa"/>
            <w:tcBorders>
              <w:top w:val="single" w:sz="4" w:space="0" w:color="auto"/>
              <w:bottom w:val="single" w:sz="4" w:space="0" w:color="auto"/>
            </w:tcBorders>
          </w:tcPr>
          <w:p w14:paraId="38A35D1F" w14:textId="77777777" w:rsidR="000F4B20" w:rsidRPr="00D77116" w:rsidRDefault="000F4B20" w:rsidP="001127EA">
            <w:pPr>
              <w:autoSpaceDE w:val="0"/>
              <w:autoSpaceDN w:val="0"/>
              <w:adjustRightInd w:val="0"/>
              <w:jc w:val="center"/>
              <w:rPr>
                <w:rFonts w:ascii="Arial" w:hAnsi="Arial" w:cs="Arial"/>
                <w:b/>
                <w:bCs/>
                <w:sz w:val="20"/>
                <w:szCs w:val="20"/>
                <w:lang w:val="en-US"/>
              </w:rPr>
            </w:pPr>
            <w:r w:rsidRPr="00D77116">
              <w:rPr>
                <w:rFonts w:ascii="Arial" w:hAnsi="Arial" w:cs="Arial"/>
                <w:b/>
                <w:bCs/>
                <w:sz w:val="20"/>
                <w:szCs w:val="20"/>
                <w:lang w:val="en-US"/>
              </w:rPr>
              <w:t>Cronbach’s Alpha</w:t>
            </w:r>
          </w:p>
        </w:tc>
        <w:tc>
          <w:tcPr>
            <w:tcW w:w="2157" w:type="dxa"/>
            <w:tcBorders>
              <w:top w:val="single" w:sz="4" w:space="0" w:color="auto"/>
              <w:bottom w:val="single" w:sz="4" w:space="0" w:color="auto"/>
            </w:tcBorders>
          </w:tcPr>
          <w:p w14:paraId="6E383E82" w14:textId="77777777" w:rsidR="000F4B20" w:rsidRPr="00D77116" w:rsidRDefault="000F4B20" w:rsidP="001127EA">
            <w:pPr>
              <w:autoSpaceDE w:val="0"/>
              <w:autoSpaceDN w:val="0"/>
              <w:adjustRightInd w:val="0"/>
              <w:jc w:val="center"/>
              <w:rPr>
                <w:rFonts w:ascii="Arial" w:hAnsi="Arial" w:cs="Arial"/>
                <w:b/>
                <w:bCs/>
                <w:sz w:val="20"/>
                <w:szCs w:val="20"/>
                <w:lang w:val="en-US"/>
              </w:rPr>
            </w:pPr>
            <w:r w:rsidRPr="00D77116">
              <w:rPr>
                <w:rFonts w:ascii="Arial" w:hAnsi="Arial" w:cs="Arial"/>
                <w:b/>
                <w:bCs/>
                <w:sz w:val="20"/>
                <w:szCs w:val="20"/>
                <w:lang w:val="en-US"/>
              </w:rPr>
              <w:t>N of Items</w:t>
            </w:r>
          </w:p>
        </w:tc>
      </w:tr>
      <w:tr w:rsidR="000F4B20" w14:paraId="19D36380" w14:textId="77777777" w:rsidTr="001127EA">
        <w:trPr>
          <w:trHeight w:val="330"/>
        </w:trPr>
        <w:tc>
          <w:tcPr>
            <w:tcW w:w="2157" w:type="dxa"/>
            <w:tcBorders>
              <w:top w:val="single" w:sz="4" w:space="0" w:color="auto"/>
            </w:tcBorders>
          </w:tcPr>
          <w:p w14:paraId="17716970" w14:textId="77777777" w:rsidR="000F4B20" w:rsidRPr="00D77116" w:rsidRDefault="000F4B20" w:rsidP="001127EA">
            <w:pPr>
              <w:autoSpaceDE w:val="0"/>
              <w:autoSpaceDN w:val="0"/>
              <w:adjustRightInd w:val="0"/>
              <w:rPr>
                <w:rFonts w:ascii="Arial" w:hAnsi="Arial" w:cs="Arial"/>
                <w:b/>
                <w:bCs/>
                <w:sz w:val="20"/>
                <w:szCs w:val="20"/>
                <w:lang w:val="en-US"/>
              </w:rPr>
            </w:pPr>
            <w:r w:rsidRPr="00D77116">
              <w:rPr>
                <w:rFonts w:ascii="Arial" w:hAnsi="Arial" w:cs="Arial"/>
                <w:b/>
                <w:bCs/>
                <w:sz w:val="20"/>
                <w:szCs w:val="20"/>
                <w:lang w:val="en-US"/>
              </w:rPr>
              <w:t>Comprehension</w:t>
            </w:r>
          </w:p>
        </w:tc>
        <w:tc>
          <w:tcPr>
            <w:tcW w:w="2157" w:type="dxa"/>
            <w:tcBorders>
              <w:top w:val="single" w:sz="4" w:space="0" w:color="auto"/>
            </w:tcBorders>
          </w:tcPr>
          <w:p w14:paraId="74E699F8" w14:textId="48ACC21E" w:rsidR="000F4B20" w:rsidRPr="00D77116" w:rsidRDefault="000F4B20" w:rsidP="001127EA">
            <w:pPr>
              <w:autoSpaceDE w:val="0"/>
              <w:autoSpaceDN w:val="0"/>
              <w:adjustRightInd w:val="0"/>
              <w:jc w:val="center"/>
              <w:rPr>
                <w:rFonts w:ascii="Arial" w:hAnsi="Arial" w:cs="Arial"/>
                <w:sz w:val="20"/>
                <w:szCs w:val="20"/>
                <w:lang w:val="en-US"/>
              </w:rPr>
            </w:pPr>
            <w:r w:rsidRPr="00D77116">
              <w:rPr>
                <w:rFonts w:ascii="Arial" w:hAnsi="Arial" w:cs="Arial"/>
                <w:sz w:val="20"/>
                <w:szCs w:val="20"/>
                <w:lang w:val="en-US"/>
              </w:rPr>
              <w:t>0.893</w:t>
            </w:r>
          </w:p>
        </w:tc>
        <w:tc>
          <w:tcPr>
            <w:tcW w:w="2157" w:type="dxa"/>
            <w:tcBorders>
              <w:top w:val="single" w:sz="4" w:space="0" w:color="auto"/>
            </w:tcBorders>
          </w:tcPr>
          <w:p w14:paraId="4DADA658" w14:textId="77777777" w:rsidR="000F4B20" w:rsidRPr="00D77116" w:rsidRDefault="000F4B20" w:rsidP="001127EA">
            <w:pPr>
              <w:autoSpaceDE w:val="0"/>
              <w:autoSpaceDN w:val="0"/>
              <w:adjustRightInd w:val="0"/>
              <w:jc w:val="center"/>
              <w:rPr>
                <w:rFonts w:ascii="Arial" w:hAnsi="Arial" w:cs="Arial"/>
                <w:sz w:val="20"/>
                <w:szCs w:val="20"/>
                <w:lang w:val="en-US"/>
              </w:rPr>
            </w:pPr>
            <w:r w:rsidRPr="00D77116">
              <w:rPr>
                <w:rFonts w:ascii="Arial" w:hAnsi="Arial" w:cs="Arial"/>
                <w:sz w:val="20"/>
                <w:szCs w:val="20"/>
                <w:lang w:val="en-US"/>
              </w:rPr>
              <w:t>5</w:t>
            </w:r>
          </w:p>
        </w:tc>
      </w:tr>
      <w:tr w:rsidR="000F4B20" w14:paraId="11968543" w14:textId="77777777" w:rsidTr="001127EA">
        <w:trPr>
          <w:trHeight w:val="330"/>
        </w:trPr>
        <w:tc>
          <w:tcPr>
            <w:tcW w:w="2157" w:type="dxa"/>
          </w:tcPr>
          <w:p w14:paraId="5D9CDDB2" w14:textId="77777777" w:rsidR="000F4B20" w:rsidRPr="00D77116" w:rsidRDefault="000F4B20" w:rsidP="001127EA">
            <w:pPr>
              <w:autoSpaceDE w:val="0"/>
              <w:autoSpaceDN w:val="0"/>
              <w:adjustRightInd w:val="0"/>
              <w:rPr>
                <w:rFonts w:ascii="Arial" w:hAnsi="Arial" w:cs="Arial"/>
                <w:b/>
                <w:bCs/>
                <w:sz w:val="20"/>
                <w:szCs w:val="20"/>
                <w:lang w:val="en-US"/>
              </w:rPr>
            </w:pPr>
            <w:r w:rsidRPr="00D77116">
              <w:rPr>
                <w:rFonts w:ascii="Arial" w:hAnsi="Arial" w:cs="Arial"/>
                <w:b/>
                <w:bCs/>
                <w:sz w:val="20"/>
                <w:szCs w:val="20"/>
                <w:lang w:val="en-US"/>
              </w:rPr>
              <w:t>Engagement</w:t>
            </w:r>
          </w:p>
        </w:tc>
        <w:tc>
          <w:tcPr>
            <w:tcW w:w="2157" w:type="dxa"/>
          </w:tcPr>
          <w:p w14:paraId="65F1D858" w14:textId="77777777" w:rsidR="000F4B20" w:rsidRPr="00D77116" w:rsidRDefault="000F4B20" w:rsidP="001127EA">
            <w:pPr>
              <w:autoSpaceDE w:val="0"/>
              <w:autoSpaceDN w:val="0"/>
              <w:adjustRightInd w:val="0"/>
              <w:jc w:val="center"/>
              <w:rPr>
                <w:rFonts w:ascii="Arial" w:hAnsi="Arial" w:cs="Arial"/>
                <w:sz w:val="20"/>
                <w:szCs w:val="20"/>
                <w:lang w:val="en-US"/>
              </w:rPr>
            </w:pPr>
            <w:r w:rsidRPr="00D77116">
              <w:rPr>
                <w:rFonts w:ascii="Arial" w:hAnsi="Arial" w:cs="Arial"/>
                <w:sz w:val="20"/>
                <w:szCs w:val="20"/>
                <w:lang w:val="en-US"/>
              </w:rPr>
              <w:t>0.882</w:t>
            </w:r>
          </w:p>
        </w:tc>
        <w:tc>
          <w:tcPr>
            <w:tcW w:w="2157" w:type="dxa"/>
          </w:tcPr>
          <w:p w14:paraId="0A058A47" w14:textId="77777777" w:rsidR="000F4B20" w:rsidRPr="00D77116" w:rsidRDefault="000F4B20" w:rsidP="001127EA">
            <w:pPr>
              <w:autoSpaceDE w:val="0"/>
              <w:autoSpaceDN w:val="0"/>
              <w:adjustRightInd w:val="0"/>
              <w:jc w:val="center"/>
              <w:rPr>
                <w:rFonts w:ascii="Arial" w:hAnsi="Arial" w:cs="Arial"/>
                <w:sz w:val="20"/>
                <w:szCs w:val="20"/>
                <w:lang w:val="en-US"/>
              </w:rPr>
            </w:pPr>
            <w:r w:rsidRPr="00D77116">
              <w:rPr>
                <w:rFonts w:ascii="Arial" w:hAnsi="Arial" w:cs="Arial"/>
                <w:sz w:val="20"/>
                <w:szCs w:val="20"/>
                <w:lang w:val="en-US"/>
              </w:rPr>
              <w:t>4</w:t>
            </w:r>
          </w:p>
        </w:tc>
      </w:tr>
    </w:tbl>
    <w:p w14:paraId="5683090C" w14:textId="77777777" w:rsidR="000F4B20" w:rsidRDefault="000F4B20" w:rsidP="000F4B20">
      <w:pPr>
        <w:autoSpaceDE w:val="0"/>
        <w:autoSpaceDN w:val="0"/>
        <w:adjustRightInd w:val="0"/>
        <w:spacing w:after="0" w:line="240" w:lineRule="auto"/>
        <w:rPr>
          <w:rFonts w:ascii="Times New Roman" w:hAnsi="Times New Roman" w:cs="Times New Roman"/>
          <w:lang w:val="en-US"/>
        </w:rPr>
      </w:pPr>
    </w:p>
    <w:p w14:paraId="7BFEE38D" w14:textId="37E39E37" w:rsidR="000F4B20" w:rsidRPr="00D561D0" w:rsidRDefault="000F4B20" w:rsidP="000F4B20">
      <w:pPr>
        <w:autoSpaceDE w:val="0"/>
        <w:autoSpaceDN w:val="0"/>
        <w:adjustRightInd w:val="0"/>
        <w:spacing w:after="0" w:line="240" w:lineRule="auto"/>
        <w:rPr>
          <w:rFonts w:ascii="Arial" w:hAnsi="Arial" w:cs="Arial"/>
          <w:sz w:val="20"/>
          <w:szCs w:val="20"/>
          <w:lang w:val="en-US"/>
        </w:rPr>
      </w:pPr>
      <w:r w:rsidRPr="00D77116">
        <w:rPr>
          <w:rFonts w:ascii="Arial" w:hAnsi="Arial" w:cs="Arial"/>
          <w:sz w:val="20"/>
          <w:szCs w:val="20"/>
          <w:lang w:val="en-US"/>
        </w:rPr>
        <w:t xml:space="preserve">Cronbach’s Alpha value was found α </w:t>
      </w:r>
      <w:r w:rsidR="00BD14D4">
        <w:rPr>
          <w:rFonts w:ascii="Arial" w:hAnsi="Arial" w:cs="Arial"/>
          <w:sz w:val="20"/>
          <w:szCs w:val="20"/>
          <w:lang w:val="en-US"/>
        </w:rPr>
        <w:t xml:space="preserve">&gt; </w:t>
      </w:r>
      <w:r w:rsidRPr="00D77116">
        <w:rPr>
          <w:rFonts w:ascii="Arial" w:hAnsi="Arial" w:cs="Arial"/>
          <w:sz w:val="20"/>
          <w:szCs w:val="20"/>
          <w:lang w:val="en-US"/>
        </w:rPr>
        <w:t>8</w:t>
      </w:r>
      <w:r w:rsidR="00D059C8">
        <w:rPr>
          <w:rFonts w:ascii="Arial" w:hAnsi="Arial" w:cs="Arial"/>
          <w:sz w:val="20"/>
          <w:szCs w:val="20"/>
          <w:lang w:val="en-US"/>
        </w:rPr>
        <w:t xml:space="preserve"> (good internal consistency)</w:t>
      </w:r>
      <w:r w:rsidRPr="00D77116">
        <w:rPr>
          <w:rFonts w:ascii="Arial" w:hAnsi="Arial" w:cs="Arial"/>
          <w:sz w:val="20"/>
          <w:szCs w:val="20"/>
          <w:lang w:val="en-US"/>
        </w:rPr>
        <w:t xml:space="preserve"> for both comprehension and engagement. </w:t>
      </w:r>
    </w:p>
    <w:p w14:paraId="6E85E794" w14:textId="77777777" w:rsidR="000F4B20" w:rsidRPr="000F4B20" w:rsidRDefault="000F4B20" w:rsidP="00026FD8">
      <w:pPr>
        <w:spacing w:line="240" w:lineRule="auto"/>
        <w:jc w:val="both"/>
        <w:rPr>
          <w:rFonts w:ascii="Arial" w:eastAsia="Times New Roman" w:hAnsi="Arial" w:cs="Arial"/>
          <w:sz w:val="20"/>
          <w:szCs w:val="20"/>
          <w:lang w:val="en-US"/>
        </w:rPr>
      </w:pPr>
    </w:p>
    <w:p w14:paraId="000000DE" w14:textId="3EB0A139" w:rsidR="00BA47B2" w:rsidRPr="00C20B4D" w:rsidRDefault="008306D2" w:rsidP="00026FD8">
      <w:pPr>
        <w:spacing w:line="240" w:lineRule="auto"/>
        <w:jc w:val="both"/>
        <w:rPr>
          <w:rFonts w:ascii="Arial" w:eastAsia="Times New Roman" w:hAnsi="Arial" w:cs="Arial"/>
          <w:b/>
          <w:sz w:val="22"/>
          <w:szCs w:val="22"/>
        </w:rPr>
      </w:pPr>
      <w:r w:rsidRPr="00C20B4D">
        <w:rPr>
          <w:rFonts w:ascii="Arial" w:eastAsia="Times New Roman" w:hAnsi="Arial" w:cs="Arial"/>
          <w:b/>
          <w:sz w:val="22"/>
          <w:szCs w:val="22"/>
        </w:rPr>
        <w:t>Qualitative Findings</w:t>
      </w:r>
    </w:p>
    <w:p w14:paraId="000000DF" w14:textId="50CCD54B" w:rsidR="00BA47B2"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findings from the thematic analysis of the structured interviews complemented the quantitative data. It combines information from student interviews into a synthesized description of themes </w:t>
      </w:r>
      <w:r w:rsidR="00DE6096" w:rsidRPr="00F757A3">
        <w:rPr>
          <w:rFonts w:ascii="Arial" w:eastAsia="Times New Roman" w:hAnsi="Arial" w:cs="Arial"/>
          <w:sz w:val="20"/>
          <w:szCs w:val="20"/>
        </w:rPr>
        <w:t>in effectiveness in comprehension and engagement, and of challenges related to group learning in</w:t>
      </w:r>
      <w:r w:rsidRPr="00F757A3">
        <w:rPr>
          <w:rFonts w:ascii="Arial" w:eastAsia="Times New Roman" w:hAnsi="Arial" w:cs="Arial"/>
          <w:sz w:val="20"/>
          <w:szCs w:val="20"/>
        </w:rPr>
        <w:t xml:space="preserve"> chemical digestion. Several observable themes emerged:</w:t>
      </w:r>
    </w:p>
    <w:p w14:paraId="000000E0" w14:textId="77777777" w:rsidR="00BA47B2" w:rsidRPr="00C20B4D" w:rsidRDefault="008306D2" w:rsidP="00026FD8">
      <w:pPr>
        <w:numPr>
          <w:ilvl w:val="0"/>
          <w:numId w:val="17"/>
        </w:numPr>
        <w:pBdr>
          <w:top w:val="nil"/>
          <w:left w:val="nil"/>
          <w:bottom w:val="nil"/>
          <w:right w:val="nil"/>
          <w:between w:val="nil"/>
        </w:pBdr>
        <w:spacing w:line="240" w:lineRule="auto"/>
        <w:ind w:left="720" w:hanging="360"/>
        <w:jc w:val="both"/>
        <w:rPr>
          <w:rFonts w:ascii="Arial" w:eastAsia="Times New Roman" w:hAnsi="Arial" w:cs="Arial"/>
          <w:b/>
          <w:color w:val="000000"/>
          <w:sz w:val="20"/>
          <w:szCs w:val="20"/>
          <w:u w:val="single"/>
        </w:rPr>
      </w:pPr>
      <w:r w:rsidRPr="00C20B4D">
        <w:rPr>
          <w:rFonts w:ascii="Arial" w:eastAsia="Times New Roman" w:hAnsi="Arial" w:cs="Arial"/>
          <w:b/>
          <w:color w:val="000000"/>
          <w:sz w:val="20"/>
          <w:szCs w:val="20"/>
          <w:u w:val="single"/>
        </w:rPr>
        <w:t>Effectiveness in Understanding the Topic of Chemical Digestion</w:t>
      </w:r>
    </w:p>
    <w:p w14:paraId="000000E1" w14:textId="5FA72444"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Students reported </w:t>
      </w:r>
      <w:r w:rsidR="00DE6096" w:rsidRPr="00F757A3">
        <w:rPr>
          <w:rFonts w:ascii="Arial" w:eastAsia="Times New Roman" w:hAnsi="Arial" w:cs="Arial"/>
          <w:sz w:val="20"/>
          <w:szCs w:val="20"/>
        </w:rPr>
        <w:t>that using group work helped them better understand chemical digestion</w:t>
      </w:r>
      <w:r w:rsidRPr="00F757A3">
        <w:rPr>
          <w:rFonts w:ascii="Arial" w:eastAsia="Times New Roman" w:hAnsi="Arial" w:cs="Arial"/>
          <w:sz w:val="20"/>
          <w:szCs w:val="20"/>
        </w:rPr>
        <w:t>. From the findings, there are three themes identified.</w:t>
      </w:r>
    </w:p>
    <w:p w14:paraId="000000E2"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Collaborative Knowledge Construction through Explanation and Discussion</w:t>
      </w:r>
    </w:p>
    <w:p w14:paraId="000000E3"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most common theme was that trying to explain concepts to others and participating in discussions helped reinforce their own understanding of concepts. The task of explaining concepts helped students absorb information on a deeper level. Students shared that "We were able to explain concepts to each other, ask questions, and share different learning resources,” “It helped us better our understanding of the process by correcting each other,” “Working in groups helped me by making me engaged in discussions and teaching my peers, while learning myself too,” and “When I helped my friends by teaching them, I understood more."</w:t>
      </w:r>
    </w:p>
    <w:p w14:paraId="000000E4" w14:textId="7ED78101"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Access to Diverse Perspectives and Simplified Explanations</w:t>
      </w:r>
    </w:p>
    <w:p w14:paraId="000000E5"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students found value in listening to various explanations and examples from other classmates, which tended to be more understandable than a book or teacher-led discussion. Students expressed that "My peers explained some parts more clearly than the textbook, and they also shared useful ways to remember key terms," "Each group provided different information and explained complex parts in simple ways," "By learning from different explanations, I could understand it more," and "When I don't understand, some of my friends teach me in an easy way."</w:t>
      </w:r>
    </w:p>
    <w:p w14:paraId="000000E6"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Enhanced Memorization through Engagement and Creativity</w:t>
      </w:r>
    </w:p>
    <w:p w14:paraId="69A3E2EB" w14:textId="77777777" w:rsidR="00FA4A5D"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participatory or creative element of group activities (such as role play) helped make the information more memorable than learning it in a passive environment. The "fun" element correlates directly with memory retention. The students stated that "By working in a group, I understood the process, as it was easier, fun, and more understandable," "It helped me learn the concept more interestingly and in detail," "The role-play helped me memorize the different enzymes and processes and made it easier to learn overall," and "Assigning different topics made us learn in depth, and the play made it interesting to learn."</w:t>
      </w:r>
    </w:p>
    <w:p w14:paraId="000000E8" w14:textId="40C6FB8A" w:rsidR="00BA47B2" w:rsidRPr="00C20B4D" w:rsidRDefault="008306D2" w:rsidP="00026FD8">
      <w:pPr>
        <w:numPr>
          <w:ilvl w:val="0"/>
          <w:numId w:val="17"/>
        </w:numPr>
        <w:pBdr>
          <w:top w:val="nil"/>
          <w:left w:val="nil"/>
          <w:bottom w:val="nil"/>
          <w:right w:val="nil"/>
          <w:between w:val="nil"/>
        </w:pBdr>
        <w:spacing w:line="240" w:lineRule="auto"/>
        <w:ind w:left="720" w:hanging="360"/>
        <w:jc w:val="both"/>
        <w:rPr>
          <w:rFonts w:ascii="Arial" w:eastAsia="Times New Roman" w:hAnsi="Arial" w:cs="Arial"/>
          <w:b/>
          <w:color w:val="000000"/>
          <w:sz w:val="20"/>
          <w:szCs w:val="20"/>
          <w:u w:val="single"/>
        </w:rPr>
      </w:pPr>
      <w:r w:rsidRPr="00C20B4D">
        <w:rPr>
          <w:rFonts w:ascii="Arial" w:eastAsia="Times New Roman" w:hAnsi="Arial" w:cs="Arial"/>
          <w:b/>
          <w:color w:val="000000"/>
          <w:sz w:val="20"/>
          <w:szCs w:val="20"/>
          <w:u w:val="single"/>
        </w:rPr>
        <w:t>Effectiveness in Engaging Students with the Topic</w:t>
      </w:r>
    </w:p>
    <w:p w14:paraId="000000E9"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It can be seen from the student responses that group learning was more participative than individual learning. The reasons can be attributed to the nature of the activities.</w:t>
      </w:r>
    </w:p>
    <w:p w14:paraId="000000EA"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Active Participation and Shared Responsibility</w:t>
      </w:r>
    </w:p>
    <w:p w14:paraId="000000EB"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group environment provided a feeling of common purpose or common responsibility, which induced the students to become more participative than they would otherwise be. The students reported that "It made me responsible for my answer, plus it got me learning more because I was engaged," "Even if you don't want to participate, you find yourself participating as you are learning the concept," "In groups, I have the urgency to contribute and listen to their understanding," and "All of the people are engaged and there’s no chance of boredom."</w:t>
      </w:r>
    </w:p>
    <w:p w14:paraId="000000EC"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A Comfortable and Supportive Learning Environment</w:t>
      </w:r>
    </w:p>
    <w:p w14:paraId="000000ED"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Many students felt more comfortable asking questions and sharing ideas within the small group setting than they would in a whole-class context, lowering the affective filter for learning. Students shared that "It involved more interaction and </w:t>
      </w:r>
      <w:r w:rsidRPr="00F757A3">
        <w:rPr>
          <w:rFonts w:ascii="Arial" w:eastAsia="Times New Roman" w:hAnsi="Arial" w:cs="Arial"/>
          <w:sz w:val="20"/>
          <w:szCs w:val="20"/>
        </w:rPr>
        <w:lastRenderedPageBreak/>
        <w:t>discussion in our comfort zone," "I could be more comfortable and speak my thoughts, and learn from my peers," and "I found peer-tutoring more interesting."</w:t>
      </w:r>
    </w:p>
    <w:p w14:paraId="000000EE"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Intrinsic Motivation through Enjoyment</w:t>
      </w:r>
    </w:p>
    <w:p w14:paraId="000000EF" w14:textId="77777777" w:rsidR="00BA47B2"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consistent use of words like "fun," "enjoyable," and "entertaining" highlights that the enjoyment derived from social interaction served as a powerful intrinsic motivator for engagement. Students expressed that "We can have fun and enjoy while also learning," "It was fun learning together," and "I did find it engaging as it was funny most of the time, helping me memorize more concepts."</w:t>
      </w:r>
    </w:p>
    <w:p w14:paraId="000000F0" w14:textId="77777777" w:rsidR="00BA47B2" w:rsidRPr="00C20B4D" w:rsidRDefault="008306D2" w:rsidP="00026FD8">
      <w:pPr>
        <w:numPr>
          <w:ilvl w:val="0"/>
          <w:numId w:val="17"/>
        </w:numPr>
        <w:pBdr>
          <w:top w:val="nil"/>
          <w:left w:val="nil"/>
          <w:bottom w:val="nil"/>
          <w:right w:val="nil"/>
          <w:between w:val="nil"/>
        </w:pBdr>
        <w:spacing w:line="240" w:lineRule="auto"/>
        <w:ind w:left="720" w:hanging="360"/>
        <w:jc w:val="both"/>
        <w:rPr>
          <w:rFonts w:ascii="Arial" w:eastAsia="Times New Roman" w:hAnsi="Arial" w:cs="Arial"/>
          <w:b/>
          <w:color w:val="000000"/>
          <w:sz w:val="20"/>
          <w:szCs w:val="20"/>
          <w:u w:val="single"/>
        </w:rPr>
      </w:pPr>
      <w:r w:rsidRPr="00C20B4D">
        <w:rPr>
          <w:rFonts w:ascii="Arial" w:eastAsia="Times New Roman" w:hAnsi="Arial" w:cs="Arial"/>
          <w:b/>
          <w:color w:val="000000"/>
          <w:sz w:val="20"/>
          <w:szCs w:val="20"/>
          <w:u w:val="single"/>
        </w:rPr>
        <w:t>Challenges Students Face in Doing Group Activities</w:t>
      </w:r>
    </w:p>
    <w:p w14:paraId="6F7243D5" w14:textId="33DD51F5" w:rsidR="005974F9"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However, despite all the benefits, there are still challenges that the students encountered, which can potentially spoil the effectiveness of group work. The challenges basically entail group dynamics.</w:t>
      </w:r>
    </w:p>
    <w:p w14:paraId="000000F2" w14:textId="2F3DBE42"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Inequitable Participation and Social Loafing</w:t>
      </w:r>
    </w:p>
    <w:p w14:paraId="000000F3" w14:textId="2DD0F69F"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 xml:space="preserve">The most frequent challenge reported was the lack of contribution from some members of the group. This resulted in frustration among the members, which led to an imbalanced workload. </w:t>
      </w:r>
      <w:r w:rsidR="0048180E">
        <w:rPr>
          <w:rFonts w:ascii="Arial" w:eastAsia="Times New Roman" w:hAnsi="Arial" w:cs="Arial"/>
          <w:sz w:val="20"/>
          <w:szCs w:val="20"/>
        </w:rPr>
        <w:t>Some s</w:t>
      </w:r>
      <w:r w:rsidRPr="00F757A3">
        <w:rPr>
          <w:rFonts w:ascii="Arial" w:eastAsia="Times New Roman" w:hAnsi="Arial" w:cs="Arial"/>
          <w:sz w:val="20"/>
          <w:szCs w:val="20"/>
        </w:rPr>
        <w:t xml:space="preserve">tudents </w:t>
      </w:r>
      <w:r w:rsidR="0048180E">
        <w:rPr>
          <w:rFonts w:ascii="Arial" w:eastAsia="Times New Roman" w:hAnsi="Arial" w:cs="Arial"/>
          <w:sz w:val="20"/>
          <w:szCs w:val="20"/>
        </w:rPr>
        <w:t>complained</w:t>
      </w:r>
      <w:r w:rsidRPr="00F757A3">
        <w:rPr>
          <w:rFonts w:ascii="Arial" w:eastAsia="Times New Roman" w:hAnsi="Arial" w:cs="Arial"/>
          <w:sz w:val="20"/>
          <w:szCs w:val="20"/>
        </w:rPr>
        <w:t xml:space="preserve"> that "Some of the members are not serious about the group work," "One challenge I experienced was making sure everyone stayed focused and participated equally," "Not all are participating, and not listening to the initiative taker," and "One person was taking over the entire activity, and others weren’t being serious."</w:t>
      </w:r>
    </w:p>
    <w:p w14:paraId="000000F6" w14:textId="41E0D30D"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Logistical and Coordination Issues</w:t>
      </w:r>
    </w:p>
    <w:p w14:paraId="000000F7"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students found it difficult to coordinate in both offline and online classes. Students stated that "The biggest challenge we faced as a group was time management because we are not in the same place, so it was difficult to even have everyone online for a simple discussion," "No team coordination," and "Proper coordination and cooperation were not really there among my peers."</w:t>
      </w:r>
    </w:p>
    <w:p w14:paraId="000000F8" w14:textId="77777777"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Interpersonal Conflicts and Dominance</w:t>
      </w:r>
    </w:p>
    <w:p w14:paraId="000000F9"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The issues of conflicting ideas, inability to come up with a consensus, and the dominance of key personalities were also identified. Students said that "Clash of ideas," "It was hard to agree which one was correct," and "One person was taking over the entire activity."</w:t>
      </w:r>
    </w:p>
    <w:p w14:paraId="000000FA" w14:textId="5307431C" w:rsidR="00BA47B2" w:rsidRPr="00C20B4D" w:rsidRDefault="008306D2" w:rsidP="00026FD8">
      <w:pPr>
        <w:spacing w:line="240" w:lineRule="auto"/>
        <w:jc w:val="both"/>
        <w:rPr>
          <w:rFonts w:ascii="Arial" w:eastAsia="Times New Roman" w:hAnsi="Arial" w:cs="Arial"/>
          <w:b/>
          <w:i/>
          <w:iCs/>
          <w:sz w:val="20"/>
          <w:szCs w:val="20"/>
        </w:rPr>
      </w:pPr>
      <w:r w:rsidRPr="00C20B4D">
        <w:rPr>
          <w:rFonts w:ascii="Arial" w:eastAsia="Times New Roman" w:hAnsi="Arial" w:cs="Arial"/>
          <w:b/>
          <w:i/>
          <w:iCs/>
          <w:sz w:val="20"/>
          <w:szCs w:val="20"/>
        </w:rPr>
        <w:t>Individual Anxiety and Confidence Issues</w:t>
      </w:r>
    </w:p>
    <w:p w14:paraId="000000FB" w14:textId="77777777" w:rsidR="00BA47B2" w:rsidRPr="00F757A3" w:rsidRDefault="008306D2" w:rsidP="00026FD8">
      <w:pPr>
        <w:spacing w:line="240" w:lineRule="auto"/>
        <w:jc w:val="both"/>
        <w:rPr>
          <w:rFonts w:ascii="Arial" w:eastAsia="Times New Roman" w:hAnsi="Arial" w:cs="Arial"/>
          <w:sz w:val="20"/>
          <w:szCs w:val="20"/>
        </w:rPr>
      </w:pPr>
      <w:r w:rsidRPr="00F757A3">
        <w:rPr>
          <w:rFonts w:ascii="Arial" w:eastAsia="Times New Roman" w:hAnsi="Arial" w:cs="Arial"/>
          <w:sz w:val="20"/>
          <w:szCs w:val="20"/>
        </w:rPr>
        <w:t>Some challenges were internal, with students reporting a lack of confidence to speak up, present, or contribute effectively within the group. Students reported that "How to boost confidence," "I could not come forward," and "I was not able to gain my confidence to present in front of the whole class."</w:t>
      </w:r>
    </w:p>
    <w:p w14:paraId="000000FC" w14:textId="4B21105C" w:rsidR="00BA47B2" w:rsidRPr="005D74E8" w:rsidRDefault="00C20B4D" w:rsidP="00026FD8">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0"/>
          <w:szCs w:val="20"/>
        </w:rPr>
      </w:pPr>
      <w:r w:rsidRPr="005D74E8">
        <w:rPr>
          <w:rFonts w:ascii="Arial Bold" w:eastAsia="Times New Roman" w:hAnsi="Arial Bold" w:cs="Arial"/>
          <w:b/>
          <w:color w:val="000000"/>
          <w:sz w:val="22"/>
          <w:szCs w:val="22"/>
        </w:rPr>
        <w:t xml:space="preserve">DISCUSSION </w:t>
      </w:r>
    </w:p>
    <w:p w14:paraId="000000FD" w14:textId="77777777"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This research aims to assess the effectiveness of group-based learning tasks in terms of understanding and participation in relation to the topic ‘chemical digestion' by students. The results derived from both quantitative and qualitative findings converge to form a compelling narrative that learning through group activities is highly effective, only if appropriately implemented to overcome potential difficulties associated with learning in groups.</w:t>
      </w:r>
    </w:p>
    <w:p w14:paraId="000000FE" w14:textId="4A9EBECE"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 xml:space="preserve">Firstly, the marked improvement in the scores on the post-test (mean improvement of 1.63, </w:t>
      </w:r>
      <w:r w:rsidR="00332842" w:rsidRPr="00332842">
        <w:rPr>
          <w:rFonts w:ascii="Arial" w:eastAsia="Times New Roman" w:hAnsi="Arial" w:cs="Arial"/>
          <w:i/>
          <w:iCs/>
          <w:sz w:val="20"/>
          <w:szCs w:val="20"/>
        </w:rPr>
        <w:t>P</w:t>
      </w:r>
      <w:r w:rsidR="00332842" w:rsidRPr="00332842">
        <w:rPr>
          <w:rFonts w:ascii="Arial" w:eastAsia="Times New Roman" w:hAnsi="Arial" w:cs="Arial"/>
          <w:sz w:val="20"/>
          <w:szCs w:val="20"/>
        </w:rPr>
        <w:t xml:space="preserve"> </w:t>
      </w:r>
      <w:r w:rsidRPr="00332842">
        <w:rPr>
          <w:rFonts w:ascii="Arial" w:eastAsia="Times New Roman" w:hAnsi="Arial" w:cs="Arial"/>
          <w:sz w:val="20"/>
          <w:szCs w:val="20"/>
        </w:rPr>
        <w:t xml:space="preserve">&lt; .001) constitutes conclusive numerical support for the hypothesis that the group-based activities improved the students' level of understanding. This numerical finding gains immense strength from the suggestions offered by the qualitative findings. The students' responses locating the improvement in the understanding achieved through the group environment, via the process of cooperative knowledge construction, as discussed by Vygotsky (1980) and Johnson and Johnson (2009), become clear in themselves, since themes such as "explaining concepts to each other," "correcting each other," and "teaching my peers" explicitly bring to the forefront that the cognitive process underlying cooperative learning. The so-called "peer-teaching outcome," similar to the "protégé outcome" discussed by </w:t>
      </w:r>
      <w:proofErr w:type="spellStart"/>
      <w:r w:rsidRPr="00332842">
        <w:rPr>
          <w:rFonts w:ascii="Arial" w:eastAsia="Times New Roman" w:hAnsi="Arial" w:cs="Arial"/>
          <w:sz w:val="20"/>
          <w:szCs w:val="20"/>
        </w:rPr>
        <w:t>Annis</w:t>
      </w:r>
      <w:proofErr w:type="spellEnd"/>
      <w:r w:rsidRPr="00332842">
        <w:rPr>
          <w:rFonts w:ascii="Arial" w:eastAsia="Times New Roman" w:hAnsi="Arial" w:cs="Arial"/>
          <w:sz w:val="20"/>
          <w:szCs w:val="20"/>
        </w:rPr>
        <w:t xml:space="preserve"> (1983), imposed upon the students a reconstruction of their knowledge, thereby internalizing their understanding. The numerical findings from the surveys, too, support the hypothesis, since the average level for comprehension (M = 3.66) is remarkably clear.</w:t>
      </w:r>
    </w:p>
    <w:p w14:paraId="000000FF" w14:textId="19974D14" w:rsidR="005974F9"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 xml:space="preserve">Secondly, the findings emphatically endorse the benefits of group work for augmentation. The level of engagement found in the study (M=3.69) suggests that the group setting was more interesting and engaging for the participants when contrasted with traditional ways. The qualitative theme supports the view that the group setting was “fun,” “entertaining,” and enabled the participants to establish a “comfort zone.” This corresponds to the notion that the social interaction process met the relatedness need, increasing the participants' intrinsic motivations (Ryan &amp; Deci, 2000). The use of the </w:t>
      </w:r>
      <w:r w:rsidRPr="00332842">
        <w:rPr>
          <w:rFonts w:ascii="Arial" w:eastAsia="Times New Roman" w:hAnsi="Arial" w:cs="Arial"/>
          <w:sz w:val="20"/>
          <w:szCs w:val="20"/>
        </w:rPr>
        <w:lastRenderedPageBreak/>
        <w:t xml:space="preserve">role-playing activity was identified to be the ‘most interesting,’ since it enabled active participation, creativity, and made the ‘learning process enjoyable.’ This resonates with the motivational benefits from positive interdependence, supported by </w:t>
      </w:r>
      <w:proofErr w:type="spellStart"/>
      <w:r w:rsidRPr="00332842">
        <w:rPr>
          <w:rFonts w:ascii="Arial" w:eastAsia="Times New Roman" w:hAnsi="Arial" w:cs="Arial"/>
          <w:sz w:val="20"/>
          <w:szCs w:val="20"/>
        </w:rPr>
        <w:t>Slavin</w:t>
      </w:r>
      <w:proofErr w:type="spellEnd"/>
      <w:r w:rsidRPr="00332842">
        <w:rPr>
          <w:rFonts w:ascii="Arial" w:eastAsia="Times New Roman" w:hAnsi="Arial" w:cs="Arial"/>
          <w:sz w:val="20"/>
          <w:szCs w:val="20"/>
        </w:rPr>
        <w:t xml:space="preserve"> (2014). However, it also reveals the important challenges that can act as a hindrance to the process involved in group learning, as has also been well discussed in the existing literature (Bacon, 2005; Hall and </w:t>
      </w:r>
      <w:proofErr w:type="spellStart"/>
      <w:r w:rsidRPr="00332842">
        <w:rPr>
          <w:rFonts w:ascii="Arial" w:eastAsia="Times New Roman" w:hAnsi="Arial" w:cs="Arial"/>
          <w:sz w:val="20"/>
          <w:szCs w:val="20"/>
        </w:rPr>
        <w:t>Buzwell</w:t>
      </w:r>
      <w:proofErr w:type="spellEnd"/>
      <w:r w:rsidRPr="00332842">
        <w:rPr>
          <w:rFonts w:ascii="Arial" w:eastAsia="Times New Roman" w:hAnsi="Arial" w:cs="Arial"/>
          <w:sz w:val="20"/>
          <w:szCs w:val="20"/>
        </w:rPr>
        <w:t>, 2013). The social loafing, lack of coordination, and clash of ideas are terms that are frequently used in the qualitative responses, and it has also caused a slight decline in the quantitative score for the question, “I prefer learning through group activities” (M=3.44). The acquisition of knowledge, whether through group activity participation or through carrying out activities independently, or through class-led instruction, has caused every student, almost invariably, to indicate that it is the lack of contribution by their peers that has made them favor either solo effort or teacher-led learning.</w:t>
      </w:r>
    </w:p>
    <w:p w14:paraId="00000100" w14:textId="3EC4171D" w:rsidR="00BA47B2" w:rsidRPr="005D74E8" w:rsidRDefault="00C20B4D" w:rsidP="00026FD8">
      <w:pPr>
        <w:numPr>
          <w:ilvl w:val="0"/>
          <w:numId w:val="16"/>
        </w:numPr>
        <w:pBdr>
          <w:top w:val="nil"/>
          <w:left w:val="nil"/>
          <w:bottom w:val="nil"/>
          <w:right w:val="nil"/>
          <w:between w:val="nil"/>
        </w:pBdr>
        <w:spacing w:after="120"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CONCLUSION AND RECOMMENDATION</w:t>
      </w:r>
    </w:p>
    <w:p w14:paraId="67F9CA9A" w14:textId="74DE7432" w:rsidR="005974F9" w:rsidRPr="00332842" w:rsidRDefault="008306D2" w:rsidP="00026FD8">
      <w:pPr>
        <w:spacing w:after="120" w:line="240" w:lineRule="auto"/>
        <w:jc w:val="both"/>
        <w:rPr>
          <w:rFonts w:ascii="Arial" w:eastAsia="Times New Roman" w:hAnsi="Arial" w:cs="Arial"/>
          <w:b/>
          <w:sz w:val="22"/>
          <w:szCs w:val="22"/>
        </w:rPr>
      </w:pPr>
      <w:r w:rsidRPr="00332842">
        <w:rPr>
          <w:rFonts w:ascii="Arial" w:eastAsia="Times New Roman" w:hAnsi="Arial" w:cs="Arial"/>
          <w:b/>
          <w:sz w:val="22"/>
          <w:szCs w:val="22"/>
        </w:rPr>
        <w:t>Conclusion</w:t>
      </w:r>
    </w:p>
    <w:p w14:paraId="00000102" w14:textId="0DA12E34"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Finally, this study demonstrates that the integration of group-based activities, such as presentations and role-playing, is an effective strategy for teaching complex scientific concepts like chemical digestion. The triangulated data leads to three primary conclusions:</w:t>
      </w:r>
    </w:p>
    <w:p w14:paraId="00000103" w14:textId="77777777" w:rsidR="00BA47B2" w:rsidRPr="00332842" w:rsidRDefault="008306D2" w:rsidP="00026FD8">
      <w:pPr>
        <w:numPr>
          <w:ilvl w:val="2"/>
          <w:numId w:val="5"/>
        </w:numPr>
        <w:pBdr>
          <w:top w:val="nil"/>
          <w:left w:val="nil"/>
          <w:bottom w:val="nil"/>
          <w:right w:val="nil"/>
          <w:between w:val="nil"/>
        </w:pBdr>
        <w:spacing w:after="0" w:line="240" w:lineRule="auto"/>
        <w:ind w:left="360"/>
        <w:jc w:val="both"/>
        <w:rPr>
          <w:rFonts w:ascii="Arial" w:eastAsia="Times New Roman" w:hAnsi="Arial" w:cs="Arial"/>
          <w:color w:val="000000"/>
          <w:sz w:val="20"/>
          <w:szCs w:val="20"/>
        </w:rPr>
      </w:pPr>
      <w:r w:rsidRPr="00332842">
        <w:rPr>
          <w:rFonts w:ascii="Arial" w:eastAsia="Times New Roman" w:hAnsi="Arial" w:cs="Arial"/>
          <w:color w:val="000000"/>
          <w:sz w:val="20"/>
          <w:szCs w:val="20"/>
        </w:rPr>
        <w:t>The benefits in terms of learning continue, since group-based activities improve students' outcomes. The improvement in students' outcomes, coupled with a statistical significance in test scores, clearly reveals that group activity increases learning achievement.</w:t>
      </w:r>
    </w:p>
    <w:p w14:paraId="00000104" w14:textId="77777777" w:rsidR="00BA47B2" w:rsidRPr="00332842" w:rsidRDefault="008306D2" w:rsidP="00026FD8">
      <w:pPr>
        <w:numPr>
          <w:ilvl w:val="2"/>
          <w:numId w:val="5"/>
        </w:numPr>
        <w:pBdr>
          <w:top w:val="nil"/>
          <w:left w:val="nil"/>
          <w:bottom w:val="nil"/>
          <w:right w:val="nil"/>
          <w:between w:val="nil"/>
        </w:pBdr>
        <w:spacing w:after="0" w:line="240" w:lineRule="auto"/>
        <w:ind w:left="360"/>
        <w:jc w:val="both"/>
        <w:rPr>
          <w:rFonts w:ascii="Arial" w:eastAsia="Times New Roman" w:hAnsi="Arial" w:cs="Arial"/>
          <w:color w:val="000000"/>
          <w:sz w:val="20"/>
          <w:szCs w:val="20"/>
        </w:rPr>
      </w:pPr>
      <w:r w:rsidRPr="00332842">
        <w:rPr>
          <w:rFonts w:ascii="Arial" w:eastAsia="Times New Roman" w:hAnsi="Arial" w:cs="Arial"/>
          <w:color w:val="000000"/>
          <w:sz w:val="20"/>
          <w:szCs w:val="20"/>
        </w:rPr>
        <w:t>Collaboration is a strong engagement driver for students. The social, interactive, and creative elements of the learning activity stimulated greater student interest, participation, and motivation, making learning a more enjoyable and lively experience.</w:t>
      </w:r>
    </w:p>
    <w:p w14:paraId="00000105" w14:textId="77777777" w:rsidR="00BA47B2" w:rsidRPr="00332842" w:rsidRDefault="008306D2" w:rsidP="00026FD8">
      <w:pPr>
        <w:numPr>
          <w:ilvl w:val="2"/>
          <w:numId w:val="5"/>
        </w:numPr>
        <w:pBdr>
          <w:top w:val="nil"/>
          <w:left w:val="nil"/>
          <w:bottom w:val="nil"/>
          <w:right w:val="nil"/>
          <w:between w:val="nil"/>
        </w:pBdr>
        <w:spacing w:line="240" w:lineRule="auto"/>
        <w:ind w:left="360"/>
        <w:jc w:val="both"/>
        <w:rPr>
          <w:rFonts w:ascii="Arial" w:eastAsia="Times New Roman" w:hAnsi="Arial" w:cs="Arial"/>
          <w:color w:val="000000"/>
          <w:sz w:val="20"/>
          <w:szCs w:val="20"/>
        </w:rPr>
      </w:pPr>
      <w:r w:rsidRPr="00332842">
        <w:rPr>
          <w:rFonts w:ascii="Arial" w:eastAsia="Times New Roman" w:hAnsi="Arial" w:cs="Arial"/>
          <w:color w:val="000000"/>
          <w:sz w:val="20"/>
          <w:szCs w:val="20"/>
        </w:rPr>
        <w:t>The advantages are not guaranteed and are impacted by group dynamics. The regular difficulties, such as free riding, lack of coordination, and conflict between individuals, are a serious challenge to the effectiveness and fairness of the learning process. The same factors account for the different preferences expressed by the learners and indicate the importance of strategic facilitation.</w:t>
      </w:r>
    </w:p>
    <w:p w14:paraId="00000106" w14:textId="77777777"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Thus, the importance of learning in groups is clear, however, it has to be implemented in a way that benefits the students. Since this research was conducted on a specific site - two sections in a single institution - and on a very limited timescale and the lack of a control group mean that, although the enhancement can be clearly observed, other exterior variables can under no circumstances be ruled out totally. The findings, though significant, are necessarily context-specific.</w:t>
      </w:r>
    </w:p>
    <w:p w14:paraId="479E18E5" w14:textId="77777777" w:rsidR="002B6E11" w:rsidRDefault="002B6E11" w:rsidP="00026FD8">
      <w:pPr>
        <w:spacing w:line="240" w:lineRule="auto"/>
        <w:jc w:val="both"/>
        <w:rPr>
          <w:rFonts w:ascii="Arial" w:eastAsia="Times New Roman" w:hAnsi="Arial" w:cs="Arial"/>
          <w:b/>
          <w:sz w:val="22"/>
          <w:szCs w:val="22"/>
        </w:rPr>
      </w:pPr>
    </w:p>
    <w:p w14:paraId="00000107" w14:textId="59C72332" w:rsidR="00BA47B2" w:rsidRPr="00332842" w:rsidRDefault="008306D2" w:rsidP="00026FD8">
      <w:pPr>
        <w:spacing w:line="240" w:lineRule="auto"/>
        <w:jc w:val="both"/>
        <w:rPr>
          <w:rFonts w:ascii="Arial" w:eastAsia="Times New Roman" w:hAnsi="Arial" w:cs="Arial"/>
          <w:b/>
          <w:sz w:val="22"/>
          <w:szCs w:val="22"/>
        </w:rPr>
      </w:pPr>
      <w:r w:rsidRPr="00332842">
        <w:rPr>
          <w:rFonts w:ascii="Arial" w:eastAsia="Times New Roman" w:hAnsi="Arial" w:cs="Arial"/>
          <w:b/>
          <w:sz w:val="22"/>
          <w:szCs w:val="22"/>
        </w:rPr>
        <w:t>Recommendations</w:t>
      </w:r>
    </w:p>
    <w:p w14:paraId="00000108" w14:textId="77777777"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Based on the integrated findings, the following suggestions can be made for educators hoping to integrate the concept of group-based learning effectively:</w:t>
      </w:r>
    </w:p>
    <w:p w14:paraId="00000109" w14:textId="77777777" w:rsidR="00BA47B2" w:rsidRPr="00332842" w:rsidRDefault="008306D2" w:rsidP="00026FD8">
      <w:pPr>
        <w:numPr>
          <w:ilvl w:val="0"/>
          <w:numId w:val="2"/>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332842">
        <w:rPr>
          <w:rFonts w:ascii="Arial" w:eastAsia="Times New Roman" w:hAnsi="Arial" w:cs="Arial"/>
          <w:b/>
          <w:color w:val="000000"/>
          <w:sz w:val="20"/>
          <w:szCs w:val="20"/>
        </w:rPr>
        <w:t>Establish Structures for Individual and Group Accountability:</w:t>
      </w:r>
      <w:r w:rsidRPr="00332842">
        <w:rPr>
          <w:rFonts w:ascii="Arial" w:eastAsia="Times New Roman" w:hAnsi="Arial" w:cs="Arial"/>
          <w:color w:val="000000"/>
          <w:sz w:val="20"/>
          <w:szCs w:val="20"/>
        </w:rPr>
        <w:t xml:space="preserve"> To address the ever-prevalent problem of social loafing, teachers can create evaluation methods for both the final group output and individuals' efforts. Such methods could include: peer evaluation by providing anonymous evaluation forms that contribute to grading, asking questions to individual students to confirm that each group member has understood the topic, and giving specific roles in the group to encourage participation.</w:t>
      </w:r>
    </w:p>
    <w:p w14:paraId="0000010A" w14:textId="77777777" w:rsidR="00BA47B2" w:rsidRPr="00332842" w:rsidRDefault="008306D2" w:rsidP="00026FD8">
      <w:pPr>
        <w:numPr>
          <w:ilvl w:val="0"/>
          <w:numId w:val="2"/>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332842">
        <w:rPr>
          <w:rFonts w:ascii="Arial" w:eastAsia="Times New Roman" w:hAnsi="Arial" w:cs="Arial"/>
          <w:b/>
          <w:color w:val="000000"/>
          <w:sz w:val="20"/>
          <w:szCs w:val="20"/>
        </w:rPr>
        <w:t>Use Explicit Instruction and Scaffolding for Collaboration Skills</w:t>
      </w:r>
      <w:r w:rsidRPr="00332842">
        <w:rPr>
          <w:rFonts w:ascii="Arial" w:eastAsia="Times New Roman" w:hAnsi="Arial" w:cs="Arial"/>
          <w:color w:val="000000"/>
          <w:sz w:val="20"/>
          <w:szCs w:val="20"/>
        </w:rPr>
        <w:t xml:space="preserve">: Students cannot assume collaboration skills when entering a class. Teachers must teach conflict resolution by briefly instructing the class on how to respectfully disagree and negotiate their ideas, establishing clear expectations by supplying rubrics or criteria for the group task, along with instructions for collaboration, and providing tools for time management by helping groups create timelines and plans, particularly for tasks that need to be coordinated outside class. </w:t>
      </w:r>
    </w:p>
    <w:p w14:paraId="0000010B" w14:textId="77777777" w:rsidR="00BA47B2" w:rsidRPr="00332842" w:rsidRDefault="008306D2" w:rsidP="00026FD8">
      <w:pPr>
        <w:numPr>
          <w:ilvl w:val="0"/>
          <w:numId w:val="2"/>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332842">
        <w:rPr>
          <w:rFonts w:ascii="Arial" w:eastAsia="Times New Roman" w:hAnsi="Arial" w:cs="Arial"/>
          <w:b/>
          <w:color w:val="000000"/>
          <w:sz w:val="20"/>
          <w:szCs w:val="20"/>
        </w:rPr>
        <w:t>Diversify Group Activities and Offer Choice:</w:t>
      </w:r>
      <w:r w:rsidRPr="00332842">
        <w:rPr>
          <w:rFonts w:ascii="Arial" w:eastAsia="Times New Roman" w:hAnsi="Arial" w:cs="Arial"/>
          <w:color w:val="000000"/>
          <w:sz w:val="20"/>
          <w:szCs w:val="20"/>
        </w:rPr>
        <w:t xml:space="preserve"> Given that the role-play activity was overwhelmingly favored for its engagement and memorability, teacher should use varied formats by using a combination of role-playing, concept maps, presentations, and peer-teaching classes to reach different learners, allow for creativity where possible, allow groups to choose how they demonstrate their learning (e.g., creating a video, a song, or a physical model), which increases ownership and investment.</w:t>
      </w:r>
    </w:p>
    <w:p w14:paraId="0000010C" w14:textId="77777777" w:rsidR="00BA47B2" w:rsidRPr="00332842" w:rsidRDefault="008306D2" w:rsidP="00026FD8">
      <w:pPr>
        <w:numPr>
          <w:ilvl w:val="0"/>
          <w:numId w:val="2"/>
        </w:numPr>
        <w:pBdr>
          <w:top w:val="nil"/>
          <w:left w:val="nil"/>
          <w:bottom w:val="nil"/>
          <w:right w:val="nil"/>
          <w:between w:val="nil"/>
        </w:pBdr>
        <w:spacing w:line="240" w:lineRule="auto"/>
        <w:jc w:val="both"/>
        <w:rPr>
          <w:rFonts w:ascii="Arial" w:eastAsia="Times New Roman" w:hAnsi="Arial" w:cs="Arial"/>
          <w:color w:val="000000"/>
          <w:sz w:val="20"/>
          <w:szCs w:val="20"/>
        </w:rPr>
      </w:pPr>
      <w:r w:rsidRPr="00332842">
        <w:rPr>
          <w:rFonts w:ascii="Arial" w:eastAsia="Times New Roman" w:hAnsi="Arial" w:cs="Arial"/>
          <w:b/>
          <w:color w:val="000000"/>
          <w:sz w:val="20"/>
          <w:szCs w:val="20"/>
        </w:rPr>
        <w:t>Provide Mechanisms for Continuous Monitoring and Assistance</w:t>
      </w:r>
      <w:r w:rsidRPr="00332842">
        <w:rPr>
          <w:rFonts w:ascii="Arial" w:eastAsia="Times New Roman" w:hAnsi="Arial" w:cs="Arial"/>
          <w:color w:val="000000"/>
          <w:sz w:val="20"/>
          <w:szCs w:val="20"/>
        </w:rPr>
        <w:t xml:space="preserve">: The teachers will switch their role from a lecturer to a facilitator for group activities. Conduct formative check-ins by moving around the groups to notice free riders (social loafers) and dominant members to timely intervene and establish a system, either in a form or a time designated, confidential reporting about group dynamic issues so that they can be addressed before becoming major issues. </w:t>
      </w:r>
    </w:p>
    <w:p w14:paraId="0000010D" w14:textId="77777777" w:rsidR="00BA47B2" w:rsidRPr="00332842" w:rsidRDefault="008306D2" w:rsidP="00026FD8">
      <w:pPr>
        <w:spacing w:line="240" w:lineRule="auto"/>
        <w:ind w:left="360"/>
        <w:jc w:val="both"/>
        <w:rPr>
          <w:rFonts w:ascii="Arial" w:eastAsia="Times New Roman" w:hAnsi="Arial" w:cs="Arial"/>
          <w:sz w:val="20"/>
          <w:szCs w:val="20"/>
        </w:rPr>
      </w:pPr>
      <w:r w:rsidRPr="00332842">
        <w:rPr>
          <w:rFonts w:ascii="Arial" w:eastAsia="Times New Roman" w:hAnsi="Arial" w:cs="Arial"/>
          <w:sz w:val="20"/>
          <w:szCs w:val="20"/>
        </w:rPr>
        <w:lastRenderedPageBreak/>
        <w:t>Through the use of these strategies, teachers can capitalize on the huge advantages that can be derived from group learning, as well as proactively offset any difficulties, thereby creating a better learning environment for each student using the collaborative model.</w:t>
      </w:r>
    </w:p>
    <w:p w14:paraId="00000112" w14:textId="41580678" w:rsidR="00BA47B2" w:rsidRPr="00194D72" w:rsidRDefault="00934AA9" w:rsidP="00194D72">
      <w:pPr>
        <w:spacing w:line="240" w:lineRule="auto"/>
        <w:jc w:val="both"/>
        <w:rPr>
          <w:rFonts w:ascii="Arial" w:eastAsia="Times New Roman" w:hAnsi="Arial" w:cs="Arial"/>
          <w:sz w:val="20"/>
          <w:szCs w:val="20"/>
        </w:rPr>
      </w:pPr>
      <w:r w:rsidRPr="005D74E8">
        <w:rPr>
          <w:rFonts w:ascii="Arial Bold" w:eastAsia="Times New Roman" w:hAnsi="Arial Bold" w:cs="Arial"/>
          <w:b/>
          <w:color w:val="000000"/>
          <w:sz w:val="22"/>
          <w:szCs w:val="22"/>
        </w:rPr>
        <w:t xml:space="preserve">ETHICS </w:t>
      </w:r>
      <w:r w:rsidR="00194D72">
        <w:rPr>
          <w:rFonts w:ascii="Arial Bold" w:eastAsia="Times New Roman" w:hAnsi="Arial Bold" w:cs="Arial"/>
          <w:b/>
          <w:color w:val="000000"/>
          <w:sz w:val="22"/>
          <w:szCs w:val="22"/>
        </w:rPr>
        <w:t xml:space="preserve">Approval and consent: </w:t>
      </w:r>
    </w:p>
    <w:p w14:paraId="00000113" w14:textId="4F69D3D9" w:rsidR="00BA47B2" w:rsidRPr="00332842" w:rsidRDefault="008306D2" w:rsidP="00026FD8">
      <w:pPr>
        <w:spacing w:line="240" w:lineRule="auto"/>
        <w:jc w:val="both"/>
        <w:rPr>
          <w:rFonts w:ascii="Arial" w:eastAsia="Times New Roman" w:hAnsi="Arial" w:cs="Arial"/>
          <w:sz w:val="20"/>
          <w:szCs w:val="20"/>
        </w:rPr>
      </w:pPr>
      <w:r w:rsidRPr="00332842">
        <w:rPr>
          <w:rFonts w:ascii="Arial" w:eastAsia="Times New Roman" w:hAnsi="Arial" w:cs="Arial"/>
          <w:sz w:val="20"/>
          <w:szCs w:val="20"/>
        </w:rPr>
        <w:t xml:space="preserve">Ethical approval </w:t>
      </w:r>
      <w:r w:rsidR="00194D72">
        <w:rPr>
          <w:rFonts w:ascii="Arial" w:eastAsia="Times New Roman" w:hAnsi="Arial" w:cs="Arial"/>
          <w:sz w:val="20"/>
          <w:szCs w:val="20"/>
        </w:rPr>
        <w:t xml:space="preserve">and </w:t>
      </w:r>
      <w:r w:rsidR="00336364">
        <w:rPr>
          <w:rFonts w:ascii="Arial" w:eastAsia="Times New Roman" w:hAnsi="Arial" w:cs="Arial"/>
          <w:sz w:val="20"/>
          <w:szCs w:val="20"/>
        </w:rPr>
        <w:t xml:space="preserve">Parent </w:t>
      </w:r>
      <w:r w:rsidR="00194D72">
        <w:rPr>
          <w:rFonts w:ascii="Arial" w:eastAsia="Times New Roman" w:hAnsi="Arial" w:cs="Arial"/>
          <w:sz w:val="20"/>
          <w:szCs w:val="20"/>
        </w:rPr>
        <w:t xml:space="preserve">Consent </w:t>
      </w:r>
      <w:r w:rsidR="00194D72" w:rsidRPr="00332842">
        <w:rPr>
          <w:rFonts w:ascii="Arial" w:eastAsia="Times New Roman" w:hAnsi="Arial" w:cs="Arial"/>
          <w:sz w:val="20"/>
          <w:szCs w:val="20"/>
        </w:rPr>
        <w:t>were</w:t>
      </w:r>
      <w:r w:rsidRPr="00332842">
        <w:rPr>
          <w:rFonts w:ascii="Arial" w:eastAsia="Times New Roman" w:hAnsi="Arial" w:cs="Arial"/>
          <w:sz w:val="20"/>
          <w:szCs w:val="20"/>
        </w:rPr>
        <w:t xml:space="preserve"> obtained from the relevant agencies</w:t>
      </w:r>
      <w:r w:rsidR="00194D72">
        <w:rPr>
          <w:rFonts w:ascii="Arial" w:eastAsia="Times New Roman" w:hAnsi="Arial" w:cs="Arial"/>
          <w:sz w:val="20"/>
          <w:szCs w:val="20"/>
        </w:rPr>
        <w:t xml:space="preserve"> and </w:t>
      </w:r>
      <w:r w:rsidR="00194D72" w:rsidRPr="00194D72">
        <w:rPr>
          <w:rFonts w:ascii="Arial" w:eastAsia="Times New Roman" w:hAnsi="Arial" w:cs="Arial"/>
          <w:sz w:val="20"/>
          <w:szCs w:val="20"/>
        </w:rPr>
        <w:t>all the participants</w:t>
      </w:r>
      <w:r w:rsidR="00194D72">
        <w:rPr>
          <w:rFonts w:ascii="Arial" w:eastAsia="Times New Roman" w:hAnsi="Arial" w:cs="Arial"/>
          <w:sz w:val="20"/>
          <w:szCs w:val="20"/>
        </w:rPr>
        <w:t xml:space="preserve"> respectively. </w:t>
      </w:r>
    </w:p>
    <w:p w14:paraId="41BA84B1" w14:textId="77777777" w:rsidR="003C33C5" w:rsidRPr="00A4580D" w:rsidRDefault="003C33C5" w:rsidP="003C33C5">
      <w:pPr>
        <w:rPr>
          <w:rFonts w:ascii="Arial" w:hAnsi="Arial" w:cs="Arial"/>
          <w:b/>
          <w:bCs/>
          <w:kern w:val="2"/>
          <w:sz w:val="22"/>
          <w:szCs w:val="22"/>
          <w:lang w:val="en-US"/>
        </w:rPr>
      </w:pPr>
      <w:bookmarkStart w:id="2" w:name="_Hlk197682619"/>
      <w:bookmarkStart w:id="3" w:name="_Hlk180402183"/>
      <w:bookmarkStart w:id="4" w:name="_Hlk183680988"/>
      <w:bookmarkStart w:id="5" w:name="_Hlk197351200"/>
      <w:r w:rsidRPr="00A4580D">
        <w:rPr>
          <w:rFonts w:ascii="Arial" w:hAnsi="Arial" w:cs="Arial"/>
          <w:b/>
          <w:bCs/>
          <w:kern w:val="2"/>
          <w:sz w:val="22"/>
          <w:szCs w:val="22"/>
          <w:lang w:val="en-US"/>
        </w:rPr>
        <w:t>Disclaimer (Artificial intelligence)</w:t>
      </w:r>
    </w:p>
    <w:p w14:paraId="1B661C2D" w14:textId="5350E48B" w:rsidR="003C33C5" w:rsidRPr="004F75BA" w:rsidRDefault="004F75BA" w:rsidP="003C33C5">
      <w:pPr>
        <w:rPr>
          <w:rFonts w:ascii="Arial" w:hAnsi="Arial" w:cs="Arial"/>
          <w:kern w:val="2"/>
          <w:sz w:val="20"/>
          <w:szCs w:val="20"/>
          <w:lang w:val="en-US"/>
        </w:rPr>
      </w:pPr>
      <w:r>
        <w:rPr>
          <w:rFonts w:ascii="Arial" w:hAnsi="Arial" w:cs="Arial"/>
          <w:kern w:val="2"/>
          <w:sz w:val="20"/>
          <w:szCs w:val="20"/>
          <w:lang w:val="en-US"/>
        </w:rPr>
        <w:t>I</w:t>
      </w:r>
      <w:r w:rsidR="003C33C5" w:rsidRPr="004F75BA">
        <w:rPr>
          <w:rFonts w:ascii="Arial" w:hAnsi="Arial" w:cs="Arial"/>
          <w:kern w:val="2"/>
          <w:sz w:val="20"/>
          <w:szCs w:val="20"/>
          <w:lang w:val="en-US"/>
        </w:rPr>
        <w:t xml:space="preserve"> hereby declare that NO generative AI technologies such as Large Language Models (</w:t>
      </w:r>
      <w:proofErr w:type="spellStart"/>
      <w:r w:rsidR="003C33C5" w:rsidRPr="004F75BA">
        <w:rPr>
          <w:rFonts w:ascii="Arial" w:hAnsi="Arial" w:cs="Arial"/>
          <w:kern w:val="2"/>
          <w:sz w:val="20"/>
          <w:szCs w:val="20"/>
          <w:lang w:val="en-US"/>
        </w:rPr>
        <w:t>ChatGPT</w:t>
      </w:r>
      <w:proofErr w:type="spellEnd"/>
      <w:r w:rsidR="003C33C5" w:rsidRPr="004F75BA">
        <w:rPr>
          <w:rFonts w:ascii="Arial" w:hAnsi="Arial" w:cs="Arial"/>
          <w:kern w:val="2"/>
          <w:sz w:val="20"/>
          <w:szCs w:val="20"/>
          <w:lang w:val="en-US"/>
        </w:rPr>
        <w:t xml:space="preserve">, COPILOT, etc.) and text-to-image generators have been used during the writing or editing of this manuscript. </w:t>
      </w:r>
    </w:p>
    <w:bookmarkEnd w:id="2"/>
    <w:bookmarkEnd w:id="3"/>
    <w:bookmarkEnd w:id="4"/>
    <w:bookmarkEnd w:id="5"/>
    <w:p w14:paraId="2BEEB597" w14:textId="77777777" w:rsidR="00DE6096" w:rsidRDefault="00DE6096" w:rsidP="00026FD8">
      <w:pPr>
        <w:spacing w:line="240" w:lineRule="auto"/>
        <w:rPr>
          <w:rFonts w:ascii="Times New Roman" w:eastAsia="Times New Roman" w:hAnsi="Times New Roman" w:cs="Times New Roman"/>
          <w:b/>
          <w:color w:val="0F1115"/>
          <w:highlight w:val="white"/>
        </w:rPr>
      </w:pPr>
      <w:r>
        <w:rPr>
          <w:rFonts w:ascii="Times New Roman" w:eastAsia="Times New Roman" w:hAnsi="Times New Roman" w:cs="Times New Roman"/>
          <w:b/>
          <w:color w:val="0F1115"/>
          <w:highlight w:val="white"/>
        </w:rPr>
        <w:br w:type="page"/>
      </w:r>
    </w:p>
    <w:p w14:paraId="00000114" w14:textId="25E3FE7B" w:rsidR="00BA47B2" w:rsidRPr="00934AA9" w:rsidRDefault="00934AA9" w:rsidP="00026FD8">
      <w:pPr>
        <w:numPr>
          <w:ilvl w:val="0"/>
          <w:numId w:val="16"/>
        </w:numPr>
        <w:pBdr>
          <w:top w:val="nil"/>
          <w:left w:val="nil"/>
          <w:bottom w:val="nil"/>
          <w:right w:val="nil"/>
          <w:between w:val="nil"/>
        </w:pBdr>
        <w:spacing w:line="240" w:lineRule="auto"/>
        <w:rPr>
          <w:rFonts w:ascii="Arial" w:eastAsia="Times New Roman" w:hAnsi="Arial" w:cs="Arial"/>
          <w:b/>
          <w:color w:val="0F1115"/>
          <w:sz w:val="22"/>
          <w:szCs w:val="22"/>
          <w:highlight w:val="white"/>
        </w:rPr>
      </w:pPr>
      <w:r w:rsidRPr="00934AA9">
        <w:rPr>
          <w:rFonts w:ascii="Arial" w:eastAsia="Times New Roman" w:hAnsi="Arial" w:cs="Arial"/>
          <w:b/>
          <w:color w:val="0F1115"/>
          <w:sz w:val="22"/>
          <w:szCs w:val="22"/>
          <w:highlight w:val="white"/>
        </w:rPr>
        <w:lastRenderedPageBreak/>
        <w:t xml:space="preserve">REFERENCES </w:t>
      </w:r>
    </w:p>
    <w:p w14:paraId="00000115" w14:textId="124CCACE" w:rsidR="00BA47B2" w:rsidRPr="00332842" w:rsidRDefault="008306D2" w:rsidP="00026FD8">
      <w:pPr>
        <w:spacing w:line="240" w:lineRule="auto"/>
        <w:rPr>
          <w:rFonts w:ascii="Arial" w:eastAsia="Times New Roman" w:hAnsi="Arial" w:cs="Arial"/>
          <w:color w:val="0F1115"/>
          <w:sz w:val="20"/>
          <w:szCs w:val="20"/>
          <w:highlight w:val="white"/>
        </w:rPr>
      </w:pPr>
      <w:proofErr w:type="spellStart"/>
      <w:r w:rsidRPr="00332842">
        <w:rPr>
          <w:rFonts w:ascii="Arial" w:eastAsia="Times New Roman" w:hAnsi="Arial" w:cs="Arial"/>
          <w:color w:val="0F1115"/>
          <w:sz w:val="20"/>
          <w:szCs w:val="20"/>
          <w:highlight w:val="white"/>
        </w:rPr>
        <w:t>Annis</w:t>
      </w:r>
      <w:proofErr w:type="spellEnd"/>
      <w:r w:rsidRPr="00332842">
        <w:rPr>
          <w:rFonts w:ascii="Arial" w:eastAsia="Times New Roman" w:hAnsi="Arial" w:cs="Arial"/>
          <w:color w:val="0F1115"/>
          <w:sz w:val="20"/>
          <w:szCs w:val="20"/>
          <w:highlight w:val="white"/>
        </w:rPr>
        <w:t>, L. F. (1983). The processes and effects of peer tutoring. </w:t>
      </w:r>
      <w:r w:rsidRPr="00332842">
        <w:rPr>
          <w:rFonts w:ascii="Arial" w:eastAsia="Times New Roman" w:hAnsi="Arial" w:cs="Arial"/>
          <w:i/>
          <w:color w:val="0F1115"/>
          <w:sz w:val="20"/>
          <w:szCs w:val="20"/>
          <w:highlight w:val="white"/>
        </w:rPr>
        <w:t>Human Learning, 2</w:t>
      </w:r>
      <w:r w:rsidRPr="00332842">
        <w:rPr>
          <w:rFonts w:ascii="Arial" w:eastAsia="Times New Roman" w:hAnsi="Arial" w:cs="Arial"/>
          <w:color w:val="0F1115"/>
          <w:sz w:val="20"/>
          <w:szCs w:val="20"/>
          <w:highlight w:val="white"/>
        </w:rPr>
        <w:t>(1), 39–47.</w:t>
      </w:r>
      <w:r w:rsidR="004C0E19" w:rsidRPr="004C0E19">
        <w:t xml:space="preserve"> </w:t>
      </w:r>
      <w:hyperlink r:id="rId9" w:history="1">
        <w:r w:rsidR="004C0E19" w:rsidRPr="00BB617E">
          <w:rPr>
            <w:rStyle w:val="Hyperlink"/>
            <w:rFonts w:ascii="Arial" w:eastAsia="Times New Roman" w:hAnsi="Arial" w:cs="Arial"/>
            <w:sz w:val="20"/>
            <w:szCs w:val="20"/>
          </w:rPr>
          <w:t>https://psycnet.apa.org/record/1984-21611-001?ref=socos.org</w:t>
        </w:r>
      </w:hyperlink>
      <w:r w:rsidR="004C0E19">
        <w:rPr>
          <w:rFonts w:ascii="Arial" w:eastAsia="Times New Roman" w:hAnsi="Arial" w:cs="Arial"/>
          <w:color w:val="0F1115"/>
          <w:sz w:val="20"/>
          <w:szCs w:val="20"/>
        </w:rPr>
        <w:t xml:space="preserve"> </w:t>
      </w:r>
    </w:p>
    <w:p w14:paraId="00000116"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4472C4"/>
          <w:sz w:val="20"/>
          <w:szCs w:val="20"/>
        </w:rPr>
      </w:pPr>
      <w:r w:rsidRPr="00332842">
        <w:rPr>
          <w:rFonts w:ascii="Arial" w:eastAsia="Times New Roman" w:hAnsi="Arial" w:cs="Arial"/>
          <w:color w:val="000000"/>
          <w:sz w:val="20"/>
          <w:szCs w:val="20"/>
        </w:rPr>
        <w:t xml:space="preserve">Antonio, R., &amp; Prudente, M. S. (2023). Effects of Inquiry-Based Approaches on Students’ Higher-Order Thinking Skills in Science: A Meta-Analysis. </w:t>
      </w:r>
      <w:r w:rsidRPr="00332842">
        <w:rPr>
          <w:rFonts w:ascii="Arial" w:eastAsia="Times New Roman" w:hAnsi="Arial" w:cs="Arial"/>
          <w:i/>
          <w:color w:val="000000"/>
          <w:sz w:val="20"/>
          <w:szCs w:val="20"/>
        </w:rPr>
        <w:t>International Journal of Education in Mathematics, Science and Technology</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12</w:t>
      </w:r>
      <w:r w:rsidRPr="00332842">
        <w:rPr>
          <w:rFonts w:ascii="Arial" w:eastAsia="Times New Roman" w:hAnsi="Arial" w:cs="Arial"/>
          <w:color w:val="000000"/>
          <w:sz w:val="20"/>
          <w:szCs w:val="20"/>
        </w:rPr>
        <w:t xml:space="preserve">(1), 251–281. </w:t>
      </w:r>
      <w:hyperlink r:id="rId10">
        <w:r w:rsidR="00BA47B2" w:rsidRPr="00332842">
          <w:rPr>
            <w:rFonts w:ascii="Arial" w:eastAsia="Times New Roman" w:hAnsi="Arial" w:cs="Arial"/>
            <w:color w:val="4472C4"/>
            <w:sz w:val="20"/>
            <w:szCs w:val="20"/>
            <w:u w:val="single"/>
          </w:rPr>
          <w:t>https://doi.org/10.46328/ijemst.3216</w:t>
        </w:r>
      </w:hyperlink>
      <w:r w:rsidRPr="00332842">
        <w:rPr>
          <w:rFonts w:ascii="Arial" w:eastAsia="Times New Roman" w:hAnsi="Arial" w:cs="Arial"/>
          <w:color w:val="4472C4"/>
          <w:sz w:val="20"/>
          <w:szCs w:val="20"/>
        </w:rPr>
        <w:t xml:space="preserve"> </w:t>
      </w:r>
    </w:p>
    <w:p w14:paraId="00000117"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Bacon, D. R. (2005). The Effect of Group Projects on Content-Related Learning. </w:t>
      </w:r>
      <w:r w:rsidRPr="00332842">
        <w:rPr>
          <w:rFonts w:ascii="Arial" w:eastAsia="Times New Roman" w:hAnsi="Arial" w:cs="Arial"/>
          <w:i/>
          <w:color w:val="000000"/>
          <w:sz w:val="20"/>
          <w:szCs w:val="20"/>
        </w:rPr>
        <w:t>Journal of Management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29</w:t>
      </w:r>
      <w:r w:rsidRPr="00332842">
        <w:rPr>
          <w:rFonts w:ascii="Arial" w:eastAsia="Times New Roman" w:hAnsi="Arial" w:cs="Arial"/>
          <w:color w:val="000000"/>
          <w:sz w:val="20"/>
          <w:szCs w:val="20"/>
        </w:rPr>
        <w:t xml:space="preserve">(2), 248–267. </w:t>
      </w:r>
      <w:hyperlink r:id="rId11">
        <w:r w:rsidR="00BA47B2" w:rsidRPr="00332842">
          <w:rPr>
            <w:rFonts w:ascii="Arial" w:eastAsia="Times New Roman" w:hAnsi="Arial" w:cs="Arial"/>
            <w:color w:val="0563C1"/>
            <w:sz w:val="20"/>
            <w:szCs w:val="20"/>
            <w:u w:val="single"/>
          </w:rPr>
          <w:t>https://doi.org/10.1177/1052562904263729</w:t>
        </w:r>
      </w:hyperlink>
    </w:p>
    <w:p w14:paraId="00000118"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BCSEA. (2025). </w:t>
      </w:r>
      <w:r w:rsidRPr="00332842">
        <w:rPr>
          <w:rFonts w:ascii="Arial" w:eastAsia="Times New Roman" w:hAnsi="Arial" w:cs="Arial"/>
          <w:i/>
          <w:color w:val="000000"/>
          <w:sz w:val="20"/>
          <w:szCs w:val="20"/>
        </w:rPr>
        <w:t>2024</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STUDENTS’ PERFORMANCE REPORT (BCSE &amp; LCSC -X)</w:t>
      </w:r>
      <w:r w:rsidRPr="00332842">
        <w:rPr>
          <w:rFonts w:ascii="Arial" w:eastAsia="Times New Roman" w:hAnsi="Arial" w:cs="Arial"/>
          <w:color w:val="000000"/>
          <w:sz w:val="20"/>
          <w:szCs w:val="20"/>
        </w:rPr>
        <w:t xml:space="preserve">. Bhutan Council for School Examinations and Assessment, </w:t>
      </w:r>
      <w:proofErr w:type="spellStart"/>
      <w:r w:rsidRPr="00332842">
        <w:rPr>
          <w:rFonts w:ascii="Arial" w:eastAsia="Times New Roman" w:hAnsi="Arial" w:cs="Arial"/>
          <w:color w:val="000000"/>
          <w:sz w:val="20"/>
          <w:szCs w:val="20"/>
        </w:rPr>
        <w:t>MoESD</w:t>
      </w:r>
      <w:proofErr w:type="spellEnd"/>
      <w:r w:rsidRPr="00332842">
        <w:rPr>
          <w:rFonts w:ascii="Arial" w:eastAsia="Times New Roman" w:hAnsi="Arial" w:cs="Arial"/>
          <w:color w:val="000000"/>
          <w:sz w:val="20"/>
          <w:szCs w:val="20"/>
        </w:rPr>
        <w:t>.</w:t>
      </w:r>
    </w:p>
    <w:p w14:paraId="00000119"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Capps, D. K., &amp; Crawford, B. A. (2013). Inquiry-Based Professional Development: What does it take to support teachers in learning about inquiry and nature of science? </w:t>
      </w:r>
      <w:r w:rsidRPr="00332842">
        <w:rPr>
          <w:rFonts w:ascii="Arial" w:eastAsia="Times New Roman" w:hAnsi="Arial" w:cs="Arial"/>
          <w:i/>
          <w:color w:val="000000"/>
          <w:sz w:val="20"/>
          <w:szCs w:val="20"/>
        </w:rPr>
        <w:t>International Journal of Science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35</w:t>
      </w:r>
      <w:r w:rsidRPr="00332842">
        <w:rPr>
          <w:rFonts w:ascii="Arial" w:eastAsia="Times New Roman" w:hAnsi="Arial" w:cs="Arial"/>
          <w:color w:val="000000"/>
          <w:sz w:val="20"/>
          <w:szCs w:val="20"/>
        </w:rPr>
        <w:t>(12), 1947–1978. https://doi.org/10.1080/09500693.2012.760209</w:t>
      </w:r>
    </w:p>
    <w:p w14:paraId="0000011A"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F1115"/>
          <w:sz w:val="20"/>
          <w:szCs w:val="20"/>
          <w:highlight w:val="white"/>
        </w:rPr>
        <w:t>Cohen, E. G., &amp; Lotan, R. A. (2014). </w:t>
      </w:r>
      <w:r w:rsidRPr="00332842">
        <w:rPr>
          <w:rFonts w:ascii="Arial" w:eastAsia="Times New Roman" w:hAnsi="Arial" w:cs="Arial"/>
          <w:i/>
          <w:color w:val="0F1115"/>
          <w:sz w:val="20"/>
          <w:szCs w:val="20"/>
          <w:highlight w:val="white"/>
        </w:rPr>
        <w:t>Designing groupwork: Strategies for the heterogeneous classroom</w:t>
      </w:r>
      <w:r w:rsidRPr="00332842">
        <w:rPr>
          <w:rFonts w:ascii="Arial" w:eastAsia="Times New Roman" w:hAnsi="Arial" w:cs="Arial"/>
          <w:color w:val="0F1115"/>
          <w:sz w:val="20"/>
          <w:szCs w:val="20"/>
          <w:highlight w:val="white"/>
        </w:rPr>
        <w:t xml:space="preserve"> (3rd ed.). Teachers College Press. </w:t>
      </w:r>
    </w:p>
    <w:p w14:paraId="0000011B"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Freeman, S., Eddy, S. L., McDonough, M., Smith, M. K., </w:t>
      </w:r>
      <w:proofErr w:type="spellStart"/>
      <w:r w:rsidRPr="00332842">
        <w:rPr>
          <w:rFonts w:ascii="Arial" w:eastAsia="Times New Roman" w:hAnsi="Arial" w:cs="Arial"/>
          <w:color w:val="000000"/>
          <w:sz w:val="20"/>
          <w:szCs w:val="20"/>
        </w:rPr>
        <w:t>Okoroafor</w:t>
      </w:r>
      <w:proofErr w:type="spellEnd"/>
      <w:r w:rsidRPr="00332842">
        <w:rPr>
          <w:rFonts w:ascii="Arial" w:eastAsia="Times New Roman" w:hAnsi="Arial" w:cs="Arial"/>
          <w:color w:val="000000"/>
          <w:sz w:val="20"/>
          <w:szCs w:val="20"/>
        </w:rPr>
        <w:t xml:space="preserve">, N., </w:t>
      </w:r>
      <w:proofErr w:type="spellStart"/>
      <w:r w:rsidRPr="00332842">
        <w:rPr>
          <w:rFonts w:ascii="Arial" w:eastAsia="Times New Roman" w:hAnsi="Arial" w:cs="Arial"/>
          <w:color w:val="000000"/>
          <w:sz w:val="20"/>
          <w:szCs w:val="20"/>
        </w:rPr>
        <w:t>Jordt</w:t>
      </w:r>
      <w:proofErr w:type="spellEnd"/>
      <w:r w:rsidRPr="00332842">
        <w:rPr>
          <w:rFonts w:ascii="Arial" w:eastAsia="Times New Roman" w:hAnsi="Arial" w:cs="Arial"/>
          <w:color w:val="000000"/>
          <w:sz w:val="20"/>
          <w:szCs w:val="20"/>
        </w:rPr>
        <w:t xml:space="preserve">, H., &amp; </w:t>
      </w:r>
      <w:proofErr w:type="spellStart"/>
      <w:r w:rsidRPr="00332842">
        <w:rPr>
          <w:rFonts w:ascii="Arial" w:eastAsia="Times New Roman" w:hAnsi="Arial" w:cs="Arial"/>
          <w:color w:val="000000"/>
          <w:sz w:val="20"/>
          <w:szCs w:val="20"/>
        </w:rPr>
        <w:t>Wenderoth</w:t>
      </w:r>
      <w:proofErr w:type="spellEnd"/>
      <w:r w:rsidRPr="00332842">
        <w:rPr>
          <w:rFonts w:ascii="Arial" w:eastAsia="Times New Roman" w:hAnsi="Arial" w:cs="Arial"/>
          <w:color w:val="000000"/>
          <w:sz w:val="20"/>
          <w:szCs w:val="20"/>
        </w:rPr>
        <w:t xml:space="preserve">, M. P. (2014). Active learning increases student performance in science, engineering, and mathematics. </w:t>
      </w:r>
      <w:r w:rsidRPr="00332842">
        <w:rPr>
          <w:rFonts w:ascii="Arial" w:eastAsia="Times New Roman" w:hAnsi="Arial" w:cs="Arial"/>
          <w:i/>
          <w:color w:val="000000"/>
          <w:sz w:val="20"/>
          <w:szCs w:val="20"/>
        </w:rPr>
        <w:t>Proceedings of the National Academy of Sciences</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111</w:t>
      </w:r>
      <w:r w:rsidRPr="00332842">
        <w:rPr>
          <w:rFonts w:ascii="Arial" w:eastAsia="Times New Roman" w:hAnsi="Arial" w:cs="Arial"/>
          <w:color w:val="000000"/>
          <w:sz w:val="20"/>
          <w:szCs w:val="20"/>
        </w:rPr>
        <w:t xml:space="preserve">(23), 8410–8415.  </w:t>
      </w:r>
      <w:hyperlink r:id="rId12">
        <w:r w:rsidR="00BA47B2" w:rsidRPr="00332842">
          <w:rPr>
            <w:rFonts w:ascii="Arial" w:eastAsia="Times New Roman" w:hAnsi="Arial" w:cs="Arial"/>
            <w:color w:val="0563C1"/>
            <w:sz w:val="20"/>
            <w:szCs w:val="20"/>
            <w:u w:val="single"/>
          </w:rPr>
          <w:t>https://doi.org/10.1073/pnas.1319030111</w:t>
        </w:r>
      </w:hyperlink>
    </w:p>
    <w:p w14:paraId="0000011C" w14:textId="2FC9679C"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EE0000"/>
          <w:sz w:val="20"/>
          <w:szCs w:val="20"/>
        </w:rPr>
      </w:pPr>
      <w:r w:rsidRPr="00332842">
        <w:rPr>
          <w:rFonts w:ascii="Arial" w:eastAsia="Times New Roman" w:hAnsi="Arial" w:cs="Arial"/>
          <w:color w:val="000000"/>
          <w:sz w:val="20"/>
          <w:szCs w:val="20"/>
        </w:rPr>
        <w:t xml:space="preserve">Frontmatter, R. (2014). </w:t>
      </w:r>
      <w:r w:rsidRPr="00332842">
        <w:rPr>
          <w:rFonts w:ascii="Arial" w:eastAsia="Times New Roman" w:hAnsi="Arial" w:cs="Arial"/>
          <w:i/>
          <w:color w:val="000000"/>
          <w:sz w:val="20"/>
          <w:szCs w:val="20"/>
        </w:rPr>
        <w:t>-</w:t>
      </w:r>
      <w:r w:rsidR="004C0E19" w:rsidRPr="004C0E19">
        <w:rPr>
          <w:rFonts w:ascii="Arial" w:eastAsia="Times New Roman" w:hAnsi="Arial" w:cs="Arial"/>
          <w:i/>
          <w:color w:val="000000"/>
          <w:sz w:val="20"/>
          <w:szCs w:val="20"/>
        </w:rPr>
        <w:t>'The Cambridge Handbook of Multimedia Learning', edited by Richard E. Mayer</w:t>
      </w:r>
      <w:r w:rsidR="004C0E19">
        <w:rPr>
          <w:rFonts w:ascii="Arial" w:eastAsia="Times New Roman" w:hAnsi="Arial" w:cs="Arial"/>
          <w:i/>
          <w:color w:val="000000"/>
          <w:sz w:val="20"/>
          <w:szCs w:val="20"/>
        </w:rPr>
        <w:t xml:space="preserve">, </w:t>
      </w:r>
      <w:r w:rsidRPr="00332842">
        <w:rPr>
          <w:rFonts w:ascii="Arial" w:eastAsia="Times New Roman" w:hAnsi="Arial" w:cs="Arial"/>
          <w:i/>
          <w:color w:val="000000"/>
          <w:sz w:val="20"/>
          <w:szCs w:val="20"/>
        </w:rPr>
        <w:t>The Cambridge Handbook of Multimedia Learning</w:t>
      </w:r>
      <w:r w:rsidRPr="00332842">
        <w:rPr>
          <w:rFonts w:ascii="Arial" w:eastAsia="Times New Roman" w:hAnsi="Arial" w:cs="Arial"/>
          <w:color w:val="000000"/>
          <w:sz w:val="20"/>
          <w:szCs w:val="20"/>
        </w:rPr>
        <w:t xml:space="preserve"> (R. E. Mayer, Ed.). Cambridge University Press. </w:t>
      </w:r>
      <w:hyperlink r:id="rId13">
        <w:r w:rsidR="00BA47B2" w:rsidRPr="00332842">
          <w:rPr>
            <w:rFonts w:ascii="Arial" w:eastAsia="Times New Roman" w:hAnsi="Arial" w:cs="Arial"/>
            <w:color w:val="0070C0"/>
            <w:sz w:val="20"/>
            <w:szCs w:val="20"/>
            <w:u w:val="single"/>
          </w:rPr>
          <w:t>https://assets.cambridge.org/97811076/10316/frontmatter/9781107610316_frontmatter.pdf</w:t>
        </w:r>
      </w:hyperlink>
      <w:r w:rsidRPr="00332842">
        <w:rPr>
          <w:rFonts w:ascii="Arial" w:eastAsia="Times New Roman" w:hAnsi="Arial" w:cs="Arial"/>
          <w:color w:val="000000"/>
          <w:sz w:val="20"/>
          <w:szCs w:val="20"/>
        </w:rPr>
        <w:t xml:space="preserve"> </w:t>
      </w:r>
    </w:p>
    <w:p w14:paraId="0000011D"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Hall, D., &amp; </w:t>
      </w:r>
      <w:proofErr w:type="spellStart"/>
      <w:r w:rsidRPr="00332842">
        <w:rPr>
          <w:rFonts w:ascii="Arial" w:eastAsia="Times New Roman" w:hAnsi="Arial" w:cs="Arial"/>
          <w:color w:val="000000"/>
          <w:sz w:val="20"/>
          <w:szCs w:val="20"/>
        </w:rPr>
        <w:t>Buzwell</w:t>
      </w:r>
      <w:proofErr w:type="spellEnd"/>
      <w:r w:rsidRPr="00332842">
        <w:rPr>
          <w:rFonts w:ascii="Arial" w:eastAsia="Times New Roman" w:hAnsi="Arial" w:cs="Arial"/>
          <w:color w:val="000000"/>
          <w:sz w:val="20"/>
          <w:szCs w:val="20"/>
        </w:rPr>
        <w:t xml:space="preserve">, S. (2012). The problem of free-riding in group projects: Looking beyond social loafing as reason for non-contribution. </w:t>
      </w:r>
      <w:r w:rsidRPr="00332842">
        <w:rPr>
          <w:rFonts w:ascii="Arial" w:eastAsia="Times New Roman" w:hAnsi="Arial" w:cs="Arial"/>
          <w:i/>
          <w:color w:val="000000"/>
          <w:sz w:val="20"/>
          <w:szCs w:val="20"/>
        </w:rPr>
        <w:t>Active Learning in Higher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14</w:t>
      </w:r>
      <w:r w:rsidRPr="00332842">
        <w:rPr>
          <w:rFonts w:ascii="Arial" w:eastAsia="Times New Roman" w:hAnsi="Arial" w:cs="Arial"/>
          <w:color w:val="000000"/>
          <w:sz w:val="20"/>
          <w:szCs w:val="20"/>
        </w:rPr>
        <w:t xml:space="preserve">(1), 37–49. </w:t>
      </w:r>
      <w:hyperlink r:id="rId14">
        <w:r w:rsidR="00BA47B2" w:rsidRPr="00332842">
          <w:rPr>
            <w:rFonts w:ascii="Arial" w:eastAsia="Times New Roman" w:hAnsi="Arial" w:cs="Arial"/>
            <w:color w:val="0563C1"/>
            <w:sz w:val="20"/>
            <w:szCs w:val="20"/>
            <w:u w:val="single"/>
          </w:rPr>
          <w:t>https://doi.org/10.1177/1469787412467123</w:t>
        </w:r>
      </w:hyperlink>
      <w:r w:rsidRPr="00332842">
        <w:rPr>
          <w:rFonts w:ascii="Arial" w:eastAsia="Times New Roman" w:hAnsi="Arial" w:cs="Arial"/>
          <w:color w:val="000000"/>
          <w:sz w:val="20"/>
          <w:szCs w:val="20"/>
        </w:rPr>
        <w:t xml:space="preserve"> </w:t>
      </w:r>
    </w:p>
    <w:p w14:paraId="0000011E"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Hansen, R. S. (2006). Benefits and Problems </w:t>
      </w:r>
      <w:proofErr w:type="gramStart"/>
      <w:r w:rsidRPr="00332842">
        <w:rPr>
          <w:rFonts w:ascii="Arial" w:eastAsia="Times New Roman" w:hAnsi="Arial" w:cs="Arial"/>
          <w:color w:val="000000"/>
          <w:sz w:val="20"/>
          <w:szCs w:val="20"/>
        </w:rPr>
        <w:t>With</w:t>
      </w:r>
      <w:proofErr w:type="gramEnd"/>
      <w:r w:rsidRPr="00332842">
        <w:rPr>
          <w:rFonts w:ascii="Arial" w:eastAsia="Times New Roman" w:hAnsi="Arial" w:cs="Arial"/>
          <w:color w:val="000000"/>
          <w:sz w:val="20"/>
          <w:szCs w:val="20"/>
        </w:rPr>
        <w:t xml:space="preserve"> Student Teams: Suggestions for Improving Team Projects. </w:t>
      </w:r>
      <w:r w:rsidRPr="00332842">
        <w:rPr>
          <w:rFonts w:ascii="Arial" w:eastAsia="Times New Roman" w:hAnsi="Arial" w:cs="Arial"/>
          <w:i/>
          <w:color w:val="000000"/>
          <w:sz w:val="20"/>
          <w:szCs w:val="20"/>
        </w:rPr>
        <w:t>Journal of Education for Business</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82</w:t>
      </w:r>
      <w:r w:rsidRPr="00332842">
        <w:rPr>
          <w:rFonts w:ascii="Arial" w:eastAsia="Times New Roman" w:hAnsi="Arial" w:cs="Arial"/>
          <w:color w:val="000000"/>
          <w:sz w:val="20"/>
          <w:szCs w:val="20"/>
        </w:rPr>
        <w:t xml:space="preserve">(1), 11–19. </w:t>
      </w:r>
      <w:hyperlink r:id="rId15">
        <w:r w:rsidR="00BA47B2" w:rsidRPr="00332842">
          <w:rPr>
            <w:rFonts w:ascii="Arial" w:eastAsia="Times New Roman" w:hAnsi="Arial" w:cs="Arial"/>
            <w:color w:val="0563C1"/>
            <w:sz w:val="20"/>
            <w:szCs w:val="20"/>
            <w:u w:val="single"/>
          </w:rPr>
          <w:t>https://doi.org/10.3200/JOEB.82.1.11-19</w:t>
        </w:r>
      </w:hyperlink>
      <w:r w:rsidRPr="00332842">
        <w:rPr>
          <w:rFonts w:ascii="Arial" w:eastAsia="Times New Roman" w:hAnsi="Arial" w:cs="Arial"/>
          <w:color w:val="000000"/>
          <w:sz w:val="20"/>
          <w:szCs w:val="20"/>
        </w:rPr>
        <w:t xml:space="preserve"> </w:t>
      </w:r>
    </w:p>
    <w:p w14:paraId="0000011F"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Jain, A., &amp; Dwivedi, P. (2014). The Evidence for the Effectiveness of Active Learning. </w:t>
      </w:r>
      <w:r w:rsidRPr="00332842">
        <w:rPr>
          <w:rFonts w:ascii="Arial" w:eastAsia="Times New Roman" w:hAnsi="Arial" w:cs="Arial"/>
          <w:i/>
          <w:color w:val="000000"/>
          <w:sz w:val="20"/>
          <w:szCs w:val="20"/>
        </w:rPr>
        <w:t>Oriental Journal of Computer Science and Technology</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7</w:t>
      </w:r>
      <w:r w:rsidRPr="00332842">
        <w:rPr>
          <w:rFonts w:ascii="Arial" w:eastAsia="Times New Roman" w:hAnsi="Arial" w:cs="Arial"/>
          <w:color w:val="000000"/>
          <w:sz w:val="20"/>
          <w:szCs w:val="20"/>
        </w:rPr>
        <w:t xml:space="preserve">(3).  </w:t>
      </w:r>
      <w:hyperlink r:id="rId16">
        <w:r w:rsidR="00BA47B2" w:rsidRPr="00332842">
          <w:rPr>
            <w:rFonts w:ascii="Arial" w:eastAsia="Times New Roman" w:hAnsi="Arial" w:cs="Arial"/>
            <w:color w:val="0070C0"/>
            <w:sz w:val="20"/>
            <w:szCs w:val="20"/>
            <w:u w:val="single"/>
          </w:rPr>
          <w:t>http://www.computerscijournal.org/pdf/vol7no3/vol7no3_401-405.pdf</w:t>
        </w:r>
      </w:hyperlink>
    </w:p>
    <w:p w14:paraId="00000120"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Johnson, D. W., &amp; Johnson, R. T. (2009). An Educational Psychology Success story: Social Interdependence Theory and Cooperative Learning. </w:t>
      </w:r>
      <w:r w:rsidRPr="00332842">
        <w:rPr>
          <w:rFonts w:ascii="Arial" w:eastAsia="Times New Roman" w:hAnsi="Arial" w:cs="Arial"/>
          <w:i/>
          <w:color w:val="000000"/>
          <w:sz w:val="20"/>
          <w:szCs w:val="20"/>
        </w:rPr>
        <w:t>Educational Researcher</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38</w:t>
      </w:r>
      <w:r w:rsidRPr="00332842">
        <w:rPr>
          <w:rFonts w:ascii="Arial" w:eastAsia="Times New Roman" w:hAnsi="Arial" w:cs="Arial"/>
          <w:color w:val="000000"/>
          <w:sz w:val="20"/>
          <w:szCs w:val="20"/>
        </w:rPr>
        <w:t xml:space="preserve">(5), 365–379. </w:t>
      </w:r>
      <w:hyperlink r:id="rId17">
        <w:r w:rsidR="00BA47B2" w:rsidRPr="00332842">
          <w:rPr>
            <w:rFonts w:ascii="Arial" w:eastAsia="Times New Roman" w:hAnsi="Arial" w:cs="Arial"/>
            <w:color w:val="0563C1"/>
            <w:sz w:val="20"/>
            <w:szCs w:val="20"/>
            <w:u w:val="single"/>
          </w:rPr>
          <w:t>https://doi.org/10.3102/0013189X09339057</w:t>
        </w:r>
      </w:hyperlink>
    </w:p>
    <w:p w14:paraId="00000121" w14:textId="632E48C6"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proofErr w:type="spellStart"/>
      <w:r w:rsidRPr="00332842">
        <w:rPr>
          <w:rFonts w:ascii="Arial" w:eastAsia="Times New Roman" w:hAnsi="Arial" w:cs="Arial"/>
          <w:color w:val="000000"/>
          <w:sz w:val="20"/>
          <w:szCs w:val="20"/>
        </w:rPr>
        <w:t>Kemmis</w:t>
      </w:r>
      <w:proofErr w:type="spellEnd"/>
      <w:r w:rsidRPr="00332842">
        <w:rPr>
          <w:rFonts w:ascii="Arial" w:eastAsia="Times New Roman" w:hAnsi="Arial" w:cs="Arial"/>
          <w:color w:val="000000"/>
          <w:sz w:val="20"/>
          <w:szCs w:val="20"/>
        </w:rPr>
        <w:t xml:space="preserve">, S., McTaggart, R., &amp; Nixon, R. (2014). </w:t>
      </w:r>
      <w:r w:rsidRPr="00332842">
        <w:rPr>
          <w:rFonts w:ascii="Arial" w:eastAsia="Times New Roman" w:hAnsi="Arial" w:cs="Arial"/>
          <w:i/>
          <w:color w:val="000000"/>
          <w:sz w:val="20"/>
          <w:szCs w:val="20"/>
        </w:rPr>
        <w:t>The Action Research Planner: Doing critical participatory action research</w:t>
      </w:r>
      <w:r w:rsidRPr="00332842">
        <w:rPr>
          <w:rFonts w:ascii="Arial" w:eastAsia="Times New Roman" w:hAnsi="Arial" w:cs="Arial"/>
          <w:color w:val="000000"/>
          <w:sz w:val="20"/>
          <w:szCs w:val="20"/>
        </w:rPr>
        <w:t>. Springer Science &amp; Business Media.</w:t>
      </w:r>
      <w:r w:rsidR="001502D1">
        <w:rPr>
          <w:rFonts w:ascii="Arial" w:eastAsia="Times New Roman" w:hAnsi="Arial" w:cs="Arial"/>
          <w:color w:val="000000"/>
          <w:sz w:val="20"/>
          <w:szCs w:val="20"/>
        </w:rPr>
        <w:t xml:space="preserve"> </w:t>
      </w:r>
    </w:p>
    <w:p w14:paraId="00000122"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Kerr, N. L. (1983). Motivation losses in small groups: A social dilemma analysis. </w:t>
      </w:r>
      <w:r w:rsidRPr="00332842">
        <w:rPr>
          <w:rFonts w:ascii="Arial" w:eastAsia="Times New Roman" w:hAnsi="Arial" w:cs="Arial"/>
          <w:i/>
          <w:color w:val="000000"/>
          <w:sz w:val="20"/>
          <w:szCs w:val="20"/>
        </w:rPr>
        <w:t>Journal of Personality and Social Psychology</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45</w:t>
      </w:r>
      <w:r w:rsidRPr="00332842">
        <w:rPr>
          <w:rFonts w:ascii="Arial" w:eastAsia="Times New Roman" w:hAnsi="Arial" w:cs="Arial"/>
          <w:color w:val="000000"/>
          <w:sz w:val="20"/>
          <w:szCs w:val="20"/>
        </w:rPr>
        <w:t xml:space="preserve">(4), 819–828. </w:t>
      </w:r>
      <w:hyperlink r:id="rId18">
        <w:r w:rsidR="00BA47B2" w:rsidRPr="00332842">
          <w:rPr>
            <w:rFonts w:ascii="Arial" w:eastAsia="Times New Roman" w:hAnsi="Arial" w:cs="Arial"/>
            <w:color w:val="0563C1"/>
            <w:sz w:val="20"/>
            <w:szCs w:val="20"/>
            <w:u w:val="single"/>
          </w:rPr>
          <w:t>https://doi.org/10.1037/0022-3514.45.4.819</w:t>
        </w:r>
      </w:hyperlink>
      <w:r w:rsidRPr="00332842">
        <w:rPr>
          <w:rFonts w:ascii="Arial" w:eastAsia="Times New Roman" w:hAnsi="Arial" w:cs="Arial"/>
          <w:color w:val="000000"/>
          <w:sz w:val="20"/>
          <w:szCs w:val="20"/>
        </w:rPr>
        <w:t xml:space="preserve"> </w:t>
      </w:r>
    </w:p>
    <w:p w14:paraId="00000123" w14:textId="77777777" w:rsidR="00BA47B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Levi, D. J., &amp; </w:t>
      </w:r>
      <w:proofErr w:type="spellStart"/>
      <w:r w:rsidRPr="00332842">
        <w:rPr>
          <w:rFonts w:ascii="Arial" w:eastAsia="Times New Roman" w:hAnsi="Arial" w:cs="Arial"/>
          <w:color w:val="000000"/>
          <w:sz w:val="20"/>
          <w:szCs w:val="20"/>
        </w:rPr>
        <w:t>Askay</w:t>
      </w:r>
      <w:proofErr w:type="spellEnd"/>
      <w:r w:rsidRPr="00332842">
        <w:rPr>
          <w:rFonts w:ascii="Arial" w:eastAsia="Times New Roman" w:hAnsi="Arial" w:cs="Arial"/>
          <w:color w:val="000000"/>
          <w:sz w:val="20"/>
          <w:szCs w:val="20"/>
        </w:rPr>
        <w:t xml:space="preserve">, D. A. (2020). </w:t>
      </w:r>
      <w:r w:rsidRPr="00332842">
        <w:rPr>
          <w:rFonts w:ascii="Arial" w:eastAsia="Times New Roman" w:hAnsi="Arial" w:cs="Arial"/>
          <w:i/>
          <w:color w:val="000000"/>
          <w:sz w:val="20"/>
          <w:szCs w:val="20"/>
        </w:rPr>
        <w:t>Group Dynamics for Teams</w:t>
      </w:r>
      <w:r w:rsidRPr="00332842">
        <w:rPr>
          <w:rFonts w:ascii="Arial" w:eastAsia="Times New Roman" w:hAnsi="Arial" w:cs="Arial"/>
          <w:color w:val="000000"/>
          <w:sz w:val="20"/>
          <w:szCs w:val="20"/>
        </w:rPr>
        <w:t>. SAGE Publications, Inc.</w:t>
      </w:r>
    </w:p>
    <w:p w14:paraId="1977A246" w14:textId="4C749E40" w:rsidR="00B26270" w:rsidRPr="00B26270" w:rsidRDefault="00B26270" w:rsidP="00026FD8">
      <w:pPr>
        <w:pBdr>
          <w:top w:val="nil"/>
          <w:left w:val="nil"/>
          <w:bottom w:val="nil"/>
          <w:right w:val="nil"/>
          <w:between w:val="nil"/>
        </w:pBdr>
        <w:spacing w:after="0" w:line="240" w:lineRule="auto"/>
        <w:ind w:left="720" w:hanging="720"/>
        <w:rPr>
          <w:rFonts w:ascii="Arial" w:eastAsia="Times New Roman" w:hAnsi="Arial" w:cs="Arial"/>
          <w:color w:val="000000"/>
          <w:sz w:val="16"/>
          <w:szCs w:val="16"/>
        </w:rPr>
      </w:pPr>
      <w:r w:rsidRPr="00B26270">
        <w:rPr>
          <w:rFonts w:ascii="Arial" w:hAnsi="Arial" w:cs="Arial"/>
          <w:sz w:val="20"/>
          <w:szCs w:val="20"/>
          <w:lang w:val="nl-NL"/>
        </w:rPr>
        <w:t xml:space="preserve">Nidup, Y., Choden, K., Luitel, Y. P., &amp; Gupta, R. (2021). </w:t>
      </w:r>
      <w:r w:rsidRPr="00B26270">
        <w:rPr>
          <w:rFonts w:ascii="Arial" w:hAnsi="Arial" w:cs="Arial"/>
          <w:sz w:val="20"/>
          <w:szCs w:val="20"/>
        </w:rPr>
        <w:t xml:space="preserve">Enhancing Class X students’ proficiency in biology using role play and games. </w:t>
      </w:r>
      <w:r w:rsidRPr="00B26270">
        <w:rPr>
          <w:rStyle w:val="Emphasis"/>
          <w:rFonts w:ascii="Arial" w:eastAsia="MS Mincho" w:hAnsi="Arial" w:cs="Arial"/>
          <w:sz w:val="20"/>
          <w:szCs w:val="20"/>
        </w:rPr>
        <w:t>Bhutan Journal of Research &amp; Development, 10</w:t>
      </w:r>
      <w:r w:rsidRPr="00B26270">
        <w:rPr>
          <w:rFonts w:ascii="Arial" w:hAnsi="Arial" w:cs="Arial"/>
          <w:sz w:val="20"/>
          <w:szCs w:val="20"/>
        </w:rPr>
        <w:t xml:space="preserve">(1). Retrieved from </w:t>
      </w:r>
      <w:hyperlink r:id="rId19" w:tgtFrame="_new" w:history="1">
        <w:r w:rsidRPr="00B26270">
          <w:rPr>
            <w:rStyle w:val="Hyperlink"/>
            <w:rFonts w:ascii="Arial" w:eastAsia="Arial Unicode MS" w:hAnsi="Arial" w:cs="Arial"/>
            <w:sz w:val="20"/>
            <w:szCs w:val="20"/>
          </w:rPr>
          <w:t>https://bjrd.rub.edu.bt/index.php/bjrd/article/download/90/38/94</w:t>
        </w:r>
      </w:hyperlink>
      <w:r>
        <w:rPr>
          <w:rFonts w:ascii="Arial" w:hAnsi="Arial" w:cs="Arial"/>
          <w:sz w:val="20"/>
          <w:szCs w:val="20"/>
        </w:rPr>
        <w:t xml:space="preserve"> </w:t>
      </w:r>
    </w:p>
    <w:p w14:paraId="00000124"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70C0"/>
          <w:sz w:val="20"/>
          <w:szCs w:val="20"/>
        </w:rPr>
      </w:pPr>
      <w:r w:rsidRPr="00332842">
        <w:rPr>
          <w:rFonts w:ascii="Arial" w:eastAsia="Times New Roman" w:hAnsi="Arial" w:cs="Arial"/>
          <w:color w:val="000000"/>
          <w:sz w:val="20"/>
          <w:szCs w:val="20"/>
        </w:rPr>
        <w:t xml:space="preserve">Orgill, M., Bussey, T. J., &amp; Bodner, G. M. (2015). Biochemistry instructors’ perceptions of analogies and their classroom use. </w:t>
      </w:r>
      <w:r w:rsidRPr="00332842">
        <w:rPr>
          <w:rFonts w:ascii="Arial" w:eastAsia="Times New Roman" w:hAnsi="Arial" w:cs="Arial"/>
          <w:i/>
          <w:color w:val="000000"/>
          <w:sz w:val="20"/>
          <w:szCs w:val="20"/>
        </w:rPr>
        <w:t>Chemistry Education Research and Practice</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16</w:t>
      </w:r>
      <w:r w:rsidRPr="00332842">
        <w:rPr>
          <w:rFonts w:ascii="Arial" w:eastAsia="Times New Roman" w:hAnsi="Arial" w:cs="Arial"/>
          <w:color w:val="000000"/>
          <w:sz w:val="20"/>
          <w:szCs w:val="20"/>
        </w:rPr>
        <w:t xml:space="preserve">(4), 731–746. </w:t>
      </w:r>
      <w:hyperlink r:id="rId20">
        <w:r w:rsidR="00BA47B2" w:rsidRPr="00332842">
          <w:rPr>
            <w:rFonts w:ascii="Arial" w:eastAsia="Times New Roman" w:hAnsi="Arial" w:cs="Arial"/>
            <w:color w:val="0070C0"/>
            <w:sz w:val="20"/>
            <w:szCs w:val="20"/>
            <w:u w:val="single"/>
          </w:rPr>
          <w:t>https://doi.org/10.1039/c4rp00256c</w:t>
        </w:r>
      </w:hyperlink>
    </w:p>
    <w:p w14:paraId="00000125"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lang w:val="nl-NL"/>
        </w:rPr>
      </w:pPr>
      <w:r w:rsidRPr="00332842">
        <w:rPr>
          <w:rFonts w:ascii="Arial" w:eastAsia="Times New Roman" w:hAnsi="Arial" w:cs="Arial"/>
          <w:color w:val="000000"/>
          <w:sz w:val="20"/>
          <w:szCs w:val="20"/>
        </w:rPr>
        <w:t xml:space="preserve">Prince, M. (2004). Does Active Learning Work? A Review of the Research. </w:t>
      </w:r>
      <w:r w:rsidRPr="00332842">
        <w:rPr>
          <w:rFonts w:ascii="Arial" w:eastAsia="Times New Roman" w:hAnsi="Arial" w:cs="Arial"/>
          <w:i/>
          <w:color w:val="000000"/>
          <w:sz w:val="20"/>
          <w:szCs w:val="20"/>
          <w:lang w:val="nl-NL"/>
        </w:rPr>
        <w:t>Journal of Engineering Education</w:t>
      </w:r>
      <w:r w:rsidRPr="00332842">
        <w:rPr>
          <w:rFonts w:ascii="Arial" w:eastAsia="Times New Roman" w:hAnsi="Arial" w:cs="Arial"/>
          <w:color w:val="000000"/>
          <w:sz w:val="20"/>
          <w:szCs w:val="20"/>
          <w:lang w:val="nl-NL"/>
        </w:rPr>
        <w:t xml:space="preserve">, </w:t>
      </w:r>
      <w:r w:rsidRPr="00332842">
        <w:rPr>
          <w:rFonts w:ascii="Arial" w:eastAsia="Times New Roman" w:hAnsi="Arial" w:cs="Arial"/>
          <w:i/>
          <w:color w:val="000000"/>
          <w:sz w:val="20"/>
          <w:szCs w:val="20"/>
          <w:lang w:val="nl-NL"/>
        </w:rPr>
        <w:t>93</w:t>
      </w:r>
      <w:r w:rsidRPr="00332842">
        <w:rPr>
          <w:rFonts w:ascii="Arial" w:eastAsia="Times New Roman" w:hAnsi="Arial" w:cs="Arial"/>
          <w:color w:val="000000"/>
          <w:sz w:val="20"/>
          <w:szCs w:val="20"/>
          <w:lang w:val="nl-NL"/>
        </w:rPr>
        <w:t xml:space="preserve">(3), 223–231. </w:t>
      </w:r>
      <w:hyperlink r:id="rId21">
        <w:r w:rsidR="00BA47B2" w:rsidRPr="00332842">
          <w:rPr>
            <w:rFonts w:ascii="Arial" w:eastAsia="Times New Roman" w:hAnsi="Arial" w:cs="Arial"/>
            <w:color w:val="0563C1"/>
            <w:sz w:val="20"/>
            <w:szCs w:val="20"/>
            <w:u w:val="single"/>
            <w:lang w:val="nl-NL"/>
          </w:rPr>
          <w:t>https://doi.org/10.1002/j.2168-9830.2004.tb00809.x</w:t>
        </w:r>
      </w:hyperlink>
    </w:p>
    <w:p w14:paraId="00000126"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lang w:val="nl-NL"/>
        </w:rPr>
        <w:t xml:space="preserve">Rutten, N., van Joolingen, W. R., &amp; van der Veen, J. T. (2012). </w:t>
      </w:r>
      <w:r w:rsidRPr="00332842">
        <w:rPr>
          <w:rFonts w:ascii="Arial" w:eastAsia="Times New Roman" w:hAnsi="Arial" w:cs="Arial"/>
          <w:color w:val="000000"/>
          <w:sz w:val="20"/>
          <w:szCs w:val="20"/>
        </w:rPr>
        <w:t xml:space="preserve">The learning effects of computer simulations in science education. </w:t>
      </w:r>
      <w:r w:rsidRPr="00332842">
        <w:rPr>
          <w:rFonts w:ascii="Arial" w:eastAsia="Times New Roman" w:hAnsi="Arial" w:cs="Arial"/>
          <w:i/>
          <w:color w:val="000000"/>
          <w:sz w:val="20"/>
          <w:szCs w:val="20"/>
        </w:rPr>
        <w:t>Computers &amp;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58</w:t>
      </w:r>
      <w:r w:rsidRPr="00332842">
        <w:rPr>
          <w:rFonts w:ascii="Arial" w:eastAsia="Times New Roman" w:hAnsi="Arial" w:cs="Arial"/>
          <w:color w:val="000000"/>
          <w:sz w:val="20"/>
          <w:szCs w:val="20"/>
        </w:rPr>
        <w:t xml:space="preserve">(1), 136–153. </w:t>
      </w:r>
      <w:hyperlink r:id="rId22">
        <w:r w:rsidR="00BA47B2" w:rsidRPr="00332842">
          <w:rPr>
            <w:rFonts w:ascii="Arial" w:eastAsia="Times New Roman" w:hAnsi="Arial" w:cs="Arial"/>
            <w:color w:val="0070C0"/>
            <w:sz w:val="20"/>
            <w:szCs w:val="20"/>
            <w:u w:val="single"/>
          </w:rPr>
          <w:t>https://doi.org/10.1016/j.compedu.2011.07.017</w:t>
        </w:r>
      </w:hyperlink>
      <w:r w:rsidRPr="00332842">
        <w:rPr>
          <w:rFonts w:ascii="Arial" w:eastAsia="Times New Roman" w:hAnsi="Arial" w:cs="Arial"/>
          <w:color w:val="0070C0"/>
          <w:sz w:val="20"/>
          <w:szCs w:val="20"/>
          <w:u w:val="single"/>
        </w:rPr>
        <w:t xml:space="preserve"> </w:t>
      </w:r>
      <w:r w:rsidRPr="00332842">
        <w:rPr>
          <w:rFonts w:ascii="Arial" w:eastAsia="Times New Roman" w:hAnsi="Arial" w:cs="Arial"/>
          <w:color w:val="000000"/>
          <w:sz w:val="20"/>
          <w:szCs w:val="20"/>
        </w:rPr>
        <w:t xml:space="preserve"> </w:t>
      </w:r>
    </w:p>
    <w:p w14:paraId="00000127"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Ryan, R. M., &amp; Deci, E. L. (2000). Self-determination Theory and the Facilitation of Intrinsic Motivation, Social Development, and Well-being. </w:t>
      </w:r>
      <w:r w:rsidRPr="00332842">
        <w:rPr>
          <w:rFonts w:ascii="Arial" w:eastAsia="Times New Roman" w:hAnsi="Arial" w:cs="Arial"/>
          <w:i/>
          <w:color w:val="000000"/>
          <w:sz w:val="20"/>
          <w:szCs w:val="20"/>
        </w:rPr>
        <w:t>American Psychologist</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55</w:t>
      </w:r>
      <w:r w:rsidRPr="00332842">
        <w:rPr>
          <w:rFonts w:ascii="Arial" w:eastAsia="Times New Roman" w:hAnsi="Arial" w:cs="Arial"/>
          <w:color w:val="000000"/>
          <w:sz w:val="20"/>
          <w:szCs w:val="20"/>
        </w:rPr>
        <w:t xml:space="preserve">(1), 68–78. </w:t>
      </w:r>
      <w:hyperlink r:id="rId23">
        <w:r w:rsidR="00BA47B2" w:rsidRPr="00332842">
          <w:rPr>
            <w:rFonts w:ascii="Arial" w:eastAsia="Times New Roman" w:hAnsi="Arial" w:cs="Arial"/>
            <w:color w:val="0563C1"/>
            <w:sz w:val="20"/>
            <w:szCs w:val="20"/>
            <w:u w:val="single"/>
          </w:rPr>
          <w:t>https://doi.org/10.1037/0003-066X.55.1.68</w:t>
        </w:r>
      </w:hyperlink>
      <w:r w:rsidRPr="00332842">
        <w:rPr>
          <w:rFonts w:ascii="Arial" w:eastAsia="Times New Roman" w:hAnsi="Arial" w:cs="Arial"/>
          <w:color w:val="000000"/>
          <w:sz w:val="20"/>
          <w:szCs w:val="20"/>
        </w:rPr>
        <w:t xml:space="preserve"> </w:t>
      </w:r>
    </w:p>
    <w:p w14:paraId="00000128" w14:textId="2CE7459D"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lang w:val="nl-NL"/>
        </w:rPr>
      </w:pPr>
      <w:proofErr w:type="spellStart"/>
      <w:r w:rsidRPr="00332842">
        <w:rPr>
          <w:rFonts w:ascii="Arial" w:eastAsia="Times New Roman" w:hAnsi="Arial" w:cs="Arial"/>
          <w:color w:val="000000"/>
          <w:sz w:val="20"/>
          <w:szCs w:val="20"/>
        </w:rPr>
        <w:t>Slavin</w:t>
      </w:r>
      <w:proofErr w:type="spellEnd"/>
      <w:r w:rsidRPr="00332842">
        <w:rPr>
          <w:rFonts w:ascii="Arial" w:eastAsia="Times New Roman" w:hAnsi="Arial" w:cs="Arial"/>
          <w:color w:val="000000"/>
          <w:sz w:val="20"/>
          <w:szCs w:val="20"/>
        </w:rPr>
        <w:t xml:space="preserve">, R. E. (2014). Cooperative Learning and Academic Achievement: Why Does Groupwork Work? </w:t>
      </w:r>
      <w:r w:rsidRPr="00332842">
        <w:rPr>
          <w:rFonts w:ascii="Arial" w:eastAsia="Times New Roman" w:hAnsi="Arial" w:cs="Arial"/>
          <w:i/>
          <w:color w:val="000000"/>
          <w:sz w:val="20"/>
          <w:szCs w:val="20"/>
          <w:lang w:val="nl-NL"/>
        </w:rPr>
        <w:t>Anales de Psicología</w:t>
      </w:r>
      <w:r w:rsidRPr="00332842">
        <w:rPr>
          <w:rFonts w:ascii="Arial" w:eastAsia="Times New Roman" w:hAnsi="Arial" w:cs="Arial"/>
          <w:color w:val="000000"/>
          <w:sz w:val="20"/>
          <w:szCs w:val="20"/>
          <w:lang w:val="nl-NL"/>
        </w:rPr>
        <w:t xml:space="preserve">, </w:t>
      </w:r>
      <w:r w:rsidRPr="00332842">
        <w:rPr>
          <w:rFonts w:ascii="Arial" w:eastAsia="Times New Roman" w:hAnsi="Arial" w:cs="Arial"/>
          <w:i/>
          <w:color w:val="000000"/>
          <w:sz w:val="20"/>
          <w:szCs w:val="20"/>
          <w:lang w:val="nl-NL"/>
        </w:rPr>
        <w:t>30</w:t>
      </w:r>
      <w:r w:rsidRPr="00332842">
        <w:rPr>
          <w:rFonts w:ascii="Arial" w:eastAsia="Times New Roman" w:hAnsi="Arial" w:cs="Arial"/>
          <w:color w:val="000000"/>
          <w:sz w:val="20"/>
          <w:szCs w:val="20"/>
          <w:lang w:val="nl-NL"/>
        </w:rPr>
        <w:t xml:space="preserve">(3), 785–791. </w:t>
      </w:r>
      <w:hyperlink r:id="rId24" w:history="1">
        <w:r w:rsidR="001502D1" w:rsidRPr="00160EF1">
          <w:rPr>
            <w:rStyle w:val="Hyperlink"/>
            <w:rFonts w:ascii="Arial" w:eastAsia="Times New Roman" w:hAnsi="Arial" w:cs="Arial"/>
            <w:sz w:val="20"/>
            <w:szCs w:val="20"/>
            <w:lang w:val="nl-NL"/>
          </w:rPr>
          <w:t>https://doi.org/10.6018/analesps.30.3.201201</w:t>
        </w:r>
      </w:hyperlink>
      <w:r w:rsidR="001502D1">
        <w:rPr>
          <w:rFonts w:ascii="Arial" w:eastAsia="Times New Roman" w:hAnsi="Arial" w:cs="Arial"/>
          <w:color w:val="000000"/>
          <w:sz w:val="20"/>
          <w:szCs w:val="20"/>
          <w:lang w:val="nl-NL"/>
        </w:rPr>
        <w:t xml:space="preserve"> </w:t>
      </w:r>
    </w:p>
    <w:p w14:paraId="00000129"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lang w:val="nl-NL"/>
        </w:rPr>
        <w:t xml:space="preserve">Springer, L., Stanne, M. E., &amp; Donovan, S. S. (1999). </w:t>
      </w:r>
      <w:r w:rsidRPr="00332842">
        <w:rPr>
          <w:rFonts w:ascii="Arial" w:eastAsia="Times New Roman" w:hAnsi="Arial" w:cs="Arial"/>
          <w:color w:val="000000"/>
          <w:sz w:val="20"/>
          <w:szCs w:val="20"/>
        </w:rPr>
        <w:t xml:space="preserve">Effects of Small-Group Learning on Undergraduates in Science, Mathematics, Engineering, and Technology: A Meta-Analysis. </w:t>
      </w:r>
      <w:r w:rsidRPr="00332842">
        <w:rPr>
          <w:rFonts w:ascii="Arial" w:eastAsia="Times New Roman" w:hAnsi="Arial" w:cs="Arial"/>
          <w:i/>
          <w:color w:val="000000"/>
          <w:sz w:val="20"/>
          <w:szCs w:val="20"/>
        </w:rPr>
        <w:t>Review of Educational Research</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69</w:t>
      </w:r>
      <w:r w:rsidRPr="00332842">
        <w:rPr>
          <w:rFonts w:ascii="Arial" w:eastAsia="Times New Roman" w:hAnsi="Arial" w:cs="Arial"/>
          <w:color w:val="000000"/>
          <w:sz w:val="20"/>
          <w:szCs w:val="20"/>
        </w:rPr>
        <w:t xml:space="preserve">(1), 21–51. </w:t>
      </w:r>
      <w:hyperlink r:id="rId25">
        <w:r w:rsidR="00BA47B2" w:rsidRPr="00332842">
          <w:rPr>
            <w:rFonts w:ascii="Arial" w:eastAsia="Times New Roman" w:hAnsi="Arial" w:cs="Arial"/>
            <w:color w:val="0563C1"/>
            <w:sz w:val="20"/>
            <w:szCs w:val="20"/>
            <w:u w:val="single"/>
          </w:rPr>
          <w:t>https://doi.org/10.3102/00346543069001021</w:t>
        </w:r>
      </w:hyperlink>
    </w:p>
    <w:p w14:paraId="0000012A"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Stones, A., Pearce, J., Reiss, M. J., &amp; Mujtaba, T. (2020). Students’ Perceptions of Religion and Science, and How They Relate: </w:t>
      </w:r>
      <w:proofErr w:type="gramStart"/>
      <w:r w:rsidRPr="00332842">
        <w:rPr>
          <w:rFonts w:ascii="Arial" w:eastAsia="Times New Roman" w:hAnsi="Arial" w:cs="Arial"/>
          <w:color w:val="000000"/>
          <w:sz w:val="20"/>
          <w:szCs w:val="20"/>
        </w:rPr>
        <w:t>the</w:t>
      </w:r>
      <w:proofErr w:type="gramEnd"/>
      <w:r w:rsidRPr="00332842">
        <w:rPr>
          <w:rFonts w:ascii="Arial" w:eastAsia="Times New Roman" w:hAnsi="Arial" w:cs="Arial"/>
          <w:color w:val="000000"/>
          <w:sz w:val="20"/>
          <w:szCs w:val="20"/>
        </w:rPr>
        <w:t xml:space="preserve"> Effects of a Classroom Intervention. </w:t>
      </w:r>
      <w:r w:rsidRPr="00332842">
        <w:rPr>
          <w:rFonts w:ascii="Arial" w:eastAsia="Times New Roman" w:hAnsi="Arial" w:cs="Arial"/>
          <w:i/>
          <w:color w:val="000000"/>
          <w:sz w:val="20"/>
          <w:szCs w:val="20"/>
        </w:rPr>
        <w:t>Religious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115</w:t>
      </w:r>
      <w:r w:rsidRPr="00332842">
        <w:rPr>
          <w:rFonts w:ascii="Arial" w:eastAsia="Times New Roman" w:hAnsi="Arial" w:cs="Arial"/>
          <w:color w:val="000000"/>
          <w:sz w:val="20"/>
          <w:szCs w:val="20"/>
        </w:rPr>
        <w:t xml:space="preserve">(3), 349–363. </w:t>
      </w:r>
      <w:hyperlink r:id="rId26">
        <w:r w:rsidR="00BA47B2" w:rsidRPr="00332842">
          <w:rPr>
            <w:rFonts w:ascii="Arial" w:eastAsia="Times New Roman" w:hAnsi="Arial" w:cs="Arial"/>
            <w:color w:val="0070C0"/>
            <w:sz w:val="20"/>
            <w:szCs w:val="20"/>
            <w:u w:val="single"/>
          </w:rPr>
          <w:t>https://doi.org/10.1080/00344087.2020.1769537</w:t>
        </w:r>
      </w:hyperlink>
      <w:r w:rsidRPr="00332842">
        <w:rPr>
          <w:rFonts w:ascii="Arial" w:eastAsia="Times New Roman" w:hAnsi="Arial" w:cs="Arial"/>
          <w:color w:val="000000"/>
          <w:sz w:val="20"/>
          <w:szCs w:val="20"/>
        </w:rPr>
        <w:t xml:space="preserve">   </w:t>
      </w:r>
    </w:p>
    <w:p w14:paraId="0000012B"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proofErr w:type="spellStart"/>
      <w:r w:rsidRPr="00332842">
        <w:rPr>
          <w:rFonts w:ascii="Arial" w:eastAsia="Times New Roman" w:hAnsi="Arial" w:cs="Arial"/>
          <w:color w:val="000000"/>
          <w:sz w:val="20"/>
          <w:szCs w:val="20"/>
        </w:rPr>
        <w:lastRenderedPageBreak/>
        <w:t>Tibell</w:t>
      </w:r>
      <w:proofErr w:type="spellEnd"/>
      <w:r w:rsidRPr="00332842">
        <w:rPr>
          <w:rFonts w:ascii="Arial" w:eastAsia="Times New Roman" w:hAnsi="Arial" w:cs="Arial"/>
          <w:color w:val="000000"/>
          <w:sz w:val="20"/>
          <w:szCs w:val="20"/>
        </w:rPr>
        <w:t xml:space="preserve">, L. A. E., &amp; </w:t>
      </w:r>
      <w:proofErr w:type="spellStart"/>
      <w:r w:rsidRPr="00332842">
        <w:rPr>
          <w:rFonts w:ascii="Arial" w:eastAsia="Times New Roman" w:hAnsi="Arial" w:cs="Arial"/>
          <w:color w:val="000000"/>
          <w:sz w:val="20"/>
          <w:szCs w:val="20"/>
        </w:rPr>
        <w:t>Rundgren</w:t>
      </w:r>
      <w:proofErr w:type="spellEnd"/>
      <w:r w:rsidRPr="00332842">
        <w:rPr>
          <w:rFonts w:ascii="Arial" w:eastAsia="Times New Roman" w:hAnsi="Arial" w:cs="Arial"/>
          <w:color w:val="000000"/>
          <w:sz w:val="20"/>
          <w:szCs w:val="20"/>
        </w:rPr>
        <w:t xml:space="preserve">, C.-J. (2010). Educational Challenges of Molecular Life Science: Characteristics and Implications for Education and Research. </w:t>
      </w:r>
      <w:r w:rsidRPr="00332842">
        <w:rPr>
          <w:rFonts w:ascii="Arial" w:eastAsia="Times New Roman" w:hAnsi="Arial" w:cs="Arial"/>
          <w:i/>
          <w:color w:val="000000"/>
          <w:sz w:val="20"/>
          <w:szCs w:val="20"/>
        </w:rPr>
        <w:t>CBE—Life Sciences Education</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9</w:t>
      </w:r>
      <w:r w:rsidRPr="00332842">
        <w:rPr>
          <w:rFonts w:ascii="Arial" w:eastAsia="Times New Roman" w:hAnsi="Arial" w:cs="Arial"/>
          <w:color w:val="000000"/>
          <w:sz w:val="20"/>
          <w:szCs w:val="20"/>
        </w:rPr>
        <w:t xml:space="preserve">(1), 25–33. </w:t>
      </w:r>
      <w:hyperlink r:id="rId27">
        <w:r w:rsidR="00BA47B2" w:rsidRPr="00332842">
          <w:rPr>
            <w:rFonts w:ascii="Arial" w:eastAsia="Times New Roman" w:hAnsi="Arial" w:cs="Arial"/>
            <w:color w:val="0563C1"/>
            <w:sz w:val="20"/>
            <w:szCs w:val="20"/>
            <w:u w:val="single"/>
          </w:rPr>
          <w:t>https://doi.org/10.1187/cbe.08-09-0055</w:t>
        </w:r>
      </w:hyperlink>
      <w:r w:rsidRPr="00332842">
        <w:rPr>
          <w:rFonts w:ascii="Arial" w:eastAsia="Times New Roman" w:hAnsi="Arial" w:cs="Arial"/>
          <w:color w:val="000000"/>
          <w:sz w:val="20"/>
          <w:szCs w:val="20"/>
        </w:rPr>
        <w:t xml:space="preserve"> </w:t>
      </w:r>
    </w:p>
    <w:p w14:paraId="0000012C"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proofErr w:type="spellStart"/>
      <w:r w:rsidRPr="00332842">
        <w:rPr>
          <w:rFonts w:ascii="Arial" w:eastAsia="Times New Roman" w:hAnsi="Arial" w:cs="Arial"/>
          <w:color w:val="000000"/>
          <w:sz w:val="20"/>
          <w:szCs w:val="20"/>
        </w:rPr>
        <w:t>Tsui</w:t>
      </w:r>
      <w:proofErr w:type="spellEnd"/>
      <w:r w:rsidRPr="00332842">
        <w:rPr>
          <w:rFonts w:ascii="Arial" w:eastAsia="Times New Roman" w:hAnsi="Arial" w:cs="Arial"/>
          <w:color w:val="000000"/>
          <w:sz w:val="20"/>
          <w:szCs w:val="20"/>
        </w:rPr>
        <w:t xml:space="preserve">, C.-Y., &amp; </w:t>
      </w:r>
      <w:proofErr w:type="spellStart"/>
      <w:r w:rsidRPr="00332842">
        <w:rPr>
          <w:rFonts w:ascii="Arial" w:eastAsia="Times New Roman" w:hAnsi="Arial" w:cs="Arial"/>
          <w:color w:val="000000"/>
          <w:sz w:val="20"/>
          <w:szCs w:val="20"/>
        </w:rPr>
        <w:t>Treagust</w:t>
      </w:r>
      <w:proofErr w:type="spellEnd"/>
      <w:r w:rsidRPr="00332842">
        <w:rPr>
          <w:rFonts w:ascii="Arial" w:eastAsia="Times New Roman" w:hAnsi="Arial" w:cs="Arial"/>
          <w:color w:val="000000"/>
          <w:sz w:val="20"/>
          <w:szCs w:val="20"/>
        </w:rPr>
        <w:t xml:space="preserve">, D. F. (2012). Introduction to Multiple Representations: Their Importance in Biology and Biological Education. </w:t>
      </w:r>
      <w:r w:rsidRPr="00332842">
        <w:rPr>
          <w:rFonts w:ascii="Arial" w:eastAsia="Times New Roman" w:hAnsi="Arial" w:cs="Arial"/>
          <w:i/>
          <w:color w:val="000000"/>
          <w:sz w:val="20"/>
          <w:szCs w:val="20"/>
        </w:rPr>
        <w:t>Models and Modeling in Science Education</w:t>
      </w:r>
      <w:r w:rsidRPr="00332842">
        <w:rPr>
          <w:rFonts w:ascii="Arial" w:eastAsia="Times New Roman" w:hAnsi="Arial" w:cs="Arial"/>
          <w:color w:val="000000"/>
          <w:sz w:val="20"/>
          <w:szCs w:val="20"/>
        </w:rPr>
        <w:t xml:space="preserve">, 3–18. </w:t>
      </w:r>
      <w:hyperlink r:id="rId28">
        <w:r w:rsidR="00BA47B2" w:rsidRPr="00332842">
          <w:rPr>
            <w:rFonts w:ascii="Arial" w:eastAsia="Times New Roman" w:hAnsi="Arial" w:cs="Arial"/>
            <w:color w:val="0070C0"/>
            <w:sz w:val="20"/>
            <w:szCs w:val="20"/>
            <w:u w:val="single"/>
          </w:rPr>
          <w:t>https://doi.org/10.1007/978-94-007-4192-8_1</w:t>
        </w:r>
      </w:hyperlink>
      <w:r w:rsidRPr="00332842">
        <w:rPr>
          <w:rFonts w:ascii="Arial" w:eastAsia="Times New Roman" w:hAnsi="Arial" w:cs="Arial"/>
          <w:color w:val="000000"/>
          <w:sz w:val="20"/>
          <w:szCs w:val="20"/>
        </w:rPr>
        <w:t xml:space="preserve"> </w:t>
      </w:r>
    </w:p>
    <w:p w14:paraId="0000012D" w14:textId="77777777" w:rsidR="00BA47B2" w:rsidRPr="00332842" w:rsidRDefault="008306D2" w:rsidP="00026FD8">
      <w:pPr>
        <w:pBdr>
          <w:top w:val="nil"/>
          <w:left w:val="nil"/>
          <w:bottom w:val="nil"/>
          <w:right w:val="nil"/>
          <w:between w:val="nil"/>
        </w:pBdr>
        <w:spacing w:after="0" w:line="240" w:lineRule="auto"/>
        <w:ind w:left="720" w:hanging="720"/>
        <w:rPr>
          <w:rFonts w:ascii="Arial" w:eastAsia="Times New Roman" w:hAnsi="Arial" w:cs="Arial"/>
          <w:color w:val="000000"/>
          <w:sz w:val="20"/>
          <w:szCs w:val="20"/>
        </w:rPr>
      </w:pPr>
      <w:r w:rsidRPr="00332842">
        <w:rPr>
          <w:rFonts w:ascii="Arial" w:eastAsia="Times New Roman" w:hAnsi="Arial" w:cs="Arial"/>
          <w:color w:val="000000"/>
          <w:sz w:val="20"/>
          <w:szCs w:val="20"/>
        </w:rPr>
        <w:t xml:space="preserve">Vygotsky, L. (1978). </w:t>
      </w:r>
      <w:r w:rsidRPr="00332842">
        <w:rPr>
          <w:rFonts w:ascii="Arial" w:eastAsia="Times New Roman" w:hAnsi="Arial" w:cs="Arial"/>
          <w:i/>
          <w:color w:val="000000"/>
          <w:sz w:val="20"/>
          <w:szCs w:val="20"/>
        </w:rPr>
        <w:t>Mind in society: the development of higher psychological processes</w:t>
      </w:r>
      <w:r w:rsidRPr="00332842">
        <w:rPr>
          <w:rFonts w:ascii="Arial" w:eastAsia="Times New Roman" w:hAnsi="Arial" w:cs="Arial"/>
          <w:color w:val="000000"/>
          <w:sz w:val="20"/>
          <w:szCs w:val="20"/>
        </w:rPr>
        <w:t xml:space="preserve"> (pp. 1–26). Harvard University Press. </w:t>
      </w:r>
      <w:hyperlink r:id="rId29">
        <w:r w:rsidR="00BA47B2" w:rsidRPr="00332842">
          <w:rPr>
            <w:rFonts w:ascii="Arial" w:eastAsia="Times New Roman" w:hAnsi="Arial" w:cs="Arial"/>
            <w:color w:val="0563C1"/>
            <w:sz w:val="20"/>
            <w:szCs w:val="20"/>
            <w:u w:val="single"/>
          </w:rPr>
          <w:t>https://home.fau.edu/musgrove/web/vygotsky1978.pdf</w:t>
        </w:r>
      </w:hyperlink>
      <w:r w:rsidRPr="00332842">
        <w:rPr>
          <w:rFonts w:ascii="Arial" w:eastAsia="Times New Roman" w:hAnsi="Arial" w:cs="Arial"/>
          <w:color w:val="000000"/>
          <w:sz w:val="20"/>
          <w:szCs w:val="20"/>
        </w:rPr>
        <w:t xml:space="preserve"> </w:t>
      </w:r>
    </w:p>
    <w:p w14:paraId="10C4226E" w14:textId="77777777" w:rsidR="00E9590B" w:rsidRDefault="008306D2" w:rsidP="00E9590B">
      <w:pPr>
        <w:pBdr>
          <w:top w:val="nil"/>
          <w:left w:val="nil"/>
          <w:bottom w:val="nil"/>
          <w:right w:val="nil"/>
          <w:between w:val="nil"/>
        </w:pBdr>
        <w:spacing w:after="0" w:line="240" w:lineRule="auto"/>
        <w:ind w:left="720" w:hanging="720"/>
        <w:rPr>
          <w:rFonts w:ascii="Arial" w:eastAsia="Times New Roman" w:hAnsi="Arial" w:cs="Arial"/>
          <w:color w:val="0070C0"/>
          <w:sz w:val="20"/>
          <w:szCs w:val="20"/>
        </w:rPr>
      </w:pPr>
      <w:proofErr w:type="spellStart"/>
      <w:r w:rsidRPr="00332842">
        <w:rPr>
          <w:rFonts w:ascii="Arial" w:eastAsia="Times New Roman" w:hAnsi="Arial" w:cs="Arial"/>
          <w:color w:val="000000"/>
          <w:sz w:val="20"/>
          <w:szCs w:val="20"/>
        </w:rPr>
        <w:t>Yenilmez</w:t>
      </w:r>
      <w:proofErr w:type="spellEnd"/>
      <w:r w:rsidRPr="00332842">
        <w:rPr>
          <w:rFonts w:ascii="Arial" w:eastAsia="Times New Roman" w:hAnsi="Arial" w:cs="Arial"/>
          <w:color w:val="000000"/>
          <w:sz w:val="20"/>
          <w:szCs w:val="20"/>
        </w:rPr>
        <w:t xml:space="preserve">, A., &amp; </w:t>
      </w:r>
      <w:proofErr w:type="spellStart"/>
      <w:r w:rsidRPr="00332842">
        <w:rPr>
          <w:rFonts w:ascii="Arial" w:eastAsia="Times New Roman" w:hAnsi="Arial" w:cs="Arial"/>
          <w:color w:val="000000"/>
          <w:sz w:val="20"/>
          <w:szCs w:val="20"/>
        </w:rPr>
        <w:t>Tekkaya</w:t>
      </w:r>
      <w:proofErr w:type="spellEnd"/>
      <w:r w:rsidRPr="00332842">
        <w:rPr>
          <w:rFonts w:ascii="Arial" w:eastAsia="Times New Roman" w:hAnsi="Arial" w:cs="Arial"/>
          <w:color w:val="000000"/>
          <w:sz w:val="20"/>
          <w:szCs w:val="20"/>
        </w:rPr>
        <w:t xml:space="preserve">, C. (2006). Enhancing Students’ Understanding of Photosynthesis and Respiration in Plants through the Conceptual Change Approach. </w:t>
      </w:r>
      <w:r w:rsidRPr="00332842">
        <w:rPr>
          <w:rFonts w:ascii="Arial" w:eastAsia="Times New Roman" w:hAnsi="Arial" w:cs="Arial"/>
          <w:i/>
          <w:color w:val="000000"/>
          <w:sz w:val="20"/>
          <w:szCs w:val="20"/>
        </w:rPr>
        <w:t>Journal of Science Education and Technology</w:t>
      </w:r>
      <w:r w:rsidRPr="00332842">
        <w:rPr>
          <w:rFonts w:ascii="Arial" w:eastAsia="Times New Roman" w:hAnsi="Arial" w:cs="Arial"/>
          <w:color w:val="000000"/>
          <w:sz w:val="20"/>
          <w:szCs w:val="20"/>
        </w:rPr>
        <w:t xml:space="preserve">, </w:t>
      </w:r>
      <w:r w:rsidRPr="00332842">
        <w:rPr>
          <w:rFonts w:ascii="Arial" w:eastAsia="Times New Roman" w:hAnsi="Arial" w:cs="Arial"/>
          <w:i/>
          <w:color w:val="000000"/>
          <w:sz w:val="20"/>
          <w:szCs w:val="20"/>
        </w:rPr>
        <w:t>15</w:t>
      </w:r>
      <w:r w:rsidRPr="00332842">
        <w:rPr>
          <w:rFonts w:ascii="Arial" w:eastAsia="Times New Roman" w:hAnsi="Arial" w:cs="Arial"/>
          <w:color w:val="000000"/>
          <w:sz w:val="20"/>
          <w:szCs w:val="20"/>
        </w:rPr>
        <w:t>(1), 81–87. JSTOR.</w:t>
      </w:r>
      <w:r w:rsidRPr="00332842">
        <w:rPr>
          <w:rFonts w:ascii="Arial" w:eastAsia="Times New Roman" w:hAnsi="Arial" w:cs="Arial"/>
          <w:color w:val="0070C0"/>
          <w:sz w:val="20"/>
          <w:szCs w:val="20"/>
        </w:rPr>
        <w:t xml:space="preserve"> </w:t>
      </w:r>
      <w:hyperlink r:id="rId30">
        <w:r w:rsidR="00BA47B2" w:rsidRPr="00332842">
          <w:rPr>
            <w:rFonts w:ascii="Arial" w:eastAsia="Times New Roman" w:hAnsi="Arial" w:cs="Arial"/>
            <w:color w:val="0070C0"/>
            <w:sz w:val="20"/>
            <w:szCs w:val="20"/>
            <w:u w:val="single"/>
          </w:rPr>
          <w:t>https://doi.org/10.2307/40188668</w:t>
        </w:r>
      </w:hyperlink>
      <w:bookmarkStart w:id="6" w:name="_Hlk214896222"/>
    </w:p>
    <w:p w14:paraId="723B55BE" w14:textId="6767B629" w:rsidR="00E9590B" w:rsidRPr="00E9590B" w:rsidRDefault="00E9590B" w:rsidP="00E9590B">
      <w:pPr>
        <w:pBdr>
          <w:top w:val="nil"/>
          <w:left w:val="nil"/>
          <w:bottom w:val="nil"/>
          <w:right w:val="nil"/>
          <w:between w:val="nil"/>
        </w:pBdr>
        <w:spacing w:after="0" w:line="240" w:lineRule="auto"/>
        <w:ind w:left="720" w:hanging="720"/>
        <w:rPr>
          <w:rFonts w:ascii="Arial" w:eastAsia="Times New Roman" w:hAnsi="Arial" w:cs="Arial"/>
          <w:color w:val="0070C0"/>
          <w:sz w:val="16"/>
          <w:szCs w:val="16"/>
        </w:rPr>
      </w:pPr>
      <w:bookmarkStart w:id="7" w:name="_GoBack"/>
      <w:r w:rsidRPr="00E9590B">
        <w:rPr>
          <w:rFonts w:ascii="Arial" w:hAnsi="Arial" w:cs="Arial"/>
          <w:sz w:val="20"/>
          <w:szCs w:val="20"/>
        </w:rPr>
        <w:t>Young, P. W. (2020)</w:t>
      </w:r>
      <w:bookmarkEnd w:id="6"/>
      <w:r w:rsidRPr="00E9590B">
        <w:rPr>
          <w:rFonts w:ascii="Arial" w:hAnsi="Arial" w:cs="Arial"/>
          <w:sz w:val="20"/>
          <w:szCs w:val="20"/>
        </w:rPr>
        <w:t xml:space="preserve">. </w:t>
      </w:r>
      <w:r w:rsidRPr="00E9590B">
        <w:rPr>
          <w:rStyle w:val="Emphasis"/>
          <w:rFonts w:ascii="Arial" w:eastAsia="MS Mincho" w:hAnsi="Arial" w:cs="Arial"/>
          <w:sz w:val="20"/>
          <w:szCs w:val="20"/>
        </w:rPr>
        <w:t>Student-produced video of role-plays on topics in cell biology.</w:t>
      </w:r>
      <w:r w:rsidRPr="00E9590B">
        <w:rPr>
          <w:rFonts w:ascii="Arial" w:hAnsi="Arial" w:cs="Arial"/>
          <w:sz w:val="20"/>
          <w:szCs w:val="20"/>
        </w:rPr>
        <w:t xml:space="preserve"> Frontiers in Education. </w:t>
      </w:r>
      <w:hyperlink r:id="rId31" w:history="1">
        <w:r w:rsidRPr="00E9590B">
          <w:rPr>
            <w:rStyle w:val="Hyperlink"/>
            <w:rFonts w:ascii="Arial" w:hAnsi="Arial" w:cs="Arial"/>
            <w:sz w:val="20"/>
            <w:szCs w:val="20"/>
          </w:rPr>
          <w:t>https://www.frontiersin.org/articles/10.3389/feduc.2020.00115/full</w:t>
        </w:r>
      </w:hyperlink>
    </w:p>
    <w:bookmarkEnd w:id="7"/>
    <w:p w14:paraId="0000012F" w14:textId="77777777" w:rsidR="00BA47B2" w:rsidRDefault="00BA47B2" w:rsidP="00026FD8">
      <w:pPr>
        <w:spacing w:line="240" w:lineRule="auto"/>
        <w:rPr>
          <w:rFonts w:ascii="Times New Roman" w:eastAsia="Times New Roman" w:hAnsi="Times New Roman" w:cs="Times New Roman"/>
          <w:b/>
          <w:color w:val="0F1115"/>
          <w:highlight w:val="white"/>
        </w:rPr>
      </w:pPr>
    </w:p>
    <w:p w14:paraId="2BB41F03" w14:textId="77777777" w:rsidR="00934AA9" w:rsidRDefault="00934AA9" w:rsidP="00026FD8">
      <w:pPr>
        <w:spacing w:line="240" w:lineRule="auto"/>
        <w:rPr>
          <w:rFonts w:ascii="Times New Roman" w:eastAsia="Times New Roman" w:hAnsi="Times New Roman" w:cs="Times New Roman"/>
          <w:b/>
          <w:color w:val="0F1115"/>
          <w:highlight w:val="white"/>
        </w:rPr>
      </w:pPr>
    </w:p>
    <w:p w14:paraId="7F4E0EAE" w14:textId="77777777" w:rsidR="00DE6096" w:rsidRDefault="00DE6096" w:rsidP="00026FD8">
      <w:pPr>
        <w:spacing w:line="240" w:lineRule="auto"/>
        <w:rPr>
          <w:rFonts w:ascii="Times New Roman" w:eastAsia="Times New Roman" w:hAnsi="Times New Roman" w:cs="Times New Roman"/>
          <w:b/>
          <w:color w:val="000000"/>
        </w:rPr>
      </w:pPr>
      <w:bookmarkStart w:id="8" w:name="_heading=h.2zj1co67j81v" w:colFirst="0" w:colLast="0"/>
      <w:bookmarkEnd w:id="8"/>
      <w:r>
        <w:rPr>
          <w:rFonts w:ascii="Times New Roman" w:eastAsia="Times New Roman" w:hAnsi="Times New Roman" w:cs="Times New Roman"/>
          <w:b/>
          <w:color w:val="000000"/>
        </w:rPr>
        <w:br w:type="page"/>
      </w:r>
    </w:p>
    <w:p w14:paraId="00000130" w14:textId="03B4C6C4" w:rsidR="00BA47B2" w:rsidRPr="005B71A9" w:rsidRDefault="005B71A9" w:rsidP="00026FD8">
      <w:pPr>
        <w:pStyle w:val="Heading1"/>
        <w:numPr>
          <w:ilvl w:val="0"/>
          <w:numId w:val="16"/>
        </w:numPr>
        <w:spacing w:line="240" w:lineRule="auto"/>
        <w:rPr>
          <w:rFonts w:ascii="Arial" w:eastAsia="Times New Roman" w:hAnsi="Arial" w:cs="Arial"/>
          <w:b/>
          <w:color w:val="000000"/>
          <w:sz w:val="22"/>
          <w:szCs w:val="22"/>
        </w:rPr>
      </w:pPr>
      <w:r w:rsidRPr="005B71A9">
        <w:rPr>
          <w:rFonts w:ascii="Arial" w:eastAsia="Times New Roman" w:hAnsi="Arial" w:cs="Arial"/>
          <w:b/>
          <w:color w:val="000000"/>
          <w:sz w:val="22"/>
          <w:szCs w:val="22"/>
        </w:rPr>
        <w:lastRenderedPageBreak/>
        <w:t xml:space="preserve">APPENDICES </w:t>
      </w:r>
    </w:p>
    <w:p w14:paraId="00000131" w14:textId="77777777" w:rsidR="00BA47B2" w:rsidRPr="005B71A9" w:rsidRDefault="008306D2"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0"/>
          <w:szCs w:val="20"/>
        </w:rPr>
      </w:pPr>
      <w:r w:rsidRPr="005B71A9">
        <w:rPr>
          <w:rFonts w:ascii="Arial" w:eastAsia="Times New Roman" w:hAnsi="Arial" w:cs="Arial"/>
          <w:b/>
          <w:iCs/>
          <w:color w:val="000000"/>
          <w:sz w:val="22"/>
          <w:szCs w:val="22"/>
        </w:rPr>
        <w:t>Appendix A: Pre-Test: Chemical Digestion (Total: 10 Marks)</w:t>
      </w:r>
    </w:p>
    <w:p w14:paraId="00000132" w14:textId="77777777" w:rsidR="00BA47B2" w:rsidRPr="00F3096A" w:rsidRDefault="008306D2" w:rsidP="00026FD8">
      <w:pPr>
        <w:numPr>
          <w:ilvl w:val="0"/>
          <w:numId w:val="3"/>
        </w:numPr>
        <w:pBdr>
          <w:top w:val="nil"/>
          <w:left w:val="nil"/>
          <w:bottom w:val="nil"/>
          <w:right w:val="nil"/>
          <w:between w:val="nil"/>
        </w:pBdr>
        <w:spacing w:after="0" w:line="240" w:lineRule="auto"/>
        <w:jc w:val="both"/>
        <w:rPr>
          <w:rFonts w:ascii="Arial" w:eastAsia="Times New Roman" w:hAnsi="Arial" w:cs="Arial"/>
          <w:b/>
          <w:color w:val="000000"/>
          <w:sz w:val="20"/>
          <w:szCs w:val="20"/>
        </w:rPr>
      </w:pPr>
      <w:r w:rsidRPr="00F3096A">
        <w:rPr>
          <w:rFonts w:ascii="Arial" w:eastAsia="Times New Roman" w:hAnsi="Arial" w:cs="Arial"/>
          <w:b/>
          <w:color w:val="000000"/>
          <w:sz w:val="20"/>
          <w:szCs w:val="20"/>
        </w:rPr>
        <w:t>Multiple Choice Questions (1 mark each = 5 marks)</w:t>
      </w:r>
    </w:p>
    <w:p w14:paraId="00000133" w14:textId="77777777" w:rsidR="00BA47B2" w:rsidRPr="00F3096A" w:rsidRDefault="008306D2" w:rsidP="00026FD8">
      <w:pPr>
        <w:numPr>
          <w:ilvl w:val="0"/>
          <w:numId w:val="4"/>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E55723">
          <w:headerReference w:type="even" r:id="rId32"/>
          <w:headerReference w:type="default" r:id="rId33"/>
          <w:footerReference w:type="even" r:id="rId34"/>
          <w:footerReference w:type="default" r:id="rId35"/>
          <w:headerReference w:type="first" r:id="rId36"/>
          <w:footerReference w:type="first" r:id="rId37"/>
          <w:pgSz w:w="12240" w:h="15840"/>
          <w:pgMar w:top="630" w:right="734" w:bottom="900" w:left="734" w:header="720" w:footer="138" w:gutter="288"/>
          <w:pgNumType w:start="1"/>
          <w:cols w:space="720"/>
          <w:docGrid w:linePitch="326"/>
        </w:sectPr>
      </w:pPr>
      <w:r w:rsidRPr="00F3096A">
        <w:rPr>
          <w:rFonts w:ascii="Arial" w:eastAsia="Times New Roman" w:hAnsi="Arial" w:cs="Arial"/>
          <w:color w:val="000000"/>
          <w:sz w:val="20"/>
          <w:szCs w:val="20"/>
        </w:rPr>
        <w:t>Which enzyme begins the digestion of starch in the mouth?</w:t>
      </w:r>
    </w:p>
    <w:p w14:paraId="00000134" w14:textId="77777777" w:rsidR="00BA47B2" w:rsidRPr="00F3096A" w:rsidRDefault="008306D2" w:rsidP="00026FD8">
      <w:pPr>
        <w:numPr>
          <w:ilvl w:val="0"/>
          <w:numId w:val="6"/>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Pepsin</w:t>
      </w:r>
    </w:p>
    <w:p w14:paraId="00000135" w14:textId="77777777" w:rsidR="00BA47B2" w:rsidRPr="00F3096A" w:rsidRDefault="008306D2" w:rsidP="00026FD8">
      <w:pPr>
        <w:numPr>
          <w:ilvl w:val="0"/>
          <w:numId w:val="6"/>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Amylase</w:t>
      </w:r>
    </w:p>
    <w:p w14:paraId="00000136" w14:textId="77777777" w:rsidR="00BA47B2" w:rsidRPr="00F3096A" w:rsidRDefault="008306D2" w:rsidP="00026FD8">
      <w:pPr>
        <w:numPr>
          <w:ilvl w:val="0"/>
          <w:numId w:val="6"/>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 xml:space="preserve"> Lipase</w:t>
      </w:r>
    </w:p>
    <w:p w14:paraId="00000137" w14:textId="77777777" w:rsidR="00BA47B2" w:rsidRPr="00F3096A" w:rsidRDefault="008306D2" w:rsidP="00026FD8">
      <w:pPr>
        <w:numPr>
          <w:ilvl w:val="0"/>
          <w:numId w:val="6"/>
        </w:numPr>
        <w:pBdr>
          <w:top w:val="nil"/>
          <w:left w:val="nil"/>
          <w:bottom w:val="nil"/>
          <w:right w:val="nil"/>
          <w:between w:val="nil"/>
        </w:pBdr>
        <w:spacing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num="2" w:space="720" w:equalWidth="0">
            <w:col w:w="4450" w:space="720"/>
            <w:col w:w="5026" w:space="0"/>
          </w:cols>
        </w:sectPr>
      </w:pPr>
      <w:r w:rsidRPr="00F3096A">
        <w:rPr>
          <w:rFonts w:ascii="Arial" w:eastAsia="Times New Roman" w:hAnsi="Arial" w:cs="Arial"/>
          <w:color w:val="000000"/>
          <w:sz w:val="20"/>
          <w:szCs w:val="20"/>
        </w:rPr>
        <w:t>Trypsin</w:t>
      </w:r>
    </w:p>
    <w:p w14:paraId="00000138" w14:textId="77777777" w:rsidR="00BA47B2" w:rsidRPr="00F3096A" w:rsidRDefault="008306D2" w:rsidP="00026FD8">
      <w:pPr>
        <w:numPr>
          <w:ilvl w:val="0"/>
          <w:numId w:val="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is the main function of enzymes in digestion?</w:t>
      </w:r>
    </w:p>
    <w:p w14:paraId="00000139" w14:textId="77777777" w:rsidR="00BA47B2" w:rsidRPr="00F3096A" w:rsidRDefault="008306D2" w:rsidP="00026FD8">
      <w:pPr>
        <w:numPr>
          <w:ilvl w:val="0"/>
          <w:numId w:val="7"/>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To kill bacteria</w:t>
      </w:r>
    </w:p>
    <w:p w14:paraId="0000013A" w14:textId="77777777" w:rsidR="00BA47B2" w:rsidRPr="00F3096A" w:rsidRDefault="008306D2" w:rsidP="00026FD8">
      <w:pPr>
        <w:numPr>
          <w:ilvl w:val="0"/>
          <w:numId w:val="7"/>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To store food</w:t>
      </w:r>
    </w:p>
    <w:p w14:paraId="0000013B" w14:textId="77777777" w:rsidR="00BA47B2" w:rsidRPr="00F3096A" w:rsidRDefault="008306D2" w:rsidP="00026FD8">
      <w:pPr>
        <w:numPr>
          <w:ilvl w:val="0"/>
          <w:numId w:val="7"/>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To speed up the breakdown of food</w:t>
      </w:r>
    </w:p>
    <w:p w14:paraId="0000013C" w14:textId="77777777" w:rsidR="00BA47B2" w:rsidRPr="00F3096A" w:rsidRDefault="008306D2" w:rsidP="00026FD8">
      <w:pPr>
        <w:numPr>
          <w:ilvl w:val="0"/>
          <w:numId w:val="7"/>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To absorb nutrients, where does most of the chemical digestion of food take place?</w:t>
      </w:r>
    </w:p>
    <w:p w14:paraId="0000013D" w14:textId="77777777" w:rsidR="00BA47B2" w:rsidRPr="00F3096A" w:rsidRDefault="008306D2" w:rsidP="00026FD8">
      <w:pPr>
        <w:numPr>
          <w:ilvl w:val="0"/>
          <w:numId w:val="8"/>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Mouth</w:t>
      </w:r>
    </w:p>
    <w:p w14:paraId="0000013E" w14:textId="77777777" w:rsidR="00BA47B2" w:rsidRPr="00F3096A" w:rsidRDefault="008306D2" w:rsidP="00026FD8">
      <w:pPr>
        <w:numPr>
          <w:ilvl w:val="0"/>
          <w:numId w:val="8"/>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Stomach</w:t>
      </w:r>
    </w:p>
    <w:p w14:paraId="0000013F" w14:textId="77777777" w:rsidR="00BA47B2" w:rsidRPr="00F3096A" w:rsidRDefault="008306D2" w:rsidP="00026FD8">
      <w:pPr>
        <w:numPr>
          <w:ilvl w:val="0"/>
          <w:numId w:val="8"/>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Small intestine</w:t>
      </w:r>
    </w:p>
    <w:p w14:paraId="00000140" w14:textId="77777777" w:rsidR="00BA47B2" w:rsidRPr="00F3096A" w:rsidRDefault="008306D2" w:rsidP="00026FD8">
      <w:pPr>
        <w:numPr>
          <w:ilvl w:val="0"/>
          <w:numId w:val="8"/>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num="2" w:space="720" w:equalWidth="0">
            <w:col w:w="3874" w:space="720"/>
            <w:col w:w="5026" w:space="0"/>
          </w:cols>
        </w:sectPr>
      </w:pPr>
      <w:r w:rsidRPr="00F3096A">
        <w:rPr>
          <w:rFonts w:ascii="Arial" w:eastAsia="Times New Roman" w:hAnsi="Arial" w:cs="Arial"/>
          <w:color w:val="000000"/>
          <w:sz w:val="20"/>
          <w:szCs w:val="20"/>
        </w:rPr>
        <w:t>Large intestine</w:t>
      </w:r>
    </w:p>
    <w:p w14:paraId="00000141" w14:textId="77777777" w:rsidR="00BA47B2" w:rsidRPr="00F3096A" w:rsidRDefault="008306D2" w:rsidP="00026FD8">
      <w:pPr>
        <w:numPr>
          <w:ilvl w:val="0"/>
          <w:numId w:val="4"/>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Which of the following breaks down proteins into smaller molecules?</w:t>
      </w:r>
    </w:p>
    <w:p w14:paraId="00000142" w14:textId="77777777" w:rsidR="00BA47B2" w:rsidRPr="00F3096A" w:rsidRDefault="008306D2" w:rsidP="00026FD8">
      <w:pPr>
        <w:numPr>
          <w:ilvl w:val="0"/>
          <w:numId w:val="9"/>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Amylase</w:t>
      </w:r>
    </w:p>
    <w:p w14:paraId="00000143" w14:textId="77777777" w:rsidR="00BA47B2" w:rsidRPr="00F3096A" w:rsidRDefault="008306D2" w:rsidP="00026FD8">
      <w:pPr>
        <w:numPr>
          <w:ilvl w:val="0"/>
          <w:numId w:val="9"/>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Pepsin</w:t>
      </w:r>
    </w:p>
    <w:p w14:paraId="00000144" w14:textId="77777777" w:rsidR="00BA47B2" w:rsidRPr="00F3096A" w:rsidRDefault="008306D2" w:rsidP="00026FD8">
      <w:pPr>
        <w:numPr>
          <w:ilvl w:val="0"/>
          <w:numId w:val="9"/>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Lipase</w:t>
      </w:r>
    </w:p>
    <w:p w14:paraId="00000145" w14:textId="77777777" w:rsidR="00BA47B2" w:rsidRPr="00F3096A" w:rsidRDefault="008306D2" w:rsidP="00026FD8">
      <w:pPr>
        <w:numPr>
          <w:ilvl w:val="0"/>
          <w:numId w:val="9"/>
        </w:numPr>
        <w:pBdr>
          <w:top w:val="nil"/>
          <w:left w:val="nil"/>
          <w:bottom w:val="nil"/>
          <w:right w:val="nil"/>
          <w:between w:val="nil"/>
        </w:pBdr>
        <w:spacing w:line="240" w:lineRule="auto"/>
        <w:jc w:val="both"/>
        <w:rPr>
          <w:rFonts w:ascii="Arial" w:eastAsia="Times New Roman" w:hAnsi="Arial" w:cs="Arial"/>
          <w:b/>
          <w:color w:val="000000"/>
          <w:sz w:val="20"/>
          <w:szCs w:val="20"/>
        </w:rPr>
        <w:sectPr w:rsidR="00BA47B2" w:rsidRPr="00F3096A" w:rsidSect="00026FD8">
          <w:type w:val="continuous"/>
          <w:pgSz w:w="12240" w:h="15840"/>
          <w:pgMar w:top="1080" w:right="734" w:bottom="1080" w:left="734" w:header="720" w:footer="720" w:gutter="288"/>
          <w:cols w:num="2" w:space="720" w:equalWidth="0">
            <w:col w:w="3298" w:space="720"/>
            <w:col w:w="5026" w:space="0"/>
          </w:cols>
        </w:sectPr>
      </w:pPr>
      <w:r w:rsidRPr="00F3096A">
        <w:rPr>
          <w:rFonts w:ascii="Arial" w:eastAsia="Times New Roman" w:hAnsi="Arial" w:cs="Arial"/>
          <w:color w:val="000000"/>
          <w:sz w:val="20"/>
          <w:szCs w:val="20"/>
        </w:rPr>
        <w:t>Lactase</w:t>
      </w:r>
    </w:p>
    <w:p w14:paraId="00000146" w14:textId="77777777" w:rsidR="00BA47B2" w:rsidRPr="00F3096A" w:rsidRDefault="008306D2" w:rsidP="00026FD8">
      <w:pPr>
        <w:numPr>
          <w:ilvl w:val="0"/>
          <w:numId w:val="4"/>
        </w:numPr>
        <w:pBdr>
          <w:top w:val="nil"/>
          <w:left w:val="nil"/>
          <w:bottom w:val="nil"/>
          <w:right w:val="nil"/>
          <w:between w:val="nil"/>
        </w:pBdr>
        <w:spacing w:after="0"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What substance is produced by the liver and helps digest fats?</w:t>
      </w:r>
    </w:p>
    <w:p w14:paraId="00000147" w14:textId="77777777" w:rsidR="00BA47B2" w:rsidRPr="00F3096A" w:rsidRDefault="008306D2" w:rsidP="00026FD8">
      <w:pPr>
        <w:numPr>
          <w:ilvl w:val="0"/>
          <w:numId w:val="10"/>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Bile</w:t>
      </w:r>
    </w:p>
    <w:p w14:paraId="00000148" w14:textId="77777777" w:rsidR="00BA47B2" w:rsidRPr="00F3096A" w:rsidRDefault="008306D2" w:rsidP="00026FD8">
      <w:pPr>
        <w:numPr>
          <w:ilvl w:val="0"/>
          <w:numId w:val="10"/>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Insulin</w:t>
      </w:r>
    </w:p>
    <w:p w14:paraId="00000149" w14:textId="77777777" w:rsidR="00BA47B2" w:rsidRPr="00F3096A" w:rsidRDefault="008306D2" w:rsidP="00026FD8">
      <w:pPr>
        <w:numPr>
          <w:ilvl w:val="0"/>
          <w:numId w:val="10"/>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Saliva</w:t>
      </w:r>
    </w:p>
    <w:p w14:paraId="0000014A" w14:textId="77777777" w:rsidR="00BA47B2" w:rsidRPr="00F3096A" w:rsidRDefault="008306D2" w:rsidP="00026FD8">
      <w:pPr>
        <w:numPr>
          <w:ilvl w:val="0"/>
          <w:numId w:val="10"/>
        </w:numPr>
        <w:pBdr>
          <w:top w:val="nil"/>
          <w:left w:val="nil"/>
          <w:bottom w:val="nil"/>
          <w:right w:val="nil"/>
          <w:between w:val="nil"/>
        </w:pBdr>
        <w:spacing w:line="240" w:lineRule="auto"/>
        <w:jc w:val="both"/>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num="2" w:space="720" w:equalWidth="0">
            <w:col w:w="2722" w:space="720"/>
            <w:col w:w="5026" w:space="0"/>
          </w:cols>
        </w:sectPr>
      </w:pPr>
      <w:r w:rsidRPr="00F3096A">
        <w:rPr>
          <w:rFonts w:ascii="Arial" w:eastAsia="Times New Roman" w:hAnsi="Arial" w:cs="Arial"/>
          <w:color w:val="000000"/>
          <w:sz w:val="20"/>
          <w:szCs w:val="20"/>
        </w:rPr>
        <w:t>Acid</w:t>
      </w:r>
    </w:p>
    <w:p w14:paraId="0000014B" w14:textId="77777777" w:rsidR="00BA47B2" w:rsidRPr="00F3096A" w:rsidRDefault="008306D2" w:rsidP="00026FD8">
      <w:pPr>
        <w:numPr>
          <w:ilvl w:val="0"/>
          <w:numId w:val="3"/>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Short Answer Questions (1 mark each = 5 marks)</w:t>
      </w:r>
    </w:p>
    <w:p w14:paraId="0000014C" w14:textId="77777777" w:rsidR="00BA47B2" w:rsidRPr="00F3096A" w:rsidRDefault="008306D2" w:rsidP="00026FD8">
      <w:pPr>
        <w:numPr>
          <w:ilvl w:val="0"/>
          <w:numId w:val="1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Name one enzyme and the food molecule it helps to digest.</w:t>
      </w:r>
    </w:p>
    <w:p w14:paraId="0000014D" w14:textId="77777777" w:rsidR="00BA47B2" w:rsidRPr="00F3096A" w:rsidRDefault="008306D2" w:rsidP="00026FD8">
      <w:pPr>
        <w:numPr>
          <w:ilvl w:val="0"/>
          <w:numId w:val="1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is the role of hydrochloric acid in the stomach during digestion?</w:t>
      </w:r>
    </w:p>
    <w:p w14:paraId="0000014E" w14:textId="77777777" w:rsidR="00BA47B2" w:rsidRPr="00F3096A" w:rsidRDefault="008306D2" w:rsidP="00026FD8">
      <w:pPr>
        <w:numPr>
          <w:ilvl w:val="0"/>
          <w:numId w:val="1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Why is it important to chemically break down food?</w:t>
      </w:r>
    </w:p>
    <w:p w14:paraId="0000014F" w14:textId="77777777" w:rsidR="00BA47B2" w:rsidRPr="00F3096A" w:rsidRDefault="008306D2" w:rsidP="00026FD8">
      <w:pPr>
        <w:numPr>
          <w:ilvl w:val="0"/>
          <w:numId w:val="11"/>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happens to food molecules after they are broken down in the digestive system?</w:t>
      </w:r>
    </w:p>
    <w:p w14:paraId="00000150" w14:textId="77777777" w:rsidR="00BA47B2" w:rsidRPr="00F3096A" w:rsidRDefault="008306D2" w:rsidP="00026FD8">
      <w:pPr>
        <w:numPr>
          <w:ilvl w:val="0"/>
          <w:numId w:val="11"/>
        </w:numPr>
        <w:pBdr>
          <w:top w:val="nil"/>
          <w:left w:val="nil"/>
          <w:bottom w:val="nil"/>
          <w:right w:val="nil"/>
          <w:between w:val="nil"/>
        </w:pBdr>
        <w:spacing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How is the small intestine adapted for chemical digestion?</w:t>
      </w:r>
    </w:p>
    <w:p w14:paraId="00000151" w14:textId="77777777" w:rsidR="00BA47B2" w:rsidRPr="00F3096A" w:rsidRDefault="008306D2" w:rsidP="00026FD8">
      <w:pPr>
        <w:spacing w:line="240" w:lineRule="auto"/>
        <w:rPr>
          <w:rFonts w:ascii="Arial" w:eastAsia="Times New Roman" w:hAnsi="Arial" w:cs="Arial"/>
          <w:sz w:val="20"/>
          <w:szCs w:val="20"/>
        </w:rPr>
      </w:pPr>
      <w:r w:rsidRPr="00F3096A">
        <w:rPr>
          <w:rFonts w:ascii="Arial" w:hAnsi="Arial" w:cs="Arial"/>
          <w:sz w:val="20"/>
          <w:szCs w:val="20"/>
        </w:rPr>
        <w:br w:type="page"/>
      </w:r>
    </w:p>
    <w:p w14:paraId="00000152" w14:textId="77777777" w:rsidR="00BA47B2" w:rsidRPr="005B71A9" w:rsidRDefault="008306D2" w:rsidP="00026FD8">
      <w:pPr>
        <w:spacing w:line="240" w:lineRule="auto"/>
        <w:jc w:val="both"/>
        <w:rPr>
          <w:rFonts w:ascii="Arial" w:eastAsia="Times New Roman" w:hAnsi="Arial" w:cs="Arial"/>
          <w:b/>
          <w:iCs/>
          <w:sz w:val="22"/>
          <w:szCs w:val="22"/>
        </w:rPr>
      </w:pPr>
      <w:r w:rsidRPr="005B71A9">
        <w:rPr>
          <w:rFonts w:ascii="Arial" w:eastAsia="Times New Roman" w:hAnsi="Arial" w:cs="Arial"/>
          <w:b/>
          <w:iCs/>
          <w:sz w:val="22"/>
          <w:szCs w:val="22"/>
        </w:rPr>
        <w:lastRenderedPageBreak/>
        <w:t>Appendix B: Post-Test: Chemical Digestion (Total: 10 Marks)</w:t>
      </w:r>
    </w:p>
    <w:p w14:paraId="00000153" w14:textId="77777777" w:rsidR="00BA47B2" w:rsidRPr="00F3096A" w:rsidRDefault="008306D2" w:rsidP="00026FD8">
      <w:pPr>
        <w:spacing w:line="240" w:lineRule="auto"/>
        <w:rPr>
          <w:rFonts w:ascii="Arial" w:eastAsia="Times New Roman" w:hAnsi="Arial" w:cs="Arial"/>
          <w:b/>
          <w:sz w:val="20"/>
          <w:szCs w:val="20"/>
        </w:rPr>
      </w:pPr>
      <w:r w:rsidRPr="00F3096A">
        <w:rPr>
          <w:rFonts w:ascii="Arial" w:eastAsia="Times New Roman" w:hAnsi="Arial" w:cs="Arial"/>
          <w:b/>
          <w:sz w:val="20"/>
          <w:szCs w:val="20"/>
        </w:rPr>
        <w:t xml:space="preserve">Section A:  Multiple Choice Questions            </w:t>
      </w:r>
      <w:proofErr w:type="gramStart"/>
      <w:r w:rsidRPr="00F3096A">
        <w:rPr>
          <w:rFonts w:ascii="Arial" w:eastAsia="Times New Roman" w:hAnsi="Arial" w:cs="Arial"/>
          <w:b/>
          <w:sz w:val="20"/>
          <w:szCs w:val="20"/>
        </w:rPr>
        <w:t xml:space="preserve">   (</w:t>
      </w:r>
      <w:proofErr w:type="gramEnd"/>
      <w:r w:rsidRPr="00F3096A">
        <w:rPr>
          <w:rFonts w:ascii="Arial" w:eastAsia="Times New Roman" w:hAnsi="Arial" w:cs="Arial"/>
          <w:b/>
          <w:sz w:val="20"/>
          <w:szCs w:val="20"/>
        </w:rPr>
        <w:t>1 mark each = 5 marks)</w:t>
      </w:r>
    </w:p>
    <w:p w14:paraId="00000154"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Which part of the digestive system produces bile?</w:t>
      </w:r>
    </w:p>
    <w:p w14:paraId="00000155"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Pancreas</w:t>
      </w:r>
    </w:p>
    <w:p w14:paraId="00000156"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 Liver</w:t>
      </w:r>
    </w:p>
    <w:p w14:paraId="00000157"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Stomach</w:t>
      </w:r>
    </w:p>
    <w:p w14:paraId="00000158"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2146" w:space="720"/>
            <w:col w:w="5026" w:space="0"/>
          </w:cols>
        </w:sectPr>
      </w:pPr>
      <w:r w:rsidRPr="00F3096A">
        <w:rPr>
          <w:rFonts w:ascii="Arial" w:eastAsia="Times New Roman" w:hAnsi="Arial" w:cs="Arial"/>
          <w:sz w:val="20"/>
          <w:szCs w:val="20"/>
        </w:rPr>
        <w:t>D. Small intestine</w:t>
      </w:r>
    </w:p>
    <w:p w14:paraId="00000159"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Which enzyme breaks down proteins in the stomach?</w:t>
      </w:r>
    </w:p>
    <w:p w14:paraId="0000015A"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Lipase</w:t>
      </w:r>
    </w:p>
    <w:p w14:paraId="0000015B"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 Amylase</w:t>
      </w:r>
    </w:p>
    <w:p w14:paraId="0000015C"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Pepsin</w:t>
      </w:r>
    </w:p>
    <w:p w14:paraId="0000015D"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1570" w:space="720"/>
            <w:col w:w="5026" w:space="0"/>
          </w:cols>
        </w:sectPr>
      </w:pPr>
      <w:r w:rsidRPr="00F3096A">
        <w:rPr>
          <w:rFonts w:ascii="Arial" w:eastAsia="Times New Roman" w:hAnsi="Arial" w:cs="Arial"/>
          <w:sz w:val="20"/>
          <w:szCs w:val="20"/>
        </w:rPr>
        <w:t>D. Lactase</w:t>
      </w:r>
    </w:p>
    <w:p w14:paraId="0000015E"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What is the function of bile in digestion?</w:t>
      </w:r>
    </w:p>
    <w:p w14:paraId="0000015F"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Breaks down proteins</w:t>
      </w:r>
    </w:p>
    <w:p w14:paraId="00000160"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 Emulsifies fats</w:t>
      </w:r>
    </w:p>
    <w:p w14:paraId="00000161"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Absorbs water</w:t>
      </w:r>
    </w:p>
    <w:p w14:paraId="00000162"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994" w:space="720"/>
            <w:col w:w="5026" w:space="0"/>
          </w:cols>
        </w:sectPr>
      </w:pPr>
      <w:r w:rsidRPr="00F3096A">
        <w:rPr>
          <w:rFonts w:ascii="Arial" w:eastAsia="Times New Roman" w:hAnsi="Arial" w:cs="Arial"/>
          <w:sz w:val="20"/>
          <w:szCs w:val="20"/>
        </w:rPr>
        <w:t>D. Produces enzymes</w:t>
      </w:r>
    </w:p>
    <w:p w14:paraId="00000163"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Where does final digestion and absorption mainly take place?</w:t>
      </w:r>
    </w:p>
    <w:p w14:paraId="00000164"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Mouth</w:t>
      </w:r>
    </w:p>
    <w:p w14:paraId="00000165"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 Stomach</w:t>
      </w:r>
    </w:p>
    <w:p w14:paraId="00000166"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Small intestine</w:t>
      </w:r>
    </w:p>
    <w:p w14:paraId="00000167"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418" w:space="720"/>
            <w:col w:w="5026" w:space="0"/>
          </w:cols>
        </w:sectPr>
      </w:pPr>
      <w:r w:rsidRPr="00F3096A">
        <w:rPr>
          <w:rFonts w:ascii="Arial" w:eastAsia="Times New Roman" w:hAnsi="Arial" w:cs="Arial"/>
          <w:sz w:val="20"/>
          <w:szCs w:val="20"/>
        </w:rPr>
        <w:t>D. Large intestine</w:t>
      </w:r>
    </w:p>
    <w:p w14:paraId="00000168" w14:textId="77777777" w:rsidR="00BA47B2" w:rsidRPr="00F3096A" w:rsidRDefault="008306D2" w:rsidP="00026FD8">
      <w:pPr>
        <w:numPr>
          <w:ilvl w:val="0"/>
          <w:numId w:val="13"/>
        </w:numPr>
        <w:pBdr>
          <w:top w:val="nil"/>
          <w:left w:val="nil"/>
          <w:bottom w:val="nil"/>
          <w:right w:val="nil"/>
          <w:between w:val="nil"/>
        </w:pBdr>
        <w:spacing w:line="240" w:lineRule="auto"/>
        <w:rPr>
          <w:rFonts w:ascii="Arial" w:eastAsia="Times New Roman" w:hAnsi="Arial" w:cs="Arial"/>
          <w:color w:val="000000"/>
          <w:sz w:val="20"/>
          <w:szCs w:val="20"/>
        </w:rPr>
        <w:sectPr w:rsidR="00BA47B2" w:rsidRPr="00F3096A" w:rsidSect="00026FD8">
          <w:type w:val="continuous"/>
          <w:pgSz w:w="12240" w:h="15840"/>
          <w:pgMar w:top="1080" w:right="734" w:bottom="1080" w:left="734" w:header="720" w:footer="720" w:gutter="288"/>
          <w:cols w:space="720"/>
        </w:sectPr>
      </w:pPr>
      <w:r w:rsidRPr="00F3096A">
        <w:rPr>
          <w:rFonts w:ascii="Arial" w:eastAsia="Times New Roman" w:hAnsi="Arial" w:cs="Arial"/>
          <w:color w:val="000000"/>
          <w:sz w:val="20"/>
          <w:szCs w:val="20"/>
        </w:rPr>
        <w:t>Which digestive juice contains enzymes that break down carbohydrates, proteins, and fats?</w:t>
      </w:r>
    </w:p>
    <w:p w14:paraId="00000169"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A. Gastric juice</w:t>
      </w:r>
    </w:p>
    <w:p w14:paraId="0000016A"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B. Saliva</w:t>
      </w:r>
    </w:p>
    <w:p w14:paraId="0000016B" w14:textId="77777777" w:rsidR="00BA47B2" w:rsidRPr="00F3096A" w:rsidRDefault="008306D2" w:rsidP="00026FD8">
      <w:pPr>
        <w:spacing w:line="240" w:lineRule="auto"/>
        <w:rPr>
          <w:rFonts w:ascii="Arial" w:eastAsia="Times New Roman" w:hAnsi="Arial" w:cs="Arial"/>
          <w:sz w:val="20"/>
          <w:szCs w:val="20"/>
        </w:rPr>
      </w:pPr>
      <w:r w:rsidRPr="00F3096A">
        <w:rPr>
          <w:rFonts w:ascii="Arial" w:eastAsia="Times New Roman" w:hAnsi="Arial" w:cs="Arial"/>
          <w:sz w:val="20"/>
          <w:szCs w:val="20"/>
        </w:rPr>
        <w:t>C. Pancreatic juice</w:t>
      </w:r>
    </w:p>
    <w:p w14:paraId="0000016C" w14:textId="77777777" w:rsidR="00BA47B2" w:rsidRPr="00F3096A" w:rsidRDefault="008306D2" w:rsidP="00026FD8">
      <w:pPr>
        <w:spacing w:line="240" w:lineRule="auto"/>
        <w:rPr>
          <w:rFonts w:ascii="Arial" w:eastAsia="Times New Roman" w:hAnsi="Arial" w:cs="Arial"/>
          <w:sz w:val="20"/>
          <w:szCs w:val="20"/>
        </w:rPr>
        <w:sectPr w:rsidR="00BA47B2" w:rsidRPr="00F3096A" w:rsidSect="00026FD8">
          <w:type w:val="continuous"/>
          <w:pgSz w:w="12240" w:h="15840"/>
          <w:pgMar w:top="1080" w:right="734" w:bottom="1080" w:left="734" w:header="720" w:footer="720" w:gutter="288"/>
          <w:cols w:num="2" w:space="720" w:equalWidth="0">
            <w:col w:w="9360" w:space="720"/>
            <w:col w:w="5026" w:space="0"/>
          </w:cols>
        </w:sectPr>
      </w:pPr>
      <w:r w:rsidRPr="00F3096A">
        <w:rPr>
          <w:rFonts w:ascii="Arial" w:eastAsia="Times New Roman" w:hAnsi="Arial" w:cs="Arial"/>
          <w:sz w:val="20"/>
          <w:szCs w:val="20"/>
        </w:rPr>
        <w:t>D. Bile</w:t>
      </w:r>
    </w:p>
    <w:p w14:paraId="0000016D" w14:textId="77777777" w:rsidR="00BA47B2" w:rsidRPr="00F3096A" w:rsidRDefault="008306D2" w:rsidP="00026FD8">
      <w:pPr>
        <w:spacing w:line="240" w:lineRule="auto"/>
        <w:rPr>
          <w:rFonts w:ascii="Arial" w:eastAsia="Times New Roman" w:hAnsi="Arial" w:cs="Arial"/>
          <w:b/>
          <w:sz w:val="20"/>
          <w:szCs w:val="20"/>
        </w:rPr>
      </w:pPr>
      <w:r w:rsidRPr="00F3096A">
        <w:rPr>
          <w:rFonts w:ascii="Arial" w:eastAsia="Times New Roman" w:hAnsi="Arial" w:cs="Arial"/>
          <w:b/>
          <w:sz w:val="20"/>
          <w:szCs w:val="20"/>
        </w:rPr>
        <w:t>Section B: Short Answer Questions (1 mark each = 5 marks)</w:t>
      </w:r>
    </w:p>
    <w:p w14:paraId="0000016E"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Name one enzyme involved in digesting carbohydrates and state where it is produced.</w:t>
      </w:r>
    </w:p>
    <w:p w14:paraId="0000016F"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Explain why enzymes are important in digestion.</w:t>
      </w:r>
    </w:p>
    <w:p w14:paraId="00000170"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What is the role of the small intestine in chemical digestion?</w:t>
      </w:r>
    </w:p>
    <w:p w14:paraId="00000171"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How does hydrochloric acid in the stomach help in digestion?</w:t>
      </w:r>
    </w:p>
    <w:p w14:paraId="00000172" w14:textId="77777777" w:rsidR="00BA47B2" w:rsidRPr="00F3096A" w:rsidRDefault="008306D2" w:rsidP="00026FD8">
      <w:pPr>
        <w:numPr>
          <w:ilvl w:val="0"/>
          <w:numId w:val="12"/>
        </w:numPr>
        <w:pBdr>
          <w:top w:val="nil"/>
          <w:left w:val="nil"/>
          <w:bottom w:val="nil"/>
          <w:right w:val="nil"/>
          <w:between w:val="nil"/>
        </w:pBdr>
        <w:spacing w:after="0" w:line="240" w:lineRule="auto"/>
        <w:rPr>
          <w:rFonts w:ascii="Arial" w:eastAsia="Times New Roman" w:hAnsi="Arial" w:cs="Arial"/>
          <w:color w:val="000000"/>
          <w:sz w:val="20"/>
          <w:szCs w:val="20"/>
        </w:rPr>
      </w:pPr>
      <w:r w:rsidRPr="00F3096A">
        <w:rPr>
          <w:rFonts w:ascii="Arial" w:eastAsia="Times New Roman" w:hAnsi="Arial" w:cs="Arial"/>
          <w:color w:val="000000"/>
          <w:sz w:val="20"/>
          <w:szCs w:val="20"/>
        </w:rPr>
        <w:t>Why is it necessary for large food molecules to be broken down into smaller ones during digestion?</w:t>
      </w:r>
    </w:p>
    <w:p w14:paraId="00000173" w14:textId="77777777" w:rsidR="00BA47B2" w:rsidRPr="00F3096A" w:rsidRDefault="00BA47B2" w:rsidP="00026FD8">
      <w:pPr>
        <w:pBdr>
          <w:top w:val="nil"/>
          <w:left w:val="nil"/>
          <w:bottom w:val="nil"/>
          <w:right w:val="nil"/>
          <w:between w:val="nil"/>
        </w:pBdr>
        <w:spacing w:line="240" w:lineRule="auto"/>
        <w:ind w:left="1080"/>
        <w:jc w:val="both"/>
        <w:rPr>
          <w:rFonts w:ascii="Arial" w:eastAsia="Times New Roman" w:hAnsi="Arial" w:cs="Arial"/>
          <w:b/>
          <w:color w:val="000000"/>
          <w:sz w:val="20"/>
          <w:szCs w:val="20"/>
        </w:rPr>
      </w:pPr>
    </w:p>
    <w:p w14:paraId="00000174" w14:textId="77777777" w:rsidR="00BA47B2" w:rsidRPr="00F3096A" w:rsidRDefault="008306D2" w:rsidP="00026FD8">
      <w:pPr>
        <w:spacing w:line="240" w:lineRule="auto"/>
        <w:rPr>
          <w:rFonts w:ascii="Arial" w:eastAsia="Times New Roman" w:hAnsi="Arial" w:cs="Arial"/>
          <w:b/>
          <w:sz w:val="20"/>
          <w:szCs w:val="20"/>
        </w:rPr>
      </w:pPr>
      <w:r w:rsidRPr="00F3096A">
        <w:rPr>
          <w:rFonts w:ascii="Arial" w:hAnsi="Arial" w:cs="Arial"/>
          <w:sz w:val="20"/>
          <w:szCs w:val="20"/>
        </w:rPr>
        <w:br w:type="page"/>
      </w:r>
    </w:p>
    <w:p w14:paraId="00000175" w14:textId="77777777" w:rsidR="00BA47B2" w:rsidRPr="005B71A9" w:rsidRDefault="008306D2"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r w:rsidRPr="005B71A9">
        <w:rPr>
          <w:rFonts w:ascii="Arial" w:eastAsia="Times New Roman" w:hAnsi="Arial" w:cs="Arial"/>
          <w:b/>
          <w:iCs/>
          <w:color w:val="000000"/>
          <w:sz w:val="22"/>
          <w:szCs w:val="22"/>
        </w:rPr>
        <w:lastRenderedPageBreak/>
        <w:t xml:space="preserve">Appendix C: Interview questions </w:t>
      </w:r>
    </w:p>
    <w:p w14:paraId="00000176" w14:textId="77777777" w:rsidR="00BA47B2" w:rsidRPr="00F3096A" w:rsidRDefault="008306D2" w:rsidP="00026FD8">
      <w:pPr>
        <w:numPr>
          <w:ilvl w:val="0"/>
          <w:numId w:val="1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How did working in a group help you understand the process of chemical digestion?</w:t>
      </w:r>
    </w:p>
    <w:p w14:paraId="00000177" w14:textId="77777777" w:rsidR="00BA47B2" w:rsidRPr="00F3096A" w:rsidRDefault="008306D2" w:rsidP="00026FD8">
      <w:pPr>
        <w:numPr>
          <w:ilvl w:val="0"/>
          <w:numId w:val="1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Which group activity did you find most useful, and why?</w:t>
      </w:r>
    </w:p>
    <w:p w14:paraId="00000178" w14:textId="77777777" w:rsidR="00BA47B2" w:rsidRPr="00F3096A" w:rsidRDefault="008306D2" w:rsidP="00026FD8">
      <w:pPr>
        <w:numPr>
          <w:ilvl w:val="0"/>
          <w:numId w:val="1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did you learn from your peers during the group work?</w:t>
      </w:r>
    </w:p>
    <w:p w14:paraId="00000179" w14:textId="77777777" w:rsidR="00BA47B2" w:rsidRPr="00F3096A" w:rsidRDefault="008306D2" w:rsidP="00026FD8">
      <w:pPr>
        <w:numPr>
          <w:ilvl w:val="0"/>
          <w:numId w:val="14"/>
        </w:numPr>
        <w:pBdr>
          <w:top w:val="nil"/>
          <w:left w:val="nil"/>
          <w:bottom w:val="nil"/>
          <w:right w:val="nil"/>
          <w:between w:val="nil"/>
        </w:pBdr>
        <w:spacing w:after="0"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Did you find group learning more engaging than individual work? Why or why not?</w:t>
      </w:r>
    </w:p>
    <w:p w14:paraId="0000017A" w14:textId="77777777" w:rsidR="00BA47B2" w:rsidRPr="00F3096A" w:rsidRDefault="008306D2" w:rsidP="00026FD8">
      <w:pPr>
        <w:numPr>
          <w:ilvl w:val="0"/>
          <w:numId w:val="14"/>
        </w:numPr>
        <w:pBdr>
          <w:top w:val="nil"/>
          <w:left w:val="nil"/>
          <w:bottom w:val="nil"/>
          <w:right w:val="nil"/>
          <w:between w:val="nil"/>
        </w:pBdr>
        <w:spacing w:line="240" w:lineRule="auto"/>
        <w:jc w:val="both"/>
        <w:rPr>
          <w:rFonts w:ascii="Arial" w:eastAsia="Times New Roman" w:hAnsi="Arial" w:cs="Arial"/>
          <w:color w:val="000000"/>
          <w:sz w:val="20"/>
          <w:szCs w:val="20"/>
        </w:rPr>
      </w:pPr>
      <w:r w:rsidRPr="00F3096A">
        <w:rPr>
          <w:rFonts w:ascii="Arial" w:eastAsia="Times New Roman" w:hAnsi="Arial" w:cs="Arial"/>
          <w:color w:val="000000"/>
          <w:sz w:val="20"/>
          <w:szCs w:val="20"/>
        </w:rPr>
        <w:t>What challenges, if any, did you experience during group activities?</w:t>
      </w:r>
    </w:p>
    <w:p w14:paraId="0000017B" w14:textId="77777777" w:rsidR="00BA47B2" w:rsidRPr="00F3096A" w:rsidRDefault="008306D2" w:rsidP="00026FD8">
      <w:pPr>
        <w:spacing w:line="240" w:lineRule="auto"/>
        <w:rPr>
          <w:rFonts w:ascii="Arial" w:eastAsia="Times New Roman" w:hAnsi="Arial" w:cs="Arial"/>
          <w:b/>
          <w:sz w:val="20"/>
          <w:szCs w:val="20"/>
        </w:rPr>
      </w:pPr>
      <w:r w:rsidRPr="00F3096A">
        <w:rPr>
          <w:rFonts w:ascii="Arial" w:hAnsi="Arial" w:cs="Arial"/>
          <w:sz w:val="20"/>
          <w:szCs w:val="20"/>
        </w:rPr>
        <w:br w:type="page"/>
      </w:r>
    </w:p>
    <w:p w14:paraId="0000017C" w14:textId="77777777" w:rsidR="00BA47B2" w:rsidRPr="00F3096A" w:rsidRDefault="008306D2" w:rsidP="00026FD8">
      <w:pPr>
        <w:spacing w:line="240" w:lineRule="auto"/>
        <w:rPr>
          <w:rFonts w:ascii="Arial" w:eastAsia="Times New Roman" w:hAnsi="Arial" w:cs="Arial"/>
          <w:b/>
          <w:sz w:val="20"/>
          <w:szCs w:val="20"/>
        </w:rPr>
      </w:pPr>
      <w:r w:rsidRPr="00F3096A">
        <w:rPr>
          <w:rFonts w:ascii="Arial" w:eastAsia="Times New Roman" w:hAnsi="Arial" w:cs="Arial"/>
          <w:b/>
          <w:i/>
          <w:sz w:val="20"/>
          <w:szCs w:val="20"/>
        </w:rPr>
        <w:lastRenderedPageBreak/>
        <w:t>Appendix D</w:t>
      </w:r>
      <w:r w:rsidRPr="00F3096A">
        <w:rPr>
          <w:rFonts w:ascii="Arial" w:eastAsia="Times New Roman" w:hAnsi="Arial" w:cs="Arial"/>
          <w:b/>
          <w:sz w:val="20"/>
          <w:szCs w:val="20"/>
        </w:rPr>
        <w:t>: Student Survey Questionnaire – Chemical Digestion and Group Activities</w:t>
      </w:r>
    </w:p>
    <w:tbl>
      <w:tblPr>
        <w:tblStyle w:val="a4"/>
        <w:tblW w:w="10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0"/>
        <w:gridCol w:w="5958"/>
        <w:gridCol w:w="753"/>
        <w:gridCol w:w="607"/>
        <w:gridCol w:w="678"/>
        <w:gridCol w:w="678"/>
        <w:gridCol w:w="577"/>
      </w:tblGrid>
      <w:tr w:rsidR="00BA47B2" w:rsidRPr="00F3096A" w14:paraId="36F3111D" w14:textId="77777777">
        <w:trPr>
          <w:trHeight w:val="469"/>
        </w:trPr>
        <w:tc>
          <w:tcPr>
            <w:tcW w:w="830" w:type="dxa"/>
          </w:tcPr>
          <w:p w14:paraId="0000017D" w14:textId="77777777" w:rsidR="00BA47B2" w:rsidRPr="00F3096A" w:rsidRDefault="008306D2" w:rsidP="00026FD8">
            <w:pPr>
              <w:jc w:val="both"/>
              <w:rPr>
                <w:rFonts w:ascii="Arial" w:eastAsia="Times New Roman" w:hAnsi="Arial" w:cs="Arial"/>
                <w:b/>
                <w:sz w:val="20"/>
                <w:szCs w:val="20"/>
              </w:rPr>
            </w:pPr>
            <w:proofErr w:type="spellStart"/>
            <w:proofErr w:type="gramStart"/>
            <w:r w:rsidRPr="00F3096A">
              <w:rPr>
                <w:rFonts w:ascii="Arial" w:eastAsia="Times New Roman" w:hAnsi="Arial" w:cs="Arial"/>
                <w:b/>
                <w:sz w:val="20"/>
                <w:szCs w:val="20"/>
              </w:rPr>
              <w:t>Sl.No</w:t>
            </w:r>
            <w:proofErr w:type="spellEnd"/>
            <w:proofErr w:type="gramEnd"/>
          </w:p>
        </w:tc>
        <w:tc>
          <w:tcPr>
            <w:tcW w:w="5958" w:type="dxa"/>
          </w:tcPr>
          <w:p w14:paraId="0000017E"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Statement</w:t>
            </w:r>
          </w:p>
        </w:tc>
        <w:tc>
          <w:tcPr>
            <w:tcW w:w="753" w:type="dxa"/>
          </w:tcPr>
          <w:p w14:paraId="0000017F"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SDA</w:t>
            </w:r>
          </w:p>
        </w:tc>
        <w:tc>
          <w:tcPr>
            <w:tcW w:w="607" w:type="dxa"/>
          </w:tcPr>
          <w:p w14:paraId="00000180"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DA</w:t>
            </w:r>
          </w:p>
        </w:tc>
        <w:tc>
          <w:tcPr>
            <w:tcW w:w="678" w:type="dxa"/>
          </w:tcPr>
          <w:p w14:paraId="00000181"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N</w:t>
            </w:r>
          </w:p>
        </w:tc>
        <w:tc>
          <w:tcPr>
            <w:tcW w:w="678" w:type="dxa"/>
          </w:tcPr>
          <w:p w14:paraId="00000182"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A</w:t>
            </w:r>
          </w:p>
        </w:tc>
        <w:tc>
          <w:tcPr>
            <w:tcW w:w="577" w:type="dxa"/>
          </w:tcPr>
          <w:p w14:paraId="00000183" w14:textId="77777777" w:rsidR="00BA47B2" w:rsidRPr="00F3096A" w:rsidRDefault="008306D2" w:rsidP="00026FD8">
            <w:pPr>
              <w:jc w:val="both"/>
              <w:rPr>
                <w:rFonts w:ascii="Arial" w:eastAsia="Times New Roman" w:hAnsi="Arial" w:cs="Arial"/>
                <w:b/>
                <w:sz w:val="20"/>
                <w:szCs w:val="20"/>
              </w:rPr>
            </w:pPr>
            <w:r w:rsidRPr="00F3096A">
              <w:rPr>
                <w:rFonts w:ascii="Arial" w:eastAsia="Times New Roman" w:hAnsi="Arial" w:cs="Arial"/>
                <w:b/>
                <w:sz w:val="20"/>
                <w:szCs w:val="20"/>
              </w:rPr>
              <w:t>SA</w:t>
            </w:r>
          </w:p>
        </w:tc>
      </w:tr>
      <w:tr w:rsidR="00BA47B2" w:rsidRPr="00F3096A" w14:paraId="25E456C2" w14:textId="77777777">
        <w:trPr>
          <w:trHeight w:val="956"/>
        </w:trPr>
        <w:tc>
          <w:tcPr>
            <w:tcW w:w="830" w:type="dxa"/>
          </w:tcPr>
          <w:p w14:paraId="00000184" w14:textId="77777777" w:rsidR="00BA47B2" w:rsidRPr="00F3096A" w:rsidRDefault="00BA47B2" w:rsidP="00026FD8">
            <w:pPr>
              <w:numPr>
                <w:ilvl w:val="0"/>
                <w:numId w:val="15"/>
              </w:numPr>
              <w:pBdr>
                <w:top w:val="nil"/>
                <w:left w:val="nil"/>
                <w:bottom w:val="nil"/>
                <w:right w:val="nil"/>
                <w:between w:val="nil"/>
              </w:pBdr>
              <w:spacing w:after="160"/>
              <w:rPr>
                <w:rFonts w:ascii="Arial" w:eastAsia="Times New Roman" w:hAnsi="Arial" w:cs="Arial"/>
                <w:b/>
                <w:color w:val="000000"/>
                <w:sz w:val="20"/>
                <w:szCs w:val="20"/>
              </w:rPr>
            </w:pPr>
          </w:p>
        </w:tc>
        <w:tc>
          <w:tcPr>
            <w:tcW w:w="5958" w:type="dxa"/>
          </w:tcPr>
          <w:p w14:paraId="00000185" w14:textId="77777777" w:rsidR="00BA47B2" w:rsidRPr="00F3096A" w:rsidRDefault="008306D2" w:rsidP="00026FD8">
            <w:pPr>
              <w:jc w:val="both"/>
              <w:rPr>
                <w:rFonts w:ascii="Arial" w:eastAsia="Times New Roman" w:hAnsi="Arial" w:cs="Arial"/>
                <w:sz w:val="20"/>
                <w:szCs w:val="20"/>
              </w:rPr>
            </w:pPr>
            <w:r w:rsidRPr="00F3096A">
              <w:rPr>
                <w:rFonts w:ascii="Arial" w:eastAsia="Times New Roman" w:hAnsi="Arial" w:cs="Arial"/>
                <w:sz w:val="20"/>
                <w:szCs w:val="20"/>
              </w:rPr>
              <w:t>I found the group-based activities helpful in understanding how enzymes break down food.</w:t>
            </w:r>
          </w:p>
        </w:tc>
        <w:tc>
          <w:tcPr>
            <w:tcW w:w="753" w:type="dxa"/>
          </w:tcPr>
          <w:p w14:paraId="00000186" w14:textId="77777777" w:rsidR="00BA47B2" w:rsidRPr="00F3096A" w:rsidRDefault="00BA47B2" w:rsidP="00026FD8">
            <w:pPr>
              <w:jc w:val="both"/>
              <w:rPr>
                <w:rFonts w:ascii="Arial" w:eastAsia="Times New Roman" w:hAnsi="Arial" w:cs="Arial"/>
                <w:b/>
                <w:sz w:val="20"/>
                <w:szCs w:val="20"/>
              </w:rPr>
            </w:pPr>
          </w:p>
        </w:tc>
        <w:tc>
          <w:tcPr>
            <w:tcW w:w="607" w:type="dxa"/>
          </w:tcPr>
          <w:p w14:paraId="00000187" w14:textId="77777777" w:rsidR="00BA47B2" w:rsidRPr="00F3096A" w:rsidRDefault="00BA47B2" w:rsidP="00026FD8">
            <w:pPr>
              <w:jc w:val="both"/>
              <w:rPr>
                <w:rFonts w:ascii="Arial" w:eastAsia="Times New Roman" w:hAnsi="Arial" w:cs="Arial"/>
                <w:b/>
                <w:sz w:val="20"/>
                <w:szCs w:val="20"/>
              </w:rPr>
            </w:pPr>
          </w:p>
        </w:tc>
        <w:tc>
          <w:tcPr>
            <w:tcW w:w="678" w:type="dxa"/>
          </w:tcPr>
          <w:p w14:paraId="00000188" w14:textId="77777777" w:rsidR="00BA47B2" w:rsidRPr="00F3096A" w:rsidRDefault="00BA47B2" w:rsidP="00026FD8">
            <w:pPr>
              <w:jc w:val="both"/>
              <w:rPr>
                <w:rFonts w:ascii="Arial" w:eastAsia="Times New Roman" w:hAnsi="Arial" w:cs="Arial"/>
                <w:b/>
                <w:sz w:val="20"/>
                <w:szCs w:val="20"/>
              </w:rPr>
            </w:pPr>
          </w:p>
        </w:tc>
        <w:tc>
          <w:tcPr>
            <w:tcW w:w="678" w:type="dxa"/>
          </w:tcPr>
          <w:p w14:paraId="00000189" w14:textId="77777777" w:rsidR="00BA47B2" w:rsidRPr="00F3096A" w:rsidRDefault="00BA47B2" w:rsidP="00026FD8">
            <w:pPr>
              <w:jc w:val="both"/>
              <w:rPr>
                <w:rFonts w:ascii="Arial" w:eastAsia="Times New Roman" w:hAnsi="Arial" w:cs="Arial"/>
                <w:b/>
                <w:sz w:val="20"/>
                <w:szCs w:val="20"/>
              </w:rPr>
            </w:pPr>
          </w:p>
        </w:tc>
        <w:tc>
          <w:tcPr>
            <w:tcW w:w="577" w:type="dxa"/>
          </w:tcPr>
          <w:p w14:paraId="0000018A" w14:textId="77777777" w:rsidR="00BA47B2" w:rsidRPr="00F3096A" w:rsidRDefault="00BA47B2" w:rsidP="00026FD8">
            <w:pPr>
              <w:jc w:val="both"/>
              <w:rPr>
                <w:rFonts w:ascii="Arial" w:eastAsia="Times New Roman" w:hAnsi="Arial" w:cs="Arial"/>
                <w:b/>
                <w:sz w:val="20"/>
                <w:szCs w:val="20"/>
              </w:rPr>
            </w:pPr>
          </w:p>
        </w:tc>
      </w:tr>
      <w:tr w:rsidR="00BA47B2" w:rsidRPr="00F3096A" w14:paraId="43E1266B" w14:textId="77777777">
        <w:trPr>
          <w:trHeight w:val="956"/>
        </w:trPr>
        <w:tc>
          <w:tcPr>
            <w:tcW w:w="830" w:type="dxa"/>
          </w:tcPr>
          <w:p w14:paraId="0000018B"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8C" w14:textId="77777777" w:rsidR="00BA47B2" w:rsidRPr="00F3096A" w:rsidRDefault="008306D2" w:rsidP="00026FD8">
            <w:pPr>
              <w:jc w:val="both"/>
              <w:rPr>
                <w:rFonts w:ascii="Arial" w:eastAsia="Times New Roman" w:hAnsi="Arial" w:cs="Arial"/>
                <w:sz w:val="20"/>
                <w:szCs w:val="20"/>
              </w:rPr>
            </w:pPr>
            <w:r w:rsidRPr="00F3096A">
              <w:rPr>
                <w:rFonts w:ascii="Arial" w:eastAsia="Times New Roman" w:hAnsi="Arial" w:cs="Arial"/>
                <w:sz w:val="20"/>
                <w:szCs w:val="20"/>
              </w:rPr>
              <w:t>Working in groups made the topic of chemical digestion more interesting.</w:t>
            </w:r>
          </w:p>
        </w:tc>
        <w:tc>
          <w:tcPr>
            <w:tcW w:w="753" w:type="dxa"/>
          </w:tcPr>
          <w:p w14:paraId="0000018D" w14:textId="77777777" w:rsidR="00BA47B2" w:rsidRPr="00F3096A" w:rsidRDefault="00BA47B2" w:rsidP="00026FD8">
            <w:pPr>
              <w:jc w:val="both"/>
              <w:rPr>
                <w:rFonts w:ascii="Arial" w:eastAsia="Times New Roman" w:hAnsi="Arial" w:cs="Arial"/>
                <w:b/>
                <w:sz w:val="20"/>
                <w:szCs w:val="20"/>
              </w:rPr>
            </w:pPr>
          </w:p>
        </w:tc>
        <w:tc>
          <w:tcPr>
            <w:tcW w:w="607" w:type="dxa"/>
          </w:tcPr>
          <w:p w14:paraId="0000018E" w14:textId="77777777" w:rsidR="00BA47B2" w:rsidRPr="00F3096A" w:rsidRDefault="00BA47B2" w:rsidP="00026FD8">
            <w:pPr>
              <w:jc w:val="both"/>
              <w:rPr>
                <w:rFonts w:ascii="Arial" w:eastAsia="Times New Roman" w:hAnsi="Arial" w:cs="Arial"/>
                <w:b/>
                <w:sz w:val="20"/>
                <w:szCs w:val="20"/>
              </w:rPr>
            </w:pPr>
          </w:p>
        </w:tc>
        <w:tc>
          <w:tcPr>
            <w:tcW w:w="678" w:type="dxa"/>
          </w:tcPr>
          <w:p w14:paraId="0000018F" w14:textId="77777777" w:rsidR="00BA47B2" w:rsidRPr="00F3096A" w:rsidRDefault="00BA47B2" w:rsidP="00026FD8">
            <w:pPr>
              <w:jc w:val="both"/>
              <w:rPr>
                <w:rFonts w:ascii="Arial" w:eastAsia="Times New Roman" w:hAnsi="Arial" w:cs="Arial"/>
                <w:b/>
                <w:sz w:val="20"/>
                <w:szCs w:val="20"/>
              </w:rPr>
            </w:pPr>
          </w:p>
        </w:tc>
        <w:tc>
          <w:tcPr>
            <w:tcW w:w="678" w:type="dxa"/>
          </w:tcPr>
          <w:p w14:paraId="00000190" w14:textId="77777777" w:rsidR="00BA47B2" w:rsidRPr="00F3096A" w:rsidRDefault="00BA47B2" w:rsidP="00026FD8">
            <w:pPr>
              <w:jc w:val="both"/>
              <w:rPr>
                <w:rFonts w:ascii="Arial" w:eastAsia="Times New Roman" w:hAnsi="Arial" w:cs="Arial"/>
                <w:b/>
                <w:sz w:val="20"/>
                <w:szCs w:val="20"/>
              </w:rPr>
            </w:pPr>
          </w:p>
        </w:tc>
        <w:tc>
          <w:tcPr>
            <w:tcW w:w="577" w:type="dxa"/>
          </w:tcPr>
          <w:p w14:paraId="00000191" w14:textId="77777777" w:rsidR="00BA47B2" w:rsidRPr="00F3096A" w:rsidRDefault="00BA47B2" w:rsidP="00026FD8">
            <w:pPr>
              <w:jc w:val="both"/>
              <w:rPr>
                <w:rFonts w:ascii="Arial" w:eastAsia="Times New Roman" w:hAnsi="Arial" w:cs="Arial"/>
                <w:b/>
                <w:sz w:val="20"/>
                <w:szCs w:val="20"/>
              </w:rPr>
            </w:pPr>
          </w:p>
        </w:tc>
      </w:tr>
      <w:tr w:rsidR="00BA47B2" w:rsidRPr="00F3096A" w14:paraId="2F8BBDD3" w14:textId="77777777">
        <w:trPr>
          <w:trHeight w:val="512"/>
        </w:trPr>
        <w:tc>
          <w:tcPr>
            <w:tcW w:w="830" w:type="dxa"/>
          </w:tcPr>
          <w:p w14:paraId="00000192"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93" w14:textId="77777777" w:rsidR="00BA47B2" w:rsidRPr="00F3096A" w:rsidRDefault="008306D2" w:rsidP="00026FD8">
            <w:pPr>
              <w:jc w:val="both"/>
              <w:rPr>
                <w:rFonts w:ascii="Arial" w:eastAsia="Times New Roman" w:hAnsi="Arial" w:cs="Arial"/>
                <w:sz w:val="20"/>
                <w:szCs w:val="20"/>
              </w:rPr>
            </w:pPr>
            <w:r w:rsidRPr="00F3096A">
              <w:rPr>
                <w:rFonts w:ascii="Arial" w:eastAsia="Times New Roman" w:hAnsi="Arial" w:cs="Arial"/>
                <w:sz w:val="20"/>
                <w:szCs w:val="20"/>
              </w:rPr>
              <w:t>I was able to learn from my peers during the group tasks.</w:t>
            </w:r>
          </w:p>
        </w:tc>
        <w:tc>
          <w:tcPr>
            <w:tcW w:w="753" w:type="dxa"/>
          </w:tcPr>
          <w:p w14:paraId="00000194" w14:textId="77777777" w:rsidR="00BA47B2" w:rsidRPr="00F3096A" w:rsidRDefault="00BA47B2" w:rsidP="00026FD8">
            <w:pPr>
              <w:jc w:val="both"/>
              <w:rPr>
                <w:rFonts w:ascii="Arial" w:eastAsia="Times New Roman" w:hAnsi="Arial" w:cs="Arial"/>
                <w:b/>
                <w:sz w:val="20"/>
                <w:szCs w:val="20"/>
              </w:rPr>
            </w:pPr>
          </w:p>
        </w:tc>
        <w:tc>
          <w:tcPr>
            <w:tcW w:w="607" w:type="dxa"/>
          </w:tcPr>
          <w:p w14:paraId="00000195" w14:textId="77777777" w:rsidR="00BA47B2" w:rsidRPr="00F3096A" w:rsidRDefault="00BA47B2" w:rsidP="00026FD8">
            <w:pPr>
              <w:jc w:val="both"/>
              <w:rPr>
                <w:rFonts w:ascii="Arial" w:eastAsia="Times New Roman" w:hAnsi="Arial" w:cs="Arial"/>
                <w:b/>
                <w:sz w:val="20"/>
                <w:szCs w:val="20"/>
              </w:rPr>
            </w:pPr>
          </w:p>
        </w:tc>
        <w:tc>
          <w:tcPr>
            <w:tcW w:w="678" w:type="dxa"/>
          </w:tcPr>
          <w:p w14:paraId="00000196" w14:textId="77777777" w:rsidR="00BA47B2" w:rsidRPr="00F3096A" w:rsidRDefault="00BA47B2" w:rsidP="00026FD8">
            <w:pPr>
              <w:jc w:val="both"/>
              <w:rPr>
                <w:rFonts w:ascii="Arial" w:eastAsia="Times New Roman" w:hAnsi="Arial" w:cs="Arial"/>
                <w:b/>
                <w:sz w:val="20"/>
                <w:szCs w:val="20"/>
              </w:rPr>
            </w:pPr>
          </w:p>
        </w:tc>
        <w:tc>
          <w:tcPr>
            <w:tcW w:w="678" w:type="dxa"/>
          </w:tcPr>
          <w:p w14:paraId="00000197" w14:textId="77777777" w:rsidR="00BA47B2" w:rsidRPr="00F3096A" w:rsidRDefault="00BA47B2" w:rsidP="00026FD8">
            <w:pPr>
              <w:jc w:val="both"/>
              <w:rPr>
                <w:rFonts w:ascii="Arial" w:eastAsia="Times New Roman" w:hAnsi="Arial" w:cs="Arial"/>
                <w:b/>
                <w:sz w:val="20"/>
                <w:szCs w:val="20"/>
              </w:rPr>
            </w:pPr>
          </w:p>
        </w:tc>
        <w:tc>
          <w:tcPr>
            <w:tcW w:w="577" w:type="dxa"/>
          </w:tcPr>
          <w:p w14:paraId="00000198" w14:textId="77777777" w:rsidR="00BA47B2" w:rsidRPr="00F3096A" w:rsidRDefault="00BA47B2" w:rsidP="00026FD8">
            <w:pPr>
              <w:jc w:val="both"/>
              <w:rPr>
                <w:rFonts w:ascii="Arial" w:eastAsia="Times New Roman" w:hAnsi="Arial" w:cs="Arial"/>
                <w:b/>
                <w:sz w:val="20"/>
                <w:szCs w:val="20"/>
              </w:rPr>
            </w:pPr>
          </w:p>
        </w:tc>
      </w:tr>
      <w:tr w:rsidR="00BA47B2" w:rsidRPr="00F3096A" w14:paraId="1EFE1129" w14:textId="77777777">
        <w:trPr>
          <w:trHeight w:val="956"/>
        </w:trPr>
        <w:tc>
          <w:tcPr>
            <w:tcW w:w="830" w:type="dxa"/>
          </w:tcPr>
          <w:p w14:paraId="00000199"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9A" w14:textId="77777777" w:rsidR="00BA47B2" w:rsidRPr="00F3096A" w:rsidRDefault="008306D2" w:rsidP="00026FD8">
            <w:pPr>
              <w:jc w:val="both"/>
              <w:rPr>
                <w:rFonts w:ascii="Arial" w:eastAsia="Times New Roman" w:hAnsi="Arial" w:cs="Arial"/>
                <w:sz w:val="20"/>
                <w:szCs w:val="20"/>
              </w:rPr>
            </w:pPr>
            <w:r w:rsidRPr="00F3096A">
              <w:rPr>
                <w:rFonts w:ascii="Arial" w:eastAsia="Times New Roman" w:hAnsi="Arial" w:cs="Arial"/>
                <w:sz w:val="20"/>
                <w:szCs w:val="20"/>
              </w:rPr>
              <w:t>The experiments helped me understand the role of enzymes in digestion.</w:t>
            </w:r>
          </w:p>
        </w:tc>
        <w:tc>
          <w:tcPr>
            <w:tcW w:w="753" w:type="dxa"/>
          </w:tcPr>
          <w:p w14:paraId="0000019B" w14:textId="77777777" w:rsidR="00BA47B2" w:rsidRPr="00F3096A" w:rsidRDefault="00BA47B2" w:rsidP="00026FD8">
            <w:pPr>
              <w:jc w:val="both"/>
              <w:rPr>
                <w:rFonts w:ascii="Arial" w:eastAsia="Times New Roman" w:hAnsi="Arial" w:cs="Arial"/>
                <w:b/>
                <w:sz w:val="20"/>
                <w:szCs w:val="20"/>
              </w:rPr>
            </w:pPr>
          </w:p>
        </w:tc>
        <w:tc>
          <w:tcPr>
            <w:tcW w:w="607" w:type="dxa"/>
          </w:tcPr>
          <w:p w14:paraId="0000019C" w14:textId="77777777" w:rsidR="00BA47B2" w:rsidRPr="00F3096A" w:rsidRDefault="00BA47B2" w:rsidP="00026FD8">
            <w:pPr>
              <w:jc w:val="both"/>
              <w:rPr>
                <w:rFonts w:ascii="Arial" w:eastAsia="Times New Roman" w:hAnsi="Arial" w:cs="Arial"/>
                <w:b/>
                <w:sz w:val="20"/>
                <w:szCs w:val="20"/>
              </w:rPr>
            </w:pPr>
          </w:p>
        </w:tc>
        <w:tc>
          <w:tcPr>
            <w:tcW w:w="678" w:type="dxa"/>
          </w:tcPr>
          <w:p w14:paraId="0000019D" w14:textId="77777777" w:rsidR="00BA47B2" w:rsidRPr="00F3096A" w:rsidRDefault="00BA47B2" w:rsidP="00026FD8">
            <w:pPr>
              <w:jc w:val="both"/>
              <w:rPr>
                <w:rFonts w:ascii="Arial" w:eastAsia="Times New Roman" w:hAnsi="Arial" w:cs="Arial"/>
                <w:b/>
                <w:sz w:val="20"/>
                <w:szCs w:val="20"/>
              </w:rPr>
            </w:pPr>
          </w:p>
        </w:tc>
        <w:tc>
          <w:tcPr>
            <w:tcW w:w="678" w:type="dxa"/>
          </w:tcPr>
          <w:p w14:paraId="0000019E" w14:textId="77777777" w:rsidR="00BA47B2" w:rsidRPr="00F3096A" w:rsidRDefault="00BA47B2" w:rsidP="00026FD8">
            <w:pPr>
              <w:jc w:val="both"/>
              <w:rPr>
                <w:rFonts w:ascii="Arial" w:eastAsia="Times New Roman" w:hAnsi="Arial" w:cs="Arial"/>
                <w:b/>
                <w:sz w:val="20"/>
                <w:szCs w:val="20"/>
              </w:rPr>
            </w:pPr>
          </w:p>
        </w:tc>
        <w:tc>
          <w:tcPr>
            <w:tcW w:w="577" w:type="dxa"/>
          </w:tcPr>
          <w:p w14:paraId="0000019F" w14:textId="77777777" w:rsidR="00BA47B2" w:rsidRPr="00F3096A" w:rsidRDefault="00BA47B2" w:rsidP="00026FD8">
            <w:pPr>
              <w:jc w:val="both"/>
              <w:rPr>
                <w:rFonts w:ascii="Arial" w:eastAsia="Times New Roman" w:hAnsi="Arial" w:cs="Arial"/>
                <w:b/>
                <w:sz w:val="20"/>
                <w:szCs w:val="20"/>
              </w:rPr>
            </w:pPr>
          </w:p>
        </w:tc>
      </w:tr>
      <w:tr w:rsidR="00BA47B2" w:rsidRPr="00F3096A" w14:paraId="13E50CA4" w14:textId="77777777">
        <w:trPr>
          <w:trHeight w:val="469"/>
        </w:trPr>
        <w:tc>
          <w:tcPr>
            <w:tcW w:w="830" w:type="dxa"/>
          </w:tcPr>
          <w:p w14:paraId="000001A0"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A1"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I felt more engaged in class during the group activities.</w:t>
            </w:r>
          </w:p>
        </w:tc>
        <w:tc>
          <w:tcPr>
            <w:tcW w:w="753" w:type="dxa"/>
          </w:tcPr>
          <w:p w14:paraId="000001A2" w14:textId="77777777" w:rsidR="00BA47B2" w:rsidRPr="00F3096A" w:rsidRDefault="00BA47B2" w:rsidP="00026FD8">
            <w:pPr>
              <w:jc w:val="both"/>
              <w:rPr>
                <w:rFonts w:ascii="Arial" w:eastAsia="Times New Roman" w:hAnsi="Arial" w:cs="Arial"/>
                <w:b/>
                <w:sz w:val="20"/>
                <w:szCs w:val="20"/>
              </w:rPr>
            </w:pPr>
          </w:p>
        </w:tc>
        <w:tc>
          <w:tcPr>
            <w:tcW w:w="607" w:type="dxa"/>
          </w:tcPr>
          <w:p w14:paraId="000001A3" w14:textId="77777777" w:rsidR="00BA47B2" w:rsidRPr="00F3096A" w:rsidRDefault="00BA47B2" w:rsidP="00026FD8">
            <w:pPr>
              <w:jc w:val="both"/>
              <w:rPr>
                <w:rFonts w:ascii="Arial" w:eastAsia="Times New Roman" w:hAnsi="Arial" w:cs="Arial"/>
                <w:b/>
                <w:sz w:val="20"/>
                <w:szCs w:val="20"/>
              </w:rPr>
            </w:pPr>
          </w:p>
        </w:tc>
        <w:tc>
          <w:tcPr>
            <w:tcW w:w="678" w:type="dxa"/>
          </w:tcPr>
          <w:p w14:paraId="000001A4" w14:textId="77777777" w:rsidR="00BA47B2" w:rsidRPr="00F3096A" w:rsidRDefault="00BA47B2" w:rsidP="00026FD8">
            <w:pPr>
              <w:jc w:val="both"/>
              <w:rPr>
                <w:rFonts w:ascii="Arial" w:eastAsia="Times New Roman" w:hAnsi="Arial" w:cs="Arial"/>
                <w:b/>
                <w:sz w:val="20"/>
                <w:szCs w:val="20"/>
              </w:rPr>
            </w:pPr>
          </w:p>
        </w:tc>
        <w:tc>
          <w:tcPr>
            <w:tcW w:w="678" w:type="dxa"/>
          </w:tcPr>
          <w:p w14:paraId="000001A5" w14:textId="77777777" w:rsidR="00BA47B2" w:rsidRPr="00F3096A" w:rsidRDefault="00BA47B2" w:rsidP="00026FD8">
            <w:pPr>
              <w:jc w:val="both"/>
              <w:rPr>
                <w:rFonts w:ascii="Arial" w:eastAsia="Times New Roman" w:hAnsi="Arial" w:cs="Arial"/>
                <w:b/>
                <w:sz w:val="20"/>
                <w:szCs w:val="20"/>
              </w:rPr>
            </w:pPr>
          </w:p>
        </w:tc>
        <w:tc>
          <w:tcPr>
            <w:tcW w:w="577" w:type="dxa"/>
          </w:tcPr>
          <w:p w14:paraId="000001A6" w14:textId="77777777" w:rsidR="00BA47B2" w:rsidRPr="00F3096A" w:rsidRDefault="00BA47B2" w:rsidP="00026FD8">
            <w:pPr>
              <w:jc w:val="both"/>
              <w:rPr>
                <w:rFonts w:ascii="Arial" w:eastAsia="Times New Roman" w:hAnsi="Arial" w:cs="Arial"/>
                <w:b/>
                <w:sz w:val="20"/>
                <w:szCs w:val="20"/>
              </w:rPr>
            </w:pPr>
          </w:p>
        </w:tc>
      </w:tr>
      <w:tr w:rsidR="00BA47B2" w:rsidRPr="00F3096A" w14:paraId="5522B2A3" w14:textId="77777777">
        <w:trPr>
          <w:trHeight w:val="956"/>
        </w:trPr>
        <w:tc>
          <w:tcPr>
            <w:tcW w:w="830" w:type="dxa"/>
          </w:tcPr>
          <w:p w14:paraId="000001A7"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A8"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I understand the stages of chemical digestion better after participating in group work.</w:t>
            </w:r>
          </w:p>
        </w:tc>
        <w:tc>
          <w:tcPr>
            <w:tcW w:w="753" w:type="dxa"/>
          </w:tcPr>
          <w:p w14:paraId="000001A9" w14:textId="77777777" w:rsidR="00BA47B2" w:rsidRPr="00F3096A" w:rsidRDefault="00BA47B2" w:rsidP="00026FD8">
            <w:pPr>
              <w:jc w:val="both"/>
              <w:rPr>
                <w:rFonts w:ascii="Arial" w:eastAsia="Times New Roman" w:hAnsi="Arial" w:cs="Arial"/>
                <w:b/>
                <w:sz w:val="20"/>
                <w:szCs w:val="20"/>
              </w:rPr>
            </w:pPr>
          </w:p>
        </w:tc>
        <w:tc>
          <w:tcPr>
            <w:tcW w:w="607" w:type="dxa"/>
          </w:tcPr>
          <w:p w14:paraId="000001AA" w14:textId="77777777" w:rsidR="00BA47B2" w:rsidRPr="00F3096A" w:rsidRDefault="00BA47B2" w:rsidP="00026FD8">
            <w:pPr>
              <w:jc w:val="both"/>
              <w:rPr>
                <w:rFonts w:ascii="Arial" w:eastAsia="Times New Roman" w:hAnsi="Arial" w:cs="Arial"/>
                <w:b/>
                <w:sz w:val="20"/>
                <w:szCs w:val="20"/>
              </w:rPr>
            </w:pPr>
          </w:p>
        </w:tc>
        <w:tc>
          <w:tcPr>
            <w:tcW w:w="678" w:type="dxa"/>
          </w:tcPr>
          <w:p w14:paraId="000001AB" w14:textId="77777777" w:rsidR="00BA47B2" w:rsidRPr="00F3096A" w:rsidRDefault="00BA47B2" w:rsidP="00026FD8">
            <w:pPr>
              <w:jc w:val="both"/>
              <w:rPr>
                <w:rFonts w:ascii="Arial" w:eastAsia="Times New Roman" w:hAnsi="Arial" w:cs="Arial"/>
                <w:b/>
                <w:sz w:val="20"/>
                <w:szCs w:val="20"/>
              </w:rPr>
            </w:pPr>
          </w:p>
        </w:tc>
        <w:tc>
          <w:tcPr>
            <w:tcW w:w="678" w:type="dxa"/>
          </w:tcPr>
          <w:p w14:paraId="000001AC" w14:textId="77777777" w:rsidR="00BA47B2" w:rsidRPr="00F3096A" w:rsidRDefault="00BA47B2" w:rsidP="00026FD8">
            <w:pPr>
              <w:jc w:val="both"/>
              <w:rPr>
                <w:rFonts w:ascii="Arial" w:eastAsia="Times New Roman" w:hAnsi="Arial" w:cs="Arial"/>
                <w:b/>
                <w:sz w:val="20"/>
                <w:szCs w:val="20"/>
              </w:rPr>
            </w:pPr>
          </w:p>
        </w:tc>
        <w:tc>
          <w:tcPr>
            <w:tcW w:w="577" w:type="dxa"/>
          </w:tcPr>
          <w:p w14:paraId="000001AD" w14:textId="77777777" w:rsidR="00BA47B2" w:rsidRPr="00F3096A" w:rsidRDefault="00BA47B2" w:rsidP="00026FD8">
            <w:pPr>
              <w:jc w:val="both"/>
              <w:rPr>
                <w:rFonts w:ascii="Arial" w:eastAsia="Times New Roman" w:hAnsi="Arial" w:cs="Arial"/>
                <w:b/>
                <w:sz w:val="20"/>
                <w:szCs w:val="20"/>
              </w:rPr>
            </w:pPr>
          </w:p>
        </w:tc>
      </w:tr>
      <w:tr w:rsidR="00BA47B2" w:rsidRPr="00F3096A" w14:paraId="2F2C06DC" w14:textId="77777777">
        <w:trPr>
          <w:trHeight w:val="956"/>
        </w:trPr>
        <w:tc>
          <w:tcPr>
            <w:tcW w:w="830" w:type="dxa"/>
          </w:tcPr>
          <w:p w14:paraId="000001AE"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AF"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I was confident in contributing to my group’s discussion and activities.</w:t>
            </w:r>
          </w:p>
        </w:tc>
        <w:tc>
          <w:tcPr>
            <w:tcW w:w="753" w:type="dxa"/>
          </w:tcPr>
          <w:p w14:paraId="000001B0" w14:textId="77777777" w:rsidR="00BA47B2" w:rsidRPr="00F3096A" w:rsidRDefault="00BA47B2" w:rsidP="00026FD8">
            <w:pPr>
              <w:jc w:val="both"/>
              <w:rPr>
                <w:rFonts w:ascii="Arial" w:eastAsia="Times New Roman" w:hAnsi="Arial" w:cs="Arial"/>
                <w:b/>
                <w:sz w:val="20"/>
                <w:szCs w:val="20"/>
              </w:rPr>
            </w:pPr>
          </w:p>
        </w:tc>
        <w:tc>
          <w:tcPr>
            <w:tcW w:w="607" w:type="dxa"/>
          </w:tcPr>
          <w:p w14:paraId="000001B1" w14:textId="77777777" w:rsidR="00BA47B2" w:rsidRPr="00F3096A" w:rsidRDefault="00BA47B2" w:rsidP="00026FD8">
            <w:pPr>
              <w:jc w:val="both"/>
              <w:rPr>
                <w:rFonts w:ascii="Arial" w:eastAsia="Times New Roman" w:hAnsi="Arial" w:cs="Arial"/>
                <w:b/>
                <w:sz w:val="20"/>
                <w:szCs w:val="20"/>
              </w:rPr>
            </w:pPr>
          </w:p>
        </w:tc>
        <w:tc>
          <w:tcPr>
            <w:tcW w:w="678" w:type="dxa"/>
          </w:tcPr>
          <w:p w14:paraId="000001B2" w14:textId="77777777" w:rsidR="00BA47B2" w:rsidRPr="00F3096A" w:rsidRDefault="00BA47B2" w:rsidP="00026FD8">
            <w:pPr>
              <w:jc w:val="both"/>
              <w:rPr>
                <w:rFonts w:ascii="Arial" w:eastAsia="Times New Roman" w:hAnsi="Arial" w:cs="Arial"/>
                <w:b/>
                <w:sz w:val="20"/>
                <w:szCs w:val="20"/>
              </w:rPr>
            </w:pPr>
          </w:p>
        </w:tc>
        <w:tc>
          <w:tcPr>
            <w:tcW w:w="678" w:type="dxa"/>
          </w:tcPr>
          <w:p w14:paraId="000001B3" w14:textId="77777777" w:rsidR="00BA47B2" w:rsidRPr="00F3096A" w:rsidRDefault="00BA47B2" w:rsidP="00026FD8">
            <w:pPr>
              <w:jc w:val="both"/>
              <w:rPr>
                <w:rFonts w:ascii="Arial" w:eastAsia="Times New Roman" w:hAnsi="Arial" w:cs="Arial"/>
                <w:b/>
                <w:sz w:val="20"/>
                <w:szCs w:val="20"/>
              </w:rPr>
            </w:pPr>
          </w:p>
        </w:tc>
        <w:tc>
          <w:tcPr>
            <w:tcW w:w="577" w:type="dxa"/>
          </w:tcPr>
          <w:p w14:paraId="000001B4" w14:textId="77777777" w:rsidR="00BA47B2" w:rsidRPr="00F3096A" w:rsidRDefault="00BA47B2" w:rsidP="00026FD8">
            <w:pPr>
              <w:jc w:val="both"/>
              <w:rPr>
                <w:rFonts w:ascii="Arial" w:eastAsia="Times New Roman" w:hAnsi="Arial" w:cs="Arial"/>
                <w:b/>
                <w:sz w:val="20"/>
                <w:szCs w:val="20"/>
              </w:rPr>
            </w:pPr>
          </w:p>
        </w:tc>
      </w:tr>
      <w:tr w:rsidR="00BA47B2" w:rsidRPr="00F3096A" w14:paraId="470FF220" w14:textId="77777777">
        <w:trPr>
          <w:trHeight w:val="938"/>
        </w:trPr>
        <w:tc>
          <w:tcPr>
            <w:tcW w:w="830" w:type="dxa"/>
          </w:tcPr>
          <w:p w14:paraId="000001B5"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B6"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Group activities made it easier to remember the content about chemical digestion.</w:t>
            </w:r>
          </w:p>
        </w:tc>
        <w:tc>
          <w:tcPr>
            <w:tcW w:w="753" w:type="dxa"/>
          </w:tcPr>
          <w:p w14:paraId="000001B7" w14:textId="77777777" w:rsidR="00BA47B2" w:rsidRPr="00F3096A" w:rsidRDefault="00BA47B2" w:rsidP="00026FD8">
            <w:pPr>
              <w:jc w:val="both"/>
              <w:rPr>
                <w:rFonts w:ascii="Arial" w:eastAsia="Times New Roman" w:hAnsi="Arial" w:cs="Arial"/>
                <w:b/>
                <w:sz w:val="20"/>
                <w:szCs w:val="20"/>
              </w:rPr>
            </w:pPr>
          </w:p>
        </w:tc>
        <w:tc>
          <w:tcPr>
            <w:tcW w:w="607" w:type="dxa"/>
          </w:tcPr>
          <w:p w14:paraId="000001B8" w14:textId="77777777" w:rsidR="00BA47B2" w:rsidRPr="00F3096A" w:rsidRDefault="00BA47B2" w:rsidP="00026FD8">
            <w:pPr>
              <w:jc w:val="both"/>
              <w:rPr>
                <w:rFonts w:ascii="Arial" w:eastAsia="Times New Roman" w:hAnsi="Arial" w:cs="Arial"/>
                <w:b/>
                <w:sz w:val="20"/>
                <w:szCs w:val="20"/>
              </w:rPr>
            </w:pPr>
          </w:p>
        </w:tc>
        <w:tc>
          <w:tcPr>
            <w:tcW w:w="678" w:type="dxa"/>
          </w:tcPr>
          <w:p w14:paraId="000001B9" w14:textId="77777777" w:rsidR="00BA47B2" w:rsidRPr="00F3096A" w:rsidRDefault="00BA47B2" w:rsidP="00026FD8">
            <w:pPr>
              <w:jc w:val="both"/>
              <w:rPr>
                <w:rFonts w:ascii="Arial" w:eastAsia="Times New Roman" w:hAnsi="Arial" w:cs="Arial"/>
                <w:b/>
                <w:sz w:val="20"/>
                <w:szCs w:val="20"/>
              </w:rPr>
            </w:pPr>
          </w:p>
        </w:tc>
        <w:tc>
          <w:tcPr>
            <w:tcW w:w="678" w:type="dxa"/>
          </w:tcPr>
          <w:p w14:paraId="000001BA" w14:textId="77777777" w:rsidR="00BA47B2" w:rsidRPr="00F3096A" w:rsidRDefault="00BA47B2" w:rsidP="00026FD8">
            <w:pPr>
              <w:jc w:val="both"/>
              <w:rPr>
                <w:rFonts w:ascii="Arial" w:eastAsia="Times New Roman" w:hAnsi="Arial" w:cs="Arial"/>
                <w:b/>
                <w:sz w:val="20"/>
                <w:szCs w:val="20"/>
              </w:rPr>
            </w:pPr>
          </w:p>
        </w:tc>
        <w:tc>
          <w:tcPr>
            <w:tcW w:w="577" w:type="dxa"/>
          </w:tcPr>
          <w:p w14:paraId="000001BB" w14:textId="77777777" w:rsidR="00BA47B2" w:rsidRPr="00F3096A" w:rsidRDefault="00BA47B2" w:rsidP="00026FD8">
            <w:pPr>
              <w:jc w:val="both"/>
              <w:rPr>
                <w:rFonts w:ascii="Arial" w:eastAsia="Times New Roman" w:hAnsi="Arial" w:cs="Arial"/>
                <w:b/>
                <w:sz w:val="20"/>
                <w:szCs w:val="20"/>
              </w:rPr>
            </w:pPr>
          </w:p>
        </w:tc>
      </w:tr>
      <w:tr w:rsidR="00BA47B2" w:rsidRPr="00F3096A" w14:paraId="49C8850C" w14:textId="77777777">
        <w:trPr>
          <w:trHeight w:val="956"/>
        </w:trPr>
        <w:tc>
          <w:tcPr>
            <w:tcW w:w="830" w:type="dxa"/>
          </w:tcPr>
          <w:p w14:paraId="000001BC" w14:textId="77777777" w:rsidR="00BA47B2" w:rsidRPr="00F3096A" w:rsidRDefault="00BA47B2" w:rsidP="00026FD8">
            <w:pPr>
              <w:numPr>
                <w:ilvl w:val="0"/>
                <w:numId w:val="15"/>
              </w:numPr>
              <w:pBdr>
                <w:top w:val="nil"/>
                <w:left w:val="nil"/>
                <w:bottom w:val="nil"/>
                <w:right w:val="nil"/>
                <w:between w:val="nil"/>
              </w:pBdr>
              <w:spacing w:after="160"/>
              <w:jc w:val="both"/>
              <w:rPr>
                <w:rFonts w:ascii="Arial" w:eastAsia="Times New Roman" w:hAnsi="Arial" w:cs="Arial"/>
                <w:b/>
                <w:color w:val="000000"/>
                <w:sz w:val="20"/>
                <w:szCs w:val="20"/>
              </w:rPr>
            </w:pPr>
          </w:p>
        </w:tc>
        <w:tc>
          <w:tcPr>
            <w:tcW w:w="5958" w:type="dxa"/>
          </w:tcPr>
          <w:p w14:paraId="000001BD" w14:textId="77777777" w:rsidR="00BA47B2" w:rsidRPr="00F3096A" w:rsidRDefault="008306D2" w:rsidP="00026FD8">
            <w:pPr>
              <w:rPr>
                <w:rFonts w:ascii="Arial" w:eastAsia="Times New Roman" w:hAnsi="Arial" w:cs="Arial"/>
                <w:sz w:val="20"/>
                <w:szCs w:val="20"/>
              </w:rPr>
            </w:pPr>
            <w:r w:rsidRPr="00F3096A">
              <w:rPr>
                <w:rFonts w:ascii="Arial" w:eastAsia="Times New Roman" w:hAnsi="Arial" w:cs="Arial"/>
                <w:sz w:val="20"/>
                <w:szCs w:val="20"/>
              </w:rPr>
              <w:t>I prefer learning through group activities compared to individual worksheets or lectures.</w:t>
            </w:r>
          </w:p>
        </w:tc>
        <w:tc>
          <w:tcPr>
            <w:tcW w:w="753" w:type="dxa"/>
          </w:tcPr>
          <w:p w14:paraId="000001BE" w14:textId="77777777" w:rsidR="00BA47B2" w:rsidRPr="00F3096A" w:rsidRDefault="00BA47B2" w:rsidP="00026FD8">
            <w:pPr>
              <w:jc w:val="both"/>
              <w:rPr>
                <w:rFonts w:ascii="Arial" w:eastAsia="Times New Roman" w:hAnsi="Arial" w:cs="Arial"/>
                <w:b/>
                <w:sz w:val="20"/>
                <w:szCs w:val="20"/>
              </w:rPr>
            </w:pPr>
          </w:p>
        </w:tc>
        <w:tc>
          <w:tcPr>
            <w:tcW w:w="607" w:type="dxa"/>
          </w:tcPr>
          <w:p w14:paraId="000001BF" w14:textId="77777777" w:rsidR="00BA47B2" w:rsidRPr="00F3096A" w:rsidRDefault="00BA47B2" w:rsidP="00026FD8">
            <w:pPr>
              <w:jc w:val="both"/>
              <w:rPr>
                <w:rFonts w:ascii="Arial" w:eastAsia="Times New Roman" w:hAnsi="Arial" w:cs="Arial"/>
                <w:b/>
                <w:sz w:val="20"/>
                <w:szCs w:val="20"/>
              </w:rPr>
            </w:pPr>
          </w:p>
        </w:tc>
        <w:tc>
          <w:tcPr>
            <w:tcW w:w="678" w:type="dxa"/>
          </w:tcPr>
          <w:p w14:paraId="000001C0" w14:textId="77777777" w:rsidR="00BA47B2" w:rsidRPr="00F3096A" w:rsidRDefault="00BA47B2" w:rsidP="00026FD8">
            <w:pPr>
              <w:jc w:val="both"/>
              <w:rPr>
                <w:rFonts w:ascii="Arial" w:eastAsia="Times New Roman" w:hAnsi="Arial" w:cs="Arial"/>
                <w:b/>
                <w:sz w:val="20"/>
                <w:szCs w:val="20"/>
              </w:rPr>
            </w:pPr>
          </w:p>
        </w:tc>
        <w:tc>
          <w:tcPr>
            <w:tcW w:w="678" w:type="dxa"/>
          </w:tcPr>
          <w:p w14:paraId="000001C1" w14:textId="77777777" w:rsidR="00BA47B2" w:rsidRPr="00F3096A" w:rsidRDefault="00BA47B2" w:rsidP="00026FD8">
            <w:pPr>
              <w:jc w:val="both"/>
              <w:rPr>
                <w:rFonts w:ascii="Arial" w:eastAsia="Times New Roman" w:hAnsi="Arial" w:cs="Arial"/>
                <w:b/>
                <w:sz w:val="20"/>
                <w:szCs w:val="20"/>
              </w:rPr>
            </w:pPr>
          </w:p>
        </w:tc>
        <w:tc>
          <w:tcPr>
            <w:tcW w:w="577" w:type="dxa"/>
          </w:tcPr>
          <w:p w14:paraId="000001C2" w14:textId="77777777" w:rsidR="00BA47B2" w:rsidRPr="00F3096A" w:rsidRDefault="00BA47B2" w:rsidP="00026FD8">
            <w:pPr>
              <w:jc w:val="both"/>
              <w:rPr>
                <w:rFonts w:ascii="Arial" w:eastAsia="Times New Roman" w:hAnsi="Arial" w:cs="Arial"/>
                <w:b/>
                <w:sz w:val="20"/>
                <w:szCs w:val="20"/>
              </w:rPr>
            </w:pPr>
          </w:p>
        </w:tc>
      </w:tr>
    </w:tbl>
    <w:p w14:paraId="000001C3" w14:textId="77777777" w:rsidR="00BA47B2" w:rsidRPr="00F3096A" w:rsidRDefault="00BA47B2" w:rsidP="00026FD8">
      <w:pPr>
        <w:pBdr>
          <w:top w:val="nil"/>
          <w:left w:val="nil"/>
          <w:bottom w:val="nil"/>
          <w:right w:val="nil"/>
          <w:between w:val="nil"/>
        </w:pBdr>
        <w:spacing w:after="0" w:line="240" w:lineRule="auto"/>
        <w:ind w:left="720" w:hanging="720"/>
        <w:rPr>
          <w:rFonts w:ascii="Arial" w:eastAsia="Times New Roman" w:hAnsi="Arial" w:cs="Arial"/>
          <w:b/>
          <w:color w:val="000000"/>
          <w:sz w:val="20"/>
          <w:szCs w:val="20"/>
        </w:rPr>
      </w:pPr>
    </w:p>
    <w:p w14:paraId="000001C4" w14:textId="77777777" w:rsidR="00BA47B2" w:rsidRPr="00F3096A" w:rsidRDefault="008306D2" w:rsidP="00026FD8">
      <w:pPr>
        <w:spacing w:line="240" w:lineRule="auto"/>
        <w:rPr>
          <w:rFonts w:ascii="Arial" w:eastAsia="Times New Roman" w:hAnsi="Arial" w:cs="Arial"/>
          <w:b/>
          <w:sz w:val="20"/>
          <w:szCs w:val="20"/>
        </w:rPr>
      </w:pPr>
      <w:r w:rsidRPr="00F3096A">
        <w:rPr>
          <w:rFonts w:ascii="Arial" w:hAnsi="Arial" w:cs="Arial"/>
          <w:sz w:val="20"/>
          <w:szCs w:val="20"/>
        </w:rPr>
        <w:br w:type="page"/>
      </w:r>
    </w:p>
    <w:sectPr w:rsidR="00BA47B2" w:rsidRPr="00F3096A" w:rsidSect="00026FD8">
      <w:type w:val="continuous"/>
      <w:pgSz w:w="12240" w:h="15840"/>
      <w:pgMar w:top="1080" w:right="734" w:bottom="1080" w:left="734" w:header="720" w:footer="720"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A5CD0" w14:textId="77777777" w:rsidR="00271346" w:rsidRDefault="00271346">
      <w:pPr>
        <w:spacing w:after="0" w:line="240" w:lineRule="auto"/>
      </w:pPr>
      <w:r>
        <w:separator/>
      </w:r>
    </w:p>
  </w:endnote>
  <w:endnote w:type="continuationSeparator" w:id="0">
    <w:p w14:paraId="54EFCFD4" w14:textId="77777777" w:rsidR="00271346" w:rsidRDefault="00271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CAA31FE-E256-42F3-8A50-4E03B9E4BB08}"/>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310532B3-89F9-4E25-94B3-F074CD3B619D}"/>
    <w:embedBold r:id="rId3" w:fontKey="{1C722514-697C-4B61-9E7C-B7CAAE35385D}"/>
    <w:embedItalic r:id="rId4" w:fontKey="{9D2699F3-720D-4803-AC7B-4ADF11692626}"/>
  </w:font>
  <w:font w:name="Calibri Light">
    <w:panose1 w:val="020F0302020204030204"/>
    <w:charset w:val="00"/>
    <w:family w:val="swiss"/>
    <w:pitch w:val="variable"/>
    <w:sig w:usb0="E4002EFF" w:usb1="C000247B" w:usb2="00000009" w:usb3="00000000" w:csb0="000001FF" w:csb1="00000000"/>
    <w:embedRegular r:id="rId5" w:fontKey="{9EA98DA2-FF6C-4D67-802B-D15427770860}"/>
  </w:font>
  <w:font w:name="Arial MT">
    <w:altName w:val="Arial"/>
    <w:panose1 w:val="00000000000000000000"/>
    <w:charset w:val="00"/>
    <w:family w:val="roman"/>
    <w:notTrueType/>
    <w:pitch w:val="default"/>
  </w:font>
  <w:font w:name="Arial Bold">
    <w:panose1 w:val="020B07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39F77" w14:textId="77777777" w:rsidR="000D51C7" w:rsidRDefault="000D5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E0" w14:textId="3C36A024" w:rsidR="00BA47B2" w:rsidRDefault="008306D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14783">
      <w:rPr>
        <w:noProof/>
        <w:color w:val="000000"/>
      </w:rPr>
      <w:t>1</w:t>
    </w:r>
    <w:r>
      <w:rPr>
        <w:color w:val="000000"/>
      </w:rPr>
      <w:fldChar w:fldCharType="end"/>
    </w:r>
  </w:p>
  <w:p w14:paraId="000001E1" w14:textId="77777777" w:rsidR="00BA47B2" w:rsidRDefault="00BA47B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634FF" w14:textId="77777777" w:rsidR="000D51C7" w:rsidRDefault="000D5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8B2D3" w14:textId="77777777" w:rsidR="00271346" w:rsidRDefault="00271346">
      <w:pPr>
        <w:spacing w:after="0" w:line="240" w:lineRule="auto"/>
      </w:pPr>
      <w:r>
        <w:separator/>
      </w:r>
    </w:p>
  </w:footnote>
  <w:footnote w:type="continuationSeparator" w:id="0">
    <w:p w14:paraId="05D787A5" w14:textId="77777777" w:rsidR="00271346" w:rsidRDefault="00271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BA108" w14:textId="796E2AD4" w:rsidR="000D51C7" w:rsidRDefault="00271346">
    <w:pPr>
      <w:pStyle w:val="Header"/>
    </w:pPr>
    <w:r>
      <w:rPr>
        <w:noProof/>
      </w:rPr>
      <w:pict w14:anchorId="7883F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81797" o:spid="_x0000_s2050" type="#_x0000_t136" style="position:absolute;margin-left:0;margin-top:0;width:622.3pt;height:116.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392A" w14:textId="07C87CC7" w:rsidR="000D51C7" w:rsidRDefault="00271346">
    <w:pPr>
      <w:pStyle w:val="Header"/>
    </w:pPr>
    <w:r>
      <w:rPr>
        <w:noProof/>
      </w:rPr>
      <w:pict w14:anchorId="2E477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81798" o:spid="_x0000_s2051" type="#_x0000_t136" style="position:absolute;margin-left:0;margin-top:0;width:622.3pt;height:116.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87912" w14:textId="35BBBD1A" w:rsidR="000D51C7" w:rsidRDefault="00271346">
    <w:pPr>
      <w:pStyle w:val="Header"/>
    </w:pPr>
    <w:r>
      <w:rPr>
        <w:noProof/>
      </w:rPr>
      <w:pict w14:anchorId="4690A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81796" o:spid="_x0000_s2049" type="#_x0000_t136" style="position:absolute;margin-left:0;margin-top:0;width:622.3pt;height:116.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43F0"/>
    <w:multiLevelType w:val="multilevel"/>
    <w:tmpl w:val="0660D9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33D18"/>
    <w:multiLevelType w:val="multilevel"/>
    <w:tmpl w:val="DF0443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9F5257"/>
    <w:multiLevelType w:val="multilevel"/>
    <w:tmpl w:val="1A48BD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35212B"/>
    <w:multiLevelType w:val="hybridMultilevel"/>
    <w:tmpl w:val="53EAD336"/>
    <w:lvl w:ilvl="0" w:tplc="6CCC62C4">
      <w:start w:val="1"/>
      <w:numFmt w:val="decimal"/>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4" w15:restartNumberingAfterBreak="0">
    <w:nsid w:val="2D3F1326"/>
    <w:multiLevelType w:val="multilevel"/>
    <w:tmpl w:val="B080976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A11C98"/>
    <w:multiLevelType w:val="multilevel"/>
    <w:tmpl w:val="48B25D2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2A0F20"/>
    <w:multiLevelType w:val="multilevel"/>
    <w:tmpl w:val="F5066FE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304EB1"/>
    <w:multiLevelType w:val="multilevel"/>
    <w:tmpl w:val="2E62F53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402FBB"/>
    <w:multiLevelType w:val="multilevel"/>
    <w:tmpl w:val="C8E69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C00756"/>
    <w:multiLevelType w:val="multilevel"/>
    <w:tmpl w:val="33E68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B86F20"/>
    <w:multiLevelType w:val="multilevel"/>
    <w:tmpl w:val="BE58D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5E6701"/>
    <w:multiLevelType w:val="multilevel"/>
    <w:tmpl w:val="CE00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717026D"/>
    <w:multiLevelType w:val="hybridMultilevel"/>
    <w:tmpl w:val="9DDA2FC4"/>
    <w:lvl w:ilvl="0" w:tplc="4CC0B510">
      <w:start w:val="1"/>
      <w:numFmt w:val="decimal"/>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13" w15:restartNumberingAfterBreak="0">
    <w:nsid w:val="48466B18"/>
    <w:multiLevelType w:val="multilevel"/>
    <w:tmpl w:val="92648B8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53017B"/>
    <w:multiLevelType w:val="multilevel"/>
    <w:tmpl w:val="8FBCB28A"/>
    <w:lvl w:ilvl="0">
      <w:start w:val="1"/>
      <w:numFmt w:val="bullet"/>
      <w:lvlText w:val=""/>
      <w:lvlJc w:val="left"/>
      <w:pPr>
        <w:ind w:left="720" w:hanging="360"/>
      </w:pPr>
      <w:rPr>
        <w:rFonts w:ascii="Wingdings" w:hAnsi="Wingdings" w:hint="default"/>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C5F1C7E"/>
    <w:multiLevelType w:val="multilevel"/>
    <w:tmpl w:val="A42CCD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331705"/>
    <w:multiLevelType w:val="multilevel"/>
    <w:tmpl w:val="BCB4ED1C"/>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CE605E"/>
    <w:multiLevelType w:val="multilevel"/>
    <w:tmpl w:val="83AA8F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A27A6E"/>
    <w:multiLevelType w:val="multilevel"/>
    <w:tmpl w:val="624697E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D81A3C"/>
    <w:multiLevelType w:val="multilevel"/>
    <w:tmpl w:val="2E167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3F5629"/>
    <w:multiLevelType w:val="multilevel"/>
    <w:tmpl w:val="6688FE38"/>
    <w:lvl w:ilvl="0">
      <w:start w:val="2"/>
      <w:numFmt w:val="decimal"/>
      <w:lvlText w:val="%1."/>
      <w:lvlJc w:val="left"/>
      <w:pPr>
        <w:ind w:left="720" w:hanging="360"/>
      </w:pPr>
      <w:rPr>
        <w:b/>
      </w:r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58C9516C"/>
    <w:multiLevelType w:val="multilevel"/>
    <w:tmpl w:val="AA6A420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C712A71"/>
    <w:multiLevelType w:val="multilevel"/>
    <w:tmpl w:val="B9A0B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4F26B2"/>
    <w:multiLevelType w:val="multilevel"/>
    <w:tmpl w:val="4FCE2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915819"/>
    <w:multiLevelType w:val="hybridMultilevel"/>
    <w:tmpl w:val="F2241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F638D2"/>
    <w:multiLevelType w:val="multilevel"/>
    <w:tmpl w:val="34F892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E7108F6"/>
    <w:multiLevelType w:val="multilevel"/>
    <w:tmpl w:val="0024AC8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5"/>
  </w:num>
  <w:num w:numId="3">
    <w:abstractNumId w:val="10"/>
  </w:num>
  <w:num w:numId="4">
    <w:abstractNumId w:val="15"/>
  </w:num>
  <w:num w:numId="5">
    <w:abstractNumId w:val="6"/>
  </w:num>
  <w:num w:numId="6">
    <w:abstractNumId w:val="25"/>
  </w:num>
  <w:num w:numId="7">
    <w:abstractNumId w:val="8"/>
  </w:num>
  <w:num w:numId="8">
    <w:abstractNumId w:val="18"/>
  </w:num>
  <w:num w:numId="9">
    <w:abstractNumId w:val="16"/>
  </w:num>
  <w:num w:numId="10">
    <w:abstractNumId w:val="17"/>
  </w:num>
  <w:num w:numId="11">
    <w:abstractNumId w:val="4"/>
  </w:num>
  <w:num w:numId="12">
    <w:abstractNumId w:val="19"/>
  </w:num>
  <w:num w:numId="13">
    <w:abstractNumId w:val="22"/>
  </w:num>
  <w:num w:numId="14">
    <w:abstractNumId w:val="23"/>
  </w:num>
  <w:num w:numId="15">
    <w:abstractNumId w:val="0"/>
  </w:num>
  <w:num w:numId="16">
    <w:abstractNumId w:val="20"/>
  </w:num>
  <w:num w:numId="17">
    <w:abstractNumId w:val="13"/>
  </w:num>
  <w:num w:numId="18">
    <w:abstractNumId w:val="11"/>
  </w:num>
  <w:num w:numId="19">
    <w:abstractNumId w:val="26"/>
  </w:num>
  <w:num w:numId="20">
    <w:abstractNumId w:val="21"/>
  </w:num>
  <w:num w:numId="21">
    <w:abstractNumId w:val="9"/>
  </w:num>
  <w:num w:numId="22">
    <w:abstractNumId w:val="1"/>
  </w:num>
  <w:num w:numId="23">
    <w:abstractNumId w:val="7"/>
  </w:num>
  <w:num w:numId="24">
    <w:abstractNumId w:val="2"/>
  </w:num>
  <w:num w:numId="25">
    <w:abstractNumId w:val="3"/>
  </w:num>
  <w:num w:numId="26">
    <w:abstractNumId w:val="1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B2"/>
    <w:rsid w:val="00026FD8"/>
    <w:rsid w:val="00045D75"/>
    <w:rsid w:val="0006068B"/>
    <w:rsid w:val="000C0969"/>
    <w:rsid w:val="000D4DCC"/>
    <w:rsid w:val="000D51C7"/>
    <w:rsid w:val="000F4B20"/>
    <w:rsid w:val="001502D1"/>
    <w:rsid w:val="00162202"/>
    <w:rsid w:val="00163B0F"/>
    <w:rsid w:val="001650F3"/>
    <w:rsid w:val="00175C7A"/>
    <w:rsid w:val="0018114E"/>
    <w:rsid w:val="00194D72"/>
    <w:rsid w:val="001A0016"/>
    <w:rsid w:val="001A56CA"/>
    <w:rsid w:val="001B7A16"/>
    <w:rsid w:val="001C1D98"/>
    <w:rsid w:val="001C472B"/>
    <w:rsid w:val="001E7739"/>
    <w:rsid w:val="001F247B"/>
    <w:rsid w:val="00207CEE"/>
    <w:rsid w:val="00214783"/>
    <w:rsid w:val="002329AF"/>
    <w:rsid w:val="00271346"/>
    <w:rsid w:val="002947D0"/>
    <w:rsid w:val="002B6E11"/>
    <w:rsid w:val="002E67F1"/>
    <w:rsid w:val="002E7128"/>
    <w:rsid w:val="002F4566"/>
    <w:rsid w:val="002F537B"/>
    <w:rsid w:val="00316097"/>
    <w:rsid w:val="00322679"/>
    <w:rsid w:val="00332842"/>
    <w:rsid w:val="00336364"/>
    <w:rsid w:val="0034313F"/>
    <w:rsid w:val="003723AC"/>
    <w:rsid w:val="003C33C5"/>
    <w:rsid w:val="00402613"/>
    <w:rsid w:val="00405D3F"/>
    <w:rsid w:val="0041057A"/>
    <w:rsid w:val="0043777E"/>
    <w:rsid w:val="0048180E"/>
    <w:rsid w:val="004C0E19"/>
    <w:rsid w:val="004E1B40"/>
    <w:rsid w:val="004F61B6"/>
    <w:rsid w:val="004F75BA"/>
    <w:rsid w:val="00537A4A"/>
    <w:rsid w:val="00545FC9"/>
    <w:rsid w:val="005522F2"/>
    <w:rsid w:val="00575B54"/>
    <w:rsid w:val="005774D0"/>
    <w:rsid w:val="0058144E"/>
    <w:rsid w:val="005904F9"/>
    <w:rsid w:val="005974F9"/>
    <w:rsid w:val="005B71A9"/>
    <w:rsid w:val="005D74E8"/>
    <w:rsid w:val="005F7E40"/>
    <w:rsid w:val="006331A4"/>
    <w:rsid w:val="0063604C"/>
    <w:rsid w:val="006416C3"/>
    <w:rsid w:val="00660426"/>
    <w:rsid w:val="00667394"/>
    <w:rsid w:val="006C1859"/>
    <w:rsid w:val="00704DFF"/>
    <w:rsid w:val="00733F89"/>
    <w:rsid w:val="00742AD3"/>
    <w:rsid w:val="007726C3"/>
    <w:rsid w:val="007C29B7"/>
    <w:rsid w:val="0081468F"/>
    <w:rsid w:val="00816AA7"/>
    <w:rsid w:val="008306D2"/>
    <w:rsid w:val="008648B8"/>
    <w:rsid w:val="00872770"/>
    <w:rsid w:val="00881E41"/>
    <w:rsid w:val="00883D5B"/>
    <w:rsid w:val="008938D1"/>
    <w:rsid w:val="00894639"/>
    <w:rsid w:val="009067A7"/>
    <w:rsid w:val="00912C2B"/>
    <w:rsid w:val="009221B6"/>
    <w:rsid w:val="00934AA9"/>
    <w:rsid w:val="00964D72"/>
    <w:rsid w:val="00970A21"/>
    <w:rsid w:val="00A06C53"/>
    <w:rsid w:val="00A4580D"/>
    <w:rsid w:val="00A53094"/>
    <w:rsid w:val="00AA003C"/>
    <w:rsid w:val="00AB4C27"/>
    <w:rsid w:val="00AC7C8D"/>
    <w:rsid w:val="00B26270"/>
    <w:rsid w:val="00B33328"/>
    <w:rsid w:val="00B617F5"/>
    <w:rsid w:val="00BA47B2"/>
    <w:rsid w:val="00BD14D4"/>
    <w:rsid w:val="00BF1E3E"/>
    <w:rsid w:val="00BF5ABD"/>
    <w:rsid w:val="00C0118D"/>
    <w:rsid w:val="00C05D40"/>
    <w:rsid w:val="00C20B4D"/>
    <w:rsid w:val="00C215BE"/>
    <w:rsid w:val="00C63C27"/>
    <w:rsid w:val="00C82D01"/>
    <w:rsid w:val="00CA2831"/>
    <w:rsid w:val="00CA4E5D"/>
    <w:rsid w:val="00CF41CF"/>
    <w:rsid w:val="00D059C8"/>
    <w:rsid w:val="00D2360B"/>
    <w:rsid w:val="00D561D0"/>
    <w:rsid w:val="00D77116"/>
    <w:rsid w:val="00D862A7"/>
    <w:rsid w:val="00DA00A3"/>
    <w:rsid w:val="00DC4817"/>
    <w:rsid w:val="00DD3A11"/>
    <w:rsid w:val="00DE6096"/>
    <w:rsid w:val="00E026AE"/>
    <w:rsid w:val="00E24DA6"/>
    <w:rsid w:val="00E31C62"/>
    <w:rsid w:val="00E35917"/>
    <w:rsid w:val="00E55723"/>
    <w:rsid w:val="00E81BA0"/>
    <w:rsid w:val="00E9590B"/>
    <w:rsid w:val="00EF1E42"/>
    <w:rsid w:val="00F21A50"/>
    <w:rsid w:val="00F3096A"/>
    <w:rsid w:val="00F70B59"/>
    <w:rsid w:val="00F757A3"/>
    <w:rsid w:val="00F83A45"/>
    <w:rsid w:val="00F97A36"/>
    <w:rsid w:val="00FA4A5D"/>
    <w:rsid w:val="00FE4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92A1F2"/>
  <w15:docId w15:val="{8E0C5C2F-2061-438D-B58B-FE14DED2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0E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E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E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30E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30E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0E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0E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0E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0E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E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E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E43"/>
    <w:rPr>
      <w:rFonts w:eastAsiaTheme="majorEastAsia" w:cstheme="majorBidi"/>
      <w:color w:val="272727" w:themeColor="text1" w:themeTint="D8"/>
    </w:rPr>
  </w:style>
  <w:style w:type="character" w:customStyle="1" w:styleId="TitleChar">
    <w:name w:val="Title Char"/>
    <w:basedOn w:val="DefaultParagraphFont"/>
    <w:link w:val="Title"/>
    <w:uiPriority w:val="10"/>
    <w:rsid w:val="00330E4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30E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E43"/>
    <w:pPr>
      <w:spacing w:before="160"/>
      <w:jc w:val="center"/>
    </w:pPr>
    <w:rPr>
      <w:i/>
      <w:iCs/>
      <w:color w:val="404040" w:themeColor="text1" w:themeTint="BF"/>
    </w:rPr>
  </w:style>
  <w:style w:type="character" w:customStyle="1" w:styleId="QuoteChar">
    <w:name w:val="Quote Char"/>
    <w:basedOn w:val="DefaultParagraphFont"/>
    <w:link w:val="Quote"/>
    <w:uiPriority w:val="29"/>
    <w:rsid w:val="00330E43"/>
    <w:rPr>
      <w:i/>
      <w:iCs/>
      <w:color w:val="404040" w:themeColor="text1" w:themeTint="BF"/>
    </w:rPr>
  </w:style>
  <w:style w:type="paragraph" w:styleId="ListParagraph">
    <w:name w:val="List Paragraph"/>
    <w:basedOn w:val="Normal"/>
    <w:uiPriority w:val="34"/>
    <w:qFormat/>
    <w:rsid w:val="00330E43"/>
    <w:pPr>
      <w:ind w:left="720"/>
      <w:contextualSpacing/>
    </w:pPr>
  </w:style>
  <w:style w:type="character" w:styleId="IntenseEmphasis">
    <w:name w:val="Intense Emphasis"/>
    <w:basedOn w:val="DefaultParagraphFont"/>
    <w:uiPriority w:val="21"/>
    <w:qFormat/>
    <w:rsid w:val="00330E43"/>
    <w:rPr>
      <w:i/>
      <w:iCs/>
      <w:color w:val="2F5496" w:themeColor="accent1" w:themeShade="BF"/>
    </w:rPr>
  </w:style>
  <w:style w:type="paragraph" w:styleId="IntenseQuote">
    <w:name w:val="Intense Quote"/>
    <w:basedOn w:val="Normal"/>
    <w:next w:val="Normal"/>
    <w:link w:val="IntenseQuoteChar"/>
    <w:uiPriority w:val="30"/>
    <w:qFormat/>
    <w:rsid w:val="00330E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0E43"/>
    <w:rPr>
      <w:i/>
      <w:iCs/>
      <w:color w:val="2F5496" w:themeColor="accent1" w:themeShade="BF"/>
    </w:rPr>
  </w:style>
  <w:style w:type="character" w:styleId="IntenseReference">
    <w:name w:val="Intense Reference"/>
    <w:basedOn w:val="DefaultParagraphFont"/>
    <w:uiPriority w:val="32"/>
    <w:qFormat/>
    <w:rsid w:val="00330E43"/>
    <w:rPr>
      <w:b/>
      <w:bCs/>
      <w:smallCaps/>
      <w:color w:val="2F5496" w:themeColor="accent1" w:themeShade="BF"/>
      <w:spacing w:val="5"/>
    </w:rPr>
  </w:style>
  <w:style w:type="paragraph" w:styleId="NormalWeb">
    <w:name w:val="Normal (Web)"/>
    <w:basedOn w:val="Normal"/>
    <w:uiPriority w:val="99"/>
    <w:unhideWhenUsed/>
    <w:rsid w:val="00131DC9"/>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3664F"/>
    <w:rPr>
      <w:sz w:val="16"/>
      <w:szCs w:val="16"/>
    </w:rPr>
  </w:style>
  <w:style w:type="paragraph" w:styleId="CommentText">
    <w:name w:val="annotation text"/>
    <w:basedOn w:val="Normal"/>
    <w:link w:val="CommentTextChar"/>
    <w:uiPriority w:val="99"/>
    <w:semiHidden/>
    <w:unhideWhenUsed/>
    <w:rsid w:val="0043664F"/>
    <w:pPr>
      <w:spacing w:line="240" w:lineRule="auto"/>
    </w:pPr>
    <w:rPr>
      <w:sz w:val="20"/>
      <w:szCs w:val="20"/>
    </w:rPr>
  </w:style>
  <w:style w:type="character" w:customStyle="1" w:styleId="CommentTextChar">
    <w:name w:val="Comment Text Char"/>
    <w:basedOn w:val="DefaultParagraphFont"/>
    <w:link w:val="CommentText"/>
    <w:uiPriority w:val="99"/>
    <w:semiHidden/>
    <w:rsid w:val="0043664F"/>
    <w:rPr>
      <w:sz w:val="20"/>
      <w:szCs w:val="20"/>
    </w:rPr>
  </w:style>
  <w:style w:type="paragraph" w:styleId="CommentSubject">
    <w:name w:val="annotation subject"/>
    <w:basedOn w:val="CommentText"/>
    <w:next w:val="CommentText"/>
    <w:link w:val="CommentSubjectChar"/>
    <w:uiPriority w:val="99"/>
    <w:semiHidden/>
    <w:unhideWhenUsed/>
    <w:rsid w:val="0043664F"/>
    <w:rPr>
      <w:b/>
      <w:bCs/>
    </w:rPr>
  </w:style>
  <w:style w:type="character" w:customStyle="1" w:styleId="CommentSubjectChar">
    <w:name w:val="Comment Subject Char"/>
    <w:basedOn w:val="CommentTextChar"/>
    <w:link w:val="CommentSubject"/>
    <w:uiPriority w:val="99"/>
    <w:semiHidden/>
    <w:rsid w:val="0043664F"/>
    <w:rPr>
      <w:b/>
      <w:bCs/>
      <w:sz w:val="20"/>
      <w:szCs w:val="20"/>
    </w:rPr>
  </w:style>
  <w:style w:type="paragraph" w:styleId="Header">
    <w:name w:val="header"/>
    <w:basedOn w:val="Normal"/>
    <w:link w:val="HeaderChar"/>
    <w:uiPriority w:val="99"/>
    <w:unhideWhenUsed/>
    <w:rsid w:val="003A3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565"/>
  </w:style>
  <w:style w:type="paragraph" w:styleId="Footer">
    <w:name w:val="footer"/>
    <w:basedOn w:val="Normal"/>
    <w:link w:val="FooterChar"/>
    <w:uiPriority w:val="99"/>
    <w:unhideWhenUsed/>
    <w:rsid w:val="003A3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565"/>
  </w:style>
  <w:style w:type="character" w:styleId="Emphasis">
    <w:name w:val="Emphasis"/>
    <w:basedOn w:val="DefaultParagraphFont"/>
    <w:uiPriority w:val="20"/>
    <w:qFormat/>
    <w:rsid w:val="005C07F1"/>
    <w:rPr>
      <w:i/>
      <w:iCs/>
    </w:rPr>
  </w:style>
  <w:style w:type="character" w:styleId="Hyperlink">
    <w:name w:val="Hyperlink"/>
    <w:basedOn w:val="DefaultParagraphFont"/>
    <w:uiPriority w:val="99"/>
    <w:unhideWhenUsed/>
    <w:rsid w:val="00FE56B6"/>
    <w:rPr>
      <w:color w:val="0563C1" w:themeColor="hyperlink"/>
      <w:u w:val="single"/>
    </w:rPr>
  </w:style>
  <w:style w:type="character" w:styleId="UnresolvedMention">
    <w:name w:val="Unresolved Mention"/>
    <w:basedOn w:val="DefaultParagraphFont"/>
    <w:uiPriority w:val="99"/>
    <w:semiHidden/>
    <w:unhideWhenUsed/>
    <w:rsid w:val="00FE56B6"/>
    <w:rPr>
      <w:color w:val="605E5C"/>
      <w:shd w:val="clear" w:color="auto" w:fill="E1DFDD"/>
    </w:rPr>
  </w:style>
  <w:style w:type="table" w:styleId="TableGrid">
    <w:name w:val="Table Grid"/>
    <w:basedOn w:val="TableNormal"/>
    <w:uiPriority w:val="39"/>
    <w:rsid w:val="00442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422B4"/>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4422B4"/>
    <w:rPr>
      <w:rFonts w:ascii="Arial MT" w:eastAsia="Arial MT" w:hAnsi="Arial MT" w:cs="Arial MT"/>
      <w:kern w:val="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B262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cambridge.org/97811076/10316/frontmatter/9781107610316_frontmatter.pdf" TargetMode="External"/><Relationship Id="rId18" Type="http://schemas.openxmlformats.org/officeDocument/2006/relationships/hyperlink" Target="https://doi.org/10.1037/0022-3514.45.4.819" TargetMode="External"/><Relationship Id="rId26" Type="http://schemas.openxmlformats.org/officeDocument/2006/relationships/hyperlink" Target="https://doi.org/10.1080/00344087.2020.1769537" TargetMode="External"/><Relationship Id="rId39" Type="http://schemas.openxmlformats.org/officeDocument/2006/relationships/theme" Target="theme/theme1.xml"/><Relationship Id="rId21" Type="http://schemas.openxmlformats.org/officeDocument/2006/relationships/hyperlink" Target="https://doi.org/10.1002/j.2168-9830.2004.tb00809.x"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doi.org/10.1073/pnas.1319030111" TargetMode="External"/><Relationship Id="rId17" Type="http://schemas.openxmlformats.org/officeDocument/2006/relationships/hyperlink" Target="https://doi.org/10.3102/0013189X09339057" TargetMode="External"/><Relationship Id="rId25" Type="http://schemas.openxmlformats.org/officeDocument/2006/relationships/hyperlink" Target="https://doi.org/10.3102/00346543069001021"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mputerscijournal.org/pdf/vol7no3/vol7no3_401-405.pdf" TargetMode="External"/><Relationship Id="rId20" Type="http://schemas.openxmlformats.org/officeDocument/2006/relationships/hyperlink" Target="https://doi.org/10.1039/c4rp00256c" TargetMode="External"/><Relationship Id="rId29" Type="http://schemas.openxmlformats.org/officeDocument/2006/relationships/hyperlink" Target="https://home.fau.edu/musgrove/web/vygotsky197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177/1052562904263729" TargetMode="External"/><Relationship Id="rId24" Type="http://schemas.openxmlformats.org/officeDocument/2006/relationships/hyperlink" Target="https://doi.org/10.6018/analesps.30.3.201201"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doi.org/10.3200/JOEB.82.1.11-19" TargetMode="External"/><Relationship Id="rId23" Type="http://schemas.openxmlformats.org/officeDocument/2006/relationships/hyperlink" Target="https://doi.org/10.1037/0003-066X.55.1.68" TargetMode="External"/><Relationship Id="rId28" Type="http://schemas.openxmlformats.org/officeDocument/2006/relationships/hyperlink" Target="https://doi.org/10.1007/978-94-007-4192-8_1" TargetMode="External"/><Relationship Id="rId36" Type="http://schemas.openxmlformats.org/officeDocument/2006/relationships/header" Target="header3.xml"/><Relationship Id="rId10" Type="http://schemas.openxmlformats.org/officeDocument/2006/relationships/hyperlink" Target="https://doi.org/10.46328/ijemst.3216" TargetMode="External"/><Relationship Id="rId19" Type="http://schemas.openxmlformats.org/officeDocument/2006/relationships/hyperlink" Target="https://bjrd.rub.edu.bt/index.php/bjrd/article/download/90/38/94?utm_source=chatgpt.com" TargetMode="External"/><Relationship Id="rId31" Type="http://schemas.openxmlformats.org/officeDocument/2006/relationships/hyperlink" Target="https://www.frontiersin.org/articles/10.3389/feduc.2020.00115/full" TargetMode="External"/><Relationship Id="rId4" Type="http://schemas.openxmlformats.org/officeDocument/2006/relationships/styles" Target="styles.xml"/><Relationship Id="rId9" Type="http://schemas.openxmlformats.org/officeDocument/2006/relationships/hyperlink" Target="https://psycnet.apa.org/record/1984-21611-001?ref=socos.org" TargetMode="External"/><Relationship Id="rId14" Type="http://schemas.openxmlformats.org/officeDocument/2006/relationships/hyperlink" Target="https://doi.org/10.1177/1469787412467123" TargetMode="External"/><Relationship Id="rId22" Type="http://schemas.openxmlformats.org/officeDocument/2006/relationships/hyperlink" Target="https://doi.org/10.1016/j.compedu.2011.07.017" TargetMode="External"/><Relationship Id="rId27" Type="http://schemas.openxmlformats.org/officeDocument/2006/relationships/hyperlink" Target="https://doi.org/10.1187/cbe.08-09-0055" TargetMode="External"/><Relationship Id="rId30" Type="http://schemas.openxmlformats.org/officeDocument/2006/relationships/hyperlink" Target="https://doi.org/10.2307/40188668"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Q6X2sSxTtUvZhbLXN3yRAk4ug==">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</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1ED369-2D15-4E05-B4F1-030E28106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16</Pages>
  <Words>6487</Words>
  <Characters>36980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Ugyen Thinley</dc:creator>
  <cp:lastModifiedBy>Editor-1183</cp:lastModifiedBy>
  <cp:revision>97</cp:revision>
  <cp:lastPrinted>2025-11-11T14:43:00Z</cp:lastPrinted>
  <dcterms:created xsi:type="dcterms:W3CDTF">2025-10-26T09:05:00Z</dcterms:created>
  <dcterms:modified xsi:type="dcterms:W3CDTF">2025-12-01T08:13:00Z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e2df0050-7772-4c8d-aa25-bbed047905f8</vt:lpwstr>
  </property>
</Properties>
</file>