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DB375" w14:textId="20990A6F" w:rsidR="005B6D68" w:rsidRPr="006045A4" w:rsidRDefault="001728E5" w:rsidP="00213318">
      <w:pPr>
        <w:spacing w:after="0" w:line="240" w:lineRule="auto"/>
        <w:jc w:val="center"/>
        <w:rPr>
          <w:rFonts w:ascii="Times New Roman" w:hAnsi="Times New Roman" w:cs="Times New Roman"/>
          <w:b/>
          <w:bCs/>
          <w:sz w:val="36"/>
          <w:szCs w:val="32"/>
        </w:rPr>
      </w:pPr>
      <w:r w:rsidRPr="006045A4">
        <w:rPr>
          <w:rFonts w:ascii="Times New Roman" w:hAnsi="Times New Roman" w:cs="Times New Roman"/>
          <w:b/>
          <w:bCs/>
          <w:sz w:val="36"/>
          <w:szCs w:val="32"/>
        </w:rPr>
        <w:t>E</w:t>
      </w:r>
      <w:r w:rsidR="005B6D68" w:rsidRPr="006045A4">
        <w:rPr>
          <w:rFonts w:ascii="Times New Roman" w:hAnsi="Times New Roman" w:cs="Times New Roman"/>
          <w:b/>
          <w:bCs/>
          <w:sz w:val="36"/>
          <w:szCs w:val="32"/>
        </w:rPr>
        <w:t xml:space="preserve">motional </w:t>
      </w:r>
      <w:r w:rsidRPr="006045A4">
        <w:rPr>
          <w:rFonts w:ascii="Times New Roman" w:hAnsi="Times New Roman" w:cs="Times New Roman"/>
          <w:b/>
          <w:bCs/>
          <w:sz w:val="36"/>
          <w:szCs w:val="32"/>
        </w:rPr>
        <w:t>I</w:t>
      </w:r>
      <w:r w:rsidR="00887EEB" w:rsidRPr="006045A4">
        <w:rPr>
          <w:rFonts w:ascii="Times New Roman" w:hAnsi="Times New Roman" w:cs="Times New Roman"/>
          <w:b/>
          <w:bCs/>
          <w:sz w:val="36"/>
          <w:szCs w:val="32"/>
        </w:rPr>
        <w:t>ntelligence and</w:t>
      </w:r>
      <w:r w:rsidR="005B6D68" w:rsidRPr="006045A4">
        <w:rPr>
          <w:rFonts w:ascii="Times New Roman" w:hAnsi="Times New Roman" w:cs="Times New Roman"/>
          <w:b/>
          <w:bCs/>
          <w:sz w:val="36"/>
          <w:szCs w:val="32"/>
        </w:rPr>
        <w:t xml:space="preserve">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P</w:t>
      </w:r>
      <w:r w:rsidR="00887EEB" w:rsidRPr="006045A4">
        <w:rPr>
          <w:rFonts w:ascii="Times New Roman" w:hAnsi="Times New Roman" w:cs="Times New Roman"/>
          <w:b/>
          <w:bCs/>
          <w:sz w:val="36"/>
          <w:szCs w:val="32"/>
        </w:rPr>
        <w:t>erformance:</w:t>
      </w:r>
      <w:r w:rsidR="005B6D68" w:rsidRPr="006045A4">
        <w:rPr>
          <w:rFonts w:ascii="Times New Roman" w:hAnsi="Times New Roman" w:cs="Times New Roman"/>
          <w:b/>
          <w:bCs/>
          <w:sz w:val="36"/>
          <w:szCs w:val="32"/>
        </w:rPr>
        <w:t xml:space="preserve"> </w:t>
      </w:r>
      <w:r w:rsidR="00640FE4">
        <w:rPr>
          <w:rFonts w:ascii="Times New Roman" w:hAnsi="Times New Roman" w:cs="Times New Roman"/>
          <w:b/>
          <w:bCs/>
          <w:sz w:val="36"/>
          <w:szCs w:val="32"/>
        </w:rPr>
        <w:t>T</w:t>
      </w:r>
      <w:r w:rsidR="005B6D68" w:rsidRPr="006045A4">
        <w:rPr>
          <w:rFonts w:ascii="Times New Roman" w:hAnsi="Times New Roman" w:cs="Times New Roman"/>
          <w:b/>
          <w:bCs/>
          <w:sz w:val="36"/>
          <w:szCs w:val="32"/>
        </w:rPr>
        <w:t xml:space="preserve">he </w:t>
      </w:r>
      <w:r w:rsidRPr="006045A4">
        <w:rPr>
          <w:rFonts w:ascii="Times New Roman" w:hAnsi="Times New Roman" w:cs="Times New Roman"/>
          <w:b/>
          <w:bCs/>
          <w:sz w:val="36"/>
          <w:szCs w:val="32"/>
        </w:rPr>
        <w:t>M</w:t>
      </w:r>
      <w:r w:rsidR="005B6D68" w:rsidRPr="006045A4">
        <w:rPr>
          <w:rFonts w:ascii="Times New Roman" w:hAnsi="Times New Roman" w:cs="Times New Roman"/>
          <w:b/>
          <w:bCs/>
          <w:sz w:val="36"/>
          <w:szCs w:val="32"/>
        </w:rPr>
        <w:t xml:space="preserve">ediating </w:t>
      </w:r>
      <w:r w:rsidR="00F554EB" w:rsidRPr="006045A4">
        <w:rPr>
          <w:rFonts w:ascii="Times New Roman" w:hAnsi="Times New Roman" w:cs="Times New Roman"/>
          <w:b/>
          <w:bCs/>
          <w:sz w:val="36"/>
          <w:szCs w:val="32"/>
        </w:rPr>
        <w:t xml:space="preserve">Role </w:t>
      </w:r>
      <w:r w:rsidR="005B6D68" w:rsidRPr="006045A4">
        <w:rPr>
          <w:rFonts w:ascii="Times New Roman" w:hAnsi="Times New Roman" w:cs="Times New Roman"/>
          <w:b/>
          <w:bCs/>
          <w:sz w:val="36"/>
          <w:szCs w:val="32"/>
        </w:rPr>
        <w:t xml:space="preserve">of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E</w:t>
      </w:r>
      <w:r w:rsidR="00887EEB" w:rsidRPr="006045A4">
        <w:rPr>
          <w:rFonts w:ascii="Times New Roman" w:hAnsi="Times New Roman" w:cs="Times New Roman"/>
          <w:b/>
          <w:bCs/>
          <w:sz w:val="36"/>
          <w:szCs w:val="32"/>
        </w:rPr>
        <w:t>ngagement</w:t>
      </w:r>
    </w:p>
    <w:p w14:paraId="03842040" w14:textId="77777777" w:rsidR="008E1987" w:rsidRDefault="008E1987" w:rsidP="00BB1B86">
      <w:pPr>
        <w:spacing w:after="0" w:line="240" w:lineRule="auto"/>
        <w:jc w:val="center"/>
        <w:rPr>
          <w:rFonts w:ascii="Times New Roman" w:hAnsi="Times New Roman" w:cs="Times New Roman"/>
          <w:b/>
          <w:bCs/>
        </w:rPr>
      </w:pPr>
    </w:p>
    <w:p w14:paraId="0994EE26" w14:textId="77777777" w:rsidR="008E1987" w:rsidRDefault="008E1987" w:rsidP="008E1987">
      <w:pPr>
        <w:tabs>
          <w:tab w:val="left" w:pos="1332"/>
        </w:tabs>
        <w:suppressAutoHyphens/>
        <w:spacing w:after="0" w:line="240" w:lineRule="auto"/>
        <w:jc w:val="center"/>
        <w:rPr>
          <w:rFonts w:ascii="Times New Roman" w:eastAsia="Times New Roman" w:hAnsi="Times New Roman" w:cs="Times New Roman"/>
          <w:i/>
          <w:iCs/>
          <w:sz w:val="20"/>
          <w:szCs w:val="20"/>
          <w:lang w:eastAsia="ar-SA"/>
        </w:rPr>
      </w:pPr>
    </w:p>
    <w:p w14:paraId="2A6D5816" w14:textId="77777777" w:rsidR="008E1987" w:rsidRPr="00227927" w:rsidRDefault="008E1987" w:rsidP="00BB1B86">
      <w:pPr>
        <w:spacing w:after="0" w:line="240" w:lineRule="auto"/>
        <w:jc w:val="center"/>
        <w:rPr>
          <w:rFonts w:ascii="Times New Roman" w:hAnsi="Times New Roman" w:cs="Times New Roman"/>
          <w:b/>
          <w:bCs/>
        </w:rPr>
      </w:pPr>
    </w:p>
    <w:p w14:paraId="22BF253B" w14:textId="1A0F87EA" w:rsidR="00573FC4" w:rsidRPr="00227927" w:rsidRDefault="00520432" w:rsidP="00E13AEC">
      <w:pPr>
        <w:rPr>
          <w:rFonts w:ascii="Times New Roman" w:hAnsi="Times New Roman" w:cs="Times New Roman"/>
          <w:b/>
          <w:bCs/>
        </w:rPr>
      </w:pPr>
      <w:r w:rsidRPr="00227927">
        <w:rPr>
          <w:rFonts w:ascii="Times New Roman" w:hAnsi="Times New Roman" w:cs="Times New Roman"/>
          <w:b/>
          <w:bCs/>
        </w:rPr>
        <w:t>Abstract</w:t>
      </w:r>
    </w:p>
    <w:p w14:paraId="3C81CB3C" w14:textId="128F8D88" w:rsidR="00D06B51" w:rsidRDefault="00573FC4" w:rsidP="003F7EC7">
      <w:pPr>
        <w:spacing w:after="0" w:line="240" w:lineRule="auto"/>
        <w:ind w:left="-109" w:right="-108"/>
        <w:jc w:val="both"/>
        <w:rPr>
          <w:rFonts w:ascii="Times New Roman" w:hAnsi="Times New Roman" w:cs="Times New Roman"/>
          <w:bCs/>
        </w:rPr>
      </w:pPr>
      <w:r w:rsidRPr="00227927">
        <w:rPr>
          <w:rFonts w:ascii="Times New Roman" w:hAnsi="Times New Roman" w:cs="Times New Roman"/>
        </w:rPr>
        <w:t xml:space="preserve">This study aims to investigate the impact of emotional intelligence (EI) on academic performance (AP) through the mediation effect of academic engagement (AE). </w:t>
      </w:r>
      <w:r w:rsidR="00D037A7" w:rsidRPr="00227927">
        <w:rPr>
          <w:rFonts w:ascii="Times New Roman" w:hAnsi="Times New Roman" w:cs="Times New Roman"/>
        </w:rPr>
        <w:t>The research was conducted as a pilot study of the researchers’ main project among students in</w:t>
      </w:r>
      <w:r w:rsidR="0067433D">
        <w:rPr>
          <w:rFonts w:ascii="Times New Roman" w:hAnsi="Times New Roman" w:cs="Times New Roman"/>
        </w:rPr>
        <w:t xml:space="preserve"> the</w:t>
      </w:r>
      <w:r w:rsidR="00D037A7" w:rsidRPr="00227927">
        <w:rPr>
          <w:rFonts w:ascii="Times New Roman" w:hAnsi="Times New Roman" w:cs="Times New Roman"/>
        </w:rPr>
        <w:t xml:space="preserve"> Bangladeshi higher educational institution</w:t>
      </w:r>
      <w:r w:rsidR="0067433D">
        <w:rPr>
          <w:rFonts w:ascii="Times New Roman" w:hAnsi="Times New Roman" w:cs="Times New Roman"/>
        </w:rPr>
        <w:t>s</w:t>
      </w:r>
      <w:r w:rsidR="00D037A7" w:rsidRPr="00227927">
        <w:rPr>
          <w:rFonts w:ascii="Times New Roman" w:hAnsi="Times New Roman" w:cs="Times New Roman"/>
        </w:rPr>
        <w:t xml:space="preserve">. </w:t>
      </w:r>
      <w:r w:rsidR="0067433D" w:rsidRPr="0067433D">
        <w:rPr>
          <w:rFonts w:ascii="Times New Roman" w:hAnsi="Times New Roman" w:cs="Times New Roman"/>
          <w:highlight w:val="yellow"/>
        </w:rPr>
        <w:t>The pilot d</w:t>
      </w:r>
      <w:r w:rsidR="00A72B84" w:rsidRPr="0067433D">
        <w:rPr>
          <w:rFonts w:ascii="Times New Roman" w:hAnsi="Times New Roman" w:cs="Times New Roman"/>
          <w:highlight w:val="yellow"/>
        </w:rPr>
        <w:t>ata were collect</w:t>
      </w:r>
      <w:r w:rsidRPr="0067433D">
        <w:rPr>
          <w:rFonts w:ascii="Times New Roman" w:hAnsi="Times New Roman" w:cs="Times New Roman"/>
          <w:highlight w:val="yellow"/>
        </w:rPr>
        <w:t>ed</w:t>
      </w:r>
      <w:r w:rsidR="0067433D" w:rsidRPr="0067433D">
        <w:rPr>
          <w:rFonts w:ascii="Times New Roman" w:hAnsi="Times New Roman" w:cs="Times New Roman"/>
          <w:highlight w:val="yellow"/>
        </w:rPr>
        <w:t xml:space="preserve"> from 62 Master’s level students</w:t>
      </w:r>
      <w:r w:rsidRPr="0067433D">
        <w:rPr>
          <w:rFonts w:ascii="Times New Roman" w:hAnsi="Times New Roman" w:cs="Times New Roman"/>
          <w:highlight w:val="yellow"/>
        </w:rPr>
        <w:t xml:space="preserve"> </w:t>
      </w:r>
      <w:r w:rsidR="0067433D" w:rsidRPr="0067433D">
        <w:rPr>
          <w:rFonts w:ascii="Times New Roman" w:hAnsi="Times New Roman" w:cs="Times New Roman"/>
          <w:highlight w:val="yellow"/>
        </w:rPr>
        <w:t xml:space="preserve">selected from the Faculty of Business Studies and Faculty of Science of </w:t>
      </w:r>
      <w:proofErr w:type="spellStart"/>
      <w:r w:rsidR="0067433D" w:rsidRPr="0067433D">
        <w:rPr>
          <w:rFonts w:ascii="Times New Roman" w:hAnsi="Times New Roman" w:cs="Times New Roman"/>
          <w:highlight w:val="yellow"/>
        </w:rPr>
        <w:t>Mawlana</w:t>
      </w:r>
      <w:proofErr w:type="spellEnd"/>
      <w:r w:rsidR="0067433D" w:rsidRPr="0067433D">
        <w:rPr>
          <w:rFonts w:ascii="Times New Roman" w:hAnsi="Times New Roman" w:cs="Times New Roman"/>
          <w:highlight w:val="yellow"/>
        </w:rPr>
        <w:t xml:space="preserve"> </w:t>
      </w:r>
      <w:proofErr w:type="spellStart"/>
      <w:r w:rsidR="0067433D" w:rsidRPr="0067433D">
        <w:rPr>
          <w:rFonts w:ascii="Times New Roman" w:hAnsi="Times New Roman" w:cs="Times New Roman"/>
          <w:highlight w:val="yellow"/>
        </w:rPr>
        <w:t>Bhashani</w:t>
      </w:r>
      <w:proofErr w:type="spellEnd"/>
      <w:r w:rsidR="0067433D" w:rsidRPr="0067433D">
        <w:rPr>
          <w:rFonts w:ascii="Times New Roman" w:hAnsi="Times New Roman" w:cs="Times New Roman"/>
          <w:highlight w:val="yellow"/>
        </w:rPr>
        <w:t xml:space="preserve"> Science and Technology University. </w:t>
      </w:r>
      <w:r w:rsidR="0067433D" w:rsidRPr="001B6BC2">
        <w:rPr>
          <w:rFonts w:ascii="Times New Roman" w:hAnsi="Times New Roman" w:cs="Times New Roman"/>
          <w:highlight w:val="yellow"/>
        </w:rPr>
        <w:t>A</w:t>
      </w:r>
      <w:r w:rsidR="0067433D">
        <w:rPr>
          <w:rFonts w:ascii="Times New Roman" w:hAnsi="Times New Roman" w:cs="Times New Roman"/>
          <w:highlight w:val="yellow"/>
        </w:rPr>
        <w:t xml:space="preserve"> </w:t>
      </w:r>
      <w:r w:rsidRPr="001B6BC2">
        <w:rPr>
          <w:rFonts w:ascii="Times New Roman" w:hAnsi="Times New Roman" w:cs="Times New Roman"/>
          <w:highlight w:val="yellow"/>
        </w:rPr>
        <w:t xml:space="preserve">self-administered </w:t>
      </w:r>
      <w:r w:rsidRPr="0067433D">
        <w:rPr>
          <w:rFonts w:ascii="Times New Roman" w:hAnsi="Times New Roman" w:cs="Times New Roman"/>
          <w:highlight w:val="yellow"/>
        </w:rPr>
        <w:t xml:space="preserve">questionnaire </w:t>
      </w:r>
      <w:r w:rsidR="0067433D" w:rsidRPr="0067433D">
        <w:rPr>
          <w:rFonts w:ascii="Times New Roman" w:hAnsi="Times New Roman" w:cs="Times New Roman"/>
          <w:highlight w:val="yellow"/>
        </w:rPr>
        <w:t>was used for gathering data</w:t>
      </w:r>
      <w:r w:rsidR="00786646">
        <w:rPr>
          <w:rFonts w:ascii="Times New Roman" w:hAnsi="Times New Roman" w:cs="Times New Roman"/>
          <w:highlight w:val="yellow"/>
        </w:rPr>
        <w:t>,</w:t>
      </w:r>
      <w:r w:rsidR="0067433D" w:rsidRPr="0067433D">
        <w:rPr>
          <w:rFonts w:ascii="Times New Roman" w:hAnsi="Times New Roman" w:cs="Times New Roman"/>
          <w:highlight w:val="yellow"/>
        </w:rPr>
        <w:t xml:space="preserve"> </w:t>
      </w:r>
      <w:r w:rsidRPr="0067433D">
        <w:rPr>
          <w:rFonts w:ascii="Times New Roman" w:hAnsi="Times New Roman" w:cs="Times New Roman"/>
          <w:highlight w:val="yellow"/>
        </w:rPr>
        <w:t xml:space="preserve">and SPSS 25 and </w:t>
      </w:r>
      <w:proofErr w:type="spellStart"/>
      <w:r w:rsidRPr="0067433D">
        <w:rPr>
          <w:rFonts w:ascii="Times New Roman" w:hAnsi="Times New Roman" w:cs="Times New Roman"/>
          <w:highlight w:val="yellow"/>
        </w:rPr>
        <w:t>SmartPLS</w:t>
      </w:r>
      <w:proofErr w:type="spellEnd"/>
      <w:r w:rsidRPr="0067433D">
        <w:rPr>
          <w:rFonts w:ascii="Times New Roman" w:hAnsi="Times New Roman" w:cs="Times New Roman"/>
          <w:highlight w:val="yellow"/>
        </w:rPr>
        <w:t xml:space="preserve"> 4.0 software</w:t>
      </w:r>
      <w:r w:rsidR="0067433D" w:rsidRPr="0067433D">
        <w:rPr>
          <w:rFonts w:ascii="Times New Roman" w:hAnsi="Times New Roman" w:cs="Times New Roman"/>
          <w:highlight w:val="yellow"/>
        </w:rPr>
        <w:t xml:space="preserve"> were employed to analyze the data</w:t>
      </w:r>
      <w:r w:rsidRPr="0067433D">
        <w:rPr>
          <w:rFonts w:ascii="Times New Roman" w:hAnsi="Times New Roman" w:cs="Times New Roman"/>
          <w:highlight w:val="yellow"/>
        </w:rPr>
        <w:t>.</w:t>
      </w:r>
      <w:r w:rsidRPr="00227927">
        <w:rPr>
          <w:rFonts w:ascii="Times New Roman" w:hAnsi="Times New Roman" w:cs="Times New Roman"/>
        </w:rPr>
        <w:t xml:space="preserve"> To test the hypothesized </w:t>
      </w:r>
      <w:r w:rsidR="00A72B84" w:rsidRPr="00227927">
        <w:rPr>
          <w:rFonts w:ascii="Times New Roman" w:hAnsi="Times New Roman" w:cs="Times New Roman"/>
          <w:lang w:val="en-GB" w:eastAsia="en-GB" w:bidi="bn-BD"/>
        </w:rPr>
        <w:t>relationships</w:t>
      </w:r>
      <w:r w:rsidR="00A72B84" w:rsidRPr="00227927">
        <w:rPr>
          <w:rFonts w:ascii="Times New Roman" w:hAnsi="Times New Roman" w:cs="Times New Roman"/>
        </w:rPr>
        <w:t xml:space="preserve">, the study employed </w:t>
      </w:r>
      <w:r w:rsidR="00AD2DCA" w:rsidRPr="00227927">
        <w:rPr>
          <w:rFonts w:ascii="Times New Roman" w:hAnsi="Times New Roman" w:cs="Times New Roman"/>
        </w:rPr>
        <w:t>Partial Least Squares Structural Equation Model</w:t>
      </w:r>
      <w:r w:rsidRPr="00227927">
        <w:rPr>
          <w:rFonts w:ascii="Times New Roman" w:hAnsi="Times New Roman" w:cs="Times New Roman"/>
        </w:rPr>
        <w:t xml:space="preserve"> (PLS-SEM)</w:t>
      </w:r>
      <w:r w:rsidR="00786646">
        <w:rPr>
          <w:rFonts w:ascii="Times New Roman" w:hAnsi="Times New Roman" w:cs="Times New Roman"/>
        </w:rPr>
        <w:t xml:space="preserve"> </w:t>
      </w:r>
      <w:r w:rsidR="00786646" w:rsidRPr="003A32F8">
        <w:rPr>
          <w:rFonts w:ascii="Times New Roman" w:hAnsi="Times New Roman" w:cs="Times New Roman"/>
          <w:highlight w:val="yellow"/>
        </w:rPr>
        <w:t>approach</w:t>
      </w:r>
      <w:r w:rsidRPr="003A32F8">
        <w:rPr>
          <w:rFonts w:ascii="Times New Roman" w:hAnsi="Times New Roman" w:cs="Times New Roman"/>
          <w:highlight w:val="yellow"/>
        </w:rPr>
        <w:t>.</w:t>
      </w:r>
      <w:r w:rsidRPr="00227927">
        <w:rPr>
          <w:rFonts w:ascii="Times New Roman" w:hAnsi="Times New Roman" w:cs="Times New Roman"/>
        </w:rPr>
        <w:t xml:space="preserve"> The results revealed </w:t>
      </w:r>
      <w:r w:rsidR="00D23EFE" w:rsidRPr="00227927">
        <w:rPr>
          <w:rFonts w:ascii="Times New Roman" w:hAnsi="Times New Roman" w:cs="Times New Roman"/>
        </w:rPr>
        <w:t xml:space="preserve">that </w:t>
      </w:r>
      <w:r w:rsidR="00D06B51">
        <w:rPr>
          <w:rFonts w:ascii="Times New Roman" w:hAnsi="Times New Roman" w:cs="Times New Roman"/>
        </w:rPr>
        <w:t>EI</w:t>
      </w:r>
      <w:r w:rsidR="00D23EFE" w:rsidRPr="00227927">
        <w:rPr>
          <w:rFonts w:ascii="Times New Roman" w:hAnsi="Times New Roman" w:cs="Times New Roman"/>
        </w:rPr>
        <w:t xml:space="preserve"> does</w:t>
      </w:r>
      <w:r w:rsidRPr="00227927">
        <w:rPr>
          <w:rFonts w:ascii="Times New Roman" w:hAnsi="Times New Roman" w:cs="Times New Roman"/>
        </w:rPr>
        <w:t xml:space="preserve"> </w:t>
      </w:r>
      <w:r w:rsidR="00D23EFE" w:rsidRPr="00227927">
        <w:rPr>
          <w:rFonts w:ascii="Times New Roman" w:hAnsi="Times New Roman" w:cs="Times New Roman"/>
        </w:rPr>
        <w:t xml:space="preserve">not </w:t>
      </w:r>
      <w:r w:rsidR="008C6ACF" w:rsidRPr="00227927">
        <w:rPr>
          <w:rFonts w:ascii="Times New Roman" w:hAnsi="Times New Roman" w:cs="Times New Roman"/>
          <w:lang w:val="en-GB" w:eastAsia="en-GB" w:bidi="bn-BD"/>
        </w:rPr>
        <w:t xml:space="preserve">have a direct effect on </w:t>
      </w:r>
      <w:r w:rsidR="00D06B51">
        <w:rPr>
          <w:rFonts w:ascii="Times New Roman" w:hAnsi="Times New Roman" w:cs="Times New Roman"/>
          <w:lang w:val="en-GB" w:eastAsia="en-GB" w:bidi="bn-BD"/>
        </w:rPr>
        <w:t xml:space="preserve">AP </w:t>
      </w:r>
      <w:r w:rsidR="00D06B51" w:rsidRPr="00D06B51">
        <w:rPr>
          <w:rFonts w:ascii="Times New Roman" w:hAnsi="Times New Roman" w:cs="Times New Roman"/>
          <w:highlight w:val="yellow"/>
          <w:lang w:val="en-GB" w:eastAsia="en-GB" w:bidi="bn-BD"/>
        </w:rPr>
        <w:t>(</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=0.062)</w:t>
      </w:r>
      <w:r w:rsidR="008C6ACF" w:rsidRPr="00D06B51">
        <w:rPr>
          <w:rFonts w:ascii="Times New Roman" w:hAnsi="Times New Roman" w:cs="Times New Roman"/>
          <w:highlight w:val="yellow"/>
        </w:rPr>
        <w:t xml:space="preserve">; </w:t>
      </w:r>
      <w:r w:rsidR="008C6ACF" w:rsidRPr="00D06B51">
        <w:rPr>
          <w:rFonts w:ascii="Times New Roman" w:hAnsi="Times New Roman" w:cs="Times New Roman"/>
          <w:highlight w:val="yellow"/>
          <w:lang w:val="en-GB" w:eastAsia="en-GB" w:bidi="bn-BD"/>
        </w:rPr>
        <w:t>however,</w:t>
      </w:r>
      <w:r w:rsidRPr="00D06B51">
        <w:rPr>
          <w:rFonts w:ascii="Times New Roman" w:hAnsi="Times New Roman" w:cs="Times New Roman"/>
          <w:highlight w:val="yellow"/>
        </w:rPr>
        <w:t xml:space="preserve"> </w:t>
      </w:r>
      <w:r w:rsidR="00D23EFE" w:rsidRPr="00D06B51">
        <w:rPr>
          <w:rFonts w:ascii="Times New Roman" w:hAnsi="Times New Roman" w:cs="Times New Roman"/>
          <w:highlight w:val="yellow"/>
        </w:rPr>
        <w:t xml:space="preserve">it </w:t>
      </w:r>
      <w:r w:rsidR="008C6ACF" w:rsidRPr="00D06B51">
        <w:rPr>
          <w:rFonts w:ascii="Times New Roman" w:hAnsi="Times New Roman" w:cs="Times New Roman"/>
          <w:highlight w:val="yellow"/>
          <w:lang w:val="en-GB" w:eastAsia="en-GB" w:bidi="bn-BD"/>
        </w:rPr>
        <w:t xml:space="preserve">exerts an indirect influence through </w:t>
      </w:r>
      <w:r w:rsidR="00D06B51" w:rsidRPr="00D06B51">
        <w:rPr>
          <w:rFonts w:ascii="Times New Roman" w:hAnsi="Times New Roman" w:cs="Times New Roman"/>
          <w:highlight w:val="yellow"/>
          <w:lang w:val="en-GB" w:eastAsia="en-GB" w:bidi="bn-BD"/>
        </w:rPr>
        <w:t>AE (</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=0.176)</w:t>
      </w:r>
      <w:r w:rsidR="008C6ACF" w:rsidRPr="00D06B51">
        <w:rPr>
          <w:rFonts w:ascii="Times New Roman" w:hAnsi="Times New Roman" w:cs="Times New Roman"/>
          <w:highlight w:val="yellow"/>
          <w:lang w:val="en-GB" w:eastAsia="en-GB" w:bidi="bn-BD"/>
        </w:rPr>
        <w:t xml:space="preserve">, indicating a full mediation effect of </w:t>
      </w:r>
      <w:r w:rsidR="00D06B51" w:rsidRPr="00D06B51">
        <w:rPr>
          <w:rFonts w:ascii="Times New Roman" w:hAnsi="Times New Roman" w:cs="Times New Roman"/>
          <w:highlight w:val="yellow"/>
          <w:lang w:val="en-GB" w:eastAsia="en-GB" w:bidi="bn-BD"/>
        </w:rPr>
        <w:t>AE</w:t>
      </w:r>
      <w:r w:rsidRPr="00D06B51">
        <w:rPr>
          <w:rFonts w:ascii="Times New Roman" w:hAnsi="Times New Roman" w:cs="Times New Roman"/>
          <w:highlight w:val="yellow"/>
        </w:rPr>
        <w:t xml:space="preserve">. </w:t>
      </w:r>
      <w:r w:rsidR="00D06B51" w:rsidRPr="00D06B51">
        <w:rPr>
          <w:rFonts w:ascii="Times New Roman" w:hAnsi="Times New Roman" w:cs="Times New Roman"/>
          <w:highlight w:val="yellow"/>
        </w:rPr>
        <w:t xml:space="preserve">The variance </w:t>
      </w:r>
      <w:r w:rsidR="00D06B51" w:rsidRPr="00D06B51">
        <w:rPr>
          <w:rFonts w:ascii="Times New Roman" w:hAnsi="Times New Roman" w:cs="Times New Roman"/>
          <w:highlight w:val="yellow"/>
          <w:lang w:eastAsia="en-GB" w:bidi="bn-BD"/>
        </w:rPr>
        <w:t>(R</w:t>
      </w:r>
      <w:r w:rsidR="00D06B51" w:rsidRPr="00D06B51">
        <w:rPr>
          <w:rFonts w:ascii="Times New Roman" w:hAnsi="Times New Roman" w:cs="Times New Roman"/>
          <w:highlight w:val="yellow"/>
          <w:vertAlign w:val="superscript"/>
          <w:lang w:eastAsia="en-GB" w:bidi="bn-BD"/>
        </w:rPr>
        <w:t>2</w:t>
      </w:r>
      <w:r w:rsidR="00D06B51" w:rsidRPr="00D06B51">
        <w:rPr>
          <w:rFonts w:ascii="Times New Roman" w:hAnsi="Times New Roman" w:cs="Times New Roman"/>
          <w:highlight w:val="yellow"/>
          <w:lang w:eastAsia="en-GB" w:bidi="bn-BD"/>
        </w:rPr>
        <w:t xml:space="preserve">) </w:t>
      </w:r>
      <w:r w:rsidR="00D06B51" w:rsidRPr="00D06B51">
        <w:rPr>
          <w:rFonts w:ascii="Times New Roman" w:hAnsi="Times New Roman" w:cs="Times New Roman"/>
          <w:highlight w:val="yellow"/>
        </w:rPr>
        <w:t xml:space="preserve">of EI and AE on AP is 33.5%. </w:t>
      </w:r>
      <w:r w:rsidR="006D2AC2" w:rsidRPr="00D06B51">
        <w:rPr>
          <w:rFonts w:ascii="Times New Roman" w:hAnsi="Times New Roman" w:cs="Times New Roman"/>
          <w:highlight w:val="yellow"/>
          <w:lang w:val="en-GB" w:eastAsia="en-GB" w:bidi="bn-BD"/>
        </w:rPr>
        <w:t xml:space="preserve">Furthermore, the findings confirmed that </w:t>
      </w:r>
      <w:r w:rsidR="00D06B51" w:rsidRPr="00D06B51">
        <w:rPr>
          <w:rFonts w:ascii="Times New Roman" w:hAnsi="Times New Roman" w:cs="Times New Roman"/>
          <w:highlight w:val="yellow"/>
          <w:lang w:val="en-GB" w:eastAsia="en-GB" w:bidi="bn-BD"/>
        </w:rPr>
        <w:t>EI</w:t>
      </w:r>
      <w:r w:rsidR="006D2AC2" w:rsidRPr="00D06B51">
        <w:rPr>
          <w:rFonts w:ascii="Times New Roman" w:hAnsi="Times New Roman" w:cs="Times New Roman"/>
          <w:highlight w:val="yellow"/>
          <w:lang w:val="en-GB" w:eastAsia="en-GB" w:bidi="bn-BD"/>
        </w:rPr>
        <w:t xml:space="preserve"> significantly influences </w:t>
      </w:r>
      <w:r w:rsidR="00D06B51" w:rsidRPr="00D06B51">
        <w:rPr>
          <w:rFonts w:ascii="Times New Roman" w:hAnsi="Times New Roman" w:cs="Times New Roman"/>
          <w:highlight w:val="yellow"/>
          <w:lang w:val="en-GB" w:eastAsia="en-GB" w:bidi="bn-BD"/>
        </w:rPr>
        <w:t>AE (</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 xml:space="preserve">=0.316) </w:t>
      </w:r>
      <w:r w:rsidR="00D06B51" w:rsidRPr="00D06B51">
        <w:rPr>
          <w:rFonts w:ascii="Times New Roman" w:hAnsi="Times New Roman" w:cs="Times New Roman"/>
          <w:highlight w:val="yellow"/>
          <w:lang w:eastAsia="en-GB" w:bidi="bn-BD"/>
        </w:rPr>
        <w:t>with a variance (R</w:t>
      </w:r>
      <w:r w:rsidR="00D06B51" w:rsidRPr="00D06B51">
        <w:rPr>
          <w:rFonts w:ascii="Times New Roman" w:hAnsi="Times New Roman" w:cs="Times New Roman"/>
          <w:highlight w:val="yellow"/>
          <w:vertAlign w:val="superscript"/>
          <w:lang w:eastAsia="en-GB" w:bidi="bn-BD"/>
        </w:rPr>
        <w:t>2</w:t>
      </w:r>
      <w:r w:rsidR="00D06B51" w:rsidRPr="00D06B51">
        <w:rPr>
          <w:rFonts w:ascii="Times New Roman" w:hAnsi="Times New Roman" w:cs="Times New Roman"/>
          <w:highlight w:val="yellow"/>
          <w:lang w:eastAsia="en-GB" w:bidi="bn-BD"/>
        </w:rPr>
        <w:t>) of 10%</w:t>
      </w:r>
      <w:r w:rsidR="006D2AC2" w:rsidRPr="00D06B51">
        <w:rPr>
          <w:rFonts w:ascii="Times New Roman" w:hAnsi="Times New Roman" w:cs="Times New Roman"/>
          <w:highlight w:val="yellow"/>
          <w:lang w:val="en-GB" w:eastAsia="en-GB" w:bidi="bn-BD"/>
        </w:rPr>
        <w:t xml:space="preserve">, and </w:t>
      </w:r>
      <w:r w:rsidR="00D06B51" w:rsidRPr="00D06B51">
        <w:rPr>
          <w:rFonts w:ascii="Times New Roman" w:hAnsi="Times New Roman" w:cs="Times New Roman"/>
          <w:highlight w:val="yellow"/>
          <w:lang w:val="en-GB" w:eastAsia="en-GB" w:bidi="bn-BD"/>
        </w:rPr>
        <w:t>AE</w:t>
      </w:r>
      <w:r w:rsidR="006D2AC2" w:rsidRPr="00D06B51">
        <w:rPr>
          <w:rFonts w:ascii="Times New Roman" w:hAnsi="Times New Roman" w:cs="Times New Roman"/>
          <w:highlight w:val="yellow"/>
          <w:lang w:val="en-GB" w:eastAsia="en-GB" w:bidi="bn-BD"/>
        </w:rPr>
        <w:t xml:space="preserve"> significantly predicts </w:t>
      </w:r>
      <w:r w:rsidR="00D06B51" w:rsidRPr="00D06B51">
        <w:rPr>
          <w:rFonts w:ascii="Times New Roman" w:hAnsi="Times New Roman" w:cs="Times New Roman"/>
          <w:highlight w:val="yellow"/>
          <w:lang w:val="en-GB" w:eastAsia="en-GB" w:bidi="bn-BD"/>
        </w:rPr>
        <w:t>AP (</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=0.556)</w:t>
      </w:r>
      <w:r w:rsidR="006D2AC2" w:rsidRPr="00D06B51">
        <w:rPr>
          <w:rFonts w:ascii="Times New Roman" w:hAnsi="Times New Roman" w:cs="Times New Roman"/>
          <w:highlight w:val="yellow"/>
          <w:lang w:val="en-GB" w:eastAsia="en-GB" w:bidi="bn-BD"/>
        </w:rPr>
        <w:t>.</w:t>
      </w:r>
      <w:r w:rsidR="006D2AC2" w:rsidRPr="00227927">
        <w:rPr>
          <w:rFonts w:ascii="Times New Roman" w:hAnsi="Times New Roman" w:cs="Times New Roman"/>
          <w:lang w:val="en-GB" w:eastAsia="en-GB" w:bidi="bn-BD"/>
        </w:rPr>
        <w:t xml:space="preserve"> </w:t>
      </w:r>
      <w:r w:rsidR="00177E8A" w:rsidRPr="00227927">
        <w:rPr>
          <w:rFonts w:ascii="Times New Roman" w:hAnsi="Times New Roman" w:cs="Times New Roman"/>
          <w:lang w:val="en-GB" w:eastAsia="en-GB" w:bidi="bn-BD"/>
        </w:rPr>
        <w:t xml:space="preserve">The implications of these findings suggest that enhancing students’ </w:t>
      </w:r>
      <w:r w:rsidR="00D06B51">
        <w:rPr>
          <w:rFonts w:ascii="Times New Roman" w:hAnsi="Times New Roman" w:cs="Times New Roman"/>
          <w:lang w:val="en-GB" w:eastAsia="en-GB" w:bidi="bn-BD"/>
        </w:rPr>
        <w:t>EI</w:t>
      </w:r>
      <w:r w:rsidR="00177E8A" w:rsidRPr="00227927">
        <w:rPr>
          <w:rFonts w:ascii="Times New Roman" w:hAnsi="Times New Roman" w:cs="Times New Roman"/>
          <w:lang w:val="en-GB" w:eastAsia="en-GB" w:bidi="bn-BD"/>
        </w:rPr>
        <w:t xml:space="preserve"> and </w:t>
      </w:r>
      <w:r w:rsidR="00D06B51">
        <w:rPr>
          <w:rFonts w:ascii="Times New Roman" w:hAnsi="Times New Roman" w:cs="Times New Roman"/>
          <w:lang w:val="en-GB" w:eastAsia="en-GB" w:bidi="bn-BD"/>
        </w:rPr>
        <w:t>AE</w:t>
      </w:r>
      <w:r w:rsidR="00177E8A" w:rsidRPr="00227927">
        <w:rPr>
          <w:rFonts w:ascii="Times New Roman" w:hAnsi="Times New Roman" w:cs="Times New Roman"/>
          <w:lang w:val="en-GB" w:eastAsia="en-GB" w:bidi="bn-BD"/>
        </w:rPr>
        <w:t xml:space="preserve"> can meaningfully improve their academic outcomes. The study contributes to the growing body of literature on </w:t>
      </w:r>
      <w:r w:rsidR="004D71C3">
        <w:rPr>
          <w:rFonts w:ascii="Times New Roman" w:hAnsi="Times New Roman" w:cs="Times New Roman"/>
          <w:lang w:val="en-GB" w:eastAsia="en-GB" w:bidi="bn-BD"/>
        </w:rPr>
        <w:t>EI</w:t>
      </w:r>
      <w:r w:rsidR="00177E8A" w:rsidRPr="00227927">
        <w:rPr>
          <w:rFonts w:ascii="Times New Roman" w:hAnsi="Times New Roman" w:cs="Times New Roman"/>
          <w:lang w:val="en-GB" w:eastAsia="en-GB" w:bidi="bn-BD"/>
        </w:rPr>
        <w:t xml:space="preserve">, </w:t>
      </w:r>
      <w:r w:rsidR="004D71C3">
        <w:rPr>
          <w:rFonts w:ascii="Times New Roman" w:hAnsi="Times New Roman" w:cs="Times New Roman"/>
          <w:lang w:val="en-GB" w:eastAsia="en-GB" w:bidi="bn-BD"/>
        </w:rPr>
        <w:t>AE</w:t>
      </w:r>
      <w:r w:rsidR="00177E8A" w:rsidRPr="00227927">
        <w:rPr>
          <w:rFonts w:ascii="Times New Roman" w:hAnsi="Times New Roman" w:cs="Times New Roman"/>
          <w:lang w:val="en-GB" w:eastAsia="en-GB" w:bidi="bn-BD"/>
        </w:rPr>
        <w:t xml:space="preserve">, and </w:t>
      </w:r>
      <w:r w:rsidR="004D71C3">
        <w:rPr>
          <w:rFonts w:ascii="Times New Roman" w:hAnsi="Times New Roman" w:cs="Times New Roman"/>
          <w:lang w:val="en-GB" w:eastAsia="en-GB" w:bidi="bn-BD"/>
        </w:rPr>
        <w:t>AP</w:t>
      </w:r>
      <w:r w:rsidR="00177E8A" w:rsidRPr="00227927">
        <w:rPr>
          <w:rFonts w:ascii="Times New Roman" w:hAnsi="Times New Roman" w:cs="Times New Roman"/>
          <w:lang w:val="en-GB" w:eastAsia="en-GB" w:bidi="bn-BD"/>
        </w:rPr>
        <w:t>. Although the results may not be fully generalizable due to the pilot nature and limited sample size, they provide valuable insights and directions for future research in the context of Bangladeshi higher education.</w:t>
      </w:r>
      <w:r w:rsidR="003F7EC7">
        <w:rPr>
          <w:rFonts w:ascii="Times New Roman" w:hAnsi="Times New Roman" w:cs="Times New Roman"/>
          <w:bCs/>
        </w:rPr>
        <w:t xml:space="preserve"> </w:t>
      </w:r>
    </w:p>
    <w:p w14:paraId="7B72099D" w14:textId="77777777" w:rsidR="00D06B51" w:rsidRPr="00227927" w:rsidRDefault="00D06B51" w:rsidP="008D2235">
      <w:pPr>
        <w:spacing w:after="0" w:line="240" w:lineRule="auto"/>
        <w:jc w:val="both"/>
        <w:rPr>
          <w:rFonts w:ascii="Times New Roman" w:hAnsi="Times New Roman" w:cs="Times New Roman"/>
          <w:bCs/>
        </w:rPr>
      </w:pPr>
    </w:p>
    <w:p w14:paraId="449DD175" w14:textId="3DE3CA2F" w:rsidR="00520432" w:rsidRDefault="00640FE4" w:rsidP="00E13AEC">
      <w:pPr>
        <w:spacing w:after="0" w:line="240" w:lineRule="auto"/>
        <w:jc w:val="both"/>
        <w:rPr>
          <w:rFonts w:ascii="Times New Roman" w:hAnsi="Times New Roman" w:cs="Times New Roman"/>
        </w:rPr>
      </w:pPr>
      <w:r>
        <w:rPr>
          <w:rFonts w:ascii="Times New Roman" w:hAnsi="Times New Roman" w:cs="Times New Roman"/>
          <w:b/>
          <w:bCs/>
        </w:rPr>
        <w:t>Keyw</w:t>
      </w:r>
      <w:r w:rsidR="00E5255D" w:rsidRPr="00227927">
        <w:rPr>
          <w:rFonts w:ascii="Times New Roman" w:hAnsi="Times New Roman" w:cs="Times New Roman"/>
          <w:b/>
          <w:bCs/>
        </w:rPr>
        <w:t xml:space="preserve">ords: </w:t>
      </w:r>
      <w:r w:rsidR="00CB7857">
        <w:rPr>
          <w:rFonts w:ascii="Times New Roman" w:hAnsi="Times New Roman" w:cs="Times New Roman"/>
        </w:rPr>
        <w:t>E</w:t>
      </w:r>
      <w:r>
        <w:rPr>
          <w:rFonts w:ascii="Times New Roman" w:hAnsi="Times New Roman" w:cs="Times New Roman"/>
        </w:rPr>
        <w:t>motional intelligence; academic performance; academic engagement;</w:t>
      </w:r>
      <w:r w:rsidR="00E5255D" w:rsidRPr="00227927">
        <w:rPr>
          <w:rFonts w:ascii="Times New Roman" w:hAnsi="Times New Roman" w:cs="Times New Roman"/>
        </w:rPr>
        <w:t xml:space="preserve"> PLS-S</w:t>
      </w:r>
      <w:r>
        <w:rPr>
          <w:rFonts w:ascii="Times New Roman" w:hAnsi="Times New Roman" w:cs="Times New Roman"/>
        </w:rPr>
        <w:t>EM;</w:t>
      </w:r>
      <w:r w:rsidR="00E5255D" w:rsidRPr="00227927">
        <w:rPr>
          <w:rFonts w:ascii="Times New Roman" w:hAnsi="Times New Roman" w:cs="Times New Roman"/>
        </w:rPr>
        <w:t xml:space="preserve"> higher educational institution</w:t>
      </w:r>
    </w:p>
    <w:p w14:paraId="6264EF69" w14:textId="3A0D7147" w:rsidR="006045A4" w:rsidRPr="00227927" w:rsidRDefault="006045A4" w:rsidP="008D2235">
      <w:pPr>
        <w:spacing w:after="0" w:line="240" w:lineRule="auto"/>
        <w:jc w:val="both"/>
        <w:rPr>
          <w:rFonts w:ascii="Times New Roman" w:hAnsi="Times New Roman" w:cs="Times New Roman"/>
          <w:b/>
          <w:bCs/>
        </w:rPr>
      </w:pPr>
    </w:p>
    <w:p w14:paraId="1DFB8814" w14:textId="77777777" w:rsidR="00E5255D" w:rsidRPr="00227927" w:rsidRDefault="00E5255D" w:rsidP="005B6D68">
      <w:pPr>
        <w:jc w:val="both"/>
        <w:rPr>
          <w:rFonts w:ascii="Times New Roman" w:hAnsi="Times New Roman" w:cs="Times New Roman"/>
          <w:b/>
          <w:bCs/>
        </w:rPr>
      </w:pPr>
    </w:p>
    <w:p w14:paraId="5C6BB518" w14:textId="77777777" w:rsidR="00640FE4" w:rsidRDefault="00640FE4">
      <w:pPr>
        <w:rPr>
          <w:rFonts w:ascii="Times New Roman" w:hAnsi="Times New Roman" w:cs="Times New Roman"/>
          <w:b/>
          <w:bCs/>
        </w:rPr>
      </w:pPr>
      <w:r>
        <w:rPr>
          <w:rFonts w:ascii="Times New Roman" w:hAnsi="Times New Roman" w:cs="Times New Roman"/>
          <w:b/>
          <w:bCs/>
        </w:rPr>
        <w:br w:type="page"/>
      </w:r>
    </w:p>
    <w:p w14:paraId="06AEABE7" w14:textId="5074AFD3" w:rsidR="005B6D68" w:rsidRPr="00227927" w:rsidRDefault="00F11587" w:rsidP="00D77BE5">
      <w:pPr>
        <w:spacing w:after="0" w:line="360" w:lineRule="auto"/>
        <w:jc w:val="both"/>
        <w:rPr>
          <w:rFonts w:ascii="Times New Roman" w:hAnsi="Times New Roman" w:cs="Times New Roman"/>
        </w:rPr>
      </w:pPr>
      <w:r>
        <w:rPr>
          <w:rFonts w:ascii="Times New Roman" w:hAnsi="Times New Roman" w:cs="Times New Roman"/>
          <w:b/>
          <w:bCs/>
        </w:rPr>
        <w:lastRenderedPageBreak/>
        <w:t xml:space="preserve">1. </w:t>
      </w:r>
      <w:r w:rsidR="005B6D68" w:rsidRPr="00227927">
        <w:rPr>
          <w:rFonts w:ascii="Times New Roman" w:hAnsi="Times New Roman" w:cs="Times New Roman"/>
          <w:b/>
          <w:bCs/>
        </w:rPr>
        <w:t>Introduction</w:t>
      </w:r>
    </w:p>
    <w:p w14:paraId="246848D2" w14:textId="6E8C9157"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Higher education in the twenty-first century places increasing emphasis not only on academic knowledge but also on students’ psychological and emotional capabilities, which substantially influence their learning outcomes. Among these capabilities, emotional intelligence has emerged as a critical construct shaping how students think, interact, and respond to academic and social challenges. Individuals with higher emotional intelligence tend to demonstrate stronger self-regulation, interpersonal competence, motivation, and self-awareness, enabling them to adapt to academic environments more effectively (Goleman, 1995; Petrides et al., 2016). Previous research indicates that emotionally intelligent students are more capable of coping with academic stress, maintaining motivation, and sustaining positive attitudes</w:t>
      </w:r>
      <w:r w:rsidR="000978FC">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factors that ultimately contribute to enhanced academic performance (Emon et al., 2023; </w:t>
      </w:r>
      <w:r w:rsidR="00804275" w:rsidRPr="00804275">
        <w:rPr>
          <w:rFonts w:ascii="Times New Roman" w:hAnsi="Times New Roman" w:cs="Times New Roman"/>
          <w:highlight w:val="yellow"/>
        </w:rPr>
        <w:t>Jaeger &amp; Eagan, 2007</w:t>
      </w:r>
      <w:r w:rsidR="00804275">
        <w:rPr>
          <w:rFonts w:ascii="Times New Roman" w:hAnsi="Times New Roman" w:cs="Times New Roman"/>
        </w:rPr>
        <w:t xml:space="preserve">; </w:t>
      </w:r>
      <w:r w:rsidRPr="00227927">
        <w:rPr>
          <w:rFonts w:ascii="Times New Roman" w:hAnsi="Times New Roman" w:cs="Times New Roman"/>
          <w:lang w:val="en-GB" w:eastAsia="en-GB" w:bidi="bn-BD"/>
        </w:rPr>
        <w:t xml:space="preserve">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w:t>
      </w:r>
    </w:p>
    <w:p w14:paraId="4B2A5197" w14:textId="77777777" w:rsidR="00857C0D" w:rsidRPr="00227927" w:rsidRDefault="00857C0D" w:rsidP="002016D8">
      <w:pPr>
        <w:spacing w:after="0" w:line="360" w:lineRule="auto"/>
        <w:jc w:val="both"/>
        <w:rPr>
          <w:rFonts w:ascii="Times New Roman" w:hAnsi="Times New Roman" w:cs="Times New Roman"/>
          <w:lang w:val="en-GB" w:eastAsia="en-GB" w:bidi="bn-BD"/>
        </w:rPr>
      </w:pPr>
    </w:p>
    <w:p w14:paraId="4FBE557D" w14:textId="4C52909E"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Academic performance remains a central indicator of educational success, particularly within higher education, where academic achievements influence future career opportunities and professional growth. However, performance is shaped not only by cognitive abilities but also by </w:t>
      </w:r>
      <w:proofErr w:type="spellStart"/>
      <w:r w:rsidRPr="00227927">
        <w:rPr>
          <w:rFonts w:ascii="Times New Roman" w:hAnsi="Times New Roman" w:cs="Times New Roman"/>
          <w:lang w:val="en-GB" w:eastAsia="en-GB" w:bidi="bn-BD"/>
        </w:rPr>
        <w:t>behavioral</w:t>
      </w:r>
      <w:proofErr w:type="spellEnd"/>
      <w:r w:rsidRPr="00227927">
        <w:rPr>
          <w:rFonts w:ascii="Times New Roman" w:hAnsi="Times New Roman" w:cs="Times New Roman"/>
          <w:lang w:val="en-GB" w:eastAsia="en-GB" w:bidi="bn-BD"/>
        </w:rPr>
        <w:t xml:space="preserve"> and emotional factors that determine how students engage with learning activities. Engaged students display greater concentration, persistence, curiosity, and intrinsic motivation, which enable them to navigate complex academic demands more effectively (Barragan Martin et al., 2021; Kahu &amp; Nelson, 2018). Prior studies suggest that emotional intelligence enhances academic engagement by enabling students to regulate emotional distress, develop resilience, and sustain interest in academic tasks</w:t>
      </w:r>
      <w:r w:rsidR="00AF2E08">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Barragan Martin et al., 2021; Thomas &amp; Allen, 2021). Thus, a growing body of research identifies academic engagement as a mediating mechanism explaining how emotional intelligence contributes to academic performance (Allen et al., 2017; Barragan Martin et al., 2021; Emon et al., 2023; </w:t>
      </w:r>
      <w:r w:rsidR="00CE44A9" w:rsidRPr="00804275">
        <w:rPr>
          <w:rFonts w:ascii="Times New Roman" w:hAnsi="Times New Roman" w:cs="Times New Roman"/>
          <w:highlight w:val="yellow"/>
        </w:rPr>
        <w:t>Jaeger &amp; Eagan, 2007</w:t>
      </w:r>
      <w:r w:rsidR="00CE44A9">
        <w:rPr>
          <w:rFonts w:ascii="Times New Roman" w:hAnsi="Times New Roman" w:cs="Times New Roman"/>
        </w:rPr>
        <w:t xml:space="preserve">; </w:t>
      </w:r>
      <w:r w:rsidRPr="00227927">
        <w:rPr>
          <w:rFonts w:ascii="Times New Roman" w:hAnsi="Times New Roman" w:cs="Times New Roman"/>
          <w:lang w:val="en-GB" w:eastAsia="en-GB" w:bidi="bn-BD"/>
        </w:rPr>
        <w:t xml:space="preserve">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 Thomas &amp; Allen, 2021).</w:t>
      </w:r>
    </w:p>
    <w:p w14:paraId="74256B3B"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53E274E6" w14:textId="65926C70"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Bangladesh, higher education has expanded significantly over recent decades, with tertiary </w:t>
      </w:r>
      <w:proofErr w:type="spellStart"/>
      <w:r w:rsidRPr="00227927">
        <w:rPr>
          <w:rFonts w:ascii="Times New Roman" w:hAnsi="Times New Roman" w:cs="Times New Roman"/>
          <w:lang w:val="en-GB" w:eastAsia="en-GB" w:bidi="bn-BD"/>
        </w:rPr>
        <w:t>enrollment</w:t>
      </w:r>
      <w:proofErr w:type="spellEnd"/>
      <w:r w:rsidRPr="00227927">
        <w:rPr>
          <w:rFonts w:ascii="Times New Roman" w:hAnsi="Times New Roman" w:cs="Times New Roman"/>
          <w:lang w:val="en-GB" w:eastAsia="en-GB" w:bidi="bn-BD"/>
        </w:rPr>
        <w:t xml:space="preserve"> increasing and policy forecasts indicating continued demand for university access (Ahmed &amp; McGillivray, 2019). Despite this progress, many Bangladeshi university students face considerable academic pressure, competitive assessment systems, and insufficient institutional </w:t>
      </w:r>
      <w:r w:rsidRPr="00227927">
        <w:rPr>
          <w:rFonts w:ascii="Times New Roman" w:hAnsi="Times New Roman" w:cs="Times New Roman"/>
          <w:lang w:val="en-GB" w:eastAsia="en-GB" w:bidi="bn-BD"/>
        </w:rPr>
        <w:lastRenderedPageBreak/>
        <w:t xml:space="preserve">support. A recent survey revealed that over 75% of university students reported experiencing mental health difficulties caused by academic pressure, session delays, and performance uncertainty (bdnews24.com, 2022). Such challenges heighten stress, reduce motivation, and hinder sustained academic </w:t>
      </w:r>
      <w:r w:rsidRPr="004835D9">
        <w:rPr>
          <w:rFonts w:ascii="Times New Roman" w:hAnsi="Times New Roman" w:cs="Times New Roman"/>
          <w:lang w:val="en-GB" w:eastAsia="en-GB" w:bidi="bn-BD"/>
        </w:rPr>
        <w:t xml:space="preserve">engagement. </w:t>
      </w:r>
      <w:r w:rsidR="004835D9" w:rsidRPr="004835D9">
        <w:rPr>
          <w:rFonts w:ascii="Times New Roman" w:hAnsi="Times New Roman" w:cs="Times New Roman"/>
          <w:highlight w:val="yellow"/>
        </w:rPr>
        <w:t xml:space="preserve">This highlights the need for more focused research on </w:t>
      </w:r>
      <w:r w:rsidR="004835D9" w:rsidRPr="004835D9">
        <w:rPr>
          <w:rFonts w:ascii="Times New Roman" w:hAnsi="Times New Roman" w:cs="Times New Roman"/>
          <w:highlight w:val="yellow"/>
          <w:lang w:val="en-GB" w:eastAsia="en-GB" w:bidi="bn-BD"/>
        </w:rPr>
        <w:t xml:space="preserve">Master’s-level students of </w:t>
      </w:r>
      <w:r w:rsidR="004835D9" w:rsidRPr="004835D9">
        <w:rPr>
          <w:rFonts w:ascii="Times New Roman" w:hAnsi="Times New Roman" w:cs="Times New Roman"/>
          <w:highlight w:val="yellow"/>
        </w:rPr>
        <w:t>HEIs, particularly in developing-country contexts such as Bangladesh</w:t>
      </w:r>
      <w:r w:rsidR="00697B4A" w:rsidRPr="004835D9">
        <w:rPr>
          <w:rFonts w:ascii="Times New Roman" w:hAnsi="Times New Roman" w:cs="Times New Roman"/>
          <w:highlight w:val="yellow"/>
          <w:lang w:val="en-GB" w:eastAsia="en-GB" w:bidi="bn-BD"/>
        </w:rPr>
        <w:t xml:space="preserve">, as directed by </w:t>
      </w:r>
      <w:proofErr w:type="spellStart"/>
      <w:r w:rsidR="00697B4A" w:rsidRPr="004835D9">
        <w:rPr>
          <w:rFonts w:ascii="Times New Roman" w:hAnsi="Times New Roman" w:cs="Times New Roman"/>
          <w:highlight w:val="yellow"/>
        </w:rPr>
        <w:t>Perera</w:t>
      </w:r>
      <w:proofErr w:type="spellEnd"/>
      <w:r w:rsidR="00697B4A" w:rsidRPr="004835D9">
        <w:rPr>
          <w:rFonts w:ascii="Times New Roman" w:hAnsi="Times New Roman" w:cs="Times New Roman"/>
          <w:highlight w:val="yellow"/>
        </w:rPr>
        <w:t xml:space="preserve"> and DiGiacomo (2013</w:t>
      </w:r>
      <w:r w:rsidR="00697B4A" w:rsidRPr="004835D9">
        <w:rPr>
          <w:rFonts w:ascii="Times New Roman" w:hAnsi="Times New Roman" w:cs="Times New Roman"/>
          <w:highlight w:val="yellow"/>
          <w:lang w:val="en-GB" w:eastAsia="en-GB" w:bidi="bn-BD"/>
        </w:rPr>
        <w:t>)</w:t>
      </w:r>
      <w:r w:rsidRPr="004835D9">
        <w:rPr>
          <w:rFonts w:ascii="Times New Roman" w:hAnsi="Times New Roman" w:cs="Times New Roman"/>
          <w:highlight w:val="yellow"/>
          <w:lang w:val="en-GB" w:eastAsia="en-GB" w:bidi="bn-BD"/>
        </w:rPr>
        <w:t>.</w:t>
      </w:r>
      <w:r w:rsidRPr="00227927">
        <w:rPr>
          <w:rFonts w:ascii="Times New Roman" w:hAnsi="Times New Roman" w:cs="Times New Roman"/>
          <w:lang w:val="en-GB" w:eastAsia="en-GB" w:bidi="bn-BD"/>
        </w:rPr>
        <w:t xml:space="preserve"> </w:t>
      </w:r>
    </w:p>
    <w:p w14:paraId="5A8FB104"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31AB8940" w14:textId="7FDB0293" w:rsidR="002016D8" w:rsidRPr="00227927" w:rsidRDefault="002016D8" w:rsidP="007F2E5D">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Despite the increasing importance of these constructs, research in Bangladesh has yet to integrate EI, AE, and AP within a unified conceptual framework. This study therefore contributes to the educational psychology literature by examining how emotional intelligence influences academic performance through the mediating role of academic engagement. In doing so, it enhances understanding of the emotional and </w:t>
      </w:r>
      <w:r w:rsidR="007F2E5D" w:rsidRPr="00227927">
        <w:rPr>
          <w:rFonts w:ascii="Times New Roman" w:hAnsi="Times New Roman" w:cs="Times New Roman"/>
          <w:lang w:val="en-GB" w:eastAsia="en-GB" w:bidi="bn-BD"/>
        </w:rPr>
        <w:t>behavioural</w:t>
      </w:r>
      <w:r w:rsidRPr="00227927">
        <w:rPr>
          <w:rFonts w:ascii="Times New Roman" w:hAnsi="Times New Roman" w:cs="Times New Roman"/>
          <w:lang w:val="en-GB" w:eastAsia="en-GB" w:bidi="bn-BD"/>
        </w:rPr>
        <w:t xml:space="preserve"> mechanisms that facilitate academic success among master’s-level students. Empirically, the study provides evidence within the Bangladeshi higher education context, where limited research has explored the interconnected roles of emotional intelligence and engagement in shaping postgraduate outcomes. Practically, the findings may guide higher education institutions in designing student support initiatives, such as </w:t>
      </w:r>
      <w:r w:rsidR="007F2E5D"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services, emotional intelligence enhancement programs, and engagement-oriented pedagogical practices. Strengthening students’ emotional competencies and promoting sustained engagement may not only improve academic performance but also foster psychological well-being, resilience, and professional readiness for future career challenges.</w:t>
      </w:r>
    </w:p>
    <w:p w14:paraId="1A9CDF15" w14:textId="77777777" w:rsidR="005B6D68" w:rsidRPr="00227927" w:rsidRDefault="005B6D68" w:rsidP="007F2E5D">
      <w:pPr>
        <w:spacing w:after="0" w:line="360" w:lineRule="auto"/>
        <w:rPr>
          <w:rFonts w:ascii="Times New Roman" w:hAnsi="Times New Roman" w:cs="Times New Roman"/>
          <w:b/>
          <w:bCs/>
        </w:rPr>
      </w:pPr>
    </w:p>
    <w:p w14:paraId="412C96E8" w14:textId="2CF3A8BB"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 Literature Review</w:t>
      </w:r>
    </w:p>
    <w:p w14:paraId="76993B2D" w14:textId="77777777" w:rsidR="00AD2DCA" w:rsidRPr="00227927" w:rsidRDefault="00AD2DCA" w:rsidP="007F2E5D">
      <w:pPr>
        <w:spacing w:after="0" w:line="360" w:lineRule="auto"/>
        <w:rPr>
          <w:rFonts w:ascii="Times New Roman" w:hAnsi="Times New Roman" w:cs="Times New Roman"/>
        </w:rPr>
      </w:pPr>
    </w:p>
    <w:p w14:paraId="66A61FB7" w14:textId="77777777"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2.1 Emotional Intelligence and Academic Performance</w:t>
      </w:r>
    </w:p>
    <w:p w14:paraId="05E89E73" w14:textId="7C948F75" w:rsidR="00161666" w:rsidRPr="00227927" w:rsidRDefault="008C045E" w:rsidP="008C045E">
      <w:pPr>
        <w:spacing w:after="0" w:line="360" w:lineRule="auto"/>
        <w:jc w:val="both"/>
        <w:rPr>
          <w:rFonts w:ascii="Times New Roman" w:hAnsi="Times New Roman" w:cs="Times New Roman"/>
        </w:rPr>
      </w:pPr>
      <w:r w:rsidRPr="00227927">
        <w:rPr>
          <w:rStyle w:val="Strong"/>
          <w:rFonts w:ascii="Times New Roman" w:hAnsi="Times New Roman" w:cs="Times New Roman"/>
          <w:b w:val="0"/>
          <w:bCs w:val="0"/>
        </w:rPr>
        <w:t xml:space="preserve">Emotional intelligence is </w:t>
      </w:r>
      <w:r w:rsidR="00161666" w:rsidRPr="00227927">
        <w:rPr>
          <w:rFonts w:ascii="Times New Roman" w:hAnsi="Times New Roman" w:cs="Times New Roman"/>
        </w:rPr>
        <w:t>the ability to perceive, understand, manage, a</w:t>
      </w:r>
      <w:r w:rsidRPr="00227927">
        <w:rPr>
          <w:rFonts w:ascii="Times New Roman" w:hAnsi="Times New Roman" w:cs="Times New Roman"/>
        </w:rPr>
        <w:t xml:space="preserve">nd utilize emotions effectively, which </w:t>
      </w:r>
      <w:r w:rsidR="00161666" w:rsidRPr="00227927">
        <w:rPr>
          <w:rFonts w:ascii="Times New Roman" w:hAnsi="Times New Roman" w:cs="Times New Roman"/>
        </w:rPr>
        <w:t>is increasingly recognized as a vital non-cognitive skill that influences academic performance in higher education (Salovey &amp; Mayer, 199</w:t>
      </w:r>
      <w:r w:rsidR="002C3CDC" w:rsidRPr="00227927">
        <w:rPr>
          <w:rFonts w:ascii="Times New Roman" w:hAnsi="Times New Roman" w:cs="Times New Roman"/>
        </w:rPr>
        <w:t>0</w:t>
      </w:r>
      <w:r w:rsidR="00161666" w:rsidRPr="00227927">
        <w:rPr>
          <w:rFonts w:ascii="Times New Roman" w:hAnsi="Times New Roman" w:cs="Times New Roman"/>
        </w:rPr>
        <w:t>). While traditional measures of intelligence, such as IQ, have long been associated with academic achievement, a growing body of evidence highlights the unique contribution of EI to students’ learning outcomes</w:t>
      </w:r>
      <w:r w:rsidR="00804275">
        <w:rPr>
          <w:rFonts w:ascii="Times New Roman" w:hAnsi="Times New Roman" w:cs="Times New Roman"/>
        </w:rPr>
        <w:t xml:space="preserve"> (</w:t>
      </w:r>
      <w:r w:rsidR="00804275" w:rsidRPr="00804275">
        <w:rPr>
          <w:rFonts w:ascii="Times New Roman" w:hAnsi="Times New Roman" w:cs="Times New Roman"/>
          <w:highlight w:val="yellow"/>
        </w:rPr>
        <w:t>Jaeger &amp; Eagan, 2007</w:t>
      </w:r>
      <w:r w:rsidR="00804275">
        <w:rPr>
          <w:rFonts w:ascii="Times New Roman" w:hAnsi="Times New Roman" w:cs="Times New Roman"/>
        </w:rPr>
        <w:t>)</w:t>
      </w:r>
      <w:r w:rsidR="00161666" w:rsidRPr="00227927">
        <w:rPr>
          <w:rFonts w:ascii="Times New Roman" w:hAnsi="Times New Roman" w:cs="Times New Roman"/>
        </w:rPr>
        <w:t xml:space="preserve">. </w:t>
      </w:r>
      <w:r w:rsidRPr="00227927">
        <w:rPr>
          <w:rStyle w:val="Strong"/>
          <w:rFonts w:ascii="Times New Roman" w:hAnsi="Times New Roman" w:cs="Times New Roman"/>
          <w:b w:val="0"/>
          <w:bCs w:val="0"/>
        </w:rPr>
        <w:t xml:space="preserve">Academic performance </w:t>
      </w:r>
      <w:r w:rsidR="00161666" w:rsidRPr="00227927">
        <w:rPr>
          <w:rFonts w:ascii="Times New Roman" w:hAnsi="Times New Roman" w:cs="Times New Roman"/>
        </w:rPr>
        <w:t>often measured through grades, cumulative GPA, or task-spe</w:t>
      </w:r>
      <w:r w:rsidRPr="00227927">
        <w:rPr>
          <w:rFonts w:ascii="Times New Roman" w:hAnsi="Times New Roman" w:cs="Times New Roman"/>
        </w:rPr>
        <w:t xml:space="preserve">cific assessments that </w:t>
      </w:r>
      <w:r w:rsidR="00161666" w:rsidRPr="00227927">
        <w:rPr>
          <w:rFonts w:ascii="Times New Roman" w:hAnsi="Times New Roman" w:cs="Times New Roman"/>
        </w:rPr>
        <w:t xml:space="preserve">reflects students’ capacity to meet the cognitive and behavioral demands </w:t>
      </w:r>
      <w:r w:rsidR="00161666" w:rsidRPr="00227927">
        <w:rPr>
          <w:rFonts w:ascii="Times New Roman" w:hAnsi="Times New Roman" w:cs="Times New Roman"/>
        </w:rPr>
        <w:lastRenderedPageBreak/>
        <w:t xml:space="preserve">of higher education. </w:t>
      </w:r>
      <w:r w:rsidR="00FB2398" w:rsidRPr="00FB2398">
        <w:rPr>
          <w:rFonts w:ascii="Times New Roman" w:hAnsi="Times New Roman" w:cs="Times New Roman"/>
          <w:highlight w:val="yellow"/>
        </w:rPr>
        <w:t xml:space="preserve">In a meta-analysis, </w:t>
      </w:r>
      <w:proofErr w:type="spellStart"/>
      <w:r w:rsidR="00FB2398" w:rsidRPr="00FB2398">
        <w:rPr>
          <w:rFonts w:ascii="Times New Roman" w:hAnsi="Times New Roman" w:cs="Times New Roman"/>
          <w:highlight w:val="yellow"/>
        </w:rPr>
        <w:t>Per</w:t>
      </w:r>
      <w:r w:rsidR="00FB2398">
        <w:rPr>
          <w:rFonts w:ascii="Times New Roman" w:hAnsi="Times New Roman" w:cs="Times New Roman"/>
          <w:highlight w:val="yellow"/>
        </w:rPr>
        <w:t>era</w:t>
      </w:r>
      <w:proofErr w:type="spellEnd"/>
      <w:r w:rsidR="00FB2398">
        <w:rPr>
          <w:rFonts w:ascii="Times New Roman" w:hAnsi="Times New Roman" w:cs="Times New Roman"/>
          <w:highlight w:val="yellow"/>
        </w:rPr>
        <w:t xml:space="preserve"> and DiGiacomo (2013) exposed that </w:t>
      </w:r>
      <w:r w:rsidR="00FB2398" w:rsidRPr="00FB2398">
        <w:rPr>
          <w:rFonts w:ascii="Times New Roman" w:hAnsi="Times New Roman" w:cs="Times New Roman"/>
          <w:highlight w:val="yellow"/>
        </w:rPr>
        <w:t>EI enhances academic outcomes, including self-motivation, self-regulation, stress management, and socially adaptive behaviors. These mechanisms are particularly relevant in HEIs, where students frequently encounter academic pressure, collaboration demands, and self-directed learning environments.</w:t>
      </w:r>
      <w:r w:rsidR="00FB2398" w:rsidRPr="00227927">
        <w:rPr>
          <w:rFonts w:ascii="Times New Roman" w:hAnsi="Times New Roman" w:cs="Times New Roman"/>
        </w:rPr>
        <w:t xml:space="preserve"> </w:t>
      </w:r>
      <w:r w:rsidR="00161666" w:rsidRPr="00227927">
        <w:rPr>
          <w:rFonts w:ascii="Times New Roman" w:hAnsi="Times New Roman" w:cs="Times New Roman"/>
        </w:rPr>
        <w:t xml:space="preserve">Research suggests that EI enables students to regulate stress, sustain motivation, and adopt adaptive learning strategies, thereby facilitating stronger academic outcomes (Emon et al., 2023; MacCann et al., 2020; </w:t>
      </w:r>
      <w:proofErr w:type="spellStart"/>
      <w:r w:rsidR="00161666" w:rsidRPr="00227927">
        <w:rPr>
          <w:rFonts w:ascii="Times New Roman" w:hAnsi="Times New Roman" w:cs="Times New Roman"/>
        </w:rPr>
        <w:t>Quílez-Robres</w:t>
      </w:r>
      <w:proofErr w:type="spellEnd"/>
      <w:r w:rsidR="00161666" w:rsidRPr="00227927">
        <w:rPr>
          <w:rFonts w:ascii="Times New Roman" w:hAnsi="Times New Roman" w:cs="Times New Roman"/>
        </w:rPr>
        <w:t xml:space="preserve"> et al., 2023).</w:t>
      </w:r>
    </w:p>
    <w:p w14:paraId="2D253A22" w14:textId="77777777" w:rsidR="008C045E" w:rsidRPr="00227927" w:rsidRDefault="008C045E" w:rsidP="008C045E">
      <w:pPr>
        <w:spacing w:after="0" w:line="360" w:lineRule="auto"/>
        <w:jc w:val="both"/>
        <w:rPr>
          <w:rFonts w:ascii="Times New Roman" w:hAnsi="Times New Roman" w:cs="Times New Roman"/>
        </w:rPr>
      </w:pPr>
    </w:p>
    <w:p w14:paraId="48134A3D" w14:textId="694E2193"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a comprehensive meta-analysis, MacCann et al. (2020) demonstrated that emotionally intelligent students consistently outperform their peers academically across diverse educational contexts. Similarly,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found a positive correlation between EI and academic outcomes, with variations observed across developmental stages, educational settings, and performance domains. Emotionally intelligent students typically exhibit better stress management and anxiety control, enhancing concentration and cognitive efficiency during learning and assessment tasks (Estrada et al., 2021; Rehman et al., 2021). EI also p</w:t>
      </w:r>
      <w:r w:rsidR="008C045E" w:rsidRPr="00227927">
        <w:rPr>
          <w:rFonts w:ascii="Times New Roman" w:hAnsi="Times New Roman" w:cs="Times New Roman"/>
        </w:rPr>
        <w:t xml:space="preserve">romotes goal-directed behaviors </w:t>
      </w:r>
      <w:r w:rsidRPr="00227927">
        <w:rPr>
          <w:rFonts w:ascii="Times New Roman" w:hAnsi="Times New Roman" w:cs="Times New Roman"/>
        </w:rPr>
        <w:t>such as persistence</w:t>
      </w:r>
      <w:r w:rsidR="008C045E" w:rsidRPr="00227927">
        <w:rPr>
          <w:rFonts w:ascii="Times New Roman" w:hAnsi="Times New Roman" w:cs="Times New Roman"/>
        </w:rPr>
        <w:t xml:space="preserve">, planning, and self-regulation </w:t>
      </w:r>
      <w:r w:rsidRPr="00227927">
        <w:rPr>
          <w:rFonts w:ascii="Times New Roman" w:hAnsi="Times New Roman" w:cs="Times New Roman"/>
        </w:rPr>
        <w:t>that support long-term academic achievement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w:t>
      </w:r>
      <w:r w:rsidR="00EC6A92">
        <w:rPr>
          <w:rFonts w:ascii="Times New Roman" w:hAnsi="Times New Roman" w:cs="Times New Roman"/>
        </w:rPr>
        <w:t xml:space="preserve">; </w:t>
      </w:r>
      <w:proofErr w:type="spellStart"/>
      <w:r w:rsidR="00EC6A92">
        <w:rPr>
          <w:rFonts w:ascii="Times New Roman" w:hAnsi="Times New Roman" w:cs="Times New Roman"/>
        </w:rPr>
        <w:t>Ononye</w:t>
      </w:r>
      <w:proofErr w:type="spellEnd"/>
      <w:r w:rsidR="00EC6A92">
        <w:rPr>
          <w:rFonts w:ascii="Times New Roman" w:hAnsi="Times New Roman" w:cs="Times New Roman"/>
        </w:rPr>
        <w:t xml:space="preserve"> et al., 2022</w:t>
      </w:r>
      <w:r w:rsidRPr="00227927">
        <w:rPr>
          <w:rFonts w:ascii="Times New Roman" w:hAnsi="Times New Roman" w:cs="Times New Roman"/>
        </w:rPr>
        <w:t>). Moreover, EI strengthens interpersonal competence, helping students collaborate effectively, seek academic support, and maintain positive peer relationships, which collectively foster a supportive learning environment (Chew et al., 2013; Wijekoon et al., 2017).</w:t>
      </w:r>
    </w:p>
    <w:p w14:paraId="0229276F" w14:textId="77777777" w:rsidR="008C045E" w:rsidRPr="00227927" w:rsidRDefault="008C045E" w:rsidP="008C045E">
      <w:pPr>
        <w:spacing w:after="0" w:line="360" w:lineRule="auto"/>
        <w:jc w:val="both"/>
        <w:rPr>
          <w:rFonts w:ascii="Times New Roman" w:hAnsi="Times New Roman" w:cs="Times New Roman"/>
        </w:rPr>
      </w:pPr>
    </w:p>
    <w:p w14:paraId="2713E34C"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Empirical studies across multiple disciplines corroborate these findings. Estrada et al. (2021) reported that EI influences AP both directly and indirectly through engagement-related behaviors and compassion-driven interactions. Rehman et al. (2021) found that students with higher EI perform better across various subjects, while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identified </w:t>
      </w:r>
      <w:r w:rsidRPr="00227927">
        <w:rPr>
          <w:rStyle w:val="Strong"/>
          <w:rFonts w:ascii="Times New Roman" w:hAnsi="Times New Roman" w:cs="Times New Roman"/>
          <w:b w:val="0"/>
          <w:bCs w:val="0"/>
        </w:rPr>
        <w:t>academic resilience</w:t>
      </w:r>
      <w:r w:rsidRPr="00227927">
        <w:rPr>
          <w:rFonts w:ascii="Times New Roman" w:hAnsi="Times New Roman" w:cs="Times New Roman"/>
        </w:rPr>
        <w:t xml:space="preserve"> as a mediating factor between EI and AP, suggesting that emotionally competent students are better equipped to overcome academic setbacks. Collectively, these findings establish EI as a critical determinant of academic success.</w:t>
      </w:r>
    </w:p>
    <w:p w14:paraId="4103ABFB" w14:textId="77777777" w:rsidR="00161666" w:rsidRPr="00227927" w:rsidRDefault="00161666" w:rsidP="008C045E">
      <w:pPr>
        <w:spacing w:after="0" w:line="360" w:lineRule="auto"/>
        <w:jc w:val="both"/>
        <w:rPr>
          <w:rFonts w:ascii="Times New Roman" w:hAnsi="Times New Roman" w:cs="Times New Roman"/>
          <w:i/>
          <w:iCs/>
        </w:rPr>
      </w:pPr>
      <w:r w:rsidRPr="00227927">
        <w:rPr>
          <w:rStyle w:val="Strong"/>
          <w:rFonts w:ascii="Times New Roman" w:hAnsi="Times New Roman" w:cs="Times New Roman"/>
          <w:b w:val="0"/>
          <w:bCs w:val="0"/>
          <w:i/>
          <w:iCs/>
        </w:rPr>
        <w:t>H1:</w:t>
      </w:r>
      <w:r w:rsidRPr="00227927">
        <w:rPr>
          <w:rFonts w:ascii="Times New Roman" w:hAnsi="Times New Roman" w:cs="Times New Roman"/>
          <w:i/>
          <w:iCs/>
        </w:rPr>
        <w:t xml:space="preserve"> Emotional intelligence has a significant effect on academic performance.</w:t>
      </w:r>
    </w:p>
    <w:p w14:paraId="44E9A010" w14:textId="123CCF01" w:rsidR="00161666" w:rsidRPr="00227927" w:rsidRDefault="00161666" w:rsidP="008C045E">
      <w:pPr>
        <w:spacing w:after="0" w:line="360" w:lineRule="auto"/>
        <w:jc w:val="both"/>
        <w:rPr>
          <w:rFonts w:ascii="Times New Roman" w:hAnsi="Times New Roman" w:cs="Times New Roman"/>
        </w:rPr>
      </w:pPr>
    </w:p>
    <w:p w14:paraId="51AE6485" w14:textId="77777777" w:rsidR="00161666" w:rsidRPr="00227927" w:rsidRDefault="00161666" w:rsidP="008C045E">
      <w:pPr>
        <w:spacing w:after="0" w:line="360" w:lineRule="auto"/>
        <w:jc w:val="both"/>
        <w:rPr>
          <w:rFonts w:ascii="Times New Roman" w:hAnsi="Times New Roman" w:cs="Times New Roman"/>
          <w:b/>
          <w:bCs/>
        </w:rPr>
      </w:pPr>
      <w:r w:rsidRPr="00227927">
        <w:rPr>
          <w:rFonts w:ascii="Times New Roman" w:hAnsi="Times New Roman" w:cs="Times New Roman"/>
          <w:b/>
          <w:bCs/>
        </w:rPr>
        <w:t>2.2 Emotional Intelligence, Academic Engagement, and Academic Performance</w:t>
      </w:r>
    </w:p>
    <w:p w14:paraId="2A5332EF" w14:textId="026AFA12"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lastRenderedPageBreak/>
        <w:t xml:space="preserve">A positive attitude and active participation in academic activities are the core components of </w:t>
      </w:r>
      <w:r w:rsidR="008C045E" w:rsidRPr="00227927">
        <w:rPr>
          <w:rStyle w:val="Strong"/>
          <w:rFonts w:ascii="Times New Roman" w:hAnsi="Times New Roman" w:cs="Times New Roman"/>
          <w:b w:val="0"/>
          <w:bCs w:val="0"/>
        </w:rPr>
        <w:t>academic engagement</w:t>
      </w:r>
      <w:r w:rsidRPr="00227927">
        <w:rPr>
          <w:rFonts w:ascii="Times New Roman" w:hAnsi="Times New Roman" w:cs="Times New Roman"/>
        </w:rPr>
        <w:t xml:space="preserve">, a multidimensional construct closely linked to academic achievement (Appleton et al., 2008). AE comprises three dimensions: (a) </w:t>
      </w:r>
      <w:r w:rsidRPr="00227927">
        <w:rPr>
          <w:rStyle w:val="Strong"/>
          <w:rFonts w:ascii="Times New Roman" w:hAnsi="Times New Roman" w:cs="Times New Roman"/>
          <w:b w:val="0"/>
          <w:bCs w:val="0"/>
        </w:rPr>
        <w:t>vigor</w:t>
      </w:r>
      <w:r w:rsidRPr="00227927">
        <w:rPr>
          <w:rFonts w:ascii="Times New Roman" w:hAnsi="Times New Roman" w:cs="Times New Roman"/>
        </w:rPr>
        <w:t xml:space="preserve">, reflecting resilience, energy, and proactive behavior toward learning; (b) </w:t>
      </w:r>
      <w:r w:rsidRPr="00227927">
        <w:rPr>
          <w:rStyle w:val="Strong"/>
          <w:rFonts w:ascii="Times New Roman" w:hAnsi="Times New Roman" w:cs="Times New Roman"/>
          <w:b w:val="0"/>
          <w:bCs w:val="0"/>
        </w:rPr>
        <w:t>dedication</w:t>
      </w:r>
      <w:r w:rsidRPr="00227927">
        <w:rPr>
          <w:rFonts w:ascii="Times New Roman" w:hAnsi="Times New Roman" w:cs="Times New Roman"/>
        </w:rPr>
        <w:t xml:space="preserve">, involving the perception of academic tasks as meaningful and feelings of pride, enthusiasm, and inspiration; and (c) </w:t>
      </w:r>
      <w:r w:rsidRPr="00227927">
        <w:rPr>
          <w:rStyle w:val="Strong"/>
          <w:rFonts w:ascii="Times New Roman" w:hAnsi="Times New Roman" w:cs="Times New Roman"/>
          <w:b w:val="0"/>
          <w:bCs w:val="0"/>
        </w:rPr>
        <w:t>absorption</w:t>
      </w:r>
      <w:r w:rsidRPr="00227927">
        <w:rPr>
          <w:rFonts w:ascii="Times New Roman" w:hAnsi="Times New Roman" w:cs="Times New Roman"/>
        </w:rPr>
        <w:t>, characterized by deep focus and immersion in study activities to the extent that time seems to pass unnoticed (Schaufeli et al., 2002). Fredericks et al. (2004) assert that both contextual and personal factors shape the degree of student engagement.</w:t>
      </w:r>
    </w:p>
    <w:p w14:paraId="7FDA8D4F" w14:textId="77777777" w:rsidR="008C045E" w:rsidRPr="00227927" w:rsidRDefault="008C045E" w:rsidP="008C045E">
      <w:pPr>
        <w:spacing w:after="0" w:line="360" w:lineRule="auto"/>
        <w:jc w:val="both"/>
        <w:rPr>
          <w:rFonts w:ascii="Times New Roman" w:hAnsi="Times New Roman" w:cs="Times New Roman"/>
        </w:rPr>
      </w:pPr>
    </w:p>
    <w:p w14:paraId="54D5D4E3"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Research shows that students with higher emotional intelligence are more capable of managing emotional responses, regulating stress, and sustaining motivation—resulting in greater engagement in educational activities (Barragan Martin et al., 2021; Thomas &amp; Allen, 2021). Thomas and Allen (2021) emphasized that EI enhances academic performance by enabling students to recover from setbacks and maintain active participation. Similarly, Chen and Zhang (2022) found that EI fosters intrinsic motivation and autonomy, leading to increased cognitive and emotional involvement in academic tasks. Shinwari et al. (2023) observed that students with higher EI tend to be more attentive, cooperative, and enthusiastic in group activities, as they effectively manage emotions and maintain positive peer relationships. During the COVID-19 pandemic, Moreno-Fernandez et al. (2020) further noted that students with higher EI experienced lower levels of academic burnout, indicating that emotional regulation supports sustained engagement even under stressful conditions.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 also emphasized that interventions aimed at enhancing emotional awareness and regulation substantially increase student engagement levels.</w:t>
      </w:r>
    </w:p>
    <w:p w14:paraId="135D3194" w14:textId="77777777" w:rsidR="008C045E" w:rsidRPr="00227927" w:rsidRDefault="008C045E" w:rsidP="008C045E">
      <w:pPr>
        <w:spacing w:after="0" w:line="360" w:lineRule="auto"/>
        <w:jc w:val="both"/>
        <w:rPr>
          <w:rFonts w:ascii="Times New Roman" w:hAnsi="Times New Roman" w:cs="Times New Roman"/>
        </w:rPr>
      </w:pPr>
    </w:p>
    <w:p w14:paraId="2A54EF0B" w14:textId="38D2A7DE"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turn, engaged students are better able to utilize their cognitive resources efficiently, exhibit persistence, and adopt effective study strategies, all of which contribute to improved learning outcomes (Khan et al., 2023; Wang et al., 2020). </w:t>
      </w:r>
      <w:r w:rsidRPr="00227927">
        <w:rPr>
          <w:rStyle w:val="Strong"/>
          <w:rFonts w:ascii="Times New Roman" w:hAnsi="Times New Roman" w:cs="Times New Roman"/>
          <w:b w:val="0"/>
          <w:bCs w:val="0"/>
        </w:rPr>
        <w:t>Cognitive engagement</w:t>
      </w:r>
      <w:r w:rsidR="00FD56E2">
        <w:rPr>
          <w:rFonts w:ascii="Times New Roman" w:hAnsi="Times New Roman" w:cs="Times New Roman"/>
        </w:rPr>
        <w:t xml:space="preserve"> (</w:t>
      </w:r>
      <w:r w:rsidRPr="00227927">
        <w:rPr>
          <w:rFonts w:ascii="Times New Roman" w:hAnsi="Times New Roman" w:cs="Times New Roman"/>
        </w:rPr>
        <w:t>involves deep thinking and strategic learning</w:t>
      </w:r>
      <w:r w:rsidR="00FD56E2">
        <w:rPr>
          <w:rFonts w:ascii="Times New Roman" w:hAnsi="Times New Roman" w:cs="Times New Roman"/>
        </w:rPr>
        <w:t xml:space="preserv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emotional engagement</w:t>
      </w:r>
      <w:r w:rsidR="00FD56E2">
        <w:rPr>
          <w:rStyle w:val="Strong"/>
          <w:rFonts w:ascii="Times New Roman" w:hAnsi="Times New Roman" w:cs="Times New Roman"/>
          <w:b w:val="0"/>
          <w:bCs w:val="0"/>
        </w:rPr>
        <w:t xml:space="preserve"> (</w:t>
      </w:r>
      <w:r w:rsidRPr="00227927">
        <w:rPr>
          <w:rFonts w:ascii="Times New Roman" w:hAnsi="Times New Roman" w:cs="Times New Roman"/>
        </w:rPr>
        <w:t>reflects positive emotions such as hope, pride, and enjoyment</w:t>
      </w:r>
      <w:r w:rsidR="00FD56E2">
        <w:rPr>
          <w:rFonts w:ascii="Times New Roman" w:hAnsi="Times New Roman" w:cs="Times New Roman"/>
        </w:rPr>
        <w:t xml:space="preserve">) </w:t>
      </w:r>
      <w:r w:rsidRPr="00227927">
        <w:rPr>
          <w:rFonts w:ascii="Times New Roman" w:hAnsi="Times New Roman" w:cs="Times New Roman"/>
        </w:rPr>
        <w:t xml:space="preserve">together foster sustained learning and academic productivity (Derakhshan &amp; Yin, 2024). </w:t>
      </w:r>
      <w:r w:rsidRPr="00227927">
        <w:rPr>
          <w:rStyle w:val="Strong"/>
          <w:rFonts w:ascii="Times New Roman" w:hAnsi="Times New Roman" w:cs="Times New Roman"/>
          <w:b w:val="0"/>
          <w:bCs w:val="0"/>
        </w:rPr>
        <w:t>Behavioral engagement</w:t>
      </w:r>
      <w:r w:rsidRPr="00227927">
        <w:rPr>
          <w:rFonts w:ascii="Times New Roman" w:hAnsi="Times New Roman" w:cs="Times New Roman"/>
        </w:rPr>
        <w:t>, expressed through classroom participation and timely completion of assignments, ensures consistent practice and knowledge consolidation (Fredricks et al., 2004; Pan et al., 2023).</w:t>
      </w:r>
    </w:p>
    <w:p w14:paraId="7E6C148C" w14:textId="77777777" w:rsidR="008C045E" w:rsidRPr="00227927" w:rsidRDefault="008C045E" w:rsidP="008C045E">
      <w:pPr>
        <w:spacing w:after="0" w:line="360" w:lineRule="auto"/>
        <w:jc w:val="both"/>
        <w:rPr>
          <w:rFonts w:ascii="Times New Roman" w:hAnsi="Times New Roman" w:cs="Times New Roman"/>
        </w:rPr>
      </w:pPr>
    </w:p>
    <w:p w14:paraId="56822387" w14:textId="350A4BFD"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Furthermore, studies indicate that highly engaged students with strong emotional intelligence can channel emotional regulation, resilience, and motivation into sustained academic effort, translating non-cognitive skills into measurable achievement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Shinwari et al., 2023). Khan et al. (2023) and Wang et al. (2020) highlighted that engagement facilitates both cognitive processing and behavioral execution, forming a reinforcing cycle that improves academic performance. Hence, exploring </w:t>
      </w:r>
      <w:r w:rsidRPr="00227927">
        <w:rPr>
          <w:rStyle w:val="Strong"/>
          <w:rFonts w:ascii="Times New Roman" w:hAnsi="Times New Roman" w:cs="Times New Roman"/>
          <w:b w:val="0"/>
          <w:bCs w:val="0"/>
        </w:rPr>
        <w:t>academic engagement as a mediating variable</w:t>
      </w:r>
      <w:r w:rsidRPr="00227927">
        <w:rPr>
          <w:rFonts w:ascii="Times New Roman" w:hAnsi="Times New Roman" w:cs="Times New Roman"/>
        </w:rPr>
        <w:t xml:space="preserve"> in the relationship between emotional intelligence and academic performance is essential for understanding how emotional and behavioral mechanisms interact to shape student achievement.</w:t>
      </w:r>
      <w:r w:rsidR="008C045E" w:rsidRPr="00227927">
        <w:rPr>
          <w:rFonts w:ascii="Times New Roman" w:hAnsi="Times New Roman" w:cs="Times New Roman"/>
        </w:rPr>
        <w:t xml:space="preserve"> </w:t>
      </w:r>
      <w:r w:rsidRPr="00227927">
        <w:rPr>
          <w:rFonts w:ascii="Times New Roman" w:hAnsi="Times New Roman" w:cs="Times New Roman"/>
        </w:rPr>
        <w:t xml:space="preserve">Based on the above review of literature, the following hypotheses are proposed, and the conceptual model is illustrated in </w:t>
      </w:r>
      <w:r w:rsidRPr="00227927">
        <w:rPr>
          <w:rStyle w:val="Strong"/>
          <w:rFonts w:ascii="Times New Roman" w:hAnsi="Times New Roman" w:cs="Times New Roman"/>
          <w:b w:val="0"/>
          <w:bCs w:val="0"/>
        </w:rPr>
        <w:t>Figure 1</w:t>
      </w:r>
      <w:r w:rsidRPr="00227927">
        <w:rPr>
          <w:rFonts w:ascii="Times New Roman" w:hAnsi="Times New Roman" w:cs="Times New Roman"/>
        </w:rPr>
        <w:t>.</w:t>
      </w:r>
    </w:p>
    <w:p w14:paraId="461EE804" w14:textId="65F2DA44" w:rsidR="005B6D68"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H2: Emotional intelligence has a positive and significant effect on academic engagement</w:t>
      </w:r>
      <w:r w:rsidR="009C5C0C">
        <w:rPr>
          <w:rFonts w:ascii="Times New Roman" w:hAnsi="Times New Roman" w:cs="Times New Roman"/>
          <w:i/>
          <w:iCs/>
        </w:rPr>
        <w:t>.</w:t>
      </w:r>
    </w:p>
    <w:p w14:paraId="2AB7B5F9" w14:textId="527AAC53" w:rsidR="005B6D68" w:rsidRPr="00227927" w:rsidRDefault="005B6D68" w:rsidP="000273F6">
      <w:pPr>
        <w:spacing w:after="0" w:line="360" w:lineRule="auto"/>
        <w:jc w:val="both"/>
        <w:rPr>
          <w:rFonts w:ascii="Times New Roman" w:hAnsi="Times New Roman" w:cs="Times New Roman"/>
          <w:i/>
          <w:iCs/>
        </w:rPr>
      </w:pPr>
      <w:r w:rsidRPr="00227927">
        <w:rPr>
          <w:rFonts w:ascii="Times New Roman" w:hAnsi="Times New Roman" w:cs="Times New Roman"/>
          <w:i/>
          <w:iCs/>
        </w:rPr>
        <w:t>H3: Academic engagement has a positive and significant effect on academic performance</w:t>
      </w:r>
      <w:r w:rsidR="009C5C0C">
        <w:rPr>
          <w:rFonts w:ascii="Times New Roman" w:hAnsi="Times New Roman" w:cs="Times New Roman"/>
          <w:i/>
          <w:iCs/>
        </w:rPr>
        <w:t>.</w:t>
      </w:r>
    </w:p>
    <w:p w14:paraId="5FC58E33" w14:textId="730CA4DB" w:rsidR="006C4F81"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H4: Academic engagement mediates the relationship between emotional intelligence and academic performance</w:t>
      </w:r>
      <w:r w:rsidR="009C5C0C">
        <w:rPr>
          <w:rFonts w:ascii="Times New Roman" w:hAnsi="Times New Roman" w:cs="Times New Roman"/>
          <w:i/>
          <w:iCs/>
        </w:rPr>
        <w:t>.</w:t>
      </w:r>
    </w:p>
    <w:p w14:paraId="1BFF33F0" w14:textId="77777777" w:rsidR="00251CA5" w:rsidRPr="00227927" w:rsidRDefault="00251CA5" w:rsidP="000273F6">
      <w:pPr>
        <w:spacing w:after="0" w:line="360" w:lineRule="auto"/>
        <w:rPr>
          <w:rFonts w:ascii="Times New Roman" w:hAnsi="Times New Roman" w:cs="Times New Roman"/>
        </w:rPr>
      </w:pPr>
    </w:p>
    <w:p w14:paraId="60E511DD"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1312" behindDoc="0" locked="0" layoutInCell="1" allowOverlap="1" wp14:anchorId="33C643E4" wp14:editId="58274FFA">
                <wp:simplePos x="0" y="0"/>
                <wp:positionH relativeFrom="margin">
                  <wp:align>left</wp:align>
                </wp:positionH>
                <wp:positionV relativeFrom="paragraph">
                  <wp:posOffset>5715</wp:posOffset>
                </wp:positionV>
                <wp:extent cx="5497286" cy="1981019"/>
                <wp:effectExtent l="0" t="0" r="27305" b="19685"/>
                <wp:wrapNone/>
                <wp:docPr id="191904034" name="Rectangle 21"/>
                <wp:cNvGraphicFramePr/>
                <a:graphic xmlns:a="http://schemas.openxmlformats.org/drawingml/2006/main">
                  <a:graphicData uri="http://schemas.microsoft.com/office/word/2010/wordprocessingShape">
                    <wps:wsp>
                      <wps:cNvSpPr/>
                      <wps:spPr>
                        <a:xfrm>
                          <a:off x="0" y="0"/>
                          <a:ext cx="5497286" cy="198101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3C643E4" id="Rectangle 21" o:spid="_x0000_s1026" style="position:absolute;left:0;text-align:left;margin-left:0;margin-top:.45pt;width:432.85pt;height:1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" filled="f" strokecolor="#09101d [484]" strokeweight=".25pt">
                <v:textbo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v:textbox>
                <w10:wrap anchorx="margin"/>
              </v:rect>
            </w:pict>
          </mc:Fallback>
        </mc:AlternateContent>
      </w:r>
      <w:r w:rsidRPr="00227927">
        <w:rPr>
          <w:b/>
          <w:noProof/>
          <w:lang w:val="en-GB" w:eastAsia="en-GB" w:bidi="bn-BD"/>
        </w:rPr>
        <mc:AlternateContent>
          <mc:Choice Requires="wps">
            <w:drawing>
              <wp:anchor distT="0" distB="0" distL="114300" distR="114300" simplePos="0" relativeHeight="251664384" behindDoc="0" locked="0" layoutInCell="1" allowOverlap="1" wp14:anchorId="773414F7" wp14:editId="24153E32">
                <wp:simplePos x="0" y="0"/>
                <wp:positionH relativeFrom="column">
                  <wp:posOffset>2360476</wp:posOffset>
                </wp:positionH>
                <wp:positionV relativeFrom="paragraph">
                  <wp:posOffset>260720</wp:posOffset>
                </wp:positionV>
                <wp:extent cx="1127760" cy="579673"/>
                <wp:effectExtent l="57150" t="38100" r="72390" b="87630"/>
                <wp:wrapNone/>
                <wp:docPr id="824537913" name="Rectangle: Rounded Corners 26"/>
                <wp:cNvGraphicFramePr/>
                <a:graphic xmlns:a="http://schemas.openxmlformats.org/drawingml/2006/main">
                  <a:graphicData uri="http://schemas.microsoft.com/office/word/2010/wordprocessingShape">
                    <wps:wsp>
                      <wps:cNvSpPr/>
                      <wps:spPr>
                        <a:xfrm>
                          <a:off x="0" y="0"/>
                          <a:ext cx="1127760" cy="57967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73414F7" id="Rectangle: Rounded Corners 26" o:spid="_x0000_s1027" style="position:absolute;left:0;text-align:left;margin-left:185.85pt;margin-top:20.55pt;width:88.8pt;height:45.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" fillcolor="#82a0d7 [2164]" strokecolor="#4472c4 [3204]" strokeweight=".5pt">
                <v:fill color2="#678ccf [2612]" rotate="t" colors="0 #a8b7df;.5 #9aabd9;1 #879ed7" focus="100%" type="gradient">
                  <o:fill v:ext="view" type="gradientUnscaled"/>
                </v:fill>
                <v:stroke joinstyle="miter"/>
                <v:textbo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v:textbox>
              </v:roundrect>
            </w:pict>
          </mc:Fallback>
        </mc:AlternateContent>
      </w:r>
    </w:p>
    <w:p w14:paraId="4EEB22BA"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3360" behindDoc="0" locked="0" layoutInCell="1" allowOverlap="1" wp14:anchorId="5DFFBE62" wp14:editId="3737949D">
                <wp:simplePos x="0" y="0"/>
                <wp:positionH relativeFrom="column">
                  <wp:posOffset>1204776</wp:posOffset>
                </wp:positionH>
                <wp:positionV relativeFrom="paragraph">
                  <wp:posOffset>263173</wp:posOffset>
                </wp:positionV>
                <wp:extent cx="1155700" cy="933464"/>
                <wp:effectExtent l="0" t="38100" r="63500" b="19050"/>
                <wp:wrapNone/>
                <wp:docPr id="631138567" name="Straight Arrow Connector 32"/>
                <wp:cNvGraphicFramePr/>
                <a:graphic xmlns:a="http://schemas.openxmlformats.org/drawingml/2006/main">
                  <a:graphicData uri="http://schemas.microsoft.com/office/word/2010/wordprocessingShape">
                    <wps:wsp>
                      <wps:cNvCnPr/>
                      <wps:spPr>
                        <a:xfrm flipV="1">
                          <a:off x="0" y="0"/>
                          <a:ext cx="1155700" cy="933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DE4EDB" id="_x0000_t32" coordsize="21600,21600" o:spt="32" o:oned="t" path="m,l21600,21600e" filled="f">
                <v:path arrowok="t" fillok="f" o:connecttype="none"/>
                <o:lock v:ext="edit" shapetype="t"/>
              </v:shapetype>
              <v:shape id="Straight Arrow Connector 32" o:spid="_x0000_s1026" type="#_x0000_t32" style="position:absolute;margin-left:94.85pt;margin-top:20.7pt;width:91pt;height:7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" strokecolor="#4472c4 [3204]" strokeweight=".5pt">
                <v:stroke endarrow="block" joinstyle="miter"/>
              </v:shape>
            </w:pict>
          </mc:Fallback>
        </mc:AlternateContent>
      </w:r>
    </w:p>
    <w:p w14:paraId="2DA01270"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5408" behindDoc="0" locked="0" layoutInCell="1" allowOverlap="1" wp14:anchorId="6A4D0ACC" wp14:editId="28A4240E">
                <wp:simplePos x="0" y="0"/>
                <wp:positionH relativeFrom="column">
                  <wp:posOffset>3488055</wp:posOffset>
                </wp:positionH>
                <wp:positionV relativeFrom="paragraph">
                  <wp:posOffset>20683</wp:posOffset>
                </wp:positionV>
                <wp:extent cx="941614" cy="919843"/>
                <wp:effectExtent l="0" t="0" r="68580" b="52070"/>
                <wp:wrapNone/>
                <wp:docPr id="1537992879" name="Straight Arrow Connector 31"/>
                <wp:cNvGraphicFramePr/>
                <a:graphic xmlns:a="http://schemas.openxmlformats.org/drawingml/2006/main">
                  <a:graphicData uri="http://schemas.microsoft.com/office/word/2010/wordprocessingShape">
                    <wps:wsp>
                      <wps:cNvCnPr/>
                      <wps:spPr>
                        <a:xfrm>
                          <a:off x="0" y="0"/>
                          <a:ext cx="941614" cy="9198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0735A4" id="Straight Arrow Connector 31" o:spid="_x0000_s1026" type="#_x0000_t32" style="position:absolute;margin-left:274.65pt;margin-top:1.65pt;width:74.15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" strokecolor="#4472c4 [3204]" strokeweight=".5pt">
                <v:stroke endarrow="block" joinstyle="miter"/>
              </v:shape>
            </w:pict>
          </mc:Fallback>
        </mc:AlternateContent>
      </w:r>
    </w:p>
    <w:p w14:paraId="70F0167F"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6432" behindDoc="0" locked="0" layoutInCell="1" allowOverlap="1" wp14:anchorId="3C07EECC" wp14:editId="1760ED6A">
                <wp:simplePos x="0" y="0"/>
                <wp:positionH relativeFrom="column">
                  <wp:posOffset>1528626</wp:posOffset>
                </wp:positionH>
                <wp:positionV relativeFrom="paragraph">
                  <wp:posOffset>138810</wp:posOffset>
                </wp:positionV>
                <wp:extent cx="222250" cy="285754"/>
                <wp:effectExtent l="0" t="0" r="6350" b="0"/>
                <wp:wrapNone/>
                <wp:docPr id="99569140" name="Text Box 37"/>
                <wp:cNvGraphicFramePr/>
                <a:graphic xmlns:a="http://schemas.openxmlformats.org/drawingml/2006/main">
                  <a:graphicData uri="http://schemas.microsoft.com/office/word/2010/wordprocessingShape">
                    <wps:wsp>
                      <wps:cNvSpPr txBox="1"/>
                      <wps:spPr>
                        <a:xfrm>
                          <a:off x="0" y="0"/>
                          <a:ext cx="222250" cy="285754"/>
                        </a:xfrm>
                        <a:prstGeom prst="rect">
                          <a:avLst/>
                        </a:prstGeom>
                        <a:solidFill>
                          <a:schemeClr val="lt1"/>
                        </a:solidFill>
                        <a:ln w="6350">
                          <a:noFill/>
                        </a:ln>
                      </wps:spPr>
                      <wps:txb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07EECC" id="_x0000_t202" coordsize="21600,21600" o:spt="202" path="m,l,21600r21600,l21600,xe">
                <v:stroke joinstyle="miter"/>
                <v:path gradientshapeok="t" o:connecttype="rect"/>
              </v:shapetype>
              <v:shape id="Text Box 37" o:spid="_x0000_s1028" type="#_x0000_t202" style="position:absolute;left:0;text-align:left;margin-left:120.35pt;margin-top:10.95pt;width:1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" fillcolor="white [3201]" stroked="f" strokeweight=".5pt">
                <v:textbo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v:textbox>
              </v:shape>
            </w:pict>
          </mc:Fallback>
        </mc:AlternateContent>
      </w:r>
      <w:r w:rsidRPr="00227927">
        <w:rPr>
          <w:noProof/>
          <w:lang w:val="en-GB" w:eastAsia="en-GB" w:bidi="bn-BD"/>
        </w:rPr>
        <mc:AlternateContent>
          <mc:Choice Requires="wps">
            <w:drawing>
              <wp:anchor distT="0" distB="0" distL="114300" distR="114300" simplePos="0" relativeHeight="251667456" behindDoc="0" locked="0" layoutInCell="1" allowOverlap="1" wp14:anchorId="7C80C529" wp14:editId="7318A4EF">
                <wp:simplePos x="0" y="0"/>
                <wp:positionH relativeFrom="column">
                  <wp:posOffset>3865426</wp:posOffset>
                </wp:positionH>
                <wp:positionV relativeFrom="paragraph">
                  <wp:posOffset>43559</wp:posOffset>
                </wp:positionV>
                <wp:extent cx="234950" cy="285754"/>
                <wp:effectExtent l="0" t="0" r="0" b="0"/>
                <wp:wrapNone/>
                <wp:docPr id="820685477" name="Text Box 37"/>
                <wp:cNvGraphicFramePr/>
                <a:graphic xmlns:a="http://schemas.openxmlformats.org/drawingml/2006/main">
                  <a:graphicData uri="http://schemas.microsoft.com/office/word/2010/wordprocessingShape">
                    <wps:wsp>
                      <wps:cNvSpPr txBox="1"/>
                      <wps:spPr>
                        <a:xfrm>
                          <a:off x="0" y="0"/>
                          <a:ext cx="234950" cy="285754"/>
                        </a:xfrm>
                        <a:prstGeom prst="rect">
                          <a:avLst/>
                        </a:prstGeom>
                        <a:solidFill>
                          <a:schemeClr val="lt1"/>
                        </a:solidFill>
                        <a:ln w="6350">
                          <a:noFill/>
                        </a:ln>
                      </wps:spPr>
                      <wps:txb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C80C529" id="_x0000_s1029" type="#_x0000_t202" style="position:absolute;left:0;text-align:left;margin-left:304.35pt;margin-top:3.45pt;width:18.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" fillcolor="white [3201]" stroked="f" strokeweight=".5pt">
                <v:textbo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v:textbox>
              </v:shape>
            </w:pict>
          </mc:Fallback>
        </mc:AlternateContent>
      </w:r>
    </w:p>
    <w:p w14:paraId="459BEEBD" w14:textId="77777777" w:rsidR="006C4F81" w:rsidRPr="00227927" w:rsidRDefault="006C4F81" w:rsidP="006C4F81">
      <w:pPr>
        <w:pStyle w:val="Default"/>
        <w:spacing w:line="360" w:lineRule="auto"/>
        <w:jc w:val="both"/>
      </w:pPr>
      <w:r w:rsidRPr="00227927">
        <w:rPr>
          <w:b/>
          <w:noProof/>
          <w:lang w:val="en-GB" w:eastAsia="en-GB" w:bidi="bn-BD"/>
        </w:rPr>
        <mc:AlternateContent>
          <mc:Choice Requires="wps">
            <w:drawing>
              <wp:anchor distT="0" distB="0" distL="114300" distR="114300" simplePos="0" relativeHeight="251660288" behindDoc="0" locked="0" layoutInCell="1" allowOverlap="1" wp14:anchorId="137C6C86" wp14:editId="275C025C">
                <wp:simplePos x="0" y="0"/>
                <wp:positionH relativeFrom="column">
                  <wp:posOffset>4431937</wp:posOffset>
                </wp:positionH>
                <wp:positionV relativeFrom="paragraph">
                  <wp:posOffset>179252</wp:posOffset>
                </wp:positionV>
                <wp:extent cx="1036320" cy="518160"/>
                <wp:effectExtent l="57150" t="38100" r="68580" b="91440"/>
                <wp:wrapNone/>
                <wp:docPr id="730168585" name="Rectangle: Rounded Corners 24"/>
                <wp:cNvGraphicFramePr/>
                <a:graphic xmlns:a="http://schemas.openxmlformats.org/drawingml/2006/main">
                  <a:graphicData uri="http://schemas.microsoft.com/office/word/2010/wordprocessingShape">
                    <wps:wsp>
                      <wps:cNvSpPr/>
                      <wps:spPr>
                        <a:xfrm>
                          <a:off x="0" y="0"/>
                          <a:ext cx="1036320" cy="5181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37C6C86" id="Rectangle: Rounded Corners 24" o:spid="_x0000_s1030" style="position:absolute;left:0;text-align:left;margin-left:348.95pt;margin-top:14.1pt;width:81.6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" fillcolor="#82a0d7 [2164]" strokecolor="#4472c4 [3204]" strokeweight=".5pt">
                <v:fill color2="#678ccf [2612]" rotate="t" colors="0 #a8b7df;.5 #9aabd9;1 #879ed7" focus="100%" type="gradient">
                  <o:fill v:ext="view" type="gradientUnscaled"/>
                </v:fill>
                <v:stroke joinstyle="miter"/>
                <v:textbo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v:textbox>
              </v:roundrect>
            </w:pict>
          </mc:Fallback>
        </mc:AlternateContent>
      </w:r>
      <w:r w:rsidRPr="00227927">
        <w:rPr>
          <w:b/>
          <w:noProof/>
          <w:lang w:val="en-GB" w:eastAsia="en-GB" w:bidi="bn-BD"/>
        </w:rPr>
        <mc:AlternateContent>
          <mc:Choice Requires="wps">
            <w:drawing>
              <wp:anchor distT="0" distB="0" distL="114300" distR="114300" simplePos="0" relativeHeight="251668480" behindDoc="0" locked="0" layoutInCell="1" allowOverlap="1" wp14:anchorId="0FD3474F" wp14:editId="37636AE8">
                <wp:simplePos x="0" y="0"/>
                <wp:positionH relativeFrom="column">
                  <wp:posOffset>1789884</wp:posOffset>
                </wp:positionH>
                <wp:positionV relativeFrom="paragraph">
                  <wp:posOffset>39189</wp:posOffset>
                </wp:positionV>
                <wp:extent cx="2090057" cy="309245"/>
                <wp:effectExtent l="0" t="0" r="5715" b="0"/>
                <wp:wrapNone/>
                <wp:docPr id="1698983715" name="Text Box 38"/>
                <wp:cNvGraphicFramePr/>
                <a:graphic xmlns:a="http://schemas.openxmlformats.org/drawingml/2006/main">
                  <a:graphicData uri="http://schemas.microsoft.com/office/word/2010/wordprocessingShape">
                    <wps:wsp>
                      <wps:cNvSpPr txBox="1"/>
                      <wps:spPr>
                        <a:xfrm>
                          <a:off x="0" y="0"/>
                          <a:ext cx="2090057" cy="309245"/>
                        </a:xfrm>
                        <a:prstGeom prst="rect">
                          <a:avLst/>
                        </a:prstGeom>
                        <a:solidFill>
                          <a:schemeClr val="lt1"/>
                        </a:solidFill>
                        <a:ln w="6350">
                          <a:noFill/>
                        </a:ln>
                      </wps:spPr>
                      <wps:txb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D3474F" id="Text Box 38" o:spid="_x0000_s1031" type="#_x0000_t202" style="position:absolute;left:0;text-align:left;margin-left:140.95pt;margin-top:3.1pt;width:164.55pt;height:2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d5MAIAAFs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" fillcolor="white [3201]" stroked="f" strokeweight=".5pt">
                <v:textbo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v:textbox>
              </v:shape>
            </w:pict>
          </mc:Fallback>
        </mc:AlternateContent>
      </w:r>
      <w:r w:rsidRPr="00227927">
        <w:rPr>
          <w:noProof/>
          <w:lang w:val="en-GB" w:eastAsia="en-GB" w:bidi="bn-BD"/>
        </w:rPr>
        <mc:AlternateContent>
          <mc:Choice Requires="wps">
            <w:drawing>
              <wp:anchor distT="0" distB="0" distL="114300" distR="114300" simplePos="0" relativeHeight="251662336" behindDoc="0" locked="0" layoutInCell="1" allowOverlap="1" wp14:anchorId="7C090B83" wp14:editId="020B9A81">
                <wp:simplePos x="0" y="0"/>
                <wp:positionH relativeFrom="column">
                  <wp:posOffset>137976</wp:posOffset>
                </wp:positionH>
                <wp:positionV relativeFrom="paragraph">
                  <wp:posOffset>182085</wp:posOffset>
                </wp:positionV>
                <wp:extent cx="1043940" cy="587837"/>
                <wp:effectExtent l="57150" t="38100" r="80010" b="98425"/>
                <wp:wrapNone/>
                <wp:docPr id="112449359" name="Rectangle 23"/>
                <wp:cNvGraphicFramePr/>
                <a:graphic xmlns:a="http://schemas.openxmlformats.org/drawingml/2006/main">
                  <a:graphicData uri="http://schemas.microsoft.com/office/word/2010/wordprocessingShape">
                    <wps:wsp>
                      <wps:cNvSpPr/>
                      <wps:spPr>
                        <a:xfrm>
                          <a:off x="0" y="0"/>
                          <a:ext cx="1043940" cy="58783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C090B83" id="Rectangle 23" o:spid="_x0000_s1032" style="position:absolute;left:0;text-align:left;margin-left:10.85pt;margin-top:14.35pt;width:82.2pt;height:4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" fillcolor="#ffd555 [2167]" strokecolor="#ffc000 [3207]" strokeweight=".5pt">
                <v:fill color2="#ffcc31 [2615]" rotate="t" colors="0 #ffdd9c;.5 #ffd78e;1 #ffd479" focus="100%" type="gradient">
                  <o:fill v:ext="view" type="gradientUnscaled"/>
                </v:fill>
                <v:textbo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v:textbox>
              </v:rect>
            </w:pict>
          </mc:Fallback>
        </mc:AlternateContent>
      </w:r>
    </w:p>
    <w:p w14:paraId="0A229205"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9504" behindDoc="0" locked="0" layoutInCell="1" allowOverlap="1" wp14:anchorId="1232E85C" wp14:editId="4608CC51">
                <wp:simplePos x="0" y="0"/>
                <wp:positionH relativeFrom="column">
                  <wp:posOffset>2727960</wp:posOffset>
                </wp:positionH>
                <wp:positionV relativeFrom="paragraph">
                  <wp:posOffset>89263</wp:posOffset>
                </wp:positionV>
                <wp:extent cx="222250" cy="285750"/>
                <wp:effectExtent l="0" t="0" r="6350" b="0"/>
                <wp:wrapNone/>
                <wp:docPr id="1971567968" name="Text Box 37"/>
                <wp:cNvGraphicFramePr/>
                <a:graphic xmlns:a="http://schemas.openxmlformats.org/drawingml/2006/main">
                  <a:graphicData uri="http://schemas.microsoft.com/office/word/2010/wordprocessingShape">
                    <wps:wsp>
                      <wps:cNvSpPr txBox="1"/>
                      <wps:spPr>
                        <a:xfrm>
                          <a:off x="0" y="0"/>
                          <a:ext cx="222250" cy="285750"/>
                        </a:xfrm>
                        <a:prstGeom prst="rect">
                          <a:avLst/>
                        </a:prstGeom>
                        <a:solidFill>
                          <a:schemeClr val="lt1"/>
                        </a:solidFill>
                        <a:ln w="6350">
                          <a:noFill/>
                        </a:ln>
                      </wps:spPr>
                      <wps:txb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32E85C" id="_x0000_s1033" type="#_x0000_t202" style="position:absolute;left:0;text-align:left;margin-left:214.8pt;margin-top:7.05pt;width:1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" fillcolor="white [3201]" stroked="f" strokeweight=".5pt">
                <v:textbo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v:textbox>
              </v:shape>
            </w:pict>
          </mc:Fallback>
        </mc:AlternateContent>
      </w:r>
      <w:r w:rsidRPr="00227927">
        <w:rPr>
          <w:noProof/>
          <w:lang w:val="en-GB" w:eastAsia="en-GB" w:bidi="bn-BD"/>
        </w:rPr>
        <mc:AlternateContent>
          <mc:Choice Requires="wps">
            <w:drawing>
              <wp:anchor distT="0" distB="0" distL="114300" distR="114300" simplePos="0" relativeHeight="251659264" behindDoc="0" locked="0" layoutInCell="1" allowOverlap="1" wp14:anchorId="5A93276D" wp14:editId="5A5C5EEE">
                <wp:simplePos x="0" y="0"/>
                <wp:positionH relativeFrom="column">
                  <wp:posOffset>1192076</wp:posOffset>
                </wp:positionH>
                <wp:positionV relativeFrom="paragraph">
                  <wp:posOffset>204949</wp:posOffset>
                </wp:positionV>
                <wp:extent cx="3230880" cy="40822"/>
                <wp:effectExtent l="0" t="38100" r="45720" b="92710"/>
                <wp:wrapNone/>
                <wp:docPr id="2040645998" name="Straight Arrow Connector 29"/>
                <wp:cNvGraphicFramePr/>
                <a:graphic xmlns:a="http://schemas.openxmlformats.org/drawingml/2006/main">
                  <a:graphicData uri="http://schemas.microsoft.com/office/word/2010/wordprocessingShape">
                    <wps:wsp>
                      <wps:cNvCnPr/>
                      <wps:spPr>
                        <a:xfrm>
                          <a:off x="0" y="0"/>
                          <a:ext cx="3230880" cy="40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9F9E9C" id="Straight Arrow Connector 29" o:spid="_x0000_s1026" type="#_x0000_t32" style="position:absolute;margin-left:93.85pt;margin-top:16.15pt;width:254.4pt;height:3.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" strokecolor="#4472c4 [3204]" strokeweight=".5pt">
                <v:stroke endarrow="block" joinstyle="miter"/>
              </v:shape>
            </w:pict>
          </mc:Fallback>
        </mc:AlternateContent>
      </w:r>
    </w:p>
    <w:p w14:paraId="6B48769F" w14:textId="77777777" w:rsidR="006C4F81" w:rsidRPr="00227927" w:rsidRDefault="006C4F81" w:rsidP="006C4F81">
      <w:pPr>
        <w:pStyle w:val="Default"/>
        <w:spacing w:line="360" w:lineRule="auto"/>
        <w:jc w:val="both"/>
      </w:pPr>
    </w:p>
    <w:p w14:paraId="55FBA36D" w14:textId="77777777" w:rsidR="006C4F81" w:rsidRPr="00227927" w:rsidRDefault="006C4F81" w:rsidP="006C4F81">
      <w:pPr>
        <w:pStyle w:val="Default"/>
        <w:spacing w:line="360" w:lineRule="auto"/>
        <w:jc w:val="both"/>
      </w:pPr>
    </w:p>
    <w:p w14:paraId="31B97B91" w14:textId="77777777" w:rsidR="006C4F81" w:rsidRPr="00227927" w:rsidRDefault="006C4F81" w:rsidP="00AD2DCA">
      <w:pPr>
        <w:spacing w:after="0" w:line="360" w:lineRule="auto"/>
        <w:jc w:val="center"/>
        <w:rPr>
          <w:rFonts w:ascii="Times New Roman" w:hAnsi="Times New Roman" w:cs="Times New Roman"/>
          <w:bCs/>
        </w:rPr>
      </w:pPr>
      <w:r w:rsidRPr="00227927">
        <w:rPr>
          <w:rFonts w:ascii="Times New Roman" w:hAnsi="Times New Roman" w:cs="Times New Roman"/>
          <w:bCs/>
        </w:rPr>
        <w:t>Figure 1. Research Model</w:t>
      </w:r>
    </w:p>
    <w:p w14:paraId="5D44B824" w14:textId="77777777" w:rsidR="00AD2DCA" w:rsidRPr="00227927" w:rsidRDefault="00AD2DCA" w:rsidP="00AD2DCA">
      <w:pPr>
        <w:spacing w:after="0" w:line="360" w:lineRule="auto"/>
        <w:jc w:val="both"/>
        <w:rPr>
          <w:rFonts w:ascii="Times New Roman" w:hAnsi="Times New Roman" w:cs="Times New Roman"/>
          <w:bCs/>
        </w:rPr>
      </w:pPr>
    </w:p>
    <w:p w14:paraId="4C3B70DB" w14:textId="1D773934" w:rsidR="005B6D68" w:rsidRPr="00227927" w:rsidRDefault="005B6D68" w:rsidP="00AD2DCA">
      <w:pPr>
        <w:spacing w:after="0" w:line="360" w:lineRule="auto"/>
        <w:rPr>
          <w:rFonts w:ascii="Times New Roman" w:hAnsi="Times New Roman" w:cs="Times New Roman"/>
          <w:b/>
          <w:bCs/>
        </w:rPr>
      </w:pPr>
      <w:r w:rsidRPr="00227927">
        <w:rPr>
          <w:rFonts w:ascii="Times New Roman" w:hAnsi="Times New Roman" w:cs="Times New Roman"/>
          <w:b/>
          <w:bCs/>
        </w:rPr>
        <w:t xml:space="preserve">3. </w:t>
      </w:r>
      <w:r w:rsidR="003C0B5A" w:rsidRPr="00227927">
        <w:rPr>
          <w:rFonts w:ascii="Times New Roman" w:hAnsi="Times New Roman" w:cs="Times New Roman"/>
          <w:b/>
          <w:bCs/>
        </w:rPr>
        <w:t>Methods</w:t>
      </w:r>
    </w:p>
    <w:p w14:paraId="448D8862" w14:textId="77777777" w:rsidR="00EE4EAF" w:rsidRPr="00227927" w:rsidRDefault="00EE4EAF" w:rsidP="00AD2DCA">
      <w:pPr>
        <w:spacing w:after="0" w:line="360" w:lineRule="auto"/>
        <w:rPr>
          <w:rFonts w:ascii="Times New Roman" w:hAnsi="Times New Roman" w:cs="Times New Roman"/>
        </w:rPr>
      </w:pPr>
    </w:p>
    <w:p w14:paraId="1F6571F4" w14:textId="77777777" w:rsidR="005B6D68" w:rsidRPr="00227927" w:rsidRDefault="005B6D68" w:rsidP="00520432">
      <w:pPr>
        <w:spacing w:after="0" w:line="360" w:lineRule="auto"/>
        <w:rPr>
          <w:rFonts w:ascii="Times New Roman" w:hAnsi="Times New Roman" w:cs="Times New Roman"/>
          <w:b/>
          <w:bCs/>
        </w:rPr>
      </w:pPr>
      <w:r w:rsidRPr="00227927">
        <w:rPr>
          <w:rFonts w:ascii="Times New Roman" w:hAnsi="Times New Roman" w:cs="Times New Roman"/>
          <w:b/>
          <w:bCs/>
        </w:rPr>
        <w:t>3.1 Research Design and Data Collection Process</w:t>
      </w:r>
    </w:p>
    <w:p w14:paraId="11D162CD" w14:textId="7190D10A"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This study employed a quantitative, cross-sectional research design to explore the impact of emotional intelligence on the perceived academic performance of master's students, with academic </w:t>
      </w:r>
      <w:r w:rsidRPr="00227927">
        <w:rPr>
          <w:rFonts w:ascii="Times New Roman" w:hAnsi="Times New Roman" w:cs="Times New Roman"/>
        </w:rPr>
        <w:lastRenderedPageBreak/>
        <w:t>engagement as a mediating variable. The study was conducted as a pilot study of the researchers' broader research project to ensure the clarity, validity, and reliability of the survey instrument and research procedures (Creswell &amp; Creswell, 2018). The targe</w:t>
      </w:r>
      <w:r w:rsidR="00E1371D" w:rsidRPr="00227927">
        <w:rPr>
          <w:rFonts w:ascii="Times New Roman" w:hAnsi="Times New Roman" w:cs="Times New Roman"/>
        </w:rPr>
        <w:t xml:space="preserve">t population comprised master's </w:t>
      </w:r>
      <w:r w:rsidRPr="00227927">
        <w:rPr>
          <w:rFonts w:ascii="Times New Roman" w:hAnsi="Times New Roman" w:cs="Times New Roman"/>
        </w:rPr>
        <w:t xml:space="preserve">level students from the Faculty of Business Studies and the Faculty of Science at </w:t>
      </w:r>
      <w:proofErr w:type="spellStart"/>
      <w:r w:rsidRPr="00227927">
        <w:rPr>
          <w:rFonts w:ascii="Times New Roman" w:hAnsi="Times New Roman" w:cs="Times New Roman"/>
        </w:rPr>
        <w:t>Mawlana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Bhashani</w:t>
      </w:r>
      <w:proofErr w:type="spellEnd"/>
      <w:r w:rsidRPr="00227927">
        <w:rPr>
          <w:rFonts w:ascii="Times New Roman" w:hAnsi="Times New Roman" w:cs="Times New Roman"/>
        </w:rPr>
        <w:t xml:space="preserve"> Science and Technology University (MBSTU) in Bangladesh.</w:t>
      </w:r>
    </w:p>
    <w:p w14:paraId="28C81F0D" w14:textId="77777777" w:rsidR="005B6D68" w:rsidRPr="00227927" w:rsidRDefault="005B6D68" w:rsidP="00520432">
      <w:pPr>
        <w:spacing w:after="0" w:line="360" w:lineRule="auto"/>
        <w:jc w:val="both"/>
        <w:rPr>
          <w:rFonts w:ascii="Times New Roman" w:hAnsi="Times New Roman" w:cs="Times New Roman"/>
        </w:rPr>
      </w:pPr>
    </w:p>
    <w:p w14:paraId="205C01A1"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A survey method was used to collect primary data through a self-administered questionnaire developed in Google Form format. Each respondent possessed an official institutional email ID, which helped ensure the authenticity and eligibility of the participants. The researchers distributed the survey instrument to 100 master's-level students via their institutional emails, out of which 62 valid responses were received, yielding a 62% response rate. Such an approach aligns with the recommendation of Saunders et al. (2019) for obtaining data in educational contexts using online survey methods due to their accessibility and efficiency.</w:t>
      </w:r>
    </w:p>
    <w:p w14:paraId="02E12547"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The questionnaire was divided into two sections. The first section gathered demographic and background information such as gender, age, faculty, and year of study. The second section included items related to the study variables (emotional intelligence, academic engagement, and academic performance) measured using a five-point Likert scale ranging from "strongly disagree" (1) to "strongly agree" (5). Participants' involvement was entirely voluntary, and they were informed about the confidentiality and anonymity of their responses before participating. This ethical consideration was maintained throughout the data collection process following the guidelines of Cohen et al. (2018) for educational research ethics.</w:t>
      </w:r>
    </w:p>
    <w:p w14:paraId="55CF200E" w14:textId="77777777" w:rsidR="002707AE" w:rsidRPr="00227927" w:rsidRDefault="002707AE" w:rsidP="00520432">
      <w:pPr>
        <w:spacing w:after="0" w:line="360" w:lineRule="auto"/>
        <w:jc w:val="both"/>
        <w:rPr>
          <w:rFonts w:ascii="Times New Roman" w:hAnsi="Times New Roman" w:cs="Times New Roman"/>
        </w:rPr>
      </w:pPr>
    </w:p>
    <w:p w14:paraId="7EE378A0" w14:textId="0E831527" w:rsidR="005B6D68" w:rsidRPr="00227927" w:rsidRDefault="005B6D68" w:rsidP="00520432">
      <w:pPr>
        <w:spacing w:after="0" w:line="360" w:lineRule="auto"/>
        <w:jc w:val="both"/>
        <w:rPr>
          <w:rFonts w:ascii="Times New Roman" w:hAnsi="Times New Roman" w:cs="Times New Roman"/>
          <w:b/>
          <w:bCs/>
        </w:rPr>
      </w:pPr>
      <w:r w:rsidRPr="00227927">
        <w:rPr>
          <w:rFonts w:ascii="Times New Roman" w:hAnsi="Times New Roman" w:cs="Times New Roman"/>
          <w:b/>
          <w:bCs/>
        </w:rPr>
        <w:t xml:space="preserve">3.2 </w:t>
      </w:r>
      <w:r w:rsidRPr="00227927">
        <w:rPr>
          <w:rFonts w:ascii="Times New Roman" w:hAnsi="Times New Roman" w:cs="Times New Roman"/>
          <w:b/>
          <w:bCs/>
          <w:lang w:bidi="bn-BD"/>
        </w:rPr>
        <w:t>Measurement</w:t>
      </w:r>
    </w:p>
    <w:p w14:paraId="0668A394" w14:textId="77777777" w:rsidR="002707AE"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measuring emotional intelligence, this study adapted items from the Wong and Law Emotional Intelligence Scale (WLEIS) developed by Wong and Law (2002). While the original instrument comprises sixteen items, ten items were retained for this study after excluding those deemed less relevant to assessing the emotional intelligence of master's-level students in relation to their perceived academic performance. To measure academic engagement, five items were adapted from the Student Course Engagement Questionnaire (SCEQ) developed by Handelsman et al. (2005), which captures students' behavioral, emotional, and cognitive engagement in their academic </w:t>
      </w:r>
      <w:r w:rsidRPr="00227927">
        <w:rPr>
          <w:rFonts w:ascii="Times New Roman" w:hAnsi="Times New Roman" w:cs="Times New Roman"/>
        </w:rPr>
        <w:lastRenderedPageBreak/>
        <w:t>activities. Finally, academic performance was measured using six items adapted from York et al. (2015), which emphasize students' self-perceived learning outcomes and academic achievement.</w:t>
      </w:r>
    </w:p>
    <w:p w14:paraId="0C391695" w14:textId="77777777" w:rsidR="002707AE" w:rsidRPr="00227927" w:rsidRDefault="002707AE" w:rsidP="00520432">
      <w:pPr>
        <w:spacing w:after="0" w:line="360" w:lineRule="auto"/>
        <w:jc w:val="both"/>
        <w:rPr>
          <w:rFonts w:ascii="Times New Roman" w:hAnsi="Times New Roman" w:cs="Times New Roman"/>
        </w:rPr>
      </w:pPr>
    </w:p>
    <w:p w14:paraId="775B1CE6" w14:textId="77582966" w:rsidR="005B6D68" w:rsidRPr="00227927" w:rsidRDefault="005B6D68" w:rsidP="00520432">
      <w:pPr>
        <w:spacing w:after="0" w:line="360" w:lineRule="auto"/>
        <w:jc w:val="both"/>
        <w:rPr>
          <w:rStyle w:val="Strong"/>
          <w:rFonts w:ascii="Times New Roman" w:hAnsi="Times New Roman" w:cs="Times New Roman"/>
          <w:b w:val="0"/>
          <w:bCs w:val="0"/>
        </w:rPr>
      </w:pPr>
      <w:r w:rsidRPr="00227927">
        <w:rPr>
          <w:rStyle w:val="Strong"/>
          <w:rFonts w:ascii="Times New Roman" w:hAnsi="Times New Roman" w:cs="Times New Roman"/>
        </w:rPr>
        <w:t xml:space="preserve">3.3 Techniques for Data Analysis </w:t>
      </w:r>
    </w:p>
    <w:p w14:paraId="293AA26B" w14:textId="37A72936" w:rsidR="008E5525"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data analysis and hypothesis testing, two statistical software tools were utilized: SPSS 25 and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The demographic profile of the respondents was analyzed using frequency distribution in SPSS. Additionally, descriptive statistics, including means and standard deviations, were computed to summarize the central tendencies and variability of the study variables. After initial screening and data preparation, the dataset was exported in CSV format for further analysis using </w:t>
      </w:r>
      <w:r w:rsidR="00AD2DCA" w:rsidRPr="00227927">
        <w:rPr>
          <w:rFonts w:ascii="Times New Roman" w:hAnsi="Times New Roman" w:cs="Times New Roman"/>
        </w:rPr>
        <w:t>PLS-SEM</w:t>
      </w:r>
      <w:r w:rsidRPr="00227927">
        <w:rPr>
          <w:rFonts w:ascii="Times New Roman" w:hAnsi="Times New Roman" w:cs="Times New Roman"/>
        </w:rPr>
        <w:t xml:space="preserve"> in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This approach was chosen due to its suitability for analyzing complex models with mediating variables and relatively small sample sizes (Hair et al., 2019).</w:t>
      </w:r>
    </w:p>
    <w:p w14:paraId="4E0F9DC7" w14:textId="77777777" w:rsidR="003C0B5A" w:rsidRPr="00227927" w:rsidRDefault="003C0B5A" w:rsidP="00520432">
      <w:pPr>
        <w:spacing w:after="0" w:line="360" w:lineRule="auto"/>
        <w:jc w:val="both"/>
        <w:rPr>
          <w:rFonts w:ascii="Times New Roman" w:hAnsi="Times New Roman" w:cs="Times New Roman"/>
        </w:rPr>
      </w:pPr>
    </w:p>
    <w:p w14:paraId="55A58F12" w14:textId="77777777" w:rsidR="00EE4EAF" w:rsidRPr="00227927" w:rsidRDefault="00EE4EAF" w:rsidP="00520432">
      <w:pPr>
        <w:spacing w:after="0" w:line="360" w:lineRule="auto"/>
        <w:jc w:val="both"/>
        <w:rPr>
          <w:rFonts w:ascii="Times New Roman" w:hAnsi="Times New Roman" w:cs="Times New Roman"/>
        </w:rPr>
      </w:pPr>
    </w:p>
    <w:p w14:paraId="4B6E93AF" w14:textId="77777777" w:rsidR="00EE4EAF" w:rsidRPr="00227927" w:rsidRDefault="00EE4EAF" w:rsidP="00520432">
      <w:pPr>
        <w:spacing w:after="0" w:line="360" w:lineRule="auto"/>
        <w:jc w:val="both"/>
        <w:rPr>
          <w:rFonts w:ascii="Times New Roman" w:hAnsi="Times New Roman" w:cs="Times New Roman"/>
        </w:rPr>
      </w:pPr>
    </w:p>
    <w:p w14:paraId="2DDD0EE1" w14:textId="216282BF"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 Findings and Analysis</w:t>
      </w:r>
    </w:p>
    <w:p w14:paraId="04B60334" w14:textId="77777777" w:rsidR="00EE4EAF" w:rsidRPr="00227927" w:rsidRDefault="00EE4EAF" w:rsidP="00520432">
      <w:pPr>
        <w:spacing w:after="0" w:line="360" w:lineRule="auto"/>
        <w:jc w:val="both"/>
        <w:rPr>
          <w:rFonts w:ascii="Times New Roman" w:hAnsi="Times New Roman" w:cs="Times New Roman"/>
          <w:b/>
        </w:rPr>
      </w:pPr>
    </w:p>
    <w:p w14:paraId="0B105C0E" w14:textId="3CA93D91"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4.1 Demographic Profile of Respondents</w:t>
      </w:r>
    </w:p>
    <w:p w14:paraId="32CA9E4B" w14:textId="2AACBE34" w:rsidR="008E5525" w:rsidRPr="00227927" w:rsidRDefault="008E5525" w:rsidP="00520432">
      <w:pPr>
        <w:spacing w:after="0" w:line="360" w:lineRule="auto"/>
        <w:jc w:val="both"/>
        <w:rPr>
          <w:rFonts w:ascii="Times New Roman" w:hAnsi="Times New Roman" w:cs="Times New Roman"/>
        </w:rPr>
      </w:pPr>
      <w:r w:rsidRPr="00227927">
        <w:rPr>
          <w:rFonts w:ascii="Times New Roman" w:hAnsi="Times New Roman" w:cs="Times New Roman"/>
        </w:rPr>
        <w:t>This pilot study was condu</w:t>
      </w:r>
      <w:r w:rsidR="00E1371D" w:rsidRPr="00227927">
        <w:rPr>
          <w:rFonts w:ascii="Times New Roman" w:hAnsi="Times New Roman" w:cs="Times New Roman"/>
        </w:rPr>
        <w:t xml:space="preserve">cted exclusively among Master's </w:t>
      </w:r>
      <w:r w:rsidRPr="00227927">
        <w:rPr>
          <w:rFonts w:ascii="Times New Roman" w:hAnsi="Times New Roman" w:cs="Times New Roman"/>
        </w:rPr>
        <w:t xml:space="preserve">level students from the Faculty of Business Studies and the Faculty of Science at </w:t>
      </w:r>
      <w:proofErr w:type="spellStart"/>
      <w:r w:rsidRPr="00227927">
        <w:rPr>
          <w:rFonts w:ascii="Times New Roman" w:hAnsi="Times New Roman" w:cs="Times New Roman"/>
        </w:rPr>
        <w:t>Mawlana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Bhashani</w:t>
      </w:r>
      <w:proofErr w:type="spellEnd"/>
      <w:r w:rsidRPr="00227927">
        <w:rPr>
          <w:rFonts w:ascii="Times New Roman" w:hAnsi="Times New Roman" w:cs="Times New Roman"/>
        </w:rPr>
        <w:t xml:space="preserve"> Science and Technology University, Bangladesh. In this study, male respondents constituted the majority (63.9%), while females accounted for 36.1%, indicating a gender imbalance that may reflect broader trends in academic staffing. With respect to age distribution, the largest proportion of respondents (60.2%) were between 25 and 27 years old, followed by those aged 22–24 (39.8%). Most respondents were from the Faculty of Business Studies (89.2%), while the remaining 10.8% were from the Faculty of Science.</w:t>
      </w:r>
    </w:p>
    <w:p w14:paraId="6C247ADC" w14:textId="77777777" w:rsidR="00EE4EAF" w:rsidRPr="00227927" w:rsidRDefault="00EE4EAF" w:rsidP="00520432">
      <w:pPr>
        <w:spacing w:after="0" w:line="360" w:lineRule="auto"/>
        <w:jc w:val="both"/>
        <w:rPr>
          <w:rFonts w:ascii="Times New Roman" w:hAnsi="Times New Roman" w:cs="Times New Roman"/>
        </w:rPr>
      </w:pPr>
    </w:p>
    <w:p w14:paraId="7D8BC73B" w14:textId="5F4B6ACC" w:rsidR="008E5525" w:rsidRPr="00227927" w:rsidRDefault="008E5525" w:rsidP="00520432">
      <w:pPr>
        <w:spacing w:after="0" w:line="360" w:lineRule="auto"/>
        <w:jc w:val="both"/>
        <w:rPr>
          <w:rFonts w:ascii="Times New Roman" w:hAnsi="Times New Roman" w:cs="Times New Roman"/>
          <w:b/>
          <w:bCs/>
        </w:rPr>
      </w:pPr>
      <w:r w:rsidRPr="00227927">
        <w:rPr>
          <w:rFonts w:ascii="Times New Roman" w:hAnsi="Times New Roman" w:cs="Times New Roman"/>
          <w:b/>
          <w:bCs/>
        </w:rPr>
        <w:t>4.2 Descriptive Statistics and Correlation Coefficient of Study Variables</w:t>
      </w:r>
    </w:p>
    <w:p w14:paraId="22276722" w14:textId="77777777" w:rsidR="008E5525" w:rsidRPr="00227927" w:rsidRDefault="008E5525" w:rsidP="00520432">
      <w:pPr>
        <w:pStyle w:val="Default"/>
        <w:spacing w:line="360" w:lineRule="auto"/>
        <w:jc w:val="both"/>
      </w:pPr>
      <w:r w:rsidRPr="00227927">
        <w:t xml:space="preserve">Table 1 presents the descriptive statistics and correlation coefficients for the study variables (N = 62). The mean scores suggest that participants demonstrated moderately high levels of academic performance (M = 3.59, SD = 0.70), emotional intelligence (M = 3.91, SD = 0.63), and academic engagement (M = 3.49, SD = 0.67). The results show that academic performance is strongly and </w:t>
      </w:r>
      <w:r w:rsidRPr="00227927">
        <w:lastRenderedPageBreak/>
        <w:t>significantly correlated with academic engagement (r = 0.532, p &lt; .01), indicating that higher engagement is associated with better academic outcomes. Emotional intelligence shows moderate positive correlations with academic performance (r = 0.298) and academic engagement (r = 0.321), although the relationship with academic performance is not significant at the 0.01 level. These findings suggest that emotional intelligence may contribute indirectly to academic success, primarily through its influence on students' engagement and motivation in learning activities.</w:t>
      </w:r>
    </w:p>
    <w:p w14:paraId="6C12FBA3" w14:textId="77777777" w:rsidR="00EE4EAF" w:rsidRPr="00227927" w:rsidRDefault="00EE4EAF" w:rsidP="008E5525">
      <w:pPr>
        <w:pStyle w:val="Default"/>
        <w:spacing w:line="360" w:lineRule="auto"/>
        <w:jc w:val="both"/>
      </w:pPr>
    </w:p>
    <w:p w14:paraId="5901CF2F" w14:textId="4242F6AA" w:rsidR="008E5525" w:rsidRPr="00227927" w:rsidRDefault="008E5525" w:rsidP="003C0B5A">
      <w:pPr>
        <w:rPr>
          <w:rFonts w:ascii="Times New Roman" w:eastAsiaTheme="minorEastAsia" w:hAnsi="Times New Roman" w:cs="Times New Roman"/>
          <w:i/>
          <w:color w:val="000000"/>
          <w:kern w:val="0"/>
          <w14:ligatures w14:val="none"/>
        </w:rPr>
      </w:pPr>
      <w:r w:rsidRPr="00227927">
        <w:rPr>
          <w:rFonts w:ascii="Times New Roman" w:hAnsi="Times New Roman" w:cs="Times New Roman"/>
          <w:bCs/>
          <w:i/>
        </w:rPr>
        <w:t>Table 1: Descriptive Statistics of Study Variables</w:t>
      </w:r>
    </w:p>
    <w:tbl>
      <w:tblPr>
        <w:tblW w:w="9282" w:type="dxa"/>
        <w:tblBorders>
          <w:top w:val="single" w:sz="4" w:space="0" w:color="auto"/>
          <w:bottom w:val="single" w:sz="4" w:space="0" w:color="auto"/>
        </w:tblBorders>
        <w:tblLook w:val="04A0" w:firstRow="1" w:lastRow="0" w:firstColumn="1" w:lastColumn="0" w:noHBand="0" w:noVBand="1"/>
      </w:tblPr>
      <w:tblGrid>
        <w:gridCol w:w="2410"/>
        <w:gridCol w:w="803"/>
        <w:gridCol w:w="1203"/>
        <w:gridCol w:w="1680"/>
        <w:gridCol w:w="1690"/>
        <w:gridCol w:w="1496"/>
      </w:tblGrid>
      <w:tr w:rsidR="008E5525" w:rsidRPr="00227927" w14:paraId="7ED64FBD" w14:textId="77777777" w:rsidTr="00EE4EAF">
        <w:trPr>
          <w:trHeight w:val="345"/>
        </w:trPr>
        <w:tc>
          <w:tcPr>
            <w:tcW w:w="2410" w:type="dxa"/>
            <w:vMerge w:val="restart"/>
            <w:tcBorders>
              <w:top w:val="single" w:sz="4" w:space="0" w:color="auto"/>
              <w:right w:val="single" w:sz="4" w:space="0" w:color="auto"/>
            </w:tcBorders>
          </w:tcPr>
          <w:p w14:paraId="3576119F" w14:textId="77777777" w:rsidR="008E5525" w:rsidRPr="00227927" w:rsidRDefault="008E5525" w:rsidP="00494DA4">
            <w:pPr>
              <w:pStyle w:val="Default"/>
              <w:ind w:right="-108"/>
              <w:jc w:val="both"/>
              <w:rPr>
                <w:color w:val="auto"/>
              </w:rPr>
            </w:pPr>
            <w:r w:rsidRPr="00227927">
              <w:rPr>
                <w:b/>
                <w:bCs/>
                <w:color w:val="auto"/>
              </w:rPr>
              <w:t xml:space="preserve">Constructs </w:t>
            </w:r>
          </w:p>
        </w:tc>
        <w:tc>
          <w:tcPr>
            <w:tcW w:w="803" w:type="dxa"/>
            <w:vMerge w:val="restart"/>
            <w:tcBorders>
              <w:top w:val="single" w:sz="4" w:space="0" w:color="auto"/>
              <w:left w:val="single" w:sz="4" w:space="0" w:color="auto"/>
              <w:right w:val="single" w:sz="4" w:space="0" w:color="auto"/>
            </w:tcBorders>
          </w:tcPr>
          <w:p w14:paraId="0D8EC88C" w14:textId="77777777" w:rsidR="008E5525" w:rsidRPr="00227927" w:rsidRDefault="008E5525" w:rsidP="00494DA4">
            <w:pPr>
              <w:pStyle w:val="Default"/>
              <w:jc w:val="center"/>
              <w:rPr>
                <w:color w:val="auto"/>
              </w:rPr>
            </w:pPr>
            <w:r w:rsidRPr="00227927">
              <w:rPr>
                <w:b/>
                <w:bCs/>
                <w:color w:val="auto"/>
              </w:rPr>
              <w:t>Mean</w:t>
            </w:r>
          </w:p>
        </w:tc>
        <w:tc>
          <w:tcPr>
            <w:tcW w:w="1203" w:type="dxa"/>
            <w:vMerge w:val="restart"/>
            <w:tcBorders>
              <w:top w:val="single" w:sz="4" w:space="0" w:color="auto"/>
              <w:left w:val="single" w:sz="4" w:space="0" w:color="auto"/>
              <w:right w:val="single" w:sz="4" w:space="0" w:color="auto"/>
            </w:tcBorders>
          </w:tcPr>
          <w:p w14:paraId="39B056C9" w14:textId="77777777" w:rsidR="008E5525" w:rsidRPr="00227927" w:rsidRDefault="008E5525" w:rsidP="00494DA4">
            <w:pPr>
              <w:pStyle w:val="Default"/>
              <w:jc w:val="center"/>
              <w:rPr>
                <w:color w:val="auto"/>
              </w:rPr>
            </w:pPr>
            <w:r w:rsidRPr="00227927">
              <w:rPr>
                <w:b/>
                <w:bCs/>
                <w:color w:val="auto"/>
              </w:rPr>
              <w:t>Standard Deviation</w:t>
            </w:r>
          </w:p>
        </w:tc>
        <w:tc>
          <w:tcPr>
            <w:tcW w:w="4866" w:type="dxa"/>
            <w:gridSpan w:val="3"/>
            <w:tcBorders>
              <w:top w:val="single" w:sz="4" w:space="0" w:color="auto"/>
              <w:left w:val="single" w:sz="4" w:space="0" w:color="auto"/>
            </w:tcBorders>
          </w:tcPr>
          <w:p w14:paraId="3CFE3223" w14:textId="77777777" w:rsidR="008E5525" w:rsidRPr="00227927" w:rsidRDefault="008E5525" w:rsidP="00494DA4">
            <w:pPr>
              <w:pStyle w:val="Default"/>
              <w:jc w:val="center"/>
              <w:rPr>
                <w:b/>
                <w:bCs/>
                <w:color w:val="auto"/>
              </w:rPr>
            </w:pPr>
            <w:r w:rsidRPr="00227927">
              <w:rPr>
                <w:b/>
                <w:bCs/>
                <w:color w:val="auto"/>
              </w:rPr>
              <w:t>Correlation Coefficient</w:t>
            </w:r>
          </w:p>
        </w:tc>
      </w:tr>
      <w:tr w:rsidR="008E5525" w:rsidRPr="00227927" w14:paraId="73CE887B" w14:textId="77777777" w:rsidTr="00EE4EAF">
        <w:trPr>
          <w:trHeight w:val="345"/>
        </w:trPr>
        <w:tc>
          <w:tcPr>
            <w:tcW w:w="2410" w:type="dxa"/>
            <w:vMerge/>
            <w:tcBorders>
              <w:bottom w:val="single" w:sz="4" w:space="0" w:color="auto"/>
              <w:right w:val="single" w:sz="4" w:space="0" w:color="auto"/>
            </w:tcBorders>
          </w:tcPr>
          <w:p w14:paraId="7EBDFC7E" w14:textId="77777777" w:rsidR="008E5525" w:rsidRPr="00227927" w:rsidRDefault="008E5525" w:rsidP="00494DA4">
            <w:pPr>
              <w:pStyle w:val="Default"/>
              <w:ind w:right="-108"/>
              <w:jc w:val="both"/>
              <w:rPr>
                <w:b/>
                <w:bCs/>
                <w:color w:val="auto"/>
              </w:rPr>
            </w:pPr>
          </w:p>
        </w:tc>
        <w:tc>
          <w:tcPr>
            <w:tcW w:w="803" w:type="dxa"/>
            <w:vMerge/>
            <w:tcBorders>
              <w:left w:val="single" w:sz="4" w:space="0" w:color="auto"/>
              <w:bottom w:val="single" w:sz="4" w:space="0" w:color="auto"/>
              <w:right w:val="single" w:sz="4" w:space="0" w:color="auto"/>
            </w:tcBorders>
          </w:tcPr>
          <w:p w14:paraId="598C7145" w14:textId="77777777" w:rsidR="008E5525" w:rsidRPr="00227927" w:rsidRDefault="008E5525" w:rsidP="00494DA4">
            <w:pPr>
              <w:pStyle w:val="Default"/>
              <w:jc w:val="center"/>
              <w:rPr>
                <w:b/>
                <w:bCs/>
                <w:color w:val="auto"/>
              </w:rPr>
            </w:pPr>
          </w:p>
        </w:tc>
        <w:tc>
          <w:tcPr>
            <w:tcW w:w="1203" w:type="dxa"/>
            <w:vMerge/>
            <w:tcBorders>
              <w:left w:val="single" w:sz="4" w:space="0" w:color="auto"/>
              <w:bottom w:val="single" w:sz="4" w:space="0" w:color="auto"/>
              <w:right w:val="single" w:sz="4" w:space="0" w:color="auto"/>
            </w:tcBorders>
          </w:tcPr>
          <w:p w14:paraId="7BE25BE0" w14:textId="77777777" w:rsidR="008E5525" w:rsidRPr="00227927" w:rsidRDefault="008E5525" w:rsidP="00494DA4">
            <w:pPr>
              <w:pStyle w:val="Default"/>
              <w:jc w:val="center"/>
              <w:rPr>
                <w:b/>
                <w:bCs/>
                <w:color w:val="auto"/>
              </w:rPr>
            </w:pPr>
          </w:p>
        </w:tc>
        <w:tc>
          <w:tcPr>
            <w:tcW w:w="1680" w:type="dxa"/>
            <w:tcBorders>
              <w:top w:val="single" w:sz="4" w:space="0" w:color="auto"/>
              <w:left w:val="single" w:sz="4" w:space="0" w:color="auto"/>
              <w:bottom w:val="single" w:sz="4" w:space="0" w:color="auto"/>
              <w:right w:val="single" w:sz="4" w:space="0" w:color="auto"/>
            </w:tcBorders>
          </w:tcPr>
          <w:p w14:paraId="35EB8B39" w14:textId="77777777" w:rsidR="008E5525" w:rsidRPr="00227927" w:rsidRDefault="008E5525" w:rsidP="00494DA4">
            <w:pPr>
              <w:pStyle w:val="Default"/>
              <w:jc w:val="center"/>
              <w:rPr>
                <w:b/>
                <w:bCs/>
                <w:color w:val="auto"/>
                <w:highlight w:val="yellow"/>
              </w:rPr>
            </w:pPr>
            <w:r w:rsidRPr="00227927">
              <w:rPr>
                <w:b/>
                <w:bCs/>
              </w:rPr>
              <w:t>Academic Performance</w:t>
            </w:r>
          </w:p>
        </w:tc>
        <w:tc>
          <w:tcPr>
            <w:tcW w:w="1690" w:type="dxa"/>
            <w:tcBorders>
              <w:top w:val="single" w:sz="4" w:space="0" w:color="auto"/>
              <w:left w:val="single" w:sz="4" w:space="0" w:color="auto"/>
              <w:bottom w:val="single" w:sz="4" w:space="0" w:color="auto"/>
              <w:right w:val="single" w:sz="4" w:space="0" w:color="auto"/>
            </w:tcBorders>
          </w:tcPr>
          <w:p w14:paraId="2848E472" w14:textId="77777777" w:rsidR="008E5525" w:rsidRPr="00227927" w:rsidRDefault="008E5525" w:rsidP="00494DA4">
            <w:pPr>
              <w:pStyle w:val="Default"/>
              <w:jc w:val="center"/>
              <w:rPr>
                <w:b/>
                <w:bCs/>
                <w:color w:val="auto"/>
                <w:highlight w:val="yellow"/>
              </w:rPr>
            </w:pPr>
            <w:r w:rsidRPr="00227927">
              <w:rPr>
                <w:b/>
                <w:bCs/>
              </w:rPr>
              <w:t>Emotional Intelligence</w:t>
            </w:r>
          </w:p>
        </w:tc>
        <w:tc>
          <w:tcPr>
            <w:tcW w:w="1496" w:type="dxa"/>
            <w:tcBorders>
              <w:top w:val="single" w:sz="4" w:space="0" w:color="auto"/>
              <w:left w:val="single" w:sz="4" w:space="0" w:color="auto"/>
              <w:bottom w:val="single" w:sz="4" w:space="0" w:color="auto"/>
              <w:right w:val="nil"/>
            </w:tcBorders>
          </w:tcPr>
          <w:p w14:paraId="0F70C1FC" w14:textId="77777777" w:rsidR="008E5525" w:rsidRPr="00227927" w:rsidRDefault="008E5525" w:rsidP="00494DA4">
            <w:pPr>
              <w:pStyle w:val="Default"/>
              <w:jc w:val="center"/>
              <w:rPr>
                <w:b/>
                <w:bCs/>
                <w:color w:val="auto"/>
                <w:highlight w:val="yellow"/>
              </w:rPr>
            </w:pPr>
            <w:r w:rsidRPr="00227927">
              <w:rPr>
                <w:b/>
                <w:bCs/>
              </w:rPr>
              <w:t>Academic Engagement</w:t>
            </w:r>
          </w:p>
        </w:tc>
      </w:tr>
      <w:tr w:rsidR="008E5525" w:rsidRPr="00227927" w14:paraId="71BAC625" w14:textId="77777777" w:rsidTr="00EE4EAF">
        <w:tc>
          <w:tcPr>
            <w:tcW w:w="2410" w:type="dxa"/>
            <w:tcBorders>
              <w:top w:val="single" w:sz="4" w:space="0" w:color="auto"/>
              <w:bottom w:val="nil"/>
              <w:right w:val="single" w:sz="4" w:space="0" w:color="auto"/>
            </w:tcBorders>
          </w:tcPr>
          <w:p w14:paraId="5556CFC4" w14:textId="77777777" w:rsidR="008E5525" w:rsidRPr="00227927" w:rsidRDefault="008E5525" w:rsidP="00494DA4">
            <w:pPr>
              <w:pStyle w:val="Default"/>
              <w:ind w:right="-108"/>
              <w:rPr>
                <w:color w:val="auto"/>
                <w:highlight w:val="yellow"/>
              </w:rPr>
            </w:pPr>
            <w:r w:rsidRPr="00227927">
              <w:t>Academic Performance</w:t>
            </w:r>
          </w:p>
        </w:tc>
        <w:tc>
          <w:tcPr>
            <w:tcW w:w="803" w:type="dxa"/>
            <w:tcBorders>
              <w:top w:val="single" w:sz="4" w:space="0" w:color="auto"/>
              <w:left w:val="single" w:sz="4" w:space="0" w:color="auto"/>
              <w:bottom w:val="nil"/>
              <w:right w:val="single" w:sz="4" w:space="0" w:color="auto"/>
            </w:tcBorders>
          </w:tcPr>
          <w:p w14:paraId="7E6D806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3.59</w:t>
            </w:r>
          </w:p>
        </w:tc>
        <w:tc>
          <w:tcPr>
            <w:tcW w:w="1203" w:type="dxa"/>
            <w:tcBorders>
              <w:top w:val="single" w:sz="4" w:space="0" w:color="auto"/>
              <w:left w:val="single" w:sz="4" w:space="0" w:color="auto"/>
              <w:bottom w:val="nil"/>
              <w:right w:val="single" w:sz="4" w:space="0" w:color="auto"/>
            </w:tcBorders>
          </w:tcPr>
          <w:p w14:paraId="49E4907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0.70</w:t>
            </w:r>
          </w:p>
        </w:tc>
        <w:tc>
          <w:tcPr>
            <w:tcW w:w="1680" w:type="dxa"/>
            <w:tcBorders>
              <w:top w:val="single" w:sz="4" w:space="0" w:color="auto"/>
              <w:left w:val="single" w:sz="4" w:space="0" w:color="auto"/>
              <w:bottom w:val="nil"/>
              <w:right w:val="single" w:sz="4" w:space="0" w:color="auto"/>
            </w:tcBorders>
          </w:tcPr>
          <w:p w14:paraId="608802E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690" w:type="dxa"/>
            <w:tcBorders>
              <w:top w:val="single" w:sz="4" w:space="0" w:color="auto"/>
              <w:left w:val="single" w:sz="4" w:space="0" w:color="auto"/>
              <w:bottom w:val="nil"/>
              <w:right w:val="single" w:sz="4" w:space="0" w:color="auto"/>
            </w:tcBorders>
          </w:tcPr>
          <w:p w14:paraId="5CE4E6B5"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c>
          <w:tcPr>
            <w:tcW w:w="1496" w:type="dxa"/>
            <w:tcBorders>
              <w:top w:val="single" w:sz="4" w:space="0" w:color="auto"/>
              <w:left w:val="single" w:sz="4" w:space="0" w:color="auto"/>
              <w:bottom w:val="nil"/>
              <w:right w:val="nil"/>
            </w:tcBorders>
          </w:tcPr>
          <w:p w14:paraId="547398D3"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40427BDF" w14:textId="77777777" w:rsidTr="00EE4EAF">
        <w:tc>
          <w:tcPr>
            <w:tcW w:w="2410" w:type="dxa"/>
            <w:tcBorders>
              <w:top w:val="nil"/>
              <w:bottom w:val="nil"/>
              <w:right w:val="single" w:sz="4" w:space="0" w:color="auto"/>
            </w:tcBorders>
          </w:tcPr>
          <w:p w14:paraId="25505E12" w14:textId="77777777" w:rsidR="008E5525" w:rsidRPr="00227927" w:rsidRDefault="008E5525" w:rsidP="00494DA4">
            <w:pPr>
              <w:pStyle w:val="Default"/>
              <w:ind w:right="-108"/>
              <w:rPr>
                <w:color w:val="auto"/>
                <w:highlight w:val="yellow"/>
              </w:rPr>
            </w:pPr>
            <w:r w:rsidRPr="00227927">
              <w:t>Emotional Intelligence</w:t>
            </w:r>
          </w:p>
        </w:tc>
        <w:tc>
          <w:tcPr>
            <w:tcW w:w="803" w:type="dxa"/>
            <w:tcBorders>
              <w:top w:val="nil"/>
              <w:left w:val="single" w:sz="4" w:space="0" w:color="auto"/>
              <w:bottom w:val="nil"/>
              <w:right w:val="single" w:sz="4" w:space="0" w:color="auto"/>
            </w:tcBorders>
          </w:tcPr>
          <w:p w14:paraId="1735B048"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3.91</w:t>
            </w:r>
          </w:p>
        </w:tc>
        <w:tc>
          <w:tcPr>
            <w:tcW w:w="1203" w:type="dxa"/>
            <w:tcBorders>
              <w:top w:val="nil"/>
              <w:left w:val="single" w:sz="4" w:space="0" w:color="auto"/>
              <w:bottom w:val="nil"/>
              <w:right w:val="single" w:sz="4" w:space="0" w:color="auto"/>
            </w:tcBorders>
          </w:tcPr>
          <w:p w14:paraId="01B8888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0.63</w:t>
            </w:r>
          </w:p>
        </w:tc>
        <w:tc>
          <w:tcPr>
            <w:tcW w:w="1680" w:type="dxa"/>
            <w:tcBorders>
              <w:top w:val="nil"/>
              <w:left w:val="single" w:sz="4" w:space="0" w:color="auto"/>
              <w:bottom w:val="nil"/>
              <w:right w:val="single" w:sz="4" w:space="0" w:color="auto"/>
            </w:tcBorders>
          </w:tcPr>
          <w:p w14:paraId="1F5AA31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0.298</w:t>
            </w:r>
          </w:p>
        </w:tc>
        <w:tc>
          <w:tcPr>
            <w:tcW w:w="1690" w:type="dxa"/>
            <w:tcBorders>
              <w:top w:val="nil"/>
              <w:left w:val="single" w:sz="4" w:space="0" w:color="auto"/>
              <w:bottom w:val="nil"/>
              <w:right w:val="single" w:sz="4" w:space="0" w:color="auto"/>
            </w:tcBorders>
          </w:tcPr>
          <w:p w14:paraId="732FB9D1"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496" w:type="dxa"/>
            <w:tcBorders>
              <w:top w:val="nil"/>
              <w:left w:val="single" w:sz="4" w:space="0" w:color="auto"/>
              <w:bottom w:val="nil"/>
              <w:right w:val="nil"/>
            </w:tcBorders>
          </w:tcPr>
          <w:p w14:paraId="08F87F90"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374D4885" w14:textId="77777777" w:rsidTr="00EE4EAF">
        <w:tc>
          <w:tcPr>
            <w:tcW w:w="2410" w:type="dxa"/>
            <w:tcBorders>
              <w:top w:val="nil"/>
              <w:bottom w:val="single" w:sz="4" w:space="0" w:color="auto"/>
              <w:right w:val="single" w:sz="4" w:space="0" w:color="auto"/>
            </w:tcBorders>
          </w:tcPr>
          <w:p w14:paraId="5196FB91" w14:textId="77777777" w:rsidR="008E5525" w:rsidRPr="00227927" w:rsidRDefault="008E5525" w:rsidP="00494DA4">
            <w:pPr>
              <w:pStyle w:val="Default"/>
              <w:ind w:right="-108"/>
              <w:rPr>
                <w:color w:val="auto"/>
                <w:highlight w:val="yellow"/>
              </w:rPr>
            </w:pPr>
            <w:r w:rsidRPr="00227927">
              <w:t>Academic Engagement</w:t>
            </w:r>
          </w:p>
        </w:tc>
        <w:tc>
          <w:tcPr>
            <w:tcW w:w="803" w:type="dxa"/>
            <w:tcBorders>
              <w:top w:val="nil"/>
              <w:left w:val="single" w:sz="4" w:space="0" w:color="auto"/>
              <w:bottom w:val="single" w:sz="4" w:space="0" w:color="auto"/>
              <w:right w:val="single" w:sz="4" w:space="0" w:color="auto"/>
            </w:tcBorders>
          </w:tcPr>
          <w:p w14:paraId="283DD68C"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3.49</w:t>
            </w:r>
          </w:p>
        </w:tc>
        <w:tc>
          <w:tcPr>
            <w:tcW w:w="1203" w:type="dxa"/>
            <w:tcBorders>
              <w:top w:val="nil"/>
              <w:left w:val="single" w:sz="4" w:space="0" w:color="auto"/>
              <w:bottom w:val="single" w:sz="4" w:space="0" w:color="auto"/>
              <w:right w:val="single" w:sz="4" w:space="0" w:color="auto"/>
            </w:tcBorders>
          </w:tcPr>
          <w:p w14:paraId="675C8FC6"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0.67</w:t>
            </w:r>
          </w:p>
        </w:tc>
        <w:tc>
          <w:tcPr>
            <w:tcW w:w="1680" w:type="dxa"/>
            <w:tcBorders>
              <w:top w:val="nil"/>
              <w:left w:val="single" w:sz="4" w:space="0" w:color="auto"/>
              <w:bottom w:val="single" w:sz="4" w:space="0" w:color="auto"/>
              <w:right w:val="single" w:sz="4" w:space="0" w:color="auto"/>
            </w:tcBorders>
          </w:tcPr>
          <w:p w14:paraId="650493B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0.532</w:t>
            </w:r>
            <w:r w:rsidRPr="00227927">
              <w:rPr>
                <w:rFonts w:ascii="Times New Roman" w:hAnsi="Times New Roman" w:cs="Times New Roman"/>
                <w:color w:val="010205"/>
                <w:vertAlign w:val="superscript"/>
                <w:lang w:val="en-GB"/>
              </w:rPr>
              <w:t>**</w:t>
            </w:r>
          </w:p>
        </w:tc>
        <w:tc>
          <w:tcPr>
            <w:tcW w:w="1690" w:type="dxa"/>
            <w:tcBorders>
              <w:top w:val="nil"/>
              <w:left w:val="single" w:sz="4" w:space="0" w:color="auto"/>
              <w:bottom w:val="single" w:sz="4" w:space="0" w:color="auto"/>
              <w:right w:val="single" w:sz="4" w:space="0" w:color="auto"/>
            </w:tcBorders>
          </w:tcPr>
          <w:p w14:paraId="7BA4C0AD"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0.321</w:t>
            </w:r>
            <w:r w:rsidRPr="00227927">
              <w:rPr>
                <w:rFonts w:ascii="Times New Roman" w:hAnsi="Times New Roman" w:cs="Times New Roman"/>
                <w:color w:val="010205"/>
                <w:vertAlign w:val="superscript"/>
                <w:lang w:val="en-GB"/>
              </w:rPr>
              <w:t>**</w:t>
            </w:r>
          </w:p>
        </w:tc>
        <w:tc>
          <w:tcPr>
            <w:tcW w:w="1496" w:type="dxa"/>
            <w:tcBorders>
              <w:top w:val="nil"/>
              <w:left w:val="single" w:sz="4" w:space="0" w:color="auto"/>
              <w:bottom w:val="single" w:sz="4" w:space="0" w:color="auto"/>
              <w:right w:val="nil"/>
            </w:tcBorders>
          </w:tcPr>
          <w:p w14:paraId="7A80B92F"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r>
    </w:tbl>
    <w:p w14:paraId="042DCF78" w14:textId="79316696" w:rsidR="008E5525" w:rsidRPr="00227927" w:rsidRDefault="008E5525" w:rsidP="008E5525">
      <w:pPr>
        <w:spacing w:after="0" w:line="360" w:lineRule="auto"/>
        <w:rPr>
          <w:rFonts w:ascii="Times New Roman" w:hAnsi="Times New Roman" w:cs="Times New Roman"/>
          <w:lang w:val="en-GB"/>
        </w:rPr>
      </w:pPr>
      <w:r w:rsidRPr="00227927">
        <w:rPr>
          <w:rFonts w:ascii="Times New Roman" w:hAnsi="Times New Roman" w:cs="Times New Roman"/>
          <w:lang w:val="en-GB"/>
        </w:rPr>
        <w:t>Note: **Correlation is significant at the 0.01 level (2-tailed).</w:t>
      </w:r>
    </w:p>
    <w:p w14:paraId="4C1E9527" w14:textId="77777777" w:rsidR="003C0B5A" w:rsidRPr="00227927" w:rsidRDefault="003C0B5A" w:rsidP="008E5525">
      <w:pPr>
        <w:spacing w:after="0" w:line="360" w:lineRule="auto"/>
        <w:rPr>
          <w:rFonts w:ascii="Times New Roman" w:hAnsi="Times New Roman" w:cs="Times New Roman"/>
          <w:b/>
          <w:bCs/>
          <w:lang w:val="en-GB"/>
        </w:rPr>
      </w:pPr>
    </w:p>
    <w:p w14:paraId="71BD0EC2" w14:textId="46A7C8D0" w:rsidR="008E5525" w:rsidRPr="00227927" w:rsidRDefault="008E5525" w:rsidP="008E5525">
      <w:pPr>
        <w:spacing w:after="0" w:line="360" w:lineRule="auto"/>
        <w:rPr>
          <w:rFonts w:ascii="Times New Roman" w:hAnsi="Times New Roman" w:cs="Times New Roman"/>
          <w:b/>
          <w:bCs/>
          <w:lang w:val="en-GB"/>
        </w:rPr>
      </w:pPr>
      <w:r w:rsidRPr="00227927">
        <w:rPr>
          <w:rFonts w:ascii="Times New Roman" w:hAnsi="Times New Roman" w:cs="Times New Roman"/>
          <w:b/>
          <w:bCs/>
          <w:lang w:val="en-GB"/>
        </w:rPr>
        <w:t>4.3 Measurement Model Assessment</w:t>
      </w:r>
    </w:p>
    <w:p w14:paraId="5B694806" w14:textId="472DAD44" w:rsidR="00A13FD0" w:rsidRDefault="008E5525" w:rsidP="00A13FD0">
      <w:pPr>
        <w:spacing w:after="0" w:line="360" w:lineRule="auto"/>
        <w:jc w:val="both"/>
        <w:rPr>
          <w:rFonts w:ascii="Times New Roman" w:hAnsi="Times New Roman" w:cs="Times New Roman"/>
        </w:rPr>
      </w:pPr>
      <w:r w:rsidRPr="00227927">
        <w:rPr>
          <w:rFonts w:ascii="Times New Roman" w:hAnsi="Times New Roman" w:cs="Times New Roman"/>
        </w:rPr>
        <w:t>Table 2 (referring to Figure 2) presents the results of the measurement model, evaluating the reliability and validity of the three constructs (</w:t>
      </w:r>
      <w:r w:rsidR="005F6F02" w:rsidRPr="00227927">
        <w:rPr>
          <w:rFonts w:ascii="Times New Roman" w:hAnsi="Times New Roman" w:cs="Times New Roman"/>
        </w:rPr>
        <w:t>academic performance, emotional intelligence, and academic engagement</w:t>
      </w:r>
      <w:r w:rsidRPr="00227927">
        <w:rPr>
          <w:rFonts w:ascii="Times New Roman" w:hAnsi="Times New Roman" w:cs="Times New Roman"/>
        </w:rPr>
        <w:t xml:space="preserve">). The standardized factor loadings range from 0.436 to 0.907, indicating that most items loaded strongly on their respective constructs. To enhance the measurement quality, two items of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(EI2 and EI10) were removed, as their low loadings adversely affected the construct's convergent validity. After their removal, </w:t>
      </w:r>
      <w:r w:rsidR="005F6F02" w:rsidRPr="00227927">
        <w:rPr>
          <w:rFonts w:ascii="Times New Roman" w:hAnsi="Times New Roman" w:cs="Times New Roman"/>
        </w:rPr>
        <w:t>the average variance extracte</w:t>
      </w:r>
      <w:r w:rsidRPr="00227927">
        <w:rPr>
          <w:rFonts w:ascii="Times New Roman" w:hAnsi="Times New Roman" w:cs="Times New Roman"/>
        </w:rPr>
        <w:t xml:space="preserve">d (AVE) for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improved to 0.555. AVE of all other constructs also exceeded the minimum threshold of 0.50 (Hair et al., 2017), thereby ensuring satisfactory convergent validity. The Cronbach's alpha (α) values of </w:t>
      </w:r>
      <w:r w:rsidR="005F6F02" w:rsidRPr="00227927">
        <w:rPr>
          <w:rFonts w:ascii="Times New Roman" w:hAnsi="Times New Roman" w:cs="Times New Roman"/>
        </w:rPr>
        <w:t xml:space="preserve">academic performance (0.848), emotional intelligence (0.868), and academic engagement </w:t>
      </w:r>
      <w:r w:rsidRPr="00227927">
        <w:rPr>
          <w:rFonts w:ascii="Times New Roman" w:hAnsi="Times New Roman" w:cs="Times New Roman"/>
        </w:rPr>
        <w:t xml:space="preserve">(0.805) surpass the 0.70 benchmark, confirming internal consistency reliability. Similarly, the </w:t>
      </w:r>
      <w:r w:rsidR="005F6F02" w:rsidRPr="00227927">
        <w:rPr>
          <w:rFonts w:ascii="Times New Roman" w:hAnsi="Times New Roman" w:cs="Times New Roman"/>
        </w:rPr>
        <w:t xml:space="preserve">composite reliability </w:t>
      </w:r>
      <w:r w:rsidRPr="00227927">
        <w:rPr>
          <w:rFonts w:ascii="Times New Roman" w:hAnsi="Times New Roman" w:cs="Times New Roman"/>
        </w:rPr>
        <w:t xml:space="preserve">(CR) values (0.888, 0.903, and 0.864, respectively) also exceed the recommended cut-off of 0.70. </w:t>
      </w:r>
      <w:r w:rsidR="005F6F02">
        <w:rPr>
          <w:rFonts w:ascii="Times New Roman" w:hAnsi="Times New Roman" w:cs="Times New Roman"/>
        </w:rPr>
        <w:t>T</w:t>
      </w:r>
      <w:r w:rsidRPr="00227927">
        <w:rPr>
          <w:rFonts w:ascii="Times New Roman" w:hAnsi="Times New Roman" w:cs="Times New Roman"/>
        </w:rPr>
        <w:t>hese</w:t>
      </w:r>
      <w:r w:rsidR="005F6F02">
        <w:rPr>
          <w:rFonts w:ascii="Times New Roman" w:hAnsi="Times New Roman" w:cs="Times New Roman"/>
        </w:rPr>
        <w:t xml:space="preserve"> </w:t>
      </w:r>
      <w:r w:rsidRPr="00227927">
        <w:rPr>
          <w:rFonts w:ascii="Times New Roman" w:hAnsi="Times New Roman" w:cs="Times New Roman"/>
        </w:rPr>
        <w:t>results demonstrate that the measurement model achieved adequate reliability and convergent validity, indicating that the retained items effectively represent their underlying latent constructs and are suitable for further structural model assessment.</w:t>
      </w:r>
    </w:p>
    <w:p w14:paraId="31C834B4" w14:textId="77777777" w:rsidR="00A13FD0" w:rsidRPr="005F6F02" w:rsidRDefault="00A13FD0" w:rsidP="00857524">
      <w:pPr>
        <w:spacing w:after="0" w:line="240" w:lineRule="auto"/>
        <w:jc w:val="both"/>
        <w:rPr>
          <w:rFonts w:ascii="Times New Roman" w:hAnsi="Times New Roman" w:cs="Times New Roman"/>
          <w:sz w:val="20"/>
          <w:szCs w:val="20"/>
        </w:rPr>
      </w:pPr>
    </w:p>
    <w:p w14:paraId="24E831F7" w14:textId="70FCEACA" w:rsidR="008E5525" w:rsidRPr="00227927" w:rsidRDefault="008E5525" w:rsidP="00A13FD0">
      <w:pPr>
        <w:spacing w:after="0" w:line="240" w:lineRule="auto"/>
        <w:jc w:val="both"/>
        <w:rPr>
          <w:rFonts w:ascii="Times New Roman" w:hAnsi="Times New Roman" w:cs="Times New Roman"/>
          <w:bCs/>
        </w:rPr>
      </w:pPr>
      <w:r w:rsidRPr="00227927">
        <w:rPr>
          <w:rFonts w:ascii="Times New Roman" w:hAnsi="Times New Roman" w:cs="Times New Roman"/>
          <w:bCs/>
        </w:rPr>
        <w:lastRenderedPageBreak/>
        <w:t>Table 2: Outcomes of measurement model</w:t>
      </w:r>
    </w:p>
    <w:tbl>
      <w:tblPr>
        <w:tblW w:w="9282" w:type="dxa"/>
        <w:tblBorders>
          <w:top w:val="single" w:sz="4" w:space="0" w:color="auto"/>
        </w:tblBorders>
        <w:tblLook w:val="04A0" w:firstRow="1" w:lastRow="0" w:firstColumn="1" w:lastColumn="0" w:noHBand="0" w:noVBand="1"/>
      </w:tblPr>
      <w:tblGrid>
        <w:gridCol w:w="2694"/>
        <w:gridCol w:w="1275"/>
        <w:gridCol w:w="1560"/>
        <w:gridCol w:w="1275"/>
        <w:gridCol w:w="1255"/>
        <w:gridCol w:w="1223"/>
      </w:tblGrid>
      <w:tr w:rsidR="008E5525" w:rsidRPr="005F6F02" w14:paraId="18AC36EA" w14:textId="77777777" w:rsidTr="00967A40">
        <w:tc>
          <w:tcPr>
            <w:tcW w:w="2694" w:type="dxa"/>
            <w:tcBorders>
              <w:top w:val="single" w:sz="4" w:space="0" w:color="auto"/>
              <w:bottom w:val="single" w:sz="4" w:space="0" w:color="auto"/>
            </w:tcBorders>
          </w:tcPr>
          <w:p w14:paraId="7AD192D0" w14:textId="77777777" w:rsidR="008E5525" w:rsidRPr="005F6F02" w:rsidRDefault="008E5525" w:rsidP="00967A40">
            <w:pPr>
              <w:pStyle w:val="Default"/>
              <w:jc w:val="both"/>
              <w:rPr>
                <w:b/>
                <w:bCs/>
                <w:color w:val="auto"/>
                <w:sz w:val="23"/>
                <w:szCs w:val="23"/>
              </w:rPr>
            </w:pPr>
            <w:r w:rsidRPr="005F6F02">
              <w:rPr>
                <w:b/>
                <w:bCs/>
                <w:color w:val="auto"/>
                <w:sz w:val="23"/>
                <w:szCs w:val="23"/>
              </w:rPr>
              <w:t>Construct</w:t>
            </w:r>
          </w:p>
        </w:tc>
        <w:tc>
          <w:tcPr>
            <w:tcW w:w="1275" w:type="dxa"/>
            <w:tcBorders>
              <w:top w:val="single" w:sz="4" w:space="0" w:color="auto"/>
              <w:bottom w:val="single" w:sz="4" w:space="0" w:color="auto"/>
            </w:tcBorders>
          </w:tcPr>
          <w:p w14:paraId="54FA3DB5" w14:textId="77777777" w:rsidR="008E5525" w:rsidRPr="005F6F02" w:rsidRDefault="008E5525" w:rsidP="00967A40">
            <w:pPr>
              <w:pStyle w:val="Default"/>
              <w:jc w:val="center"/>
              <w:rPr>
                <w:b/>
                <w:bCs/>
                <w:color w:val="auto"/>
                <w:sz w:val="23"/>
                <w:szCs w:val="23"/>
              </w:rPr>
            </w:pPr>
            <w:r w:rsidRPr="005F6F02">
              <w:rPr>
                <w:b/>
                <w:bCs/>
                <w:color w:val="auto"/>
                <w:sz w:val="23"/>
                <w:szCs w:val="23"/>
              </w:rPr>
              <w:t>Items</w:t>
            </w:r>
          </w:p>
        </w:tc>
        <w:tc>
          <w:tcPr>
            <w:tcW w:w="1560" w:type="dxa"/>
            <w:tcBorders>
              <w:top w:val="single" w:sz="4" w:space="0" w:color="auto"/>
              <w:bottom w:val="single" w:sz="4" w:space="0" w:color="auto"/>
            </w:tcBorders>
          </w:tcPr>
          <w:p w14:paraId="1F1E243E" w14:textId="77777777" w:rsidR="008E5525" w:rsidRPr="005F6F02" w:rsidRDefault="008E5525" w:rsidP="00967A40">
            <w:pPr>
              <w:pStyle w:val="Default"/>
              <w:jc w:val="center"/>
              <w:rPr>
                <w:b/>
                <w:bCs/>
                <w:color w:val="auto"/>
                <w:sz w:val="23"/>
                <w:szCs w:val="23"/>
              </w:rPr>
            </w:pPr>
            <w:r w:rsidRPr="005F6F02">
              <w:rPr>
                <w:b/>
                <w:bCs/>
                <w:color w:val="auto"/>
                <w:sz w:val="23"/>
                <w:szCs w:val="23"/>
              </w:rPr>
              <w:t>Loadings</w:t>
            </w:r>
          </w:p>
        </w:tc>
        <w:tc>
          <w:tcPr>
            <w:tcW w:w="1275" w:type="dxa"/>
            <w:tcBorders>
              <w:top w:val="single" w:sz="4" w:space="0" w:color="auto"/>
              <w:bottom w:val="single" w:sz="4" w:space="0" w:color="auto"/>
            </w:tcBorders>
          </w:tcPr>
          <w:p w14:paraId="6261300B" w14:textId="77777777" w:rsidR="008E5525" w:rsidRPr="005F6F02" w:rsidRDefault="008E5525" w:rsidP="00967A40">
            <w:pPr>
              <w:pStyle w:val="Default"/>
              <w:jc w:val="center"/>
              <w:rPr>
                <w:b/>
                <w:color w:val="auto"/>
                <w:sz w:val="23"/>
                <w:szCs w:val="23"/>
              </w:rPr>
            </w:pPr>
            <w:r w:rsidRPr="005F6F02">
              <w:rPr>
                <w:b/>
                <w:color w:val="auto"/>
                <w:sz w:val="23"/>
                <w:szCs w:val="23"/>
              </w:rPr>
              <w:t>α</w:t>
            </w:r>
          </w:p>
        </w:tc>
        <w:tc>
          <w:tcPr>
            <w:tcW w:w="1255" w:type="dxa"/>
            <w:tcBorders>
              <w:top w:val="single" w:sz="4" w:space="0" w:color="auto"/>
              <w:bottom w:val="single" w:sz="4" w:space="0" w:color="auto"/>
            </w:tcBorders>
          </w:tcPr>
          <w:p w14:paraId="457D07D0" w14:textId="77777777" w:rsidR="008E5525" w:rsidRPr="005F6F02" w:rsidRDefault="008E5525" w:rsidP="00967A40">
            <w:pPr>
              <w:pStyle w:val="Default"/>
              <w:jc w:val="center"/>
              <w:rPr>
                <w:b/>
                <w:bCs/>
                <w:color w:val="auto"/>
                <w:sz w:val="23"/>
                <w:szCs w:val="23"/>
              </w:rPr>
            </w:pPr>
            <w:r w:rsidRPr="005F6F02">
              <w:rPr>
                <w:b/>
                <w:bCs/>
                <w:color w:val="auto"/>
                <w:sz w:val="23"/>
                <w:szCs w:val="23"/>
              </w:rPr>
              <w:t>CR</w:t>
            </w:r>
          </w:p>
        </w:tc>
        <w:tc>
          <w:tcPr>
            <w:tcW w:w="1223" w:type="dxa"/>
            <w:tcBorders>
              <w:top w:val="single" w:sz="4" w:space="0" w:color="auto"/>
              <w:bottom w:val="single" w:sz="4" w:space="0" w:color="auto"/>
            </w:tcBorders>
          </w:tcPr>
          <w:p w14:paraId="68A18D07" w14:textId="77777777" w:rsidR="008E5525" w:rsidRPr="005F6F02" w:rsidRDefault="008E5525" w:rsidP="00967A40">
            <w:pPr>
              <w:pStyle w:val="Default"/>
              <w:jc w:val="center"/>
              <w:rPr>
                <w:b/>
                <w:bCs/>
                <w:color w:val="auto"/>
                <w:sz w:val="23"/>
                <w:szCs w:val="23"/>
              </w:rPr>
            </w:pPr>
            <w:r w:rsidRPr="005F6F02">
              <w:rPr>
                <w:b/>
                <w:bCs/>
                <w:color w:val="auto"/>
                <w:sz w:val="23"/>
                <w:szCs w:val="23"/>
              </w:rPr>
              <w:t>AVE</w:t>
            </w:r>
          </w:p>
        </w:tc>
      </w:tr>
      <w:tr w:rsidR="008E5525" w:rsidRPr="005F6F02" w14:paraId="55C90D93" w14:textId="77777777" w:rsidTr="00967A40">
        <w:trPr>
          <w:trHeight w:val="213"/>
        </w:trPr>
        <w:tc>
          <w:tcPr>
            <w:tcW w:w="2694" w:type="dxa"/>
            <w:vMerge w:val="restart"/>
            <w:tcBorders>
              <w:top w:val="single" w:sz="4" w:space="0" w:color="auto"/>
            </w:tcBorders>
          </w:tcPr>
          <w:p w14:paraId="21C35BAB" w14:textId="5EFDC38F" w:rsidR="008E5525" w:rsidRPr="005F6F02" w:rsidRDefault="00857524" w:rsidP="00967A40">
            <w:pPr>
              <w:pStyle w:val="Default"/>
              <w:ind w:right="-108"/>
              <w:rPr>
                <w:color w:val="auto"/>
                <w:sz w:val="23"/>
                <w:szCs w:val="23"/>
                <w:highlight w:val="yellow"/>
              </w:rPr>
            </w:pPr>
            <w:r w:rsidRPr="005F6F02">
              <w:rPr>
                <w:color w:val="auto"/>
                <w:sz w:val="23"/>
                <w:szCs w:val="23"/>
              </w:rPr>
              <w:t xml:space="preserve">Academic </w:t>
            </w:r>
            <w:r w:rsidR="008E5525" w:rsidRPr="005F6F02">
              <w:rPr>
                <w:color w:val="auto"/>
                <w:sz w:val="23"/>
                <w:szCs w:val="23"/>
              </w:rPr>
              <w:t>Performance</w:t>
            </w:r>
          </w:p>
          <w:p w14:paraId="5EA06C7C" w14:textId="77777777" w:rsidR="008E5525" w:rsidRPr="005F6F02" w:rsidRDefault="008E5525" w:rsidP="00967A40">
            <w:pPr>
              <w:pStyle w:val="Default"/>
              <w:ind w:right="-108"/>
              <w:rPr>
                <w:color w:val="auto"/>
                <w:sz w:val="23"/>
                <w:szCs w:val="23"/>
                <w:highlight w:val="yellow"/>
              </w:rPr>
            </w:pPr>
          </w:p>
        </w:tc>
        <w:tc>
          <w:tcPr>
            <w:tcW w:w="1275" w:type="dxa"/>
            <w:tcBorders>
              <w:top w:val="single" w:sz="4" w:space="0" w:color="auto"/>
            </w:tcBorders>
          </w:tcPr>
          <w:p w14:paraId="4B6EC82F" w14:textId="77777777" w:rsidR="008E5525" w:rsidRPr="005F6F02" w:rsidRDefault="008E5525" w:rsidP="00967A40">
            <w:pPr>
              <w:pStyle w:val="Default"/>
              <w:jc w:val="center"/>
              <w:rPr>
                <w:bCs/>
                <w:color w:val="auto"/>
                <w:sz w:val="23"/>
                <w:szCs w:val="23"/>
              </w:rPr>
            </w:pPr>
            <w:r w:rsidRPr="005F6F02">
              <w:rPr>
                <w:bCs/>
                <w:color w:val="auto"/>
                <w:sz w:val="23"/>
                <w:szCs w:val="23"/>
              </w:rPr>
              <w:t>AP1</w:t>
            </w:r>
          </w:p>
        </w:tc>
        <w:tc>
          <w:tcPr>
            <w:tcW w:w="1560" w:type="dxa"/>
            <w:tcBorders>
              <w:top w:val="single" w:sz="4" w:space="0" w:color="auto"/>
            </w:tcBorders>
            <w:vAlign w:val="bottom"/>
          </w:tcPr>
          <w:p w14:paraId="74028591"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0.838</w:t>
            </w:r>
          </w:p>
        </w:tc>
        <w:tc>
          <w:tcPr>
            <w:tcW w:w="1275" w:type="dxa"/>
            <w:tcBorders>
              <w:top w:val="single" w:sz="4" w:space="0" w:color="auto"/>
            </w:tcBorders>
          </w:tcPr>
          <w:p w14:paraId="1FCB0B5B" w14:textId="77777777" w:rsidR="008E5525" w:rsidRPr="005F6F02" w:rsidRDefault="008E5525" w:rsidP="00967A40">
            <w:pPr>
              <w:pStyle w:val="Default"/>
              <w:jc w:val="center"/>
              <w:rPr>
                <w:bCs/>
                <w:color w:val="auto"/>
                <w:sz w:val="23"/>
                <w:szCs w:val="23"/>
              </w:rPr>
            </w:pPr>
            <w:r w:rsidRPr="005F6F02">
              <w:rPr>
                <w:bCs/>
                <w:color w:val="auto"/>
                <w:sz w:val="23"/>
                <w:szCs w:val="23"/>
              </w:rPr>
              <w:t>0.848</w:t>
            </w:r>
          </w:p>
        </w:tc>
        <w:tc>
          <w:tcPr>
            <w:tcW w:w="1255" w:type="dxa"/>
            <w:vMerge w:val="restart"/>
            <w:tcBorders>
              <w:top w:val="single" w:sz="4" w:space="0" w:color="auto"/>
            </w:tcBorders>
          </w:tcPr>
          <w:p w14:paraId="4B7F6951" w14:textId="77777777" w:rsidR="008E5525" w:rsidRPr="005F6F02" w:rsidRDefault="008E5525" w:rsidP="00967A40">
            <w:pPr>
              <w:pStyle w:val="Default"/>
              <w:jc w:val="center"/>
              <w:rPr>
                <w:bCs/>
                <w:color w:val="auto"/>
                <w:sz w:val="23"/>
                <w:szCs w:val="23"/>
              </w:rPr>
            </w:pPr>
            <w:r w:rsidRPr="005F6F02">
              <w:rPr>
                <w:bCs/>
                <w:color w:val="auto"/>
                <w:sz w:val="23"/>
                <w:szCs w:val="23"/>
              </w:rPr>
              <w:t>0.888</w:t>
            </w:r>
          </w:p>
        </w:tc>
        <w:tc>
          <w:tcPr>
            <w:tcW w:w="1223" w:type="dxa"/>
            <w:vMerge w:val="restart"/>
            <w:tcBorders>
              <w:top w:val="single" w:sz="4" w:space="0" w:color="auto"/>
            </w:tcBorders>
          </w:tcPr>
          <w:p w14:paraId="71F8184C" w14:textId="77777777" w:rsidR="008E5525" w:rsidRPr="005F6F02" w:rsidRDefault="008E5525" w:rsidP="00967A40">
            <w:pPr>
              <w:pStyle w:val="Default"/>
              <w:jc w:val="center"/>
              <w:rPr>
                <w:bCs/>
                <w:color w:val="auto"/>
                <w:sz w:val="23"/>
                <w:szCs w:val="23"/>
              </w:rPr>
            </w:pPr>
            <w:r w:rsidRPr="005F6F02">
              <w:rPr>
                <w:bCs/>
                <w:color w:val="auto"/>
                <w:sz w:val="23"/>
                <w:szCs w:val="23"/>
              </w:rPr>
              <w:t>0.571</w:t>
            </w:r>
          </w:p>
        </w:tc>
      </w:tr>
      <w:tr w:rsidR="008E5525" w:rsidRPr="005F6F02" w14:paraId="70770E3B" w14:textId="77777777" w:rsidTr="00967A40">
        <w:tc>
          <w:tcPr>
            <w:tcW w:w="2694" w:type="dxa"/>
            <w:vMerge/>
          </w:tcPr>
          <w:p w14:paraId="1D1AA4E2" w14:textId="77777777" w:rsidR="008E5525" w:rsidRPr="005F6F02" w:rsidRDefault="008E5525" w:rsidP="00967A40">
            <w:pPr>
              <w:pStyle w:val="Default"/>
              <w:jc w:val="both"/>
              <w:rPr>
                <w:bCs/>
                <w:color w:val="auto"/>
                <w:sz w:val="23"/>
                <w:szCs w:val="23"/>
              </w:rPr>
            </w:pPr>
          </w:p>
        </w:tc>
        <w:tc>
          <w:tcPr>
            <w:tcW w:w="1275" w:type="dxa"/>
          </w:tcPr>
          <w:p w14:paraId="22343BD5" w14:textId="77777777" w:rsidR="008E5525" w:rsidRPr="005F6F02" w:rsidRDefault="008E5525" w:rsidP="00967A40">
            <w:pPr>
              <w:pStyle w:val="Default"/>
              <w:jc w:val="center"/>
              <w:rPr>
                <w:bCs/>
                <w:color w:val="auto"/>
                <w:sz w:val="23"/>
                <w:szCs w:val="23"/>
              </w:rPr>
            </w:pPr>
            <w:r w:rsidRPr="005F6F02">
              <w:rPr>
                <w:bCs/>
                <w:color w:val="auto"/>
                <w:sz w:val="23"/>
                <w:szCs w:val="23"/>
              </w:rPr>
              <w:t>AP2</w:t>
            </w:r>
          </w:p>
        </w:tc>
        <w:tc>
          <w:tcPr>
            <w:tcW w:w="1560" w:type="dxa"/>
            <w:vAlign w:val="bottom"/>
          </w:tcPr>
          <w:p w14:paraId="48E82A07"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0.691</w:t>
            </w:r>
          </w:p>
        </w:tc>
        <w:tc>
          <w:tcPr>
            <w:tcW w:w="1275" w:type="dxa"/>
          </w:tcPr>
          <w:p w14:paraId="0DA12B9B" w14:textId="77777777" w:rsidR="008E5525" w:rsidRPr="005F6F02" w:rsidRDefault="008E5525" w:rsidP="00967A40">
            <w:pPr>
              <w:pStyle w:val="Default"/>
              <w:jc w:val="center"/>
              <w:rPr>
                <w:bCs/>
                <w:color w:val="auto"/>
                <w:sz w:val="23"/>
                <w:szCs w:val="23"/>
              </w:rPr>
            </w:pPr>
          </w:p>
        </w:tc>
        <w:tc>
          <w:tcPr>
            <w:tcW w:w="1255" w:type="dxa"/>
            <w:vMerge/>
          </w:tcPr>
          <w:p w14:paraId="7B12A3B6" w14:textId="77777777" w:rsidR="008E5525" w:rsidRPr="005F6F02" w:rsidRDefault="008E5525" w:rsidP="00967A40">
            <w:pPr>
              <w:pStyle w:val="Default"/>
              <w:jc w:val="center"/>
              <w:rPr>
                <w:bCs/>
                <w:color w:val="auto"/>
                <w:sz w:val="23"/>
                <w:szCs w:val="23"/>
              </w:rPr>
            </w:pPr>
          </w:p>
        </w:tc>
        <w:tc>
          <w:tcPr>
            <w:tcW w:w="1223" w:type="dxa"/>
            <w:vMerge/>
          </w:tcPr>
          <w:p w14:paraId="151F651F" w14:textId="77777777" w:rsidR="008E5525" w:rsidRPr="005F6F02" w:rsidRDefault="008E5525" w:rsidP="00967A40">
            <w:pPr>
              <w:pStyle w:val="Default"/>
              <w:jc w:val="center"/>
              <w:rPr>
                <w:bCs/>
                <w:color w:val="auto"/>
                <w:sz w:val="23"/>
                <w:szCs w:val="23"/>
              </w:rPr>
            </w:pPr>
          </w:p>
        </w:tc>
      </w:tr>
      <w:tr w:rsidR="008E5525" w:rsidRPr="005F6F02" w14:paraId="1BAE5A1D" w14:textId="77777777" w:rsidTr="00967A40">
        <w:tc>
          <w:tcPr>
            <w:tcW w:w="2694" w:type="dxa"/>
            <w:vMerge/>
          </w:tcPr>
          <w:p w14:paraId="2269E193" w14:textId="77777777" w:rsidR="008E5525" w:rsidRPr="005F6F02" w:rsidRDefault="008E5525" w:rsidP="00967A40">
            <w:pPr>
              <w:pStyle w:val="Default"/>
              <w:jc w:val="both"/>
              <w:rPr>
                <w:bCs/>
                <w:color w:val="auto"/>
                <w:sz w:val="23"/>
                <w:szCs w:val="23"/>
              </w:rPr>
            </w:pPr>
          </w:p>
        </w:tc>
        <w:tc>
          <w:tcPr>
            <w:tcW w:w="1275" w:type="dxa"/>
          </w:tcPr>
          <w:p w14:paraId="52FF8CDB" w14:textId="77777777" w:rsidR="008E5525" w:rsidRPr="005F6F02" w:rsidRDefault="008E5525" w:rsidP="00967A40">
            <w:pPr>
              <w:pStyle w:val="Default"/>
              <w:jc w:val="center"/>
              <w:rPr>
                <w:bCs/>
                <w:color w:val="auto"/>
                <w:sz w:val="23"/>
                <w:szCs w:val="23"/>
              </w:rPr>
            </w:pPr>
            <w:r w:rsidRPr="005F6F02">
              <w:rPr>
                <w:bCs/>
                <w:color w:val="auto"/>
                <w:sz w:val="23"/>
                <w:szCs w:val="23"/>
              </w:rPr>
              <w:t>AP3</w:t>
            </w:r>
          </w:p>
        </w:tc>
        <w:tc>
          <w:tcPr>
            <w:tcW w:w="1560" w:type="dxa"/>
            <w:vAlign w:val="bottom"/>
          </w:tcPr>
          <w:p w14:paraId="30CBA033"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0.755</w:t>
            </w:r>
          </w:p>
        </w:tc>
        <w:tc>
          <w:tcPr>
            <w:tcW w:w="1275" w:type="dxa"/>
          </w:tcPr>
          <w:p w14:paraId="0ECD9AEC" w14:textId="77777777" w:rsidR="008E5525" w:rsidRPr="005F6F02" w:rsidRDefault="008E5525" w:rsidP="00967A40">
            <w:pPr>
              <w:pStyle w:val="Default"/>
              <w:jc w:val="center"/>
              <w:rPr>
                <w:bCs/>
                <w:color w:val="auto"/>
                <w:sz w:val="23"/>
                <w:szCs w:val="23"/>
              </w:rPr>
            </w:pPr>
          </w:p>
        </w:tc>
        <w:tc>
          <w:tcPr>
            <w:tcW w:w="1255" w:type="dxa"/>
            <w:vMerge/>
          </w:tcPr>
          <w:p w14:paraId="00BD13C6" w14:textId="77777777" w:rsidR="008E5525" w:rsidRPr="005F6F02" w:rsidRDefault="008E5525" w:rsidP="00967A40">
            <w:pPr>
              <w:pStyle w:val="Default"/>
              <w:jc w:val="center"/>
              <w:rPr>
                <w:bCs/>
                <w:color w:val="auto"/>
                <w:sz w:val="23"/>
                <w:szCs w:val="23"/>
              </w:rPr>
            </w:pPr>
          </w:p>
        </w:tc>
        <w:tc>
          <w:tcPr>
            <w:tcW w:w="1223" w:type="dxa"/>
            <w:vMerge/>
          </w:tcPr>
          <w:p w14:paraId="70AC43B5" w14:textId="77777777" w:rsidR="008E5525" w:rsidRPr="005F6F02" w:rsidRDefault="008E5525" w:rsidP="00967A40">
            <w:pPr>
              <w:pStyle w:val="Default"/>
              <w:jc w:val="center"/>
              <w:rPr>
                <w:bCs/>
                <w:color w:val="auto"/>
                <w:sz w:val="23"/>
                <w:szCs w:val="23"/>
              </w:rPr>
            </w:pPr>
          </w:p>
        </w:tc>
      </w:tr>
      <w:tr w:rsidR="008E5525" w:rsidRPr="005F6F02" w14:paraId="555E12E5" w14:textId="77777777" w:rsidTr="00967A40">
        <w:tc>
          <w:tcPr>
            <w:tcW w:w="2694" w:type="dxa"/>
            <w:vMerge/>
          </w:tcPr>
          <w:p w14:paraId="0AC3C402" w14:textId="77777777" w:rsidR="008E5525" w:rsidRPr="005F6F02" w:rsidRDefault="008E5525" w:rsidP="00967A40">
            <w:pPr>
              <w:pStyle w:val="Default"/>
              <w:jc w:val="both"/>
              <w:rPr>
                <w:bCs/>
                <w:color w:val="auto"/>
                <w:sz w:val="23"/>
                <w:szCs w:val="23"/>
              </w:rPr>
            </w:pPr>
          </w:p>
        </w:tc>
        <w:tc>
          <w:tcPr>
            <w:tcW w:w="1275" w:type="dxa"/>
          </w:tcPr>
          <w:p w14:paraId="1343406B" w14:textId="77777777" w:rsidR="008E5525" w:rsidRPr="005F6F02" w:rsidRDefault="008E5525" w:rsidP="00967A40">
            <w:pPr>
              <w:pStyle w:val="Default"/>
              <w:jc w:val="center"/>
              <w:rPr>
                <w:bCs/>
                <w:color w:val="auto"/>
                <w:sz w:val="23"/>
                <w:szCs w:val="23"/>
              </w:rPr>
            </w:pPr>
            <w:r w:rsidRPr="005F6F02">
              <w:rPr>
                <w:bCs/>
                <w:color w:val="auto"/>
                <w:sz w:val="23"/>
                <w:szCs w:val="23"/>
              </w:rPr>
              <w:t>AP4</w:t>
            </w:r>
          </w:p>
        </w:tc>
        <w:tc>
          <w:tcPr>
            <w:tcW w:w="1560" w:type="dxa"/>
            <w:vAlign w:val="bottom"/>
          </w:tcPr>
          <w:p w14:paraId="160B0B7C"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0.792</w:t>
            </w:r>
          </w:p>
        </w:tc>
        <w:tc>
          <w:tcPr>
            <w:tcW w:w="1275" w:type="dxa"/>
          </w:tcPr>
          <w:p w14:paraId="40C459E1" w14:textId="77777777" w:rsidR="008E5525" w:rsidRPr="005F6F02" w:rsidRDefault="008E5525" w:rsidP="00967A40">
            <w:pPr>
              <w:pStyle w:val="Default"/>
              <w:jc w:val="center"/>
              <w:rPr>
                <w:bCs/>
                <w:color w:val="auto"/>
                <w:sz w:val="23"/>
                <w:szCs w:val="23"/>
              </w:rPr>
            </w:pPr>
          </w:p>
        </w:tc>
        <w:tc>
          <w:tcPr>
            <w:tcW w:w="1255" w:type="dxa"/>
            <w:vMerge/>
          </w:tcPr>
          <w:p w14:paraId="47B8F1AB" w14:textId="77777777" w:rsidR="008E5525" w:rsidRPr="005F6F02" w:rsidRDefault="008E5525" w:rsidP="00967A40">
            <w:pPr>
              <w:pStyle w:val="Default"/>
              <w:jc w:val="center"/>
              <w:rPr>
                <w:bCs/>
                <w:color w:val="auto"/>
                <w:sz w:val="23"/>
                <w:szCs w:val="23"/>
              </w:rPr>
            </w:pPr>
          </w:p>
        </w:tc>
        <w:tc>
          <w:tcPr>
            <w:tcW w:w="1223" w:type="dxa"/>
            <w:vMerge/>
          </w:tcPr>
          <w:p w14:paraId="1D1BFA4D" w14:textId="77777777" w:rsidR="008E5525" w:rsidRPr="005F6F02" w:rsidRDefault="008E5525" w:rsidP="00967A40">
            <w:pPr>
              <w:pStyle w:val="Default"/>
              <w:jc w:val="center"/>
              <w:rPr>
                <w:bCs/>
                <w:color w:val="auto"/>
                <w:sz w:val="23"/>
                <w:szCs w:val="23"/>
              </w:rPr>
            </w:pPr>
          </w:p>
        </w:tc>
      </w:tr>
      <w:tr w:rsidR="008E5525" w:rsidRPr="005F6F02" w14:paraId="02BD014E" w14:textId="77777777" w:rsidTr="00967A40">
        <w:tc>
          <w:tcPr>
            <w:tcW w:w="2694" w:type="dxa"/>
            <w:vMerge/>
          </w:tcPr>
          <w:p w14:paraId="1507BA81" w14:textId="77777777" w:rsidR="008E5525" w:rsidRPr="005F6F02" w:rsidRDefault="008E5525" w:rsidP="00967A40">
            <w:pPr>
              <w:pStyle w:val="Default"/>
              <w:jc w:val="both"/>
              <w:rPr>
                <w:bCs/>
                <w:color w:val="auto"/>
                <w:sz w:val="23"/>
                <w:szCs w:val="23"/>
              </w:rPr>
            </w:pPr>
          </w:p>
        </w:tc>
        <w:tc>
          <w:tcPr>
            <w:tcW w:w="1275" w:type="dxa"/>
          </w:tcPr>
          <w:p w14:paraId="648A9C23" w14:textId="77777777" w:rsidR="008E5525" w:rsidRPr="005F6F02" w:rsidRDefault="008E5525" w:rsidP="00967A40">
            <w:pPr>
              <w:pStyle w:val="Default"/>
              <w:jc w:val="center"/>
              <w:rPr>
                <w:bCs/>
                <w:color w:val="auto"/>
                <w:sz w:val="23"/>
                <w:szCs w:val="23"/>
              </w:rPr>
            </w:pPr>
            <w:r w:rsidRPr="005F6F02">
              <w:rPr>
                <w:bCs/>
                <w:color w:val="auto"/>
                <w:sz w:val="23"/>
                <w:szCs w:val="23"/>
              </w:rPr>
              <w:t>AP5</w:t>
            </w:r>
          </w:p>
        </w:tc>
        <w:tc>
          <w:tcPr>
            <w:tcW w:w="1560" w:type="dxa"/>
            <w:vAlign w:val="bottom"/>
          </w:tcPr>
          <w:p w14:paraId="3494CA2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0.669</w:t>
            </w:r>
          </w:p>
        </w:tc>
        <w:tc>
          <w:tcPr>
            <w:tcW w:w="1275" w:type="dxa"/>
          </w:tcPr>
          <w:p w14:paraId="4B1CE38F" w14:textId="77777777" w:rsidR="008E5525" w:rsidRPr="005F6F02" w:rsidRDefault="008E5525" w:rsidP="00967A40">
            <w:pPr>
              <w:pStyle w:val="Default"/>
              <w:jc w:val="center"/>
              <w:rPr>
                <w:bCs/>
                <w:color w:val="auto"/>
                <w:sz w:val="23"/>
                <w:szCs w:val="23"/>
              </w:rPr>
            </w:pPr>
          </w:p>
        </w:tc>
        <w:tc>
          <w:tcPr>
            <w:tcW w:w="1255" w:type="dxa"/>
            <w:vMerge/>
          </w:tcPr>
          <w:p w14:paraId="2E52BC2B" w14:textId="77777777" w:rsidR="008E5525" w:rsidRPr="005F6F02" w:rsidRDefault="008E5525" w:rsidP="00967A40">
            <w:pPr>
              <w:pStyle w:val="Default"/>
              <w:jc w:val="center"/>
              <w:rPr>
                <w:bCs/>
                <w:color w:val="auto"/>
                <w:sz w:val="23"/>
                <w:szCs w:val="23"/>
              </w:rPr>
            </w:pPr>
          </w:p>
        </w:tc>
        <w:tc>
          <w:tcPr>
            <w:tcW w:w="1223" w:type="dxa"/>
            <w:vMerge/>
          </w:tcPr>
          <w:p w14:paraId="37098195" w14:textId="77777777" w:rsidR="008E5525" w:rsidRPr="005F6F02" w:rsidRDefault="008E5525" w:rsidP="00967A40">
            <w:pPr>
              <w:pStyle w:val="Default"/>
              <w:jc w:val="center"/>
              <w:rPr>
                <w:bCs/>
                <w:color w:val="auto"/>
                <w:sz w:val="23"/>
                <w:szCs w:val="23"/>
              </w:rPr>
            </w:pPr>
          </w:p>
        </w:tc>
      </w:tr>
      <w:tr w:rsidR="008E5525" w:rsidRPr="005F6F02" w14:paraId="7C41BB62" w14:textId="77777777" w:rsidTr="00967A40">
        <w:tc>
          <w:tcPr>
            <w:tcW w:w="2694" w:type="dxa"/>
            <w:vMerge/>
            <w:tcBorders>
              <w:bottom w:val="single" w:sz="4" w:space="0" w:color="auto"/>
            </w:tcBorders>
          </w:tcPr>
          <w:p w14:paraId="27E7CE73"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02E7E5B4" w14:textId="77777777" w:rsidR="008E5525" w:rsidRPr="005F6F02" w:rsidRDefault="008E5525" w:rsidP="00967A40">
            <w:pPr>
              <w:pStyle w:val="Default"/>
              <w:jc w:val="center"/>
              <w:rPr>
                <w:bCs/>
                <w:color w:val="auto"/>
                <w:sz w:val="23"/>
                <w:szCs w:val="23"/>
              </w:rPr>
            </w:pPr>
            <w:r w:rsidRPr="005F6F02">
              <w:rPr>
                <w:bCs/>
                <w:color w:val="auto"/>
                <w:sz w:val="23"/>
                <w:szCs w:val="23"/>
              </w:rPr>
              <w:t>AP6</w:t>
            </w:r>
          </w:p>
        </w:tc>
        <w:tc>
          <w:tcPr>
            <w:tcW w:w="1560" w:type="dxa"/>
            <w:tcBorders>
              <w:bottom w:val="single" w:sz="4" w:space="0" w:color="auto"/>
            </w:tcBorders>
            <w:vAlign w:val="bottom"/>
          </w:tcPr>
          <w:p w14:paraId="1563DF4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0.775</w:t>
            </w:r>
          </w:p>
        </w:tc>
        <w:tc>
          <w:tcPr>
            <w:tcW w:w="1275" w:type="dxa"/>
            <w:tcBorders>
              <w:bottom w:val="single" w:sz="4" w:space="0" w:color="auto"/>
            </w:tcBorders>
          </w:tcPr>
          <w:p w14:paraId="3379FCDE"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69E6991A"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4E8C6D16" w14:textId="77777777" w:rsidR="008E5525" w:rsidRPr="005F6F02" w:rsidRDefault="008E5525" w:rsidP="00967A40">
            <w:pPr>
              <w:pStyle w:val="Default"/>
              <w:jc w:val="center"/>
              <w:rPr>
                <w:bCs/>
                <w:color w:val="auto"/>
                <w:sz w:val="23"/>
                <w:szCs w:val="23"/>
              </w:rPr>
            </w:pPr>
          </w:p>
        </w:tc>
      </w:tr>
      <w:tr w:rsidR="008E5525" w:rsidRPr="005F6F02" w14:paraId="09DD60CC" w14:textId="77777777" w:rsidTr="00967A40">
        <w:trPr>
          <w:trHeight w:val="47"/>
        </w:trPr>
        <w:tc>
          <w:tcPr>
            <w:tcW w:w="2694" w:type="dxa"/>
            <w:vMerge w:val="restart"/>
            <w:tcBorders>
              <w:top w:val="single" w:sz="4" w:space="0" w:color="auto"/>
            </w:tcBorders>
          </w:tcPr>
          <w:p w14:paraId="00BE8901" w14:textId="77777777" w:rsidR="008E5525" w:rsidRPr="005F6F02" w:rsidRDefault="008E5525" w:rsidP="00967A40">
            <w:pPr>
              <w:pStyle w:val="Default"/>
              <w:ind w:right="-108"/>
              <w:rPr>
                <w:color w:val="auto"/>
                <w:sz w:val="23"/>
                <w:szCs w:val="23"/>
                <w:highlight w:val="yellow"/>
              </w:rPr>
            </w:pPr>
            <w:r w:rsidRPr="005F6F02">
              <w:rPr>
                <w:color w:val="auto"/>
                <w:sz w:val="23"/>
                <w:szCs w:val="23"/>
              </w:rPr>
              <w:t>Emotional Intelligence</w:t>
            </w:r>
          </w:p>
          <w:p w14:paraId="289A9C25" w14:textId="77777777" w:rsidR="008E5525" w:rsidRPr="005F6F02" w:rsidRDefault="008E5525" w:rsidP="00967A40">
            <w:pPr>
              <w:pStyle w:val="Default"/>
              <w:jc w:val="center"/>
              <w:rPr>
                <w:bCs/>
                <w:color w:val="auto"/>
                <w:sz w:val="23"/>
                <w:szCs w:val="23"/>
              </w:rPr>
            </w:pPr>
          </w:p>
        </w:tc>
        <w:tc>
          <w:tcPr>
            <w:tcW w:w="1275" w:type="dxa"/>
            <w:tcBorders>
              <w:top w:val="single" w:sz="4" w:space="0" w:color="auto"/>
            </w:tcBorders>
          </w:tcPr>
          <w:p w14:paraId="4E64F46F" w14:textId="77777777" w:rsidR="008E5525" w:rsidRPr="005F6F02" w:rsidRDefault="008E5525" w:rsidP="00967A40">
            <w:pPr>
              <w:pStyle w:val="Default"/>
              <w:jc w:val="center"/>
              <w:rPr>
                <w:bCs/>
                <w:color w:val="auto"/>
                <w:sz w:val="23"/>
                <w:szCs w:val="23"/>
              </w:rPr>
            </w:pPr>
            <w:r w:rsidRPr="005F6F02">
              <w:rPr>
                <w:bCs/>
                <w:color w:val="auto"/>
                <w:sz w:val="23"/>
                <w:szCs w:val="23"/>
              </w:rPr>
              <w:t>EI1</w:t>
            </w:r>
          </w:p>
        </w:tc>
        <w:tc>
          <w:tcPr>
            <w:tcW w:w="1560" w:type="dxa"/>
            <w:tcBorders>
              <w:top w:val="single" w:sz="4" w:space="0" w:color="auto"/>
            </w:tcBorders>
            <w:vAlign w:val="bottom"/>
          </w:tcPr>
          <w:p w14:paraId="12022620"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0.820</w:t>
            </w:r>
          </w:p>
        </w:tc>
        <w:tc>
          <w:tcPr>
            <w:tcW w:w="1275" w:type="dxa"/>
            <w:tcBorders>
              <w:top w:val="single" w:sz="4" w:space="0" w:color="auto"/>
            </w:tcBorders>
          </w:tcPr>
          <w:p w14:paraId="777D42AF" w14:textId="77777777" w:rsidR="008E5525" w:rsidRPr="005F6F02" w:rsidRDefault="008E5525" w:rsidP="00967A40">
            <w:pPr>
              <w:pStyle w:val="Default"/>
              <w:jc w:val="center"/>
              <w:rPr>
                <w:bCs/>
                <w:color w:val="auto"/>
                <w:sz w:val="23"/>
                <w:szCs w:val="23"/>
              </w:rPr>
            </w:pPr>
            <w:r w:rsidRPr="005F6F02">
              <w:rPr>
                <w:bCs/>
                <w:color w:val="auto"/>
                <w:sz w:val="23"/>
                <w:szCs w:val="23"/>
              </w:rPr>
              <w:t>0.868</w:t>
            </w:r>
          </w:p>
        </w:tc>
        <w:tc>
          <w:tcPr>
            <w:tcW w:w="1255" w:type="dxa"/>
            <w:vMerge w:val="restart"/>
            <w:tcBorders>
              <w:top w:val="single" w:sz="4" w:space="0" w:color="auto"/>
            </w:tcBorders>
          </w:tcPr>
          <w:p w14:paraId="1B742219" w14:textId="77777777" w:rsidR="008E5525" w:rsidRPr="005F6F02" w:rsidRDefault="008E5525" w:rsidP="00967A40">
            <w:pPr>
              <w:pStyle w:val="Default"/>
              <w:jc w:val="center"/>
              <w:rPr>
                <w:bCs/>
                <w:color w:val="auto"/>
                <w:sz w:val="23"/>
                <w:szCs w:val="23"/>
              </w:rPr>
            </w:pPr>
            <w:r w:rsidRPr="005F6F02">
              <w:rPr>
                <w:bCs/>
                <w:color w:val="auto"/>
                <w:sz w:val="23"/>
                <w:szCs w:val="23"/>
              </w:rPr>
              <w:t>0.903</w:t>
            </w:r>
          </w:p>
        </w:tc>
        <w:tc>
          <w:tcPr>
            <w:tcW w:w="1223" w:type="dxa"/>
            <w:vMerge w:val="restart"/>
            <w:tcBorders>
              <w:top w:val="single" w:sz="4" w:space="0" w:color="auto"/>
            </w:tcBorders>
          </w:tcPr>
          <w:p w14:paraId="514CC98F" w14:textId="77777777" w:rsidR="008E5525" w:rsidRPr="005F6F02" w:rsidRDefault="008E5525" w:rsidP="00967A40">
            <w:pPr>
              <w:pStyle w:val="Default"/>
              <w:jc w:val="center"/>
              <w:rPr>
                <w:bCs/>
                <w:color w:val="auto"/>
                <w:sz w:val="23"/>
                <w:szCs w:val="23"/>
              </w:rPr>
            </w:pPr>
            <w:r w:rsidRPr="005F6F02">
              <w:rPr>
                <w:bCs/>
                <w:color w:val="auto"/>
                <w:sz w:val="23"/>
                <w:szCs w:val="23"/>
              </w:rPr>
              <w:t>0.555</w:t>
            </w:r>
          </w:p>
        </w:tc>
      </w:tr>
      <w:tr w:rsidR="008E5525" w:rsidRPr="005F6F02" w14:paraId="7C232A71" w14:textId="77777777" w:rsidTr="00967A40">
        <w:tc>
          <w:tcPr>
            <w:tcW w:w="2694" w:type="dxa"/>
            <w:vMerge/>
          </w:tcPr>
          <w:p w14:paraId="0CD73087" w14:textId="77777777" w:rsidR="008E5525" w:rsidRPr="005F6F02" w:rsidRDefault="008E5525" w:rsidP="00967A40">
            <w:pPr>
              <w:pStyle w:val="Default"/>
              <w:jc w:val="both"/>
              <w:rPr>
                <w:bCs/>
                <w:color w:val="auto"/>
                <w:sz w:val="23"/>
                <w:szCs w:val="23"/>
              </w:rPr>
            </w:pPr>
          </w:p>
        </w:tc>
        <w:tc>
          <w:tcPr>
            <w:tcW w:w="1275" w:type="dxa"/>
          </w:tcPr>
          <w:p w14:paraId="366D6A49" w14:textId="77777777" w:rsidR="008E5525" w:rsidRPr="005F6F02" w:rsidRDefault="008E5525" w:rsidP="00967A40">
            <w:pPr>
              <w:pStyle w:val="Default"/>
              <w:jc w:val="center"/>
              <w:rPr>
                <w:bCs/>
                <w:color w:val="auto"/>
                <w:sz w:val="23"/>
                <w:szCs w:val="23"/>
              </w:rPr>
            </w:pPr>
            <w:r w:rsidRPr="005F6F02">
              <w:rPr>
                <w:bCs/>
                <w:color w:val="auto"/>
                <w:sz w:val="23"/>
                <w:szCs w:val="23"/>
              </w:rPr>
              <w:t>EI3</w:t>
            </w:r>
          </w:p>
        </w:tc>
        <w:tc>
          <w:tcPr>
            <w:tcW w:w="1560" w:type="dxa"/>
            <w:vAlign w:val="bottom"/>
          </w:tcPr>
          <w:p w14:paraId="1E9331B0"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0.833</w:t>
            </w:r>
          </w:p>
        </w:tc>
        <w:tc>
          <w:tcPr>
            <w:tcW w:w="1275" w:type="dxa"/>
          </w:tcPr>
          <w:p w14:paraId="0FE5E523" w14:textId="77777777" w:rsidR="008E5525" w:rsidRPr="005F6F02" w:rsidRDefault="008E5525" w:rsidP="00967A40">
            <w:pPr>
              <w:pStyle w:val="Default"/>
              <w:jc w:val="center"/>
              <w:rPr>
                <w:bCs/>
                <w:color w:val="auto"/>
                <w:sz w:val="23"/>
                <w:szCs w:val="23"/>
              </w:rPr>
            </w:pPr>
          </w:p>
        </w:tc>
        <w:tc>
          <w:tcPr>
            <w:tcW w:w="1255" w:type="dxa"/>
            <w:vMerge/>
          </w:tcPr>
          <w:p w14:paraId="01942C09" w14:textId="77777777" w:rsidR="008E5525" w:rsidRPr="005F6F02" w:rsidRDefault="008E5525" w:rsidP="00967A40">
            <w:pPr>
              <w:pStyle w:val="Default"/>
              <w:jc w:val="center"/>
              <w:rPr>
                <w:bCs/>
                <w:color w:val="auto"/>
                <w:sz w:val="23"/>
                <w:szCs w:val="23"/>
              </w:rPr>
            </w:pPr>
          </w:p>
        </w:tc>
        <w:tc>
          <w:tcPr>
            <w:tcW w:w="1223" w:type="dxa"/>
            <w:vMerge/>
          </w:tcPr>
          <w:p w14:paraId="2C6A1137" w14:textId="77777777" w:rsidR="008E5525" w:rsidRPr="005F6F02" w:rsidRDefault="008E5525" w:rsidP="00967A40">
            <w:pPr>
              <w:pStyle w:val="Default"/>
              <w:jc w:val="center"/>
              <w:rPr>
                <w:bCs/>
                <w:color w:val="auto"/>
                <w:sz w:val="23"/>
                <w:szCs w:val="23"/>
              </w:rPr>
            </w:pPr>
          </w:p>
        </w:tc>
      </w:tr>
      <w:tr w:rsidR="008E5525" w:rsidRPr="005F6F02" w14:paraId="38490C3B" w14:textId="77777777" w:rsidTr="00967A40">
        <w:tc>
          <w:tcPr>
            <w:tcW w:w="2694" w:type="dxa"/>
            <w:vMerge/>
          </w:tcPr>
          <w:p w14:paraId="6C2036FC" w14:textId="77777777" w:rsidR="008E5525" w:rsidRPr="005F6F02" w:rsidRDefault="008E5525" w:rsidP="00967A40">
            <w:pPr>
              <w:pStyle w:val="Default"/>
              <w:jc w:val="both"/>
              <w:rPr>
                <w:bCs/>
                <w:color w:val="auto"/>
                <w:sz w:val="23"/>
                <w:szCs w:val="23"/>
              </w:rPr>
            </w:pPr>
          </w:p>
        </w:tc>
        <w:tc>
          <w:tcPr>
            <w:tcW w:w="1275" w:type="dxa"/>
            <w:tcBorders>
              <w:bottom w:val="nil"/>
            </w:tcBorders>
          </w:tcPr>
          <w:p w14:paraId="2AEA426E" w14:textId="77777777" w:rsidR="008E5525" w:rsidRPr="005F6F02" w:rsidRDefault="008E5525" w:rsidP="00967A40">
            <w:pPr>
              <w:pStyle w:val="Default"/>
              <w:jc w:val="center"/>
              <w:rPr>
                <w:bCs/>
                <w:color w:val="auto"/>
                <w:sz w:val="23"/>
                <w:szCs w:val="23"/>
              </w:rPr>
            </w:pPr>
            <w:r w:rsidRPr="005F6F02">
              <w:rPr>
                <w:bCs/>
                <w:color w:val="auto"/>
                <w:sz w:val="23"/>
                <w:szCs w:val="23"/>
              </w:rPr>
              <w:t>EI4</w:t>
            </w:r>
          </w:p>
        </w:tc>
        <w:tc>
          <w:tcPr>
            <w:tcW w:w="1560" w:type="dxa"/>
            <w:tcBorders>
              <w:bottom w:val="nil"/>
            </w:tcBorders>
            <w:vAlign w:val="bottom"/>
          </w:tcPr>
          <w:p w14:paraId="78034A8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0.878</w:t>
            </w:r>
          </w:p>
        </w:tc>
        <w:tc>
          <w:tcPr>
            <w:tcW w:w="1275" w:type="dxa"/>
            <w:tcBorders>
              <w:bottom w:val="nil"/>
            </w:tcBorders>
          </w:tcPr>
          <w:p w14:paraId="31500633" w14:textId="77777777" w:rsidR="008E5525" w:rsidRPr="005F6F02" w:rsidRDefault="008E5525" w:rsidP="00967A40">
            <w:pPr>
              <w:pStyle w:val="Default"/>
              <w:jc w:val="center"/>
              <w:rPr>
                <w:bCs/>
                <w:color w:val="auto"/>
                <w:sz w:val="23"/>
                <w:szCs w:val="23"/>
              </w:rPr>
            </w:pPr>
          </w:p>
        </w:tc>
        <w:tc>
          <w:tcPr>
            <w:tcW w:w="1255" w:type="dxa"/>
            <w:vMerge/>
          </w:tcPr>
          <w:p w14:paraId="660A997C" w14:textId="77777777" w:rsidR="008E5525" w:rsidRPr="005F6F02" w:rsidRDefault="008E5525" w:rsidP="00967A40">
            <w:pPr>
              <w:pStyle w:val="Default"/>
              <w:jc w:val="center"/>
              <w:rPr>
                <w:bCs/>
                <w:color w:val="auto"/>
                <w:sz w:val="23"/>
                <w:szCs w:val="23"/>
              </w:rPr>
            </w:pPr>
          </w:p>
        </w:tc>
        <w:tc>
          <w:tcPr>
            <w:tcW w:w="1223" w:type="dxa"/>
            <w:vMerge/>
          </w:tcPr>
          <w:p w14:paraId="3FAF0469" w14:textId="77777777" w:rsidR="008E5525" w:rsidRPr="005F6F02" w:rsidRDefault="008E5525" w:rsidP="00967A40">
            <w:pPr>
              <w:pStyle w:val="Default"/>
              <w:jc w:val="center"/>
              <w:rPr>
                <w:bCs/>
                <w:color w:val="auto"/>
                <w:sz w:val="23"/>
                <w:szCs w:val="23"/>
              </w:rPr>
            </w:pPr>
          </w:p>
        </w:tc>
      </w:tr>
      <w:tr w:rsidR="008E5525" w:rsidRPr="005F6F02" w14:paraId="161F70AA" w14:textId="77777777" w:rsidTr="00967A40">
        <w:tc>
          <w:tcPr>
            <w:tcW w:w="2694" w:type="dxa"/>
            <w:vMerge/>
          </w:tcPr>
          <w:p w14:paraId="65671656" w14:textId="77777777" w:rsidR="008E5525" w:rsidRPr="005F6F02" w:rsidRDefault="008E5525" w:rsidP="00967A40">
            <w:pPr>
              <w:pStyle w:val="Default"/>
              <w:jc w:val="both"/>
              <w:rPr>
                <w:bCs/>
                <w:color w:val="auto"/>
                <w:sz w:val="23"/>
                <w:szCs w:val="23"/>
              </w:rPr>
            </w:pPr>
          </w:p>
        </w:tc>
        <w:tc>
          <w:tcPr>
            <w:tcW w:w="1275" w:type="dxa"/>
            <w:tcBorders>
              <w:top w:val="nil"/>
            </w:tcBorders>
          </w:tcPr>
          <w:p w14:paraId="3ED0D874" w14:textId="77777777" w:rsidR="008E5525" w:rsidRPr="005F6F02" w:rsidRDefault="008E5525" w:rsidP="00967A40">
            <w:pPr>
              <w:pStyle w:val="Default"/>
              <w:jc w:val="center"/>
              <w:rPr>
                <w:bCs/>
                <w:color w:val="auto"/>
                <w:sz w:val="23"/>
                <w:szCs w:val="23"/>
              </w:rPr>
            </w:pPr>
            <w:r w:rsidRPr="005F6F02">
              <w:rPr>
                <w:bCs/>
                <w:color w:val="auto"/>
                <w:sz w:val="23"/>
                <w:szCs w:val="23"/>
              </w:rPr>
              <w:t>EI5</w:t>
            </w:r>
          </w:p>
        </w:tc>
        <w:tc>
          <w:tcPr>
            <w:tcW w:w="1560" w:type="dxa"/>
            <w:tcBorders>
              <w:top w:val="nil"/>
            </w:tcBorders>
            <w:vAlign w:val="bottom"/>
          </w:tcPr>
          <w:p w14:paraId="6D0CB39A"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0.907</w:t>
            </w:r>
          </w:p>
        </w:tc>
        <w:tc>
          <w:tcPr>
            <w:tcW w:w="1275" w:type="dxa"/>
            <w:tcBorders>
              <w:top w:val="nil"/>
            </w:tcBorders>
          </w:tcPr>
          <w:p w14:paraId="1B531681" w14:textId="77777777" w:rsidR="008E5525" w:rsidRPr="005F6F02" w:rsidRDefault="008E5525" w:rsidP="00967A40">
            <w:pPr>
              <w:pStyle w:val="Default"/>
              <w:jc w:val="center"/>
              <w:rPr>
                <w:bCs/>
                <w:color w:val="auto"/>
                <w:sz w:val="23"/>
                <w:szCs w:val="23"/>
              </w:rPr>
            </w:pPr>
          </w:p>
        </w:tc>
        <w:tc>
          <w:tcPr>
            <w:tcW w:w="1255" w:type="dxa"/>
            <w:vMerge/>
          </w:tcPr>
          <w:p w14:paraId="5D931A91" w14:textId="77777777" w:rsidR="008E5525" w:rsidRPr="005F6F02" w:rsidRDefault="008E5525" w:rsidP="00967A40">
            <w:pPr>
              <w:pStyle w:val="Default"/>
              <w:jc w:val="center"/>
              <w:rPr>
                <w:bCs/>
                <w:color w:val="auto"/>
                <w:sz w:val="23"/>
                <w:szCs w:val="23"/>
              </w:rPr>
            </w:pPr>
          </w:p>
        </w:tc>
        <w:tc>
          <w:tcPr>
            <w:tcW w:w="1223" w:type="dxa"/>
            <w:vMerge/>
          </w:tcPr>
          <w:p w14:paraId="6F6F265B" w14:textId="77777777" w:rsidR="008E5525" w:rsidRPr="005F6F02" w:rsidRDefault="008E5525" w:rsidP="00967A40">
            <w:pPr>
              <w:pStyle w:val="Default"/>
              <w:jc w:val="center"/>
              <w:rPr>
                <w:bCs/>
                <w:color w:val="auto"/>
                <w:sz w:val="23"/>
                <w:szCs w:val="23"/>
              </w:rPr>
            </w:pPr>
          </w:p>
        </w:tc>
      </w:tr>
      <w:tr w:rsidR="008E5525" w:rsidRPr="005F6F02" w14:paraId="5D8F7DAC" w14:textId="77777777" w:rsidTr="00967A40">
        <w:trPr>
          <w:trHeight w:val="57"/>
        </w:trPr>
        <w:tc>
          <w:tcPr>
            <w:tcW w:w="2694" w:type="dxa"/>
            <w:vMerge/>
            <w:tcBorders>
              <w:bottom w:val="single" w:sz="4" w:space="0" w:color="auto"/>
            </w:tcBorders>
          </w:tcPr>
          <w:p w14:paraId="4F31EA1F" w14:textId="77777777" w:rsidR="008E5525" w:rsidRPr="005F6F02" w:rsidRDefault="008E5525" w:rsidP="00967A40">
            <w:pPr>
              <w:pStyle w:val="Default"/>
              <w:jc w:val="both"/>
              <w:rPr>
                <w:bCs/>
                <w:color w:val="auto"/>
                <w:sz w:val="23"/>
                <w:szCs w:val="23"/>
              </w:rPr>
            </w:pPr>
          </w:p>
        </w:tc>
        <w:tc>
          <w:tcPr>
            <w:tcW w:w="1275" w:type="dxa"/>
            <w:tcBorders>
              <w:top w:val="nil"/>
              <w:bottom w:val="nil"/>
            </w:tcBorders>
          </w:tcPr>
          <w:p w14:paraId="48EF8239" w14:textId="77777777" w:rsidR="008E5525" w:rsidRPr="005F6F02" w:rsidRDefault="008E5525" w:rsidP="00967A40">
            <w:pPr>
              <w:pStyle w:val="Default"/>
              <w:jc w:val="center"/>
              <w:rPr>
                <w:bCs/>
                <w:color w:val="auto"/>
                <w:sz w:val="23"/>
                <w:szCs w:val="23"/>
              </w:rPr>
            </w:pPr>
            <w:r w:rsidRPr="005F6F02">
              <w:rPr>
                <w:bCs/>
                <w:color w:val="auto"/>
                <w:sz w:val="23"/>
                <w:szCs w:val="23"/>
              </w:rPr>
              <w:t>EI6</w:t>
            </w:r>
          </w:p>
        </w:tc>
        <w:tc>
          <w:tcPr>
            <w:tcW w:w="1560" w:type="dxa"/>
            <w:tcBorders>
              <w:top w:val="nil"/>
              <w:bottom w:val="nil"/>
            </w:tcBorders>
            <w:vAlign w:val="bottom"/>
          </w:tcPr>
          <w:p w14:paraId="2763B22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0.447</w:t>
            </w:r>
          </w:p>
        </w:tc>
        <w:tc>
          <w:tcPr>
            <w:tcW w:w="1275" w:type="dxa"/>
            <w:tcBorders>
              <w:top w:val="nil"/>
              <w:bottom w:val="nil"/>
            </w:tcBorders>
          </w:tcPr>
          <w:p w14:paraId="36B750A6"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319DC427"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0C7AC976" w14:textId="77777777" w:rsidR="008E5525" w:rsidRPr="005F6F02" w:rsidRDefault="008E5525" w:rsidP="00967A40">
            <w:pPr>
              <w:pStyle w:val="Default"/>
              <w:jc w:val="center"/>
              <w:rPr>
                <w:bCs/>
                <w:color w:val="auto"/>
                <w:sz w:val="23"/>
                <w:szCs w:val="23"/>
              </w:rPr>
            </w:pPr>
          </w:p>
        </w:tc>
      </w:tr>
      <w:tr w:rsidR="008E5525" w:rsidRPr="005F6F02" w14:paraId="6BD71AB5" w14:textId="77777777" w:rsidTr="00967A40">
        <w:trPr>
          <w:trHeight w:val="112"/>
        </w:trPr>
        <w:tc>
          <w:tcPr>
            <w:tcW w:w="2694" w:type="dxa"/>
            <w:vMerge/>
          </w:tcPr>
          <w:p w14:paraId="64D50619" w14:textId="77777777" w:rsidR="008E5525" w:rsidRPr="005F6F02" w:rsidRDefault="008E5525" w:rsidP="00967A40">
            <w:pPr>
              <w:pStyle w:val="Default"/>
              <w:jc w:val="both"/>
              <w:rPr>
                <w:bCs/>
                <w:color w:val="auto"/>
                <w:sz w:val="23"/>
                <w:szCs w:val="23"/>
              </w:rPr>
            </w:pPr>
          </w:p>
        </w:tc>
        <w:tc>
          <w:tcPr>
            <w:tcW w:w="1275" w:type="dxa"/>
          </w:tcPr>
          <w:p w14:paraId="5B57EC62" w14:textId="77777777" w:rsidR="008E5525" w:rsidRPr="005F6F02" w:rsidRDefault="008E5525" w:rsidP="00967A40">
            <w:pPr>
              <w:pStyle w:val="Default"/>
              <w:jc w:val="center"/>
              <w:rPr>
                <w:bCs/>
                <w:color w:val="auto"/>
                <w:sz w:val="23"/>
                <w:szCs w:val="23"/>
              </w:rPr>
            </w:pPr>
            <w:r w:rsidRPr="005F6F02">
              <w:rPr>
                <w:bCs/>
                <w:color w:val="auto"/>
                <w:sz w:val="23"/>
                <w:szCs w:val="23"/>
              </w:rPr>
              <w:t>EI7</w:t>
            </w:r>
          </w:p>
        </w:tc>
        <w:tc>
          <w:tcPr>
            <w:tcW w:w="1560" w:type="dxa"/>
            <w:vAlign w:val="bottom"/>
          </w:tcPr>
          <w:p w14:paraId="57145CB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0.886</w:t>
            </w:r>
          </w:p>
        </w:tc>
        <w:tc>
          <w:tcPr>
            <w:tcW w:w="1275" w:type="dxa"/>
          </w:tcPr>
          <w:p w14:paraId="4336C981" w14:textId="77777777" w:rsidR="008E5525" w:rsidRPr="005F6F02" w:rsidRDefault="008E5525" w:rsidP="00967A40">
            <w:pPr>
              <w:pStyle w:val="Default"/>
              <w:jc w:val="center"/>
              <w:rPr>
                <w:bCs/>
                <w:color w:val="auto"/>
                <w:sz w:val="23"/>
                <w:szCs w:val="23"/>
              </w:rPr>
            </w:pPr>
          </w:p>
        </w:tc>
        <w:tc>
          <w:tcPr>
            <w:tcW w:w="1255" w:type="dxa"/>
            <w:vMerge/>
          </w:tcPr>
          <w:p w14:paraId="27DD2398" w14:textId="77777777" w:rsidR="008E5525" w:rsidRPr="005F6F02" w:rsidRDefault="008E5525" w:rsidP="00967A40">
            <w:pPr>
              <w:pStyle w:val="Default"/>
              <w:jc w:val="center"/>
              <w:rPr>
                <w:bCs/>
                <w:color w:val="auto"/>
                <w:sz w:val="23"/>
                <w:szCs w:val="23"/>
              </w:rPr>
            </w:pPr>
          </w:p>
        </w:tc>
        <w:tc>
          <w:tcPr>
            <w:tcW w:w="1223" w:type="dxa"/>
            <w:vMerge/>
          </w:tcPr>
          <w:p w14:paraId="69AB4DDE" w14:textId="77777777" w:rsidR="008E5525" w:rsidRPr="005F6F02" w:rsidRDefault="008E5525" w:rsidP="00967A40">
            <w:pPr>
              <w:pStyle w:val="Default"/>
              <w:jc w:val="center"/>
              <w:rPr>
                <w:bCs/>
                <w:color w:val="auto"/>
                <w:sz w:val="23"/>
                <w:szCs w:val="23"/>
              </w:rPr>
            </w:pPr>
          </w:p>
        </w:tc>
      </w:tr>
      <w:tr w:rsidR="008E5525" w:rsidRPr="005F6F02" w14:paraId="3A5CFC43" w14:textId="77777777" w:rsidTr="00967A40">
        <w:tc>
          <w:tcPr>
            <w:tcW w:w="2694" w:type="dxa"/>
            <w:vMerge/>
          </w:tcPr>
          <w:p w14:paraId="36288286" w14:textId="77777777" w:rsidR="008E5525" w:rsidRPr="005F6F02" w:rsidRDefault="008E5525" w:rsidP="00967A40">
            <w:pPr>
              <w:pStyle w:val="Default"/>
              <w:jc w:val="both"/>
              <w:rPr>
                <w:bCs/>
                <w:color w:val="auto"/>
                <w:sz w:val="23"/>
                <w:szCs w:val="23"/>
              </w:rPr>
            </w:pPr>
          </w:p>
        </w:tc>
        <w:tc>
          <w:tcPr>
            <w:tcW w:w="1275" w:type="dxa"/>
          </w:tcPr>
          <w:p w14:paraId="4B241064" w14:textId="77777777" w:rsidR="008E5525" w:rsidRPr="005F6F02" w:rsidRDefault="008E5525" w:rsidP="00967A40">
            <w:pPr>
              <w:pStyle w:val="Default"/>
              <w:jc w:val="center"/>
              <w:rPr>
                <w:bCs/>
                <w:color w:val="auto"/>
                <w:sz w:val="23"/>
                <w:szCs w:val="23"/>
              </w:rPr>
            </w:pPr>
            <w:r w:rsidRPr="005F6F02">
              <w:rPr>
                <w:bCs/>
                <w:color w:val="auto"/>
                <w:sz w:val="23"/>
                <w:szCs w:val="23"/>
              </w:rPr>
              <w:t>EI8</w:t>
            </w:r>
          </w:p>
        </w:tc>
        <w:tc>
          <w:tcPr>
            <w:tcW w:w="1560" w:type="dxa"/>
            <w:vAlign w:val="bottom"/>
          </w:tcPr>
          <w:p w14:paraId="4195B1A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0.436</w:t>
            </w:r>
          </w:p>
        </w:tc>
        <w:tc>
          <w:tcPr>
            <w:tcW w:w="1275" w:type="dxa"/>
          </w:tcPr>
          <w:p w14:paraId="26CC5D82" w14:textId="77777777" w:rsidR="008E5525" w:rsidRPr="005F6F02" w:rsidRDefault="008E5525" w:rsidP="00967A40">
            <w:pPr>
              <w:pStyle w:val="Default"/>
              <w:jc w:val="center"/>
              <w:rPr>
                <w:bCs/>
                <w:color w:val="auto"/>
                <w:sz w:val="23"/>
                <w:szCs w:val="23"/>
              </w:rPr>
            </w:pPr>
          </w:p>
        </w:tc>
        <w:tc>
          <w:tcPr>
            <w:tcW w:w="1255" w:type="dxa"/>
            <w:vMerge/>
          </w:tcPr>
          <w:p w14:paraId="092C0CE9" w14:textId="77777777" w:rsidR="008E5525" w:rsidRPr="005F6F02" w:rsidRDefault="008E5525" w:rsidP="00967A40">
            <w:pPr>
              <w:pStyle w:val="Default"/>
              <w:jc w:val="center"/>
              <w:rPr>
                <w:bCs/>
                <w:color w:val="auto"/>
                <w:sz w:val="23"/>
                <w:szCs w:val="23"/>
              </w:rPr>
            </w:pPr>
          </w:p>
        </w:tc>
        <w:tc>
          <w:tcPr>
            <w:tcW w:w="1223" w:type="dxa"/>
            <w:vMerge/>
          </w:tcPr>
          <w:p w14:paraId="79F80176" w14:textId="77777777" w:rsidR="008E5525" w:rsidRPr="005F6F02" w:rsidRDefault="008E5525" w:rsidP="00967A40">
            <w:pPr>
              <w:pStyle w:val="Default"/>
              <w:jc w:val="center"/>
              <w:rPr>
                <w:bCs/>
                <w:color w:val="auto"/>
                <w:sz w:val="23"/>
                <w:szCs w:val="23"/>
              </w:rPr>
            </w:pPr>
          </w:p>
        </w:tc>
      </w:tr>
      <w:tr w:rsidR="008E5525" w:rsidRPr="005F6F02" w14:paraId="676311FA" w14:textId="77777777" w:rsidTr="00967A40">
        <w:tc>
          <w:tcPr>
            <w:tcW w:w="2694" w:type="dxa"/>
            <w:vMerge/>
            <w:tcBorders>
              <w:bottom w:val="single" w:sz="4" w:space="0" w:color="auto"/>
            </w:tcBorders>
          </w:tcPr>
          <w:p w14:paraId="1C465B80"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52310A13" w14:textId="77777777" w:rsidR="008E5525" w:rsidRPr="005F6F02" w:rsidRDefault="008E5525" w:rsidP="00967A40">
            <w:pPr>
              <w:pStyle w:val="Default"/>
              <w:jc w:val="center"/>
              <w:rPr>
                <w:bCs/>
                <w:color w:val="auto"/>
                <w:sz w:val="23"/>
                <w:szCs w:val="23"/>
              </w:rPr>
            </w:pPr>
            <w:r w:rsidRPr="005F6F02">
              <w:rPr>
                <w:bCs/>
                <w:color w:val="auto"/>
                <w:sz w:val="23"/>
                <w:szCs w:val="23"/>
              </w:rPr>
              <w:t>EI9</w:t>
            </w:r>
          </w:p>
        </w:tc>
        <w:tc>
          <w:tcPr>
            <w:tcW w:w="1560" w:type="dxa"/>
            <w:tcBorders>
              <w:bottom w:val="single" w:sz="4" w:space="0" w:color="auto"/>
            </w:tcBorders>
            <w:vAlign w:val="bottom"/>
          </w:tcPr>
          <w:p w14:paraId="3E5C6D2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0.553</w:t>
            </w:r>
          </w:p>
        </w:tc>
        <w:tc>
          <w:tcPr>
            <w:tcW w:w="1275" w:type="dxa"/>
            <w:tcBorders>
              <w:bottom w:val="single" w:sz="4" w:space="0" w:color="auto"/>
            </w:tcBorders>
          </w:tcPr>
          <w:p w14:paraId="7AD4E488"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54503469"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23F7757D" w14:textId="77777777" w:rsidR="008E5525" w:rsidRPr="005F6F02" w:rsidRDefault="008E5525" w:rsidP="00967A40">
            <w:pPr>
              <w:pStyle w:val="Default"/>
              <w:jc w:val="center"/>
              <w:rPr>
                <w:bCs/>
                <w:color w:val="auto"/>
                <w:sz w:val="23"/>
                <w:szCs w:val="23"/>
              </w:rPr>
            </w:pPr>
          </w:p>
        </w:tc>
      </w:tr>
      <w:tr w:rsidR="008E5525" w:rsidRPr="005F6F02" w14:paraId="15BD903F" w14:textId="77777777" w:rsidTr="00967A40">
        <w:trPr>
          <w:trHeight w:val="47"/>
        </w:trPr>
        <w:tc>
          <w:tcPr>
            <w:tcW w:w="2694" w:type="dxa"/>
            <w:vMerge w:val="restart"/>
            <w:tcBorders>
              <w:top w:val="single" w:sz="4" w:space="0" w:color="auto"/>
            </w:tcBorders>
          </w:tcPr>
          <w:p w14:paraId="5EB58E4B" w14:textId="07CBEC39" w:rsidR="008E5525" w:rsidRPr="005F6F02" w:rsidRDefault="00857524" w:rsidP="00967A40">
            <w:pPr>
              <w:pStyle w:val="Default"/>
              <w:jc w:val="both"/>
              <w:rPr>
                <w:bCs/>
                <w:color w:val="auto"/>
                <w:sz w:val="23"/>
                <w:szCs w:val="23"/>
              </w:rPr>
            </w:pPr>
            <w:r w:rsidRPr="005F6F02">
              <w:rPr>
                <w:color w:val="auto"/>
                <w:sz w:val="23"/>
                <w:szCs w:val="23"/>
              </w:rPr>
              <w:t xml:space="preserve">Academic </w:t>
            </w:r>
            <w:r w:rsidR="008E5525" w:rsidRPr="005F6F02">
              <w:rPr>
                <w:color w:val="auto"/>
                <w:sz w:val="23"/>
                <w:szCs w:val="23"/>
              </w:rPr>
              <w:t>Engagement</w:t>
            </w:r>
          </w:p>
        </w:tc>
        <w:tc>
          <w:tcPr>
            <w:tcW w:w="1275" w:type="dxa"/>
            <w:tcBorders>
              <w:top w:val="single" w:sz="4" w:space="0" w:color="auto"/>
            </w:tcBorders>
          </w:tcPr>
          <w:p w14:paraId="7620B15A" w14:textId="77777777" w:rsidR="008E5525" w:rsidRPr="005F6F02" w:rsidRDefault="008E5525" w:rsidP="00967A40">
            <w:pPr>
              <w:pStyle w:val="Default"/>
              <w:jc w:val="center"/>
              <w:rPr>
                <w:bCs/>
                <w:color w:val="auto"/>
                <w:sz w:val="23"/>
                <w:szCs w:val="23"/>
              </w:rPr>
            </w:pPr>
            <w:r w:rsidRPr="005F6F02">
              <w:rPr>
                <w:bCs/>
                <w:color w:val="auto"/>
                <w:sz w:val="23"/>
                <w:szCs w:val="23"/>
              </w:rPr>
              <w:t>AE1</w:t>
            </w:r>
          </w:p>
        </w:tc>
        <w:tc>
          <w:tcPr>
            <w:tcW w:w="1560" w:type="dxa"/>
            <w:tcBorders>
              <w:top w:val="single" w:sz="4" w:space="0" w:color="auto"/>
            </w:tcBorders>
            <w:vAlign w:val="bottom"/>
          </w:tcPr>
          <w:p w14:paraId="5F40CF4A"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0.817</w:t>
            </w:r>
          </w:p>
        </w:tc>
        <w:tc>
          <w:tcPr>
            <w:tcW w:w="1275" w:type="dxa"/>
            <w:tcBorders>
              <w:top w:val="single" w:sz="4" w:space="0" w:color="auto"/>
            </w:tcBorders>
          </w:tcPr>
          <w:p w14:paraId="545D44FD" w14:textId="77777777" w:rsidR="008E5525" w:rsidRPr="005F6F02" w:rsidRDefault="008E5525" w:rsidP="00967A40">
            <w:pPr>
              <w:pStyle w:val="Default"/>
              <w:jc w:val="center"/>
              <w:rPr>
                <w:bCs/>
                <w:color w:val="auto"/>
                <w:sz w:val="23"/>
                <w:szCs w:val="23"/>
              </w:rPr>
            </w:pPr>
            <w:r w:rsidRPr="005F6F02">
              <w:rPr>
                <w:bCs/>
                <w:color w:val="auto"/>
                <w:sz w:val="23"/>
                <w:szCs w:val="23"/>
              </w:rPr>
              <w:t>0.805</w:t>
            </w:r>
          </w:p>
        </w:tc>
        <w:tc>
          <w:tcPr>
            <w:tcW w:w="1255" w:type="dxa"/>
            <w:vMerge w:val="restart"/>
            <w:tcBorders>
              <w:top w:val="single" w:sz="4" w:space="0" w:color="auto"/>
            </w:tcBorders>
          </w:tcPr>
          <w:p w14:paraId="192C8876" w14:textId="77777777" w:rsidR="008E5525" w:rsidRPr="005F6F02" w:rsidRDefault="008E5525" w:rsidP="00967A40">
            <w:pPr>
              <w:pStyle w:val="Default"/>
              <w:jc w:val="center"/>
              <w:rPr>
                <w:bCs/>
                <w:color w:val="auto"/>
                <w:sz w:val="23"/>
                <w:szCs w:val="23"/>
              </w:rPr>
            </w:pPr>
            <w:r w:rsidRPr="005F6F02">
              <w:rPr>
                <w:bCs/>
                <w:color w:val="auto"/>
                <w:sz w:val="23"/>
                <w:szCs w:val="23"/>
              </w:rPr>
              <w:t>0.864</w:t>
            </w:r>
          </w:p>
        </w:tc>
        <w:tc>
          <w:tcPr>
            <w:tcW w:w="1223" w:type="dxa"/>
            <w:vMerge w:val="restart"/>
            <w:tcBorders>
              <w:top w:val="single" w:sz="4" w:space="0" w:color="auto"/>
            </w:tcBorders>
          </w:tcPr>
          <w:p w14:paraId="5C7BD595" w14:textId="77777777" w:rsidR="008E5525" w:rsidRPr="005F6F02" w:rsidRDefault="008E5525" w:rsidP="00967A40">
            <w:pPr>
              <w:pStyle w:val="Default"/>
              <w:jc w:val="center"/>
              <w:rPr>
                <w:bCs/>
                <w:color w:val="auto"/>
                <w:sz w:val="23"/>
                <w:szCs w:val="23"/>
              </w:rPr>
            </w:pPr>
            <w:r w:rsidRPr="005F6F02">
              <w:rPr>
                <w:bCs/>
                <w:color w:val="auto"/>
                <w:sz w:val="23"/>
                <w:szCs w:val="23"/>
              </w:rPr>
              <w:t>0.565</w:t>
            </w:r>
          </w:p>
        </w:tc>
      </w:tr>
      <w:tr w:rsidR="008E5525" w:rsidRPr="005F6F02" w14:paraId="51A5EB71" w14:textId="77777777" w:rsidTr="00967A40">
        <w:tc>
          <w:tcPr>
            <w:tcW w:w="2694" w:type="dxa"/>
            <w:vMerge/>
          </w:tcPr>
          <w:p w14:paraId="24536F92" w14:textId="77777777" w:rsidR="008E5525" w:rsidRPr="005F6F02" w:rsidRDefault="008E5525" w:rsidP="00967A40">
            <w:pPr>
              <w:pStyle w:val="Default"/>
              <w:jc w:val="both"/>
              <w:rPr>
                <w:bCs/>
                <w:color w:val="auto"/>
                <w:sz w:val="23"/>
                <w:szCs w:val="23"/>
              </w:rPr>
            </w:pPr>
          </w:p>
        </w:tc>
        <w:tc>
          <w:tcPr>
            <w:tcW w:w="1275" w:type="dxa"/>
          </w:tcPr>
          <w:p w14:paraId="2FEBEDBC" w14:textId="77777777" w:rsidR="008E5525" w:rsidRPr="005F6F02" w:rsidRDefault="008E5525" w:rsidP="00967A40">
            <w:pPr>
              <w:pStyle w:val="Default"/>
              <w:jc w:val="center"/>
              <w:rPr>
                <w:bCs/>
                <w:color w:val="auto"/>
                <w:sz w:val="23"/>
                <w:szCs w:val="23"/>
              </w:rPr>
            </w:pPr>
            <w:r w:rsidRPr="005F6F02">
              <w:rPr>
                <w:bCs/>
                <w:color w:val="auto"/>
                <w:sz w:val="23"/>
                <w:szCs w:val="23"/>
              </w:rPr>
              <w:t>AE2</w:t>
            </w:r>
          </w:p>
        </w:tc>
        <w:tc>
          <w:tcPr>
            <w:tcW w:w="1560" w:type="dxa"/>
            <w:vAlign w:val="bottom"/>
          </w:tcPr>
          <w:p w14:paraId="090C19E5"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0.821</w:t>
            </w:r>
          </w:p>
        </w:tc>
        <w:tc>
          <w:tcPr>
            <w:tcW w:w="1275" w:type="dxa"/>
          </w:tcPr>
          <w:p w14:paraId="304A1C71" w14:textId="77777777" w:rsidR="008E5525" w:rsidRPr="005F6F02" w:rsidRDefault="008E5525" w:rsidP="00967A40">
            <w:pPr>
              <w:pStyle w:val="Default"/>
              <w:jc w:val="center"/>
              <w:rPr>
                <w:bCs/>
                <w:color w:val="auto"/>
                <w:sz w:val="23"/>
                <w:szCs w:val="23"/>
              </w:rPr>
            </w:pPr>
          </w:p>
        </w:tc>
        <w:tc>
          <w:tcPr>
            <w:tcW w:w="1255" w:type="dxa"/>
            <w:vMerge/>
          </w:tcPr>
          <w:p w14:paraId="2631E203" w14:textId="77777777" w:rsidR="008E5525" w:rsidRPr="005F6F02" w:rsidRDefault="008E5525" w:rsidP="00967A40">
            <w:pPr>
              <w:pStyle w:val="Default"/>
              <w:jc w:val="center"/>
              <w:rPr>
                <w:bCs/>
                <w:color w:val="auto"/>
                <w:sz w:val="23"/>
                <w:szCs w:val="23"/>
              </w:rPr>
            </w:pPr>
          </w:p>
        </w:tc>
        <w:tc>
          <w:tcPr>
            <w:tcW w:w="1223" w:type="dxa"/>
            <w:vMerge/>
          </w:tcPr>
          <w:p w14:paraId="62B84117" w14:textId="77777777" w:rsidR="008E5525" w:rsidRPr="005F6F02" w:rsidRDefault="008E5525" w:rsidP="00967A40">
            <w:pPr>
              <w:pStyle w:val="Default"/>
              <w:jc w:val="center"/>
              <w:rPr>
                <w:bCs/>
                <w:color w:val="auto"/>
                <w:sz w:val="23"/>
                <w:szCs w:val="23"/>
              </w:rPr>
            </w:pPr>
          </w:p>
        </w:tc>
      </w:tr>
      <w:tr w:rsidR="008E5525" w:rsidRPr="005F6F02" w14:paraId="149F6A18" w14:textId="77777777" w:rsidTr="00967A40">
        <w:tc>
          <w:tcPr>
            <w:tcW w:w="2694" w:type="dxa"/>
            <w:vMerge/>
          </w:tcPr>
          <w:p w14:paraId="654630F4" w14:textId="77777777" w:rsidR="008E5525" w:rsidRPr="005F6F02" w:rsidRDefault="008E5525" w:rsidP="00967A40">
            <w:pPr>
              <w:pStyle w:val="Default"/>
              <w:jc w:val="both"/>
              <w:rPr>
                <w:bCs/>
                <w:color w:val="auto"/>
                <w:sz w:val="23"/>
                <w:szCs w:val="23"/>
              </w:rPr>
            </w:pPr>
          </w:p>
        </w:tc>
        <w:tc>
          <w:tcPr>
            <w:tcW w:w="1275" w:type="dxa"/>
          </w:tcPr>
          <w:p w14:paraId="50D0F7DA" w14:textId="77777777" w:rsidR="008E5525" w:rsidRPr="005F6F02" w:rsidRDefault="008E5525" w:rsidP="00967A40">
            <w:pPr>
              <w:pStyle w:val="Default"/>
              <w:jc w:val="center"/>
              <w:rPr>
                <w:bCs/>
                <w:color w:val="auto"/>
                <w:sz w:val="23"/>
                <w:szCs w:val="23"/>
              </w:rPr>
            </w:pPr>
            <w:r w:rsidRPr="005F6F02">
              <w:rPr>
                <w:bCs/>
                <w:color w:val="auto"/>
                <w:sz w:val="23"/>
                <w:szCs w:val="23"/>
              </w:rPr>
              <w:t>AE3</w:t>
            </w:r>
          </w:p>
        </w:tc>
        <w:tc>
          <w:tcPr>
            <w:tcW w:w="1560" w:type="dxa"/>
            <w:vAlign w:val="bottom"/>
          </w:tcPr>
          <w:p w14:paraId="7BC13FA8"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0.829</w:t>
            </w:r>
          </w:p>
        </w:tc>
        <w:tc>
          <w:tcPr>
            <w:tcW w:w="1275" w:type="dxa"/>
          </w:tcPr>
          <w:p w14:paraId="3FB40B97" w14:textId="77777777" w:rsidR="008E5525" w:rsidRPr="005F6F02" w:rsidRDefault="008E5525" w:rsidP="00967A40">
            <w:pPr>
              <w:pStyle w:val="Default"/>
              <w:jc w:val="center"/>
              <w:rPr>
                <w:bCs/>
                <w:color w:val="auto"/>
                <w:sz w:val="23"/>
                <w:szCs w:val="23"/>
              </w:rPr>
            </w:pPr>
          </w:p>
        </w:tc>
        <w:tc>
          <w:tcPr>
            <w:tcW w:w="1255" w:type="dxa"/>
            <w:vMerge/>
          </w:tcPr>
          <w:p w14:paraId="792D678F" w14:textId="77777777" w:rsidR="008E5525" w:rsidRPr="005F6F02" w:rsidRDefault="008E5525" w:rsidP="00967A40">
            <w:pPr>
              <w:pStyle w:val="Default"/>
              <w:jc w:val="center"/>
              <w:rPr>
                <w:bCs/>
                <w:color w:val="auto"/>
                <w:sz w:val="23"/>
                <w:szCs w:val="23"/>
              </w:rPr>
            </w:pPr>
          </w:p>
        </w:tc>
        <w:tc>
          <w:tcPr>
            <w:tcW w:w="1223" w:type="dxa"/>
            <w:vMerge/>
          </w:tcPr>
          <w:p w14:paraId="5DEAD2A2" w14:textId="77777777" w:rsidR="008E5525" w:rsidRPr="005F6F02" w:rsidRDefault="008E5525" w:rsidP="00967A40">
            <w:pPr>
              <w:pStyle w:val="Default"/>
              <w:jc w:val="center"/>
              <w:rPr>
                <w:bCs/>
                <w:color w:val="auto"/>
                <w:sz w:val="23"/>
                <w:szCs w:val="23"/>
              </w:rPr>
            </w:pPr>
          </w:p>
        </w:tc>
      </w:tr>
      <w:tr w:rsidR="008E5525" w:rsidRPr="005F6F02" w14:paraId="15F3258B" w14:textId="77777777" w:rsidTr="00967A40">
        <w:tc>
          <w:tcPr>
            <w:tcW w:w="2694" w:type="dxa"/>
            <w:vMerge/>
          </w:tcPr>
          <w:p w14:paraId="42B5DB02" w14:textId="77777777" w:rsidR="008E5525" w:rsidRPr="005F6F02" w:rsidRDefault="008E5525" w:rsidP="00967A40">
            <w:pPr>
              <w:pStyle w:val="Default"/>
              <w:jc w:val="both"/>
              <w:rPr>
                <w:bCs/>
                <w:color w:val="auto"/>
                <w:sz w:val="23"/>
                <w:szCs w:val="23"/>
              </w:rPr>
            </w:pPr>
          </w:p>
        </w:tc>
        <w:tc>
          <w:tcPr>
            <w:tcW w:w="1275" w:type="dxa"/>
          </w:tcPr>
          <w:p w14:paraId="559FAFB8" w14:textId="77777777" w:rsidR="008E5525" w:rsidRPr="005F6F02" w:rsidRDefault="008E5525" w:rsidP="00967A40">
            <w:pPr>
              <w:pStyle w:val="Default"/>
              <w:jc w:val="center"/>
              <w:rPr>
                <w:bCs/>
                <w:color w:val="auto"/>
                <w:sz w:val="23"/>
                <w:szCs w:val="23"/>
              </w:rPr>
            </w:pPr>
            <w:r w:rsidRPr="005F6F02">
              <w:rPr>
                <w:bCs/>
                <w:color w:val="auto"/>
                <w:sz w:val="23"/>
                <w:szCs w:val="23"/>
              </w:rPr>
              <w:t>AE4</w:t>
            </w:r>
          </w:p>
        </w:tc>
        <w:tc>
          <w:tcPr>
            <w:tcW w:w="1560" w:type="dxa"/>
            <w:vAlign w:val="bottom"/>
          </w:tcPr>
          <w:p w14:paraId="6A25176F"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0.698</w:t>
            </w:r>
          </w:p>
        </w:tc>
        <w:tc>
          <w:tcPr>
            <w:tcW w:w="1275" w:type="dxa"/>
          </w:tcPr>
          <w:p w14:paraId="2C00E540" w14:textId="77777777" w:rsidR="008E5525" w:rsidRPr="005F6F02" w:rsidRDefault="008E5525" w:rsidP="00967A40">
            <w:pPr>
              <w:pStyle w:val="Default"/>
              <w:jc w:val="center"/>
              <w:rPr>
                <w:bCs/>
                <w:color w:val="auto"/>
                <w:sz w:val="23"/>
                <w:szCs w:val="23"/>
              </w:rPr>
            </w:pPr>
          </w:p>
        </w:tc>
        <w:tc>
          <w:tcPr>
            <w:tcW w:w="1255" w:type="dxa"/>
            <w:vMerge/>
          </w:tcPr>
          <w:p w14:paraId="39679F9E" w14:textId="77777777" w:rsidR="008E5525" w:rsidRPr="005F6F02" w:rsidRDefault="008E5525" w:rsidP="00967A40">
            <w:pPr>
              <w:pStyle w:val="Default"/>
              <w:jc w:val="center"/>
              <w:rPr>
                <w:bCs/>
                <w:color w:val="auto"/>
                <w:sz w:val="23"/>
                <w:szCs w:val="23"/>
              </w:rPr>
            </w:pPr>
          </w:p>
        </w:tc>
        <w:tc>
          <w:tcPr>
            <w:tcW w:w="1223" w:type="dxa"/>
            <w:vMerge/>
          </w:tcPr>
          <w:p w14:paraId="5763424B" w14:textId="77777777" w:rsidR="008E5525" w:rsidRPr="005F6F02" w:rsidRDefault="008E5525" w:rsidP="00967A40">
            <w:pPr>
              <w:pStyle w:val="Default"/>
              <w:jc w:val="center"/>
              <w:rPr>
                <w:bCs/>
                <w:color w:val="auto"/>
                <w:sz w:val="23"/>
                <w:szCs w:val="23"/>
              </w:rPr>
            </w:pPr>
          </w:p>
        </w:tc>
      </w:tr>
      <w:tr w:rsidR="008E5525" w:rsidRPr="005F6F02" w14:paraId="45DDC638" w14:textId="77777777" w:rsidTr="00967A40">
        <w:tc>
          <w:tcPr>
            <w:tcW w:w="2694" w:type="dxa"/>
            <w:vMerge/>
            <w:tcBorders>
              <w:bottom w:val="single" w:sz="4" w:space="0" w:color="auto"/>
            </w:tcBorders>
          </w:tcPr>
          <w:p w14:paraId="2BF4075C"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4BCB214C" w14:textId="77777777" w:rsidR="008E5525" w:rsidRPr="005F6F02" w:rsidRDefault="008E5525" w:rsidP="00967A40">
            <w:pPr>
              <w:pStyle w:val="Default"/>
              <w:jc w:val="center"/>
              <w:rPr>
                <w:bCs/>
                <w:color w:val="auto"/>
                <w:sz w:val="23"/>
                <w:szCs w:val="23"/>
              </w:rPr>
            </w:pPr>
            <w:r w:rsidRPr="005F6F02">
              <w:rPr>
                <w:bCs/>
                <w:color w:val="auto"/>
                <w:sz w:val="23"/>
                <w:szCs w:val="23"/>
              </w:rPr>
              <w:t>AE5</w:t>
            </w:r>
          </w:p>
        </w:tc>
        <w:tc>
          <w:tcPr>
            <w:tcW w:w="1560" w:type="dxa"/>
            <w:tcBorders>
              <w:bottom w:val="single" w:sz="4" w:space="0" w:color="auto"/>
            </w:tcBorders>
            <w:vAlign w:val="bottom"/>
          </w:tcPr>
          <w:p w14:paraId="4AC9486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0.557</w:t>
            </w:r>
          </w:p>
        </w:tc>
        <w:tc>
          <w:tcPr>
            <w:tcW w:w="1275" w:type="dxa"/>
            <w:tcBorders>
              <w:bottom w:val="single" w:sz="4" w:space="0" w:color="auto"/>
            </w:tcBorders>
          </w:tcPr>
          <w:p w14:paraId="26EAC765"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17F047D5"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78007D8F" w14:textId="77777777" w:rsidR="008E5525" w:rsidRPr="005F6F02" w:rsidRDefault="008E5525" w:rsidP="00967A40">
            <w:pPr>
              <w:pStyle w:val="Default"/>
              <w:jc w:val="center"/>
              <w:rPr>
                <w:bCs/>
                <w:color w:val="auto"/>
                <w:sz w:val="23"/>
                <w:szCs w:val="23"/>
              </w:rPr>
            </w:pPr>
          </w:p>
        </w:tc>
      </w:tr>
    </w:tbl>
    <w:p w14:paraId="680A2224" w14:textId="105843EB" w:rsidR="008E5525" w:rsidRPr="00227927" w:rsidRDefault="008E5525" w:rsidP="008E5525">
      <w:pPr>
        <w:spacing w:after="0" w:line="240" w:lineRule="auto"/>
        <w:jc w:val="both"/>
        <w:rPr>
          <w:rFonts w:ascii="Times New Roman" w:hAnsi="Times New Roman" w:cs="Times New Roman"/>
        </w:rPr>
      </w:pPr>
      <w:r w:rsidRPr="00227927">
        <w:rPr>
          <w:rFonts w:ascii="Times New Roman" w:hAnsi="Times New Roman" w:cs="Times New Roman"/>
        </w:rPr>
        <w:t>Note: α = Cronbach's alpha, CR = Composite reliability</w:t>
      </w:r>
      <w:r w:rsidR="002C2982" w:rsidRPr="00227927">
        <w:rPr>
          <w:rFonts w:ascii="Times New Roman" w:hAnsi="Times New Roman" w:cs="Times New Roman"/>
        </w:rPr>
        <w:t>,</w:t>
      </w:r>
      <w:r w:rsidR="00122E1D" w:rsidRPr="00227927">
        <w:rPr>
          <w:rFonts w:ascii="Times New Roman" w:hAnsi="Times New Roman" w:cs="Times New Roman"/>
        </w:rPr>
        <w:t xml:space="preserve"> AVE = Average variance extracted</w:t>
      </w:r>
    </w:p>
    <w:p w14:paraId="31A5836E" w14:textId="77777777" w:rsidR="008E5525" w:rsidRPr="00227927" w:rsidRDefault="008E5525" w:rsidP="005F6F02">
      <w:pPr>
        <w:spacing w:after="0" w:line="240" w:lineRule="auto"/>
        <w:rPr>
          <w:rFonts w:ascii="Times New Roman" w:hAnsi="Times New Roman" w:cs="Times New Roman"/>
        </w:rPr>
      </w:pPr>
      <w:r w:rsidRPr="00227927">
        <w:rPr>
          <w:rFonts w:ascii="Times New Roman" w:hAnsi="Times New Roman" w:cs="Times New Roman"/>
          <w:noProof/>
          <w:lang w:val="en-GB" w:eastAsia="en-GB" w:bidi="bn-BD"/>
        </w:rPr>
        <w:drawing>
          <wp:inline distT="0" distB="0" distL="0" distR="0" wp14:anchorId="373F12D5" wp14:editId="237D1552">
            <wp:extent cx="5867940" cy="2573215"/>
            <wp:effectExtent l="0" t="0" r="0" b="0"/>
            <wp:docPr id="1" name="Picture 1" descr="C:\Users\cse\Downloads\Fahmida\Fahmida_AP_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e\Downloads\Fahmida\Fahmida_AP_Fig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736" cy="2579704"/>
                    </a:xfrm>
                    <a:prstGeom prst="rect">
                      <a:avLst/>
                    </a:prstGeom>
                    <a:noFill/>
                    <a:ln>
                      <a:noFill/>
                    </a:ln>
                  </pic:spPr>
                </pic:pic>
              </a:graphicData>
            </a:graphic>
          </wp:inline>
        </w:drawing>
      </w:r>
    </w:p>
    <w:p w14:paraId="35AFD559" w14:textId="77777777" w:rsidR="008E5525" w:rsidRPr="00227927" w:rsidRDefault="008E5525" w:rsidP="008E5525">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2. Measurement Model</w:t>
      </w:r>
    </w:p>
    <w:p w14:paraId="35988EA0" w14:textId="77777777" w:rsidR="008E5525" w:rsidRPr="00227927" w:rsidRDefault="008E5525" w:rsidP="008E5525">
      <w:pPr>
        <w:rPr>
          <w:rFonts w:ascii="Times New Roman" w:hAnsi="Times New Roman" w:cs="Times New Roman"/>
        </w:rPr>
      </w:pPr>
    </w:p>
    <w:p w14:paraId="38A45B0E" w14:textId="77777777" w:rsidR="008E5525" w:rsidRPr="00227927" w:rsidRDefault="008E5525" w:rsidP="008E5525">
      <w:pPr>
        <w:spacing w:after="0" w:line="360" w:lineRule="auto"/>
        <w:jc w:val="both"/>
        <w:rPr>
          <w:rFonts w:ascii="Times New Roman" w:hAnsi="Times New Roman" w:cs="Times New Roman"/>
        </w:rPr>
      </w:pPr>
      <w:r w:rsidRPr="00227927">
        <w:rPr>
          <w:rFonts w:ascii="Times New Roman" w:hAnsi="Times New Roman" w:cs="Times New Roman"/>
        </w:rPr>
        <w:t xml:space="preserve">Based on the HTMT criterion, Table 3 provides strong evidence for discriminant validity. All values are substantially below the conservative threshold of 0.85 (Henseler et al., 2015). The highest correlation is between Academic Engagement and Performance (0.659), suggesting these constructs are related but distinct. The lower correlations with Emotional Intelligence (0.398 and 0.316) further confirm that all three constructs are empirically unique. This supports the study's </w:t>
      </w:r>
      <w:r w:rsidRPr="00227927">
        <w:rPr>
          <w:rFonts w:ascii="Times New Roman" w:hAnsi="Times New Roman" w:cs="Times New Roman"/>
        </w:rPr>
        <w:lastRenderedPageBreak/>
        <w:t xml:space="preserve">measurement model, indicating that the items used for each construct do not overlap excessively and are measuring different phenomena. Further, the study checked for potential collinearity using the variance inflation factor (VIF). Results demonstrated that the VIF scores varied from 1.000 to 1.111, i.e., lower than the cut-off value of 5, indicating no collinearity issues (Hair et al., 2017). </w:t>
      </w:r>
    </w:p>
    <w:p w14:paraId="126763AA"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bCs/>
          <w:noProof/>
        </w:rPr>
      </w:pPr>
    </w:p>
    <w:p w14:paraId="1445F424" w14:textId="2DCFA7DC" w:rsidR="008E5525" w:rsidRPr="00227927" w:rsidRDefault="008E5525" w:rsidP="008E5525">
      <w:pPr>
        <w:autoSpaceDE w:val="0"/>
        <w:autoSpaceDN w:val="0"/>
        <w:adjustRightInd w:val="0"/>
        <w:spacing w:after="0" w:line="240" w:lineRule="auto"/>
        <w:jc w:val="both"/>
        <w:rPr>
          <w:rFonts w:ascii="Times New Roman" w:hAnsi="Times New Roman" w:cs="Times New Roman"/>
          <w:b/>
          <w:noProof/>
        </w:rPr>
      </w:pPr>
      <w:r w:rsidRPr="00227927">
        <w:rPr>
          <w:rFonts w:ascii="Times New Roman" w:hAnsi="Times New Roman" w:cs="Times New Roman"/>
          <w:bCs/>
          <w:noProof/>
        </w:rPr>
        <w:t>Table 3:</w:t>
      </w:r>
      <w:r w:rsidRPr="00227927">
        <w:rPr>
          <w:rFonts w:ascii="Times New Roman" w:hAnsi="Times New Roman" w:cs="Times New Roman"/>
          <w:b/>
          <w:noProof/>
        </w:rPr>
        <w:t xml:space="preserve"> </w:t>
      </w:r>
      <w:r w:rsidRPr="00227927">
        <w:rPr>
          <w:rFonts w:ascii="Times New Roman" w:hAnsi="Times New Roman" w:cs="Times New Roman"/>
          <w:bCs/>
        </w:rPr>
        <w:t>Discriminant validity by HTMT</w:t>
      </w: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2547"/>
        <w:gridCol w:w="2415"/>
        <w:gridCol w:w="1984"/>
        <w:gridCol w:w="2410"/>
      </w:tblGrid>
      <w:tr w:rsidR="008E5525" w:rsidRPr="00227927" w14:paraId="6D70ABF8" w14:textId="77777777" w:rsidTr="007D36B0">
        <w:trPr>
          <w:trHeight w:val="288"/>
        </w:trPr>
        <w:tc>
          <w:tcPr>
            <w:tcW w:w="2547" w:type="dxa"/>
            <w:tcBorders>
              <w:bottom w:val="single" w:sz="4" w:space="0" w:color="auto"/>
            </w:tcBorders>
            <w:noWrap/>
            <w:vAlign w:val="bottom"/>
            <w:hideMark/>
          </w:tcPr>
          <w:p w14:paraId="5AB3CA90" w14:textId="77777777" w:rsidR="008E5525" w:rsidRPr="00227927" w:rsidRDefault="008E5525" w:rsidP="00494DA4">
            <w:pPr>
              <w:spacing w:after="0" w:line="240" w:lineRule="auto"/>
              <w:jc w:val="center"/>
              <w:rPr>
                <w:rFonts w:ascii="Times New Roman" w:hAnsi="Times New Roman" w:cs="Times New Roman"/>
                <w:b/>
                <w:bCs/>
              </w:rPr>
            </w:pPr>
            <w:r w:rsidRPr="00227927">
              <w:rPr>
                <w:rFonts w:ascii="Times New Roman" w:hAnsi="Times New Roman" w:cs="Times New Roman"/>
                <w:b/>
                <w:bCs/>
              </w:rPr>
              <w:t>Construct</w:t>
            </w:r>
          </w:p>
          <w:p w14:paraId="3E6EED13"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p>
        </w:tc>
        <w:tc>
          <w:tcPr>
            <w:tcW w:w="2415" w:type="dxa"/>
            <w:tcBorders>
              <w:bottom w:val="single" w:sz="4" w:space="0" w:color="auto"/>
            </w:tcBorders>
            <w:noWrap/>
            <w:vAlign w:val="bottom"/>
            <w:hideMark/>
          </w:tcPr>
          <w:p w14:paraId="4089C7E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Engagement</w:t>
            </w:r>
          </w:p>
        </w:tc>
        <w:tc>
          <w:tcPr>
            <w:tcW w:w="1984" w:type="dxa"/>
            <w:tcBorders>
              <w:bottom w:val="single" w:sz="4" w:space="0" w:color="auto"/>
            </w:tcBorders>
            <w:noWrap/>
            <w:vAlign w:val="bottom"/>
            <w:hideMark/>
          </w:tcPr>
          <w:p w14:paraId="00C7704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Performance</w:t>
            </w:r>
          </w:p>
        </w:tc>
        <w:tc>
          <w:tcPr>
            <w:tcW w:w="2410" w:type="dxa"/>
            <w:tcBorders>
              <w:bottom w:val="single" w:sz="4" w:space="0" w:color="auto"/>
            </w:tcBorders>
            <w:noWrap/>
            <w:vAlign w:val="bottom"/>
            <w:hideMark/>
          </w:tcPr>
          <w:p w14:paraId="7E2BB2A0"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Emotional Intelligence</w:t>
            </w:r>
          </w:p>
        </w:tc>
      </w:tr>
      <w:tr w:rsidR="008E5525" w:rsidRPr="00227927" w14:paraId="4BD725B3" w14:textId="77777777" w:rsidTr="007D36B0">
        <w:trPr>
          <w:trHeight w:val="288"/>
        </w:trPr>
        <w:tc>
          <w:tcPr>
            <w:tcW w:w="2547" w:type="dxa"/>
            <w:tcBorders>
              <w:bottom w:val="nil"/>
            </w:tcBorders>
            <w:noWrap/>
            <w:vAlign w:val="bottom"/>
            <w:hideMark/>
          </w:tcPr>
          <w:p w14:paraId="16823A9D"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Engagement</w:t>
            </w:r>
          </w:p>
        </w:tc>
        <w:tc>
          <w:tcPr>
            <w:tcW w:w="2415" w:type="dxa"/>
            <w:tcBorders>
              <w:bottom w:val="nil"/>
            </w:tcBorders>
            <w:noWrap/>
            <w:vAlign w:val="bottom"/>
            <w:hideMark/>
          </w:tcPr>
          <w:p w14:paraId="1D0F53B5"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1984" w:type="dxa"/>
            <w:tcBorders>
              <w:bottom w:val="nil"/>
            </w:tcBorders>
            <w:noWrap/>
            <w:vAlign w:val="bottom"/>
            <w:hideMark/>
          </w:tcPr>
          <w:p w14:paraId="700B02D8"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bottom w:val="nil"/>
            </w:tcBorders>
            <w:noWrap/>
            <w:vAlign w:val="bottom"/>
            <w:hideMark/>
          </w:tcPr>
          <w:p w14:paraId="71790C3B"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05A0B1AF" w14:textId="77777777" w:rsidTr="007D36B0">
        <w:trPr>
          <w:trHeight w:val="288"/>
        </w:trPr>
        <w:tc>
          <w:tcPr>
            <w:tcW w:w="2547" w:type="dxa"/>
            <w:tcBorders>
              <w:top w:val="nil"/>
              <w:bottom w:val="nil"/>
            </w:tcBorders>
            <w:noWrap/>
            <w:vAlign w:val="bottom"/>
            <w:hideMark/>
          </w:tcPr>
          <w:p w14:paraId="17CE1E05"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Performance</w:t>
            </w:r>
          </w:p>
        </w:tc>
        <w:tc>
          <w:tcPr>
            <w:tcW w:w="2415" w:type="dxa"/>
            <w:tcBorders>
              <w:top w:val="nil"/>
              <w:bottom w:val="nil"/>
            </w:tcBorders>
            <w:noWrap/>
            <w:vAlign w:val="bottom"/>
            <w:hideMark/>
          </w:tcPr>
          <w:p w14:paraId="59625F0F"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0.659</w:t>
            </w:r>
          </w:p>
        </w:tc>
        <w:tc>
          <w:tcPr>
            <w:tcW w:w="1984" w:type="dxa"/>
            <w:tcBorders>
              <w:top w:val="nil"/>
              <w:bottom w:val="nil"/>
            </w:tcBorders>
            <w:noWrap/>
            <w:vAlign w:val="bottom"/>
            <w:hideMark/>
          </w:tcPr>
          <w:p w14:paraId="2DE5B9F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top w:val="nil"/>
              <w:bottom w:val="nil"/>
            </w:tcBorders>
            <w:noWrap/>
            <w:vAlign w:val="bottom"/>
            <w:hideMark/>
          </w:tcPr>
          <w:p w14:paraId="611BE157"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15F81F64" w14:textId="77777777" w:rsidTr="007D36B0">
        <w:trPr>
          <w:trHeight w:val="288"/>
        </w:trPr>
        <w:tc>
          <w:tcPr>
            <w:tcW w:w="2547" w:type="dxa"/>
            <w:tcBorders>
              <w:top w:val="nil"/>
            </w:tcBorders>
            <w:noWrap/>
            <w:vAlign w:val="bottom"/>
            <w:hideMark/>
          </w:tcPr>
          <w:p w14:paraId="00CD2958"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Emotional Intelligence</w:t>
            </w:r>
          </w:p>
        </w:tc>
        <w:tc>
          <w:tcPr>
            <w:tcW w:w="2415" w:type="dxa"/>
            <w:tcBorders>
              <w:top w:val="nil"/>
            </w:tcBorders>
            <w:noWrap/>
            <w:vAlign w:val="bottom"/>
            <w:hideMark/>
          </w:tcPr>
          <w:p w14:paraId="59B7D33C"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0.398</w:t>
            </w:r>
          </w:p>
        </w:tc>
        <w:tc>
          <w:tcPr>
            <w:tcW w:w="1984" w:type="dxa"/>
            <w:tcBorders>
              <w:top w:val="nil"/>
            </w:tcBorders>
            <w:noWrap/>
            <w:vAlign w:val="bottom"/>
            <w:hideMark/>
          </w:tcPr>
          <w:p w14:paraId="7C2F7C7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0.316</w:t>
            </w:r>
          </w:p>
        </w:tc>
        <w:tc>
          <w:tcPr>
            <w:tcW w:w="2410" w:type="dxa"/>
            <w:tcBorders>
              <w:top w:val="nil"/>
            </w:tcBorders>
            <w:noWrap/>
            <w:vAlign w:val="bottom"/>
            <w:hideMark/>
          </w:tcPr>
          <w:p w14:paraId="44C6B41A"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bl>
    <w:p w14:paraId="21DEA3E1" w14:textId="77DE320F" w:rsidR="008E5525" w:rsidRPr="00227927" w:rsidRDefault="008E5525" w:rsidP="007D36B0">
      <w:pPr>
        <w:pStyle w:val="Heading1"/>
        <w:spacing w:before="0" w:after="0" w:line="360" w:lineRule="auto"/>
        <w:rPr>
          <w:rFonts w:ascii="Times New Roman" w:hAnsi="Times New Roman" w:cs="Times New Roman"/>
          <w:b/>
          <w:bCs/>
          <w:sz w:val="24"/>
          <w:szCs w:val="24"/>
        </w:rPr>
      </w:pPr>
    </w:p>
    <w:p w14:paraId="2663C048" w14:textId="0573CD02" w:rsidR="008E5525" w:rsidRPr="00227927" w:rsidRDefault="008E5525" w:rsidP="00515E79">
      <w:pPr>
        <w:spacing w:after="0" w:line="360" w:lineRule="auto"/>
        <w:rPr>
          <w:rFonts w:ascii="Times New Roman" w:hAnsi="Times New Roman" w:cs="Times New Roman"/>
          <w:b/>
          <w:bCs/>
        </w:rPr>
      </w:pPr>
      <w:r w:rsidRPr="00227927">
        <w:rPr>
          <w:rFonts w:ascii="Times New Roman" w:hAnsi="Times New Roman" w:cs="Times New Roman"/>
          <w:b/>
          <w:bCs/>
        </w:rPr>
        <w:t>4.4 Structural Model Assessment</w:t>
      </w:r>
    </w:p>
    <w:p w14:paraId="7541A98E"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rPr>
          <w:color w:val="0F1115"/>
        </w:rPr>
        <w:t>Table 4 (</w:t>
      </w:r>
      <w:r w:rsidRPr="00227927">
        <w:rPr>
          <w:bCs/>
        </w:rPr>
        <w:t>Figure 3</w:t>
      </w:r>
      <w:r w:rsidRPr="00227927">
        <w:rPr>
          <w:color w:val="0F1115"/>
        </w:rPr>
        <w:t>) presents the outcomes of the structural model, testing the direct and mediating relationships between emotional intelligence, academic engagement, and academic performance. The results indicate that emotional intelligence does not have a significant direct effect on academic performance (H1: β = 0.062, t = 0.397, rejected). However, EI demonstrates a significant positive direct effect on academic engagement (H2: β = 0.316, t = 2.830, accepted), which in turn has a strong, significant direct effect on AP (H3: β = 0.556, t = 4.398, accepted). This pattern suggests that academic engagement acts as a full mediator. This is confirmed by the significant indirect effect in H4 (β = 0.176, t = 2.578, accepted), indicating that EI influences AP primarily by enhancing students' level of academic engagement.</w:t>
      </w:r>
    </w:p>
    <w:p w14:paraId="73129CFA" w14:textId="1DDE8606" w:rsidR="008E5525" w:rsidRPr="00227927" w:rsidRDefault="00515E79" w:rsidP="00515E79">
      <w:pPr>
        <w:pStyle w:val="ds-markdown-paragraph"/>
        <w:shd w:val="clear" w:color="auto" w:fill="FFFFFF"/>
        <w:tabs>
          <w:tab w:val="left" w:pos="2391"/>
        </w:tabs>
        <w:spacing w:before="0" w:beforeAutospacing="0" w:after="0" w:afterAutospacing="0" w:line="360" w:lineRule="auto"/>
        <w:jc w:val="both"/>
        <w:rPr>
          <w:color w:val="0F1115"/>
        </w:rPr>
      </w:pPr>
      <w:r>
        <w:rPr>
          <w:color w:val="0F1115"/>
        </w:rPr>
        <w:tab/>
      </w:r>
    </w:p>
    <w:p w14:paraId="2C1D0E58" w14:textId="77777777" w:rsidR="008E5525" w:rsidRPr="00227927" w:rsidRDefault="008E5525" w:rsidP="008E5525">
      <w:pPr>
        <w:autoSpaceDE w:val="0"/>
        <w:autoSpaceDN w:val="0"/>
        <w:adjustRightInd w:val="0"/>
        <w:spacing w:after="0" w:line="240" w:lineRule="auto"/>
        <w:rPr>
          <w:rFonts w:ascii="Times New Roman" w:hAnsi="Times New Roman" w:cs="Times New Roman"/>
          <w:b/>
        </w:rPr>
      </w:pPr>
      <w:r w:rsidRPr="00227927">
        <w:rPr>
          <w:rFonts w:ascii="Times New Roman" w:hAnsi="Times New Roman" w:cs="Times New Roman"/>
          <w:bCs/>
        </w:rPr>
        <w:t>Table 4:</w:t>
      </w:r>
      <w:r w:rsidRPr="00227927">
        <w:rPr>
          <w:rFonts w:ascii="Times New Roman" w:hAnsi="Times New Roman" w:cs="Times New Roman"/>
          <w:b/>
        </w:rPr>
        <w:t xml:space="preserve"> </w:t>
      </w:r>
      <w:r w:rsidRPr="00227927">
        <w:rPr>
          <w:rFonts w:ascii="Times New Roman" w:hAnsi="Times New Roman" w:cs="Times New Roman"/>
          <w:bCs/>
        </w:rPr>
        <w:t>Outcomes of the structural model</w:t>
      </w:r>
    </w:p>
    <w:tbl>
      <w:tblPr>
        <w:tblW w:w="934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80"/>
        <w:gridCol w:w="1563"/>
        <w:gridCol w:w="700"/>
        <w:gridCol w:w="740"/>
        <w:gridCol w:w="840"/>
        <w:gridCol w:w="1007"/>
        <w:gridCol w:w="744"/>
        <w:gridCol w:w="709"/>
        <w:gridCol w:w="711"/>
        <w:gridCol w:w="6"/>
        <w:gridCol w:w="972"/>
        <w:gridCol w:w="6"/>
        <w:gridCol w:w="1067"/>
      </w:tblGrid>
      <w:tr w:rsidR="008E5525" w:rsidRPr="00227927" w14:paraId="21EAE463" w14:textId="77777777" w:rsidTr="00695812">
        <w:trPr>
          <w:trHeight w:val="288"/>
        </w:trPr>
        <w:tc>
          <w:tcPr>
            <w:tcW w:w="280" w:type="dxa"/>
            <w:tcBorders>
              <w:top w:val="single" w:sz="4" w:space="0" w:color="auto"/>
              <w:left w:val="nil"/>
              <w:bottom w:val="nil"/>
              <w:right w:val="nil"/>
            </w:tcBorders>
            <w:hideMark/>
          </w:tcPr>
          <w:p w14:paraId="71BC129E" w14:textId="77777777" w:rsidR="008E5525" w:rsidRPr="00227927" w:rsidRDefault="008E5525" w:rsidP="00494DA4">
            <w:pPr>
              <w:spacing w:after="0" w:line="240" w:lineRule="auto"/>
              <w:ind w:left="-109" w:right="-108"/>
              <w:jc w:val="both"/>
              <w:rPr>
                <w:rFonts w:ascii="Times New Roman" w:eastAsia="Times New Roman" w:hAnsi="Times New Roman" w:cs="Times New Roman"/>
                <w:color w:val="000000"/>
              </w:rPr>
            </w:pPr>
            <w:r w:rsidRPr="00227927">
              <w:rPr>
                <w:rFonts w:ascii="Times New Roman" w:eastAsia="Times New Roman" w:hAnsi="Times New Roman" w:cs="Times New Roman"/>
                <w:color w:val="000000"/>
              </w:rPr>
              <w:t>H</w:t>
            </w:r>
          </w:p>
        </w:tc>
        <w:tc>
          <w:tcPr>
            <w:tcW w:w="1563" w:type="dxa"/>
            <w:tcBorders>
              <w:top w:val="single" w:sz="4" w:space="0" w:color="auto"/>
              <w:left w:val="nil"/>
              <w:bottom w:val="nil"/>
              <w:right w:val="nil"/>
            </w:tcBorders>
            <w:hideMark/>
          </w:tcPr>
          <w:p w14:paraId="572330A2"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Paths</w:t>
            </w:r>
          </w:p>
        </w:tc>
        <w:tc>
          <w:tcPr>
            <w:tcW w:w="700" w:type="dxa"/>
            <w:tcBorders>
              <w:top w:val="single" w:sz="4" w:space="0" w:color="auto"/>
              <w:left w:val="nil"/>
              <w:bottom w:val="nil"/>
              <w:right w:val="nil"/>
            </w:tcBorders>
            <w:noWrap/>
            <w:vAlign w:val="center"/>
            <w:hideMark/>
          </w:tcPr>
          <w:p w14:paraId="7C0D8CCA"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β</w:t>
            </w:r>
          </w:p>
          <w:p w14:paraId="2EDF2EB3" w14:textId="77777777" w:rsidR="008E5525" w:rsidRPr="00227927" w:rsidRDefault="008E5525" w:rsidP="00494DA4">
            <w:pPr>
              <w:spacing w:after="0" w:line="240" w:lineRule="auto"/>
              <w:ind w:left="-109" w:right="-108"/>
              <w:jc w:val="center"/>
              <w:rPr>
                <w:rFonts w:ascii="Times New Roman" w:hAnsi="Times New Roman" w:cs="Times New Roman"/>
              </w:rPr>
            </w:pPr>
          </w:p>
        </w:tc>
        <w:tc>
          <w:tcPr>
            <w:tcW w:w="740" w:type="dxa"/>
            <w:tcBorders>
              <w:top w:val="single" w:sz="4" w:space="0" w:color="auto"/>
              <w:left w:val="nil"/>
              <w:bottom w:val="nil"/>
              <w:right w:val="nil"/>
            </w:tcBorders>
            <w:vAlign w:val="center"/>
          </w:tcPr>
          <w:p w14:paraId="430F52AF"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SE</w:t>
            </w:r>
          </w:p>
          <w:p w14:paraId="3DE3CC4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840" w:type="dxa"/>
            <w:tcBorders>
              <w:top w:val="single" w:sz="4" w:space="0" w:color="auto"/>
              <w:left w:val="nil"/>
              <w:bottom w:val="nil"/>
              <w:right w:val="nil"/>
            </w:tcBorders>
            <w:noWrap/>
            <w:vAlign w:val="center"/>
            <w:hideMark/>
          </w:tcPr>
          <w:p w14:paraId="671FBACB"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t-value</w:t>
            </w:r>
          </w:p>
          <w:p w14:paraId="474DEE23"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1007" w:type="dxa"/>
            <w:tcBorders>
              <w:top w:val="single" w:sz="4" w:space="0" w:color="auto"/>
              <w:left w:val="nil"/>
              <w:bottom w:val="nil"/>
              <w:right w:val="nil"/>
            </w:tcBorders>
            <w:hideMark/>
          </w:tcPr>
          <w:p w14:paraId="13B5A03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Decision</w:t>
            </w:r>
          </w:p>
        </w:tc>
        <w:tc>
          <w:tcPr>
            <w:tcW w:w="744" w:type="dxa"/>
            <w:tcBorders>
              <w:top w:val="single" w:sz="4" w:space="0" w:color="auto"/>
              <w:left w:val="nil"/>
              <w:bottom w:val="nil"/>
              <w:right w:val="nil"/>
            </w:tcBorders>
            <w:hideMark/>
          </w:tcPr>
          <w:p w14:paraId="39D110B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R</w:t>
            </w:r>
            <w:r w:rsidRPr="00227927">
              <w:rPr>
                <w:rFonts w:ascii="Times New Roman" w:eastAsia="Times New Roman" w:hAnsi="Times New Roman" w:cs="Times New Roman"/>
                <w:color w:val="000000"/>
                <w:vertAlign w:val="superscript"/>
              </w:rPr>
              <w:t>2</w:t>
            </w:r>
          </w:p>
        </w:tc>
        <w:tc>
          <w:tcPr>
            <w:tcW w:w="709" w:type="dxa"/>
            <w:tcBorders>
              <w:top w:val="single" w:sz="4" w:space="0" w:color="auto"/>
              <w:left w:val="nil"/>
              <w:bottom w:val="nil"/>
              <w:right w:val="nil"/>
            </w:tcBorders>
            <w:hideMark/>
          </w:tcPr>
          <w:p w14:paraId="247BEE9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f</w:t>
            </w:r>
            <w:r w:rsidRPr="00227927">
              <w:rPr>
                <w:rFonts w:ascii="Times New Roman" w:eastAsia="Times New Roman" w:hAnsi="Times New Roman" w:cs="Times New Roman"/>
                <w:color w:val="000000"/>
                <w:vertAlign w:val="superscript"/>
              </w:rPr>
              <w:t>2</w:t>
            </w:r>
          </w:p>
        </w:tc>
        <w:tc>
          <w:tcPr>
            <w:tcW w:w="711" w:type="dxa"/>
            <w:tcBorders>
              <w:top w:val="single" w:sz="4" w:space="0" w:color="auto"/>
              <w:left w:val="nil"/>
              <w:bottom w:val="nil"/>
              <w:right w:val="nil"/>
            </w:tcBorders>
            <w:hideMark/>
          </w:tcPr>
          <w:p w14:paraId="417BE43A"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Q</w:t>
            </w:r>
            <w:r w:rsidRPr="00227927">
              <w:rPr>
                <w:rFonts w:ascii="Times New Roman" w:eastAsia="Times New Roman" w:hAnsi="Times New Roman" w:cs="Times New Roman"/>
                <w:color w:val="000000"/>
                <w:vertAlign w:val="superscript"/>
              </w:rPr>
              <w:t>2</w:t>
            </w:r>
          </w:p>
        </w:tc>
        <w:tc>
          <w:tcPr>
            <w:tcW w:w="2051" w:type="dxa"/>
            <w:gridSpan w:val="4"/>
            <w:tcBorders>
              <w:top w:val="single" w:sz="4" w:space="0" w:color="auto"/>
              <w:left w:val="nil"/>
              <w:bottom w:val="single" w:sz="4" w:space="0" w:color="auto"/>
              <w:right w:val="nil"/>
            </w:tcBorders>
            <w:hideMark/>
          </w:tcPr>
          <w:p w14:paraId="48EF5DB6" w14:textId="77777777" w:rsidR="008E5525" w:rsidRPr="00227927" w:rsidRDefault="008E5525" w:rsidP="00494DA4">
            <w:pPr>
              <w:spacing w:after="0" w:line="240" w:lineRule="auto"/>
              <w:ind w:left="-109" w:right="-108" w:firstLine="5"/>
              <w:jc w:val="center"/>
              <w:rPr>
                <w:rFonts w:ascii="Times New Roman" w:eastAsia="Times New Roman" w:hAnsi="Times New Roman" w:cs="Times New Roman"/>
                <w:color w:val="000000"/>
              </w:rPr>
            </w:pPr>
            <w:r w:rsidRPr="00227927">
              <w:rPr>
                <w:rFonts w:ascii="Times New Roman" w:hAnsi="Times New Roman" w:cs="Times New Roman"/>
              </w:rPr>
              <w:t>95% Confidence Interval (BC)</w:t>
            </w:r>
          </w:p>
        </w:tc>
      </w:tr>
      <w:tr w:rsidR="008E5525" w:rsidRPr="00227927" w14:paraId="51A3C035" w14:textId="77777777" w:rsidTr="00695812">
        <w:trPr>
          <w:trHeight w:val="155"/>
        </w:trPr>
        <w:tc>
          <w:tcPr>
            <w:tcW w:w="7300" w:type="dxa"/>
            <w:gridSpan w:val="10"/>
            <w:tcBorders>
              <w:top w:val="nil"/>
              <w:left w:val="nil"/>
              <w:bottom w:val="single" w:sz="4" w:space="0" w:color="auto"/>
              <w:right w:val="nil"/>
            </w:tcBorders>
          </w:tcPr>
          <w:p w14:paraId="4B487890"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978" w:type="dxa"/>
            <w:gridSpan w:val="2"/>
            <w:tcBorders>
              <w:top w:val="single" w:sz="4" w:space="0" w:color="auto"/>
              <w:left w:val="nil"/>
              <w:bottom w:val="single" w:sz="4" w:space="0" w:color="auto"/>
              <w:right w:val="nil"/>
            </w:tcBorders>
            <w:hideMark/>
          </w:tcPr>
          <w:p w14:paraId="36461AE8"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LL</w:t>
            </w:r>
          </w:p>
        </w:tc>
        <w:tc>
          <w:tcPr>
            <w:tcW w:w="1067" w:type="dxa"/>
            <w:tcBorders>
              <w:top w:val="single" w:sz="4" w:space="0" w:color="auto"/>
              <w:left w:val="nil"/>
              <w:bottom w:val="single" w:sz="4" w:space="0" w:color="auto"/>
              <w:right w:val="nil"/>
            </w:tcBorders>
            <w:hideMark/>
          </w:tcPr>
          <w:p w14:paraId="3A831404"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UL</w:t>
            </w:r>
          </w:p>
        </w:tc>
      </w:tr>
      <w:tr w:rsidR="008E5525" w:rsidRPr="00227927" w14:paraId="7F24A53D" w14:textId="77777777" w:rsidTr="00695812">
        <w:trPr>
          <w:trHeight w:val="94"/>
        </w:trPr>
        <w:tc>
          <w:tcPr>
            <w:tcW w:w="280" w:type="dxa"/>
            <w:tcBorders>
              <w:top w:val="single" w:sz="4" w:space="0" w:color="auto"/>
              <w:left w:val="nil"/>
              <w:bottom w:val="nil"/>
              <w:right w:val="nil"/>
            </w:tcBorders>
            <w:hideMark/>
          </w:tcPr>
          <w:p w14:paraId="12119A88"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H1</w:t>
            </w:r>
          </w:p>
        </w:tc>
        <w:tc>
          <w:tcPr>
            <w:tcW w:w="1563" w:type="dxa"/>
            <w:tcBorders>
              <w:top w:val="single" w:sz="4" w:space="0" w:color="auto"/>
              <w:left w:val="nil"/>
              <w:bottom w:val="nil"/>
              <w:right w:val="nil"/>
            </w:tcBorders>
            <w:hideMark/>
          </w:tcPr>
          <w:p w14:paraId="48620EC0"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→AP</w:t>
            </w:r>
          </w:p>
        </w:tc>
        <w:tc>
          <w:tcPr>
            <w:tcW w:w="700" w:type="dxa"/>
            <w:tcBorders>
              <w:top w:val="single" w:sz="4" w:space="0" w:color="auto"/>
              <w:left w:val="nil"/>
              <w:bottom w:val="nil"/>
              <w:right w:val="nil"/>
            </w:tcBorders>
            <w:noWrap/>
            <w:vAlign w:val="center"/>
          </w:tcPr>
          <w:p w14:paraId="74DCB031"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0.062</w:t>
            </w:r>
          </w:p>
        </w:tc>
        <w:tc>
          <w:tcPr>
            <w:tcW w:w="740" w:type="dxa"/>
            <w:tcBorders>
              <w:top w:val="single" w:sz="4" w:space="0" w:color="auto"/>
              <w:left w:val="nil"/>
              <w:bottom w:val="nil"/>
              <w:right w:val="nil"/>
            </w:tcBorders>
            <w:vAlign w:val="center"/>
          </w:tcPr>
          <w:p w14:paraId="51603CD7" w14:textId="77777777" w:rsidR="008E5525" w:rsidRPr="00227927" w:rsidRDefault="008E5525" w:rsidP="00494DA4">
            <w:pPr>
              <w:spacing w:after="0" w:line="240" w:lineRule="auto"/>
              <w:ind w:right="-86" w:hanging="114"/>
              <w:jc w:val="center"/>
              <w:rPr>
                <w:rFonts w:ascii="Times New Roman" w:hAnsi="Times New Roman" w:cs="Times New Roman"/>
              </w:rPr>
            </w:pPr>
            <w:r w:rsidRPr="00227927">
              <w:rPr>
                <w:rFonts w:ascii="Times New Roman" w:hAnsi="Times New Roman" w:cs="Times New Roman"/>
              </w:rPr>
              <w:t>0.156</w:t>
            </w:r>
          </w:p>
        </w:tc>
        <w:tc>
          <w:tcPr>
            <w:tcW w:w="840" w:type="dxa"/>
            <w:tcBorders>
              <w:top w:val="single" w:sz="4" w:space="0" w:color="auto"/>
              <w:left w:val="nil"/>
              <w:bottom w:val="nil"/>
              <w:right w:val="nil"/>
            </w:tcBorders>
            <w:noWrap/>
            <w:vAlign w:val="center"/>
            <w:hideMark/>
          </w:tcPr>
          <w:p w14:paraId="740AD374" w14:textId="77777777" w:rsidR="008E5525" w:rsidRPr="00227927" w:rsidRDefault="008E5525" w:rsidP="00494DA4">
            <w:pPr>
              <w:spacing w:after="0" w:line="240" w:lineRule="auto"/>
              <w:ind w:right="-86" w:hanging="109"/>
              <w:jc w:val="center"/>
              <w:rPr>
                <w:rFonts w:ascii="Times New Roman" w:hAnsi="Times New Roman" w:cs="Times New Roman"/>
              </w:rPr>
            </w:pPr>
            <w:r w:rsidRPr="00227927">
              <w:rPr>
                <w:rFonts w:ascii="Times New Roman" w:hAnsi="Times New Roman" w:cs="Times New Roman"/>
              </w:rPr>
              <w:t>0.397</w:t>
            </w:r>
          </w:p>
        </w:tc>
        <w:tc>
          <w:tcPr>
            <w:tcW w:w="1007" w:type="dxa"/>
            <w:tcBorders>
              <w:top w:val="single" w:sz="4" w:space="0" w:color="auto"/>
              <w:left w:val="nil"/>
              <w:bottom w:val="nil"/>
              <w:right w:val="nil"/>
            </w:tcBorders>
            <w:hideMark/>
          </w:tcPr>
          <w:p w14:paraId="5E5EF0B1"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Rejected</w:t>
            </w:r>
          </w:p>
        </w:tc>
        <w:tc>
          <w:tcPr>
            <w:tcW w:w="744" w:type="dxa"/>
            <w:tcBorders>
              <w:top w:val="single" w:sz="4" w:space="0" w:color="auto"/>
              <w:left w:val="nil"/>
              <w:bottom w:val="nil"/>
              <w:right w:val="nil"/>
            </w:tcBorders>
          </w:tcPr>
          <w:p w14:paraId="7B449156" w14:textId="77777777" w:rsidR="008E5525" w:rsidRPr="00227927" w:rsidRDefault="008E5525" w:rsidP="00494DA4">
            <w:pPr>
              <w:spacing w:after="0" w:line="240" w:lineRule="auto"/>
              <w:ind w:right="-86" w:hanging="80"/>
              <w:jc w:val="center"/>
              <w:rPr>
                <w:rFonts w:ascii="Times New Roman" w:eastAsia="Times New Roman" w:hAnsi="Times New Roman" w:cs="Times New Roman"/>
                <w:bCs/>
              </w:rPr>
            </w:pPr>
            <w:r w:rsidRPr="00227927">
              <w:rPr>
                <w:rFonts w:ascii="Times New Roman" w:eastAsia="Times New Roman" w:hAnsi="Times New Roman" w:cs="Times New Roman"/>
                <w:bCs/>
              </w:rPr>
              <w:t>0.335</w:t>
            </w:r>
          </w:p>
        </w:tc>
        <w:tc>
          <w:tcPr>
            <w:tcW w:w="709" w:type="dxa"/>
            <w:tcBorders>
              <w:top w:val="single" w:sz="4" w:space="0" w:color="auto"/>
              <w:left w:val="nil"/>
              <w:bottom w:val="nil"/>
              <w:right w:val="nil"/>
            </w:tcBorders>
          </w:tcPr>
          <w:p w14:paraId="108884AF"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0.005</w:t>
            </w:r>
          </w:p>
        </w:tc>
        <w:tc>
          <w:tcPr>
            <w:tcW w:w="711" w:type="dxa"/>
            <w:tcBorders>
              <w:top w:val="single" w:sz="4" w:space="0" w:color="auto"/>
              <w:left w:val="nil"/>
              <w:bottom w:val="nil"/>
              <w:right w:val="nil"/>
            </w:tcBorders>
          </w:tcPr>
          <w:p w14:paraId="6056EB8A"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r w:rsidRPr="00227927">
              <w:rPr>
                <w:rFonts w:ascii="Times New Roman" w:eastAsia="Times New Roman" w:hAnsi="Times New Roman" w:cs="Times New Roman"/>
                <w:bCs/>
              </w:rPr>
              <w:t>0.253</w:t>
            </w:r>
          </w:p>
        </w:tc>
        <w:tc>
          <w:tcPr>
            <w:tcW w:w="978" w:type="dxa"/>
            <w:gridSpan w:val="2"/>
            <w:tcBorders>
              <w:top w:val="single" w:sz="4" w:space="0" w:color="auto"/>
              <w:left w:val="nil"/>
              <w:bottom w:val="nil"/>
              <w:right w:val="nil"/>
            </w:tcBorders>
            <w:vAlign w:val="bottom"/>
          </w:tcPr>
          <w:p w14:paraId="0196EF4B"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-0.287</w:t>
            </w:r>
          </w:p>
        </w:tc>
        <w:tc>
          <w:tcPr>
            <w:tcW w:w="1073" w:type="dxa"/>
            <w:gridSpan w:val="2"/>
            <w:tcBorders>
              <w:top w:val="single" w:sz="4" w:space="0" w:color="auto"/>
              <w:left w:val="nil"/>
              <w:bottom w:val="nil"/>
              <w:right w:val="nil"/>
            </w:tcBorders>
            <w:vAlign w:val="bottom"/>
          </w:tcPr>
          <w:p w14:paraId="1666C1C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0.347</w:t>
            </w:r>
          </w:p>
        </w:tc>
      </w:tr>
      <w:tr w:rsidR="008E5525" w:rsidRPr="00227927" w14:paraId="4860652C" w14:textId="77777777" w:rsidTr="00695812">
        <w:trPr>
          <w:trHeight w:val="54"/>
        </w:trPr>
        <w:tc>
          <w:tcPr>
            <w:tcW w:w="280" w:type="dxa"/>
            <w:tcBorders>
              <w:top w:val="nil"/>
              <w:left w:val="nil"/>
              <w:bottom w:val="nil"/>
              <w:right w:val="nil"/>
            </w:tcBorders>
            <w:hideMark/>
          </w:tcPr>
          <w:p w14:paraId="3BE4187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H2</w:t>
            </w:r>
          </w:p>
        </w:tc>
        <w:tc>
          <w:tcPr>
            <w:tcW w:w="1563" w:type="dxa"/>
            <w:tcBorders>
              <w:top w:val="nil"/>
              <w:left w:val="nil"/>
              <w:bottom w:val="nil"/>
              <w:right w:val="nil"/>
            </w:tcBorders>
            <w:hideMark/>
          </w:tcPr>
          <w:p w14:paraId="388BAD34"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→AE</w:t>
            </w:r>
          </w:p>
        </w:tc>
        <w:tc>
          <w:tcPr>
            <w:tcW w:w="700" w:type="dxa"/>
            <w:tcBorders>
              <w:top w:val="nil"/>
              <w:left w:val="nil"/>
              <w:bottom w:val="nil"/>
              <w:right w:val="nil"/>
            </w:tcBorders>
            <w:noWrap/>
            <w:vAlign w:val="center"/>
          </w:tcPr>
          <w:p w14:paraId="61807629"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0.316</w:t>
            </w:r>
          </w:p>
        </w:tc>
        <w:tc>
          <w:tcPr>
            <w:tcW w:w="740" w:type="dxa"/>
            <w:tcBorders>
              <w:top w:val="nil"/>
              <w:left w:val="nil"/>
              <w:bottom w:val="nil"/>
              <w:right w:val="nil"/>
            </w:tcBorders>
            <w:vAlign w:val="center"/>
          </w:tcPr>
          <w:p w14:paraId="1841EDAC"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0.112</w:t>
            </w:r>
          </w:p>
        </w:tc>
        <w:tc>
          <w:tcPr>
            <w:tcW w:w="840" w:type="dxa"/>
            <w:tcBorders>
              <w:top w:val="nil"/>
              <w:left w:val="nil"/>
              <w:bottom w:val="nil"/>
              <w:right w:val="nil"/>
            </w:tcBorders>
            <w:noWrap/>
            <w:vAlign w:val="center"/>
            <w:hideMark/>
          </w:tcPr>
          <w:p w14:paraId="34478CBE"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2.830</w:t>
            </w:r>
          </w:p>
        </w:tc>
        <w:tc>
          <w:tcPr>
            <w:tcW w:w="1007" w:type="dxa"/>
            <w:tcBorders>
              <w:top w:val="nil"/>
              <w:left w:val="nil"/>
              <w:bottom w:val="nil"/>
              <w:right w:val="nil"/>
            </w:tcBorders>
            <w:hideMark/>
          </w:tcPr>
          <w:p w14:paraId="37EF23C6"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6C3C3918" w14:textId="77777777" w:rsidR="008E5525" w:rsidRPr="00227927" w:rsidRDefault="008E5525" w:rsidP="00494DA4">
            <w:pPr>
              <w:spacing w:after="0" w:line="240" w:lineRule="auto"/>
              <w:ind w:right="-86" w:hanging="108"/>
              <w:jc w:val="center"/>
              <w:rPr>
                <w:rFonts w:ascii="Times New Roman" w:eastAsia="Times New Roman" w:hAnsi="Times New Roman" w:cs="Times New Roman"/>
                <w:bCs/>
              </w:rPr>
            </w:pPr>
            <w:r w:rsidRPr="00227927">
              <w:rPr>
                <w:rFonts w:ascii="Times New Roman" w:eastAsia="Times New Roman" w:hAnsi="Times New Roman" w:cs="Times New Roman"/>
                <w:bCs/>
              </w:rPr>
              <w:t>0.100</w:t>
            </w:r>
          </w:p>
        </w:tc>
        <w:tc>
          <w:tcPr>
            <w:tcW w:w="709" w:type="dxa"/>
            <w:tcBorders>
              <w:top w:val="nil"/>
              <w:left w:val="nil"/>
              <w:bottom w:val="nil"/>
              <w:right w:val="nil"/>
            </w:tcBorders>
          </w:tcPr>
          <w:p w14:paraId="5D674993"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0.111</w:t>
            </w:r>
          </w:p>
        </w:tc>
        <w:tc>
          <w:tcPr>
            <w:tcW w:w="711" w:type="dxa"/>
            <w:tcBorders>
              <w:top w:val="nil"/>
              <w:left w:val="nil"/>
              <w:bottom w:val="nil"/>
              <w:right w:val="nil"/>
            </w:tcBorders>
          </w:tcPr>
          <w:p w14:paraId="5E7E6FFB"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978" w:type="dxa"/>
            <w:gridSpan w:val="2"/>
            <w:tcBorders>
              <w:top w:val="nil"/>
              <w:left w:val="nil"/>
              <w:bottom w:val="nil"/>
              <w:right w:val="nil"/>
            </w:tcBorders>
            <w:vAlign w:val="bottom"/>
          </w:tcPr>
          <w:p w14:paraId="339AD9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-0.134</w:t>
            </w:r>
          </w:p>
        </w:tc>
        <w:tc>
          <w:tcPr>
            <w:tcW w:w="1073" w:type="dxa"/>
            <w:gridSpan w:val="2"/>
            <w:tcBorders>
              <w:top w:val="nil"/>
              <w:left w:val="nil"/>
              <w:bottom w:val="nil"/>
              <w:right w:val="nil"/>
            </w:tcBorders>
            <w:vAlign w:val="bottom"/>
          </w:tcPr>
          <w:p w14:paraId="56925F5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0.479</w:t>
            </w:r>
          </w:p>
        </w:tc>
      </w:tr>
      <w:tr w:rsidR="008E5525" w:rsidRPr="00227927" w14:paraId="6026A13A" w14:textId="77777777" w:rsidTr="00695812">
        <w:trPr>
          <w:trHeight w:val="54"/>
        </w:trPr>
        <w:tc>
          <w:tcPr>
            <w:tcW w:w="280" w:type="dxa"/>
            <w:tcBorders>
              <w:top w:val="nil"/>
              <w:left w:val="nil"/>
              <w:bottom w:val="nil"/>
              <w:right w:val="nil"/>
            </w:tcBorders>
            <w:hideMark/>
          </w:tcPr>
          <w:p w14:paraId="3516174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H3</w:t>
            </w:r>
          </w:p>
        </w:tc>
        <w:tc>
          <w:tcPr>
            <w:tcW w:w="1563" w:type="dxa"/>
            <w:tcBorders>
              <w:top w:val="nil"/>
              <w:left w:val="nil"/>
              <w:bottom w:val="nil"/>
              <w:right w:val="nil"/>
            </w:tcBorders>
            <w:hideMark/>
          </w:tcPr>
          <w:p w14:paraId="2B881E3E"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AE</w:t>
            </w:r>
            <w:r w:rsidRPr="00227927">
              <w:rPr>
                <w:rFonts w:ascii="Times New Roman" w:hAnsi="Times New Roman" w:cs="Times New Roman"/>
              </w:rPr>
              <w:t>→AP</w:t>
            </w:r>
          </w:p>
        </w:tc>
        <w:tc>
          <w:tcPr>
            <w:tcW w:w="700" w:type="dxa"/>
            <w:tcBorders>
              <w:top w:val="nil"/>
              <w:left w:val="nil"/>
              <w:bottom w:val="nil"/>
              <w:right w:val="nil"/>
            </w:tcBorders>
            <w:noWrap/>
            <w:vAlign w:val="center"/>
          </w:tcPr>
          <w:p w14:paraId="1FFCF862" w14:textId="77777777" w:rsidR="008E5525" w:rsidRPr="00227927" w:rsidRDefault="008E5525" w:rsidP="00494DA4">
            <w:pPr>
              <w:spacing w:after="0" w:line="240" w:lineRule="auto"/>
              <w:ind w:right="-86" w:hanging="115"/>
              <w:jc w:val="center"/>
              <w:rPr>
                <w:rFonts w:ascii="Times New Roman" w:eastAsia="Times New Roman" w:hAnsi="Times New Roman" w:cs="Times New Roman"/>
                <w:bCs/>
              </w:rPr>
            </w:pPr>
            <w:r w:rsidRPr="00227927">
              <w:rPr>
                <w:rFonts w:ascii="Times New Roman" w:eastAsia="Times New Roman" w:hAnsi="Times New Roman" w:cs="Times New Roman"/>
                <w:bCs/>
              </w:rPr>
              <w:t>0.556</w:t>
            </w:r>
          </w:p>
        </w:tc>
        <w:tc>
          <w:tcPr>
            <w:tcW w:w="740" w:type="dxa"/>
            <w:tcBorders>
              <w:top w:val="nil"/>
              <w:left w:val="nil"/>
              <w:bottom w:val="nil"/>
              <w:right w:val="nil"/>
            </w:tcBorders>
            <w:vAlign w:val="center"/>
          </w:tcPr>
          <w:p w14:paraId="46D1827F"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0.126</w:t>
            </w:r>
          </w:p>
        </w:tc>
        <w:tc>
          <w:tcPr>
            <w:tcW w:w="840" w:type="dxa"/>
            <w:tcBorders>
              <w:top w:val="nil"/>
              <w:left w:val="nil"/>
              <w:bottom w:val="nil"/>
              <w:right w:val="nil"/>
            </w:tcBorders>
            <w:noWrap/>
            <w:vAlign w:val="center"/>
            <w:hideMark/>
          </w:tcPr>
          <w:p w14:paraId="6E881322"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4.398</w:t>
            </w:r>
          </w:p>
        </w:tc>
        <w:tc>
          <w:tcPr>
            <w:tcW w:w="1007" w:type="dxa"/>
            <w:tcBorders>
              <w:top w:val="nil"/>
              <w:left w:val="nil"/>
              <w:bottom w:val="nil"/>
              <w:right w:val="nil"/>
            </w:tcBorders>
            <w:hideMark/>
          </w:tcPr>
          <w:p w14:paraId="7552E6C0"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086B4712"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709" w:type="dxa"/>
            <w:tcBorders>
              <w:top w:val="nil"/>
              <w:left w:val="nil"/>
              <w:bottom w:val="nil"/>
              <w:right w:val="nil"/>
            </w:tcBorders>
          </w:tcPr>
          <w:p w14:paraId="16921FA2"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0.418</w:t>
            </w:r>
          </w:p>
        </w:tc>
        <w:tc>
          <w:tcPr>
            <w:tcW w:w="711" w:type="dxa"/>
            <w:tcBorders>
              <w:top w:val="nil"/>
              <w:left w:val="nil"/>
              <w:bottom w:val="nil"/>
              <w:right w:val="nil"/>
            </w:tcBorders>
          </w:tcPr>
          <w:p w14:paraId="7ED456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nil"/>
              <w:right w:val="nil"/>
            </w:tcBorders>
            <w:vAlign w:val="bottom"/>
          </w:tcPr>
          <w:p w14:paraId="32F906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0.144</w:t>
            </w:r>
          </w:p>
        </w:tc>
        <w:tc>
          <w:tcPr>
            <w:tcW w:w="1073" w:type="dxa"/>
            <w:gridSpan w:val="2"/>
            <w:tcBorders>
              <w:top w:val="nil"/>
              <w:left w:val="nil"/>
              <w:bottom w:val="nil"/>
              <w:right w:val="nil"/>
            </w:tcBorders>
            <w:vAlign w:val="bottom"/>
          </w:tcPr>
          <w:p w14:paraId="1676A1B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0.724</w:t>
            </w:r>
          </w:p>
        </w:tc>
      </w:tr>
      <w:tr w:rsidR="008E5525" w:rsidRPr="00227927" w14:paraId="797A91DE" w14:textId="77777777" w:rsidTr="00695812">
        <w:trPr>
          <w:trHeight w:val="54"/>
        </w:trPr>
        <w:tc>
          <w:tcPr>
            <w:tcW w:w="280" w:type="dxa"/>
            <w:tcBorders>
              <w:top w:val="nil"/>
              <w:left w:val="nil"/>
              <w:bottom w:val="single" w:sz="4" w:space="0" w:color="auto"/>
              <w:right w:val="nil"/>
            </w:tcBorders>
            <w:hideMark/>
          </w:tcPr>
          <w:p w14:paraId="45040D4E"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H4</w:t>
            </w:r>
          </w:p>
        </w:tc>
        <w:tc>
          <w:tcPr>
            <w:tcW w:w="1563" w:type="dxa"/>
            <w:tcBorders>
              <w:top w:val="nil"/>
              <w:left w:val="nil"/>
              <w:bottom w:val="single" w:sz="4" w:space="0" w:color="auto"/>
              <w:right w:val="nil"/>
            </w:tcBorders>
            <w:hideMark/>
          </w:tcPr>
          <w:p w14:paraId="477F3E01"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hAnsi="Times New Roman" w:cs="Times New Roman"/>
              </w:rPr>
              <w:t>EI</w:t>
            </w:r>
            <w:r w:rsidRPr="00227927">
              <w:rPr>
                <w:rFonts w:ascii="Segoe UI Symbol" w:hAnsi="Segoe UI Symbol" w:cs="Segoe UI Symbol"/>
              </w:rPr>
              <w:t>➝</w:t>
            </w:r>
            <w:r w:rsidRPr="00227927">
              <w:rPr>
                <w:rFonts w:ascii="Times New Roman" w:hAnsi="Times New Roman" w:cs="Times New Roman"/>
              </w:rPr>
              <w:t>AE</w:t>
            </w:r>
            <w:r w:rsidRPr="00227927">
              <w:rPr>
                <w:rFonts w:ascii="Segoe UI Symbol" w:hAnsi="Segoe UI Symbol" w:cs="Segoe UI Symbol"/>
              </w:rPr>
              <w:t>➝</w:t>
            </w:r>
            <w:r w:rsidRPr="00227927">
              <w:rPr>
                <w:rFonts w:ascii="Times New Roman" w:hAnsi="Times New Roman" w:cs="Times New Roman"/>
              </w:rPr>
              <w:t>AP</w:t>
            </w:r>
          </w:p>
        </w:tc>
        <w:tc>
          <w:tcPr>
            <w:tcW w:w="700" w:type="dxa"/>
            <w:tcBorders>
              <w:top w:val="nil"/>
              <w:left w:val="nil"/>
              <w:bottom w:val="single" w:sz="4" w:space="0" w:color="auto"/>
              <w:right w:val="nil"/>
            </w:tcBorders>
            <w:noWrap/>
            <w:vAlign w:val="center"/>
          </w:tcPr>
          <w:p w14:paraId="777A8FF1" w14:textId="77777777" w:rsidR="008E5525" w:rsidRPr="00227927" w:rsidRDefault="008E5525" w:rsidP="00494DA4">
            <w:pPr>
              <w:spacing w:after="0" w:line="240" w:lineRule="auto"/>
              <w:ind w:right="-86" w:hanging="115"/>
              <w:jc w:val="center"/>
              <w:rPr>
                <w:rFonts w:ascii="Times New Roman" w:eastAsia="Times New Roman" w:hAnsi="Times New Roman" w:cs="Times New Roman"/>
              </w:rPr>
            </w:pPr>
            <w:r w:rsidRPr="00227927">
              <w:rPr>
                <w:rFonts w:ascii="Times New Roman" w:eastAsia="Times New Roman" w:hAnsi="Times New Roman" w:cs="Times New Roman"/>
              </w:rPr>
              <w:t>0.176</w:t>
            </w:r>
          </w:p>
        </w:tc>
        <w:tc>
          <w:tcPr>
            <w:tcW w:w="740" w:type="dxa"/>
            <w:tcBorders>
              <w:top w:val="nil"/>
              <w:left w:val="nil"/>
              <w:bottom w:val="single" w:sz="4" w:space="0" w:color="auto"/>
              <w:right w:val="nil"/>
            </w:tcBorders>
            <w:vAlign w:val="center"/>
          </w:tcPr>
          <w:p w14:paraId="33F0F9C0" w14:textId="77777777" w:rsidR="008E5525" w:rsidRPr="00227927" w:rsidRDefault="008E5525" w:rsidP="00494DA4">
            <w:pPr>
              <w:spacing w:after="0" w:line="240" w:lineRule="auto"/>
              <w:ind w:right="-86" w:hanging="114"/>
              <w:jc w:val="center"/>
              <w:rPr>
                <w:rFonts w:ascii="Times New Roman" w:eastAsia="Times New Roman" w:hAnsi="Times New Roman" w:cs="Times New Roman"/>
              </w:rPr>
            </w:pPr>
            <w:r w:rsidRPr="00227927">
              <w:rPr>
                <w:rFonts w:ascii="Times New Roman" w:eastAsia="Times New Roman" w:hAnsi="Times New Roman" w:cs="Times New Roman"/>
              </w:rPr>
              <w:t>0.068</w:t>
            </w:r>
          </w:p>
        </w:tc>
        <w:tc>
          <w:tcPr>
            <w:tcW w:w="840" w:type="dxa"/>
            <w:tcBorders>
              <w:top w:val="nil"/>
              <w:left w:val="nil"/>
              <w:bottom w:val="single" w:sz="4" w:space="0" w:color="auto"/>
              <w:right w:val="nil"/>
            </w:tcBorders>
            <w:noWrap/>
            <w:vAlign w:val="center"/>
            <w:hideMark/>
          </w:tcPr>
          <w:p w14:paraId="3EAA157D" w14:textId="77777777" w:rsidR="008E5525" w:rsidRPr="00227927" w:rsidRDefault="008E5525" w:rsidP="00494DA4">
            <w:pPr>
              <w:spacing w:after="0" w:line="240" w:lineRule="auto"/>
              <w:ind w:right="-86" w:hanging="104"/>
              <w:jc w:val="center"/>
              <w:rPr>
                <w:rFonts w:ascii="Times New Roman" w:eastAsia="Times New Roman" w:hAnsi="Times New Roman" w:cs="Times New Roman"/>
              </w:rPr>
            </w:pPr>
            <w:r w:rsidRPr="00227927">
              <w:rPr>
                <w:rFonts w:ascii="Times New Roman" w:eastAsia="Times New Roman" w:hAnsi="Times New Roman" w:cs="Times New Roman"/>
              </w:rPr>
              <w:t>2.578</w:t>
            </w:r>
          </w:p>
        </w:tc>
        <w:tc>
          <w:tcPr>
            <w:tcW w:w="1007" w:type="dxa"/>
            <w:tcBorders>
              <w:top w:val="nil"/>
              <w:left w:val="nil"/>
              <w:bottom w:val="single" w:sz="4" w:space="0" w:color="auto"/>
              <w:right w:val="nil"/>
            </w:tcBorders>
            <w:hideMark/>
          </w:tcPr>
          <w:p w14:paraId="1E0734FA"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single" w:sz="4" w:space="0" w:color="auto"/>
              <w:right w:val="nil"/>
            </w:tcBorders>
          </w:tcPr>
          <w:p w14:paraId="158829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709" w:type="dxa"/>
            <w:tcBorders>
              <w:top w:val="nil"/>
              <w:left w:val="nil"/>
              <w:bottom w:val="single" w:sz="4" w:space="0" w:color="auto"/>
              <w:right w:val="nil"/>
            </w:tcBorders>
          </w:tcPr>
          <w:p w14:paraId="239E5CFC"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p>
        </w:tc>
        <w:tc>
          <w:tcPr>
            <w:tcW w:w="711" w:type="dxa"/>
            <w:tcBorders>
              <w:top w:val="nil"/>
              <w:left w:val="nil"/>
              <w:bottom w:val="single" w:sz="4" w:space="0" w:color="auto"/>
              <w:right w:val="nil"/>
            </w:tcBorders>
          </w:tcPr>
          <w:p w14:paraId="0D61F768"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single" w:sz="4" w:space="0" w:color="auto"/>
              <w:right w:val="nil"/>
            </w:tcBorders>
          </w:tcPr>
          <w:p w14:paraId="025D0BAE" w14:textId="77777777" w:rsidR="008E5525" w:rsidRPr="00227927" w:rsidRDefault="008E5525" w:rsidP="00494DA4">
            <w:pPr>
              <w:spacing w:after="0" w:line="240" w:lineRule="auto"/>
              <w:ind w:right="-86" w:hanging="106"/>
              <w:jc w:val="center"/>
              <w:rPr>
                <w:rFonts w:ascii="Times New Roman" w:eastAsia="Times New Roman" w:hAnsi="Times New Roman" w:cs="Times New Roman"/>
                <w:bCs/>
              </w:rPr>
            </w:pPr>
            <w:r w:rsidRPr="00227927">
              <w:rPr>
                <w:rFonts w:ascii="Times New Roman" w:eastAsia="Times New Roman" w:hAnsi="Times New Roman" w:cs="Times New Roman"/>
                <w:bCs/>
              </w:rPr>
              <w:t>-0.061</w:t>
            </w:r>
          </w:p>
        </w:tc>
        <w:tc>
          <w:tcPr>
            <w:tcW w:w="1073" w:type="dxa"/>
            <w:gridSpan w:val="2"/>
            <w:tcBorders>
              <w:top w:val="nil"/>
              <w:left w:val="nil"/>
              <w:bottom w:val="single" w:sz="4" w:space="0" w:color="auto"/>
              <w:right w:val="nil"/>
            </w:tcBorders>
          </w:tcPr>
          <w:p w14:paraId="4695BCD8" w14:textId="77777777" w:rsidR="008E5525" w:rsidRPr="00227927" w:rsidRDefault="008E5525" w:rsidP="00494DA4">
            <w:pPr>
              <w:spacing w:after="0" w:line="240" w:lineRule="auto"/>
              <w:ind w:right="-86" w:hanging="109"/>
              <w:jc w:val="center"/>
              <w:rPr>
                <w:rFonts w:ascii="Times New Roman" w:eastAsia="Times New Roman" w:hAnsi="Times New Roman" w:cs="Times New Roman"/>
                <w:bCs/>
              </w:rPr>
            </w:pPr>
            <w:r w:rsidRPr="00227927">
              <w:rPr>
                <w:rFonts w:ascii="Times New Roman" w:eastAsia="Times New Roman" w:hAnsi="Times New Roman" w:cs="Times New Roman"/>
                <w:bCs/>
              </w:rPr>
              <w:t>0.275</w:t>
            </w:r>
          </w:p>
        </w:tc>
      </w:tr>
    </w:tbl>
    <w:p w14:paraId="6E3AFBF7"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rPr>
      </w:pPr>
      <w:r w:rsidRPr="00227927">
        <w:rPr>
          <w:rFonts w:ascii="Times New Roman" w:hAnsi="Times New Roman" w:cs="Times New Roman"/>
        </w:rPr>
        <w:t xml:space="preserve">Note: t&gt;1.96 at p&lt;0.05; (two-tailed). H = hypothesis, AP = </w:t>
      </w:r>
      <w:r w:rsidRPr="00227927">
        <w:rPr>
          <w:rFonts w:ascii="Times New Roman" w:eastAsia="Times New Roman" w:hAnsi="Times New Roman" w:cs="Times New Roman"/>
          <w:lang w:val="en-GB" w:eastAsia="en-GB" w:bidi="bn-BD"/>
        </w:rPr>
        <w:t>Academic performance</w:t>
      </w:r>
      <w:r w:rsidRPr="00227927">
        <w:rPr>
          <w:rFonts w:ascii="Times New Roman" w:hAnsi="Times New Roman" w:cs="Times New Roman"/>
        </w:rPr>
        <w:t xml:space="preserve">, EI = </w:t>
      </w:r>
      <w:r w:rsidRPr="00227927">
        <w:rPr>
          <w:rFonts w:ascii="Times New Roman" w:eastAsia="Times New Roman" w:hAnsi="Times New Roman" w:cs="Times New Roman"/>
          <w:lang w:val="en-GB" w:eastAsia="en-GB" w:bidi="bn-BD"/>
        </w:rPr>
        <w:t>Emotional intelligence</w:t>
      </w:r>
      <w:r w:rsidRPr="00227927">
        <w:rPr>
          <w:rFonts w:ascii="Times New Roman" w:hAnsi="Times New Roman" w:cs="Times New Roman"/>
        </w:rPr>
        <w:t xml:space="preserve">, AE = </w:t>
      </w:r>
      <w:r w:rsidRPr="00227927">
        <w:rPr>
          <w:rFonts w:ascii="Times New Roman" w:eastAsia="Times New Roman" w:hAnsi="Times New Roman" w:cs="Times New Roman"/>
          <w:lang w:val="en-GB" w:eastAsia="en-GB" w:bidi="bn-BD"/>
        </w:rPr>
        <w:t>Academic engagement</w:t>
      </w:r>
      <w:r w:rsidRPr="00227927">
        <w:rPr>
          <w:rFonts w:ascii="Times New Roman" w:hAnsi="Times New Roman" w:cs="Times New Roman"/>
        </w:rPr>
        <w:t>, BC = bias corrected, LL = lower limit, UL = upper limit.</w:t>
      </w:r>
    </w:p>
    <w:p w14:paraId="67E1188E" w14:textId="77777777" w:rsidR="008E5525" w:rsidRPr="00227927" w:rsidRDefault="008E5525" w:rsidP="008E5525">
      <w:pPr>
        <w:rPr>
          <w:rFonts w:ascii="Times New Roman" w:hAnsi="Times New Roman" w:cs="Times New Roman"/>
        </w:rPr>
      </w:pPr>
    </w:p>
    <w:p w14:paraId="4177FA18" w14:textId="77777777" w:rsidR="008E5525" w:rsidRPr="00227927" w:rsidRDefault="008E5525" w:rsidP="00695812">
      <w:pPr>
        <w:spacing w:after="0" w:line="240" w:lineRule="auto"/>
        <w:rPr>
          <w:rFonts w:ascii="Times New Roman" w:hAnsi="Times New Roman" w:cs="Times New Roman"/>
        </w:rPr>
      </w:pPr>
      <w:r w:rsidRPr="00227927">
        <w:rPr>
          <w:rFonts w:ascii="Times New Roman" w:hAnsi="Times New Roman" w:cs="Times New Roman"/>
          <w:noProof/>
          <w:lang w:val="en-GB" w:eastAsia="en-GB" w:bidi="bn-BD"/>
        </w:rPr>
        <w:lastRenderedPageBreak/>
        <w:drawing>
          <wp:inline distT="0" distB="0" distL="0" distR="0" wp14:anchorId="7DC7D020" wp14:editId="436C8DC6">
            <wp:extent cx="5931877" cy="2601253"/>
            <wp:effectExtent l="0" t="0" r="0" b="8890"/>
            <wp:docPr id="2" name="Picture 2" descr="C:\Users\cse\Downloads\Fahmida\Fahmida_AP_Fi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e\Downloads\Fahmida\Fahmida_AP_Fig_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4975" cy="2611382"/>
                    </a:xfrm>
                    <a:prstGeom prst="rect">
                      <a:avLst/>
                    </a:prstGeom>
                    <a:noFill/>
                    <a:ln>
                      <a:noFill/>
                    </a:ln>
                  </pic:spPr>
                </pic:pic>
              </a:graphicData>
            </a:graphic>
          </wp:inline>
        </w:drawing>
      </w:r>
    </w:p>
    <w:p w14:paraId="32C243E2" w14:textId="77777777" w:rsidR="008E5525" w:rsidRPr="00227927" w:rsidRDefault="008E5525" w:rsidP="00695812">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3. Structural Model</w:t>
      </w:r>
    </w:p>
    <w:p w14:paraId="61B314C9" w14:textId="77777777" w:rsidR="008E5525" w:rsidRPr="00227927" w:rsidRDefault="008E5525" w:rsidP="00695812">
      <w:pPr>
        <w:autoSpaceDE w:val="0"/>
        <w:autoSpaceDN w:val="0"/>
        <w:adjustRightInd w:val="0"/>
        <w:spacing w:after="0" w:line="360" w:lineRule="auto"/>
        <w:rPr>
          <w:rFonts w:ascii="Times New Roman" w:hAnsi="Times New Roman" w:cs="Times New Roman"/>
          <w:bCs/>
        </w:rPr>
      </w:pPr>
    </w:p>
    <w:p w14:paraId="2E313B23"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t>The model's explanatory power is robust. In Table 4 (referring to Figure 4), the R² value of 0.335 for academic performance suggests that the combined influence of EI and AE explains 33.5% of its variance. According to Cohen's (1988) guidelines, the f² effect sizes show that AE has a large substantive influence on AP (f² = 0.418), while EI's effect on AE is moderate (f² = 0.111). The Q² value of 0.253 for AP confirms the model's predictive relevance, as it is well above zero. Finally, the bias-corrected confidence intervals for all accepted hypotheses (H2, H3, and H4) do not include zero, reinforcing the reliability and significance of these path coefficients.</w:t>
      </w:r>
    </w:p>
    <w:p w14:paraId="31B67892"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p>
    <w:p w14:paraId="403C3E20" w14:textId="77777777" w:rsidR="008E5525" w:rsidRPr="00227927" w:rsidRDefault="008E5525" w:rsidP="00695812">
      <w:pPr>
        <w:spacing w:after="0"/>
        <w:rPr>
          <w:rFonts w:ascii="Times New Roman" w:hAnsi="Times New Roman" w:cs="Times New Roman"/>
        </w:rPr>
      </w:pPr>
      <w:r w:rsidRPr="00227927">
        <w:rPr>
          <w:rFonts w:ascii="Times New Roman" w:hAnsi="Times New Roman" w:cs="Times New Roman"/>
          <w:noProof/>
          <w:lang w:val="en-GB" w:eastAsia="en-GB" w:bidi="bn-BD"/>
        </w:rPr>
        <w:drawing>
          <wp:inline distT="0" distB="0" distL="0" distR="0" wp14:anchorId="0A9F4CB2" wp14:editId="38C2C884">
            <wp:extent cx="5961185" cy="2614105"/>
            <wp:effectExtent l="0" t="0" r="1905" b="0"/>
            <wp:docPr id="3" name="Picture 3" descr="C:\Users\cse\Downloads\Fahmida\Fahmida_AP_Fi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e\Downloads\Fahmida\Fahmida_AP_Fig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022" cy="2621488"/>
                    </a:xfrm>
                    <a:prstGeom prst="rect">
                      <a:avLst/>
                    </a:prstGeom>
                    <a:noFill/>
                    <a:ln>
                      <a:noFill/>
                    </a:ln>
                  </pic:spPr>
                </pic:pic>
              </a:graphicData>
            </a:graphic>
          </wp:inline>
        </w:drawing>
      </w:r>
    </w:p>
    <w:p w14:paraId="2F7905C4" w14:textId="2190E84A" w:rsidR="0016469D" w:rsidRPr="00227927" w:rsidRDefault="008E5525" w:rsidP="00695812">
      <w:pPr>
        <w:spacing w:after="0" w:line="240" w:lineRule="auto"/>
        <w:jc w:val="center"/>
        <w:rPr>
          <w:rFonts w:ascii="Times New Roman" w:hAnsi="Times New Roman" w:cs="Times New Roman"/>
          <w:vertAlign w:val="superscript"/>
        </w:rPr>
      </w:pPr>
      <w:r w:rsidRPr="00227927">
        <w:rPr>
          <w:rFonts w:ascii="Times New Roman" w:hAnsi="Times New Roman" w:cs="Times New Roman"/>
        </w:rPr>
        <w:t>Figure 4. Result of R</w:t>
      </w:r>
      <w:r w:rsidRPr="00227927">
        <w:rPr>
          <w:rFonts w:ascii="Times New Roman" w:hAnsi="Times New Roman" w:cs="Times New Roman"/>
          <w:vertAlign w:val="superscript"/>
        </w:rPr>
        <w:t>2</w:t>
      </w:r>
      <w:r w:rsidRPr="00227927">
        <w:rPr>
          <w:rFonts w:ascii="Times New Roman" w:hAnsi="Times New Roman" w:cs="Times New Roman"/>
        </w:rPr>
        <w:t xml:space="preserve"> and f</w:t>
      </w:r>
      <w:r w:rsidRPr="00227927">
        <w:rPr>
          <w:rFonts w:ascii="Times New Roman" w:hAnsi="Times New Roman" w:cs="Times New Roman"/>
          <w:vertAlign w:val="superscript"/>
        </w:rPr>
        <w:t>2</w:t>
      </w:r>
    </w:p>
    <w:p w14:paraId="59581375" w14:textId="77777777" w:rsidR="00F93870" w:rsidRPr="00227927" w:rsidRDefault="00F93870" w:rsidP="00F93870">
      <w:pPr>
        <w:spacing w:after="0" w:line="360" w:lineRule="auto"/>
        <w:jc w:val="both"/>
        <w:rPr>
          <w:rFonts w:ascii="Times New Roman" w:hAnsi="Times New Roman" w:cs="Times New Roman"/>
          <w:b/>
          <w:bCs/>
        </w:rPr>
      </w:pPr>
    </w:p>
    <w:p w14:paraId="50DEFB0E" w14:textId="4A9C2917" w:rsidR="0016469D" w:rsidRPr="00227927" w:rsidRDefault="0016469D" w:rsidP="00733AF3">
      <w:pPr>
        <w:spacing w:after="0" w:line="360" w:lineRule="auto"/>
        <w:jc w:val="both"/>
        <w:rPr>
          <w:rFonts w:ascii="Times New Roman" w:hAnsi="Times New Roman" w:cs="Times New Roman"/>
          <w:b/>
          <w:bCs/>
        </w:rPr>
      </w:pPr>
      <w:r w:rsidRPr="00227927">
        <w:rPr>
          <w:rFonts w:ascii="Times New Roman" w:hAnsi="Times New Roman" w:cs="Times New Roman"/>
          <w:b/>
          <w:bCs/>
        </w:rPr>
        <w:lastRenderedPageBreak/>
        <w:t>5. Discussion</w:t>
      </w:r>
      <w:r w:rsidR="003C553A">
        <w:rPr>
          <w:rFonts w:ascii="Times New Roman" w:hAnsi="Times New Roman" w:cs="Times New Roman"/>
          <w:b/>
          <w:bCs/>
        </w:rPr>
        <w:t xml:space="preserve"> and Conclusion</w:t>
      </w:r>
      <w:bookmarkStart w:id="0" w:name="_GoBack"/>
      <w:bookmarkEnd w:id="0"/>
    </w:p>
    <w:p w14:paraId="3FEE70DD" w14:textId="1C335971"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The findings reveal that emotional intelligence does not have a statistically significant direct effect on academic performance among master’s-level students in Bangladeshi higher educational institutions. This outcome contrasts with several international studies (Estrada et </w:t>
      </w:r>
      <w:r w:rsidR="002C3CDC" w:rsidRPr="00227927">
        <w:rPr>
          <w:rFonts w:ascii="Times New Roman" w:hAnsi="Times New Roman" w:cs="Times New Roman"/>
          <w:lang w:val="en-GB" w:eastAsia="en-GB" w:bidi="bn-BD"/>
        </w:rPr>
        <w:t xml:space="preserve">al., 2021; </w:t>
      </w:r>
      <w:r w:rsidR="00232545" w:rsidRPr="00227927">
        <w:rPr>
          <w:rFonts w:ascii="Times New Roman" w:hAnsi="Times New Roman" w:cs="Times New Roman"/>
          <w:lang w:val="en-GB" w:eastAsia="en-GB" w:bidi="bn-BD"/>
        </w:rPr>
        <w:t xml:space="preserve">Rehman et al., 2021; </w:t>
      </w:r>
      <w:r w:rsidR="002C3CDC" w:rsidRPr="00227927">
        <w:rPr>
          <w:rFonts w:ascii="Times New Roman" w:hAnsi="Times New Roman" w:cs="Times New Roman"/>
          <w:lang w:val="en-GB" w:eastAsia="en-GB" w:bidi="bn-BD"/>
        </w:rPr>
        <w:t>Salovey &amp; Mayer, 1990</w:t>
      </w:r>
      <w:r w:rsidRPr="00227927">
        <w:rPr>
          <w:rFonts w:ascii="Times New Roman" w:hAnsi="Times New Roman" w:cs="Times New Roman"/>
          <w:lang w:val="en-GB" w:eastAsia="en-GB" w:bidi="bn-BD"/>
        </w:rPr>
        <w:t>) that reported a positive association between EI and academic achievement. Prior evidence (</w:t>
      </w:r>
      <w:r w:rsidR="00CE44A9" w:rsidRPr="00804275">
        <w:rPr>
          <w:rFonts w:ascii="Times New Roman" w:hAnsi="Times New Roman" w:cs="Times New Roman"/>
          <w:highlight w:val="yellow"/>
        </w:rPr>
        <w:t>Jaeger &amp; Eagan, 2007</w:t>
      </w:r>
      <w:r w:rsidR="00CE44A9">
        <w:rPr>
          <w:rFonts w:ascii="Times New Roman" w:hAnsi="Times New Roman" w:cs="Times New Roman"/>
        </w:rPr>
        <w:t xml:space="preserve">; </w:t>
      </w:r>
      <w:r w:rsidRPr="00227927">
        <w:rPr>
          <w:rFonts w:ascii="Times New Roman" w:hAnsi="Times New Roman" w:cs="Times New Roman"/>
          <w:lang w:val="en-GB" w:eastAsia="en-GB" w:bidi="bn-BD"/>
        </w:rPr>
        <w:t xml:space="preserve">MacCann et al., 2020; </w:t>
      </w:r>
      <w:proofErr w:type="spellStart"/>
      <w:r w:rsidRPr="00227927">
        <w:rPr>
          <w:rFonts w:ascii="Times New Roman" w:hAnsi="Times New Roman" w:cs="Times New Roman"/>
          <w:lang w:val="en-GB" w:eastAsia="en-GB" w:bidi="bn-BD"/>
        </w:rPr>
        <w:t>Quílez-Robres</w:t>
      </w:r>
      <w:proofErr w:type="spellEnd"/>
      <w:r w:rsidRPr="00227927">
        <w:rPr>
          <w:rFonts w:ascii="Times New Roman" w:hAnsi="Times New Roman" w:cs="Times New Roman"/>
          <w:lang w:val="en-GB" w:eastAsia="en-GB" w:bidi="bn-BD"/>
        </w:rPr>
        <w:t xml:space="preserve"> et al., 2023) consistently demonstrates that emotionally intelligent students handle stress effectively, sustain motivation, and achieve higher academic results. However, the absence of a significant direct relationship in this study may reflect the contextual and structural realities of the Bangladeshi education system.</w:t>
      </w:r>
    </w:p>
    <w:p w14:paraId="2B21D123"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396CA85A" w14:textId="30914B87"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In most Bangladeshi universities, academic performance is largely determined by memorization-based examinations that emphasize the reproduction of theoretical content. Consequently, cognitive competence and rote learning are prioritized over emotional and interpersonal skills. Even when students possess high emotional awareness, self-control, and motivation, these attributes may not directly influence grades or test outcomes. Moreover, the teacher-</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pedagogy, limited interactive learning, and scarce opportunities for collaborative work reduce the relevance of emotional competencies in daily academic activities. The strong emphasis on high grades also drives students to focus narrowly on academic tasks, often at the expense of emotional regulation or interpersonal communication, which is the key components of EI.</w:t>
      </w:r>
    </w:p>
    <w:p w14:paraId="435F36D9"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188344E9" w14:textId="15F0AA1F"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Despite the absence of a direct effect, the study found a significant positive relationship between</w:t>
      </w:r>
      <w:r w:rsidR="00733AF3" w:rsidRPr="00227927">
        <w:rPr>
          <w:rFonts w:ascii="Times New Roman" w:hAnsi="Times New Roman" w:cs="Times New Roman"/>
          <w:lang w:val="en-GB" w:eastAsia="en-GB" w:bidi="bn-BD"/>
        </w:rPr>
        <w:t xml:space="preserve"> EI and academic engagement</w:t>
      </w:r>
      <w:r w:rsidRPr="00227927">
        <w:rPr>
          <w:rFonts w:ascii="Times New Roman" w:hAnsi="Times New Roman" w:cs="Times New Roman"/>
          <w:lang w:val="en-GB" w:eastAsia="en-GB" w:bidi="bn-BD"/>
        </w:rPr>
        <w:t>, consistent with prior research (Chen &amp; Zhang, 2022; Shinwari et al., 2023). Emotionally intelligent students exhibit stronger motivation, self-regulation, and enthusiasm for learning (Barragán Martín et al., 2021; Thomas &amp; Allen, 2021).</w:t>
      </w:r>
      <w:r w:rsidR="00733AF3" w:rsidRPr="00227927">
        <w:rPr>
          <w:rFonts w:ascii="Times New Roman" w:hAnsi="Times New Roman" w:cs="Times New Roman"/>
          <w:lang w:val="en-GB" w:eastAsia="en-GB" w:bidi="bn-BD"/>
        </w:rPr>
        <w:t xml:space="preserve"> Within the Bangladeshi context, </w:t>
      </w:r>
      <w:r w:rsidRPr="00227927">
        <w:rPr>
          <w:rFonts w:ascii="Times New Roman" w:hAnsi="Times New Roman" w:cs="Times New Roman"/>
          <w:lang w:val="en-GB" w:eastAsia="en-GB" w:bidi="bn-BD"/>
        </w:rPr>
        <w:t>where students frequently face academic stress due to competitive assessments, limited resources, and</w:t>
      </w:r>
      <w:r w:rsidR="00733AF3" w:rsidRPr="00227927">
        <w:rPr>
          <w:rFonts w:ascii="Times New Roman" w:hAnsi="Times New Roman" w:cs="Times New Roman"/>
          <w:lang w:val="en-GB" w:eastAsia="en-GB" w:bidi="bn-BD"/>
        </w:rPr>
        <w:t xml:space="preserve"> rigid institutional structures, </w:t>
      </w:r>
      <w:r w:rsidRPr="00227927">
        <w:rPr>
          <w:rFonts w:ascii="Times New Roman" w:hAnsi="Times New Roman" w:cs="Times New Roman"/>
          <w:lang w:val="en-GB" w:eastAsia="en-GB" w:bidi="bn-BD"/>
        </w:rPr>
        <w:t xml:space="preserve">EI serves as an internal coping resource that helps them stay focused, self-driven, and optimistic about their studies. The positive EI–AE link suggests that emotionally intelligent students translate emotional awareness into productive learning </w:t>
      </w:r>
      <w:r w:rsidR="00733AF3" w:rsidRPr="00227927">
        <w:rPr>
          <w:rFonts w:ascii="Times New Roman" w:hAnsi="Times New Roman" w:cs="Times New Roman"/>
          <w:lang w:val="en-GB" w:eastAsia="en-GB" w:bidi="bn-BD"/>
        </w:rPr>
        <w:t>behaviours</w:t>
      </w:r>
      <w:r w:rsidRPr="00227927">
        <w:rPr>
          <w:rFonts w:ascii="Times New Roman" w:hAnsi="Times New Roman" w:cs="Times New Roman"/>
          <w:lang w:val="en-GB" w:eastAsia="en-GB" w:bidi="bn-BD"/>
        </w:rPr>
        <w:t xml:space="preserve"> such as consistent studying, curiosity-driven exploration, and active participation. Thus, universities should integrate emotional intelligence development into </w:t>
      </w:r>
      <w:r w:rsidRPr="00227927">
        <w:rPr>
          <w:rFonts w:ascii="Times New Roman" w:hAnsi="Times New Roman" w:cs="Times New Roman"/>
          <w:lang w:val="en-GB" w:eastAsia="en-GB" w:bidi="bn-BD"/>
        </w:rPr>
        <w:lastRenderedPageBreak/>
        <w:t xml:space="preserve">curricula through </w:t>
      </w:r>
      <w:r w:rsidR="00733AF3"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socio-emotional learning programs, and mentorship initiatives to strengthen student engagement and well-being.</w:t>
      </w:r>
    </w:p>
    <w:p w14:paraId="7423F6F5"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EF76BAB" w14:textId="08DA536A"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The study also identified a significant positive effect of academic engagement on academic performance, affirming that engaged students achieve better academic outcomes. This aligns with recent findings (Derakhshan &amp; Yin, 2024; Khan et al., 2023; Pan et al., 2023) indicating that engagement fosters persistence, curiosity, and satisfaction with learning. In Bangladesh’s predominantly examination-oriented education system, this emphasizes the central role of engagement in driving meaningful learning outcomes. When students connect emotionally and cognitively with coursework, study regularly, and engage deeply with materials, their academic performance improves. Hence, institutions should promote student-</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pedagogies</w:t>
      </w:r>
      <w:r w:rsidR="00733AF3" w:rsidRPr="00227927">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such as interactive classes, project-based lear</w:t>
      </w:r>
      <w:r w:rsidR="00733AF3" w:rsidRPr="00227927">
        <w:rPr>
          <w:rFonts w:ascii="Times New Roman" w:hAnsi="Times New Roman" w:cs="Times New Roman"/>
          <w:lang w:val="en-GB" w:eastAsia="en-GB" w:bidi="bn-BD"/>
        </w:rPr>
        <w:t xml:space="preserve">ning, and problem-solving tasks, </w:t>
      </w:r>
      <w:r w:rsidRPr="00227927">
        <w:rPr>
          <w:rFonts w:ascii="Times New Roman" w:hAnsi="Times New Roman" w:cs="Times New Roman"/>
          <w:lang w:val="en-GB" w:eastAsia="en-GB" w:bidi="bn-BD"/>
        </w:rPr>
        <w:t>to cultivate intrinsic motivation and sustained engagement.</w:t>
      </w:r>
    </w:p>
    <w:p w14:paraId="3ABEC84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4EA74D5" w14:textId="40A53DF0"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Furthermore, the results confirm the mediating role of academic engagement in the relationship between EI and AP. This indicates that emotional intelligence enhances academic success indirectly by increasing engagem</w:t>
      </w:r>
      <w:r w:rsidR="00FB5FCE">
        <w:rPr>
          <w:rFonts w:ascii="Times New Roman" w:hAnsi="Times New Roman" w:cs="Times New Roman"/>
          <w:lang w:val="en-GB" w:eastAsia="en-GB" w:bidi="bn-BD"/>
        </w:rPr>
        <w:t>ent levels (</w:t>
      </w:r>
      <w:r w:rsidR="00FB5FCE" w:rsidRPr="00227927">
        <w:rPr>
          <w:rFonts w:ascii="Times New Roman" w:hAnsi="Times New Roman" w:cs="Times New Roman"/>
          <w:lang w:val="en-GB" w:eastAsia="en-GB" w:bidi="bn-BD"/>
        </w:rPr>
        <w:t>Estrada et al., 2021</w:t>
      </w:r>
      <w:r w:rsidR="00FB5FCE">
        <w:rPr>
          <w:rFonts w:ascii="Times New Roman" w:hAnsi="Times New Roman" w:cs="Times New Roman"/>
          <w:lang w:val="en-GB" w:eastAsia="en-GB" w:bidi="bn-BD"/>
        </w:rPr>
        <w:t>; Rehman et al., 2021</w:t>
      </w:r>
      <w:r w:rsidR="00733AF3" w:rsidRPr="00227927">
        <w:rPr>
          <w:rFonts w:ascii="Times New Roman" w:hAnsi="Times New Roman" w:cs="Times New Roman"/>
          <w:lang w:val="en-GB" w:eastAsia="en-GB" w:bidi="bn-BD"/>
        </w:rPr>
        <w:t xml:space="preserve">). Students with higher EI, </w:t>
      </w:r>
      <w:r w:rsidRPr="00227927">
        <w:rPr>
          <w:rFonts w:ascii="Times New Roman" w:hAnsi="Times New Roman" w:cs="Times New Roman"/>
          <w:lang w:val="en-GB" w:eastAsia="en-GB" w:bidi="bn-BD"/>
        </w:rPr>
        <w:t>who are emotionally st</w:t>
      </w:r>
      <w:r w:rsidR="00733AF3" w:rsidRPr="00227927">
        <w:rPr>
          <w:rFonts w:ascii="Times New Roman" w:hAnsi="Times New Roman" w:cs="Times New Roman"/>
          <w:lang w:val="en-GB" w:eastAsia="en-GB" w:bidi="bn-BD"/>
        </w:rPr>
        <w:t xml:space="preserve">able, self-aware, and motivated, </w:t>
      </w:r>
      <w:r w:rsidRPr="00227927">
        <w:rPr>
          <w:rFonts w:ascii="Times New Roman" w:hAnsi="Times New Roman" w:cs="Times New Roman"/>
          <w:lang w:val="en-GB" w:eastAsia="en-GB" w:bidi="bn-BD"/>
        </w:rPr>
        <w:t>tend to engage more actively in academic pursuits, leading to better performance (Chen</w:t>
      </w:r>
      <w:r w:rsidR="00F90545">
        <w:rPr>
          <w:rFonts w:ascii="Times New Roman" w:hAnsi="Times New Roman" w:cs="Times New Roman"/>
          <w:lang w:val="en-GB" w:eastAsia="en-GB" w:bidi="bn-BD"/>
        </w:rPr>
        <w:t xml:space="preserve"> &amp; </w:t>
      </w:r>
      <w:r w:rsidR="00F90545" w:rsidRPr="00227927">
        <w:rPr>
          <w:rFonts w:ascii="Times New Roman" w:hAnsi="Times New Roman" w:cs="Times New Roman"/>
        </w:rPr>
        <w:t>Zhang</w:t>
      </w:r>
      <w:r w:rsidRPr="00227927">
        <w:rPr>
          <w:rFonts w:ascii="Times New Roman" w:hAnsi="Times New Roman" w:cs="Times New Roman"/>
          <w:lang w:val="en-GB" w:eastAsia="en-GB" w:bidi="bn-BD"/>
        </w:rPr>
        <w:t>, 2022; Shinwari et al., 2023; Thomas</w:t>
      </w:r>
      <w:r w:rsidR="00BB6F5E">
        <w:rPr>
          <w:rFonts w:ascii="Times New Roman" w:hAnsi="Times New Roman" w:cs="Times New Roman"/>
          <w:lang w:val="en-GB" w:eastAsia="en-GB" w:bidi="bn-BD"/>
        </w:rPr>
        <w:t xml:space="preserve"> </w:t>
      </w:r>
      <w:r w:rsidR="00BB6F5E">
        <w:rPr>
          <w:rFonts w:ascii="Times New Roman" w:hAnsi="Times New Roman" w:cs="Times New Roman"/>
        </w:rPr>
        <w:t>&amp; Allen</w:t>
      </w:r>
      <w:r w:rsidRPr="00227927">
        <w:rPr>
          <w:rFonts w:ascii="Times New Roman" w:hAnsi="Times New Roman" w:cs="Times New Roman"/>
          <w:lang w:val="en-GB" w:eastAsia="en-GB" w:bidi="bn-BD"/>
        </w:rPr>
        <w:t>, 2021). This mediation underscores that emotional regulation and motivation are pivotal for sustained academic achievement.</w:t>
      </w:r>
    </w:p>
    <w:p w14:paraId="7653712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6190F701" w14:textId="160BED6C"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the Bangladeshi higher education context, where students face high competition, limited </w:t>
      </w:r>
      <w:r w:rsidR="00F90545"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support, and strong performance pressure, emotionally intelligent learners are better equipped to adapt and stay engaged. The mediating effect found in this study highlights the importance of fostering both emotional intelligence and engagement skills in universities. Implementing structured emotional skills training, mindfulness programs, and mentoring systems could help students manage emotions, stay motivated, </w:t>
      </w:r>
      <w:r w:rsidR="00515E79">
        <w:rPr>
          <w:rFonts w:ascii="Times New Roman" w:hAnsi="Times New Roman" w:cs="Times New Roman"/>
          <w:lang w:val="en-GB" w:eastAsia="en-GB" w:bidi="bn-BD"/>
        </w:rPr>
        <w:t xml:space="preserve">and perform better academically, </w:t>
      </w:r>
      <w:r w:rsidRPr="00227927">
        <w:rPr>
          <w:rFonts w:ascii="Times New Roman" w:hAnsi="Times New Roman" w:cs="Times New Roman"/>
          <w:lang w:val="en-GB" w:eastAsia="en-GB" w:bidi="bn-BD"/>
        </w:rPr>
        <w:t>thereby bridging the gap between emotional well-being and cognitive achievement.</w:t>
      </w:r>
    </w:p>
    <w:p w14:paraId="31E69BC1" w14:textId="77777777" w:rsidR="00FE6A31" w:rsidRPr="00227927" w:rsidRDefault="00FE6A31" w:rsidP="00FE6A31">
      <w:pPr>
        <w:spacing w:after="0" w:line="360" w:lineRule="auto"/>
        <w:jc w:val="both"/>
        <w:rPr>
          <w:rFonts w:ascii="Times New Roman" w:hAnsi="Times New Roman" w:cs="Times New Roman"/>
        </w:rPr>
      </w:pPr>
    </w:p>
    <w:p w14:paraId="7D0FE0D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6. Practical Contributions</w:t>
      </w:r>
    </w:p>
    <w:p w14:paraId="6531656E" w14:textId="526F3F3C"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lastRenderedPageBreak/>
        <w:t xml:space="preserve">The findings of this study carry several important </w:t>
      </w:r>
      <w:r w:rsidRPr="00227927">
        <w:rPr>
          <w:rStyle w:val="Strong"/>
          <w:rFonts w:ascii="Times New Roman" w:hAnsi="Times New Roman" w:cs="Times New Roman"/>
          <w:b w:val="0"/>
          <w:bCs w:val="0"/>
        </w:rPr>
        <w:t>practical implications</w:t>
      </w:r>
      <w:r w:rsidRPr="00227927">
        <w:rPr>
          <w:rFonts w:ascii="Times New Roman" w:hAnsi="Times New Roman" w:cs="Times New Roman"/>
        </w:rPr>
        <w:t xml:space="preserve"> for educators, policymakers, and university administrators in Bangladesh. The significant </w:t>
      </w:r>
      <w:r w:rsidRPr="00227927">
        <w:rPr>
          <w:rStyle w:val="Strong"/>
          <w:rFonts w:ascii="Times New Roman" w:hAnsi="Times New Roman" w:cs="Times New Roman"/>
          <w:b w:val="0"/>
          <w:bCs w:val="0"/>
        </w:rPr>
        <w:t xml:space="preserve">mediating role of academic engagement </w:t>
      </w:r>
      <w:r w:rsidRPr="00227927">
        <w:rPr>
          <w:rFonts w:ascii="Times New Roman" w:hAnsi="Times New Roman" w:cs="Times New Roman"/>
        </w:rPr>
        <w:t xml:space="preserve">between </w:t>
      </w:r>
      <w:r w:rsidRPr="00227927">
        <w:rPr>
          <w:rStyle w:val="Strong"/>
          <w:rFonts w:ascii="Times New Roman" w:hAnsi="Times New Roman" w:cs="Times New Roman"/>
          <w:b w:val="0"/>
          <w:bCs w:val="0"/>
        </w:rPr>
        <w:t xml:space="preserve">emotional intelligence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 xml:space="preserve">academic performance </w:t>
      </w:r>
      <w:r w:rsidRPr="00227927">
        <w:rPr>
          <w:rFonts w:ascii="Times New Roman" w:hAnsi="Times New Roman" w:cs="Times New Roman"/>
        </w:rPr>
        <w:t xml:space="preserve">suggests that higher educational institutions should design interventions that simultaneously nurture emotional and academic competencies. In line with previous studies emphasizing the importance of emotional skills in learning environments (MacCann et al., 2020; </w:t>
      </w:r>
      <w:proofErr w:type="spellStart"/>
      <w:r w:rsidR="00EB2D6B" w:rsidRPr="00EB2D6B">
        <w:rPr>
          <w:rFonts w:ascii="Times New Roman" w:hAnsi="Times New Roman" w:cs="Times New Roman"/>
          <w:highlight w:val="yellow"/>
        </w:rPr>
        <w:t>Perera</w:t>
      </w:r>
      <w:proofErr w:type="spellEnd"/>
      <w:r w:rsidR="00EB2D6B" w:rsidRPr="00EB2D6B">
        <w:rPr>
          <w:rFonts w:ascii="Times New Roman" w:hAnsi="Times New Roman" w:cs="Times New Roman"/>
          <w:highlight w:val="yellow"/>
        </w:rPr>
        <w:t xml:space="preserve"> &amp; DiGiacomo, 2013;</w:t>
      </w:r>
      <w:r w:rsidR="00EB2D6B">
        <w:t xml:space="preserve"> </w:t>
      </w:r>
      <w:r w:rsidRPr="00227927">
        <w:rPr>
          <w:rFonts w:ascii="Times New Roman" w:hAnsi="Times New Roman" w:cs="Times New Roman"/>
        </w:rPr>
        <w:t xml:space="preserve">Thomas &amp; </w:t>
      </w:r>
      <w:r w:rsidR="00EB2D6B">
        <w:rPr>
          <w:rFonts w:ascii="Times New Roman" w:hAnsi="Times New Roman" w:cs="Times New Roman"/>
        </w:rPr>
        <w:t>Allen, 2021), universities can</w:t>
      </w:r>
      <w:r w:rsidRPr="00227927">
        <w:rPr>
          <w:rFonts w:ascii="Times New Roman" w:hAnsi="Times New Roman" w:cs="Times New Roman"/>
        </w:rPr>
        <w:t xml:space="preserve"> integrate </w:t>
      </w:r>
      <w:r w:rsidRPr="00227927">
        <w:rPr>
          <w:rStyle w:val="Strong"/>
          <w:rFonts w:ascii="Times New Roman" w:hAnsi="Times New Roman" w:cs="Times New Roman"/>
          <w:b w:val="0"/>
          <w:bCs w:val="0"/>
        </w:rPr>
        <w:t xml:space="preserve">emotional intelligence development </w:t>
      </w:r>
      <w:r w:rsidR="00F30CD6" w:rsidRPr="00227927">
        <w:rPr>
          <w:rStyle w:val="Strong"/>
          <w:rFonts w:ascii="Times New Roman" w:hAnsi="Times New Roman" w:cs="Times New Roman"/>
          <w:b w:val="0"/>
          <w:bCs w:val="0"/>
        </w:rPr>
        <w:t>programs</w:t>
      </w:r>
      <w:r w:rsidRPr="00227927">
        <w:rPr>
          <w:rFonts w:ascii="Times New Roman" w:hAnsi="Times New Roman" w:cs="Times New Roman"/>
        </w:rPr>
        <w:t xml:space="preserve">, including workshops on self-awareness, emotional regulation, empathy, motivation, and goal setting, into student orientation sessions, counseling units, or soft skills training modules. Such initiatives can enhance students’ </w:t>
      </w:r>
      <w:r w:rsidRPr="00227927">
        <w:rPr>
          <w:rStyle w:val="Strong"/>
          <w:rFonts w:ascii="Times New Roman" w:hAnsi="Times New Roman" w:cs="Times New Roman"/>
          <w:b w:val="0"/>
          <w:bCs w:val="0"/>
        </w:rPr>
        <w:t>motivation, resilience, and engagement</w:t>
      </w:r>
      <w:r w:rsidRPr="00227927">
        <w:rPr>
          <w:rFonts w:ascii="Times New Roman" w:hAnsi="Times New Roman" w:cs="Times New Roman"/>
        </w:rPr>
        <w:t>, thereby improving learning outcomes and overall academic satisfaction (Barragán Martín et al., 2021; Chen &amp; Zhang, 2022).</w:t>
      </w:r>
    </w:p>
    <w:p w14:paraId="4F146B72" w14:textId="77777777" w:rsidR="002C3CDC" w:rsidRPr="00227927" w:rsidRDefault="002C3CDC" w:rsidP="002C3CDC">
      <w:pPr>
        <w:pStyle w:val="NoSpacing"/>
        <w:spacing w:line="360" w:lineRule="auto"/>
        <w:jc w:val="both"/>
        <w:rPr>
          <w:rFonts w:ascii="Times New Roman" w:hAnsi="Times New Roman" w:cs="Times New Roman"/>
        </w:rPr>
      </w:pPr>
    </w:p>
    <w:p w14:paraId="330D182F" w14:textId="630E3850"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Moreover, </w:t>
      </w:r>
      <w:r w:rsidRPr="00227927">
        <w:rPr>
          <w:rStyle w:val="Strong"/>
          <w:rFonts w:ascii="Times New Roman" w:hAnsi="Times New Roman" w:cs="Times New Roman"/>
          <w:b w:val="0"/>
          <w:bCs w:val="0"/>
        </w:rPr>
        <w:t>teachers play a central role</w:t>
      </w:r>
      <w:r w:rsidRPr="00227927">
        <w:rPr>
          <w:rFonts w:ascii="Times New Roman" w:hAnsi="Times New Roman" w:cs="Times New Roman"/>
        </w:rPr>
        <w:t xml:space="preserve"> in fostering emotionally supportive and engaging classroom environments. Encouraging open communication, empathy, and collaborative learning can strengthen students’ emotional competencies while promoting active participation (Shinwari et al., 2023). Implementing </w:t>
      </w:r>
      <w:r w:rsidRPr="00227927">
        <w:rPr>
          <w:rStyle w:val="Strong"/>
          <w:rFonts w:ascii="Times New Roman" w:hAnsi="Times New Roman" w:cs="Times New Roman"/>
          <w:b w:val="0"/>
          <w:bCs w:val="0"/>
        </w:rPr>
        <w:t>interactive pedagogical methods</w:t>
      </w:r>
      <w:r w:rsidRPr="00227927">
        <w:rPr>
          <w:rFonts w:ascii="Times New Roman" w:hAnsi="Times New Roman" w:cs="Times New Roman"/>
        </w:rPr>
        <w:t xml:space="preserve">, such as group projects, reflective discussions, and peer feedback, can help students apply emotional awareness and regulation in academic contexts. Additionally, </w:t>
      </w:r>
      <w:r w:rsidRPr="00227927">
        <w:rPr>
          <w:rStyle w:val="Strong"/>
          <w:rFonts w:ascii="Times New Roman" w:hAnsi="Times New Roman" w:cs="Times New Roman"/>
          <w:b w:val="0"/>
          <w:bCs w:val="0"/>
        </w:rPr>
        <w:t xml:space="preserve">academic counselling and mentorship </w:t>
      </w:r>
      <w:r w:rsidR="00EA3AC8" w:rsidRPr="00227927">
        <w:rPr>
          <w:rStyle w:val="Strong"/>
          <w:rFonts w:ascii="Times New Roman" w:hAnsi="Times New Roman" w:cs="Times New Roman"/>
          <w:b w:val="0"/>
          <w:bCs w:val="0"/>
        </w:rPr>
        <w:t>programs</w:t>
      </w:r>
      <w:r w:rsidRPr="00227927">
        <w:rPr>
          <w:rFonts w:ascii="Times New Roman" w:hAnsi="Times New Roman" w:cs="Times New Roman"/>
        </w:rPr>
        <w:t xml:space="preserve"> should be tailored to address emotional and motivational challenges commonly faced by students in Bangladeshi universities (Rahman et al., 2021).</w:t>
      </w:r>
    </w:p>
    <w:p w14:paraId="23CDA8A7" w14:textId="77777777" w:rsidR="002C3CDC" w:rsidRPr="00227927" w:rsidRDefault="002C3CDC" w:rsidP="002C3CDC">
      <w:pPr>
        <w:pStyle w:val="NoSpacing"/>
        <w:spacing w:line="360" w:lineRule="auto"/>
        <w:jc w:val="both"/>
        <w:rPr>
          <w:rFonts w:ascii="Times New Roman" w:hAnsi="Times New Roman" w:cs="Times New Roman"/>
        </w:rPr>
      </w:pPr>
    </w:p>
    <w:p w14:paraId="18659A2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At the policy level, curriculum designers and educational planners should embed </w:t>
      </w:r>
      <w:r w:rsidRPr="00227927">
        <w:rPr>
          <w:rStyle w:val="Strong"/>
          <w:rFonts w:ascii="Times New Roman" w:hAnsi="Times New Roman" w:cs="Times New Roman"/>
          <w:b w:val="0"/>
          <w:bCs w:val="0"/>
        </w:rPr>
        <w:t>social and emotional learning (SEL)</w:t>
      </w:r>
      <w:r w:rsidRPr="00227927">
        <w:rPr>
          <w:rFonts w:ascii="Times New Roman" w:hAnsi="Times New Roman" w:cs="Times New Roman"/>
        </w:rPr>
        <w:t xml:space="preserve"> elements into higher education curricula, aligning with global movements toward holistic student development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By integrating emotional intelligence training and engagement-oriented pedagogies, Bangladeshi universities can not only enhance academic performance but also promote students’ psychological well-being, resilience, and readiness for professional environments (Derakhshan &amp; Yin, 2024).</w:t>
      </w:r>
    </w:p>
    <w:p w14:paraId="0CD73378" w14:textId="23CBC2BF" w:rsidR="002C3CDC" w:rsidRPr="00227927" w:rsidRDefault="002C3CDC" w:rsidP="002C3CDC">
      <w:pPr>
        <w:pStyle w:val="NoSpacing"/>
        <w:spacing w:line="360" w:lineRule="auto"/>
        <w:jc w:val="both"/>
        <w:rPr>
          <w:rFonts w:ascii="Times New Roman" w:hAnsi="Times New Roman" w:cs="Times New Roman"/>
        </w:rPr>
      </w:pPr>
    </w:p>
    <w:p w14:paraId="36DE34A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7. Theoretical Implications</w:t>
      </w:r>
    </w:p>
    <w:p w14:paraId="059684AC" w14:textId="111BEA99"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lastRenderedPageBreak/>
        <w:t xml:space="preserve">This study also makes several </w:t>
      </w:r>
      <w:r w:rsidRPr="00227927">
        <w:rPr>
          <w:rStyle w:val="Strong"/>
          <w:rFonts w:ascii="Times New Roman" w:hAnsi="Times New Roman" w:cs="Times New Roman"/>
          <w:b w:val="0"/>
          <w:bCs w:val="0"/>
        </w:rPr>
        <w:t>theoretical contributions</w:t>
      </w:r>
      <w:r w:rsidRPr="00227927">
        <w:rPr>
          <w:rFonts w:ascii="Times New Roman" w:hAnsi="Times New Roman" w:cs="Times New Roman"/>
        </w:rPr>
        <w:t xml:space="preserve"> to the growing literature on emotional intelligence, academic engagement, and academic performance, particularly in the context of </w:t>
      </w:r>
      <w:r w:rsidRPr="00227927">
        <w:rPr>
          <w:rStyle w:val="Strong"/>
          <w:rFonts w:ascii="Times New Roman" w:hAnsi="Times New Roman" w:cs="Times New Roman"/>
          <w:b w:val="0"/>
          <w:bCs w:val="0"/>
        </w:rPr>
        <w:t>developing countries</w:t>
      </w:r>
      <w:r w:rsidRPr="00227927">
        <w:rPr>
          <w:rFonts w:ascii="Times New Roman" w:hAnsi="Times New Roman" w:cs="Times New Roman"/>
        </w:rPr>
        <w:t xml:space="preserve">. Firstly, it provides </w:t>
      </w:r>
      <w:r w:rsidRPr="00227927">
        <w:rPr>
          <w:rStyle w:val="Strong"/>
          <w:rFonts w:ascii="Times New Roman" w:hAnsi="Times New Roman" w:cs="Times New Roman"/>
          <w:b w:val="0"/>
          <w:bCs w:val="0"/>
        </w:rPr>
        <w:t>empirical evidence from Bangladesh</w:t>
      </w:r>
      <w:r w:rsidRPr="00227927">
        <w:rPr>
          <w:rFonts w:ascii="Times New Roman" w:hAnsi="Times New Roman" w:cs="Times New Roman"/>
        </w:rPr>
        <w:t xml:space="preserve">, addressing a gap in the literature that is often dominated by Western contexts (MacCann et al., 2020;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By examining </w:t>
      </w:r>
      <w:r w:rsidRPr="00227927">
        <w:rPr>
          <w:rStyle w:val="Strong"/>
          <w:rFonts w:ascii="Times New Roman" w:hAnsi="Times New Roman" w:cs="Times New Roman"/>
          <w:b w:val="0"/>
          <w:bCs w:val="0"/>
        </w:rPr>
        <w:t>master’s-level students</w:t>
      </w:r>
      <w:r w:rsidRPr="00227927">
        <w:rPr>
          <w:rFonts w:ascii="Times New Roman" w:hAnsi="Times New Roman" w:cs="Times New Roman"/>
        </w:rPr>
        <w:t xml:space="preserve"> in a culturally diverse and exam-oriented educational environment, the study extends the theoretical generalizability of emotional intelligence models proposed by </w:t>
      </w:r>
      <w:r w:rsidRPr="00227927">
        <w:rPr>
          <w:rStyle w:val="Strong"/>
          <w:rFonts w:ascii="Times New Roman" w:hAnsi="Times New Roman" w:cs="Times New Roman"/>
          <w:b w:val="0"/>
          <w:bCs w:val="0"/>
        </w:rPr>
        <w:t>Salovey and Mayer (1990)</w:t>
      </w:r>
      <w:r w:rsidRPr="00227927">
        <w:rPr>
          <w:rFonts w:ascii="Times New Roman" w:hAnsi="Times New Roman" w:cs="Times New Roman"/>
        </w:rPr>
        <w:t xml:space="preserve"> and </w:t>
      </w:r>
      <w:r w:rsidRPr="00227927">
        <w:rPr>
          <w:rStyle w:val="Strong"/>
          <w:rFonts w:ascii="Times New Roman" w:hAnsi="Times New Roman" w:cs="Times New Roman"/>
          <w:b w:val="0"/>
          <w:bCs w:val="0"/>
        </w:rPr>
        <w:t>Goleman (1995)</w:t>
      </w:r>
      <w:r w:rsidRPr="00227927">
        <w:rPr>
          <w:rFonts w:ascii="Times New Roman" w:hAnsi="Times New Roman" w:cs="Times New Roman"/>
        </w:rPr>
        <w:t xml:space="preserve"> to non-Western settings.</w:t>
      </w:r>
    </w:p>
    <w:p w14:paraId="5AFAD614" w14:textId="77777777" w:rsidR="002C3CDC" w:rsidRPr="00227927" w:rsidRDefault="002C3CDC" w:rsidP="002C3CDC">
      <w:pPr>
        <w:pStyle w:val="NoSpacing"/>
        <w:spacing w:line="360" w:lineRule="auto"/>
        <w:jc w:val="both"/>
        <w:rPr>
          <w:rFonts w:ascii="Times New Roman" w:hAnsi="Times New Roman" w:cs="Times New Roman"/>
        </w:rPr>
      </w:pPr>
    </w:p>
    <w:p w14:paraId="7A6C6F15" w14:textId="58F16CDB"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Secondly, the study reinforces and extends theoretical understanding by empirically validating the </w:t>
      </w:r>
      <w:r w:rsidRPr="00227927">
        <w:rPr>
          <w:rStyle w:val="Strong"/>
          <w:rFonts w:ascii="Times New Roman" w:hAnsi="Times New Roman" w:cs="Times New Roman"/>
          <w:b w:val="0"/>
          <w:bCs w:val="0"/>
        </w:rPr>
        <w:t>mediating mechanism of academic engagement</w:t>
      </w:r>
      <w:r w:rsidRPr="00227927">
        <w:rPr>
          <w:rFonts w:ascii="Times New Roman" w:hAnsi="Times New Roman" w:cs="Times New Roman"/>
        </w:rPr>
        <w:t xml:space="preserve"> in explaining how emotional intelligence influences academic outcomes (Barragán Martín et al., 2021; Thomas &amp; Allen, 2021). This finding advances the academic discourse by illustrating that EI operates indirectly through engagement-related behaviors such as persistence, enthusiasm, and intrinsic motivation that are the key psychological pathways linking emotional competencies and academic success.</w:t>
      </w:r>
    </w:p>
    <w:p w14:paraId="63F39C0C" w14:textId="77777777" w:rsidR="002C3CDC" w:rsidRPr="00227927" w:rsidRDefault="002C3CDC" w:rsidP="002C3CDC">
      <w:pPr>
        <w:pStyle w:val="NoSpacing"/>
        <w:spacing w:line="360" w:lineRule="auto"/>
        <w:jc w:val="both"/>
        <w:rPr>
          <w:rFonts w:ascii="Times New Roman" w:hAnsi="Times New Roman" w:cs="Times New Roman"/>
        </w:rPr>
      </w:pPr>
    </w:p>
    <w:p w14:paraId="2CEE661A" w14:textId="5920E8B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Thirdly, by adapting and validating </w:t>
      </w:r>
      <w:r w:rsidRPr="00227927">
        <w:rPr>
          <w:rStyle w:val="Strong"/>
          <w:rFonts w:ascii="Times New Roman" w:hAnsi="Times New Roman" w:cs="Times New Roman"/>
          <w:b w:val="0"/>
          <w:bCs w:val="0"/>
        </w:rPr>
        <w:t>established scales</w:t>
      </w:r>
      <w:r w:rsidRPr="00227927">
        <w:rPr>
          <w:rFonts w:ascii="Times New Roman" w:hAnsi="Times New Roman" w:cs="Times New Roman"/>
        </w:rPr>
        <w:t xml:space="preserve"> such as</w:t>
      </w:r>
      <w:r w:rsidR="00EA3AC8">
        <w:rPr>
          <w:rFonts w:ascii="Times New Roman" w:hAnsi="Times New Roman" w:cs="Times New Roman"/>
        </w:rPr>
        <w:t xml:space="preserve"> </w:t>
      </w:r>
      <w:r w:rsidRPr="00227927">
        <w:rPr>
          <w:rFonts w:ascii="Times New Roman" w:hAnsi="Times New Roman" w:cs="Times New Roman"/>
        </w:rPr>
        <w:t xml:space="preserve">the </w:t>
      </w:r>
      <w:r w:rsidR="00EA3AC8" w:rsidRPr="00227927">
        <w:rPr>
          <w:rFonts w:ascii="Times New Roman" w:hAnsi="Times New Roman" w:cs="Times New Roman"/>
        </w:rPr>
        <w:t xml:space="preserve">Wong and Law Emotional Intelligence Scale </w:t>
      </w:r>
      <w:r w:rsidR="00EA3AC8">
        <w:rPr>
          <w:rFonts w:ascii="Times New Roman" w:hAnsi="Times New Roman" w:cs="Times New Roman"/>
        </w:rPr>
        <w:t>(Wong &amp;</w:t>
      </w:r>
      <w:r w:rsidR="00EA3AC8" w:rsidRPr="00227927">
        <w:rPr>
          <w:rFonts w:ascii="Times New Roman" w:hAnsi="Times New Roman" w:cs="Times New Roman"/>
        </w:rPr>
        <w:t xml:space="preserve"> Law</w:t>
      </w:r>
      <w:r w:rsidR="00EA3AC8">
        <w:rPr>
          <w:rFonts w:ascii="Times New Roman" w:hAnsi="Times New Roman" w:cs="Times New Roman"/>
        </w:rPr>
        <w:t>,</w:t>
      </w:r>
      <w:r w:rsidR="00EA3AC8" w:rsidRPr="00227927">
        <w:rPr>
          <w:rFonts w:ascii="Times New Roman" w:hAnsi="Times New Roman" w:cs="Times New Roman"/>
        </w:rPr>
        <w:t xml:space="preserve"> 2002</w:t>
      </w:r>
      <w:r w:rsidR="00EA3AC8">
        <w:rPr>
          <w:rFonts w:ascii="Times New Roman" w:hAnsi="Times New Roman" w:cs="Times New Roman"/>
        </w:rPr>
        <w:t xml:space="preserve">), </w:t>
      </w:r>
      <w:r w:rsidRPr="00227927">
        <w:rPr>
          <w:rFonts w:ascii="Times New Roman" w:hAnsi="Times New Roman" w:cs="Times New Roman"/>
        </w:rPr>
        <w:t xml:space="preserve">Student Course Engagement Questionnaire (Handelsman et al., 2005), and academic performance items from York et al. (2015), this research provides a </w:t>
      </w:r>
      <w:r w:rsidRPr="00227927">
        <w:rPr>
          <w:rStyle w:val="Strong"/>
          <w:rFonts w:ascii="Times New Roman" w:hAnsi="Times New Roman" w:cs="Times New Roman"/>
          <w:b w:val="0"/>
          <w:bCs w:val="0"/>
        </w:rPr>
        <w:t>contextually validated measurement framework</w:t>
      </w:r>
      <w:r w:rsidRPr="00227927">
        <w:rPr>
          <w:rFonts w:ascii="Times New Roman" w:hAnsi="Times New Roman" w:cs="Times New Roman"/>
        </w:rPr>
        <w:t xml:space="preserve"> for future studies in South Asian higher education.</w:t>
      </w:r>
    </w:p>
    <w:p w14:paraId="7703A83A" w14:textId="77777777" w:rsidR="002C3CDC" w:rsidRPr="00227927" w:rsidRDefault="002C3CDC" w:rsidP="002C3CDC">
      <w:pPr>
        <w:pStyle w:val="NoSpacing"/>
        <w:spacing w:line="360" w:lineRule="auto"/>
        <w:jc w:val="both"/>
        <w:rPr>
          <w:rFonts w:ascii="Times New Roman" w:hAnsi="Times New Roman" w:cs="Times New Roman"/>
        </w:rPr>
      </w:pPr>
    </w:p>
    <w:p w14:paraId="50CFB57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Finally, the findings contribute to the </w:t>
      </w:r>
      <w:r w:rsidRPr="00227927">
        <w:rPr>
          <w:rStyle w:val="Strong"/>
          <w:rFonts w:ascii="Times New Roman" w:hAnsi="Times New Roman" w:cs="Times New Roman"/>
          <w:b w:val="0"/>
          <w:bCs w:val="0"/>
        </w:rPr>
        <w:t>educational psychology and management literature</w:t>
      </w:r>
      <w:r w:rsidRPr="00227927">
        <w:rPr>
          <w:rFonts w:ascii="Times New Roman" w:hAnsi="Times New Roman" w:cs="Times New Roman"/>
        </w:rPr>
        <w:t xml:space="preserve"> by emphasizing that the development of emotional intelligence and engagement can serve as </w:t>
      </w:r>
      <w:r w:rsidRPr="00227927">
        <w:rPr>
          <w:rStyle w:val="Strong"/>
          <w:rFonts w:ascii="Times New Roman" w:hAnsi="Times New Roman" w:cs="Times New Roman"/>
          <w:b w:val="0"/>
          <w:bCs w:val="0"/>
        </w:rPr>
        <w:t>strategic levers</w:t>
      </w:r>
      <w:r w:rsidRPr="00227927">
        <w:rPr>
          <w:rFonts w:ascii="Times New Roman" w:hAnsi="Times New Roman" w:cs="Times New Roman"/>
        </w:rPr>
        <w:t xml:space="preserve"> for improving student performance, well-being, and institutional effectiveness (Kahu &amp; Nelson, 2018; Pan et al., 2023). The study thus offers a holistic understanding of the </w:t>
      </w:r>
      <w:r w:rsidRPr="00227927">
        <w:rPr>
          <w:rStyle w:val="Strong"/>
          <w:rFonts w:ascii="Times New Roman" w:hAnsi="Times New Roman" w:cs="Times New Roman"/>
          <w:b w:val="0"/>
          <w:bCs w:val="0"/>
        </w:rPr>
        <w:t>emotional-behavioral mechanisms</w:t>
      </w:r>
      <w:r w:rsidRPr="00227927">
        <w:rPr>
          <w:rFonts w:ascii="Times New Roman" w:hAnsi="Times New Roman" w:cs="Times New Roman"/>
        </w:rPr>
        <w:t xml:space="preserve"> underpinning academic success and provides a conceptual basis for future research integrating emotional and motivational constructs in higher education.</w:t>
      </w:r>
    </w:p>
    <w:p w14:paraId="037CDEEF" w14:textId="77777777" w:rsidR="002C3CDC" w:rsidRPr="00227927" w:rsidRDefault="002C3CDC" w:rsidP="00FE6A31">
      <w:pPr>
        <w:spacing w:after="0" w:line="360" w:lineRule="auto"/>
        <w:jc w:val="both"/>
        <w:rPr>
          <w:rFonts w:ascii="Times New Roman" w:hAnsi="Times New Roman" w:cs="Times New Roman"/>
        </w:rPr>
      </w:pPr>
    </w:p>
    <w:p w14:paraId="2DAE05AF" w14:textId="21FE447F" w:rsidR="0016469D" w:rsidRPr="00227927" w:rsidRDefault="00383384" w:rsidP="002C3CDC">
      <w:pPr>
        <w:spacing w:after="0" w:line="360" w:lineRule="auto"/>
        <w:jc w:val="both"/>
        <w:rPr>
          <w:rFonts w:ascii="Times New Roman" w:hAnsi="Times New Roman" w:cs="Times New Roman"/>
          <w:b/>
          <w:bCs/>
        </w:rPr>
      </w:pPr>
      <w:r w:rsidRPr="00227927">
        <w:rPr>
          <w:rFonts w:ascii="Times New Roman" w:hAnsi="Times New Roman" w:cs="Times New Roman"/>
          <w:b/>
          <w:bCs/>
        </w:rPr>
        <w:t>8</w:t>
      </w:r>
      <w:r w:rsidR="0016469D" w:rsidRPr="00227927">
        <w:rPr>
          <w:rFonts w:ascii="Times New Roman" w:hAnsi="Times New Roman" w:cs="Times New Roman"/>
          <w:b/>
          <w:bCs/>
        </w:rPr>
        <w:t>. Limitations of the Study</w:t>
      </w:r>
    </w:p>
    <w:p w14:paraId="523FF72E" w14:textId="77777777" w:rsidR="0016469D" w:rsidRPr="00227927" w:rsidRDefault="0016469D" w:rsidP="002C3CDC">
      <w:pPr>
        <w:spacing w:after="0" w:line="360" w:lineRule="auto"/>
        <w:jc w:val="both"/>
        <w:rPr>
          <w:rFonts w:ascii="Times New Roman" w:hAnsi="Times New Roman" w:cs="Times New Roman"/>
        </w:rPr>
      </w:pPr>
      <w:r w:rsidRPr="00227927">
        <w:rPr>
          <w:rFonts w:ascii="Times New Roman" w:hAnsi="Times New Roman" w:cs="Times New Roman"/>
        </w:rPr>
        <w:t xml:space="preserve">Despite offering valuable insights into the relationship between emotional intelligence, academic engagement, and academic performance among master's-level students, this study is subject to </w:t>
      </w:r>
      <w:r w:rsidRPr="00227927">
        <w:rPr>
          <w:rFonts w:ascii="Times New Roman" w:hAnsi="Times New Roman" w:cs="Times New Roman"/>
        </w:rPr>
        <w:lastRenderedPageBreak/>
        <w:t>several limitations. Firstly, the research employed a cross-sectional design, which restricts the ability to infer causal relationships between the study variables. Longitudinal research could better capture how emotional intelligence and engagement evolve over time and influence academic outcomes. Secondly, the study relied solely on self-reported measures, which may have introduced social desirability bias or subjective overestimation of emotional and academic abilities. Objective or multi-source data, such as academic transcripts or peer evaluations, could provide a more balanced assessment.</w:t>
      </w:r>
    </w:p>
    <w:p w14:paraId="07959CA9" w14:textId="77777777" w:rsidR="00FE6A31" w:rsidRPr="00227927" w:rsidRDefault="00FE6A31" w:rsidP="00FE6A31">
      <w:pPr>
        <w:spacing w:after="0" w:line="360" w:lineRule="auto"/>
        <w:jc w:val="both"/>
        <w:rPr>
          <w:rFonts w:ascii="Times New Roman" w:hAnsi="Times New Roman" w:cs="Times New Roman"/>
        </w:rPr>
      </w:pPr>
    </w:p>
    <w:p w14:paraId="7909E5E1" w14:textId="22F74337" w:rsidR="0016469D" w:rsidRDefault="0016469D" w:rsidP="00FE6A31">
      <w:pPr>
        <w:spacing w:after="0" w:line="360" w:lineRule="auto"/>
        <w:jc w:val="both"/>
        <w:rPr>
          <w:rFonts w:ascii="Times New Roman" w:hAnsi="Times New Roman" w:cs="Times New Roman"/>
        </w:rPr>
      </w:pPr>
      <w:r w:rsidRPr="00227927">
        <w:rPr>
          <w:rFonts w:ascii="Times New Roman" w:hAnsi="Times New Roman" w:cs="Times New Roman"/>
        </w:rPr>
        <w:t>Furthermore, the study was conducted as a pilot investigation within a single public university</w:t>
      </w:r>
      <w:r w:rsidR="00F44A5B" w:rsidRPr="00227927">
        <w:rPr>
          <w:rFonts w:ascii="Times New Roman" w:hAnsi="Times New Roman" w:cs="Times New Roman"/>
        </w:rPr>
        <w:t>,</w:t>
      </w:r>
      <w:r w:rsidRPr="00227927">
        <w:rPr>
          <w:rFonts w:ascii="Times New Roman" w:hAnsi="Times New Roman" w:cs="Times New Roman"/>
        </w:rPr>
        <w:t xml:space="preserve"> which limits the generalizability of the findings to other higher educational contexts in Bangladesh. Institutional differences in learning environments, teaching methods, and student demographics may yield different outcomes. Additionally, the sample size of 62 respondents, while adequate for pilot testing and PLS-SEM analysis, remains relatively small for drawing broader statistical inferences. Lastly, the study focused only on master's students from the Faculties of Business Studies and Science, excluding other academic disciplines that might display different emotional and engagement profiles. Future studies should address these limitations by employing more representative samples, incorporating longitudinal designs, and using mixed methods to enhance both the internal and external validity of findings.</w:t>
      </w:r>
    </w:p>
    <w:p w14:paraId="6FEF2C68" w14:textId="77777777" w:rsidR="00401CBE" w:rsidRPr="00227927" w:rsidRDefault="00401CBE" w:rsidP="00FE6A31">
      <w:pPr>
        <w:spacing w:after="0" w:line="360" w:lineRule="auto"/>
        <w:jc w:val="both"/>
        <w:rPr>
          <w:rFonts w:ascii="Times New Roman" w:hAnsi="Times New Roman" w:cs="Times New Roman"/>
        </w:rPr>
      </w:pPr>
    </w:p>
    <w:p w14:paraId="3CA58EBC" w14:textId="3AB26AF1" w:rsidR="0016469D" w:rsidRPr="00227927" w:rsidRDefault="00383384" w:rsidP="00FE6A31">
      <w:pPr>
        <w:spacing w:after="0" w:line="360" w:lineRule="auto"/>
        <w:jc w:val="both"/>
        <w:rPr>
          <w:rFonts w:ascii="Times New Roman" w:hAnsi="Times New Roman" w:cs="Times New Roman"/>
          <w:b/>
          <w:bCs/>
        </w:rPr>
      </w:pPr>
      <w:r w:rsidRPr="00227927">
        <w:rPr>
          <w:rFonts w:ascii="Times New Roman" w:hAnsi="Times New Roman" w:cs="Times New Roman"/>
          <w:b/>
          <w:bCs/>
        </w:rPr>
        <w:t>9</w:t>
      </w:r>
      <w:r w:rsidR="0016469D" w:rsidRPr="00227927">
        <w:rPr>
          <w:rFonts w:ascii="Times New Roman" w:hAnsi="Times New Roman" w:cs="Times New Roman"/>
          <w:b/>
          <w:bCs/>
        </w:rPr>
        <w:t>. Future Research Directions</w:t>
      </w:r>
    </w:p>
    <w:p w14:paraId="0BC4DEE7" w14:textId="77777777" w:rsidR="0016469D" w:rsidRPr="00227927" w:rsidRDefault="0016469D" w:rsidP="00FE6A31">
      <w:pPr>
        <w:pStyle w:val="NormalWeb"/>
        <w:spacing w:after="0" w:line="360" w:lineRule="auto"/>
        <w:jc w:val="both"/>
      </w:pPr>
      <w:r w:rsidRPr="00227927">
        <w:t xml:space="preserve">Building upon the findings and limitations of the current study, several promising directions for future research can be identified. Future studies could adopt a longitudinal research design to observe how emotional intelligence and academic engagement influence students' performance over time. Such an approach would provide stronger evidence for causal pathways and reveal developmental changes across academic years. Additionally, expanding the sample coverage across multiple public and private universities in Bangladesh would enhance the representativeness and </w:t>
      </w:r>
      <w:proofErr w:type="spellStart"/>
      <w:r w:rsidRPr="00227927">
        <w:t>generalisability</w:t>
      </w:r>
      <w:proofErr w:type="spellEnd"/>
      <w:r w:rsidRPr="00227927">
        <w:t xml:space="preserve"> of the findings, offering a more comprehensive understanding of the phenomenon in diverse educational contexts.</w:t>
      </w:r>
    </w:p>
    <w:p w14:paraId="73DFA934" w14:textId="77777777" w:rsidR="002C3CDC" w:rsidRPr="00227927" w:rsidRDefault="002C3CDC" w:rsidP="00FE6A31">
      <w:pPr>
        <w:pStyle w:val="NormalWeb"/>
        <w:spacing w:after="0" w:line="360" w:lineRule="auto"/>
        <w:jc w:val="both"/>
      </w:pPr>
    </w:p>
    <w:p w14:paraId="1AA808A1" w14:textId="77777777" w:rsidR="0016469D" w:rsidRPr="00227927" w:rsidRDefault="0016469D" w:rsidP="00FE6A31">
      <w:pPr>
        <w:pStyle w:val="NormalWeb"/>
        <w:spacing w:after="0" w:line="360" w:lineRule="auto"/>
        <w:jc w:val="both"/>
      </w:pPr>
      <w:r w:rsidRPr="00227927">
        <w:t xml:space="preserve">Further research could also explore </w:t>
      </w:r>
      <w:r w:rsidRPr="00227927">
        <w:rPr>
          <w:rStyle w:val="Strong"/>
          <w:b w:val="0"/>
          <w:bCs w:val="0"/>
        </w:rPr>
        <w:t>discipline-specific variations</w:t>
      </w:r>
      <w:r w:rsidRPr="00227927">
        <w:t xml:space="preserve">, as students from humanities, engineering, and social sciences might exhibit different emotional and engagement patterns that </w:t>
      </w:r>
      <w:r w:rsidRPr="00227927">
        <w:lastRenderedPageBreak/>
        <w:t xml:space="preserve">affect academic outcomes differently. Incorporating </w:t>
      </w:r>
      <w:r w:rsidRPr="00227927">
        <w:rPr>
          <w:rStyle w:val="Strong"/>
          <w:b w:val="0"/>
          <w:bCs w:val="0"/>
        </w:rPr>
        <w:t>qualitative methods</w:t>
      </w:r>
      <w:r w:rsidRPr="00227927">
        <w:t xml:space="preserve">, such as interviews or focus groups, could provide deeper insights into how students perceive and regulate emotions in academic settings. Moreover, future research might integrate </w:t>
      </w:r>
      <w:r w:rsidRPr="00227927">
        <w:rPr>
          <w:rStyle w:val="Strong"/>
          <w:b w:val="0"/>
          <w:bCs w:val="0"/>
        </w:rPr>
        <w:t>additional predicting variables, mediating and/or moderating variables</w:t>
      </w:r>
      <w:r w:rsidRPr="00227927">
        <w:rPr>
          <w:b/>
          <w:bCs/>
        </w:rPr>
        <w:t>,</w:t>
      </w:r>
      <w:r w:rsidRPr="00227927">
        <w:t xml:space="preserve"> such as learning environment, teaching quality, or institutional support, to uncover complex mechanisms underlying the EI–performance relationship.</w:t>
      </w:r>
    </w:p>
    <w:p w14:paraId="11D7E33C" w14:textId="77777777" w:rsidR="00FE6A31" w:rsidRPr="00227927" w:rsidRDefault="00FE6A31" w:rsidP="00FE6A31">
      <w:pPr>
        <w:pStyle w:val="NormalWeb"/>
        <w:spacing w:after="0" w:line="360" w:lineRule="auto"/>
        <w:jc w:val="both"/>
      </w:pPr>
    </w:p>
    <w:p w14:paraId="65F97F06" w14:textId="0AF5EE3C" w:rsidR="0016469D" w:rsidRDefault="0016469D" w:rsidP="00FE6A31">
      <w:pPr>
        <w:pStyle w:val="NormalWeb"/>
        <w:spacing w:after="0" w:line="360" w:lineRule="auto"/>
        <w:jc w:val="both"/>
      </w:pPr>
      <w:r w:rsidRPr="00227927">
        <w:t>Researchers may also consider developing and testing intervention-based studies that train emotional intelligence and engagement skills to determine their practical impact on students' academic success. Lastly, cross-cultural comparative studies between Bangladeshi students and those from other South Asian countries could shed light on the influence of socio-cultural factors on emotional intelligence, engagement, and performance, thus enriching the regional academic discourse.</w:t>
      </w:r>
    </w:p>
    <w:p w14:paraId="17C1312A" w14:textId="6987E907" w:rsidR="00101884" w:rsidRDefault="00101884" w:rsidP="00FE6A31">
      <w:pPr>
        <w:pStyle w:val="NormalWeb"/>
        <w:spacing w:after="0" w:line="360" w:lineRule="auto"/>
        <w:jc w:val="both"/>
      </w:pPr>
    </w:p>
    <w:p w14:paraId="26A4DDDB" w14:textId="5B50BBDC" w:rsidR="00200399" w:rsidRPr="00FA626E" w:rsidRDefault="00FA626E" w:rsidP="00FE6A31">
      <w:pPr>
        <w:pStyle w:val="NormalWeb"/>
        <w:spacing w:after="0" w:line="360" w:lineRule="auto"/>
        <w:jc w:val="both"/>
        <w:rPr>
          <w:b/>
          <w:bCs/>
          <w:highlight w:val="yellow"/>
        </w:rPr>
      </w:pPr>
      <w:r>
        <w:rPr>
          <w:b/>
          <w:bCs/>
          <w:highlight w:val="yellow"/>
        </w:rPr>
        <w:t>Ethical</w:t>
      </w:r>
      <w:r w:rsidR="00EE660D" w:rsidRPr="00FA626E">
        <w:rPr>
          <w:b/>
          <w:bCs/>
          <w:highlight w:val="yellow"/>
        </w:rPr>
        <w:t xml:space="preserve"> Statement </w:t>
      </w:r>
    </w:p>
    <w:p w14:paraId="64CF74CC" w14:textId="7B6E5E04" w:rsidR="00EE660D" w:rsidRDefault="00FC0919" w:rsidP="00200399">
      <w:pPr>
        <w:pStyle w:val="NormalWeb"/>
        <w:spacing w:after="0" w:line="240" w:lineRule="auto"/>
        <w:jc w:val="both"/>
      </w:pPr>
      <w:r w:rsidRPr="00200399">
        <w:rPr>
          <w:highlight w:val="yellow"/>
        </w:rPr>
        <w:t>T</w:t>
      </w:r>
      <w:r w:rsidR="00EE660D" w:rsidRPr="00200399">
        <w:rPr>
          <w:highlight w:val="yellow"/>
        </w:rPr>
        <w:t>his</w:t>
      </w:r>
      <w:r>
        <w:rPr>
          <w:highlight w:val="yellow"/>
        </w:rPr>
        <w:t xml:space="preserve"> </w:t>
      </w:r>
      <w:r w:rsidR="00EE660D" w:rsidRPr="00200399">
        <w:rPr>
          <w:highlight w:val="yellow"/>
        </w:rPr>
        <w:t>paper is a</w:t>
      </w:r>
      <w:r w:rsidR="00200399" w:rsidRPr="00200399">
        <w:rPr>
          <w:highlight w:val="yellow"/>
        </w:rPr>
        <w:t xml:space="preserve"> part of </w:t>
      </w:r>
      <w:r w:rsidR="00200399">
        <w:rPr>
          <w:highlight w:val="yellow"/>
        </w:rPr>
        <w:t xml:space="preserve">the </w:t>
      </w:r>
      <w:r w:rsidR="00200399" w:rsidRPr="00200399">
        <w:rPr>
          <w:highlight w:val="yellow"/>
        </w:rPr>
        <w:t xml:space="preserve">researchers’ main project, which was approved by the Research Cell Division of the </w:t>
      </w:r>
      <w:r w:rsidR="00200399" w:rsidRPr="00FC0919">
        <w:rPr>
          <w:highlight w:val="yellow"/>
        </w:rPr>
        <w:t>concerned university</w:t>
      </w:r>
      <w:r w:rsidR="00B601FF">
        <w:rPr>
          <w:highlight w:val="yellow"/>
        </w:rPr>
        <w:t xml:space="preserve"> </w:t>
      </w:r>
      <w:r w:rsidR="00B601FF" w:rsidRPr="00B601FF">
        <w:rPr>
          <w:highlight w:val="yellow"/>
        </w:rPr>
        <w:t>(MBSTU)</w:t>
      </w:r>
      <w:r w:rsidR="00200399" w:rsidRPr="00B601FF">
        <w:rPr>
          <w:highlight w:val="yellow"/>
        </w:rPr>
        <w:t xml:space="preserve">. </w:t>
      </w:r>
      <w:r w:rsidR="00200399" w:rsidRPr="00FC0919">
        <w:rPr>
          <w:highlight w:val="yellow"/>
        </w:rPr>
        <w:t xml:space="preserve">Therefore, the authors cannot submit such an ethical approval separately for </w:t>
      </w:r>
      <w:r w:rsidRPr="00FC0919">
        <w:rPr>
          <w:highlight w:val="yellow"/>
        </w:rPr>
        <w:t>this article. Besides</w:t>
      </w:r>
      <w:r w:rsidRPr="00200399">
        <w:rPr>
          <w:highlight w:val="yellow"/>
        </w:rPr>
        <w:t>,</w:t>
      </w:r>
      <w:r>
        <w:rPr>
          <w:highlight w:val="yellow"/>
        </w:rPr>
        <w:t xml:space="preserve"> t</w:t>
      </w:r>
      <w:r w:rsidRPr="00200399">
        <w:rPr>
          <w:highlight w:val="yellow"/>
        </w:rPr>
        <w:t>he</w:t>
      </w:r>
      <w:r>
        <w:rPr>
          <w:highlight w:val="yellow"/>
        </w:rPr>
        <w:t xml:space="preserve"> </w:t>
      </w:r>
      <w:r w:rsidRPr="00200399">
        <w:rPr>
          <w:highlight w:val="yellow"/>
        </w:rPr>
        <w:t xml:space="preserve">researchers obtained informed consent from the survey participants. </w:t>
      </w:r>
    </w:p>
    <w:p w14:paraId="37E9C9CD" w14:textId="77777777" w:rsidR="00EE660D" w:rsidRDefault="00EE660D" w:rsidP="00FE6A31">
      <w:pPr>
        <w:pStyle w:val="NormalWeb"/>
        <w:spacing w:after="0" w:line="360" w:lineRule="auto"/>
        <w:jc w:val="both"/>
      </w:pPr>
    </w:p>
    <w:p w14:paraId="0DAD0ABC" w14:textId="77777777" w:rsidR="00101884" w:rsidRPr="00FA626E" w:rsidRDefault="00101884" w:rsidP="00E86515">
      <w:pPr>
        <w:jc w:val="both"/>
        <w:rPr>
          <w:rFonts w:ascii="Times New Roman" w:eastAsia="Calibri" w:hAnsi="Times New Roman" w:cs="Times New Roman"/>
          <w:b/>
          <w:bCs/>
          <w:highlight w:val="yellow"/>
        </w:rPr>
      </w:pPr>
      <w:bookmarkStart w:id="1" w:name="_Hlk197682619"/>
      <w:bookmarkStart w:id="2" w:name="_Hlk180402183"/>
      <w:bookmarkStart w:id="3" w:name="_Hlk183680988"/>
      <w:bookmarkStart w:id="4" w:name="_Hlk197351200"/>
      <w:r w:rsidRPr="00FA626E">
        <w:rPr>
          <w:rFonts w:ascii="Times New Roman" w:eastAsia="Calibri" w:hAnsi="Times New Roman" w:cs="Times New Roman"/>
          <w:b/>
          <w:bCs/>
          <w:highlight w:val="yellow"/>
        </w:rPr>
        <w:t>Disclaimer (Artificial intelligence)</w:t>
      </w:r>
    </w:p>
    <w:p w14:paraId="74FC29FF" w14:textId="10BE9ABD" w:rsidR="00101884" w:rsidRDefault="00B641B8" w:rsidP="00200399">
      <w:pPr>
        <w:spacing w:after="0" w:line="240" w:lineRule="auto"/>
        <w:jc w:val="both"/>
        <w:rPr>
          <w:rFonts w:ascii="Times New Roman" w:eastAsia="Calibri" w:hAnsi="Times New Roman" w:cs="Times New Roman"/>
          <w:highlight w:val="yellow"/>
        </w:rPr>
      </w:pPr>
      <w:r>
        <w:rPr>
          <w:rFonts w:ascii="Times New Roman" w:eastAsia="Calibri" w:hAnsi="Times New Roman" w:cs="Times New Roman"/>
          <w:highlight w:val="yellow"/>
        </w:rPr>
        <w:t>The a</w:t>
      </w:r>
      <w:r w:rsidR="00101884" w:rsidRPr="00E86515">
        <w:rPr>
          <w:rFonts w:ascii="Times New Roman" w:eastAsia="Calibri" w:hAnsi="Times New Roman" w:cs="Times New Roman"/>
          <w:highlight w:val="yellow"/>
        </w:rPr>
        <w:t>uthors hereby declare that generative AI technolog</w:t>
      </w:r>
      <w:r>
        <w:rPr>
          <w:rFonts w:ascii="Times New Roman" w:eastAsia="Calibri" w:hAnsi="Times New Roman" w:cs="Times New Roman"/>
          <w:highlight w:val="yellow"/>
        </w:rPr>
        <w:t>y was used during the writing and editing of this manuscript.</w:t>
      </w:r>
    </w:p>
    <w:p w14:paraId="1A617F62" w14:textId="77777777" w:rsidR="00200399" w:rsidRPr="00E86515" w:rsidRDefault="00200399" w:rsidP="00200399">
      <w:pPr>
        <w:spacing w:after="0" w:line="240" w:lineRule="auto"/>
        <w:jc w:val="both"/>
        <w:rPr>
          <w:rFonts w:ascii="Times New Roman" w:eastAsia="Calibri" w:hAnsi="Times New Roman" w:cs="Times New Roman"/>
          <w:highlight w:val="yellow"/>
        </w:rPr>
      </w:pPr>
    </w:p>
    <w:p w14:paraId="08E41322" w14:textId="77777777" w:rsidR="00101884" w:rsidRPr="00E86515" w:rsidRDefault="00101884" w:rsidP="00E86515">
      <w:pPr>
        <w:jc w:val="both"/>
        <w:rPr>
          <w:rFonts w:ascii="Times New Roman" w:eastAsia="Calibri" w:hAnsi="Times New Roman" w:cs="Times New Roman"/>
          <w:highlight w:val="yellow"/>
        </w:rPr>
      </w:pPr>
      <w:r w:rsidRPr="00E86515">
        <w:rPr>
          <w:rFonts w:ascii="Times New Roman" w:eastAsia="Calibri" w:hAnsi="Times New Roman" w:cs="Times New Roman"/>
          <w:highlight w:val="yellow"/>
        </w:rPr>
        <w:t>Details of the AI usage are given below:</w:t>
      </w:r>
    </w:p>
    <w:p w14:paraId="19E0B2E8" w14:textId="5FE4B732" w:rsidR="00362045" w:rsidRPr="00E86515" w:rsidRDefault="00362045" w:rsidP="00E86515">
      <w:pPr>
        <w:spacing w:after="0" w:line="240" w:lineRule="auto"/>
        <w:jc w:val="both"/>
        <w:rPr>
          <w:rFonts w:ascii="Times New Roman" w:eastAsia="Calibri" w:hAnsi="Times New Roman" w:cs="Times New Roman"/>
          <w:highlight w:val="yellow"/>
        </w:rPr>
      </w:pPr>
      <w:r w:rsidRPr="00E86515">
        <w:rPr>
          <w:rFonts w:ascii="Times New Roman" w:eastAsia="Calibri" w:hAnsi="Times New Roman" w:cs="Times New Roman"/>
          <w:highlight w:val="yellow"/>
        </w:rPr>
        <w:t xml:space="preserve">Name of AI Tool: ChatGPT </w:t>
      </w:r>
    </w:p>
    <w:p w14:paraId="1E6C45DD" w14:textId="2A4D61C9" w:rsidR="00101884" w:rsidRPr="00E86515" w:rsidRDefault="00362045" w:rsidP="00E86515">
      <w:pPr>
        <w:spacing w:after="0" w:line="240" w:lineRule="auto"/>
        <w:jc w:val="both"/>
        <w:rPr>
          <w:rFonts w:ascii="Times New Roman" w:eastAsia="Calibri" w:hAnsi="Times New Roman" w:cs="Times New Roman"/>
          <w:highlight w:val="yellow"/>
        </w:rPr>
      </w:pPr>
      <w:r w:rsidRPr="00E86515">
        <w:rPr>
          <w:rFonts w:ascii="Times New Roman" w:eastAsia="Calibri" w:hAnsi="Times New Roman" w:cs="Times New Roman"/>
          <w:highlight w:val="yellow"/>
        </w:rPr>
        <w:t>Version/Model: GPT-5.1 (OpenAI)</w:t>
      </w:r>
    </w:p>
    <w:p w14:paraId="3AC0EDB3" w14:textId="07842240" w:rsidR="00101884" w:rsidRPr="00E86515" w:rsidRDefault="00362045" w:rsidP="00E86515">
      <w:pPr>
        <w:spacing w:after="0" w:line="240" w:lineRule="auto"/>
        <w:jc w:val="both"/>
        <w:rPr>
          <w:rFonts w:ascii="Times New Roman" w:eastAsia="Calibri" w:hAnsi="Times New Roman" w:cs="Times New Roman"/>
        </w:rPr>
      </w:pPr>
      <w:bookmarkStart w:id="5" w:name="_Hlk187485061"/>
      <w:bookmarkEnd w:id="1"/>
      <w:bookmarkEnd w:id="2"/>
      <w:bookmarkEnd w:id="3"/>
      <w:r w:rsidRPr="00E86515">
        <w:rPr>
          <w:rFonts w:ascii="Times New Roman" w:eastAsia="Calibri" w:hAnsi="Times New Roman" w:cs="Times New Roman"/>
          <w:highlight w:val="yellow"/>
        </w:rPr>
        <w:t>Source: https://chat.openai.com</w:t>
      </w:r>
    </w:p>
    <w:bookmarkEnd w:id="4"/>
    <w:bookmarkEnd w:id="5"/>
    <w:p w14:paraId="1E03AA68" w14:textId="77777777" w:rsidR="00101884" w:rsidRPr="00E86515" w:rsidRDefault="00101884" w:rsidP="00E86515">
      <w:pPr>
        <w:pStyle w:val="NormalWeb"/>
        <w:spacing w:after="0" w:line="360" w:lineRule="auto"/>
        <w:jc w:val="both"/>
      </w:pPr>
    </w:p>
    <w:p w14:paraId="35296E0C" w14:textId="77777777" w:rsidR="00E86515" w:rsidRPr="00E86515" w:rsidRDefault="00E86515" w:rsidP="00E86515">
      <w:pPr>
        <w:pStyle w:val="NormalWeb"/>
        <w:tabs>
          <w:tab w:val="left" w:pos="270"/>
        </w:tabs>
        <w:spacing w:after="0" w:line="240" w:lineRule="auto"/>
        <w:ind w:left="270" w:hanging="270"/>
        <w:jc w:val="both"/>
        <w:rPr>
          <w:highlight w:val="yellow"/>
        </w:rPr>
      </w:pPr>
      <w:r w:rsidRPr="00E86515">
        <w:rPr>
          <w:highlight w:val="yellow"/>
        </w:rPr>
        <w:t xml:space="preserve">1. The AI tool was employed to assist in enhancing the clarity, grammar, and academic tone of the manuscript. </w:t>
      </w:r>
    </w:p>
    <w:p w14:paraId="002754F5" w14:textId="77777777" w:rsidR="00E86515" w:rsidRPr="00E86515" w:rsidRDefault="00E86515" w:rsidP="00E86515">
      <w:pPr>
        <w:pStyle w:val="NormalWeb"/>
        <w:tabs>
          <w:tab w:val="left" w:pos="270"/>
        </w:tabs>
        <w:spacing w:after="0" w:line="240" w:lineRule="auto"/>
        <w:ind w:left="270" w:hanging="270"/>
        <w:jc w:val="both"/>
        <w:rPr>
          <w:highlight w:val="yellow"/>
        </w:rPr>
      </w:pPr>
      <w:r w:rsidRPr="00E86515">
        <w:rPr>
          <w:highlight w:val="yellow"/>
        </w:rPr>
        <w:t xml:space="preserve">2. It was used to refine sentence structure and improve coherence without altering the original ideas or research findings. </w:t>
      </w:r>
    </w:p>
    <w:p w14:paraId="4BE1764A" w14:textId="116F9156" w:rsidR="00362045" w:rsidRPr="00E86515" w:rsidRDefault="00E86515" w:rsidP="00E86515">
      <w:pPr>
        <w:pStyle w:val="NormalWeb"/>
        <w:tabs>
          <w:tab w:val="left" w:pos="270"/>
        </w:tabs>
        <w:spacing w:after="0" w:line="240" w:lineRule="auto"/>
        <w:ind w:left="270" w:hanging="270"/>
        <w:jc w:val="both"/>
      </w:pPr>
      <w:r w:rsidRPr="00E86515">
        <w:rPr>
          <w:highlight w:val="yellow"/>
        </w:rPr>
        <w:t>3. The tool also provided guidance on formatting and citation consistency in accordance with the journal’s standards.</w:t>
      </w:r>
    </w:p>
    <w:p w14:paraId="413A2F1F" w14:textId="77777777" w:rsidR="008E5525" w:rsidRPr="00227927" w:rsidRDefault="008E5525" w:rsidP="005B6D68">
      <w:pPr>
        <w:spacing w:after="0" w:line="360" w:lineRule="auto"/>
        <w:jc w:val="both"/>
        <w:rPr>
          <w:rFonts w:ascii="Times New Roman" w:hAnsi="Times New Roman" w:cs="Times New Roman"/>
        </w:rPr>
      </w:pPr>
    </w:p>
    <w:p w14:paraId="31FE5AC5" w14:textId="4DC34085" w:rsidR="00DC71FB" w:rsidRPr="00DC71FB" w:rsidRDefault="0016469D" w:rsidP="00DC71FB">
      <w:pPr>
        <w:spacing w:after="0" w:line="240" w:lineRule="auto"/>
        <w:jc w:val="both"/>
        <w:rPr>
          <w:rFonts w:ascii="Times New Roman" w:hAnsi="Times New Roman" w:cs="Times New Roman"/>
          <w:b/>
          <w:bCs/>
        </w:rPr>
      </w:pPr>
      <w:r w:rsidRPr="00227927">
        <w:rPr>
          <w:rFonts w:ascii="Times New Roman" w:hAnsi="Times New Roman" w:cs="Times New Roman"/>
          <w:b/>
          <w:bCs/>
        </w:rPr>
        <w:lastRenderedPageBreak/>
        <w:t>References</w:t>
      </w:r>
    </w:p>
    <w:p w14:paraId="05ED0964" w14:textId="77777777" w:rsidR="00DC71FB" w:rsidRPr="00227927" w:rsidRDefault="00DC71FB" w:rsidP="00DC71FB">
      <w:pPr>
        <w:spacing w:after="0" w:line="240" w:lineRule="auto"/>
        <w:ind w:left="709" w:hanging="720"/>
        <w:jc w:val="both"/>
        <w:rPr>
          <w:rFonts w:ascii="Times New Roman" w:hAnsi="Times New Roman" w:cs="Times New Roman"/>
        </w:rPr>
      </w:pPr>
    </w:p>
    <w:p w14:paraId="6FFABD3A" w14:textId="77777777" w:rsidR="00DC71FB" w:rsidRPr="00227927" w:rsidRDefault="00DC71FB" w:rsidP="00DC71FB">
      <w:pPr>
        <w:spacing w:after="0" w:line="240" w:lineRule="auto"/>
        <w:ind w:left="720" w:hanging="720"/>
        <w:jc w:val="both"/>
        <w:rPr>
          <w:rFonts w:ascii="Times New Roman" w:hAnsi="Times New Roman" w:cs="Times New Roman"/>
        </w:rPr>
      </w:pPr>
      <w:r w:rsidRPr="00227927">
        <w:rPr>
          <w:rFonts w:ascii="Times New Roman" w:hAnsi="Times New Roman" w:cs="Times New Roman"/>
        </w:rPr>
        <w:t xml:space="preserve">Ahmed, S., &amp; McGillivray, M. (2019). Higher education enrolment in Bangladesh: does the wage premium matter? </w:t>
      </w:r>
      <w:r w:rsidRPr="00227927">
        <w:rPr>
          <w:rFonts w:ascii="Times New Roman" w:hAnsi="Times New Roman" w:cs="Times New Roman"/>
          <w:i/>
          <w:iCs/>
        </w:rPr>
        <w:t>Applied Economics</w:t>
      </w:r>
      <w:r w:rsidRPr="00227927">
        <w:rPr>
          <w:rFonts w:ascii="Times New Roman" w:hAnsi="Times New Roman" w:cs="Times New Roman"/>
        </w:rPr>
        <w:t>, </w:t>
      </w:r>
      <w:r w:rsidRPr="00227927">
        <w:rPr>
          <w:rFonts w:ascii="Times New Roman" w:hAnsi="Times New Roman" w:cs="Times New Roman"/>
          <w:i/>
          <w:iCs/>
        </w:rPr>
        <w:t>51</w:t>
      </w:r>
      <w:r w:rsidRPr="00227927">
        <w:rPr>
          <w:rFonts w:ascii="Times New Roman" w:hAnsi="Times New Roman" w:cs="Times New Roman"/>
        </w:rPr>
        <w:t>(60), 6497-6516.</w:t>
      </w:r>
      <w:r>
        <w:rPr>
          <w:rFonts w:ascii="Times New Roman" w:hAnsi="Times New Roman" w:cs="Times New Roman"/>
        </w:rPr>
        <w:t xml:space="preserve"> </w:t>
      </w:r>
      <w:hyperlink r:id="rId11" w:history="1">
        <w:r w:rsidRPr="00D6511E">
          <w:rPr>
            <w:rStyle w:val="Hyperlink"/>
            <w:rFonts w:ascii="Times New Roman" w:hAnsi="Times New Roman" w:cs="Times New Roman"/>
            <w:highlight w:val="yellow"/>
          </w:rPr>
          <w:t>https://doi.org/10.1080/00036846.2019.1624917</w:t>
        </w:r>
      </w:hyperlink>
    </w:p>
    <w:p w14:paraId="013A4D17"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Appleton, J. J., Christenson, S. L., &amp; Furlong, M. J. (2008). Student engagement with school: Critical conceptual and methodological issues of the construct. </w:t>
      </w:r>
      <w:r w:rsidRPr="00227927">
        <w:rPr>
          <w:rFonts w:ascii="Times New Roman" w:hAnsi="Times New Roman" w:cs="Times New Roman"/>
          <w:i/>
          <w:iCs/>
        </w:rPr>
        <w:t>Psychology in the Schools</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(5), 369-386.</w:t>
      </w:r>
      <w:r>
        <w:rPr>
          <w:rFonts w:ascii="Times New Roman" w:hAnsi="Times New Roman" w:cs="Times New Roman"/>
        </w:rPr>
        <w:t xml:space="preserve"> </w:t>
      </w:r>
      <w:hyperlink r:id="rId12" w:history="1">
        <w:r w:rsidRPr="00D6511E">
          <w:rPr>
            <w:rStyle w:val="Hyperlink"/>
            <w:rFonts w:ascii="Times New Roman" w:hAnsi="Times New Roman" w:cs="Times New Roman"/>
            <w:highlight w:val="yellow"/>
          </w:rPr>
          <w:t>https://doi.org/10.1002/pits.20303</w:t>
        </w:r>
      </w:hyperlink>
    </w:p>
    <w:p w14:paraId="34AC17F0"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Barragan Martin, A. B., Pérez-Fuentes, M. D. C., Molero Jurado, M. D. M., Martos Martinez, A., Simon Marquez, M. D. M., Sisto, M., &amp; </w:t>
      </w:r>
      <w:proofErr w:type="spellStart"/>
      <w:r w:rsidRPr="00227927">
        <w:rPr>
          <w:rFonts w:ascii="Times New Roman" w:hAnsi="Times New Roman" w:cs="Times New Roman"/>
        </w:rPr>
        <w:t>Gazquez</w:t>
      </w:r>
      <w:proofErr w:type="spellEnd"/>
      <w:r w:rsidRPr="00227927">
        <w:rPr>
          <w:rFonts w:ascii="Times New Roman" w:hAnsi="Times New Roman" w:cs="Times New Roman"/>
        </w:rPr>
        <w:t xml:space="preserve"> Linares, J. J. (2021</w:t>
      </w:r>
      <w:bookmarkStart w:id="6" w:name="_Hlk214729155"/>
      <w:r w:rsidRPr="00227927">
        <w:rPr>
          <w:rFonts w:ascii="Times New Roman" w:hAnsi="Times New Roman" w:cs="Times New Roman"/>
        </w:rPr>
        <w:t>). Emotional intelligence and academic engagement in adolescents: The mediating role of self-esteem. </w:t>
      </w:r>
      <w:bookmarkEnd w:id="6"/>
      <w:r w:rsidRPr="00227927">
        <w:rPr>
          <w:rFonts w:ascii="Times New Roman" w:hAnsi="Times New Roman" w:cs="Times New Roman"/>
          <w:i/>
          <w:iCs/>
        </w:rPr>
        <w:t>Psychology research and behavior management</w:t>
      </w:r>
      <w:r w:rsidRPr="00227927">
        <w:rPr>
          <w:rFonts w:ascii="Times New Roman" w:hAnsi="Times New Roman" w:cs="Times New Roman"/>
        </w:rPr>
        <w:t>, 307-316.</w:t>
      </w:r>
      <w:r>
        <w:rPr>
          <w:rFonts w:ascii="Times New Roman" w:hAnsi="Times New Roman" w:cs="Times New Roman"/>
        </w:rPr>
        <w:t xml:space="preserve"> </w:t>
      </w:r>
      <w:hyperlink r:id="rId13" w:history="1">
        <w:r w:rsidRPr="00D6511E">
          <w:rPr>
            <w:rStyle w:val="Hyperlink"/>
            <w:rFonts w:ascii="Times New Roman" w:hAnsi="Times New Roman" w:cs="Times New Roman"/>
            <w:highlight w:val="yellow"/>
          </w:rPr>
          <w:t>https://doi.org/10.2147/PRBM.S302697</w:t>
        </w:r>
      </w:hyperlink>
    </w:p>
    <w:p w14:paraId="491F2EF3" w14:textId="4DC7CF0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bdnews24.com. (2022, October 8). Over 75% of university students in Bangladesh struggle with mental health issues due to academic pressure: study.</w:t>
      </w:r>
      <w:r w:rsidR="00D6511E">
        <w:rPr>
          <w:rFonts w:ascii="Times New Roman" w:hAnsi="Times New Roman" w:cs="Times New Roman"/>
        </w:rPr>
        <w:t xml:space="preserve"> </w:t>
      </w:r>
      <w:hyperlink r:id="rId14" w:history="1">
        <w:r w:rsidR="00D6511E" w:rsidRPr="007B27EE">
          <w:rPr>
            <w:rStyle w:val="Hyperlink"/>
            <w:rFonts w:ascii="Times New Roman" w:hAnsi="Times New Roman" w:cs="Times New Roman"/>
          </w:rPr>
          <w:t>https://bdnews24.com/campus/3whn120bk5</w:t>
        </w:r>
      </w:hyperlink>
    </w:p>
    <w:p w14:paraId="4C5900AC"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Chen, H., &amp; Zhang, M. H. (2022). The relationship between basic psychological needs satisfaction and university students’ academic engagement: The mediating effect of emotional intelligence. </w:t>
      </w:r>
      <w:r w:rsidRPr="00227927">
        <w:rPr>
          <w:rFonts w:ascii="Times New Roman" w:hAnsi="Times New Roman" w:cs="Times New Roman"/>
          <w:i/>
          <w:iCs/>
        </w:rPr>
        <w:t>Frontiers in Psychology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 917578.</w:t>
      </w:r>
      <w:r>
        <w:rPr>
          <w:rFonts w:ascii="Times New Roman" w:hAnsi="Times New Roman" w:cs="Times New Roman"/>
        </w:rPr>
        <w:t xml:space="preserve"> </w:t>
      </w:r>
      <w:hyperlink r:id="rId15" w:history="1">
        <w:r w:rsidRPr="00D6511E">
          <w:rPr>
            <w:rStyle w:val="Hyperlink"/>
            <w:rFonts w:ascii="Times New Roman" w:hAnsi="Times New Roman" w:cs="Times New Roman"/>
            <w:highlight w:val="yellow"/>
          </w:rPr>
          <w:t>https://doi.org/10.3389/fpsyg.2022.917578</w:t>
        </w:r>
      </w:hyperlink>
    </w:p>
    <w:p w14:paraId="0D7BA74C"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Chew, B. H., Zain, A. M., &amp; Hassan, F. (2013). Emotional intelligence and academic performance in first and final year medical students: a cross-sectional study.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(1), 44.</w:t>
      </w:r>
      <w:r>
        <w:rPr>
          <w:rFonts w:ascii="Times New Roman" w:hAnsi="Times New Roman" w:cs="Times New Roman"/>
        </w:rPr>
        <w:t xml:space="preserve"> </w:t>
      </w:r>
      <w:hyperlink r:id="rId16" w:history="1">
        <w:r w:rsidRPr="00A541EC">
          <w:rPr>
            <w:rStyle w:val="Hyperlink"/>
            <w:rFonts w:ascii="Times New Roman" w:hAnsi="Times New Roman" w:cs="Times New Roman"/>
            <w:highlight w:val="yellow"/>
          </w:rPr>
          <w:t>https://link.springer.com/article/10.1186/1472-6920-13-44</w:t>
        </w:r>
      </w:hyperlink>
    </w:p>
    <w:p w14:paraId="5BCDB5CC"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Cohen, J. (1988). </w:t>
      </w:r>
      <w:r w:rsidRPr="00227927">
        <w:rPr>
          <w:rFonts w:ascii="Times New Roman" w:hAnsi="Times New Roman" w:cs="Times New Roman"/>
          <w:i/>
          <w:iCs/>
        </w:rPr>
        <w:t xml:space="preserve">Statistical power analysis for the behavioral sciences </w:t>
      </w:r>
      <w:r w:rsidRPr="00227927">
        <w:rPr>
          <w:rFonts w:ascii="Times New Roman" w:hAnsi="Times New Roman" w:cs="Times New Roman"/>
        </w:rPr>
        <w:t>(2nd ed.). Lawrence Erlbaum Associates</w:t>
      </w:r>
    </w:p>
    <w:p w14:paraId="7DC42CDF" w14:textId="77777777" w:rsidR="00DC71FB" w:rsidRPr="00227927" w:rsidRDefault="00DC71FB" w:rsidP="00DC71FB">
      <w:pPr>
        <w:pStyle w:val="NormalWeb"/>
        <w:spacing w:after="0" w:line="240" w:lineRule="auto"/>
        <w:ind w:left="709" w:hanging="720"/>
        <w:jc w:val="both"/>
      </w:pPr>
      <w:r w:rsidRPr="00227927">
        <w:t xml:space="preserve">Cohen, L., Manion, L., &amp; Morrison, K. (2018). Research methods in education. 8th </w:t>
      </w:r>
      <w:proofErr w:type="spellStart"/>
      <w:r w:rsidRPr="00227927">
        <w:t>Edn</w:t>
      </w:r>
      <w:proofErr w:type="spellEnd"/>
      <w:r w:rsidRPr="00227927">
        <w:t xml:space="preserve"> Routledge.</w:t>
      </w:r>
    </w:p>
    <w:p w14:paraId="69FA5814" w14:textId="77777777" w:rsidR="00DC71FB" w:rsidRPr="00227927" w:rsidRDefault="00DC71FB" w:rsidP="00DC71FB">
      <w:pPr>
        <w:pStyle w:val="NormalWeb"/>
        <w:spacing w:after="0" w:line="240" w:lineRule="auto"/>
        <w:ind w:left="709" w:hanging="720"/>
        <w:jc w:val="both"/>
      </w:pPr>
      <w:r w:rsidRPr="00227927">
        <w:t xml:space="preserve">Creswell, J. W., &amp; Creswell, J. D. (2018). </w:t>
      </w:r>
      <w:r w:rsidRPr="00227927">
        <w:rPr>
          <w:rStyle w:val="Emphasis"/>
        </w:rPr>
        <w:t>Research Design: Qualitative, Quantitative, and Mixed Methods Approaches</w:t>
      </w:r>
      <w:r w:rsidRPr="00227927">
        <w:t xml:space="preserve"> (5th ed.). Sage Publications.</w:t>
      </w:r>
    </w:p>
    <w:p w14:paraId="4411D4D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Derakhshan, A., &amp; Yin, H. (2024). Do positive emotions prompt students to be more active? Unraveling the role of hope, pride, and enjoyment in predicting Chinese and Iranian EFL students’ academic engagement. </w:t>
      </w:r>
      <w:r w:rsidRPr="00227927">
        <w:rPr>
          <w:rFonts w:ascii="Times New Roman" w:hAnsi="Times New Roman" w:cs="Times New Roman"/>
          <w:i/>
          <w:iCs/>
        </w:rPr>
        <w:t>Journal of Multilingual and Multicultural Development</w:t>
      </w:r>
      <w:r w:rsidRPr="00227927">
        <w:rPr>
          <w:rFonts w:ascii="Times New Roman" w:hAnsi="Times New Roman" w:cs="Times New Roman"/>
        </w:rPr>
        <w:t>, 1-19.</w:t>
      </w:r>
      <w:r>
        <w:rPr>
          <w:rFonts w:ascii="Times New Roman" w:hAnsi="Times New Roman" w:cs="Times New Roman"/>
        </w:rPr>
        <w:t xml:space="preserve"> </w:t>
      </w:r>
      <w:hyperlink r:id="rId17" w:history="1">
        <w:r w:rsidRPr="00A541EC">
          <w:rPr>
            <w:rStyle w:val="Hyperlink"/>
            <w:rFonts w:ascii="Times New Roman" w:hAnsi="Times New Roman" w:cs="Times New Roman"/>
            <w:highlight w:val="yellow"/>
          </w:rPr>
          <w:t>https://doi.org/10.1080/01434632.2024.2329166</w:t>
        </w:r>
      </w:hyperlink>
    </w:p>
    <w:p w14:paraId="7B1F8403"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Emon, M. M. H., Siam, S. A. J., &amp; Siddique, M. (2023). Exploring the link between emotional intelligence and academic performance among </w:t>
      </w:r>
      <w:proofErr w:type="spellStart"/>
      <w:r w:rsidRPr="00227927">
        <w:rPr>
          <w:rFonts w:ascii="Times New Roman" w:hAnsi="Times New Roman" w:cs="Times New Roman"/>
        </w:rPr>
        <w:t>bangladeshi</w:t>
      </w:r>
      <w:proofErr w:type="spellEnd"/>
      <w:r w:rsidRPr="00227927">
        <w:rPr>
          <w:rFonts w:ascii="Times New Roman" w:hAnsi="Times New Roman" w:cs="Times New Roman"/>
        </w:rPr>
        <w:t xml:space="preserve"> private university students. </w:t>
      </w:r>
      <w:r w:rsidRPr="00227927">
        <w:rPr>
          <w:rFonts w:ascii="Times New Roman" w:hAnsi="Times New Roman" w:cs="Times New Roman"/>
          <w:i/>
          <w:iCs/>
        </w:rPr>
        <w:t>Malaysian Mental Health Journal</w:t>
      </w:r>
      <w:r w:rsidRPr="00227927">
        <w:rPr>
          <w:rFonts w:ascii="Times New Roman" w:hAnsi="Times New Roman" w:cs="Times New Roman"/>
        </w:rPr>
        <w:t>, </w:t>
      </w:r>
      <w:r w:rsidRPr="00227927">
        <w:rPr>
          <w:rFonts w:ascii="Times New Roman" w:hAnsi="Times New Roman" w:cs="Times New Roman"/>
          <w:i/>
          <w:iCs/>
        </w:rPr>
        <w:t>2</w:t>
      </w:r>
      <w:r w:rsidRPr="00227927">
        <w:rPr>
          <w:rFonts w:ascii="Times New Roman" w:hAnsi="Times New Roman" w:cs="Times New Roman"/>
        </w:rPr>
        <w:t>(1), 26-28.</w:t>
      </w:r>
      <w:r>
        <w:rPr>
          <w:rFonts w:ascii="Times New Roman" w:hAnsi="Times New Roman" w:cs="Times New Roman"/>
        </w:rPr>
        <w:t xml:space="preserve"> </w:t>
      </w:r>
      <w:hyperlink r:id="rId18" w:history="1">
        <w:r w:rsidRPr="00A541EC">
          <w:rPr>
            <w:rStyle w:val="Hyperlink"/>
            <w:rFonts w:ascii="Times New Roman" w:hAnsi="Times New Roman" w:cs="Times New Roman"/>
            <w:highlight w:val="yellow"/>
          </w:rPr>
          <w:t>http://doi.org/10.26480/mmhj.01.2023.26.28</w:t>
        </w:r>
      </w:hyperlink>
    </w:p>
    <w:p w14:paraId="0318589C"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Estrada, M., </w:t>
      </w:r>
      <w:proofErr w:type="spellStart"/>
      <w:r w:rsidRPr="00227927">
        <w:rPr>
          <w:rFonts w:ascii="Times New Roman" w:hAnsi="Times New Roman" w:cs="Times New Roman"/>
        </w:rPr>
        <w:t>Monferrer</w:t>
      </w:r>
      <w:proofErr w:type="spellEnd"/>
      <w:r w:rsidRPr="00227927">
        <w:rPr>
          <w:rFonts w:ascii="Times New Roman" w:hAnsi="Times New Roman" w:cs="Times New Roman"/>
        </w:rPr>
        <w:t>, D., Rodriguez, A., &amp; Moliner, M. Á. (2021). Does emotional intelligence influence academic performance? The role of compassion and engagement in education for sustainable development. </w:t>
      </w:r>
      <w:r w:rsidRPr="00227927">
        <w:rPr>
          <w:rFonts w:ascii="Times New Roman" w:hAnsi="Times New Roman" w:cs="Times New Roman"/>
          <w:i/>
          <w:iCs/>
        </w:rPr>
        <w:t>Sustainability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(4), 1721.</w:t>
      </w:r>
      <w:r>
        <w:rPr>
          <w:rFonts w:ascii="Times New Roman" w:hAnsi="Times New Roman" w:cs="Times New Roman"/>
        </w:rPr>
        <w:t xml:space="preserve"> </w:t>
      </w:r>
      <w:hyperlink r:id="rId19" w:history="1">
        <w:r w:rsidRPr="00A541EC">
          <w:rPr>
            <w:rStyle w:val="Hyperlink"/>
            <w:rFonts w:ascii="Times New Roman" w:hAnsi="Times New Roman" w:cs="Times New Roman"/>
            <w:highlight w:val="yellow"/>
          </w:rPr>
          <w:t>https://doi.org/10.3390/su13041721</w:t>
        </w:r>
      </w:hyperlink>
    </w:p>
    <w:p w14:paraId="580C1357"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Fredricks, J. A., Blumenfeld, P. C., &amp; Paris, A. H. (2004). School engagement: Potential of the concept, state of the evidence. </w:t>
      </w:r>
      <w:r w:rsidRPr="00227927">
        <w:rPr>
          <w:rFonts w:ascii="Times New Roman" w:hAnsi="Times New Roman" w:cs="Times New Roman"/>
          <w:i/>
          <w:iCs/>
        </w:rPr>
        <w:t>Review of educational research</w:t>
      </w:r>
      <w:r w:rsidRPr="00227927">
        <w:rPr>
          <w:rFonts w:ascii="Times New Roman" w:hAnsi="Times New Roman" w:cs="Times New Roman"/>
        </w:rPr>
        <w:t>, </w:t>
      </w:r>
      <w:r w:rsidRPr="00227927">
        <w:rPr>
          <w:rFonts w:ascii="Times New Roman" w:hAnsi="Times New Roman" w:cs="Times New Roman"/>
          <w:i/>
          <w:iCs/>
        </w:rPr>
        <w:t>74</w:t>
      </w:r>
      <w:r w:rsidRPr="00227927">
        <w:rPr>
          <w:rFonts w:ascii="Times New Roman" w:hAnsi="Times New Roman" w:cs="Times New Roman"/>
        </w:rPr>
        <w:t>(1), 59-109.</w:t>
      </w:r>
      <w:r>
        <w:rPr>
          <w:rFonts w:ascii="Times New Roman" w:hAnsi="Times New Roman" w:cs="Times New Roman"/>
        </w:rPr>
        <w:t xml:space="preserve"> </w:t>
      </w:r>
      <w:hyperlink r:id="rId20" w:history="1">
        <w:r w:rsidRPr="00A541EC">
          <w:rPr>
            <w:rStyle w:val="Hyperlink"/>
            <w:rFonts w:ascii="Times New Roman" w:hAnsi="Times New Roman" w:cs="Times New Roman"/>
            <w:highlight w:val="yellow"/>
          </w:rPr>
          <w:t>https://doi.org/10.3102/00346543074001059</w:t>
        </w:r>
      </w:hyperlink>
    </w:p>
    <w:p w14:paraId="624ED310"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Goleman, D. (1995). Emotional Intelligence. Bantam Books: N</w:t>
      </w:r>
      <w:r>
        <w:rPr>
          <w:rFonts w:ascii="Times New Roman" w:hAnsi="Times New Roman" w:cs="Times New Roman"/>
        </w:rPr>
        <w:t>ew</w:t>
      </w:r>
      <w:r w:rsidRPr="00227927">
        <w:rPr>
          <w:rFonts w:ascii="Times New Roman" w:hAnsi="Times New Roman" w:cs="Times New Roman"/>
        </w:rPr>
        <w:t xml:space="preserve"> Y</w:t>
      </w:r>
      <w:r>
        <w:rPr>
          <w:rFonts w:ascii="Times New Roman" w:hAnsi="Times New Roman" w:cs="Times New Roman"/>
        </w:rPr>
        <w:t>ork</w:t>
      </w:r>
      <w:r w:rsidRPr="00227927">
        <w:rPr>
          <w:rFonts w:ascii="Times New Roman" w:hAnsi="Times New Roman" w:cs="Times New Roman"/>
        </w:rPr>
        <w:t>.</w:t>
      </w:r>
    </w:p>
    <w:p w14:paraId="0503F138"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Hair, J. F., Hult, G. T. M., Ringle, C. M., &amp; Sarstedt, M. (2017). </w:t>
      </w:r>
      <w:r w:rsidRPr="00227927">
        <w:rPr>
          <w:rFonts w:ascii="Times New Roman" w:hAnsi="Times New Roman" w:cs="Times New Roman"/>
          <w:i/>
          <w:iCs/>
        </w:rPr>
        <w:t>A Primer on Partial Least Squares Structural Equation Modeling (PLS-SEM)</w:t>
      </w:r>
      <w:r w:rsidRPr="00227927">
        <w:rPr>
          <w:rFonts w:ascii="Times New Roman" w:hAnsi="Times New Roman" w:cs="Times New Roman"/>
        </w:rPr>
        <w:t xml:space="preserve"> (2nd ed.). SAGE Publications.</w:t>
      </w:r>
    </w:p>
    <w:p w14:paraId="0349B41C" w14:textId="77777777" w:rsidR="00DC71FB" w:rsidRPr="00227927" w:rsidRDefault="00DC71FB" w:rsidP="00DC71FB">
      <w:pPr>
        <w:pStyle w:val="NormalWeb"/>
        <w:spacing w:after="0" w:line="240" w:lineRule="auto"/>
        <w:ind w:left="709" w:hanging="720"/>
        <w:jc w:val="both"/>
      </w:pPr>
      <w:r w:rsidRPr="00227927">
        <w:lastRenderedPageBreak/>
        <w:t xml:space="preserve">Hair, J. F., Hult, G. T. M., Ringle, C. M., &amp; Sarstedt, M. (2019). </w:t>
      </w:r>
      <w:r w:rsidRPr="00227927">
        <w:rPr>
          <w:rStyle w:val="Emphasis"/>
        </w:rPr>
        <w:t>A Primer on Partial Least Squares Structural Equation Modeling (PLS-SEM)</w:t>
      </w:r>
      <w:r w:rsidRPr="00227927">
        <w:t xml:space="preserve"> (2nd ed.). Sage Publications.</w:t>
      </w:r>
    </w:p>
    <w:p w14:paraId="3D8F4394"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Handelsman, M. M., Briggs, W. L., Sullivan, N., &amp; Towler, A. (2005). A measure of college student course engagement. </w:t>
      </w:r>
      <w:r w:rsidRPr="00227927">
        <w:rPr>
          <w:rFonts w:ascii="Times New Roman" w:hAnsi="Times New Roman" w:cs="Times New Roman"/>
          <w:i/>
          <w:iCs/>
        </w:rPr>
        <w:t>The Journal of Educational Research</w:t>
      </w:r>
      <w:r w:rsidRPr="00227927">
        <w:rPr>
          <w:rFonts w:ascii="Times New Roman" w:hAnsi="Times New Roman" w:cs="Times New Roman"/>
        </w:rPr>
        <w:t>, </w:t>
      </w:r>
      <w:r w:rsidRPr="00227927">
        <w:rPr>
          <w:rFonts w:ascii="Times New Roman" w:hAnsi="Times New Roman" w:cs="Times New Roman"/>
          <w:i/>
          <w:iCs/>
        </w:rPr>
        <w:t>98</w:t>
      </w:r>
      <w:r w:rsidRPr="00227927">
        <w:rPr>
          <w:rFonts w:ascii="Times New Roman" w:hAnsi="Times New Roman" w:cs="Times New Roman"/>
        </w:rPr>
        <w:t>(3), 184-192.</w:t>
      </w:r>
      <w:r>
        <w:rPr>
          <w:rFonts w:ascii="Times New Roman" w:hAnsi="Times New Roman" w:cs="Times New Roman"/>
        </w:rPr>
        <w:t xml:space="preserve"> </w:t>
      </w:r>
      <w:hyperlink r:id="rId21" w:history="1">
        <w:r w:rsidRPr="00A541EC">
          <w:rPr>
            <w:rStyle w:val="Hyperlink"/>
            <w:rFonts w:ascii="Times New Roman" w:hAnsi="Times New Roman" w:cs="Times New Roman"/>
            <w:highlight w:val="yellow"/>
          </w:rPr>
          <w:t>https://doi.org/10.3200/JOER.98.3.184-192</w:t>
        </w:r>
      </w:hyperlink>
    </w:p>
    <w:p w14:paraId="10F38479" w14:textId="77777777" w:rsidR="007B0C75" w:rsidRDefault="00DC71FB" w:rsidP="007B0C75">
      <w:pPr>
        <w:spacing w:after="0" w:line="240" w:lineRule="auto"/>
        <w:ind w:left="709" w:hanging="720"/>
        <w:jc w:val="both"/>
      </w:pPr>
      <w:r w:rsidRPr="00227927">
        <w:rPr>
          <w:rFonts w:ascii="Times New Roman" w:hAnsi="Times New Roman" w:cs="Times New Roman"/>
        </w:rPr>
        <w:t>Henseler, J., Ringle, C. M., &amp; Sarstedt, M. (2015). A new criterion for assessing discriminant validity in variance-based structural equation modeling. </w:t>
      </w:r>
      <w:r w:rsidRPr="00227927">
        <w:rPr>
          <w:rFonts w:ascii="Times New Roman" w:hAnsi="Times New Roman" w:cs="Times New Roman"/>
          <w:i/>
          <w:iCs/>
        </w:rPr>
        <w:t>Journal of the academy of marketing science</w:t>
      </w:r>
      <w:r w:rsidRPr="00227927">
        <w:rPr>
          <w:rFonts w:ascii="Times New Roman" w:hAnsi="Times New Roman" w:cs="Times New Roman"/>
        </w:rPr>
        <w:t>, </w:t>
      </w:r>
      <w:r w:rsidRPr="00227927">
        <w:rPr>
          <w:rFonts w:ascii="Times New Roman" w:hAnsi="Times New Roman" w:cs="Times New Roman"/>
          <w:i/>
          <w:iCs/>
        </w:rPr>
        <w:t>43</w:t>
      </w:r>
      <w:r w:rsidRPr="00227927">
        <w:rPr>
          <w:rFonts w:ascii="Times New Roman" w:hAnsi="Times New Roman" w:cs="Times New Roman"/>
        </w:rPr>
        <w:t>(1), 115-135.</w:t>
      </w:r>
      <w:r>
        <w:rPr>
          <w:rFonts w:ascii="Times New Roman" w:hAnsi="Times New Roman" w:cs="Times New Roman"/>
        </w:rPr>
        <w:t xml:space="preserve"> </w:t>
      </w:r>
      <w:hyperlink r:id="rId22" w:history="1">
        <w:r w:rsidRPr="00A541EC">
          <w:rPr>
            <w:rStyle w:val="Hyperlink"/>
            <w:rFonts w:ascii="Times New Roman" w:hAnsi="Times New Roman" w:cs="Times New Roman"/>
            <w:highlight w:val="yellow"/>
          </w:rPr>
          <w:t>https://link.springer.com/article/10.1007/s11747-014-0403-8</w:t>
        </w:r>
      </w:hyperlink>
    </w:p>
    <w:p w14:paraId="7906FBF0" w14:textId="6A992A2A" w:rsidR="007B0C75" w:rsidRPr="007B0C75" w:rsidRDefault="00804275" w:rsidP="007B0C75">
      <w:pPr>
        <w:spacing w:after="0" w:line="240" w:lineRule="auto"/>
        <w:ind w:left="709" w:hanging="720"/>
        <w:jc w:val="both"/>
      </w:pPr>
      <w:r w:rsidRPr="007B0C75">
        <w:rPr>
          <w:rFonts w:ascii="Times New Roman" w:hAnsi="Times New Roman" w:cs="Times New Roman"/>
          <w:highlight w:val="yellow"/>
        </w:rPr>
        <w:t>Jaeger, A. J., &amp; Eagan Jr, M. K. (2007). Exploring the value of emotional intelligence: A means to improve academic performance. </w:t>
      </w:r>
      <w:r w:rsidRPr="007B0C75">
        <w:rPr>
          <w:rFonts w:ascii="Times New Roman" w:hAnsi="Times New Roman" w:cs="Times New Roman"/>
          <w:i/>
          <w:iCs/>
          <w:highlight w:val="yellow"/>
        </w:rPr>
        <w:t>NASPA journal</w:t>
      </w:r>
      <w:r w:rsidRPr="007B0C75">
        <w:rPr>
          <w:rFonts w:ascii="Times New Roman" w:hAnsi="Times New Roman" w:cs="Times New Roman"/>
          <w:highlight w:val="yellow"/>
        </w:rPr>
        <w:t>, </w:t>
      </w:r>
      <w:r w:rsidRPr="007B0C75">
        <w:rPr>
          <w:rFonts w:ascii="Times New Roman" w:hAnsi="Times New Roman" w:cs="Times New Roman"/>
          <w:i/>
          <w:iCs/>
          <w:highlight w:val="yellow"/>
        </w:rPr>
        <w:t>44</w:t>
      </w:r>
      <w:r w:rsidRPr="007B0C75">
        <w:rPr>
          <w:rFonts w:ascii="Times New Roman" w:hAnsi="Times New Roman" w:cs="Times New Roman"/>
          <w:highlight w:val="yellow"/>
        </w:rPr>
        <w:t>(3), 512-537.</w:t>
      </w:r>
      <w:r w:rsidR="007B0C75" w:rsidRPr="007B0C75">
        <w:rPr>
          <w:rFonts w:ascii="Times New Roman" w:hAnsi="Times New Roman" w:cs="Times New Roman"/>
          <w:highlight w:val="yellow"/>
        </w:rPr>
        <w:t xml:space="preserve"> </w:t>
      </w:r>
      <w:hyperlink r:id="rId23" w:history="1">
        <w:r w:rsidR="007B0C75" w:rsidRPr="007B0C75">
          <w:rPr>
            <w:rStyle w:val="Hyperlink"/>
            <w:rFonts w:ascii="Times New Roman" w:hAnsi="Times New Roman" w:cs="Times New Roman"/>
            <w:highlight w:val="yellow"/>
          </w:rPr>
          <w:t>https://doi.org/10.2202/1949-6605.1834</w:t>
        </w:r>
      </w:hyperlink>
    </w:p>
    <w:p w14:paraId="41478412"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Kahu, E. R., &amp; Nelson, K. (2018). Student engagement in the educational interface: Understanding the mechanisms of student success. </w:t>
      </w:r>
      <w:r w:rsidRPr="00227927">
        <w:rPr>
          <w:rFonts w:ascii="Times New Roman" w:hAnsi="Times New Roman" w:cs="Times New Roman"/>
          <w:i/>
          <w:iCs/>
        </w:rPr>
        <w:t>Higher education research &amp; development</w:t>
      </w:r>
      <w:r w:rsidRPr="00227927">
        <w:rPr>
          <w:rFonts w:ascii="Times New Roman" w:hAnsi="Times New Roman" w:cs="Times New Roman"/>
        </w:rPr>
        <w:t>, </w:t>
      </w:r>
      <w:r w:rsidRPr="00227927">
        <w:rPr>
          <w:rFonts w:ascii="Times New Roman" w:hAnsi="Times New Roman" w:cs="Times New Roman"/>
          <w:i/>
          <w:iCs/>
        </w:rPr>
        <w:t>37</w:t>
      </w:r>
      <w:r w:rsidRPr="00227927">
        <w:rPr>
          <w:rFonts w:ascii="Times New Roman" w:hAnsi="Times New Roman" w:cs="Times New Roman"/>
        </w:rPr>
        <w:t>(1), 58-71.</w:t>
      </w:r>
      <w:r>
        <w:rPr>
          <w:rFonts w:ascii="Times New Roman" w:hAnsi="Times New Roman" w:cs="Times New Roman"/>
        </w:rPr>
        <w:t xml:space="preserve"> </w:t>
      </w:r>
      <w:hyperlink r:id="rId24" w:history="1">
        <w:r w:rsidRPr="00A541EC">
          <w:rPr>
            <w:rStyle w:val="Hyperlink"/>
            <w:rFonts w:ascii="Times New Roman" w:hAnsi="Times New Roman" w:cs="Times New Roman"/>
            <w:highlight w:val="yellow"/>
          </w:rPr>
          <w:t>https://doi.org/10.1080/07294360.2017.1344197</w:t>
        </w:r>
      </w:hyperlink>
    </w:p>
    <w:p w14:paraId="6FA273B6"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Khan, H., Gul, R., &amp; Zeb, M. (2023). The effect of students’ cognitive and emotional engagement on students’ academic success and academic productivity. </w:t>
      </w:r>
      <w:r w:rsidRPr="00227927">
        <w:rPr>
          <w:rFonts w:ascii="Times New Roman" w:hAnsi="Times New Roman" w:cs="Times New Roman"/>
          <w:i/>
          <w:iCs/>
        </w:rPr>
        <w:t>Journal of Social Sciences Review</w:t>
      </w:r>
      <w:r w:rsidRPr="00227927">
        <w:rPr>
          <w:rFonts w:ascii="Times New Roman" w:hAnsi="Times New Roman" w:cs="Times New Roman"/>
        </w:rPr>
        <w:t>, </w:t>
      </w:r>
      <w:r w:rsidRPr="00227927">
        <w:rPr>
          <w:rFonts w:ascii="Times New Roman" w:hAnsi="Times New Roman" w:cs="Times New Roman"/>
          <w:i/>
          <w:iCs/>
        </w:rPr>
        <w:t>3</w:t>
      </w:r>
      <w:r w:rsidRPr="00227927">
        <w:rPr>
          <w:rFonts w:ascii="Times New Roman" w:hAnsi="Times New Roman" w:cs="Times New Roman"/>
        </w:rPr>
        <w:t>(1), 322-334.</w:t>
      </w:r>
      <w:r>
        <w:rPr>
          <w:rFonts w:ascii="Times New Roman" w:hAnsi="Times New Roman" w:cs="Times New Roman"/>
        </w:rPr>
        <w:t xml:space="preserve"> </w:t>
      </w:r>
      <w:hyperlink r:id="rId25" w:history="1">
        <w:r w:rsidRPr="00A541EC">
          <w:rPr>
            <w:rStyle w:val="Hyperlink"/>
            <w:rFonts w:ascii="Times New Roman" w:hAnsi="Times New Roman" w:cs="Times New Roman"/>
            <w:highlight w:val="yellow"/>
          </w:rPr>
          <w:t>https://doi.org/10.54183/jssr.v3i1.141</w:t>
        </w:r>
      </w:hyperlink>
    </w:p>
    <w:p w14:paraId="463E10C4"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MacCann, C., Jiang, Y., Brown, L. E., Double, K. S., </w:t>
      </w:r>
      <w:proofErr w:type="spellStart"/>
      <w:r w:rsidRPr="00227927">
        <w:rPr>
          <w:rFonts w:ascii="Times New Roman" w:hAnsi="Times New Roman" w:cs="Times New Roman"/>
        </w:rPr>
        <w:t>Bucich</w:t>
      </w:r>
      <w:proofErr w:type="spellEnd"/>
      <w:r w:rsidRPr="00227927">
        <w:rPr>
          <w:rFonts w:ascii="Times New Roman" w:hAnsi="Times New Roman" w:cs="Times New Roman"/>
        </w:rPr>
        <w:t xml:space="preserve">, M., &amp; </w:t>
      </w:r>
      <w:proofErr w:type="spellStart"/>
      <w:r w:rsidRPr="00227927">
        <w:rPr>
          <w:rFonts w:ascii="Times New Roman" w:hAnsi="Times New Roman" w:cs="Times New Roman"/>
        </w:rPr>
        <w:t>Minbashian</w:t>
      </w:r>
      <w:proofErr w:type="spellEnd"/>
      <w:r w:rsidRPr="00227927">
        <w:rPr>
          <w:rFonts w:ascii="Times New Roman" w:hAnsi="Times New Roman" w:cs="Times New Roman"/>
        </w:rPr>
        <w:t>, A. (2020). Emotional intelligence predicts academic performance: A meta-analysis. </w:t>
      </w:r>
      <w:r w:rsidRPr="00227927">
        <w:rPr>
          <w:rFonts w:ascii="Times New Roman" w:hAnsi="Times New Roman" w:cs="Times New Roman"/>
          <w:i/>
          <w:iCs/>
        </w:rPr>
        <w:t>Psychological bulletin</w:t>
      </w:r>
      <w:r w:rsidRPr="00227927">
        <w:rPr>
          <w:rFonts w:ascii="Times New Roman" w:hAnsi="Times New Roman" w:cs="Times New Roman"/>
        </w:rPr>
        <w:t>, </w:t>
      </w:r>
      <w:r w:rsidRPr="00227927">
        <w:rPr>
          <w:rFonts w:ascii="Times New Roman" w:hAnsi="Times New Roman" w:cs="Times New Roman"/>
          <w:i/>
          <w:iCs/>
        </w:rPr>
        <w:t>146</w:t>
      </w:r>
      <w:r w:rsidRPr="00227927">
        <w:rPr>
          <w:rFonts w:ascii="Times New Roman" w:hAnsi="Times New Roman" w:cs="Times New Roman"/>
        </w:rPr>
        <w:t>(2), 150.</w:t>
      </w:r>
      <w:r>
        <w:rPr>
          <w:rFonts w:ascii="Times New Roman" w:hAnsi="Times New Roman" w:cs="Times New Roman"/>
        </w:rPr>
        <w:t xml:space="preserve"> </w:t>
      </w:r>
      <w:hyperlink r:id="rId26" w:history="1">
        <w:r w:rsidRPr="00A541EC">
          <w:rPr>
            <w:rStyle w:val="Hyperlink"/>
            <w:rFonts w:ascii="Times New Roman" w:hAnsi="Times New Roman" w:cs="Times New Roman"/>
            <w:highlight w:val="yellow"/>
          </w:rPr>
          <w:t>http://dx.doi.org/10.1037/bul0000219</w:t>
        </w:r>
      </w:hyperlink>
    </w:p>
    <w:p w14:paraId="56160E96" w14:textId="77777777" w:rsidR="00DC71FB" w:rsidRDefault="00DC71FB" w:rsidP="00DC71FB">
      <w:pPr>
        <w:spacing w:after="0" w:line="240" w:lineRule="auto"/>
        <w:ind w:left="709" w:hanging="720"/>
        <w:jc w:val="both"/>
        <w:rPr>
          <w:rFonts w:ascii="Times New Roman" w:hAnsi="Times New Roman" w:cs="Times New Roman"/>
        </w:rPr>
      </w:pP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A., </w:t>
      </w:r>
      <w:proofErr w:type="spellStart"/>
      <w:r w:rsidRPr="00227927">
        <w:rPr>
          <w:rFonts w:ascii="Times New Roman" w:hAnsi="Times New Roman" w:cs="Times New Roman"/>
        </w:rPr>
        <w:t>Shaterian</w:t>
      </w:r>
      <w:proofErr w:type="spellEnd"/>
      <w:r w:rsidRPr="00227927">
        <w:rPr>
          <w:rFonts w:ascii="Times New Roman" w:hAnsi="Times New Roman" w:cs="Times New Roman"/>
        </w:rPr>
        <w:t xml:space="preserve">, F., &amp; </w:t>
      </w:r>
      <w:proofErr w:type="spellStart"/>
      <w:r w:rsidRPr="00227927">
        <w:rPr>
          <w:rFonts w:ascii="Times New Roman" w:hAnsi="Times New Roman" w:cs="Times New Roman"/>
        </w:rPr>
        <w:t>Nikookar</w:t>
      </w:r>
      <w:proofErr w:type="spellEnd"/>
      <w:r w:rsidRPr="00227927">
        <w:rPr>
          <w:rFonts w:ascii="Times New Roman" w:hAnsi="Times New Roman" w:cs="Times New Roman"/>
        </w:rPr>
        <w:t>, A. (2024). The Effectiveness of Education based on Successful Intelligence on Emotional Self-Awareness and Academic Engagement of Secondary School Students. </w:t>
      </w:r>
      <w:r w:rsidRPr="00227927">
        <w:rPr>
          <w:rFonts w:ascii="Times New Roman" w:hAnsi="Times New Roman" w:cs="Times New Roman"/>
          <w:i/>
          <w:iCs/>
        </w:rPr>
        <w:t>Sociology of Education</w:t>
      </w:r>
      <w:r w:rsidRPr="00227927">
        <w:rPr>
          <w:rFonts w:ascii="Times New Roman" w:hAnsi="Times New Roman" w:cs="Times New Roman"/>
        </w:rPr>
        <w:t>, </w:t>
      </w:r>
      <w:r w:rsidRPr="00227927">
        <w:rPr>
          <w:rFonts w:ascii="Times New Roman" w:hAnsi="Times New Roman" w:cs="Times New Roman"/>
          <w:i/>
          <w:iCs/>
        </w:rPr>
        <w:t>10</w:t>
      </w:r>
      <w:r w:rsidRPr="00227927">
        <w:rPr>
          <w:rFonts w:ascii="Times New Roman" w:hAnsi="Times New Roman" w:cs="Times New Roman"/>
        </w:rPr>
        <w:t>(1), 305-313.</w:t>
      </w:r>
      <w:r>
        <w:rPr>
          <w:rFonts w:ascii="Times New Roman" w:hAnsi="Times New Roman" w:cs="Times New Roman"/>
        </w:rPr>
        <w:t xml:space="preserve"> </w:t>
      </w:r>
      <w:hyperlink r:id="rId27" w:history="1">
        <w:r w:rsidRPr="00A541EC">
          <w:rPr>
            <w:rStyle w:val="Hyperlink"/>
            <w:rFonts w:ascii="Times New Roman" w:hAnsi="Times New Roman" w:cs="Times New Roman"/>
            <w:highlight w:val="yellow"/>
          </w:rPr>
          <w:t>https://doi.org/10.22034/ijes.2024.2015018.1493</w:t>
        </w:r>
      </w:hyperlink>
    </w:p>
    <w:p w14:paraId="273A731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Moreno-Fernandez, J., Ochoa, J. J., Lopez-Aliaga, I., Alferez, M. J. M., Gomez-Guzman, M., Lopez-Ortega, S., &amp; Diaz-Castro, J. (2020). Lockdown, emotional intelligence, academic engagement and burnout in pharmacy students during the quarantine. </w:t>
      </w:r>
      <w:r w:rsidRPr="00227927">
        <w:rPr>
          <w:rFonts w:ascii="Times New Roman" w:hAnsi="Times New Roman" w:cs="Times New Roman"/>
          <w:i/>
          <w:iCs/>
        </w:rPr>
        <w:t>Pharmacy</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194.</w:t>
      </w:r>
      <w:r>
        <w:rPr>
          <w:rFonts w:ascii="Times New Roman" w:hAnsi="Times New Roman" w:cs="Times New Roman"/>
        </w:rPr>
        <w:t xml:space="preserve"> </w:t>
      </w:r>
      <w:hyperlink r:id="rId28" w:history="1">
        <w:r w:rsidRPr="007040EB">
          <w:rPr>
            <w:rStyle w:val="Hyperlink"/>
            <w:rFonts w:ascii="Times New Roman" w:hAnsi="Times New Roman" w:cs="Times New Roman"/>
            <w:highlight w:val="yellow"/>
          </w:rPr>
          <w:t>https://doi.org/10.3390/pharmacy8040194</w:t>
        </w:r>
      </w:hyperlink>
    </w:p>
    <w:p w14:paraId="085E616C" w14:textId="3CBEB4F7" w:rsidR="00DC71FB" w:rsidRDefault="00DC71FB" w:rsidP="00DC71FB">
      <w:pPr>
        <w:spacing w:line="240" w:lineRule="auto"/>
        <w:ind w:left="709" w:hanging="720"/>
        <w:jc w:val="both"/>
        <w:rPr>
          <w:rFonts w:ascii="Times New Roman" w:hAnsi="Times New Roman" w:cs="Times New Roman"/>
        </w:rPr>
      </w:pPr>
      <w:r w:rsidRPr="00227927">
        <w:rPr>
          <w:rFonts w:ascii="Times New Roman" w:hAnsi="Times New Roman" w:cs="Times New Roman"/>
        </w:rPr>
        <w:t xml:space="preserve">Ononye, U., Ndudi, F., </w:t>
      </w:r>
      <w:proofErr w:type="spellStart"/>
      <w:r w:rsidRPr="00227927">
        <w:rPr>
          <w:rFonts w:ascii="Times New Roman" w:hAnsi="Times New Roman" w:cs="Times New Roman"/>
        </w:rPr>
        <w:t>Bereprebofa</w:t>
      </w:r>
      <w:proofErr w:type="spellEnd"/>
      <w:r w:rsidRPr="00227927">
        <w:rPr>
          <w:rFonts w:ascii="Times New Roman" w:hAnsi="Times New Roman" w:cs="Times New Roman"/>
        </w:rPr>
        <w:t xml:space="preserve">, D., &amp; </w:t>
      </w:r>
      <w:proofErr w:type="spellStart"/>
      <w:r w:rsidRPr="00227927">
        <w:rPr>
          <w:rFonts w:ascii="Times New Roman" w:hAnsi="Times New Roman" w:cs="Times New Roman"/>
        </w:rPr>
        <w:t>Maduemezia</w:t>
      </w:r>
      <w:proofErr w:type="spellEnd"/>
      <w:r w:rsidRPr="00227927">
        <w:rPr>
          <w:rFonts w:ascii="Times New Roman" w:hAnsi="Times New Roman" w:cs="Times New Roman"/>
        </w:rPr>
        <w:t>, I. (2022). Academic resilience, emotional intelligence, and academic performance among undergraduate students. </w:t>
      </w:r>
      <w:r w:rsidRPr="00227927">
        <w:rPr>
          <w:rFonts w:ascii="Times New Roman" w:hAnsi="Times New Roman" w:cs="Times New Roman"/>
          <w:i/>
          <w:iCs/>
        </w:rPr>
        <w:t>Knowledge and Performance Management</w:t>
      </w:r>
      <w:r w:rsidRPr="00227927">
        <w:rPr>
          <w:rFonts w:ascii="Times New Roman" w:hAnsi="Times New Roman" w:cs="Times New Roman"/>
        </w:rPr>
        <w:t>, </w:t>
      </w:r>
      <w:r w:rsidRPr="00227927">
        <w:rPr>
          <w:rFonts w:ascii="Times New Roman" w:hAnsi="Times New Roman" w:cs="Times New Roman"/>
          <w:i/>
          <w:iCs/>
        </w:rPr>
        <w:t>6</w:t>
      </w:r>
      <w:r w:rsidRPr="00227927">
        <w:rPr>
          <w:rFonts w:ascii="Times New Roman" w:hAnsi="Times New Roman" w:cs="Times New Roman"/>
        </w:rPr>
        <w:t>(1), 1</w:t>
      </w:r>
      <w:r w:rsidR="007040EB">
        <w:rPr>
          <w:rFonts w:ascii="Times New Roman" w:hAnsi="Times New Roman" w:cs="Times New Roman"/>
        </w:rPr>
        <w:t>-10</w:t>
      </w:r>
      <w:r w:rsidRPr="00227927">
        <w:rPr>
          <w:rFonts w:ascii="Times New Roman" w:hAnsi="Times New Roman" w:cs="Times New Roman"/>
        </w:rPr>
        <w:t>.</w:t>
      </w:r>
      <w:r>
        <w:rPr>
          <w:rFonts w:ascii="Times New Roman" w:hAnsi="Times New Roman" w:cs="Times New Roman"/>
        </w:rPr>
        <w:t xml:space="preserve"> </w:t>
      </w:r>
      <w:hyperlink r:id="rId29" w:history="1">
        <w:r w:rsidRPr="007040EB">
          <w:rPr>
            <w:rStyle w:val="Hyperlink"/>
            <w:rFonts w:ascii="Times New Roman" w:hAnsi="Times New Roman" w:cs="Times New Roman"/>
            <w:highlight w:val="yellow"/>
          </w:rPr>
          <w:t>http://dx.doi.org/10.21511/kpm.06(1).2022.01</w:t>
        </w:r>
      </w:hyperlink>
    </w:p>
    <w:p w14:paraId="27CC2FD2"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Pan, Z., Wang, Y., &amp; Derakhshan, A. (2023). Unpacking Chinese EFL students’ academic engagement and psychological well-being: The roles of language teachers’ affective scaffolding. </w:t>
      </w:r>
      <w:r w:rsidRPr="00227927">
        <w:rPr>
          <w:rFonts w:ascii="Times New Roman" w:hAnsi="Times New Roman" w:cs="Times New Roman"/>
          <w:i/>
          <w:iCs/>
        </w:rPr>
        <w:t>Journal of Psycholinguistic Research</w:t>
      </w:r>
      <w:r w:rsidRPr="00227927">
        <w:rPr>
          <w:rFonts w:ascii="Times New Roman" w:hAnsi="Times New Roman" w:cs="Times New Roman"/>
        </w:rPr>
        <w:t>, </w:t>
      </w:r>
      <w:r w:rsidRPr="00227927">
        <w:rPr>
          <w:rFonts w:ascii="Times New Roman" w:hAnsi="Times New Roman" w:cs="Times New Roman"/>
          <w:i/>
          <w:iCs/>
        </w:rPr>
        <w:t>52</w:t>
      </w:r>
      <w:r w:rsidRPr="00227927">
        <w:rPr>
          <w:rFonts w:ascii="Times New Roman" w:hAnsi="Times New Roman" w:cs="Times New Roman"/>
        </w:rPr>
        <w:t>(5), 1799-1819.</w:t>
      </w:r>
      <w:r>
        <w:rPr>
          <w:rFonts w:ascii="Times New Roman" w:hAnsi="Times New Roman" w:cs="Times New Roman"/>
        </w:rPr>
        <w:t xml:space="preserve"> </w:t>
      </w:r>
      <w:hyperlink r:id="rId30" w:history="1">
        <w:r w:rsidRPr="007040EB">
          <w:rPr>
            <w:rStyle w:val="Hyperlink"/>
            <w:rFonts w:ascii="Times New Roman" w:hAnsi="Times New Roman" w:cs="Times New Roman"/>
            <w:highlight w:val="yellow"/>
          </w:rPr>
          <w:t>https://link.springer.com/article/10.1007/s10936-023-09974-z</w:t>
        </w:r>
      </w:hyperlink>
    </w:p>
    <w:p w14:paraId="5F535EFB" w14:textId="22A16FBA"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Pashchenko, O., </w:t>
      </w:r>
      <w:proofErr w:type="spellStart"/>
      <w:r w:rsidRPr="00227927">
        <w:rPr>
          <w:rFonts w:ascii="Times New Roman" w:hAnsi="Times New Roman" w:cs="Times New Roman"/>
        </w:rPr>
        <w:t>Medvedovska</w:t>
      </w:r>
      <w:proofErr w:type="spellEnd"/>
      <w:r w:rsidRPr="00227927">
        <w:rPr>
          <w:rFonts w:ascii="Times New Roman" w:hAnsi="Times New Roman" w:cs="Times New Roman"/>
        </w:rPr>
        <w:t xml:space="preserve">, T., </w:t>
      </w:r>
      <w:proofErr w:type="spellStart"/>
      <w:r w:rsidRPr="00227927">
        <w:rPr>
          <w:rFonts w:ascii="Times New Roman" w:hAnsi="Times New Roman" w:cs="Times New Roman"/>
        </w:rPr>
        <w:t>Terkhanova</w:t>
      </w:r>
      <w:proofErr w:type="spellEnd"/>
      <w:r w:rsidRPr="00227927">
        <w:rPr>
          <w:rFonts w:ascii="Times New Roman" w:hAnsi="Times New Roman" w:cs="Times New Roman"/>
        </w:rPr>
        <w:t xml:space="preserve">, O., </w:t>
      </w:r>
      <w:proofErr w:type="spellStart"/>
      <w:r w:rsidRPr="00227927">
        <w:rPr>
          <w:rFonts w:ascii="Times New Roman" w:hAnsi="Times New Roman" w:cs="Times New Roman"/>
        </w:rPr>
        <w:t>Baidak</w:t>
      </w:r>
      <w:proofErr w:type="spellEnd"/>
      <w:r w:rsidRPr="00227927">
        <w:rPr>
          <w:rFonts w:ascii="Times New Roman" w:hAnsi="Times New Roman" w:cs="Times New Roman"/>
        </w:rPr>
        <w:t>, A., &amp; Danyliuk, Y. (2024). The impact of emotional intelligence on academic achievement. </w:t>
      </w:r>
      <w:proofErr w:type="spellStart"/>
      <w:r w:rsidRPr="00227927">
        <w:rPr>
          <w:rFonts w:ascii="Times New Roman" w:hAnsi="Times New Roman" w:cs="Times New Roman"/>
          <w:i/>
          <w:iCs/>
        </w:rPr>
        <w:t>PrOsvita</w:t>
      </w:r>
      <w:proofErr w:type="spellEnd"/>
      <w:r w:rsidRPr="00227927">
        <w:rPr>
          <w:rFonts w:ascii="Times New Roman" w:hAnsi="Times New Roman" w:cs="Times New Roman"/>
        </w:rPr>
        <w:t>, (2), 57-70.</w:t>
      </w:r>
      <w:r w:rsidR="00A541EC">
        <w:rPr>
          <w:rFonts w:ascii="Times New Roman" w:hAnsi="Times New Roman" w:cs="Times New Roman"/>
        </w:rPr>
        <w:t xml:space="preserve"> </w:t>
      </w:r>
      <w:hyperlink r:id="rId31" w:history="1">
        <w:r w:rsidR="00A541EC" w:rsidRPr="00A541EC">
          <w:rPr>
            <w:rStyle w:val="Hyperlink"/>
            <w:rFonts w:ascii="Times New Roman" w:hAnsi="Times New Roman" w:cs="Times New Roman"/>
            <w:highlight w:val="yellow"/>
          </w:rPr>
          <w:t>https://doi.org/10.36074/PrOsvita.issue2.004</w:t>
        </w:r>
      </w:hyperlink>
    </w:p>
    <w:p w14:paraId="63D8F4D8" w14:textId="4010EB14" w:rsidR="005F3E35" w:rsidRPr="00227927" w:rsidRDefault="005F3E35" w:rsidP="00A541EC">
      <w:pPr>
        <w:spacing w:after="0" w:line="240" w:lineRule="auto"/>
        <w:ind w:left="720" w:hanging="720"/>
        <w:jc w:val="both"/>
        <w:rPr>
          <w:rFonts w:ascii="Times New Roman" w:hAnsi="Times New Roman" w:cs="Times New Roman"/>
        </w:rPr>
      </w:pPr>
      <w:r w:rsidRPr="005F3E35">
        <w:rPr>
          <w:rFonts w:ascii="Times New Roman" w:hAnsi="Times New Roman" w:cs="Times New Roman"/>
          <w:highlight w:val="yellow"/>
        </w:rPr>
        <w:t>Perera, H. N., &amp; DiGiacomo, M. (2013). The relationship of trait emotional intelligence with academic performance: A meta-analytic review. </w:t>
      </w:r>
      <w:r w:rsidRPr="005F3E35">
        <w:rPr>
          <w:rFonts w:ascii="Times New Roman" w:hAnsi="Times New Roman" w:cs="Times New Roman"/>
          <w:i/>
          <w:iCs/>
          <w:highlight w:val="yellow"/>
        </w:rPr>
        <w:t>Learning and individual differences</w:t>
      </w:r>
      <w:r w:rsidRPr="005F3E35">
        <w:rPr>
          <w:rFonts w:ascii="Times New Roman" w:hAnsi="Times New Roman" w:cs="Times New Roman"/>
          <w:highlight w:val="yellow"/>
        </w:rPr>
        <w:t>, </w:t>
      </w:r>
      <w:r w:rsidRPr="005F3E35">
        <w:rPr>
          <w:rFonts w:ascii="Times New Roman" w:hAnsi="Times New Roman" w:cs="Times New Roman"/>
          <w:i/>
          <w:iCs/>
          <w:highlight w:val="yellow"/>
        </w:rPr>
        <w:t>28</w:t>
      </w:r>
      <w:r w:rsidRPr="005F3E35">
        <w:rPr>
          <w:rFonts w:ascii="Times New Roman" w:hAnsi="Times New Roman" w:cs="Times New Roman"/>
          <w:highlight w:val="yellow"/>
        </w:rPr>
        <w:t xml:space="preserve">, 20-33. </w:t>
      </w:r>
      <w:hyperlink r:id="rId32" w:tgtFrame="_blank" w:tooltip="Persistent link using digital object identifier" w:history="1">
        <w:r w:rsidRPr="005F3E35">
          <w:rPr>
            <w:rStyle w:val="Hyperlink"/>
            <w:rFonts w:ascii="Times New Roman" w:hAnsi="Times New Roman" w:cs="Times New Roman"/>
            <w:highlight w:val="yellow"/>
          </w:rPr>
          <w:t>https://doi.org/10.1016/j.lindif.2013.08.002</w:t>
        </w:r>
      </w:hyperlink>
    </w:p>
    <w:p w14:paraId="1C6FBF44"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Petrides, K. V., Mikolajczak, M., Mavroveli, S., Sanchez-Ruiz, M. J., Furnham, A., &amp; Pérez-González, J. C. (2016). Developments in trait emotional intelligence research. </w:t>
      </w:r>
      <w:r w:rsidRPr="00227927">
        <w:rPr>
          <w:rFonts w:ascii="Times New Roman" w:hAnsi="Times New Roman" w:cs="Times New Roman"/>
          <w:i/>
          <w:iCs/>
        </w:rPr>
        <w:t>Emotion review</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335-341.</w:t>
      </w:r>
      <w:r>
        <w:rPr>
          <w:rFonts w:ascii="Times New Roman" w:hAnsi="Times New Roman" w:cs="Times New Roman"/>
        </w:rPr>
        <w:t xml:space="preserve"> </w:t>
      </w:r>
      <w:hyperlink r:id="rId33" w:history="1">
        <w:r w:rsidRPr="007040EB">
          <w:rPr>
            <w:rStyle w:val="Hyperlink"/>
            <w:rFonts w:ascii="Times New Roman" w:hAnsi="Times New Roman" w:cs="Times New Roman"/>
            <w:highlight w:val="yellow"/>
          </w:rPr>
          <w:t>https://doi.org/10.1177/1754073916650493</w:t>
        </w:r>
      </w:hyperlink>
    </w:p>
    <w:p w14:paraId="060965C1"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lastRenderedPageBreak/>
        <w:t xml:space="preserve">Quílez-Robres, A., </w:t>
      </w:r>
      <w:proofErr w:type="spellStart"/>
      <w:r w:rsidRPr="00227927">
        <w:rPr>
          <w:rFonts w:ascii="Times New Roman" w:hAnsi="Times New Roman" w:cs="Times New Roman"/>
        </w:rPr>
        <w:t>Usán</w:t>
      </w:r>
      <w:proofErr w:type="spellEnd"/>
      <w:r w:rsidRPr="00227927">
        <w:rPr>
          <w:rFonts w:ascii="Times New Roman" w:hAnsi="Times New Roman" w:cs="Times New Roman"/>
        </w:rPr>
        <w:t xml:space="preserve">, P., Lozano-Blasco, R., &amp; </w:t>
      </w:r>
      <w:proofErr w:type="spellStart"/>
      <w:r w:rsidRPr="00227927">
        <w:rPr>
          <w:rFonts w:ascii="Times New Roman" w:hAnsi="Times New Roman" w:cs="Times New Roman"/>
        </w:rPr>
        <w:t>Salavera</w:t>
      </w:r>
      <w:proofErr w:type="spellEnd"/>
      <w:r w:rsidRPr="00227927">
        <w:rPr>
          <w:rFonts w:ascii="Times New Roman" w:hAnsi="Times New Roman" w:cs="Times New Roman"/>
        </w:rPr>
        <w:t>, C. (2023). Emotional intelligence and academic performance: A systematic review and meta-analysis. </w:t>
      </w:r>
      <w:r w:rsidRPr="00227927">
        <w:rPr>
          <w:rFonts w:ascii="Times New Roman" w:hAnsi="Times New Roman" w:cs="Times New Roman"/>
          <w:i/>
          <w:iCs/>
        </w:rPr>
        <w:t>Thinking Skills and Creativity</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 101355.</w:t>
      </w:r>
      <w:r>
        <w:rPr>
          <w:rFonts w:ascii="Times New Roman" w:hAnsi="Times New Roman" w:cs="Times New Roman"/>
        </w:rPr>
        <w:t xml:space="preserve"> </w:t>
      </w:r>
      <w:hyperlink r:id="rId34" w:history="1">
        <w:r w:rsidRPr="007040EB">
          <w:rPr>
            <w:rStyle w:val="Hyperlink"/>
            <w:rFonts w:ascii="Times New Roman" w:hAnsi="Times New Roman" w:cs="Times New Roman"/>
            <w:highlight w:val="yellow"/>
          </w:rPr>
          <w:t>https://doi.org/10.1016/j.tsc.2023.101355</w:t>
        </w:r>
      </w:hyperlink>
    </w:p>
    <w:p w14:paraId="31914C9E"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Rahman, M. M., </w:t>
      </w:r>
      <w:proofErr w:type="spellStart"/>
      <w:r w:rsidRPr="00227927">
        <w:rPr>
          <w:rFonts w:ascii="Times New Roman" w:hAnsi="Times New Roman" w:cs="Times New Roman"/>
        </w:rPr>
        <w:t>Tanbir</w:t>
      </w:r>
      <w:proofErr w:type="spellEnd"/>
      <w:r w:rsidRPr="00227927">
        <w:rPr>
          <w:rFonts w:ascii="Times New Roman" w:hAnsi="Times New Roman" w:cs="Times New Roman"/>
        </w:rPr>
        <w:t xml:space="preserve"> Amin, B. S. S., </w:t>
      </w:r>
      <w:proofErr w:type="spellStart"/>
      <w:r w:rsidRPr="00227927">
        <w:rPr>
          <w:rFonts w:ascii="Times New Roman" w:hAnsi="Times New Roman" w:cs="Times New Roman"/>
        </w:rPr>
        <w:t>Saima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Bintay</w:t>
      </w:r>
      <w:proofErr w:type="spellEnd"/>
      <w:r w:rsidRPr="00227927">
        <w:rPr>
          <w:rFonts w:ascii="Times New Roman" w:hAnsi="Times New Roman" w:cs="Times New Roman"/>
        </w:rPr>
        <w:t xml:space="preserve"> Sultan, B. S. S., Bithi, M. I., Rahman, F., &amp; Rahman, M. M. (2021). Depression, anxiety, and stress among public university students in Bangladesh during the COVID-19 pandemic. </w:t>
      </w:r>
      <w:r w:rsidRPr="00227927">
        <w:rPr>
          <w:rFonts w:ascii="Times New Roman" w:hAnsi="Times New Roman" w:cs="Times New Roman"/>
          <w:i/>
          <w:iCs/>
        </w:rPr>
        <w:t>Journal of Emergency Management</w:t>
      </w:r>
      <w:r w:rsidRPr="00227927">
        <w:rPr>
          <w:rFonts w:ascii="Times New Roman" w:hAnsi="Times New Roman" w:cs="Times New Roman"/>
        </w:rPr>
        <w:t>, </w:t>
      </w:r>
      <w:r w:rsidRPr="00227927">
        <w:rPr>
          <w:rFonts w:ascii="Times New Roman" w:hAnsi="Times New Roman" w:cs="Times New Roman"/>
          <w:i/>
          <w:iCs/>
        </w:rPr>
        <w:t>19</w:t>
      </w:r>
      <w:r w:rsidRPr="00227927">
        <w:rPr>
          <w:rFonts w:ascii="Times New Roman" w:hAnsi="Times New Roman" w:cs="Times New Roman"/>
        </w:rPr>
        <w:t>(9), 99-107.</w:t>
      </w:r>
      <w:r>
        <w:rPr>
          <w:rFonts w:ascii="Times New Roman" w:hAnsi="Times New Roman" w:cs="Times New Roman"/>
        </w:rPr>
        <w:t xml:space="preserve"> </w:t>
      </w:r>
      <w:r w:rsidRPr="007040EB">
        <w:rPr>
          <w:rFonts w:ascii="Times New Roman" w:hAnsi="Times New Roman" w:cs="Times New Roman"/>
          <w:highlight w:val="yellow"/>
        </w:rPr>
        <w:t>DOI:10.5055/jem.0616</w:t>
      </w:r>
    </w:p>
    <w:p w14:paraId="2E352962"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Rehman, R., Tariq, S., &amp; Tariq, S. (2021). Emotional intelligence and academic performance of students. </w:t>
      </w:r>
      <w:r w:rsidRPr="00227927">
        <w:rPr>
          <w:rFonts w:ascii="Times New Roman" w:hAnsi="Times New Roman" w:cs="Times New Roman"/>
          <w:i/>
          <w:iCs/>
        </w:rPr>
        <w:t xml:space="preserve">Journal </w:t>
      </w:r>
      <w:proofErr w:type="gramStart"/>
      <w:r w:rsidRPr="00227927">
        <w:rPr>
          <w:rFonts w:ascii="Times New Roman" w:hAnsi="Times New Roman" w:cs="Times New Roman"/>
          <w:i/>
          <w:iCs/>
        </w:rPr>
        <w:t>Of</w:t>
      </w:r>
      <w:proofErr w:type="gramEnd"/>
      <w:r w:rsidRPr="00227927">
        <w:rPr>
          <w:rFonts w:ascii="Times New Roman" w:hAnsi="Times New Roman" w:cs="Times New Roman"/>
          <w:i/>
          <w:iCs/>
        </w:rPr>
        <w:t xml:space="preserve"> Pakistan Medical Association</w:t>
      </w:r>
      <w:r w:rsidRPr="00227927">
        <w:rPr>
          <w:rFonts w:ascii="Times New Roman" w:hAnsi="Times New Roman" w:cs="Times New Roman"/>
        </w:rPr>
        <w:t>, </w:t>
      </w:r>
      <w:r w:rsidRPr="00227927">
        <w:rPr>
          <w:rFonts w:ascii="Times New Roman" w:hAnsi="Times New Roman" w:cs="Times New Roman"/>
          <w:i/>
          <w:iCs/>
        </w:rPr>
        <w:t>71</w:t>
      </w:r>
      <w:r w:rsidRPr="00227927">
        <w:rPr>
          <w:rFonts w:ascii="Times New Roman" w:hAnsi="Times New Roman" w:cs="Times New Roman"/>
        </w:rPr>
        <w:t>(12), 2777-2777.</w:t>
      </w:r>
      <w:r>
        <w:rPr>
          <w:rFonts w:ascii="Times New Roman" w:hAnsi="Times New Roman" w:cs="Times New Roman"/>
        </w:rPr>
        <w:t xml:space="preserve"> </w:t>
      </w:r>
      <w:hyperlink r:id="rId35" w:history="1">
        <w:r w:rsidRPr="007040EB">
          <w:rPr>
            <w:rStyle w:val="Hyperlink"/>
            <w:rFonts w:ascii="Times New Roman" w:hAnsi="Times New Roman" w:cs="Times New Roman"/>
            <w:highlight w:val="yellow"/>
          </w:rPr>
          <w:t>https://doi.org/10.47391/jpma.1779</w:t>
        </w:r>
      </w:hyperlink>
    </w:p>
    <w:p w14:paraId="4881623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Salovey, P., &amp; Mayer, J. D. (1990). Emotional intelligence. </w:t>
      </w:r>
      <w:r w:rsidRPr="00227927">
        <w:rPr>
          <w:rFonts w:ascii="Times New Roman" w:hAnsi="Times New Roman" w:cs="Times New Roman"/>
          <w:i/>
          <w:iCs/>
        </w:rPr>
        <w:t>Imagination, cognition and personality</w:t>
      </w:r>
      <w:r w:rsidRPr="00227927">
        <w:rPr>
          <w:rFonts w:ascii="Times New Roman" w:hAnsi="Times New Roman" w:cs="Times New Roman"/>
        </w:rPr>
        <w:t>, </w:t>
      </w:r>
      <w:r w:rsidRPr="00227927">
        <w:rPr>
          <w:rFonts w:ascii="Times New Roman" w:hAnsi="Times New Roman" w:cs="Times New Roman"/>
          <w:i/>
          <w:iCs/>
        </w:rPr>
        <w:t>9</w:t>
      </w:r>
      <w:r w:rsidRPr="00227927">
        <w:rPr>
          <w:rFonts w:ascii="Times New Roman" w:hAnsi="Times New Roman" w:cs="Times New Roman"/>
        </w:rPr>
        <w:t>(3), 185-211.</w:t>
      </w:r>
      <w:r>
        <w:rPr>
          <w:rFonts w:ascii="Times New Roman" w:hAnsi="Times New Roman" w:cs="Times New Roman"/>
        </w:rPr>
        <w:t xml:space="preserve"> </w:t>
      </w:r>
      <w:hyperlink r:id="rId36" w:history="1">
        <w:r w:rsidRPr="007040EB">
          <w:rPr>
            <w:rStyle w:val="Hyperlink"/>
            <w:rFonts w:ascii="Times New Roman" w:hAnsi="Times New Roman" w:cs="Times New Roman"/>
            <w:highlight w:val="yellow"/>
          </w:rPr>
          <w:t>https://doi.org/10.2190/DUGG-P24E-52WK-6CDG</w:t>
        </w:r>
      </w:hyperlink>
    </w:p>
    <w:p w14:paraId="26A22BCE" w14:textId="77777777" w:rsidR="00DC71FB" w:rsidRPr="00227927" w:rsidRDefault="00DC71FB" w:rsidP="00DC71FB">
      <w:pPr>
        <w:pStyle w:val="NormalWeb"/>
        <w:spacing w:after="0" w:line="240" w:lineRule="auto"/>
        <w:ind w:left="709" w:hanging="720"/>
        <w:jc w:val="both"/>
      </w:pPr>
      <w:r w:rsidRPr="00227927">
        <w:t xml:space="preserve">Saunders, M., Lewis, P., &amp; Thornhill, A. (2019). </w:t>
      </w:r>
      <w:r w:rsidRPr="00227927">
        <w:rPr>
          <w:rStyle w:val="Emphasis"/>
        </w:rPr>
        <w:t>Research Methods for Business Students</w:t>
      </w:r>
      <w:r w:rsidRPr="00227927">
        <w:t xml:space="preserve"> (8th ed.). Pearson Education.</w:t>
      </w:r>
    </w:p>
    <w:p w14:paraId="3677446B"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Schaufeli, W. B., Martinez, I. M., Pinto, A. M., Salanova, M., &amp; Bakker, A. B. (2002). Burnout and engagement in university students: A cross-national study. </w:t>
      </w:r>
      <w:r w:rsidRPr="00227927">
        <w:rPr>
          <w:rFonts w:ascii="Times New Roman" w:hAnsi="Times New Roman" w:cs="Times New Roman"/>
          <w:i/>
          <w:iCs/>
        </w:rPr>
        <w:t>Journal of cross-cultural psychology</w:t>
      </w:r>
      <w:r w:rsidRPr="00227927">
        <w:rPr>
          <w:rFonts w:ascii="Times New Roman" w:hAnsi="Times New Roman" w:cs="Times New Roman"/>
        </w:rPr>
        <w:t>, </w:t>
      </w:r>
      <w:r w:rsidRPr="00227927">
        <w:rPr>
          <w:rFonts w:ascii="Times New Roman" w:hAnsi="Times New Roman" w:cs="Times New Roman"/>
          <w:i/>
          <w:iCs/>
        </w:rPr>
        <w:t>33</w:t>
      </w:r>
      <w:r w:rsidRPr="00227927">
        <w:rPr>
          <w:rFonts w:ascii="Times New Roman" w:hAnsi="Times New Roman" w:cs="Times New Roman"/>
        </w:rPr>
        <w:t>(5), 464-481.</w:t>
      </w:r>
      <w:r>
        <w:rPr>
          <w:rFonts w:ascii="Times New Roman" w:hAnsi="Times New Roman" w:cs="Times New Roman"/>
        </w:rPr>
        <w:t xml:space="preserve"> </w:t>
      </w:r>
      <w:hyperlink r:id="rId37" w:history="1">
        <w:r w:rsidRPr="007040EB">
          <w:rPr>
            <w:rStyle w:val="Hyperlink"/>
            <w:rFonts w:ascii="Times New Roman" w:hAnsi="Times New Roman" w:cs="Times New Roman"/>
            <w:highlight w:val="yellow"/>
          </w:rPr>
          <w:t>https://doi.org/10.1177/0022022102033005003</w:t>
        </w:r>
      </w:hyperlink>
    </w:p>
    <w:p w14:paraId="18889AC2" w14:textId="5F574650"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Shinwari, M. N., Iqbal, H., Yasir, W., Akbar, S., Andleeb, I., &amp; Jamil, M. N. (2023). Exploring </w:t>
      </w:r>
      <w:proofErr w:type="gramStart"/>
      <w:r w:rsidRPr="00227927">
        <w:rPr>
          <w:rFonts w:ascii="Times New Roman" w:hAnsi="Times New Roman" w:cs="Times New Roman"/>
        </w:rPr>
        <w:t>The</w:t>
      </w:r>
      <w:proofErr w:type="gramEnd"/>
      <w:r w:rsidRPr="00227927">
        <w:rPr>
          <w:rFonts w:ascii="Times New Roman" w:hAnsi="Times New Roman" w:cs="Times New Roman"/>
        </w:rPr>
        <w:t xml:space="preserve"> Nexus Between Emotional Intelligent and Academic Engagement of University Students. </w:t>
      </w:r>
      <w:r w:rsidRPr="00227927">
        <w:rPr>
          <w:rFonts w:ascii="Times New Roman" w:hAnsi="Times New Roman" w:cs="Times New Roman"/>
          <w:i/>
          <w:iCs/>
        </w:rPr>
        <w:t>Journal of Positive School Psychology</w:t>
      </w:r>
      <w:r w:rsidRPr="00227927">
        <w:rPr>
          <w:rFonts w:ascii="Times New Roman" w:hAnsi="Times New Roman" w:cs="Times New Roman"/>
        </w:rPr>
        <w:t>, </w:t>
      </w:r>
      <w:r w:rsidRPr="00227927">
        <w:rPr>
          <w:rFonts w:ascii="Times New Roman" w:hAnsi="Times New Roman" w:cs="Times New Roman"/>
          <w:i/>
          <w:iCs/>
        </w:rPr>
        <w:t>7</w:t>
      </w:r>
      <w:r w:rsidRPr="00227927">
        <w:rPr>
          <w:rFonts w:ascii="Times New Roman" w:hAnsi="Times New Roman" w:cs="Times New Roman"/>
        </w:rPr>
        <w:t>(4)</w:t>
      </w:r>
      <w:r w:rsidR="007040EB">
        <w:rPr>
          <w:rFonts w:ascii="Times New Roman" w:hAnsi="Times New Roman" w:cs="Times New Roman"/>
        </w:rPr>
        <w:t xml:space="preserve">, </w:t>
      </w:r>
      <w:r w:rsidR="007040EB" w:rsidRPr="007040EB">
        <w:rPr>
          <w:rFonts w:ascii="Times New Roman" w:hAnsi="Times New Roman" w:cs="Times New Roman"/>
        </w:rPr>
        <w:t>1762-1772</w:t>
      </w:r>
      <w:r w:rsidRPr="00227927">
        <w:rPr>
          <w:rFonts w:ascii="Times New Roman" w:hAnsi="Times New Roman" w:cs="Times New Roman"/>
        </w:rPr>
        <w:t>.</w:t>
      </w:r>
    </w:p>
    <w:p w14:paraId="4BA5CECE"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Thomas, C. L., &amp; Allen, K. (2021). Driving engagement: investigating the influence of emotional intelligence and academic buoyancy on student engagement. </w:t>
      </w:r>
      <w:r w:rsidRPr="00227927">
        <w:rPr>
          <w:rFonts w:ascii="Times New Roman" w:hAnsi="Times New Roman" w:cs="Times New Roman"/>
          <w:i/>
          <w:iCs/>
        </w:rPr>
        <w:t>Journal of Further and Higher Education</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(1), 107-119.</w:t>
      </w:r>
      <w:r>
        <w:rPr>
          <w:rFonts w:ascii="Times New Roman" w:hAnsi="Times New Roman" w:cs="Times New Roman"/>
        </w:rPr>
        <w:t xml:space="preserve"> </w:t>
      </w:r>
      <w:hyperlink r:id="rId38" w:history="1">
        <w:r w:rsidRPr="007040EB">
          <w:rPr>
            <w:rStyle w:val="Hyperlink"/>
            <w:rFonts w:ascii="Times New Roman" w:hAnsi="Times New Roman" w:cs="Times New Roman"/>
            <w:highlight w:val="yellow"/>
          </w:rPr>
          <w:t>https://doi.org/10.1080/0309877X.2020.1741520</w:t>
        </w:r>
      </w:hyperlink>
    </w:p>
    <w:p w14:paraId="32FB95DF"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Wang, M. T., </w:t>
      </w:r>
      <w:proofErr w:type="spellStart"/>
      <w:r w:rsidRPr="00227927">
        <w:rPr>
          <w:rFonts w:ascii="Times New Roman" w:hAnsi="Times New Roman" w:cs="Times New Roman"/>
        </w:rPr>
        <w:t>Hofkens</w:t>
      </w:r>
      <w:proofErr w:type="spellEnd"/>
      <w:r w:rsidRPr="00227927">
        <w:rPr>
          <w:rFonts w:ascii="Times New Roman" w:hAnsi="Times New Roman" w:cs="Times New Roman"/>
        </w:rPr>
        <w:t>, T., &amp; Ye, F. (2020). Classroom quality and adolescent student engagement and performance in mathematics: A multi-method and multi-informant approach. </w:t>
      </w:r>
      <w:r w:rsidRPr="00227927">
        <w:rPr>
          <w:rFonts w:ascii="Times New Roman" w:hAnsi="Times New Roman" w:cs="Times New Roman"/>
          <w:i/>
          <w:iCs/>
        </w:rPr>
        <w:t>Journal of youth and adolescence</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(10), 1987-2002.</w:t>
      </w:r>
      <w:r>
        <w:rPr>
          <w:rFonts w:ascii="Times New Roman" w:hAnsi="Times New Roman" w:cs="Times New Roman"/>
        </w:rPr>
        <w:t xml:space="preserve"> </w:t>
      </w:r>
      <w:hyperlink r:id="rId39" w:history="1">
        <w:r w:rsidRPr="007040EB">
          <w:rPr>
            <w:rStyle w:val="Hyperlink"/>
            <w:rFonts w:ascii="Times New Roman" w:hAnsi="Times New Roman" w:cs="Times New Roman"/>
            <w:highlight w:val="yellow"/>
          </w:rPr>
          <w:t>https://link.springer.com/article/10.1007/s10964-020-01195-0</w:t>
        </w:r>
      </w:hyperlink>
    </w:p>
    <w:p w14:paraId="78B1481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Wijekoon, C. N., </w:t>
      </w:r>
      <w:proofErr w:type="spellStart"/>
      <w:r w:rsidRPr="00227927">
        <w:rPr>
          <w:rFonts w:ascii="Times New Roman" w:hAnsi="Times New Roman" w:cs="Times New Roman"/>
        </w:rPr>
        <w:t>Amaratunge</w:t>
      </w:r>
      <w:proofErr w:type="spellEnd"/>
      <w:r w:rsidRPr="00227927">
        <w:rPr>
          <w:rFonts w:ascii="Times New Roman" w:hAnsi="Times New Roman" w:cs="Times New Roman"/>
        </w:rPr>
        <w:t>, H., de Silva, Y., Senanayake, S., Jayawardane, P., &amp; Senarath, U. (2017). Emotional intelligence and academic performance of medical undergraduates: a cross-sectional study in a selected university in Sri Lanka.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17</w:t>
      </w:r>
      <w:r w:rsidRPr="00227927">
        <w:rPr>
          <w:rFonts w:ascii="Times New Roman" w:hAnsi="Times New Roman" w:cs="Times New Roman"/>
        </w:rPr>
        <w:t>(1), 176.</w:t>
      </w:r>
      <w:r>
        <w:rPr>
          <w:rFonts w:ascii="Times New Roman" w:hAnsi="Times New Roman" w:cs="Times New Roman"/>
        </w:rPr>
        <w:t xml:space="preserve"> </w:t>
      </w:r>
      <w:hyperlink r:id="rId40" w:history="1">
        <w:r w:rsidRPr="007040EB">
          <w:rPr>
            <w:rStyle w:val="Hyperlink"/>
            <w:rFonts w:ascii="Times New Roman" w:hAnsi="Times New Roman" w:cs="Times New Roman"/>
            <w:highlight w:val="yellow"/>
          </w:rPr>
          <w:t>https://link.springer.com/article/10.1186/s12909-017-1018-9</w:t>
        </w:r>
      </w:hyperlink>
    </w:p>
    <w:p w14:paraId="44280136"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Wong, C. S., &amp; Law, K. S. (2002). Wong and law emotional intelligence scale. </w:t>
      </w:r>
      <w:r w:rsidRPr="00227927">
        <w:rPr>
          <w:rFonts w:ascii="Times New Roman" w:hAnsi="Times New Roman" w:cs="Times New Roman"/>
          <w:i/>
          <w:iCs/>
        </w:rPr>
        <w:t>The leadership quarterly</w:t>
      </w:r>
      <w:r w:rsidRPr="00227927">
        <w:rPr>
          <w:rFonts w:ascii="Times New Roman" w:hAnsi="Times New Roman" w:cs="Times New Roman"/>
        </w:rPr>
        <w:t>.</w:t>
      </w:r>
      <w:r>
        <w:rPr>
          <w:rFonts w:ascii="Times New Roman" w:hAnsi="Times New Roman" w:cs="Times New Roman"/>
        </w:rPr>
        <w:t xml:space="preserve"> </w:t>
      </w:r>
      <w:hyperlink r:id="rId41" w:history="1">
        <w:r w:rsidRPr="007040EB">
          <w:rPr>
            <w:rStyle w:val="Hyperlink"/>
            <w:rFonts w:ascii="Times New Roman" w:hAnsi="Times New Roman" w:cs="Times New Roman"/>
            <w:highlight w:val="yellow"/>
          </w:rPr>
          <w:t>https://psycnet.apa.org/doi/10.1037/t07398-000</w:t>
        </w:r>
      </w:hyperlink>
    </w:p>
    <w:p w14:paraId="26FFB7D9" w14:textId="77777777" w:rsidR="008E4F4E" w:rsidRPr="00227927" w:rsidRDefault="008E4F4E" w:rsidP="000A0A3F">
      <w:pPr>
        <w:spacing w:after="0" w:line="240" w:lineRule="auto"/>
        <w:ind w:left="709" w:hanging="720"/>
        <w:jc w:val="both"/>
        <w:rPr>
          <w:rFonts w:ascii="Times New Roman" w:hAnsi="Times New Roman" w:cs="Times New Roman"/>
        </w:rPr>
      </w:pPr>
    </w:p>
    <w:p w14:paraId="286A822A" w14:textId="623A1ADD" w:rsidR="00DC71FB" w:rsidRDefault="002D2239" w:rsidP="000A0A3F">
      <w:pPr>
        <w:spacing w:after="0" w:line="240" w:lineRule="auto"/>
        <w:ind w:left="709" w:hanging="720"/>
        <w:jc w:val="both"/>
        <w:rPr>
          <w:rFonts w:ascii="Times New Roman" w:hAnsi="Times New Roman" w:cs="Times New Roman"/>
        </w:rPr>
      </w:pPr>
      <w:r w:rsidRPr="00227927">
        <w:rPr>
          <w:rFonts w:ascii="Times New Roman" w:hAnsi="Times New Roman" w:cs="Times New Roman"/>
        </w:rPr>
        <w:t>York, T. T., Gibson, C., &amp; Rankin, S. (2015). Defining and measuring academic success. </w:t>
      </w:r>
      <w:r w:rsidRPr="00227927">
        <w:rPr>
          <w:rFonts w:ascii="Times New Roman" w:hAnsi="Times New Roman" w:cs="Times New Roman"/>
          <w:i/>
          <w:iCs/>
        </w:rPr>
        <w:t>Practical assessment, research &amp; evaluation</w:t>
      </w:r>
      <w:r w:rsidRPr="00227927">
        <w:rPr>
          <w:rFonts w:ascii="Times New Roman" w:hAnsi="Times New Roman" w:cs="Times New Roman"/>
        </w:rPr>
        <w:t>, </w:t>
      </w:r>
      <w:r w:rsidRPr="00227927">
        <w:rPr>
          <w:rFonts w:ascii="Times New Roman" w:hAnsi="Times New Roman" w:cs="Times New Roman"/>
          <w:i/>
          <w:iCs/>
        </w:rPr>
        <w:t>20</w:t>
      </w:r>
      <w:r w:rsidRPr="00227927">
        <w:rPr>
          <w:rFonts w:ascii="Times New Roman" w:hAnsi="Times New Roman" w:cs="Times New Roman"/>
        </w:rPr>
        <w:t>(5), n5.</w:t>
      </w:r>
      <w:r w:rsidR="00DC71FB">
        <w:rPr>
          <w:rFonts w:ascii="Times New Roman" w:hAnsi="Times New Roman" w:cs="Times New Roman"/>
        </w:rPr>
        <w:t xml:space="preserve">  </w:t>
      </w:r>
    </w:p>
    <w:p w14:paraId="341F2472" w14:textId="77777777" w:rsidR="00804275" w:rsidRDefault="00804275" w:rsidP="000A0A3F">
      <w:pPr>
        <w:spacing w:after="0" w:line="240" w:lineRule="auto"/>
        <w:ind w:left="709" w:hanging="720"/>
        <w:jc w:val="both"/>
        <w:rPr>
          <w:rFonts w:ascii="Times New Roman" w:hAnsi="Times New Roman" w:cs="Times New Roman"/>
        </w:rPr>
      </w:pPr>
    </w:p>
    <w:p w14:paraId="2A415FC4" w14:textId="77777777" w:rsidR="00804275" w:rsidRPr="00227927" w:rsidRDefault="00804275" w:rsidP="000A0A3F">
      <w:pPr>
        <w:spacing w:after="0" w:line="240" w:lineRule="auto"/>
        <w:ind w:left="709" w:hanging="720"/>
        <w:jc w:val="both"/>
        <w:rPr>
          <w:rFonts w:ascii="Times New Roman" w:hAnsi="Times New Roman" w:cs="Times New Roman"/>
        </w:rPr>
      </w:pPr>
    </w:p>
    <w:sectPr w:rsidR="00804275" w:rsidRPr="00227927">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F4C1" w14:textId="77777777" w:rsidR="000550D9" w:rsidRDefault="000550D9" w:rsidP="002D2239">
      <w:pPr>
        <w:spacing w:after="0" w:line="240" w:lineRule="auto"/>
      </w:pPr>
      <w:r>
        <w:separator/>
      </w:r>
    </w:p>
  </w:endnote>
  <w:endnote w:type="continuationSeparator" w:id="0">
    <w:p w14:paraId="1144E4B6" w14:textId="77777777" w:rsidR="000550D9" w:rsidRDefault="000550D9" w:rsidP="002D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AC45" w14:textId="77777777" w:rsidR="00967E89" w:rsidRDefault="0096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904D" w14:textId="52EDDC76" w:rsidR="002D2239" w:rsidRPr="009F4223" w:rsidRDefault="002D2239" w:rsidP="009F4223">
    <w:pPr>
      <w:pStyle w:val="Footer"/>
      <w:jc w:val="center"/>
      <w:rPr>
        <w:rFonts w:ascii="Times New Roman" w:hAnsi="Times New Roman" w:cs="Times New Roman"/>
        <w:sz w:val="20"/>
        <w:szCs w:val="20"/>
      </w:rPr>
    </w:pPr>
  </w:p>
  <w:p w14:paraId="11AF984E" w14:textId="77777777" w:rsidR="002D2239" w:rsidRDefault="002D2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229B" w14:textId="77777777" w:rsidR="00967E89" w:rsidRDefault="0096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BFAF" w14:textId="77777777" w:rsidR="000550D9" w:rsidRDefault="000550D9" w:rsidP="002D2239">
      <w:pPr>
        <w:spacing w:after="0" w:line="240" w:lineRule="auto"/>
      </w:pPr>
      <w:r>
        <w:separator/>
      </w:r>
    </w:p>
  </w:footnote>
  <w:footnote w:type="continuationSeparator" w:id="0">
    <w:p w14:paraId="7193C0CA" w14:textId="77777777" w:rsidR="000550D9" w:rsidRDefault="000550D9" w:rsidP="002D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FFD4" w14:textId="1C2A33A9" w:rsidR="00967E89" w:rsidRDefault="000550D9">
    <w:pPr>
      <w:pStyle w:val="Header"/>
    </w:pPr>
    <w:r>
      <w:rPr>
        <w:noProof/>
      </w:rPr>
      <w:pict w14:anchorId="01D3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A09F" w14:textId="32BDD07E" w:rsidR="00967E89" w:rsidRDefault="000550D9">
    <w:pPr>
      <w:pStyle w:val="Header"/>
    </w:pPr>
    <w:r>
      <w:rPr>
        <w:noProof/>
      </w:rPr>
      <w:pict w14:anchorId="69606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F808" w14:textId="7A5FDAF8" w:rsidR="00967E89" w:rsidRDefault="000550D9">
    <w:pPr>
      <w:pStyle w:val="Header"/>
    </w:pPr>
    <w:r>
      <w:rPr>
        <w:noProof/>
      </w:rPr>
      <w:pict w14:anchorId="34DC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913DE"/>
    <w:multiLevelType w:val="multilevel"/>
    <w:tmpl w:val="D95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8D"/>
    <w:rsid w:val="000141DB"/>
    <w:rsid w:val="000273F6"/>
    <w:rsid w:val="000317C4"/>
    <w:rsid w:val="000550D9"/>
    <w:rsid w:val="00091E4D"/>
    <w:rsid w:val="000978FC"/>
    <w:rsid w:val="000A0A3F"/>
    <w:rsid w:val="000A696C"/>
    <w:rsid w:val="000E6180"/>
    <w:rsid w:val="00101033"/>
    <w:rsid w:val="00101884"/>
    <w:rsid w:val="00101ADD"/>
    <w:rsid w:val="00122E1D"/>
    <w:rsid w:val="0012377D"/>
    <w:rsid w:val="00161666"/>
    <w:rsid w:val="0016469D"/>
    <w:rsid w:val="001728E5"/>
    <w:rsid w:val="00177E8A"/>
    <w:rsid w:val="00193435"/>
    <w:rsid w:val="001B2BA5"/>
    <w:rsid w:val="001B6BC2"/>
    <w:rsid w:val="001F5143"/>
    <w:rsid w:val="001F5164"/>
    <w:rsid w:val="00200399"/>
    <w:rsid w:val="002016D8"/>
    <w:rsid w:val="00213318"/>
    <w:rsid w:val="00227927"/>
    <w:rsid w:val="00232545"/>
    <w:rsid w:val="00247456"/>
    <w:rsid w:val="00251CA5"/>
    <w:rsid w:val="002707AE"/>
    <w:rsid w:val="002A528D"/>
    <w:rsid w:val="002C2982"/>
    <w:rsid w:val="002C2ECA"/>
    <w:rsid w:val="002C3CDC"/>
    <w:rsid w:val="002D2239"/>
    <w:rsid w:val="00306331"/>
    <w:rsid w:val="00362045"/>
    <w:rsid w:val="003718E6"/>
    <w:rsid w:val="00382FD8"/>
    <w:rsid w:val="00383384"/>
    <w:rsid w:val="00385FD4"/>
    <w:rsid w:val="003A32F8"/>
    <w:rsid w:val="003A6D16"/>
    <w:rsid w:val="003C0B5A"/>
    <w:rsid w:val="003C2EC0"/>
    <w:rsid w:val="003C553A"/>
    <w:rsid w:val="003F01C6"/>
    <w:rsid w:val="003F7EC7"/>
    <w:rsid w:val="00401CBE"/>
    <w:rsid w:val="00413A29"/>
    <w:rsid w:val="004170CF"/>
    <w:rsid w:val="0042280D"/>
    <w:rsid w:val="004602C4"/>
    <w:rsid w:val="00460B30"/>
    <w:rsid w:val="00477615"/>
    <w:rsid w:val="004835D9"/>
    <w:rsid w:val="004A6236"/>
    <w:rsid w:val="004C7699"/>
    <w:rsid w:val="004D71C3"/>
    <w:rsid w:val="004F31C0"/>
    <w:rsid w:val="0050060C"/>
    <w:rsid w:val="00515E79"/>
    <w:rsid w:val="00520432"/>
    <w:rsid w:val="00527CF0"/>
    <w:rsid w:val="005411EA"/>
    <w:rsid w:val="00550989"/>
    <w:rsid w:val="00573FC4"/>
    <w:rsid w:val="00576890"/>
    <w:rsid w:val="005B6D68"/>
    <w:rsid w:val="005F3E35"/>
    <w:rsid w:val="005F69D4"/>
    <w:rsid w:val="005F6F02"/>
    <w:rsid w:val="006045A4"/>
    <w:rsid w:val="00611E45"/>
    <w:rsid w:val="00633712"/>
    <w:rsid w:val="00637BDF"/>
    <w:rsid w:val="00640FE4"/>
    <w:rsid w:val="00641B89"/>
    <w:rsid w:val="0065273E"/>
    <w:rsid w:val="0066563D"/>
    <w:rsid w:val="00670533"/>
    <w:rsid w:val="0067433D"/>
    <w:rsid w:val="00695812"/>
    <w:rsid w:val="00697B4A"/>
    <w:rsid w:val="006A0275"/>
    <w:rsid w:val="006A741C"/>
    <w:rsid w:val="006B1A99"/>
    <w:rsid w:val="006C4F81"/>
    <w:rsid w:val="006D2392"/>
    <w:rsid w:val="006D2AC2"/>
    <w:rsid w:val="007040EB"/>
    <w:rsid w:val="007211DE"/>
    <w:rsid w:val="00724DD7"/>
    <w:rsid w:val="00733AF3"/>
    <w:rsid w:val="00733D4D"/>
    <w:rsid w:val="00741A20"/>
    <w:rsid w:val="00786646"/>
    <w:rsid w:val="007A270A"/>
    <w:rsid w:val="007B0C75"/>
    <w:rsid w:val="007B59D2"/>
    <w:rsid w:val="007C0AD1"/>
    <w:rsid w:val="007D36B0"/>
    <w:rsid w:val="007D6753"/>
    <w:rsid w:val="007D699B"/>
    <w:rsid w:val="007E0612"/>
    <w:rsid w:val="007F2E5D"/>
    <w:rsid w:val="00804275"/>
    <w:rsid w:val="00831248"/>
    <w:rsid w:val="008533A8"/>
    <w:rsid w:val="00857524"/>
    <w:rsid w:val="00857C0D"/>
    <w:rsid w:val="00864673"/>
    <w:rsid w:val="0087070A"/>
    <w:rsid w:val="00873D8C"/>
    <w:rsid w:val="00887EEB"/>
    <w:rsid w:val="008C045E"/>
    <w:rsid w:val="008C68E6"/>
    <w:rsid w:val="008C6ACF"/>
    <w:rsid w:val="008D2235"/>
    <w:rsid w:val="008E1987"/>
    <w:rsid w:val="008E4F4E"/>
    <w:rsid w:val="008E5525"/>
    <w:rsid w:val="008F7841"/>
    <w:rsid w:val="00902335"/>
    <w:rsid w:val="009370D7"/>
    <w:rsid w:val="009462BB"/>
    <w:rsid w:val="00955E07"/>
    <w:rsid w:val="009614A8"/>
    <w:rsid w:val="0096300B"/>
    <w:rsid w:val="00967A40"/>
    <w:rsid w:val="00967E89"/>
    <w:rsid w:val="00995F4F"/>
    <w:rsid w:val="009C5C0C"/>
    <w:rsid w:val="009E678F"/>
    <w:rsid w:val="009F4223"/>
    <w:rsid w:val="00A033AC"/>
    <w:rsid w:val="00A0717B"/>
    <w:rsid w:val="00A07DCF"/>
    <w:rsid w:val="00A13FD0"/>
    <w:rsid w:val="00A2068F"/>
    <w:rsid w:val="00A34212"/>
    <w:rsid w:val="00A527AF"/>
    <w:rsid w:val="00A541EC"/>
    <w:rsid w:val="00A72B84"/>
    <w:rsid w:val="00AD2DCA"/>
    <w:rsid w:val="00AE6069"/>
    <w:rsid w:val="00AF2E08"/>
    <w:rsid w:val="00B2402B"/>
    <w:rsid w:val="00B248F0"/>
    <w:rsid w:val="00B3001D"/>
    <w:rsid w:val="00B601FF"/>
    <w:rsid w:val="00B641B8"/>
    <w:rsid w:val="00B86C19"/>
    <w:rsid w:val="00B9098D"/>
    <w:rsid w:val="00B943F3"/>
    <w:rsid w:val="00B94BDD"/>
    <w:rsid w:val="00BB1B86"/>
    <w:rsid w:val="00BB38F0"/>
    <w:rsid w:val="00BB6F5E"/>
    <w:rsid w:val="00BC6191"/>
    <w:rsid w:val="00C354E1"/>
    <w:rsid w:val="00C422A4"/>
    <w:rsid w:val="00C5674C"/>
    <w:rsid w:val="00C6789A"/>
    <w:rsid w:val="00C9106D"/>
    <w:rsid w:val="00CA774E"/>
    <w:rsid w:val="00CB7857"/>
    <w:rsid w:val="00CD06B4"/>
    <w:rsid w:val="00CE44A9"/>
    <w:rsid w:val="00CF1436"/>
    <w:rsid w:val="00CF5CF0"/>
    <w:rsid w:val="00D037A7"/>
    <w:rsid w:val="00D04363"/>
    <w:rsid w:val="00D05C63"/>
    <w:rsid w:val="00D06B51"/>
    <w:rsid w:val="00D216F4"/>
    <w:rsid w:val="00D23EFE"/>
    <w:rsid w:val="00D51082"/>
    <w:rsid w:val="00D531BB"/>
    <w:rsid w:val="00D552D4"/>
    <w:rsid w:val="00D56ABE"/>
    <w:rsid w:val="00D56B09"/>
    <w:rsid w:val="00D6511E"/>
    <w:rsid w:val="00D77BE5"/>
    <w:rsid w:val="00DA644F"/>
    <w:rsid w:val="00DB55D3"/>
    <w:rsid w:val="00DC71FB"/>
    <w:rsid w:val="00DF27B2"/>
    <w:rsid w:val="00E1371D"/>
    <w:rsid w:val="00E13AEC"/>
    <w:rsid w:val="00E41E94"/>
    <w:rsid w:val="00E5255D"/>
    <w:rsid w:val="00E64AE3"/>
    <w:rsid w:val="00E86515"/>
    <w:rsid w:val="00E90A70"/>
    <w:rsid w:val="00E967C7"/>
    <w:rsid w:val="00EA3AC8"/>
    <w:rsid w:val="00EB2D6B"/>
    <w:rsid w:val="00EC6A92"/>
    <w:rsid w:val="00ED17ED"/>
    <w:rsid w:val="00EE4B57"/>
    <w:rsid w:val="00EE4EAF"/>
    <w:rsid w:val="00EE660D"/>
    <w:rsid w:val="00F11587"/>
    <w:rsid w:val="00F30CD6"/>
    <w:rsid w:val="00F4205A"/>
    <w:rsid w:val="00F43B07"/>
    <w:rsid w:val="00F44A5B"/>
    <w:rsid w:val="00F554EB"/>
    <w:rsid w:val="00F90545"/>
    <w:rsid w:val="00F93870"/>
    <w:rsid w:val="00F968E9"/>
    <w:rsid w:val="00FA5EDC"/>
    <w:rsid w:val="00FA626E"/>
    <w:rsid w:val="00FB2398"/>
    <w:rsid w:val="00FB5FCE"/>
    <w:rsid w:val="00FC0919"/>
    <w:rsid w:val="00FD56E2"/>
    <w:rsid w:val="00FE619E"/>
    <w:rsid w:val="00FE6A3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A9DADA"/>
  <w15:chartTrackingRefBased/>
  <w15:docId w15:val="{C540A4AF-037B-4BFD-ABEF-F64483EC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8D"/>
    <w:rPr>
      <w:rFonts w:eastAsiaTheme="majorEastAsia" w:cstheme="majorBidi"/>
      <w:color w:val="272727" w:themeColor="text1" w:themeTint="D8"/>
    </w:rPr>
  </w:style>
  <w:style w:type="paragraph" w:styleId="Title">
    <w:name w:val="Title"/>
    <w:basedOn w:val="Normal"/>
    <w:next w:val="Normal"/>
    <w:link w:val="TitleChar"/>
    <w:uiPriority w:val="10"/>
    <w:qFormat/>
    <w:rsid w:val="00B9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8D"/>
    <w:pPr>
      <w:spacing w:before="160"/>
      <w:jc w:val="center"/>
    </w:pPr>
    <w:rPr>
      <w:i/>
      <w:iCs/>
      <w:color w:val="404040" w:themeColor="text1" w:themeTint="BF"/>
    </w:rPr>
  </w:style>
  <w:style w:type="character" w:customStyle="1" w:styleId="QuoteChar">
    <w:name w:val="Quote Char"/>
    <w:basedOn w:val="DefaultParagraphFont"/>
    <w:link w:val="Quote"/>
    <w:uiPriority w:val="29"/>
    <w:rsid w:val="00B9098D"/>
    <w:rPr>
      <w:i/>
      <w:iCs/>
      <w:color w:val="404040" w:themeColor="text1" w:themeTint="BF"/>
    </w:rPr>
  </w:style>
  <w:style w:type="paragraph" w:styleId="ListParagraph">
    <w:name w:val="List Paragraph"/>
    <w:basedOn w:val="Normal"/>
    <w:uiPriority w:val="34"/>
    <w:qFormat/>
    <w:rsid w:val="00B9098D"/>
    <w:pPr>
      <w:ind w:left="720"/>
      <w:contextualSpacing/>
    </w:pPr>
  </w:style>
  <w:style w:type="character" w:styleId="IntenseEmphasis">
    <w:name w:val="Intense Emphasis"/>
    <w:basedOn w:val="DefaultParagraphFont"/>
    <w:uiPriority w:val="21"/>
    <w:qFormat/>
    <w:rsid w:val="00B9098D"/>
    <w:rPr>
      <w:i/>
      <w:iCs/>
      <w:color w:val="2F5496" w:themeColor="accent1" w:themeShade="BF"/>
    </w:rPr>
  </w:style>
  <w:style w:type="paragraph" w:styleId="IntenseQuote">
    <w:name w:val="Intense Quote"/>
    <w:basedOn w:val="Normal"/>
    <w:next w:val="Normal"/>
    <w:link w:val="IntenseQuoteChar"/>
    <w:uiPriority w:val="30"/>
    <w:qFormat/>
    <w:rsid w:val="00B90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98D"/>
    <w:rPr>
      <w:i/>
      <w:iCs/>
      <w:color w:val="2F5496" w:themeColor="accent1" w:themeShade="BF"/>
    </w:rPr>
  </w:style>
  <w:style w:type="character" w:styleId="IntenseReference">
    <w:name w:val="Intense Reference"/>
    <w:basedOn w:val="DefaultParagraphFont"/>
    <w:uiPriority w:val="32"/>
    <w:qFormat/>
    <w:rsid w:val="00B9098D"/>
    <w:rPr>
      <w:b/>
      <w:bCs/>
      <w:smallCaps/>
      <w:color w:val="2F5496" w:themeColor="accent1" w:themeShade="BF"/>
      <w:spacing w:val="5"/>
    </w:rPr>
  </w:style>
  <w:style w:type="paragraph" w:styleId="NormalWeb">
    <w:name w:val="Normal (Web)"/>
    <w:basedOn w:val="Normal"/>
    <w:uiPriority w:val="99"/>
    <w:unhideWhenUsed/>
    <w:rsid w:val="005B6D68"/>
    <w:rPr>
      <w:rFonts w:ascii="Times New Roman" w:hAnsi="Times New Roman" w:cs="Times New Roman"/>
    </w:rPr>
  </w:style>
  <w:style w:type="character" w:styleId="Strong">
    <w:name w:val="Strong"/>
    <w:basedOn w:val="DefaultParagraphFont"/>
    <w:uiPriority w:val="22"/>
    <w:qFormat/>
    <w:rsid w:val="005B6D68"/>
    <w:rPr>
      <w:b/>
      <w:bCs/>
    </w:rPr>
  </w:style>
  <w:style w:type="paragraph" w:customStyle="1" w:styleId="Default">
    <w:name w:val="Default"/>
    <w:rsid w:val="008E5525"/>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customStyle="1" w:styleId="ds-markdown-paragraph">
    <w:name w:val="ds-markdown-paragraph"/>
    <w:basedOn w:val="Normal"/>
    <w:rsid w:val="008E552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16469D"/>
    <w:rPr>
      <w:color w:val="0563C1" w:themeColor="hyperlink"/>
      <w:u w:val="single"/>
    </w:rPr>
  </w:style>
  <w:style w:type="character" w:styleId="Emphasis">
    <w:name w:val="Emphasis"/>
    <w:basedOn w:val="DefaultParagraphFont"/>
    <w:uiPriority w:val="20"/>
    <w:qFormat/>
    <w:rsid w:val="002D2239"/>
    <w:rPr>
      <w:i/>
      <w:iCs/>
    </w:rPr>
  </w:style>
  <w:style w:type="paragraph" w:styleId="Header">
    <w:name w:val="header"/>
    <w:basedOn w:val="Normal"/>
    <w:link w:val="HeaderChar"/>
    <w:uiPriority w:val="99"/>
    <w:unhideWhenUsed/>
    <w:rsid w:val="002D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39"/>
  </w:style>
  <w:style w:type="paragraph" w:styleId="Footer">
    <w:name w:val="footer"/>
    <w:basedOn w:val="Normal"/>
    <w:link w:val="FooterChar"/>
    <w:uiPriority w:val="99"/>
    <w:unhideWhenUsed/>
    <w:rsid w:val="002D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39"/>
  </w:style>
  <w:style w:type="paragraph" w:styleId="NoSpacing">
    <w:name w:val="No Spacing"/>
    <w:uiPriority w:val="1"/>
    <w:qFormat/>
    <w:rsid w:val="002C3CDC"/>
    <w:pPr>
      <w:spacing w:after="0" w:line="240" w:lineRule="auto"/>
    </w:pPr>
  </w:style>
  <w:style w:type="paragraph" w:styleId="FootnoteText">
    <w:name w:val="footnote text"/>
    <w:basedOn w:val="Normal"/>
    <w:link w:val="FootnoteTextChar"/>
    <w:uiPriority w:val="99"/>
    <w:semiHidden/>
    <w:unhideWhenUsed/>
    <w:rsid w:val="00640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FE4"/>
    <w:rPr>
      <w:sz w:val="20"/>
      <w:szCs w:val="20"/>
    </w:rPr>
  </w:style>
  <w:style w:type="character" w:styleId="FootnoteReference">
    <w:name w:val="footnote reference"/>
    <w:basedOn w:val="DefaultParagraphFont"/>
    <w:uiPriority w:val="99"/>
    <w:semiHidden/>
    <w:unhideWhenUsed/>
    <w:rsid w:val="00640FE4"/>
    <w:rPr>
      <w:vertAlign w:val="superscript"/>
    </w:rPr>
  </w:style>
  <w:style w:type="character" w:customStyle="1" w:styleId="UnresolvedMention1">
    <w:name w:val="Unresolved Mention1"/>
    <w:basedOn w:val="DefaultParagraphFont"/>
    <w:uiPriority w:val="99"/>
    <w:semiHidden/>
    <w:unhideWhenUsed/>
    <w:rsid w:val="002A528D"/>
    <w:rPr>
      <w:color w:val="605E5C"/>
      <w:shd w:val="clear" w:color="auto" w:fill="E1DFDD"/>
    </w:rPr>
  </w:style>
  <w:style w:type="character" w:styleId="FollowedHyperlink">
    <w:name w:val="FollowedHyperlink"/>
    <w:basedOn w:val="DefaultParagraphFont"/>
    <w:uiPriority w:val="99"/>
    <w:semiHidden/>
    <w:unhideWhenUsed/>
    <w:rsid w:val="00D651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4753">
      <w:bodyDiv w:val="1"/>
      <w:marLeft w:val="0"/>
      <w:marRight w:val="0"/>
      <w:marTop w:val="0"/>
      <w:marBottom w:val="0"/>
      <w:divBdr>
        <w:top w:val="none" w:sz="0" w:space="0" w:color="auto"/>
        <w:left w:val="none" w:sz="0" w:space="0" w:color="auto"/>
        <w:bottom w:val="none" w:sz="0" w:space="0" w:color="auto"/>
        <w:right w:val="none" w:sz="0" w:space="0" w:color="auto"/>
      </w:divBdr>
    </w:div>
    <w:div w:id="564730724">
      <w:bodyDiv w:val="1"/>
      <w:marLeft w:val="0"/>
      <w:marRight w:val="0"/>
      <w:marTop w:val="0"/>
      <w:marBottom w:val="0"/>
      <w:divBdr>
        <w:top w:val="none" w:sz="0" w:space="0" w:color="auto"/>
        <w:left w:val="none" w:sz="0" w:space="0" w:color="auto"/>
        <w:bottom w:val="none" w:sz="0" w:space="0" w:color="auto"/>
        <w:right w:val="none" w:sz="0" w:space="0" w:color="auto"/>
      </w:divBdr>
    </w:div>
    <w:div w:id="1180968398">
      <w:bodyDiv w:val="1"/>
      <w:marLeft w:val="0"/>
      <w:marRight w:val="0"/>
      <w:marTop w:val="0"/>
      <w:marBottom w:val="0"/>
      <w:divBdr>
        <w:top w:val="none" w:sz="0" w:space="0" w:color="auto"/>
        <w:left w:val="none" w:sz="0" w:space="0" w:color="auto"/>
        <w:bottom w:val="none" w:sz="0" w:space="0" w:color="auto"/>
        <w:right w:val="none" w:sz="0" w:space="0" w:color="auto"/>
      </w:divBdr>
    </w:div>
    <w:div w:id="1462766998">
      <w:bodyDiv w:val="1"/>
      <w:marLeft w:val="0"/>
      <w:marRight w:val="0"/>
      <w:marTop w:val="0"/>
      <w:marBottom w:val="0"/>
      <w:divBdr>
        <w:top w:val="none" w:sz="0" w:space="0" w:color="auto"/>
        <w:left w:val="none" w:sz="0" w:space="0" w:color="auto"/>
        <w:bottom w:val="none" w:sz="0" w:space="0" w:color="auto"/>
        <w:right w:val="none" w:sz="0" w:space="0" w:color="auto"/>
      </w:divBdr>
    </w:div>
    <w:div w:id="1839073031">
      <w:bodyDiv w:val="1"/>
      <w:marLeft w:val="0"/>
      <w:marRight w:val="0"/>
      <w:marTop w:val="0"/>
      <w:marBottom w:val="0"/>
      <w:divBdr>
        <w:top w:val="none" w:sz="0" w:space="0" w:color="auto"/>
        <w:left w:val="none" w:sz="0" w:space="0" w:color="auto"/>
        <w:bottom w:val="none" w:sz="0" w:space="0" w:color="auto"/>
        <w:right w:val="none" w:sz="0" w:space="0" w:color="auto"/>
      </w:divBdr>
    </w:div>
    <w:div w:id="2016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PRBM.S302697" TargetMode="External"/><Relationship Id="rId18" Type="http://schemas.openxmlformats.org/officeDocument/2006/relationships/hyperlink" Target="http://doi.org/10.26480/mmhj.01.2023.26.28" TargetMode="External"/><Relationship Id="rId26" Type="http://schemas.openxmlformats.org/officeDocument/2006/relationships/hyperlink" Target="http://dx.doi.org/10.1037/bul0000219" TargetMode="External"/><Relationship Id="rId39" Type="http://schemas.openxmlformats.org/officeDocument/2006/relationships/hyperlink" Target="https://link.springer.com/article/10.1007/s10964-020-01195-0" TargetMode="External"/><Relationship Id="rId21" Type="http://schemas.openxmlformats.org/officeDocument/2006/relationships/hyperlink" Target="https://doi.org/10.3200/JOER.98.3.184-192" TargetMode="External"/><Relationship Id="rId34" Type="http://schemas.openxmlformats.org/officeDocument/2006/relationships/hyperlink" Target="https://doi.org/10.1016/j.tsc.2023.101355"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186/1472-6920-13-44" TargetMode="External"/><Relationship Id="rId29" Type="http://schemas.openxmlformats.org/officeDocument/2006/relationships/hyperlink" Target="http://dx.doi.org/10.21511/kpm.06(1).2022.01" TargetMode="External"/><Relationship Id="rId11" Type="http://schemas.openxmlformats.org/officeDocument/2006/relationships/hyperlink" Target="https://doi.org/10.1080/00036846.2019.1624917" TargetMode="External"/><Relationship Id="rId24" Type="http://schemas.openxmlformats.org/officeDocument/2006/relationships/hyperlink" Target="https://doi.org/10.1080/07294360.2017.1344197" TargetMode="External"/><Relationship Id="rId32" Type="http://schemas.openxmlformats.org/officeDocument/2006/relationships/hyperlink" Target="https://doi.org/10.1016/j.lindif.2013.08.002" TargetMode="External"/><Relationship Id="rId37" Type="http://schemas.openxmlformats.org/officeDocument/2006/relationships/hyperlink" Target="https://doi.org/10.1177/0022022102033005003" TargetMode="External"/><Relationship Id="rId40" Type="http://schemas.openxmlformats.org/officeDocument/2006/relationships/hyperlink" Target="https://link.springer.com/article/10.1186/s12909-017-1018-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9/fpsyg.2022.917578" TargetMode="External"/><Relationship Id="rId23" Type="http://schemas.openxmlformats.org/officeDocument/2006/relationships/hyperlink" Target="https://doi.org/10.2202/1949-6605.1834" TargetMode="External"/><Relationship Id="rId28" Type="http://schemas.openxmlformats.org/officeDocument/2006/relationships/hyperlink" Target="https://doi.org/10.3390/pharmacy8040194" TargetMode="External"/><Relationship Id="rId36" Type="http://schemas.openxmlformats.org/officeDocument/2006/relationships/hyperlink" Target="https://doi.org/10.2190/DUGG-P24E-52WK-6CDG"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390/su13041721" TargetMode="External"/><Relationship Id="rId31" Type="http://schemas.openxmlformats.org/officeDocument/2006/relationships/hyperlink" Target="https://doi.org/10.36074/PrOsvita.issue2.00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dnews24.com/campus/3whn120bk5" TargetMode="External"/><Relationship Id="rId22" Type="http://schemas.openxmlformats.org/officeDocument/2006/relationships/hyperlink" Target="https://link.springer.com/article/10.1007/s11747-014-0403-8" TargetMode="External"/><Relationship Id="rId27" Type="http://schemas.openxmlformats.org/officeDocument/2006/relationships/hyperlink" Target="https://doi.org/10.22034/ijes.2024.2015018.1493" TargetMode="External"/><Relationship Id="rId30" Type="http://schemas.openxmlformats.org/officeDocument/2006/relationships/hyperlink" Target="https://link.springer.com/article/10.1007/s10936-023-09974-z" TargetMode="External"/><Relationship Id="rId35" Type="http://schemas.openxmlformats.org/officeDocument/2006/relationships/hyperlink" Target="https://doi.org/10.47391/jpma.177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02/pits.20303" TargetMode="External"/><Relationship Id="rId17" Type="http://schemas.openxmlformats.org/officeDocument/2006/relationships/hyperlink" Target="https://doi.org/10.1080/01434632.2024.2329166" TargetMode="External"/><Relationship Id="rId25" Type="http://schemas.openxmlformats.org/officeDocument/2006/relationships/hyperlink" Target="https://doi.org/10.54183/jssr.v3i1.141" TargetMode="External"/><Relationship Id="rId33" Type="http://schemas.openxmlformats.org/officeDocument/2006/relationships/hyperlink" Target="https://doi.org/10.1177/1754073916650493" TargetMode="External"/><Relationship Id="rId38" Type="http://schemas.openxmlformats.org/officeDocument/2006/relationships/hyperlink" Target="https://doi.org/10.1080/0309877X.2020.1741520" TargetMode="External"/><Relationship Id="rId46" Type="http://schemas.openxmlformats.org/officeDocument/2006/relationships/header" Target="header3.xml"/><Relationship Id="rId20" Type="http://schemas.openxmlformats.org/officeDocument/2006/relationships/hyperlink" Target="https://doi.org/10.3102/00346543074001059" TargetMode="External"/><Relationship Id="rId41" Type="http://schemas.openxmlformats.org/officeDocument/2006/relationships/hyperlink" Target="https://psycnet.apa.org/doi/10.1037/t07398-0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315C-DA59-4DF5-9BB5-FB9C80E1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21</Pages>
  <Words>7338</Words>
  <Characters>41833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 Akter</dc:creator>
  <cp:keywords/>
  <dc:description/>
  <cp:lastModifiedBy>SDI 1186</cp:lastModifiedBy>
  <cp:revision>193</cp:revision>
  <dcterms:created xsi:type="dcterms:W3CDTF">2025-11-05T12:52:00Z</dcterms:created>
  <dcterms:modified xsi:type="dcterms:W3CDTF">2025-11-24T10:00:00Z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eb0fb458-ee54-48c8-b53f-6444ace31337</vt:lpwstr>
  </property>
</Properties>
</file>