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4CACD" w14:textId="28CCF871" w:rsidR="00741AE7" w:rsidRDefault="00741AE7" w:rsidP="009D20A2">
      <w:pPr>
        <w:spacing w:before="100" w:beforeAutospacing="1" w:after="100" w:afterAutospacing="1"/>
        <w:jc w:val="center"/>
        <w:rPr>
          <w:rFonts w:ascii="Times New Roman" w:eastAsia="Times New Roman" w:hAnsi="Times New Roman" w:cs="Times New Roman"/>
          <w:b/>
          <w:bCs/>
          <w:sz w:val="24"/>
          <w:szCs w:val="24"/>
        </w:rPr>
      </w:pPr>
    </w:p>
    <w:p w14:paraId="5490BB6C" w14:textId="77777777" w:rsidR="00741AE7" w:rsidRDefault="00741AE7" w:rsidP="009D20A2">
      <w:pPr>
        <w:spacing w:before="100" w:beforeAutospacing="1" w:after="100" w:afterAutospacing="1"/>
        <w:jc w:val="center"/>
        <w:rPr>
          <w:rFonts w:ascii="Times New Roman" w:eastAsia="Times New Roman" w:hAnsi="Times New Roman" w:cs="Times New Roman"/>
          <w:b/>
          <w:bCs/>
          <w:sz w:val="24"/>
          <w:szCs w:val="24"/>
        </w:rPr>
      </w:pPr>
    </w:p>
    <w:p w14:paraId="45A0B092" w14:textId="13B66B47" w:rsidR="00741AE7" w:rsidRPr="00166489" w:rsidRDefault="00741AE7" w:rsidP="009D20A2">
      <w:pPr>
        <w:spacing w:before="100" w:beforeAutospacing="1" w:after="100" w:afterAutospacing="1"/>
        <w:jc w:val="center"/>
        <w:rPr>
          <w:rFonts w:ascii="Times New Roman" w:eastAsia="Times New Roman" w:hAnsi="Times New Roman" w:cs="Times New Roman"/>
          <w:b/>
          <w:bCs/>
          <w:sz w:val="24"/>
          <w:szCs w:val="24"/>
        </w:rPr>
      </w:pPr>
      <w:r w:rsidRPr="009932C0">
        <w:rPr>
          <w:rFonts w:ascii="Times New Roman" w:eastAsia="Times New Roman" w:hAnsi="Times New Roman" w:cs="Times New Roman"/>
          <w:b/>
          <w:bCs/>
          <w:sz w:val="24"/>
          <w:szCs w:val="24"/>
          <w:highlight w:val="yellow"/>
        </w:rPr>
        <w:t xml:space="preserve">Engaging Men and Boys in Preventing Gender-Based Violence: Insights from Participatory Action Research in Arusha District, </w:t>
      </w:r>
      <w:r w:rsidR="00033144" w:rsidRPr="009932C0">
        <w:rPr>
          <w:rFonts w:ascii="Times New Roman" w:eastAsia="Times New Roman" w:hAnsi="Times New Roman" w:cs="Times New Roman"/>
          <w:b/>
          <w:bCs/>
          <w:sz w:val="24"/>
          <w:szCs w:val="24"/>
          <w:highlight w:val="yellow"/>
        </w:rPr>
        <w:t>Tanzania</w:t>
      </w:r>
    </w:p>
    <w:p w14:paraId="5412A4DF" w14:textId="77777777" w:rsidR="00B55895" w:rsidRPr="00166489" w:rsidRDefault="00B55895" w:rsidP="009D20A2">
      <w:pPr>
        <w:spacing w:after="0"/>
        <w:jc w:val="center"/>
        <w:rPr>
          <w:rFonts w:ascii="Times New Roman" w:eastAsia="Times New Roman" w:hAnsi="Times New Roman" w:cs="Times New Roman"/>
          <w:b/>
          <w:bCs/>
          <w:sz w:val="24"/>
          <w:szCs w:val="24"/>
        </w:rPr>
      </w:pPr>
    </w:p>
    <w:p w14:paraId="6A4BF0FA" w14:textId="77777777" w:rsidR="00B55895" w:rsidRPr="00B55895" w:rsidRDefault="00B55895" w:rsidP="00B55895">
      <w:pPr>
        <w:jc w:val="both"/>
        <w:rPr>
          <w:rFonts w:ascii="Times New Roman" w:eastAsia="MS Mincho" w:hAnsi="Times New Roman" w:cs="Times New Roman"/>
          <w:b/>
          <w:i/>
          <w:sz w:val="20"/>
          <w:szCs w:val="20"/>
        </w:rPr>
      </w:pPr>
      <w:r w:rsidRPr="00B55895">
        <w:rPr>
          <w:rFonts w:ascii="Times New Roman" w:eastAsia="MS Mincho" w:hAnsi="Times New Roman" w:cs="Times New Roman"/>
          <w:b/>
          <w:i/>
          <w:sz w:val="20"/>
          <w:szCs w:val="20"/>
        </w:rPr>
        <w:t>Abstract</w:t>
      </w:r>
    </w:p>
    <w:p w14:paraId="7E688B39" w14:textId="44A793BA" w:rsidR="00B55895" w:rsidRDefault="00BD0E21" w:rsidP="00B55895">
      <w:pPr>
        <w:jc w:val="both"/>
        <w:rPr>
          <w:rFonts w:ascii="Times New Roman" w:eastAsia="MS Mincho" w:hAnsi="Times New Roman" w:cs="Times New Roman"/>
          <w:i/>
          <w:sz w:val="20"/>
          <w:szCs w:val="20"/>
        </w:rPr>
      </w:pPr>
      <w:r>
        <w:rPr>
          <w:rFonts w:ascii="Times New Roman" w:eastAsia="MS Mincho" w:hAnsi="Times New Roman" w:cs="Times New Roman"/>
          <w:i/>
          <w:sz w:val="20"/>
          <w:szCs w:val="20"/>
        </w:rPr>
        <w:t xml:space="preserve">Gender </w:t>
      </w:r>
      <w:r w:rsidR="00B55895" w:rsidRPr="00B55895">
        <w:rPr>
          <w:rFonts w:ascii="Times New Roman" w:eastAsia="MS Mincho" w:hAnsi="Times New Roman" w:cs="Times New Roman"/>
          <w:i/>
          <w:sz w:val="20"/>
          <w:szCs w:val="20"/>
        </w:rPr>
        <w:t xml:space="preserve">Based Violence (GBV) remains a critical human rights and public health challenge globally and in Tanzania, where nearly 40% of ever-married women report intimate partner violence. Conventional interventions have predominantly focused on protecting women and girls, often excluding men and boys from meaningful engagement and reinforcing the perception of GBV as a “women’s issue.” This study explores the role of men and boys in preventing GBV in Arusha District Council through a Participatory Action Research (PAR) approach. By involving 60 participants across two wards, the study facilitated cycles of reflection, dialogue, and action that positioned men and boys as co-researchers. </w:t>
      </w:r>
      <w:r w:rsidR="007A1972" w:rsidRPr="009932C0">
        <w:rPr>
          <w:rFonts w:ascii="Times New Roman" w:eastAsia="MS Mincho" w:hAnsi="Times New Roman" w:cs="Times New Roman"/>
          <w:i/>
          <w:sz w:val="20"/>
          <w:szCs w:val="20"/>
          <w:highlight w:val="yellow"/>
        </w:rPr>
        <w:t>The research targeted males aged 15 and above, including students, out</w:t>
      </w:r>
      <w:r w:rsidR="008762E0">
        <w:rPr>
          <w:rFonts w:ascii="Times New Roman" w:eastAsia="MS Mincho" w:hAnsi="Times New Roman" w:cs="Times New Roman"/>
          <w:i/>
          <w:sz w:val="20"/>
          <w:szCs w:val="20"/>
          <w:highlight w:val="yellow"/>
        </w:rPr>
        <w:t>-</w:t>
      </w:r>
      <w:r w:rsidR="007A1972" w:rsidRPr="009932C0">
        <w:rPr>
          <w:rFonts w:ascii="Times New Roman" w:eastAsia="MS Mincho" w:hAnsi="Times New Roman" w:cs="Times New Roman"/>
          <w:i/>
          <w:sz w:val="20"/>
          <w:szCs w:val="20"/>
          <w:highlight w:val="yellow"/>
        </w:rPr>
        <w:t>of</w:t>
      </w:r>
      <w:r w:rsidR="008762E0">
        <w:rPr>
          <w:rFonts w:ascii="Times New Roman" w:eastAsia="MS Mincho" w:hAnsi="Times New Roman" w:cs="Times New Roman"/>
          <w:i/>
          <w:sz w:val="20"/>
          <w:szCs w:val="20"/>
          <w:highlight w:val="yellow"/>
        </w:rPr>
        <w:t>-</w:t>
      </w:r>
      <w:r w:rsidR="007A1972" w:rsidRPr="009932C0">
        <w:rPr>
          <w:rFonts w:ascii="Times New Roman" w:eastAsia="MS Mincho" w:hAnsi="Times New Roman" w:cs="Times New Roman"/>
          <w:i/>
          <w:sz w:val="20"/>
          <w:szCs w:val="20"/>
          <w:highlight w:val="yellow"/>
        </w:rPr>
        <w:t>school youth, young adults, adult men, community leaders, and faith</w:t>
      </w:r>
      <w:r w:rsidR="008762E0">
        <w:rPr>
          <w:rFonts w:ascii="Times New Roman" w:eastAsia="MS Mincho" w:hAnsi="Times New Roman" w:cs="Times New Roman"/>
          <w:i/>
          <w:sz w:val="20"/>
          <w:szCs w:val="20"/>
          <w:highlight w:val="yellow"/>
        </w:rPr>
        <w:t>-</w:t>
      </w:r>
      <w:r w:rsidR="007A1972" w:rsidRPr="009932C0">
        <w:rPr>
          <w:rFonts w:ascii="Times New Roman" w:eastAsia="MS Mincho" w:hAnsi="Times New Roman" w:cs="Times New Roman"/>
          <w:i/>
          <w:sz w:val="20"/>
          <w:szCs w:val="20"/>
          <w:highlight w:val="yellow"/>
        </w:rPr>
        <w:t>based actors.</w:t>
      </w:r>
      <w:r w:rsidR="007A1972" w:rsidRPr="007A1972">
        <w:rPr>
          <w:rFonts w:ascii="Times New Roman" w:eastAsia="MS Mincho" w:hAnsi="Times New Roman" w:cs="Times New Roman"/>
          <w:i/>
          <w:sz w:val="20"/>
          <w:szCs w:val="20"/>
        </w:rPr>
        <w:t xml:space="preserve"> </w:t>
      </w:r>
      <w:r w:rsidR="00B55895" w:rsidRPr="00B55895">
        <w:rPr>
          <w:rFonts w:ascii="Times New Roman" w:eastAsia="MS Mincho" w:hAnsi="Times New Roman" w:cs="Times New Roman"/>
          <w:i/>
          <w:sz w:val="20"/>
          <w:szCs w:val="20"/>
        </w:rPr>
        <w:t>Findings reveal that participants initially perceived GBV narrowly as physical abuse but, through participatory engagement, broadened their understanding to include emotional, psychological, and economic violence. PAR proved effective in promoting attitudinal change, with men and boys beginning to critically reflect on harmful masculinities and embrace more equi</w:t>
      </w:r>
      <w:bookmarkStart w:id="0" w:name="_GoBack"/>
      <w:r w:rsidR="00B55895" w:rsidRPr="00B55895">
        <w:rPr>
          <w:rFonts w:ascii="Times New Roman" w:eastAsia="MS Mincho" w:hAnsi="Times New Roman" w:cs="Times New Roman"/>
          <w:i/>
          <w:sz w:val="20"/>
          <w:szCs w:val="20"/>
        </w:rPr>
        <w:t>table</w:t>
      </w:r>
      <w:bookmarkEnd w:id="0"/>
      <w:r w:rsidR="00B55895" w:rsidRPr="00B55895">
        <w:rPr>
          <w:rFonts w:ascii="Times New Roman" w:eastAsia="MS Mincho" w:hAnsi="Times New Roman" w:cs="Times New Roman"/>
          <w:i/>
          <w:sz w:val="20"/>
          <w:szCs w:val="20"/>
        </w:rPr>
        <w:t xml:space="preserve"> behaviors. However, generational differences, peer stigma, and entrenched patriarchal norms remain significant barriers to sustained change. </w:t>
      </w:r>
      <w:r w:rsidR="00AF5E3E" w:rsidRPr="009932C0">
        <w:rPr>
          <w:rFonts w:ascii="Times New Roman" w:eastAsia="MS Mincho" w:hAnsi="Times New Roman" w:cs="Times New Roman"/>
          <w:i/>
          <w:sz w:val="20"/>
          <w:szCs w:val="20"/>
          <w:highlight w:val="yellow"/>
        </w:rPr>
        <w:t xml:space="preserve">The PAR methodology proved highly effective in encouraging introspection and promoting attitude change among men and boys in both wards. In both </w:t>
      </w:r>
      <w:proofErr w:type="spellStart"/>
      <w:r w:rsidR="00AF5E3E">
        <w:rPr>
          <w:rFonts w:ascii="Times New Roman" w:eastAsia="MS Mincho" w:hAnsi="Times New Roman" w:cs="Times New Roman"/>
          <w:i/>
          <w:sz w:val="20"/>
          <w:szCs w:val="20"/>
          <w:highlight w:val="yellow"/>
        </w:rPr>
        <w:t>Oltrumet</w:t>
      </w:r>
      <w:proofErr w:type="spellEnd"/>
      <w:r w:rsidR="00AF5E3E">
        <w:rPr>
          <w:rFonts w:ascii="Times New Roman" w:eastAsia="MS Mincho" w:hAnsi="Times New Roman" w:cs="Times New Roman"/>
          <w:i/>
          <w:sz w:val="20"/>
          <w:szCs w:val="20"/>
          <w:highlight w:val="yellow"/>
        </w:rPr>
        <w:t xml:space="preserve"> and</w:t>
      </w:r>
      <w:r w:rsidR="00AF5E3E" w:rsidRPr="009932C0">
        <w:rPr>
          <w:rFonts w:ascii="Times New Roman" w:eastAsia="MS Mincho" w:hAnsi="Times New Roman" w:cs="Times New Roman"/>
          <w:i/>
          <w:sz w:val="20"/>
          <w:szCs w:val="20"/>
          <w:highlight w:val="yellow"/>
        </w:rPr>
        <w:t xml:space="preserve"> </w:t>
      </w:r>
      <w:proofErr w:type="spellStart"/>
      <w:r w:rsidR="00AF5E3E" w:rsidRPr="009932C0">
        <w:rPr>
          <w:rFonts w:ascii="Times New Roman" w:eastAsia="MS Mincho" w:hAnsi="Times New Roman" w:cs="Times New Roman"/>
          <w:i/>
          <w:sz w:val="20"/>
          <w:szCs w:val="20"/>
          <w:highlight w:val="yellow"/>
        </w:rPr>
        <w:t>Nduruma</w:t>
      </w:r>
      <w:proofErr w:type="spellEnd"/>
      <w:r w:rsidR="00AF5E3E" w:rsidRPr="009932C0">
        <w:rPr>
          <w:rFonts w:ascii="Times New Roman" w:eastAsia="MS Mincho" w:hAnsi="Times New Roman" w:cs="Times New Roman"/>
          <w:i/>
          <w:sz w:val="20"/>
          <w:szCs w:val="20"/>
          <w:highlight w:val="yellow"/>
        </w:rPr>
        <w:t>, participatory mapping exercises allowed men and boys to identify local GBV hotspots, the triggers of violence, and the social pressures that sustain them.</w:t>
      </w:r>
      <w:r w:rsidR="00793F70">
        <w:rPr>
          <w:rFonts w:ascii="Times New Roman" w:eastAsia="MS Mincho" w:hAnsi="Times New Roman" w:cs="Times New Roman"/>
          <w:i/>
          <w:sz w:val="20"/>
          <w:szCs w:val="20"/>
        </w:rPr>
        <w:t xml:space="preserve"> </w:t>
      </w:r>
      <w:r w:rsidR="00B55895" w:rsidRPr="00B55895">
        <w:rPr>
          <w:rFonts w:ascii="Times New Roman" w:eastAsia="MS Mincho" w:hAnsi="Times New Roman" w:cs="Times New Roman"/>
          <w:i/>
          <w:sz w:val="20"/>
          <w:szCs w:val="20"/>
        </w:rPr>
        <w:t>The study demonstrates that participatory, community-driven approaches can shift perceptions and foster ownership of GBV prevention strategies. It contributes to policy discussions on inclusive GBV interventions and provides practical insights into designing gender-transformative programs that align with Tanzania’s national priorities and Sustainable Development Goal 5.</w:t>
      </w:r>
    </w:p>
    <w:p w14:paraId="0BB1F2D6" w14:textId="45F40315" w:rsidR="00B55895" w:rsidRPr="00B55895" w:rsidRDefault="00B55895" w:rsidP="00B55895">
      <w:pPr>
        <w:jc w:val="both"/>
        <w:rPr>
          <w:rFonts w:ascii="Times New Roman" w:eastAsia="MS Mincho" w:hAnsi="Times New Roman" w:cs="Times New Roman"/>
          <w:i/>
          <w:sz w:val="20"/>
          <w:szCs w:val="20"/>
        </w:rPr>
      </w:pPr>
      <w:r w:rsidRPr="00B55895">
        <w:rPr>
          <w:rFonts w:ascii="Times New Roman" w:eastAsia="MS Mincho" w:hAnsi="Times New Roman" w:cs="Times New Roman"/>
          <w:b/>
          <w:i/>
          <w:sz w:val="20"/>
          <w:szCs w:val="20"/>
        </w:rPr>
        <w:t>Keywords:</w:t>
      </w:r>
      <w:r w:rsidR="007A1972">
        <w:rPr>
          <w:rFonts w:ascii="Times New Roman" w:eastAsia="MS Mincho" w:hAnsi="Times New Roman" w:cs="Times New Roman"/>
          <w:b/>
          <w:i/>
          <w:sz w:val="20"/>
          <w:szCs w:val="20"/>
        </w:rPr>
        <w:t xml:space="preserve"> </w:t>
      </w:r>
      <w:r w:rsidRPr="00B55895">
        <w:rPr>
          <w:rFonts w:ascii="Times New Roman" w:eastAsia="MS Mincho" w:hAnsi="Times New Roman" w:cs="Times New Roman"/>
          <w:i/>
          <w:sz w:val="20"/>
          <w:szCs w:val="20"/>
        </w:rPr>
        <w:t>Gender-Based Violence, Participatory Action Research, Masculinity, Community engagement, Gender transformation</w:t>
      </w:r>
    </w:p>
    <w:p w14:paraId="44BDA939" w14:textId="77777777" w:rsidR="00795BEF" w:rsidRPr="00166489" w:rsidRDefault="00795BEF" w:rsidP="009D20A2">
      <w:pPr>
        <w:spacing w:after="0"/>
        <w:jc w:val="both"/>
        <w:rPr>
          <w:rFonts w:ascii="Times New Roman" w:hAnsi="Times New Roman" w:cs="Times New Roman"/>
          <w:b/>
          <w:sz w:val="24"/>
          <w:szCs w:val="24"/>
        </w:rPr>
      </w:pPr>
    </w:p>
    <w:p w14:paraId="3B11D35D" w14:textId="77777777" w:rsidR="00795BEF" w:rsidRPr="00166489" w:rsidRDefault="00442923" w:rsidP="009D20A2">
      <w:pPr>
        <w:spacing w:after="0"/>
        <w:jc w:val="both"/>
        <w:rPr>
          <w:rFonts w:ascii="Times New Roman" w:hAnsi="Times New Roman" w:cs="Times New Roman"/>
          <w:b/>
          <w:sz w:val="24"/>
          <w:szCs w:val="24"/>
        </w:rPr>
      </w:pPr>
      <w:r>
        <w:rPr>
          <w:rFonts w:ascii="Times New Roman" w:hAnsi="Times New Roman" w:cs="Times New Roman"/>
          <w:b/>
          <w:sz w:val="24"/>
          <w:szCs w:val="24"/>
        </w:rPr>
        <w:t>Introduction</w:t>
      </w:r>
    </w:p>
    <w:p w14:paraId="35E66097" w14:textId="79FFE1D9" w:rsidR="00442923" w:rsidRDefault="00442923" w:rsidP="00442923">
      <w:pPr>
        <w:pStyle w:val="NormalWeb"/>
        <w:jc w:val="both"/>
      </w:pPr>
      <w:r>
        <w:t>Gender Based Violence (GBV) remains a persistent and deeply rooted challenge worldwide, posing significant threats to human rights, public health, and social development. In many societies, GBV manifests through physical, sexual, psychological, and economic abuse, disproportionately affecting women and girls across age groups and socio-economic backgrounds</w:t>
      </w:r>
      <w:r w:rsidR="00906E56">
        <w:t xml:space="preserve"> </w:t>
      </w:r>
      <w:r w:rsidR="00906E56" w:rsidRPr="009932C0">
        <w:rPr>
          <w:highlight w:val="yellow"/>
        </w:rPr>
        <w:t>(</w:t>
      </w:r>
      <w:r w:rsidR="00906E56" w:rsidRPr="00906E56">
        <w:rPr>
          <w:highlight w:val="yellow"/>
        </w:rPr>
        <w:t>Muluneh</w:t>
      </w:r>
      <w:r w:rsidR="00906E56" w:rsidRPr="009932C0">
        <w:rPr>
          <w:highlight w:val="yellow"/>
        </w:rPr>
        <w:t xml:space="preserve"> et al., 2021</w:t>
      </w:r>
      <w:r w:rsidR="0066337F">
        <w:rPr>
          <w:highlight w:val="yellow"/>
        </w:rPr>
        <w:t xml:space="preserve">; </w:t>
      </w:r>
      <w:proofErr w:type="spellStart"/>
      <w:r w:rsidR="0066337F" w:rsidRPr="005C169F">
        <w:rPr>
          <w:highlight w:val="yellow"/>
        </w:rPr>
        <w:t>Barhoi</w:t>
      </w:r>
      <w:proofErr w:type="spellEnd"/>
      <w:r w:rsidR="0066337F">
        <w:rPr>
          <w:highlight w:val="yellow"/>
        </w:rPr>
        <w:t xml:space="preserve"> et al., 2025</w:t>
      </w:r>
      <w:r w:rsidR="00906E56" w:rsidRPr="009932C0">
        <w:rPr>
          <w:highlight w:val="yellow"/>
        </w:rPr>
        <w:t>)</w:t>
      </w:r>
      <w:r w:rsidRPr="009932C0">
        <w:rPr>
          <w:highlight w:val="yellow"/>
        </w:rPr>
        <w:t xml:space="preserve">. </w:t>
      </w:r>
      <w:r w:rsidR="00DB510E" w:rsidRPr="009932C0">
        <w:rPr>
          <w:highlight w:val="yellow"/>
        </w:rPr>
        <w:t xml:space="preserve">Additionally, the COVID-19 pandemic has led to an increase in anxiety, depression, insomnia, and other psychological effects, as well as angry, violent, or aggressive </w:t>
      </w:r>
      <w:proofErr w:type="spellStart"/>
      <w:r w:rsidR="00DB510E" w:rsidRPr="009E648E">
        <w:rPr>
          <w:highlight w:val="yellow"/>
        </w:rPr>
        <w:t>behaviour</w:t>
      </w:r>
      <w:proofErr w:type="spellEnd"/>
      <w:r w:rsidR="00DB510E" w:rsidRPr="009932C0">
        <w:rPr>
          <w:highlight w:val="yellow"/>
        </w:rPr>
        <w:t>.</w:t>
      </w:r>
      <w:r w:rsidR="009E648E" w:rsidRPr="009E648E">
        <w:rPr>
          <w:highlight w:val="yellow"/>
        </w:rPr>
        <w:t xml:space="preserve"> </w:t>
      </w:r>
      <w:r w:rsidR="00DB510E" w:rsidRPr="009932C0">
        <w:rPr>
          <w:highlight w:val="yellow"/>
        </w:rPr>
        <w:t xml:space="preserve">Such aggressive </w:t>
      </w:r>
      <w:proofErr w:type="spellStart"/>
      <w:r w:rsidR="00DB510E" w:rsidRPr="009E648E">
        <w:rPr>
          <w:highlight w:val="yellow"/>
        </w:rPr>
        <w:t>behaviour</w:t>
      </w:r>
      <w:proofErr w:type="spellEnd"/>
      <w:r w:rsidR="00DB510E" w:rsidRPr="009932C0">
        <w:rPr>
          <w:highlight w:val="yellow"/>
        </w:rPr>
        <w:t xml:space="preserve"> resulted in violence against women during this pandemic (</w:t>
      </w:r>
      <w:r w:rsidR="00DB510E" w:rsidRPr="009E648E">
        <w:rPr>
          <w:highlight w:val="yellow"/>
        </w:rPr>
        <w:t>Islam &amp; Akter,</w:t>
      </w:r>
      <w:r w:rsidR="00DB510E" w:rsidRPr="009932C0">
        <w:rPr>
          <w:highlight w:val="yellow"/>
        </w:rPr>
        <w:t xml:space="preserve"> 2024).</w:t>
      </w:r>
      <w:r w:rsidR="00DB510E">
        <w:t xml:space="preserve"> </w:t>
      </w:r>
      <w:r>
        <w:t xml:space="preserve">Globally, the World Health Organization (WHO, 2021) reports that one in three women has experienced some form of physical or sexual violence, often at the hands of intimate partners. Tanzania mirrors this disturbing trend, with the 2022 Tanzania Demographic and Health Survey (TDHS) revealing that </w:t>
      </w:r>
      <w:r>
        <w:lastRenderedPageBreak/>
        <w:t>nearly 40% of ever-married women have faced intimate partner violence. These statistics underscore the urgency of developing inclusive and effective prevention strategies that address the root causes embedded in social and gender norms, rather than only focusing on survivors.</w:t>
      </w:r>
      <w:r w:rsidR="008F0672">
        <w:t xml:space="preserve"> </w:t>
      </w:r>
      <w:r w:rsidR="008F0672" w:rsidRPr="009932C0">
        <w:rPr>
          <w:highlight w:val="yellow"/>
        </w:rPr>
        <w:t>It is difficult for women subjected to violence to enjoy legitimate rights, as most of the infringement of their rights and violence takes place inside a private sphere of the home. Violence against women is the major cause of death and disability for women and globally a major public health concern (Dahal et al., 2022).</w:t>
      </w:r>
      <w:r w:rsidR="008F0672">
        <w:t xml:space="preserve"> </w:t>
      </w:r>
    </w:p>
    <w:p w14:paraId="62145779" w14:textId="77777777" w:rsidR="00442923" w:rsidRDefault="00442923" w:rsidP="00442923">
      <w:pPr>
        <w:pStyle w:val="NormalWeb"/>
        <w:jc w:val="both"/>
      </w:pPr>
      <w:r>
        <w:t>Historically, interventions in Tanzania have predominantly centered on women and girls, focusing on protection, empowerment, and access to justice and services. While these efforts remain vital, they have unintentionally reinforced the perception of GBV as a “women’s issue,” sidelining men and boys from meaningful engagement (Jewkes, Flood, &amp; Lang, 2015). In communities such as those in Arusha District Council, entrenched traditional gender roles continue to perpetuate patriarchal values that normalize male dominance and control over women (</w:t>
      </w:r>
      <w:proofErr w:type="spellStart"/>
      <w:r>
        <w:t>Lwambo</w:t>
      </w:r>
      <w:proofErr w:type="spellEnd"/>
      <w:r>
        <w:t>, 2013). Boys are often raised in environments that discourage emotional openness and respect for women’s autonomy, while promoting aggression and authority as markers of masculinity. This socialization fosters conditions where violence is tolerated, sometimes justified, and transferred across generations. Despite ongoing national efforts, men and boys in Arusha District Council remain largely uninformed or disengaged from GBV prevention initiatives, which typically rely on top-down, awareness-based campaigns that seldom provide opportunities for reflection or behavioral transformation (Greig &amp; Edström, 2012).</w:t>
      </w:r>
    </w:p>
    <w:p w14:paraId="416C95E6" w14:textId="3A483642" w:rsidR="00442923" w:rsidRDefault="006C7100" w:rsidP="00442923">
      <w:pPr>
        <w:pStyle w:val="NormalWeb"/>
        <w:jc w:val="both"/>
      </w:pPr>
      <w:r w:rsidRPr="009932C0">
        <w:rPr>
          <w:highlight w:val="yellow"/>
        </w:rPr>
        <w:t>Systematic reviews have found promising results in educational interventions that train young people to recognize different forms of violence, myths, power, and traditional gender roles, and help them identify resources available for victims and perpetrators</w:t>
      </w:r>
      <w:r>
        <w:rPr>
          <w:highlight w:val="yellow"/>
        </w:rPr>
        <w:t xml:space="preserve"> (</w:t>
      </w:r>
      <w:r w:rsidRPr="009932C0">
        <w:rPr>
          <w:highlight w:val="yellow"/>
        </w:rPr>
        <w:t xml:space="preserve">Pérez-Martínez </w:t>
      </w:r>
      <w:r>
        <w:rPr>
          <w:highlight w:val="yellow"/>
        </w:rPr>
        <w:t>et al., 2023)</w:t>
      </w:r>
      <w:r w:rsidRPr="009932C0">
        <w:rPr>
          <w:highlight w:val="yellow"/>
        </w:rPr>
        <w:t>.</w:t>
      </w:r>
      <w:r>
        <w:t xml:space="preserve"> </w:t>
      </w:r>
      <w:r w:rsidR="00442923">
        <w:t xml:space="preserve">Recent scholarship and practice increasingly emphasize the importance of engaging men and boys as proactive allies in preventing GBV. Gender transformative approaches, such as those advanced by </w:t>
      </w:r>
      <w:proofErr w:type="spellStart"/>
      <w:r w:rsidR="00442923">
        <w:t>MenEngage</w:t>
      </w:r>
      <w:proofErr w:type="spellEnd"/>
      <w:r w:rsidR="00442923">
        <w:t xml:space="preserve"> Africa and </w:t>
      </w:r>
      <w:proofErr w:type="spellStart"/>
      <w:r w:rsidR="00442923">
        <w:t>Sonke</w:t>
      </w:r>
      <w:proofErr w:type="spellEnd"/>
      <w:r w:rsidR="00442923">
        <w:t xml:space="preserve"> Gender Justice, demonstrate the potential of shifting norms by encouraging men to critically reflect on gender roles, power relations, and cultural expectations (Greig &amp; Edström, 2012). However, these initiatives often remain concentrated in urban centers, externally driven, and disconnected from the lived realities of rural and peri-urban communities such as Arusha District Council. This limits their effectiveness in fostering deep, sustainable attitudinal and behavioral change.</w:t>
      </w:r>
    </w:p>
    <w:p w14:paraId="7DBF6354" w14:textId="77777777" w:rsidR="00442923" w:rsidRDefault="00442923" w:rsidP="00442923">
      <w:pPr>
        <w:pStyle w:val="NormalWeb"/>
        <w:jc w:val="both"/>
      </w:pPr>
      <w:r>
        <w:t>Participatory Action Research (PAR) presents a promising alternative by repositioning men and boys not as passive recipients but as co-researchers and co-creators of solutions. PAR encourages participants to interrogate their own identities, values, and behaviors while collaboratively developing locally grounded strategies for change (Cornwall &amp; Jewkes, 1995; Flood, 2011). Unlike conventional awareness-raising approaches, PAR fosters community ownership, facilitates critical dialogue, and empowers participants to challenge harmful gender norms from within their own social context. Yet, despite its potential, the application of PAR in GBV prevention is underexplored in Tanzania, particularly in community-based settings. Limited empirical evidence exists on how participatory approaches can systematically engage men and boys in reshaping attitudes, behaviors, and community norms around gender and violence.</w:t>
      </w:r>
    </w:p>
    <w:p w14:paraId="3252985C" w14:textId="77777777" w:rsidR="00E3085A" w:rsidRPr="00166489" w:rsidRDefault="00442923" w:rsidP="009D20A2">
      <w:pPr>
        <w:pStyle w:val="NormalWeb"/>
        <w:spacing w:line="276" w:lineRule="auto"/>
        <w:jc w:val="both"/>
      </w:pPr>
      <w:r>
        <w:lastRenderedPageBreak/>
        <w:t>This study therefore seeks to fill this gap by exploring the role of men and boys in preventing GBV in Arusha District Council through a Participatory Action Research approach. By examining how men and boys perceive GBV, how cultural and social norms shape their behaviors, and how participatory engagement can catalyze attitudinal and behavioral change, the study aims to provide practical insights for designing gender-transformative programs that are inclusive, sustainable, and community-led. The findings will contribute to Tanzania’s National Plan of Action to End Violence Against Women and Children (2017–2022) and to the achievement of Sustainable Development Goal 5, which calls for the elimination of all forms of violence and the promotion of gender equality.</w:t>
      </w:r>
    </w:p>
    <w:p w14:paraId="25ABCB3A" w14:textId="77777777" w:rsidR="00166489" w:rsidRDefault="00166489" w:rsidP="009D20A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Objectives</w:t>
      </w:r>
    </w:p>
    <w:p w14:paraId="4AA046B0" w14:textId="77777777" w:rsidR="005B5622" w:rsidRPr="00166489" w:rsidRDefault="005B5622"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General Objective</w:t>
      </w:r>
    </w:p>
    <w:p w14:paraId="01C4A6E2" w14:textId="77777777" w:rsidR="005B5622" w:rsidRPr="00166489" w:rsidRDefault="005B5622" w:rsidP="009D20A2">
      <w:pPr>
        <w:spacing w:after="0"/>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The general objective is </w:t>
      </w:r>
      <w:r w:rsidRPr="00166489">
        <w:rPr>
          <w:rFonts w:ascii="Times New Roman" w:hAnsi="Times New Roman" w:cs="Times New Roman"/>
          <w:sz w:val="24"/>
          <w:szCs w:val="24"/>
        </w:rPr>
        <w:t xml:space="preserve">to assess the role of men and boys in preventing </w:t>
      </w:r>
      <w:proofErr w:type="gramStart"/>
      <w:r w:rsidRPr="00166489">
        <w:rPr>
          <w:rFonts w:ascii="Times New Roman" w:hAnsi="Times New Roman" w:cs="Times New Roman"/>
          <w:sz w:val="24"/>
          <w:szCs w:val="24"/>
        </w:rPr>
        <w:t>gender</w:t>
      </w:r>
      <w:r w:rsidR="00BD0E21">
        <w:rPr>
          <w:rFonts w:ascii="Times New Roman" w:hAnsi="Times New Roman" w:cs="Times New Roman"/>
          <w:sz w:val="24"/>
          <w:szCs w:val="24"/>
        </w:rPr>
        <w:t xml:space="preserve"> </w:t>
      </w:r>
      <w:r w:rsidRPr="00166489">
        <w:rPr>
          <w:rFonts w:ascii="Times New Roman" w:hAnsi="Times New Roman" w:cs="Times New Roman"/>
          <w:sz w:val="24"/>
          <w:szCs w:val="24"/>
        </w:rPr>
        <w:t>based</w:t>
      </w:r>
      <w:proofErr w:type="gramEnd"/>
      <w:r w:rsidRPr="00166489">
        <w:rPr>
          <w:rFonts w:ascii="Times New Roman" w:hAnsi="Times New Roman" w:cs="Times New Roman"/>
          <w:sz w:val="24"/>
          <w:szCs w:val="24"/>
        </w:rPr>
        <w:t xml:space="preserve"> violence using a Participatory Action Research approach in selected Tanzanian communities.</w:t>
      </w:r>
    </w:p>
    <w:p w14:paraId="7042D084" w14:textId="77777777" w:rsidR="005B5622" w:rsidRPr="00166489" w:rsidRDefault="005B5622"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Specific Objectives</w:t>
      </w:r>
    </w:p>
    <w:p w14:paraId="4E463C6F" w14:textId="77777777" w:rsidR="005B5622" w:rsidRPr="00166489" w:rsidRDefault="005B5622" w:rsidP="009D20A2">
      <w:pPr>
        <w:pStyle w:val="NormalWeb"/>
        <w:numPr>
          <w:ilvl w:val="0"/>
          <w:numId w:val="2"/>
        </w:numPr>
        <w:spacing w:before="0" w:beforeAutospacing="0" w:after="0" w:afterAutospacing="0" w:line="276" w:lineRule="auto"/>
        <w:jc w:val="both"/>
      </w:pPr>
      <w:r w:rsidRPr="00166489">
        <w:rPr>
          <w:rStyle w:val="Strong"/>
          <w:b w:val="0"/>
        </w:rPr>
        <w:t xml:space="preserve">To explore how men and boys perceive </w:t>
      </w:r>
      <w:proofErr w:type="spellStart"/>
      <w:r w:rsidRPr="00166489">
        <w:rPr>
          <w:rStyle w:val="Strong"/>
          <w:b w:val="0"/>
        </w:rPr>
        <w:t>genderbased</w:t>
      </w:r>
      <w:proofErr w:type="spellEnd"/>
      <w:r w:rsidRPr="00166489">
        <w:rPr>
          <w:rStyle w:val="Strong"/>
          <w:b w:val="0"/>
        </w:rPr>
        <w:t xml:space="preserve"> violence (GBV</w:t>
      </w:r>
      <w:r w:rsidR="00795BEF" w:rsidRPr="00166489">
        <w:rPr>
          <w:rStyle w:val="Strong"/>
          <w:b w:val="0"/>
        </w:rPr>
        <w:t>)</w:t>
      </w:r>
    </w:p>
    <w:p w14:paraId="77894F0E" w14:textId="77777777" w:rsidR="005B5622" w:rsidRPr="00166489" w:rsidRDefault="005B5622" w:rsidP="009D20A2">
      <w:pPr>
        <w:pStyle w:val="NormalWeb"/>
        <w:numPr>
          <w:ilvl w:val="0"/>
          <w:numId w:val="2"/>
        </w:numPr>
        <w:spacing w:before="0" w:beforeAutospacing="0" w:after="0" w:afterAutospacing="0" w:line="276" w:lineRule="auto"/>
        <w:jc w:val="both"/>
      </w:pPr>
      <w:r w:rsidRPr="00166489">
        <w:rPr>
          <w:rStyle w:val="Strong"/>
          <w:b w:val="0"/>
        </w:rPr>
        <w:t>To examine the effectiveness of Participatory Action Research (PAR) in promoting attitudinal change among men or boys toward the prevention of GBV</w:t>
      </w:r>
      <w:r w:rsidRPr="00166489">
        <w:rPr>
          <w:rStyle w:val="Strong"/>
        </w:rPr>
        <w:t>.</w:t>
      </w:r>
    </w:p>
    <w:p w14:paraId="69AAB908" w14:textId="77777777" w:rsidR="005B5622" w:rsidRPr="00166489" w:rsidRDefault="00BF18CA" w:rsidP="009D20A2">
      <w:pPr>
        <w:spacing w:after="0"/>
        <w:jc w:val="both"/>
        <w:rPr>
          <w:rFonts w:ascii="Times New Roman" w:eastAsia="Times New Roman" w:hAnsi="Times New Roman" w:cs="Times New Roman"/>
          <w:b/>
          <w:sz w:val="24"/>
          <w:szCs w:val="24"/>
        </w:rPr>
      </w:pPr>
      <w:r w:rsidRPr="00166489">
        <w:rPr>
          <w:rFonts w:ascii="Times New Roman" w:eastAsia="Times New Roman" w:hAnsi="Times New Roman" w:cs="Times New Roman"/>
          <w:b/>
          <w:sz w:val="24"/>
          <w:szCs w:val="24"/>
        </w:rPr>
        <w:t>Methodology</w:t>
      </w:r>
    </w:p>
    <w:p w14:paraId="558945F1" w14:textId="77777777" w:rsidR="00BF18CA" w:rsidRPr="00166489" w:rsidRDefault="00BF18CA" w:rsidP="009D20A2">
      <w:pPr>
        <w:pStyle w:val="NormalWeb"/>
        <w:spacing w:before="0" w:beforeAutospacing="0" w:after="0" w:afterAutospacing="0" w:line="276" w:lineRule="auto"/>
        <w:jc w:val="both"/>
      </w:pPr>
      <w:r w:rsidRPr="00166489">
        <w:t xml:space="preserve">The Participatory Action Research (PAR) methodology for promoting attitudinal change among men and boys toward the prevention of </w:t>
      </w:r>
      <w:proofErr w:type="spellStart"/>
      <w:r w:rsidRPr="00166489">
        <w:t>genderbased</w:t>
      </w:r>
      <w:proofErr w:type="spellEnd"/>
      <w:r w:rsidRPr="00166489">
        <w:t xml:space="preserve"> violence (GBV) in Arusha District was designed with a strong emphasis on community involvement, reflection, and action. The research process followed an adaptive and flexible approach, moving through cycles of planning, action, observation, and reflection. These phases involved continuous engagement with the community, particularly men and boys, allowing them to take an active role in cocreating knowledge and identifying solutions to GBV.</w:t>
      </w:r>
    </w:p>
    <w:p w14:paraId="0E4D06D2" w14:textId="77777777" w:rsidR="00BF18CA" w:rsidRPr="00166489" w:rsidRDefault="00BF18CA" w:rsidP="009D20A2">
      <w:pPr>
        <w:pStyle w:val="NormalWeb"/>
        <w:spacing w:line="276" w:lineRule="auto"/>
        <w:jc w:val="both"/>
      </w:pPr>
      <w:r w:rsidRPr="00166489">
        <w:t>The target participants for this research were men and boys from various settings within Arusha District, including local schools, community organizations, and religious institutions. They were not merely subjects of the research but were integrated into every stage of the project as coresearchers, ensuring that the research was reflective of their experiences and perspectives. The study ensured that a diverse range of men and boys, from different social and economic backgrounds, were included to provide a broad and representative understanding of the community’s attitudes toward GBV.</w:t>
      </w:r>
    </w:p>
    <w:p w14:paraId="3C0B58B7" w14:textId="77777777" w:rsidR="00C26B5A" w:rsidRPr="00166489" w:rsidRDefault="00C26B5A" w:rsidP="009D20A2">
      <w:pPr>
        <w:pStyle w:val="NormalWeb"/>
        <w:spacing w:line="276" w:lineRule="auto"/>
        <w:jc w:val="both"/>
      </w:pPr>
      <w:r w:rsidRPr="00166489">
        <w:t xml:space="preserve">The Participatory Action Research (PAR) on promoting attitudinal change among men and boys toward the prevention of </w:t>
      </w:r>
      <w:proofErr w:type="spellStart"/>
      <w:r w:rsidRPr="00166489">
        <w:t>genderbased</w:t>
      </w:r>
      <w:proofErr w:type="spellEnd"/>
      <w:r w:rsidRPr="00166489">
        <w:t xml:space="preserve"> violence (GBV) was conducted in Arusha District Council, with sampling focused on two wards: </w:t>
      </w:r>
      <w:proofErr w:type="spellStart"/>
      <w:r w:rsidRPr="00166489">
        <w:t>Oltrumet</w:t>
      </w:r>
      <w:proofErr w:type="spellEnd"/>
      <w:r w:rsidRPr="00166489">
        <w:t xml:space="preserve"> and </w:t>
      </w:r>
      <w:proofErr w:type="spellStart"/>
      <w:r w:rsidRPr="00166489">
        <w:t>Nduruma</w:t>
      </w:r>
      <w:proofErr w:type="spellEnd"/>
      <w:r w:rsidRPr="00166489">
        <w:t xml:space="preserve">. These wards were purposively selected based on prior assessments indicating high incidences of GBV and the presence of active community structures, including schools, religious institutions, and youth groups, which provided a </w:t>
      </w:r>
      <w:r w:rsidR="00D15E3E" w:rsidRPr="00166489">
        <w:t>condu</w:t>
      </w:r>
      <w:r w:rsidR="00D15E3E">
        <w:t>c</w:t>
      </w:r>
      <w:r w:rsidR="00D15E3E" w:rsidRPr="00166489">
        <w:t>ive</w:t>
      </w:r>
      <w:r w:rsidRPr="00166489">
        <w:t xml:space="preserve"> environment for engagement and learning.</w:t>
      </w:r>
    </w:p>
    <w:p w14:paraId="1A5747B0" w14:textId="77777777" w:rsidR="00C26B5A" w:rsidRPr="00166489" w:rsidRDefault="00C26B5A" w:rsidP="009D20A2">
      <w:pPr>
        <w:pStyle w:val="NormalWeb"/>
        <w:spacing w:line="276" w:lineRule="auto"/>
        <w:jc w:val="both"/>
      </w:pPr>
      <w:r w:rsidRPr="00166489">
        <w:lastRenderedPageBreak/>
        <w:t xml:space="preserve">Within each ward, a purposive and stratified sampling approach was employed to ensure representation of diverse perspectives among men and boys. The research targeted males aged 15 and above, including students, </w:t>
      </w:r>
      <w:proofErr w:type="spellStart"/>
      <w:r w:rsidRPr="00166489">
        <w:t>outofschool</w:t>
      </w:r>
      <w:proofErr w:type="spellEnd"/>
      <w:r w:rsidRPr="00166489">
        <w:t xml:space="preserve"> youth, young adults, adult men, community leaders, and </w:t>
      </w:r>
      <w:proofErr w:type="spellStart"/>
      <w:r w:rsidRPr="00166489">
        <w:t>faithbased</w:t>
      </w:r>
      <w:proofErr w:type="spellEnd"/>
      <w:r w:rsidRPr="00166489">
        <w:t xml:space="preserve"> actors. Participants were selected with the assistance of ward executive officers, community development officers, and school heads to ensure that those involved had relevance to the topic and the capacity to engage actively in the research process. In total, 60 participants were engaged across the two wards 30 from each ensuring a balance between youth and adult men, as well as representation from different socioeconomic backgrounds.</w:t>
      </w:r>
    </w:p>
    <w:p w14:paraId="2165F14C" w14:textId="77777777" w:rsidR="00C26B5A" w:rsidRPr="00166489" w:rsidRDefault="00C26B5A" w:rsidP="009D20A2">
      <w:pPr>
        <w:pStyle w:val="NormalWeb"/>
        <w:spacing w:line="276" w:lineRule="auto"/>
        <w:jc w:val="both"/>
      </w:pPr>
      <w:r w:rsidRPr="00166489">
        <w:t>The use of stratified sampling within each ward allowed the research team to compare perspectives across age groups and social roles, which was critical in understanding the layered nature of attitudes toward GBV. This sampling approach also facilitated the identification of both shared norms and generational differences in perceptions of gender roles, masculinity, and violence. Participants were involved in all stages of the PAR process, including problem identification, analysis, and action planning, ensuring that the findings and subsequent interventions were grounded in their lived experiences and contextual realities.</w:t>
      </w:r>
    </w:p>
    <w:p w14:paraId="5EE6B997" w14:textId="77777777" w:rsidR="00BF18CA" w:rsidRPr="00166489" w:rsidRDefault="00BF18CA" w:rsidP="009D20A2">
      <w:pPr>
        <w:pStyle w:val="NormalWeb"/>
        <w:spacing w:line="276" w:lineRule="auto"/>
        <w:jc w:val="both"/>
      </w:pPr>
      <w:r w:rsidRPr="00166489">
        <w:t xml:space="preserve">For data collection, the research team conducted Focus Group Discussions (FGDs) with men and boys across different communities within Arusha District. These discussions explored the root causes of GBV, the existing attitudes toward gender roles, and how these perspectives influenced the community’s approach to prevention. The facilitation of these FGDs was designed to create a safe and open environment, enabling participants to speak freely and share their views without fear of judgment. Additionally, </w:t>
      </w:r>
      <w:proofErr w:type="spellStart"/>
      <w:r w:rsidRPr="00166489">
        <w:t>semistructured</w:t>
      </w:r>
      <w:proofErr w:type="spellEnd"/>
      <w:r w:rsidRPr="00166489">
        <w:t xml:space="preserve"> interviews were conducted with key informants such as community leaders, local educators, and social workers, to gain deeper insights into how gender norms and community attitudes shaped behaviors surrounding GBV.</w:t>
      </w:r>
    </w:p>
    <w:p w14:paraId="546AAC8C" w14:textId="77777777" w:rsidR="00BF18CA" w:rsidRPr="00166489" w:rsidRDefault="00BF18CA" w:rsidP="009D20A2">
      <w:pPr>
        <w:pStyle w:val="NormalWeb"/>
        <w:spacing w:line="276" w:lineRule="auto"/>
        <w:jc w:val="both"/>
      </w:pPr>
      <w:r w:rsidRPr="00166489">
        <w:t xml:space="preserve">Participatory mapping was another key data collection tool used to engage the community in identifying the sources of GBV in their locality. Men and boys in the study were asked to map out the locations where GBV occurred, the triggers for violence, and potential </w:t>
      </w:r>
      <w:proofErr w:type="spellStart"/>
      <w:r w:rsidRPr="00166489">
        <w:t>communitydriven</w:t>
      </w:r>
      <w:proofErr w:type="spellEnd"/>
      <w:r w:rsidRPr="00166489">
        <w:t xml:space="preserve"> solutions. This exercise helped the participants understand the broader social and environmental factors contributing to GBV. Workshops and roleplaying activities were also integral to the process, where men and boys participated in scenarios that allowed them to confront harmful behaviors, explore alternative responses, and understand the concepts of healthy masculinity and gender equality.</w:t>
      </w:r>
    </w:p>
    <w:p w14:paraId="1B6A56C5" w14:textId="77777777" w:rsidR="00BF18CA" w:rsidRDefault="00BF18CA" w:rsidP="009D20A2">
      <w:pPr>
        <w:pStyle w:val="NormalWeb"/>
        <w:spacing w:line="276" w:lineRule="auto"/>
        <w:jc w:val="both"/>
      </w:pPr>
      <w:r w:rsidRPr="00166489">
        <w:t xml:space="preserve">The data analysis process in this study was collaborative, with both the researchers and participants reflecting together on the findings. This joint analysis helped identify key patterns and contradictions in the community's attitudes and behaviors toward GBV. Thematic analysis focused on understanding how masculinity, power dynamics, and social control influenced gendered attitudes. Storytelling was also used as a method for participants to share personal </w:t>
      </w:r>
      <w:r w:rsidRPr="00166489">
        <w:lastRenderedPageBreak/>
        <w:t>experiences, providing valuable insights into the complexities of GBV and highlighting opportunities for change.</w:t>
      </w:r>
    </w:p>
    <w:p w14:paraId="6C481DBE" w14:textId="42044930" w:rsidR="00501751" w:rsidRPr="002019BC" w:rsidRDefault="00501751" w:rsidP="009D20A2">
      <w:pPr>
        <w:pStyle w:val="NormalWeb"/>
        <w:spacing w:line="276" w:lineRule="auto"/>
        <w:jc w:val="both"/>
        <w:rPr>
          <w:b/>
        </w:rPr>
      </w:pPr>
      <w:r w:rsidRPr="002019BC">
        <w:rPr>
          <w:b/>
        </w:rPr>
        <w:t>Result</w:t>
      </w:r>
      <w:r w:rsidR="002019BC">
        <w:rPr>
          <w:b/>
        </w:rPr>
        <w:t xml:space="preserve">: </w:t>
      </w:r>
    </w:p>
    <w:p w14:paraId="72B6918F" w14:textId="6FE40126" w:rsidR="007D47FC" w:rsidRPr="00D76F1D" w:rsidRDefault="007D47FC" w:rsidP="009D20A2">
      <w:pPr>
        <w:pStyle w:val="Heading3"/>
        <w:spacing w:before="0" w:beforeAutospacing="0" w:after="0" w:afterAutospacing="0" w:line="276" w:lineRule="auto"/>
        <w:jc w:val="both"/>
        <w:rPr>
          <w:b w:val="0"/>
          <w:sz w:val="24"/>
          <w:szCs w:val="24"/>
        </w:rPr>
      </w:pPr>
      <w:r w:rsidRPr="00D76F1D">
        <w:rPr>
          <w:rStyle w:val="Strong"/>
          <w:b/>
          <w:bCs/>
          <w:sz w:val="24"/>
          <w:szCs w:val="24"/>
        </w:rPr>
        <w:t>Perceptions of Gender</w:t>
      </w:r>
      <w:r w:rsidR="002019BC">
        <w:rPr>
          <w:rStyle w:val="Strong"/>
          <w:b/>
          <w:bCs/>
          <w:sz w:val="24"/>
          <w:szCs w:val="24"/>
        </w:rPr>
        <w:t xml:space="preserve"> </w:t>
      </w:r>
      <w:r w:rsidRPr="00D76F1D">
        <w:rPr>
          <w:rStyle w:val="Strong"/>
          <w:b/>
          <w:bCs/>
          <w:sz w:val="24"/>
          <w:szCs w:val="24"/>
        </w:rPr>
        <w:t>Based Violence Among Men and Boys</w:t>
      </w:r>
    </w:p>
    <w:p w14:paraId="60FB0785" w14:textId="77777777" w:rsidR="007D47FC" w:rsidRPr="007D47FC" w:rsidRDefault="007D47FC" w:rsidP="009D20A2">
      <w:pPr>
        <w:pStyle w:val="NormalWeb"/>
        <w:spacing w:before="0" w:beforeAutospacing="0" w:after="0" w:afterAutospacing="0" w:line="276" w:lineRule="auto"/>
        <w:jc w:val="both"/>
      </w:pPr>
      <w:r w:rsidRPr="007D47FC">
        <w:t xml:space="preserve">The study found that many men and boys in Arusha District, particularly in </w:t>
      </w:r>
      <w:proofErr w:type="spellStart"/>
      <w:r w:rsidRPr="007D47FC">
        <w:rPr>
          <w:rStyle w:val="Strong"/>
          <w:b w:val="0"/>
        </w:rPr>
        <w:t>Oltrumet</w:t>
      </w:r>
      <w:proofErr w:type="spellEnd"/>
      <w:r w:rsidRPr="007D47FC">
        <w:t xml:space="preserve"> and </w:t>
      </w:r>
      <w:proofErr w:type="spellStart"/>
      <w:r w:rsidRPr="007D47FC">
        <w:rPr>
          <w:rStyle w:val="Strong"/>
          <w:b w:val="0"/>
        </w:rPr>
        <w:t>Nduruma</w:t>
      </w:r>
      <w:proofErr w:type="spellEnd"/>
      <w:r w:rsidRPr="007D47FC">
        <w:rPr>
          <w:b/>
        </w:rPr>
        <w:t>,</w:t>
      </w:r>
      <w:r w:rsidRPr="007D47FC">
        <w:t xml:space="preserve"> had a limited understanding of the full scope of </w:t>
      </w:r>
      <w:proofErr w:type="spellStart"/>
      <w:r w:rsidRPr="007D47FC">
        <w:t>GenderBased</w:t>
      </w:r>
      <w:proofErr w:type="spellEnd"/>
      <w:r w:rsidRPr="007D47FC">
        <w:t xml:space="preserve"> Violence (GBV). Most initially associated GBV solely with physical violence, especially wife beating, while overlooking psychological, emotional, and economic dimensions. However, once engaged in the participatory sessions, there was a noticeable openness to reflect and learn. In </w:t>
      </w:r>
      <w:proofErr w:type="spellStart"/>
      <w:r w:rsidRPr="007D47FC">
        <w:rPr>
          <w:rStyle w:val="Strong"/>
          <w:b w:val="0"/>
        </w:rPr>
        <w:t>Oltrumet</w:t>
      </w:r>
      <w:proofErr w:type="spellEnd"/>
      <w:r w:rsidRPr="007D47FC">
        <w:rPr>
          <w:rStyle w:val="Strong"/>
          <w:b w:val="0"/>
        </w:rPr>
        <w:t xml:space="preserve"> Ward</w:t>
      </w:r>
      <w:r w:rsidRPr="007D47FC">
        <w:t>, a youth participant expressed his realization during a session</w:t>
      </w:r>
      <w:r w:rsidR="009D20A2">
        <w:t>;</w:t>
      </w:r>
    </w:p>
    <w:p w14:paraId="195C5ACD" w14:textId="77777777" w:rsidR="007D47FC" w:rsidRPr="007D47FC" w:rsidRDefault="007D47FC" w:rsidP="009D20A2">
      <w:pPr>
        <w:pStyle w:val="NormalWeb"/>
        <w:spacing w:line="276" w:lineRule="auto"/>
        <w:ind w:left="720"/>
        <w:jc w:val="both"/>
      </w:pPr>
      <w:r w:rsidRPr="007D47FC">
        <w:rPr>
          <w:rStyle w:val="Emphasis"/>
        </w:rPr>
        <w:t>“Before this program, I thought GBV only meant beating a woman. I didn’t know that denying her money or shouting at her all the time was also violence.”</w:t>
      </w:r>
    </w:p>
    <w:p w14:paraId="07142A04" w14:textId="77777777" w:rsidR="007D47FC" w:rsidRPr="007D47FC" w:rsidRDefault="007D47FC" w:rsidP="009D20A2">
      <w:pPr>
        <w:pStyle w:val="NormalWeb"/>
        <w:spacing w:line="276" w:lineRule="auto"/>
        <w:jc w:val="both"/>
      </w:pPr>
      <w:r w:rsidRPr="007D47FC">
        <w:t xml:space="preserve">This sentiment was echoed by an adult male participant in </w:t>
      </w:r>
      <w:proofErr w:type="spellStart"/>
      <w:r w:rsidRPr="007D47FC">
        <w:rPr>
          <w:rStyle w:val="Strong"/>
          <w:b w:val="0"/>
        </w:rPr>
        <w:t>Nduruma</w:t>
      </w:r>
      <w:proofErr w:type="spellEnd"/>
      <w:r w:rsidRPr="007D47FC">
        <w:rPr>
          <w:rStyle w:val="Strong"/>
          <w:b w:val="0"/>
        </w:rPr>
        <w:t xml:space="preserve"> Ward</w:t>
      </w:r>
      <w:r w:rsidRPr="007D47FC">
        <w:t>, who shared his personal transformation:</w:t>
      </w:r>
    </w:p>
    <w:p w14:paraId="2B9C9021" w14:textId="77777777" w:rsidR="007D47FC" w:rsidRPr="007D47FC" w:rsidRDefault="007D47FC" w:rsidP="009D20A2">
      <w:pPr>
        <w:pStyle w:val="NormalWeb"/>
        <w:spacing w:line="276" w:lineRule="auto"/>
        <w:ind w:left="720"/>
        <w:jc w:val="both"/>
      </w:pPr>
      <w:r w:rsidRPr="007D47FC">
        <w:rPr>
          <w:rStyle w:val="Emphasis"/>
        </w:rPr>
        <w:t>“These discussions have helped me see things differently. I used to think yelling at my wife was normal. Now I understand it is part of emotional violence.”</w:t>
      </w:r>
    </w:p>
    <w:p w14:paraId="30521011" w14:textId="77777777" w:rsidR="007D47FC" w:rsidRPr="007D47FC" w:rsidRDefault="007D47FC" w:rsidP="009D20A2">
      <w:pPr>
        <w:pStyle w:val="NormalWeb"/>
        <w:spacing w:line="276" w:lineRule="auto"/>
        <w:jc w:val="both"/>
      </w:pPr>
      <w:r w:rsidRPr="007D47FC">
        <w:t xml:space="preserve">Despite this growing awareness, the influence of entrenched gender norms remained evident. Across both wards, men described the strong societal expectations that shape their </w:t>
      </w:r>
      <w:proofErr w:type="spellStart"/>
      <w:r w:rsidRPr="007D47FC">
        <w:t>behaviorexpectations</w:t>
      </w:r>
      <w:proofErr w:type="spellEnd"/>
      <w:r w:rsidRPr="007D47FC">
        <w:t xml:space="preserve"> that emphasize male dominance, authority, emotional control, and economic superiority. These norms were often transmitted through family, religious teachings, and peer pressure. A </w:t>
      </w:r>
      <w:proofErr w:type="spellStart"/>
      <w:r w:rsidRPr="007D47FC">
        <w:t>middleaged</w:t>
      </w:r>
      <w:proofErr w:type="spellEnd"/>
      <w:r w:rsidRPr="007D47FC">
        <w:t xml:space="preserve"> man in </w:t>
      </w:r>
      <w:proofErr w:type="spellStart"/>
      <w:r w:rsidRPr="007D47FC">
        <w:rPr>
          <w:rStyle w:val="Strong"/>
          <w:b w:val="0"/>
        </w:rPr>
        <w:t>Oltrumet</w:t>
      </w:r>
      <w:proofErr w:type="spellEnd"/>
      <w:r w:rsidRPr="007D47FC">
        <w:rPr>
          <w:rStyle w:val="Strong"/>
          <w:b w:val="0"/>
        </w:rPr>
        <w:t xml:space="preserve"> Ward</w:t>
      </w:r>
      <w:r w:rsidRPr="007D47FC">
        <w:t xml:space="preserve"> stated</w:t>
      </w:r>
      <w:r w:rsidR="009D20A2">
        <w:t>;</w:t>
      </w:r>
    </w:p>
    <w:p w14:paraId="573F19FE" w14:textId="77777777" w:rsidR="007D47FC" w:rsidRPr="007D47FC" w:rsidRDefault="007D47FC" w:rsidP="009D20A2">
      <w:pPr>
        <w:pStyle w:val="NormalWeb"/>
        <w:spacing w:line="276" w:lineRule="auto"/>
        <w:ind w:left="720"/>
        <w:jc w:val="both"/>
      </w:pPr>
      <w:r w:rsidRPr="007D47FC">
        <w:rPr>
          <w:rStyle w:val="Emphasis"/>
        </w:rPr>
        <w:t>“As a man, you are taught not to cry, not to show weakness. If your wife talks back, you must remind her who is the head of the house.”</w:t>
      </w:r>
    </w:p>
    <w:p w14:paraId="2AD4F97F" w14:textId="77777777" w:rsidR="007D47FC" w:rsidRPr="007D47FC" w:rsidRDefault="007D47FC" w:rsidP="009D20A2">
      <w:pPr>
        <w:pStyle w:val="NormalWeb"/>
        <w:spacing w:line="276" w:lineRule="auto"/>
        <w:jc w:val="both"/>
      </w:pPr>
      <w:r w:rsidRPr="007D47FC">
        <w:t xml:space="preserve">These findings indicate that men and boys internalize harmful masculinities early in life, often perceiving them as </w:t>
      </w:r>
      <w:r w:rsidR="00071A9E" w:rsidRPr="007D47FC">
        <w:t>non</w:t>
      </w:r>
      <w:r w:rsidR="00071A9E">
        <w:t>-</w:t>
      </w:r>
      <w:r w:rsidR="00071A9E" w:rsidRPr="007D47FC">
        <w:t>negotiable</w:t>
      </w:r>
      <w:r w:rsidRPr="007D47FC">
        <w:t xml:space="preserve"> aspects of identity. However, a key insight from the study was the </w:t>
      </w:r>
      <w:r w:rsidRPr="007D47FC">
        <w:rPr>
          <w:rStyle w:val="Strong"/>
          <w:b w:val="0"/>
        </w:rPr>
        <w:t>generational divergence</w:t>
      </w:r>
      <w:r w:rsidRPr="007D47FC">
        <w:t xml:space="preserve"> in perceptions. While older men tended to defend traditional roles, younger participants showed greater flexibility and willingness to embrace change. During a group discussion in </w:t>
      </w:r>
      <w:proofErr w:type="spellStart"/>
      <w:r w:rsidRPr="007D47FC">
        <w:rPr>
          <w:rStyle w:val="Strong"/>
          <w:b w:val="0"/>
        </w:rPr>
        <w:t>Nduruma</w:t>
      </w:r>
      <w:proofErr w:type="spellEnd"/>
      <w:r w:rsidRPr="007D47FC">
        <w:t>, a male youth participant remarked</w:t>
      </w:r>
      <w:r>
        <w:t>;</w:t>
      </w:r>
    </w:p>
    <w:p w14:paraId="477436E8" w14:textId="77777777" w:rsidR="007D47FC" w:rsidRPr="007D47FC" w:rsidRDefault="007D47FC" w:rsidP="009D20A2">
      <w:pPr>
        <w:pStyle w:val="NormalWeb"/>
        <w:spacing w:line="276" w:lineRule="auto"/>
        <w:ind w:left="720"/>
        <w:jc w:val="both"/>
      </w:pPr>
      <w:r w:rsidRPr="007D47FC">
        <w:rPr>
          <w:rStyle w:val="Emphasis"/>
        </w:rPr>
        <w:t>“Our elders think it</w:t>
      </w:r>
      <w:r>
        <w:rPr>
          <w:rStyle w:val="Emphasis"/>
        </w:rPr>
        <w:t xml:space="preserve"> i</w:t>
      </w:r>
      <w:r w:rsidRPr="007D47FC">
        <w:rPr>
          <w:rStyle w:val="Emphasis"/>
        </w:rPr>
        <w:t>s weakness when a man helps his wife with house chores. But we, the younger ones, are tired of these old ideas.”</w:t>
      </w:r>
    </w:p>
    <w:p w14:paraId="506B3DD8" w14:textId="77777777" w:rsidR="007D47FC" w:rsidRPr="007D47FC" w:rsidRDefault="007D47FC" w:rsidP="009D20A2">
      <w:pPr>
        <w:pStyle w:val="NormalWeb"/>
        <w:spacing w:line="276" w:lineRule="auto"/>
        <w:jc w:val="both"/>
      </w:pPr>
      <w:r w:rsidRPr="007D47FC">
        <w:t xml:space="preserve">In contrast, a local elder from </w:t>
      </w:r>
      <w:proofErr w:type="spellStart"/>
      <w:r w:rsidRPr="007D47FC">
        <w:rPr>
          <w:rStyle w:val="Strong"/>
          <w:b w:val="0"/>
        </w:rPr>
        <w:t>Oltrumet</w:t>
      </w:r>
      <w:proofErr w:type="spellEnd"/>
      <w:r w:rsidRPr="007D47FC">
        <w:t xml:space="preserve"> resisted such shifts, saying</w:t>
      </w:r>
      <w:r w:rsidR="009D20A2">
        <w:t>;</w:t>
      </w:r>
    </w:p>
    <w:p w14:paraId="3D305FF6" w14:textId="77777777" w:rsidR="007D47FC" w:rsidRPr="007D47FC" w:rsidRDefault="007D47FC" w:rsidP="009D20A2">
      <w:pPr>
        <w:pStyle w:val="NormalWeb"/>
        <w:spacing w:line="276" w:lineRule="auto"/>
        <w:ind w:left="720"/>
        <w:jc w:val="both"/>
      </w:pPr>
      <w:r w:rsidRPr="007D47FC">
        <w:rPr>
          <w:rStyle w:val="Emphasis"/>
        </w:rPr>
        <w:lastRenderedPageBreak/>
        <w:t>“When I was a young man, women stayed quiet. Now they want to talk back, and I don’t understand this change.”</w:t>
      </w:r>
    </w:p>
    <w:p w14:paraId="03DE27B4" w14:textId="77777777" w:rsidR="007D47FC" w:rsidRPr="007D47FC" w:rsidRDefault="007D47FC" w:rsidP="009D20A2">
      <w:pPr>
        <w:pStyle w:val="NormalWeb"/>
        <w:spacing w:line="276" w:lineRule="auto"/>
        <w:jc w:val="both"/>
      </w:pPr>
      <w:r w:rsidRPr="007D47FC">
        <w:t>Such responses highlight the intergenerational tensions surrounding gender norms and suggest that younger men may offer a strategic entry point for transformative GBV prevention efforts.</w:t>
      </w:r>
    </w:p>
    <w:p w14:paraId="7CA5D4DE" w14:textId="77777777" w:rsidR="007D47FC" w:rsidRPr="007D47FC" w:rsidRDefault="007D47FC" w:rsidP="009D20A2">
      <w:pPr>
        <w:pStyle w:val="Heading3"/>
        <w:spacing w:before="0" w:beforeAutospacing="0" w:after="0" w:afterAutospacing="0" w:line="276" w:lineRule="auto"/>
        <w:jc w:val="both"/>
        <w:rPr>
          <w:sz w:val="24"/>
          <w:szCs w:val="24"/>
        </w:rPr>
      </w:pPr>
      <w:r w:rsidRPr="007D47FC">
        <w:rPr>
          <w:rStyle w:val="Strong"/>
          <w:b/>
          <w:bCs/>
          <w:sz w:val="24"/>
          <w:szCs w:val="24"/>
        </w:rPr>
        <w:t>Effectiveness of Participatory Action Research (PAR) in Promoting Attitudinal Change</w:t>
      </w:r>
    </w:p>
    <w:p w14:paraId="00E4367F" w14:textId="77777777" w:rsidR="007D47FC" w:rsidRPr="007D47FC" w:rsidRDefault="007D47FC" w:rsidP="009D20A2">
      <w:pPr>
        <w:pStyle w:val="NormalWeb"/>
        <w:spacing w:before="0" w:beforeAutospacing="0" w:after="0" w:afterAutospacing="0" w:line="276" w:lineRule="auto"/>
        <w:jc w:val="both"/>
      </w:pPr>
      <w:r w:rsidRPr="007D47FC">
        <w:t>The PAR methodology proved highly effective in encouraging introspection and promoting attitude change among men and boys in both wards. The research created structured yet safe spaces for dialogue, critical reflection, and experiential learning through role plays, mapping exercises, and storytelling. Participants were not just passive recipients of information but were treated as coresearchers who could critically examine their behaviors and social environments.</w:t>
      </w:r>
    </w:p>
    <w:p w14:paraId="4E0B64B4" w14:textId="77777777" w:rsidR="007D47FC" w:rsidRPr="007D47FC" w:rsidRDefault="007D47FC" w:rsidP="009D20A2">
      <w:pPr>
        <w:pStyle w:val="NormalWeb"/>
        <w:spacing w:line="276" w:lineRule="auto"/>
        <w:jc w:val="both"/>
      </w:pPr>
      <w:r w:rsidRPr="007D47FC">
        <w:t xml:space="preserve">In both </w:t>
      </w:r>
      <w:proofErr w:type="spellStart"/>
      <w:r w:rsidRPr="007D47FC">
        <w:rPr>
          <w:rStyle w:val="Strong"/>
          <w:b w:val="0"/>
        </w:rPr>
        <w:t>Oltrumet</w:t>
      </w:r>
      <w:r w:rsidRPr="007D47FC">
        <w:t>and</w:t>
      </w:r>
      <w:proofErr w:type="spellEnd"/>
      <w:r w:rsidRPr="007D47FC">
        <w:t xml:space="preserve"> </w:t>
      </w:r>
      <w:proofErr w:type="spellStart"/>
      <w:r w:rsidRPr="007D47FC">
        <w:rPr>
          <w:rStyle w:val="Strong"/>
          <w:b w:val="0"/>
        </w:rPr>
        <w:t>Nduruma</w:t>
      </w:r>
      <w:proofErr w:type="spellEnd"/>
      <w:r w:rsidRPr="007D47FC">
        <w:t xml:space="preserve">, participatory mapping exercises allowed men and boys to identify local GBV hotspots, the triggers of violence, and the social pressures that sustain them. A youth from </w:t>
      </w:r>
      <w:proofErr w:type="spellStart"/>
      <w:r w:rsidRPr="007D47FC">
        <w:rPr>
          <w:rStyle w:val="Strong"/>
          <w:b w:val="0"/>
        </w:rPr>
        <w:t>Nduruma</w:t>
      </w:r>
      <w:proofErr w:type="spellEnd"/>
      <w:r w:rsidRPr="007D47FC">
        <w:t xml:space="preserve"> reflected after a mapping session;</w:t>
      </w:r>
    </w:p>
    <w:p w14:paraId="26231A92" w14:textId="77777777" w:rsidR="007D47FC" w:rsidRPr="007D47FC" w:rsidRDefault="007D47FC" w:rsidP="009D20A2">
      <w:pPr>
        <w:pStyle w:val="NormalWeb"/>
        <w:spacing w:line="276" w:lineRule="auto"/>
        <w:ind w:left="720"/>
        <w:jc w:val="both"/>
      </w:pPr>
      <w:r w:rsidRPr="007D47FC">
        <w:rPr>
          <w:rStyle w:val="Emphasis"/>
        </w:rPr>
        <w:t>“I realized that most of the violence starts in places where men gather and gossip about their wives. We normalize it without knowing how damaging it is.”</w:t>
      </w:r>
    </w:p>
    <w:p w14:paraId="2BBF156D" w14:textId="77777777" w:rsidR="007D47FC" w:rsidRPr="007D47FC" w:rsidRDefault="007D47FC" w:rsidP="009D20A2">
      <w:pPr>
        <w:pStyle w:val="NormalWeb"/>
        <w:spacing w:line="276" w:lineRule="auto"/>
        <w:jc w:val="both"/>
      </w:pPr>
      <w:r w:rsidRPr="007D47FC">
        <w:t xml:space="preserve">Through role playing exercises, participants confronted scenarios involving emotional abuse, economic control, and coercion, which they initially dismissed or justified. These dramatizations allowed them to step into the shoes of victims, prompting empathy and </w:t>
      </w:r>
      <w:r w:rsidR="00071A9E" w:rsidRPr="007D47FC">
        <w:t>self-reflection</w:t>
      </w:r>
      <w:r w:rsidRPr="007D47FC">
        <w:t xml:space="preserve">. A participant from </w:t>
      </w:r>
      <w:proofErr w:type="spellStart"/>
      <w:r w:rsidRPr="007D47FC">
        <w:rPr>
          <w:rStyle w:val="Strong"/>
          <w:b w:val="0"/>
        </w:rPr>
        <w:t>Oltrumet</w:t>
      </w:r>
      <w:proofErr w:type="spellEnd"/>
      <w:r w:rsidRPr="007D47FC">
        <w:rPr>
          <w:rStyle w:val="Strong"/>
          <w:b w:val="0"/>
        </w:rPr>
        <w:t xml:space="preserve"> Ward</w:t>
      </w:r>
      <w:r w:rsidRPr="007D47FC">
        <w:t xml:space="preserve"> shared;</w:t>
      </w:r>
    </w:p>
    <w:p w14:paraId="5CA5CDE3" w14:textId="77777777" w:rsidR="007D47FC" w:rsidRPr="007D47FC" w:rsidRDefault="007D47FC" w:rsidP="009D20A2">
      <w:pPr>
        <w:pStyle w:val="NormalWeb"/>
        <w:spacing w:line="276" w:lineRule="auto"/>
        <w:ind w:left="720"/>
        <w:jc w:val="both"/>
      </w:pPr>
      <w:r w:rsidRPr="007D47FC">
        <w:rPr>
          <w:rStyle w:val="Emphasis"/>
        </w:rPr>
        <w:t>“During the role play, I acted as a woman being shouted at. It felt humiliating. I had never thought how our actions make women feel.”</w:t>
      </w:r>
    </w:p>
    <w:p w14:paraId="5FD86EC1" w14:textId="77777777" w:rsidR="007D47FC" w:rsidRPr="007D47FC" w:rsidRDefault="007D47FC" w:rsidP="009D20A2">
      <w:pPr>
        <w:pStyle w:val="NormalWeb"/>
        <w:spacing w:line="276" w:lineRule="auto"/>
        <w:jc w:val="both"/>
      </w:pPr>
      <w:r w:rsidRPr="007D47FC">
        <w:t xml:space="preserve">The FGDs also generated strong emotional reactions that pointed to emerging shifts in consciousness. In one session in </w:t>
      </w:r>
      <w:proofErr w:type="spellStart"/>
      <w:r w:rsidRPr="007D47FC">
        <w:rPr>
          <w:rStyle w:val="Strong"/>
          <w:b w:val="0"/>
        </w:rPr>
        <w:t>Nduruma</w:t>
      </w:r>
      <w:proofErr w:type="spellEnd"/>
      <w:r w:rsidRPr="007D47FC">
        <w:t>, an adult male admitted;</w:t>
      </w:r>
    </w:p>
    <w:p w14:paraId="0D1DD488" w14:textId="77777777" w:rsidR="007D47FC" w:rsidRPr="007D47FC" w:rsidRDefault="007D47FC" w:rsidP="009D20A2">
      <w:pPr>
        <w:pStyle w:val="NormalWeb"/>
        <w:spacing w:line="276" w:lineRule="auto"/>
        <w:ind w:left="720"/>
        <w:jc w:val="both"/>
      </w:pPr>
      <w:r w:rsidRPr="007D47FC">
        <w:rPr>
          <w:rStyle w:val="Emphasis"/>
        </w:rPr>
        <w:t>“I used to think that if my wife made a mistake, I had to punish her to show I’m a man. Now, I see that talking and understanding is also strength.”</w:t>
      </w:r>
    </w:p>
    <w:p w14:paraId="4C6F26E5" w14:textId="77777777" w:rsidR="007D47FC" w:rsidRPr="007D47FC" w:rsidRDefault="007D47FC" w:rsidP="009D20A2">
      <w:pPr>
        <w:pStyle w:val="NormalWeb"/>
        <w:spacing w:line="276" w:lineRule="auto"/>
        <w:jc w:val="both"/>
      </w:pPr>
      <w:r w:rsidRPr="007D47FC">
        <w:t xml:space="preserve">Despite this positive change, several structural and social barriers to sustained engagement were identified. Some participants expressed fear of being stigmatized or ridiculed by peers and elders for adopting what were seen as “feminine” behaviors. In </w:t>
      </w:r>
      <w:proofErr w:type="spellStart"/>
      <w:r w:rsidRPr="007D47FC">
        <w:rPr>
          <w:rStyle w:val="Strong"/>
          <w:b w:val="0"/>
        </w:rPr>
        <w:t>Oltrumet</w:t>
      </w:r>
      <w:proofErr w:type="spellEnd"/>
      <w:r w:rsidRPr="007D47FC">
        <w:t>, a young adult noted;</w:t>
      </w:r>
    </w:p>
    <w:p w14:paraId="5F33EF96" w14:textId="77777777" w:rsidR="007D47FC" w:rsidRPr="007D47FC" w:rsidRDefault="007D47FC" w:rsidP="009D20A2">
      <w:pPr>
        <w:pStyle w:val="NormalWeb"/>
        <w:spacing w:line="276" w:lineRule="auto"/>
        <w:ind w:left="720"/>
        <w:jc w:val="both"/>
      </w:pPr>
      <w:r w:rsidRPr="007D47FC">
        <w:rPr>
          <w:rStyle w:val="Emphasis"/>
        </w:rPr>
        <w:t>“If you treat your wife gently, some men say you are under her control. It makes change hard.”</w:t>
      </w:r>
    </w:p>
    <w:p w14:paraId="667B49DF" w14:textId="77777777" w:rsidR="007D47FC" w:rsidRPr="007D47FC" w:rsidRDefault="007D47FC" w:rsidP="009D20A2">
      <w:pPr>
        <w:pStyle w:val="NormalWeb"/>
        <w:spacing w:line="276" w:lineRule="auto"/>
        <w:jc w:val="both"/>
      </w:pPr>
      <w:r w:rsidRPr="007D47FC">
        <w:lastRenderedPageBreak/>
        <w:t xml:space="preserve">Moreover, participants in both wards raised concerns about the </w:t>
      </w:r>
      <w:r w:rsidRPr="007D47FC">
        <w:rPr>
          <w:rStyle w:val="Strong"/>
          <w:b w:val="0"/>
        </w:rPr>
        <w:t>lack of support structures</w:t>
      </w:r>
      <w:r w:rsidRPr="007D47FC">
        <w:t xml:space="preserve">, such as funding, follow up sessions, and backing from local leaders to sustain the momentum generated during the research process. In an interview, a community leader from </w:t>
      </w:r>
      <w:proofErr w:type="spellStart"/>
      <w:r w:rsidRPr="007D47FC">
        <w:rPr>
          <w:rStyle w:val="Strong"/>
          <w:b w:val="0"/>
        </w:rPr>
        <w:t>Nduruma</w:t>
      </w:r>
      <w:proofErr w:type="spellEnd"/>
      <w:r w:rsidRPr="007D47FC">
        <w:t xml:space="preserve"> stated;</w:t>
      </w:r>
    </w:p>
    <w:p w14:paraId="22CDDDEF" w14:textId="77777777" w:rsidR="007D47FC" w:rsidRPr="007D47FC" w:rsidRDefault="007D47FC" w:rsidP="009D20A2">
      <w:pPr>
        <w:pStyle w:val="NormalWeb"/>
        <w:spacing w:line="276" w:lineRule="auto"/>
        <w:ind w:left="720"/>
        <w:jc w:val="both"/>
      </w:pPr>
      <w:r w:rsidRPr="007D47FC">
        <w:rPr>
          <w:rStyle w:val="Emphasis"/>
        </w:rPr>
        <w:t>“This program opened our eyes, but without ongoing support and involvement of influential leaders, it may not last.”</w:t>
      </w:r>
    </w:p>
    <w:p w14:paraId="4EC7DF35" w14:textId="77777777" w:rsidR="007D47FC" w:rsidRDefault="007D47FC" w:rsidP="009D20A2">
      <w:pPr>
        <w:pStyle w:val="NormalWeb"/>
        <w:spacing w:line="276" w:lineRule="auto"/>
        <w:jc w:val="both"/>
      </w:pPr>
      <w:r w:rsidRPr="007D47FC">
        <w:t xml:space="preserve">Nevertheless, the research affirmed that when men and boys are meaningfully engaged through participatory, reflective, and context sensitive methods, significant attitude changes are possible. The experience of </w:t>
      </w:r>
      <w:r w:rsidR="00071A9E" w:rsidRPr="007D47FC">
        <w:t>co</w:t>
      </w:r>
      <w:r w:rsidR="00071A9E">
        <w:t>-</w:t>
      </w:r>
      <w:r w:rsidR="00071A9E" w:rsidRPr="007D47FC">
        <w:t>producing</w:t>
      </w:r>
      <w:r w:rsidRPr="007D47FC">
        <w:t xml:space="preserve"> knowledge helped participants gain ownership of the solutions and commit to modeling more respectful and </w:t>
      </w:r>
      <w:r w:rsidR="00071A9E" w:rsidRPr="007D47FC">
        <w:t>non</w:t>
      </w:r>
      <w:r w:rsidR="00071A9E">
        <w:t>-</w:t>
      </w:r>
      <w:r w:rsidR="00071A9E" w:rsidRPr="007D47FC">
        <w:t>violent</w:t>
      </w:r>
      <w:r w:rsidRPr="007D47FC">
        <w:t xml:space="preserve"> forms of masculinity within their communities.</w:t>
      </w:r>
    </w:p>
    <w:p w14:paraId="64CAD5BC" w14:textId="77777777" w:rsidR="007D47FC" w:rsidRPr="007D47FC" w:rsidRDefault="006C32D4" w:rsidP="009D20A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14:paraId="54767333" w14:textId="77777777" w:rsidR="006C32D4" w:rsidRDefault="006C32D4" w:rsidP="009D20A2">
      <w:pPr>
        <w:pStyle w:val="NormalWeb"/>
        <w:spacing w:before="0" w:beforeAutospacing="0" w:after="0" w:afterAutospacing="0" w:line="276" w:lineRule="auto"/>
        <w:jc w:val="both"/>
      </w:pPr>
      <w:r>
        <w:t xml:space="preserve">The findings of this study reaffirm the growing body of literature that underscores the importance of engaging men and boys in the prevention of </w:t>
      </w:r>
      <w:proofErr w:type="gramStart"/>
      <w:r>
        <w:t>gender based</w:t>
      </w:r>
      <w:proofErr w:type="gramEnd"/>
      <w:r>
        <w:t xml:space="preserve"> violence (GBV) through participatory and gender transformative approaches. In line with existing studies, the current research demonstrates that while many men in rural Tanzanian communities initially possess limited awareness of the diverse forms of GBV, participatory engagement can lead to significant shifts in attitudes, </w:t>
      </w:r>
      <w:r w:rsidR="00071A9E">
        <w:t>self-awareness</w:t>
      </w:r>
      <w:r>
        <w:t>, and behavior.</w:t>
      </w:r>
    </w:p>
    <w:p w14:paraId="5F2E4690" w14:textId="77777777" w:rsidR="006C32D4" w:rsidRDefault="006C32D4" w:rsidP="009D20A2">
      <w:pPr>
        <w:pStyle w:val="NormalWeb"/>
        <w:spacing w:line="276" w:lineRule="auto"/>
        <w:jc w:val="both"/>
      </w:pPr>
      <w:r>
        <w:t xml:space="preserve">Several international and regional studies have shown that traditional notions of masculinity characterized by control, emotional suppression, and dominance, are among the most persistent root causes of GBV (Jewkes, Flood, &amp; Lang, 2015; WHO, 2021). Similar to the findings in Arusha District, research by </w:t>
      </w:r>
      <w:proofErr w:type="spellStart"/>
      <w:r>
        <w:t>Lwambo</w:t>
      </w:r>
      <w:proofErr w:type="spellEnd"/>
      <w:r>
        <w:t xml:space="preserve"> (2013) in Eastern DR Congo reveals that societal expectations placed on men to uphold authority and emotional stoicism contribute to the normalization of violence, especially in intimate relationships. In this study, participants echoed these pressures, acknowledging that from a young age, they were taught to assert dominance over women and conceal vulnerability attitudes they later began to question through Participatory Action Research (PAR) processes.</w:t>
      </w:r>
    </w:p>
    <w:p w14:paraId="0D55F6C1" w14:textId="77777777" w:rsidR="006C32D4" w:rsidRDefault="006C32D4" w:rsidP="009D20A2">
      <w:pPr>
        <w:pStyle w:val="NormalWeb"/>
        <w:spacing w:line="276" w:lineRule="auto"/>
        <w:jc w:val="both"/>
      </w:pPr>
      <w:r>
        <w:t xml:space="preserve">This study aligns with Greig and Edström (2012), who emphasize that engaging men through structured, critical reflection rather than solely through awareness campaigns can catalyze deeper behavioral and normative transformation. The success of the PAR methodology in this study supports this approach, showing that when men are positioned not merely as targets of intervention but as co researchers and </w:t>
      </w:r>
      <w:r w:rsidR="00B55895">
        <w:t>co-creators</w:t>
      </w:r>
      <w:r>
        <w:t xml:space="preserve"> of solutions, they develop a stronger sense of ownership and accountability. Activities like role playing, participatory mapping, and storytelling mirrored the effective strategies documented in the </w:t>
      </w:r>
      <w:proofErr w:type="spellStart"/>
      <w:r>
        <w:t>MenEngage</w:t>
      </w:r>
      <w:proofErr w:type="spellEnd"/>
      <w:r>
        <w:t xml:space="preserve"> Africa and </w:t>
      </w:r>
      <w:proofErr w:type="spellStart"/>
      <w:r>
        <w:t>Sonke</w:t>
      </w:r>
      <w:proofErr w:type="spellEnd"/>
      <w:r>
        <w:t xml:space="preserve"> Gender Justice programs, which advocate for reflective, experiential learning to challenge harmful masculinities (Casey et al., 2018).</w:t>
      </w:r>
    </w:p>
    <w:p w14:paraId="35E807EE" w14:textId="77777777" w:rsidR="006C32D4" w:rsidRDefault="006C32D4" w:rsidP="009D20A2">
      <w:pPr>
        <w:pStyle w:val="NormalWeb"/>
        <w:spacing w:line="276" w:lineRule="auto"/>
        <w:jc w:val="both"/>
      </w:pPr>
      <w:r>
        <w:lastRenderedPageBreak/>
        <w:t>Furthermore, this study adds empirical weight to Flood’s (2011) argument that sustained, community embedded processes are more effective than externally driven campaigns. The active participation of men and boys in all stages of this PAR project, problem identification, analysis, planning, and implementation, created avenues for sustained engagement and contextual relevance. The generational differences observed, where younger participants showed greater openness to gender equality than older counterparts, are also consistent with findings from Casey et al. (2018), who note that youth are often more receptive to gender equitable messaging, especially when it is delivered in peer group formats.</w:t>
      </w:r>
    </w:p>
    <w:p w14:paraId="218509AF" w14:textId="77777777" w:rsidR="006C32D4" w:rsidRDefault="006C32D4" w:rsidP="009D20A2">
      <w:pPr>
        <w:pStyle w:val="NormalWeb"/>
        <w:spacing w:line="276" w:lineRule="auto"/>
        <w:jc w:val="both"/>
      </w:pPr>
      <w:r>
        <w:t xml:space="preserve">However, the study also highlights persistent structural and cultural barriers to long term transformation. Resistance from older men, stigma against </w:t>
      </w:r>
      <w:r w:rsidR="0001477B">
        <w:t>nontraditional</w:t>
      </w:r>
      <w:r>
        <w:t xml:space="preserve"> male behavior, and the lack of institutional and financial support for community led initiatives present critical obstacles and findings echoed in studies across East Africa (Greig &amp; Edström, 2012; Jewkes et al., 2015). As participants noted, the fear of being seen as weak or “controlled by women” continues to discourage men from fully embracing </w:t>
      </w:r>
      <w:r w:rsidR="0001477B">
        <w:t>non-violent</w:t>
      </w:r>
      <w:r>
        <w:t>, equitable masculinities.</w:t>
      </w:r>
    </w:p>
    <w:p w14:paraId="07D13859" w14:textId="77777777" w:rsidR="006C32D4" w:rsidRDefault="006C32D4" w:rsidP="009D20A2">
      <w:pPr>
        <w:pStyle w:val="NormalWeb"/>
        <w:spacing w:line="276" w:lineRule="auto"/>
        <w:jc w:val="both"/>
      </w:pPr>
      <w:r>
        <w:t xml:space="preserve">Compared to conventional GBV interventions that focus primarily on empowering women, this study supports the assertion by Jewkes et al. (2015) that shifting social norms requires engaging all genders in dialogue and transformation. The findings suggest that the integration of PAR into community level programming may bridge the gap between policy level ambitions and grassroots realities, particularly in rural and </w:t>
      </w:r>
      <w:proofErr w:type="spellStart"/>
      <w:r>
        <w:t>periurban</w:t>
      </w:r>
      <w:proofErr w:type="spellEnd"/>
      <w:r>
        <w:t xml:space="preserve"> settings where cultural norms are tightly held.</w:t>
      </w:r>
    </w:p>
    <w:p w14:paraId="006B6389" w14:textId="77777777" w:rsidR="006C32D4" w:rsidRDefault="006C32D4" w:rsidP="009D20A2">
      <w:pPr>
        <w:pStyle w:val="Heading3"/>
        <w:spacing w:before="0" w:beforeAutospacing="0" w:after="0" w:afterAutospacing="0" w:line="276" w:lineRule="auto"/>
        <w:jc w:val="both"/>
      </w:pPr>
      <w:r>
        <w:rPr>
          <w:rStyle w:val="Strong"/>
          <w:b/>
          <w:bCs/>
        </w:rPr>
        <w:t xml:space="preserve">Conclusion </w:t>
      </w:r>
    </w:p>
    <w:p w14:paraId="32D630E6" w14:textId="2FFADB45" w:rsidR="006C32D4" w:rsidRDefault="006C32D4" w:rsidP="009D20A2">
      <w:pPr>
        <w:pStyle w:val="NormalWeb"/>
        <w:spacing w:before="0" w:beforeAutospacing="0" w:after="0" w:afterAutospacing="0" w:line="276" w:lineRule="auto"/>
        <w:jc w:val="both"/>
      </w:pPr>
      <w:r>
        <w:t>This study contributes to the growi</w:t>
      </w:r>
      <w:r w:rsidR="00B55895">
        <w:t>ng recognition that transform</w:t>
      </w:r>
      <w:r>
        <w:t xml:space="preserve"> deeply rooted gender norms requires partic</w:t>
      </w:r>
      <w:r w:rsidR="009D20A2">
        <w:t xml:space="preserve">ipatory, sustained, and context </w:t>
      </w:r>
      <w:r>
        <w:t xml:space="preserve">specific approaches. It confirms that men and boys, when engaged as reflective partners rather than passive recipients, can critically evaluate and alter their own roles in perpetuating or preventing GBV. However, for such attitudinal shifts to translate into </w:t>
      </w:r>
      <w:proofErr w:type="spellStart"/>
      <w:r>
        <w:t>longterm</w:t>
      </w:r>
      <w:proofErr w:type="spellEnd"/>
      <w:r>
        <w:t xml:space="preserve"> behavioral change, broader community and institutional support systems must be established to sustain momentum and address the systemic barriers identified.</w:t>
      </w:r>
    </w:p>
    <w:p w14:paraId="45BAAA40" w14:textId="25223E55" w:rsidR="002F4602" w:rsidRDefault="002F4602" w:rsidP="009D20A2">
      <w:pPr>
        <w:pStyle w:val="NormalWeb"/>
        <w:spacing w:before="0" w:beforeAutospacing="0" w:after="0" w:afterAutospacing="0" w:line="276" w:lineRule="auto"/>
        <w:jc w:val="both"/>
      </w:pPr>
    </w:p>
    <w:p w14:paraId="6BD1B088" w14:textId="77777777" w:rsidR="002F4602" w:rsidRPr="002019BC" w:rsidRDefault="002F4602" w:rsidP="002F4602">
      <w:pPr>
        <w:rPr>
          <w:rFonts w:ascii="Calibri" w:eastAsia="Calibri" w:hAnsi="Calibri" w:cs="Times New Roman"/>
          <w:b/>
          <w:kern w:val="2"/>
          <w:highlight w:val="yellow"/>
        </w:rPr>
      </w:pPr>
      <w:bookmarkStart w:id="1" w:name="_Hlk197682619"/>
      <w:bookmarkStart w:id="2" w:name="_Hlk180402183"/>
      <w:bookmarkStart w:id="3" w:name="_Hlk183680988"/>
      <w:r w:rsidRPr="002019BC">
        <w:rPr>
          <w:rFonts w:ascii="Calibri" w:eastAsia="Calibri" w:hAnsi="Calibri" w:cs="Times New Roman"/>
          <w:b/>
          <w:kern w:val="2"/>
          <w:highlight w:val="yellow"/>
        </w:rPr>
        <w:t>Disclaimer (Artificial intelligence)</w:t>
      </w:r>
    </w:p>
    <w:p w14:paraId="666E3176"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C6C76FA"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81D1901"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F552070"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CA6A2A"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357A24E"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3FA4408" w14:textId="77777777" w:rsidR="002F4602" w:rsidRPr="009C5487" w:rsidRDefault="002F4602" w:rsidP="002F460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310BB80" w14:textId="77777777" w:rsidR="002F4602" w:rsidRPr="009C5487" w:rsidRDefault="002F4602" w:rsidP="002F4602">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2DBDF7A1" w14:textId="77777777" w:rsidR="002F4602" w:rsidRDefault="002F4602" w:rsidP="009D20A2">
      <w:pPr>
        <w:pStyle w:val="NormalWeb"/>
        <w:spacing w:before="0" w:beforeAutospacing="0" w:after="0" w:afterAutospacing="0" w:line="276" w:lineRule="auto"/>
        <w:jc w:val="both"/>
      </w:pPr>
    </w:p>
    <w:p w14:paraId="62E1B678" w14:textId="77777777" w:rsidR="001D11B9" w:rsidRDefault="001D11B9" w:rsidP="009D20A2">
      <w:pPr>
        <w:jc w:val="both"/>
        <w:rPr>
          <w:rFonts w:ascii="Times New Roman" w:eastAsia="Times New Roman" w:hAnsi="Times New Roman" w:cs="Times New Roman"/>
          <w:b/>
          <w:bCs/>
          <w:sz w:val="24"/>
          <w:szCs w:val="24"/>
        </w:rPr>
      </w:pPr>
    </w:p>
    <w:p w14:paraId="5E1EAEE3" w14:textId="46A633B1" w:rsidR="006C32D4" w:rsidRDefault="006C32D4" w:rsidP="009D20A2">
      <w:pPr>
        <w:jc w:val="both"/>
        <w:rPr>
          <w:rFonts w:ascii="Times New Roman" w:eastAsia="Times New Roman" w:hAnsi="Times New Roman" w:cs="Times New Roman"/>
          <w:b/>
          <w:bCs/>
          <w:sz w:val="24"/>
          <w:szCs w:val="24"/>
        </w:rPr>
      </w:pPr>
    </w:p>
    <w:p w14:paraId="5A281CCF"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b/>
          <w:bCs/>
          <w:sz w:val="24"/>
          <w:szCs w:val="24"/>
        </w:rPr>
        <w:t>References</w:t>
      </w:r>
    </w:p>
    <w:p w14:paraId="4FE6075E"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Casey, E., Carlson, J., Two Bulls, S., &amp; Yager, A. (2018). Gender transformative approaches to engaging men in </w:t>
      </w:r>
      <w:proofErr w:type="spellStart"/>
      <w:r w:rsidRPr="00166489">
        <w:rPr>
          <w:rFonts w:ascii="Times New Roman" w:eastAsia="Times New Roman" w:hAnsi="Times New Roman" w:cs="Times New Roman"/>
          <w:sz w:val="24"/>
          <w:szCs w:val="24"/>
        </w:rPr>
        <w:t>genderbased</w:t>
      </w:r>
      <w:proofErr w:type="spellEnd"/>
      <w:r w:rsidRPr="00166489">
        <w:rPr>
          <w:rFonts w:ascii="Times New Roman" w:eastAsia="Times New Roman" w:hAnsi="Times New Roman" w:cs="Times New Roman"/>
          <w:sz w:val="24"/>
          <w:szCs w:val="24"/>
        </w:rPr>
        <w:t xml:space="preserve"> violence prevention: A review and conceptual model. </w:t>
      </w:r>
      <w:r w:rsidRPr="00166489">
        <w:rPr>
          <w:rFonts w:ascii="Times New Roman" w:eastAsia="Times New Roman" w:hAnsi="Times New Roman" w:cs="Times New Roman"/>
          <w:i/>
          <w:iCs/>
          <w:sz w:val="24"/>
          <w:szCs w:val="24"/>
        </w:rPr>
        <w:t>Trauma, Violence, &amp; Abuse</w:t>
      </w:r>
      <w:r w:rsidRPr="00166489">
        <w:rPr>
          <w:rFonts w:ascii="Times New Roman" w:eastAsia="Times New Roman" w:hAnsi="Times New Roman" w:cs="Times New Roman"/>
          <w:sz w:val="24"/>
          <w:szCs w:val="24"/>
        </w:rPr>
        <w:t>, 19(2), 231–246.</w:t>
      </w:r>
    </w:p>
    <w:p w14:paraId="46B576A4"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Cornwall, A., &amp; Jewkes, R. (1995). What is participatory research? </w:t>
      </w:r>
      <w:r w:rsidRPr="00166489">
        <w:rPr>
          <w:rFonts w:ascii="Times New Roman" w:eastAsia="Times New Roman" w:hAnsi="Times New Roman" w:cs="Times New Roman"/>
          <w:i/>
          <w:iCs/>
          <w:sz w:val="24"/>
          <w:szCs w:val="24"/>
        </w:rPr>
        <w:t>Social Science &amp; Medicine</w:t>
      </w:r>
      <w:r w:rsidRPr="00166489">
        <w:rPr>
          <w:rFonts w:ascii="Times New Roman" w:eastAsia="Times New Roman" w:hAnsi="Times New Roman" w:cs="Times New Roman"/>
          <w:sz w:val="24"/>
          <w:szCs w:val="24"/>
        </w:rPr>
        <w:t>, 41(12), 1667–1676.</w:t>
      </w:r>
    </w:p>
    <w:p w14:paraId="3A955515"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Flood, M. (2011). Involving men in efforts to end violence against women. </w:t>
      </w:r>
      <w:r w:rsidRPr="00166489">
        <w:rPr>
          <w:rFonts w:ascii="Times New Roman" w:eastAsia="Times New Roman" w:hAnsi="Times New Roman" w:cs="Times New Roman"/>
          <w:i/>
          <w:iCs/>
          <w:sz w:val="24"/>
          <w:szCs w:val="24"/>
        </w:rPr>
        <w:t>Men and Masculinities</w:t>
      </w:r>
      <w:r w:rsidRPr="00166489">
        <w:rPr>
          <w:rFonts w:ascii="Times New Roman" w:eastAsia="Times New Roman" w:hAnsi="Times New Roman" w:cs="Times New Roman"/>
          <w:sz w:val="24"/>
          <w:szCs w:val="24"/>
        </w:rPr>
        <w:t>, 14(3), 358–377.</w:t>
      </w:r>
    </w:p>
    <w:p w14:paraId="0DEDE8DD"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Greig, A., &amp; Edström, J. (2012). </w:t>
      </w:r>
      <w:proofErr w:type="spellStart"/>
      <w:r w:rsidRPr="00166489">
        <w:rPr>
          <w:rFonts w:ascii="Times New Roman" w:eastAsia="Times New Roman" w:hAnsi="Times New Roman" w:cs="Times New Roman"/>
          <w:i/>
          <w:iCs/>
          <w:sz w:val="24"/>
          <w:szCs w:val="24"/>
        </w:rPr>
        <w:t>Mobilising</w:t>
      </w:r>
      <w:proofErr w:type="spellEnd"/>
      <w:r w:rsidRPr="00166489">
        <w:rPr>
          <w:rFonts w:ascii="Times New Roman" w:eastAsia="Times New Roman" w:hAnsi="Times New Roman" w:cs="Times New Roman"/>
          <w:i/>
          <w:iCs/>
          <w:sz w:val="24"/>
          <w:szCs w:val="24"/>
        </w:rPr>
        <w:t xml:space="preserve"> Men in Practice: Challenging Sexual and </w:t>
      </w:r>
      <w:proofErr w:type="spellStart"/>
      <w:r w:rsidRPr="00166489">
        <w:rPr>
          <w:rFonts w:ascii="Times New Roman" w:eastAsia="Times New Roman" w:hAnsi="Times New Roman" w:cs="Times New Roman"/>
          <w:i/>
          <w:iCs/>
          <w:sz w:val="24"/>
          <w:szCs w:val="24"/>
        </w:rPr>
        <w:t>Genderbased</w:t>
      </w:r>
      <w:proofErr w:type="spellEnd"/>
      <w:r w:rsidRPr="00166489">
        <w:rPr>
          <w:rFonts w:ascii="Times New Roman" w:eastAsia="Times New Roman" w:hAnsi="Times New Roman" w:cs="Times New Roman"/>
          <w:i/>
          <w:iCs/>
          <w:sz w:val="24"/>
          <w:szCs w:val="24"/>
        </w:rPr>
        <w:t xml:space="preserve"> Violence in Institutional Settings</w:t>
      </w:r>
      <w:r w:rsidRPr="00166489">
        <w:rPr>
          <w:rFonts w:ascii="Times New Roman" w:eastAsia="Times New Roman" w:hAnsi="Times New Roman" w:cs="Times New Roman"/>
          <w:sz w:val="24"/>
          <w:szCs w:val="24"/>
        </w:rPr>
        <w:t>. Institute of Development Studies.</w:t>
      </w:r>
    </w:p>
    <w:p w14:paraId="7B0B1EC7"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Jewkes, R., Flood, M., &amp; Lang, J. (2015). From work with men and boys to changes of social norms and reduction of inequities in gender relations: A conceptual shift in prevention of violence against women and girls. </w:t>
      </w:r>
      <w:r w:rsidRPr="00166489">
        <w:rPr>
          <w:rFonts w:ascii="Times New Roman" w:eastAsia="Times New Roman" w:hAnsi="Times New Roman" w:cs="Times New Roman"/>
          <w:i/>
          <w:iCs/>
          <w:sz w:val="24"/>
          <w:szCs w:val="24"/>
        </w:rPr>
        <w:t>The Lancet</w:t>
      </w:r>
      <w:r w:rsidRPr="00166489">
        <w:rPr>
          <w:rFonts w:ascii="Times New Roman" w:eastAsia="Times New Roman" w:hAnsi="Times New Roman" w:cs="Times New Roman"/>
          <w:sz w:val="24"/>
          <w:szCs w:val="24"/>
        </w:rPr>
        <w:t>, 385(9977), 1580–1589.</w:t>
      </w:r>
    </w:p>
    <w:p w14:paraId="74A8B6D8"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proofErr w:type="spellStart"/>
      <w:r w:rsidRPr="00166489">
        <w:rPr>
          <w:rFonts w:ascii="Times New Roman" w:eastAsia="Times New Roman" w:hAnsi="Times New Roman" w:cs="Times New Roman"/>
          <w:sz w:val="24"/>
          <w:szCs w:val="24"/>
        </w:rPr>
        <w:t>Lwambo</w:t>
      </w:r>
      <w:proofErr w:type="spellEnd"/>
      <w:r w:rsidRPr="00166489">
        <w:rPr>
          <w:rFonts w:ascii="Times New Roman" w:eastAsia="Times New Roman" w:hAnsi="Times New Roman" w:cs="Times New Roman"/>
          <w:sz w:val="24"/>
          <w:szCs w:val="24"/>
        </w:rPr>
        <w:t xml:space="preserve">, D. (2013). ‘Before the war, I was a man’: Men and masculinities in eastern DR Congo. </w:t>
      </w:r>
      <w:r w:rsidRPr="00166489">
        <w:rPr>
          <w:rFonts w:ascii="Times New Roman" w:eastAsia="Times New Roman" w:hAnsi="Times New Roman" w:cs="Times New Roman"/>
          <w:i/>
          <w:iCs/>
          <w:sz w:val="24"/>
          <w:szCs w:val="24"/>
        </w:rPr>
        <w:t>Gender &amp; Development</w:t>
      </w:r>
      <w:r w:rsidRPr="00166489">
        <w:rPr>
          <w:rFonts w:ascii="Times New Roman" w:eastAsia="Times New Roman" w:hAnsi="Times New Roman" w:cs="Times New Roman"/>
          <w:sz w:val="24"/>
          <w:szCs w:val="24"/>
        </w:rPr>
        <w:t>, 21(1), 47–66.</w:t>
      </w:r>
    </w:p>
    <w:p w14:paraId="077B74BC"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r w:rsidRPr="00166489">
        <w:rPr>
          <w:rFonts w:ascii="Times New Roman" w:eastAsia="Times New Roman" w:hAnsi="Times New Roman" w:cs="Times New Roman"/>
          <w:sz w:val="24"/>
          <w:szCs w:val="24"/>
        </w:rPr>
        <w:t xml:space="preserve">Tanzania Demographic and Health Survey (TDHS). (2022). </w:t>
      </w:r>
      <w:r w:rsidRPr="00166489">
        <w:rPr>
          <w:rFonts w:ascii="Times New Roman" w:eastAsia="Times New Roman" w:hAnsi="Times New Roman" w:cs="Times New Roman"/>
          <w:i/>
          <w:iCs/>
          <w:sz w:val="24"/>
          <w:szCs w:val="24"/>
        </w:rPr>
        <w:t>Key Indicators Report</w:t>
      </w:r>
      <w:r w:rsidRPr="00166489">
        <w:rPr>
          <w:rFonts w:ascii="Times New Roman" w:eastAsia="Times New Roman" w:hAnsi="Times New Roman" w:cs="Times New Roman"/>
          <w:sz w:val="24"/>
          <w:szCs w:val="24"/>
        </w:rPr>
        <w:t>. National Bureau of Statistics and Ministry of Health, Tanzania.</w:t>
      </w:r>
    </w:p>
    <w:p w14:paraId="2639F1F1" w14:textId="77777777" w:rsidR="00BF18CA" w:rsidRDefault="00BF18CA" w:rsidP="009D20A2">
      <w:pPr>
        <w:pStyle w:val="NormalWeb"/>
        <w:spacing w:line="276" w:lineRule="auto"/>
      </w:pPr>
      <w:r w:rsidRPr="00166489">
        <w:lastRenderedPageBreak/>
        <w:t xml:space="preserve">World Health Organization. (2021). </w:t>
      </w:r>
      <w:r w:rsidRPr="00166489">
        <w:rPr>
          <w:rStyle w:val="Emphasis"/>
        </w:rPr>
        <w:t>Violence against women prevalence estimates, 2018: Global, regional and national prevalence estimates for intimate partner violence against women and global and region</w:t>
      </w:r>
      <w:r w:rsidR="009D20A2">
        <w:rPr>
          <w:rStyle w:val="Emphasis"/>
        </w:rPr>
        <w:t xml:space="preserve">al prevalence estimates for </w:t>
      </w:r>
      <w:proofErr w:type="spellStart"/>
      <w:r w:rsidR="009D20A2">
        <w:rPr>
          <w:rStyle w:val="Emphasis"/>
        </w:rPr>
        <w:t xml:space="preserve">non </w:t>
      </w:r>
      <w:r w:rsidRPr="00166489">
        <w:rPr>
          <w:rStyle w:val="Emphasis"/>
        </w:rPr>
        <w:t>partner</w:t>
      </w:r>
      <w:proofErr w:type="spellEnd"/>
      <w:r w:rsidRPr="00166489">
        <w:rPr>
          <w:rStyle w:val="Emphasis"/>
        </w:rPr>
        <w:t xml:space="preserve"> sexual violence</w:t>
      </w:r>
      <w:r w:rsidRPr="00166489">
        <w:t xml:space="preserve">. </w:t>
      </w:r>
      <w:hyperlink r:id="rId7" w:tgtFrame="_new" w:history="1">
        <w:r w:rsidRPr="00166489">
          <w:rPr>
            <w:rStyle w:val="Hyperlink"/>
          </w:rPr>
          <w:t>https://www.who.int/publications/i/item/9789240022256</w:t>
        </w:r>
      </w:hyperlink>
    </w:p>
    <w:p w14:paraId="05925026" w14:textId="078F75FC" w:rsidR="00DB510E" w:rsidRDefault="00DB510E" w:rsidP="009D20A2">
      <w:pPr>
        <w:pStyle w:val="NormalWeb"/>
        <w:spacing w:line="276" w:lineRule="auto"/>
      </w:pPr>
      <w:r w:rsidRPr="009932C0">
        <w:rPr>
          <w:highlight w:val="yellow"/>
        </w:rPr>
        <w:t xml:space="preserve">Islam, Q. S., &amp; Akter, N. (2024). Gender-based violence (GBV) on Bangladeshi women and girls during COVID-19 in Toronto: Forms, causes, and mental health impacts. </w:t>
      </w:r>
      <w:r w:rsidRPr="009932C0">
        <w:rPr>
          <w:i/>
          <w:iCs/>
          <w:highlight w:val="yellow"/>
        </w:rPr>
        <w:t>Journal of Advances in Medicine and Medical Research, 36</w:t>
      </w:r>
      <w:r w:rsidRPr="009932C0">
        <w:rPr>
          <w:highlight w:val="yellow"/>
        </w:rPr>
        <w:t>(7), 307–319.</w:t>
      </w:r>
    </w:p>
    <w:p w14:paraId="21D75083" w14:textId="2E2745DD" w:rsidR="006C7100" w:rsidRPr="009932C0" w:rsidRDefault="006C7100" w:rsidP="009D20A2">
      <w:pPr>
        <w:pStyle w:val="NormalWeb"/>
        <w:spacing w:line="276" w:lineRule="auto"/>
        <w:rPr>
          <w:highlight w:val="yellow"/>
        </w:rPr>
      </w:pPr>
      <w:r w:rsidRPr="009932C0">
        <w:rPr>
          <w:highlight w:val="yellow"/>
        </w:rPr>
        <w:t xml:space="preserve">Dahal, P., Joshi, S. K., &amp; </w:t>
      </w:r>
      <w:proofErr w:type="spellStart"/>
      <w:r w:rsidRPr="009932C0">
        <w:rPr>
          <w:highlight w:val="yellow"/>
        </w:rPr>
        <w:t>Swahnberg</w:t>
      </w:r>
      <w:proofErr w:type="spellEnd"/>
      <w:r w:rsidRPr="009932C0">
        <w:rPr>
          <w:highlight w:val="yellow"/>
        </w:rPr>
        <w:t>, K. (2022). A qualitative study on gender inequality and gender-based violence in Nepal. </w:t>
      </w:r>
      <w:r w:rsidRPr="009932C0">
        <w:rPr>
          <w:i/>
          <w:iCs/>
          <w:highlight w:val="yellow"/>
        </w:rPr>
        <w:t>BMC public health</w:t>
      </w:r>
      <w:r w:rsidRPr="009932C0">
        <w:rPr>
          <w:highlight w:val="yellow"/>
        </w:rPr>
        <w:t>, </w:t>
      </w:r>
      <w:r w:rsidRPr="009932C0">
        <w:rPr>
          <w:i/>
          <w:iCs/>
          <w:highlight w:val="yellow"/>
        </w:rPr>
        <w:t>22</w:t>
      </w:r>
      <w:r w:rsidRPr="009932C0">
        <w:rPr>
          <w:highlight w:val="yellow"/>
        </w:rPr>
        <w:t>(1), 2005.</w:t>
      </w:r>
    </w:p>
    <w:p w14:paraId="379EDF2B" w14:textId="0029E1BB" w:rsidR="006C7100" w:rsidRDefault="006C7100" w:rsidP="009D20A2">
      <w:pPr>
        <w:pStyle w:val="NormalWeb"/>
        <w:spacing w:line="276" w:lineRule="auto"/>
      </w:pPr>
      <w:r w:rsidRPr="009932C0">
        <w:rPr>
          <w:highlight w:val="yellow"/>
          <w:lang w:val="es-US"/>
        </w:rPr>
        <w:t>Pérez-Martínez, V., Marcos-Marcos, J., Cerdán-Torregrosa, A., Briones-</w:t>
      </w:r>
      <w:proofErr w:type="spellStart"/>
      <w:r w:rsidRPr="009932C0">
        <w:rPr>
          <w:highlight w:val="yellow"/>
          <w:lang w:val="es-US"/>
        </w:rPr>
        <w:t>Vozmediano</w:t>
      </w:r>
      <w:proofErr w:type="spellEnd"/>
      <w:r w:rsidRPr="009932C0">
        <w:rPr>
          <w:highlight w:val="yellow"/>
          <w:lang w:val="es-US"/>
        </w:rPr>
        <w:t xml:space="preserve">, E., Sanz-Barbero, B., </w:t>
      </w:r>
      <w:proofErr w:type="spellStart"/>
      <w:r w:rsidRPr="009932C0">
        <w:rPr>
          <w:highlight w:val="yellow"/>
          <w:lang w:val="es-US"/>
        </w:rPr>
        <w:t>Davó</w:t>
      </w:r>
      <w:proofErr w:type="spellEnd"/>
      <w:r w:rsidRPr="009932C0">
        <w:rPr>
          <w:highlight w:val="yellow"/>
          <w:lang w:val="es-US"/>
        </w:rPr>
        <w:t xml:space="preserve">-Blanes, M., ... </w:t>
      </w:r>
      <w:r w:rsidRPr="009932C0">
        <w:rPr>
          <w:highlight w:val="yellow"/>
        </w:rPr>
        <w:t>&amp; Vives-Cases, C. (2023). Positive masculinities and gender-based violence educational interventions among young people: a systematic review. </w:t>
      </w:r>
      <w:r w:rsidRPr="009932C0">
        <w:rPr>
          <w:i/>
          <w:iCs/>
          <w:highlight w:val="yellow"/>
        </w:rPr>
        <w:t>Trauma, Violence, &amp; Abuse</w:t>
      </w:r>
      <w:r w:rsidRPr="009932C0">
        <w:rPr>
          <w:highlight w:val="yellow"/>
        </w:rPr>
        <w:t>, </w:t>
      </w:r>
      <w:r w:rsidRPr="009932C0">
        <w:rPr>
          <w:i/>
          <w:iCs/>
          <w:highlight w:val="yellow"/>
        </w:rPr>
        <w:t>24</w:t>
      </w:r>
      <w:r w:rsidRPr="009932C0">
        <w:rPr>
          <w:highlight w:val="yellow"/>
        </w:rPr>
        <w:t>(2), 468-486.</w:t>
      </w:r>
    </w:p>
    <w:p w14:paraId="69B80336" w14:textId="6A1FF15A" w:rsidR="00BD0B6A" w:rsidRDefault="00BD0B6A" w:rsidP="009D20A2">
      <w:pPr>
        <w:pStyle w:val="NormalWeb"/>
        <w:spacing w:line="276" w:lineRule="auto"/>
      </w:pPr>
      <w:r w:rsidRPr="009932C0">
        <w:rPr>
          <w:highlight w:val="yellow"/>
        </w:rPr>
        <w:t>Muluneh, M. D., Francis, L., Agho, K., &amp; Stulz, V. (2021). A systematic review and meta-analysis of associated factors of gender-based violence against women in sub-Saharan Africa. </w:t>
      </w:r>
      <w:r w:rsidRPr="009932C0">
        <w:rPr>
          <w:i/>
          <w:iCs/>
          <w:highlight w:val="yellow"/>
        </w:rPr>
        <w:t>International journal of environmental research and public health</w:t>
      </w:r>
      <w:r w:rsidRPr="009932C0">
        <w:rPr>
          <w:highlight w:val="yellow"/>
        </w:rPr>
        <w:t>, </w:t>
      </w:r>
      <w:r w:rsidRPr="009932C0">
        <w:rPr>
          <w:i/>
          <w:iCs/>
          <w:highlight w:val="yellow"/>
        </w:rPr>
        <w:t>18</w:t>
      </w:r>
      <w:r w:rsidRPr="009932C0">
        <w:rPr>
          <w:highlight w:val="yellow"/>
        </w:rPr>
        <w:t>(9), 4407.</w:t>
      </w:r>
    </w:p>
    <w:p w14:paraId="16A121E9" w14:textId="13CD0814" w:rsidR="00BD0B6A" w:rsidRDefault="00906E56" w:rsidP="009D20A2">
      <w:pPr>
        <w:pStyle w:val="NormalWeb"/>
        <w:spacing w:line="276" w:lineRule="auto"/>
      </w:pPr>
      <w:proofErr w:type="spellStart"/>
      <w:r w:rsidRPr="009932C0">
        <w:rPr>
          <w:highlight w:val="yellow"/>
        </w:rPr>
        <w:t>Barhoi</w:t>
      </w:r>
      <w:proofErr w:type="spellEnd"/>
      <w:r w:rsidRPr="009932C0">
        <w:rPr>
          <w:highlight w:val="yellow"/>
        </w:rPr>
        <w:t>, P., Nambudiri, R., &amp; Thomas, N. (2025). Gender‐based violence in India and feminist organizing of Women's Court's work for its prevention. </w:t>
      </w:r>
      <w:r w:rsidRPr="009932C0">
        <w:rPr>
          <w:i/>
          <w:iCs/>
          <w:highlight w:val="yellow"/>
        </w:rPr>
        <w:t>Gender, Work &amp; Organization</w:t>
      </w:r>
      <w:r w:rsidRPr="009932C0">
        <w:rPr>
          <w:highlight w:val="yellow"/>
        </w:rPr>
        <w:t>, </w:t>
      </w:r>
      <w:r w:rsidRPr="009932C0">
        <w:rPr>
          <w:i/>
          <w:iCs/>
          <w:highlight w:val="yellow"/>
        </w:rPr>
        <w:t>32</w:t>
      </w:r>
      <w:r w:rsidRPr="009932C0">
        <w:rPr>
          <w:highlight w:val="yellow"/>
        </w:rPr>
        <w:t>(2), 887-911.</w:t>
      </w:r>
    </w:p>
    <w:p w14:paraId="6F99DD9F" w14:textId="77777777" w:rsidR="006C7100" w:rsidRPr="00166489" w:rsidRDefault="006C7100" w:rsidP="009D20A2">
      <w:pPr>
        <w:pStyle w:val="NormalWeb"/>
        <w:spacing w:line="276" w:lineRule="auto"/>
      </w:pPr>
    </w:p>
    <w:p w14:paraId="18037362" w14:textId="77777777" w:rsidR="004B7299" w:rsidRPr="00166489" w:rsidRDefault="004B7299" w:rsidP="009D20A2">
      <w:pPr>
        <w:spacing w:before="100" w:beforeAutospacing="1" w:after="100" w:afterAutospacing="1"/>
        <w:jc w:val="both"/>
        <w:rPr>
          <w:rFonts w:ascii="Times New Roman" w:eastAsia="Times New Roman" w:hAnsi="Times New Roman" w:cs="Times New Roman"/>
          <w:sz w:val="24"/>
          <w:szCs w:val="24"/>
        </w:rPr>
      </w:pPr>
    </w:p>
    <w:p w14:paraId="576E3F5B" w14:textId="77777777" w:rsidR="00DB6E75" w:rsidRPr="00166489" w:rsidRDefault="00DB6E75" w:rsidP="009D20A2">
      <w:pPr>
        <w:jc w:val="both"/>
        <w:rPr>
          <w:rFonts w:ascii="Times New Roman" w:hAnsi="Times New Roman" w:cs="Times New Roman"/>
          <w:sz w:val="24"/>
          <w:szCs w:val="24"/>
        </w:rPr>
      </w:pPr>
    </w:p>
    <w:sectPr w:rsidR="00DB6E75" w:rsidRPr="00166489" w:rsidSect="00DB6E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BDC40" w14:textId="77777777" w:rsidR="00E34BBC" w:rsidRDefault="00E34BBC" w:rsidP="00166489">
      <w:pPr>
        <w:spacing w:after="0" w:line="240" w:lineRule="auto"/>
      </w:pPr>
      <w:r>
        <w:separator/>
      </w:r>
    </w:p>
  </w:endnote>
  <w:endnote w:type="continuationSeparator" w:id="0">
    <w:p w14:paraId="6672DD35" w14:textId="77777777" w:rsidR="00E34BBC" w:rsidRDefault="00E34BBC" w:rsidP="0016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E106" w14:textId="77777777" w:rsidR="0062647B" w:rsidRDefault="00626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362672"/>
      <w:docPartObj>
        <w:docPartGallery w:val="Page Numbers (Bottom of Page)"/>
        <w:docPartUnique/>
      </w:docPartObj>
    </w:sdtPr>
    <w:sdtEndPr/>
    <w:sdtContent>
      <w:p w14:paraId="0F9A46F0" w14:textId="77777777" w:rsidR="00166489" w:rsidRDefault="0097715B">
        <w:pPr>
          <w:pStyle w:val="Footer"/>
          <w:jc w:val="right"/>
        </w:pPr>
        <w:r>
          <w:fldChar w:fldCharType="begin"/>
        </w:r>
        <w:r w:rsidR="00DF64D7">
          <w:instrText xml:space="preserve"> PAGE   \* MERGEFORMAT </w:instrText>
        </w:r>
        <w:r>
          <w:fldChar w:fldCharType="separate"/>
        </w:r>
        <w:r w:rsidR="00BD0E21">
          <w:rPr>
            <w:noProof/>
          </w:rPr>
          <w:t>1</w:t>
        </w:r>
        <w:r>
          <w:rPr>
            <w:noProof/>
          </w:rPr>
          <w:fldChar w:fldCharType="end"/>
        </w:r>
      </w:p>
    </w:sdtContent>
  </w:sdt>
  <w:p w14:paraId="2CA01A17" w14:textId="77777777" w:rsidR="00166489" w:rsidRDefault="00166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022C" w14:textId="77777777" w:rsidR="0062647B" w:rsidRDefault="0062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86416" w14:textId="77777777" w:rsidR="00E34BBC" w:rsidRDefault="00E34BBC" w:rsidP="00166489">
      <w:pPr>
        <w:spacing w:after="0" w:line="240" w:lineRule="auto"/>
      </w:pPr>
      <w:r>
        <w:separator/>
      </w:r>
    </w:p>
  </w:footnote>
  <w:footnote w:type="continuationSeparator" w:id="0">
    <w:p w14:paraId="0109F77D" w14:textId="77777777" w:rsidR="00E34BBC" w:rsidRDefault="00E34BBC" w:rsidP="0016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27453" w14:textId="35634E89" w:rsidR="0062647B" w:rsidRDefault="00E34BBC">
    <w:pPr>
      <w:pStyle w:val="Header"/>
    </w:pPr>
    <w:r>
      <w:rPr>
        <w:noProof/>
      </w:rPr>
      <w:pict w14:anchorId="19F3B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3278" w14:textId="522A55AC" w:rsidR="0062647B" w:rsidRDefault="00E34BBC">
    <w:pPr>
      <w:pStyle w:val="Header"/>
    </w:pPr>
    <w:r>
      <w:rPr>
        <w:noProof/>
      </w:rPr>
      <w:pict w14:anchorId="49801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EDF" w14:textId="55935042" w:rsidR="0062647B" w:rsidRDefault="00E34BBC">
    <w:pPr>
      <w:pStyle w:val="Header"/>
    </w:pPr>
    <w:r>
      <w:rPr>
        <w:noProof/>
      </w:rPr>
      <w:pict w14:anchorId="04B95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43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53B63"/>
    <w:multiLevelType w:val="hybridMultilevel"/>
    <w:tmpl w:val="7B06214A"/>
    <w:lvl w:ilvl="0" w:tplc="9DB80A90">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F13C7"/>
    <w:multiLevelType w:val="multilevel"/>
    <w:tmpl w:val="B6C2AE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wNDQyMDEyN7I0sTRT0lEKTi0uzszPAykwrAUAEpuw9ywAAAA="/>
  </w:docVars>
  <w:rsids>
    <w:rsidRoot w:val="004B7299"/>
    <w:rsid w:val="0001477B"/>
    <w:rsid w:val="00033144"/>
    <w:rsid w:val="00071A9E"/>
    <w:rsid w:val="000851CC"/>
    <w:rsid w:val="000C0ACA"/>
    <w:rsid w:val="00145126"/>
    <w:rsid w:val="00166489"/>
    <w:rsid w:val="00190411"/>
    <w:rsid w:val="001D11B9"/>
    <w:rsid w:val="002019BC"/>
    <w:rsid w:val="00296FFB"/>
    <w:rsid w:val="002B6EC9"/>
    <w:rsid w:val="002F4602"/>
    <w:rsid w:val="002F7A82"/>
    <w:rsid w:val="00303A92"/>
    <w:rsid w:val="00312F1D"/>
    <w:rsid w:val="00322B15"/>
    <w:rsid w:val="004015A3"/>
    <w:rsid w:val="004244EB"/>
    <w:rsid w:val="00442923"/>
    <w:rsid w:val="004773FC"/>
    <w:rsid w:val="004B7299"/>
    <w:rsid w:val="00501751"/>
    <w:rsid w:val="0050579F"/>
    <w:rsid w:val="00505BF7"/>
    <w:rsid w:val="005251C8"/>
    <w:rsid w:val="005B5622"/>
    <w:rsid w:val="005D2567"/>
    <w:rsid w:val="005F43BB"/>
    <w:rsid w:val="0061589A"/>
    <w:rsid w:val="0062647B"/>
    <w:rsid w:val="0066337F"/>
    <w:rsid w:val="006C32D4"/>
    <w:rsid w:val="006C7100"/>
    <w:rsid w:val="007108E1"/>
    <w:rsid w:val="00732EFE"/>
    <w:rsid w:val="0073772C"/>
    <w:rsid w:val="00741AE7"/>
    <w:rsid w:val="00780797"/>
    <w:rsid w:val="00793F70"/>
    <w:rsid w:val="00795BEF"/>
    <w:rsid w:val="007A1972"/>
    <w:rsid w:val="007D47FC"/>
    <w:rsid w:val="007F6858"/>
    <w:rsid w:val="00807E1C"/>
    <w:rsid w:val="00834A65"/>
    <w:rsid w:val="008762E0"/>
    <w:rsid w:val="008B07EB"/>
    <w:rsid w:val="008D004B"/>
    <w:rsid w:val="008E4A8D"/>
    <w:rsid w:val="008F0672"/>
    <w:rsid w:val="008F77B1"/>
    <w:rsid w:val="00906E56"/>
    <w:rsid w:val="0093097D"/>
    <w:rsid w:val="0097715B"/>
    <w:rsid w:val="00983206"/>
    <w:rsid w:val="009932C0"/>
    <w:rsid w:val="009A4305"/>
    <w:rsid w:val="009D02BC"/>
    <w:rsid w:val="009D20A2"/>
    <w:rsid w:val="009E648E"/>
    <w:rsid w:val="00A11009"/>
    <w:rsid w:val="00AB64F1"/>
    <w:rsid w:val="00AE465E"/>
    <w:rsid w:val="00AF39C3"/>
    <w:rsid w:val="00AF5E3E"/>
    <w:rsid w:val="00B032F3"/>
    <w:rsid w:val="00B235C0"/>
    <w:rsid w:val="00B27298"/>
    <w:rsid w:val="00B55895"/>
    <w:rsid w:val="00B716EE"/>
    <w:rsid w:val="00B7527F"/>
    <w:rsid w:val="00BB0C2A"/>
    <w:rsid w:val="00BD0B6A"/>
    <w:rsid w:val="00BD0E21"/>
    <w:rsid w:val="00BD2DB1"/>
    <w:rsid w:val="00BD7FA2"/>
    <w:rsid w:val="00BF18CA"/>
    <w:rsid w:val="00C26B5A"/>
    <w:rsid w:val="00C63578"/>
    <w:rsid w:val="00CA0528"/>
    <w:rsid w:val="00CE31FE"/>
    <w:rsid w:val="00D15E3E"/>
    <w:rsid w:val="00D54A7D"/>
    <w:rsid w:val="00D5547F"/>
    <w:rsid w:val="00D76F1D"/>
    <w:rsid w:val="00D811D0"/>
    <w:rsid w:val="00D95FC3"/>
    <w:rsid w:val="00DB510E"/>
    <w:rsid w:val="00DB6E75"/>
    <w:rsid w:val="00DD094E"/>
    <w:rsid w:val="00DF64D7"/>
    <w:rsid w:val="00DF7686"/>
    <w:rsid w:val="00E3085A"/>
    <w:rsid w:val="00E34BBC"/>
    <w:rsid w:val="00E546D7"/>
    <w:rsid w:val="00EA1040"/>
    <w:rsid w:val="00EC3FCE"/>
    <w:rsid w:val="00ED2FD4"/>
    <w:rsid w:val="00ED5E32"/>
    <w:rsid w:val="00F27720"/>
    <w:rsid w:val="00F32F24"/>
    <w:rsid w:val="00FE52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4D392"/>
  <w15:docId w15:val="{9F1918B3-7221-4895-A370-B4C71818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299"/>
  </w:style>
  <w:style w:type="paragraph" w:styleId="Heading3">
    <w:name w:val="heading 3"/>
    <w:basedOn w:val="Normal"/>
    <w:link w:val="Heading3Char"/>
    <w:uiPriority w:val="9"/>
    <w:qFormat/>
    <w:rsid w:val="006158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72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7299"/>
    <w:rPr>
      <w:b/>
      <w:bCs/>
    </w:rPr>
  </w:style>
  <w:style w:type="character" w:styleId="Emphasis">
    <w:name w:val="Emphasis"/>
    <w:basedOn w:val="DefaultParagraphFont"/>
    <w:uiPriority w:val="20"/>
    <w:qFormat/>
    <w:rsid w:val="004B7299"/>
    <w:rPr>
      <w:i/>
      <w:iCs/>
    </w:rPr>
  </w:style>
  <w:style w:type="character" w:styleId="Hyperlink">
    <w:name w:val="Hyperlink"/>
    <w:basedOn w:val="DefaultParagraphFont"/>
    <w:uiPriority w:val="99"/>
    <w:unhideWhenUsed/>
    <w:rsid w:val="00BF18CA"/>
    <w:rPr>
      <w:color w:val="0000FF"/>
      <w:u w:val="single"/>
    </w:rPr>
  </w:style>
  <w:style w:type="paragraph" w:styleId="Header">
    <w:name w:val="header"/>
    <w:basedOn w:val="Normal"/>
    <w:link w:val="HeaderChar"/>
    <w:uiPriority w:val="99"/>
    <w:unhideWhenUsed/>
    <w:rsid w:val="0016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489"/>
  </w:style>
  <w:style w:type="paragraph" w:styleId="Footer">
    <w:name w:val="footer"/>
    <w:basedOn w:val="Normal"/>
    <w:link w:val="FooterChar"/>
    <w:uiPriority w:val="99"/>
    <w:unhideWhenUsed/>
    <w:rsid w:val="0016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489"/>
  </w:style>
  <w:style w:type="character" w:customStyle="1" w:styleId="Heading3Char">
    <w:name w:val="Heading 3 Char"/>
    <w:basedOn w:val="DefaultParagraphFont"/>
    <w:link w:val="Heading3"/>
    <w:uiPriority w:val="9"/>
    <w:rsid w:val="0061589A"/>
    <w:rPr>
      <w:rFonts w:ascii="Times New Roman" w:eastAsia="Times New Roman" w:hAnsi="Times New Roman" w:cs="Times New Roman"/>
      <w:b/>
      <w:bCs/>
      <w:sz w:val="27"/>
      <w:szCs w:val="27"/>
    </w:rPr>
  </w:style>
  <w:style w:type="paragraph" w:styleId="ListParagraph">
    <w:name w:val="List Paragraph"/>
    <w:basedOn w:val="Normal"/>
    <w:uiPriority w:val="34"/>
    <w:qFormat/>
    <w:rsid w:val="0061589A"/>
    <w:pPr>
      <w:ind w:left="720"/>
      <w:contextualSpacing/>
    </w:pPr>
  </w:style>
  <w:style w:type="character" w:styleId="UnresolvedMention">
    <w:name w:val="Unresolved Mention"/>
    <w:basedOn w:val="DefaultParagraphFont"/>
    <w:uiPriority w:val="99"/>
    <w:semiHidden/>
    <w:unhideWhenUsed/>
    <w:rsid w:val="00834A65"/>
    <w:rPr>
      <w:color w:val="605E5C"/>
      <w:shd w:val="clear" w:color="auto" w:fill="E1DFDD"/>
    </w:rPr>
  </w:style>
  <w:style w:type="paragraph" w:styleId="Revision">
    <w:name w:val="Revision"/>
    <w:hidden/>
    <w:uiPriority w:val="99"/>
    <w:semiHidden/>
    <w:rsid w:val="00741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4022">
      <w:bodyDiv w:val="1"/>
      <w:marLeft w:val="0"/>
      <w:marRight w:val="0"/>
      <w:marTop w:val="0"/>
      <w:marBottom w:val="0"/>
      <w:divBdr>
        <w:top w:val="none" w:sz="0" w:space="0" w:color="auto"/>
        <w:left w:val="none" w:sz="0" w:space="0" w:color="auto"/>
        <w:bottom w:val="none" w:sz="0" w:space="0" w:color="auto"/>
        <w:right w:val="none" w:sz="0" w:space="0" w:color="auto"/>
      </w:divBdr>
      <w:divsChild>
        <w:div w:id="1884949408">
          <w:marLeft w:val="0"/>
          <w:marRight w:val="0"/>
          <w:marTop w:val="0"/>
          <w:marBottom w:val="0"/>
          <w:divBdr>
            <w:top w:val="none" w:sz="0" w:space="0" w:color="auto"/>
            <w:left w:val="none" w:sz="0" w:space="0" w:color="auto"/>
            <w:bottom w:val="none" w:sz="0" w:space="0" w:color="auto"/>
            <w:right w:val="none" w:sz="0" w:space="0" w:color="auto"/>
          </w:divBdr>
          <w:divsChild>
            <w:div w:id="453476187">
              <w:marLeft w:val="0"/>
              <w:marRight w:val="0"/>
              <w:marTop w:val="0"/>
              <w:marBottom w:val="0"/>
              <w:divBdr>
                <w:top w:val="none" w:sz="0" w:space="0" w:color="auto"/>
                <w:left w:val="none" w:sz="0" w:space="0" w:color="auto"/>
                <w:bottom w:val="none" w:sz="0" w:space="0" w:color="auto"/>
                <w:right w:val="none" w:sz="0" w:space="0" w:color="auto"/>
              </w:divBdr>
              <w:divsChild>
                <w:div w:id="441995167">
                  <w:marLeft w:val="0"/>
                  <w:marRight w:val="0"/>
                  <w:marTop w:val="0"/>
                  <w:marBottom w:val="0"/>
                  <w:divBdr>
                    <w:top w:val="none" w:sz="0" w:space="0" w:color="auto"/>
                    <w:left w:val="none" w:sz="0" w:space="0" w:color="auto"/>
                    <w:bottom w:val="none" w:sz="0" w:space="0" w:color="auto"/>
                    <w:right w:val="none" w:sz="0" w:space="0" w:color="auto"/>
                  </w:divBdr>
                  <w:divsChild>
                    <w:div w:id="5427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448">
      <w:bodyDiv w:val="1"/>
      <w:marLeft w:val="0"/>
      <w:marRight w:val="0"/>
      <w:marTop w:val="0"/>
      <w:marBottom w:val="0"/>
      <w:divBdr>
        <w:top w:val="none" w:sz="0" w:space="0" w:color="auto"/>
        <w:left w:val="none" w:sz="0" w:space="0" w:color="auto"/>
        <w:bottom w:val="none" w:sz="0" w:space="0" w:color="auto"/>
        <w:right w:val="none" w:sz="0" w:space="0" w:color="auto"/>
      </w:divBdr>
    </w:div>
    <w:div w:id="132723981">
      <w:bodyDiv w:val="1"/>
      <w:marLeft w:val="0"/>
      <w:marRight w:val="0"/>
      <w:marTop w:val="0"/>
      <w:marBottom w:val="0"/>
      <w:divBdr>
        <w:top w:val="none" w:sz="0" w:space="0" w:color="auto"/>
        <w:left w:val="none" w:sz="0" w:space="0" w:color="auto"/>
        <w:bottom w:val="none" w:sz="0" w:space="0" w:color="auto"/>
        <w:right w:val="none" w:sz="0" w:space="0" w:color="auto"/>
      </w:divBdr>
    </w:div>
    <w:div w:id="204417188">
      <w:bodyDiv w:val="1"/>
      <w:marLeft w:val="0"/>
      <w:marRight w:val="0"/>
      <w:marTop w:val="0"/>
      <w:marBottom w:val="0"/>
      <w:divBdr>
        <w:top w:val="none" w:sz="0" w:space="0" w:color="auto"/>
        <w:left w:val="none" w:sz="0" w:space="0" w:color="auto"/>
        <w:bottom w:val="none" w:sz="0" w:space="0" w:color="auto"/>
        <w:right w:val="none" w:sz="0" w:space="0" w:color="auto"/>
      </w:divBdr>
      <w:divsChild>
        <w:div w:id="213031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784">
          <w:blockQuote w:val="1"/>
          <w:marLeft w:val="720"/>
          <w:marRight w:val="720"/>
          <w:marTop w:val="100"/>
          <w:marBottom w:val="100"/>
          <w:divBdr>
            <w:top w:val="none" w:sz="0" w:space="0" w:color="auto"/>
            <w:left w:val="none" w:sz="0" w:space="0" w:color="auto"/>
            <w:bottom w:val="none" w:sz="0" w:space="0" w:color="auto"/>
            <w:right w:val="none" w:sz="0" w:space="0" w:color="auto"/>
          </w:divBdr>
        </w:div>
        <w:div w:id="97564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18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129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742699">
      <w:bodyDiv w:val="1"/>
      <w:marLeft w:val="0"/>
      <w:marRight w:val="0"/>
      <w:marTop w:val="0"/>
      <w:marBottom w:val="0"/>
      <w:divBdr>
        <w:top w:val="none" w:sz="0" w:space="0" w:color="auto"/>
        <w:left w:val="none" w:sz="0" w:space="0" w:color="auto"/>
        <w:bottom w:val="none" w:sz="0" w:space="0" w:color="auto"/>
        <w:right w:val="none" w:sz="0" w:space="0" w:color="auto"/>
      </w:divBdr>
      <w:divsChild>
        <w:div w:id="82185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89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21692">
      <w:bodyDiv w:val="1"/>
      <w:marLeft w:val="0"/>
      <w:marRight w:val="0"/>
      <w:marTop w:val="0"/>
      <w:marBottom w:val="0"/>
      <w:divBdr>
        <w:top w:val="none" w:sz="0" w:space="0" w:color="auto"/>
        <w:left w:val="none" w:sz="0" w:space="0" w:color="auto"/>
        <w:bottom w:val="none" w:sz="0" w:space="0" w:color="auto"/>
        <w:right w:val="none" w:sz="0" w:space="0" w:color="auto"/>
      </w:divBdr>
    </w:div>
    <w:div w:id="834495413">
      <w:bodyDiv w:val="1"/>
      <w:marLeft w:val="0"/>
      <w:marRight w:val="0"/>
      <w:marTop w:val="0"/>
      <w:marBottom w:val="0"/>
      <w:divBdr>
        <w:top w:val="none" w:sz="0" w:space="0" w:color="auto"/>
        <w:left w:val="none" w:sz="0" w:space="0" w:color="auto"/>
        <w:bottom w:val="none" w:sz="0" w:space="0" w:color="auto"/>
        <w:right w:val="none" w:sz="0" w:space="0" w:color="auto"/>
      </w:divBdr>
      <w:divsChild>
        <w:div w:id="212592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82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411185">
      <w:bodyDiv w:val="1"/>
      <w:marLeft w:val="0"/>
      <w:marRight w:val="0"/>
      <w:marTop w:val="0"/>
      <w:marBottom w:val="0"/>
      <w:divBdr>
        <w:top w:val="none" w:sz="0" w:space="0" w:color="auto"/>
        <w:left w:val="none" w:sz="0" w:space="0" w:color="auto"/>
        <w:bottom w:val="none" w:sz="0" w:space="0" w:color="auto"/>
        <w:right w:val="none" w:sz="0" w:space="0" w:color="auto"/>
      </w:divBdr>
      <w:divsChild>
        <w:div w:id="1690176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159389">
      <w:bodyDiv w:val="1"/>
      <w:marLeft w:val="0"/>
      <w:marRight w:val="0"/>
      <w:marTop w:val="0"/>
      <w:marBottom w:val="0"/>
      <w:divBdr>
        <w:top w:val="none" w:sz="0" w:space="0" w:color="auto"/>
        <w:left w:val="none" w:sz="0" w:space="0" w:color="auto"/>
        <w:bottom w:val="none" w:sz="0" w:space="0" w:color="auto"/>
        <w:right w:val="none" w:sz="0" w:space="0" w:color="auto"/>
      </w:divBdr>
    </w:div>
    <w:div w:id="1079181777">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192305401">
      <w:bodyDiv w:val="1"/>
      <w:marLeft w:val="0"/>
      <w:marRight w:val="0"/>
      <w:marTop w:val="0"/>
      <w:marBottom w:val="0"/>
      <w:divBdr>
        <w:top w:val="none" w:sz="0" w:space="0" w:color="auto"/>
        <w:left w:val="none" w:sz="0" w:space="0" w:color="auto"/>
        <w:bottom w:val="none" w:sz="0" w:space="0" w:color="auto"/>
        <w:right w:val="none" w:sz="0" w:space="0" w:color="auto"/>
      </w:divBdr>
      <w:divsChild>
        <w:div w:id="152944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691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6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38961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282039">
      <w:bodyDiv w:val="1"/>
      <w:marLeft w:val="0"/>
      <w:marRight w:val="0"/>
      <w:marTop w:val="0"/>
      <w:marBottom w:val="0"/>
      <w:divBdr>
        <w:top w:val="none" w:sz="0" w:space="0" w:color="auto"/>
        <w:left w:val="none" w:sz="0" w:space="0" w:color="auto"/>
        <w:bottom w:val="none" w:sz="0" w:space="0" w:color="auto"/>
        <w:right w:val="none" w:sz="0" w:space="0" w:color="auto"/>
      </w:divBdr>
    </w:div>
    <w:div w:id="1531450635">
      <w:bodyDiv w:val="1"/>
      <w:marLeft w:val="0"/>
      <w:marRight w:val="0"/>
      <w:marTop w:val="0"/>
      <w:marBottom w:val="0"/>
      <w:divBdr>
        <w:top w:val="none" w:sz="0" w:space="0" w:color="auto"/>
        <w:left w:val="none" w:sz="0" w:space="0" w:color="auto"/>
        <w:bottom w:val="none" w:sz="0" w:space="0" w:color="auto"/>
        <w:right w:val="none" w:sz="0" w:space="0" w:color="auto"/>
      </w:divBdr>
    </w:div>
    <w:div w:id="1793479320">
      <w:bodyDiv w:val="1"/>
      <w:marLeft w:val="0"/>
      <w:marRight w:val="0"/>
      <w:marTop w:val="0"/>
      <w:marBottom w:val="0"/>
      <w:divBdr>
        <w:top w:val="none" w:sz="0" w:space="0" w:color="auto"/>
        <w:left w:val="none" w:sz="0" w:space="0" w:color="auto"/>
        <w:bottom w:val="none" w:sz="0" w:space="0" w:color="auto"/>
        <w:right w:val="none" w:sz="0" w:space="0" w:color="auto"/>
      </w:divBdr>
    </w:div>
    <w:div w:id="1842163695">
      <w:bodyDiv w:val="1"/>
      <w:marLeft w:val="0"/>
      <w:marRight w:val="0"/>
      <w:marTop w:val="0"/>
      <w:marBottom w:val="0"/>
      <w:divBdr>
        <w:top w:val="none" w:sz="0" w:space="0" w:color="auto"/>
        <w:left w:val="none" w:sz="0" w:space="0" w:color="auto"/>
        <w:bottom w:val="none" w:sz="0" w:space="0" w:color="auto"/>
        <w:right w:val="none" w:sz="0" w:space="0" w:color="auto"/>
      </w:divBdr>
    </w:div>
    <w:div w:id="1999267368">
      <w:bodyDiv w:val="1"/>
      <w:marLeft w:val="0"/>
      <w:marRight w:val="0"/>
      <w:marTop w:val="0"/>
      <w:marBottom w:val="0"/>
      <w:divBdr>
        <w:top w:val="none" w:sz="0" w:space="0" w:color="auto"/>
        <w:left w:val="none" w:sz="0" w:space="0" w:color="auto"/>
        <w:bottom w:val="none" w:sz="0" w:space="0" w:color="auto"/>
        <w:right w:val="none" w:sz="0" w:space="0" w:color="auto"/>
      </w:divBdr>
      <w:divsChild>
        <w:div w:id="1016879614">
          <w:marLeft w:val="0"/>
          <w:marRight w:val="0"/>
          <w:marTop w:val="0"/>
          <w:marBottom w:val="0"/>
          <w:divBdr>
            <w:top w:val="none" w:sz="0" w:space="0" w:color="auto"/>
            <w:left w:val="none" w:sz="0" w:space="0" w:color="auto"/>
            <w:bottom w:val="none" w:sz="0" w:space="0" w:color="auto"/>
            <w:right w:val="none" w:sz="0" w:space="0" w:color="auto"/>
          </w:divBdr>
          <w:divsChild>
            <w:div w:id="976447734">
              <w:marLeft w:val="0"/>
              <w:marRight w:val="0"/>
              <w:marTop w:val="0"/>
              <w:marBottom w:val="0"/>
              <w:divBdr>
                <w:top w:val="none" w:sz="0" w:space="0" w:color="auto"/>
                <w:left w:val="none" w:sz="0" w:space="0" w:color="auto"/>
                <w:bottom w:val="none" w:sz="0" w:space="0" w:color="auto"/>
                <w:right w:val="none" w:sz="0" w:space="0" w:color="auto"/>
              </w:divBdr>
              <w:divsChild>
                <w:div w:id="1195073260">
                  <w:marLeft w:val="0"/>
                  <w:marRight w:val="0"/>
                  <w:marTop w:val="0"/>
                  <w:marBottom w:val="0"/>
                  <w:divBdr>
                    <w:top w:val="none" w:sz="0" w:space="0" w:color="auto"/>
                    <w:left w:val="none" w:sz="0" w:space="0" w:color="auto"/>
                    <w:bottom w:val="none" w:sz="0" w:space="0" w:color="auto"/>
                    <w:right w:val="none" w:sz="0" w:space="0" w:color="auto"/>
                  </w:divBdr>
                  <w:divsChild>
                    <w:div w:id="608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publications/i/item/97892400222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7404</dc:creator>
  <cp:lastModifiedBy>SDI 1183</cp:lastModifiedBy>
  <cp:revision>47</cp:revision>
  <dcterms:created xsi:type="dcterms:W3CDTF">2025-09-08T08:36:00Z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c6bdf88b-b0c7-4d83-8d43-6a4841a57c66</vt:lpwstr>
  </property>
</Properties>
</file>