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D4B6" w14:textId="77777777" w:rsidR="00754C9A" w:rsidRDefault="00754C9A" w:rsidP="00441B6F">
      <w:pPr>
        <w:pStyle w:val="Title"/>
        <w:spacing w:after="0"/>
        <w:jc w:val="both"/>
        <w:rPr>
          <w:rFonts w:ascii="Arial" w:hAnsi="Arial" w:cs="Arial"/>
        </w:rPr>
      </w:pPr>
    </w:p>
    <w:p w14:paraId="4EF90BFB" w14:textId="77777777" w:rsidR="00854419" w:rsidRDefault="00854419" w:rsidP="009826D6">
      <w:pPr>
        <w:pStyle w:val="Author"/>
        <w:spacing w:line="240" w:lineRule="auto"/>
        <w:rPr>
          <w:rFonts w:ascii="Arial" w:hAnsi="Arial" w:cs="Arial"/>
          <w:bCs/>
          <w:iCs/>
          <w:kern w:val="28"/>
          <w:sz w:val="36"/>
        </w:rPr>
      </w:pPr>
    </w:p>
    <w:p w14:paraId="52AD3A5C" w14:textId="312215B3" w:rsidR="00A258C3" w:rsidRDefault="009826D6" w:rsidP="009826D6">
      <w:pPr>
        <w:pStyle w:val="Author"/>
        <w:spacing w:line="240" w:lineRule="auto"/>
        <w:rPr>
          <w:rFonts w:ascii="Arial" w:hAnsi="Arial" w:cs="Arial"/>
          <w:bCs/>
          <w:iCs/>
          <w:kern w:val="28"/>
          <w:sz w:val="36"/>
        </w:rPr>
      </w:pPr>
      <w:r w:rsidRPr="009826D6">
        <w:rPr>
          <w:rFonts w:ascii="Arial" w:hAnsi="Arial" w:cs="Arial"/>
          <w:bCs/>
          <w:iCs/>
          <w:kern w:val="28"/>
          <w:sz w:val="36"/>
        </w:rPr>
        <w:t xml:space="preserve">Operational Techniques </w:t>
      </w:r>
      <w:r w:rsidR="002D1241">
        <w:rPr>
          <w:rFonts w:ascii="Arial" w:hAnsi="Arial" w:cs="Arial"/>
          <w:bCs/>
          <w:iCs/>
          <w:kern w:val="28"/>
          <w:sz w:val="36"/>
        </w:rPr>
        <w:t>f</w:t>
      </w:r>
      <w:r w:rsidRPr="009826D6">
        <w:rPr>
          <w:rFonts w:ascii="Arial" w:hAnsi="Arial" w:cs="Arial"/>
          <w:bCs/>
          <w:iCs/>
          <w:kern w:val="28"/>
          <w:sz w:val="36"/>
        </w:rPr>
        <w:t xml:space="preserve">or Managing Solid Medical Toxic </w:t>
      </w:r>
      <w:r w:rsidR="002D1241">
        <w:rPr>
          <w:rFonts w:ascii="Arial" w:hAnsi="Arial" w:cs="Arial"/>
          <w:bCs/>
          <w:iCs/>
          <w:kern w:val="28"/>
          <w:sz w:val="36"/>
        </w:rPr>
        <w:t>a</w:t>
      </w:r>
      <w:r w:rsidRPr="009826D6">
        <w:rPr>
          <w:rFonts w:ascii="Arial" w:hAnsi="Arial" w:cs="Arial"/>
          <w:bCs/>
          <w:iCs/>
          <w:kern w:val="28"/>
          <w:sz w:val="36"/>
        </w:rPr>
        <w:t>nd Hazardous Waste (L</w:t>
      </w:r>
      <w:r>
        <w:rPr>
          <w:rFonts w:ascii="Arial" w:hAnsi="Arial" w:cs="Arial"/>
          <w:bCs/>
          <w:iCs/>
          <w:kern w:val="28"/>
          <w:sz w:val="36"/>
        </w:rPr>
        <w:t>B</w:t>
      </w:r>
      <w:r w:rsidRPr="009826D6">
        <w:rPr>
          <w:rFonts w:ascii="Arial" w:hAnsi="Arial" w:cs="Arial"/>
          <w:bCs/>
          <w:iCs/>
          <w:kern w:val="28"/>
          <w:sz w:val="36"/>
        </w:rPr>
        <w:t xml:space="preserve">3) </w:t>
      </w:r>
      <w:r w:rsidR="002D1241">
        <w:rPr>
          <w:rFonts w:ascii="Arial" w:hAnsi="Arial" w:cs="Arial"/>
          <w:bCs/>
          <w:iCs/>
          <w:kern w:val="28"/>
          <w:sz w:val="36"/>
        </w:rPr>
        <w:t>a</w:t>
      </w:r>
      <w:r w:rsidRPr="009826D6">
        <w:rPr>
          <w:rFonts w:ascii="Arial" w:hAnsi="Arial" w:cs="Arial"/>
          <w:bCs/>
          <w:iCs/>
          <w:kern w:val="28"/>
          <w:sz w:val="36"/>
        </w:rPr>
        <w:t xml:space="preserve">t Sultan </w:t>
      </w:r>
      <w:proofErr w:type="spellStart"/>
      <w:r w:rsidRPr="009826D6">
        <w:rPr>
          <w:rFonts w:ascii="Arial" w:hAnsi="Arial" w:cs="Arial"/>
          <w:bCs/>
          <w:iCs/>
          <w:kern w:val="28"/>
          <w:sz w:val="36"/>
        </w:rPr>
        <w:t>Suriansyah</w:t>
      </w:r>
      <w:proofErr w:type="spellEnd"/>
      <w:r w:rsidRPr="009826D6">
        <w:rPr>
          <w:rFonts w:ascii="Arial" w:hAnsi="Arial" w:cs="Arial"/>
          <w:bCs/>
          <w:iCs/>
          <w:kern w:val="28"/>
          <w:sz w:val="36"/>
        </w:rPr>
        <w:t xml:space="preserve"> Hospital </w:t>
      </w:r>
      <w:r w:rsidR="002D1241">
        <w:rPr>
          <w:rFonts w:ascii="Arial" w:hAnsi="Arial" w:cs="Arial"/>
          <w:bCs/>
          <w:iCs/>
          <w:kern w:val="28"/>
          <w:sz w:val="36"/>
        </w:rPr>
        <w:t>a</w:t>
      </w:r>
      <w:r w:rsidRPr="009826D6">
        <w:rPr>
          <w:rFonts w:ascii="Arial" w:hAnsi="Arial" w:cs="Arial"/>
          <w:bCs/>
          <w:iCs/>
          <w:kern w:val="28"/>
          <w:sz w:val="36"/>
        </w:rPr>
        <w:t xml:space="preserve">nd </w:t>
      </w:r>
      <w:proofErr w:type="spellStart"/>
      <w:r w:rsidRPr="009826D6">
        <w:rPr>
          <w:rFonts w:ascii="Arial" w:hAnsi="Arial" w:cs="Arial"/>
          <w:bCs/>
          <w:iCs/>
          <w:kern w:val="28"/>
          <w:sz w:val="36"/>
        </w:rPr>
        <w:t>Suaka</w:t>
      </w:r>
      <w:proofErr w:type="spellEnd"/>
      <w:r w:rsidRPr="009826D6">
        <w:rPr>
          <w:rFonts w:ascii="Arial" w:hAnsi="Arial" w:cs="Arial"/>
          <w:bCs/>
          <w:iCs/>
          <w:kern w:val="28"/>
          <w:sz w:val="36"/>
        </w:rPr>
        <w:t xml:space="preserve"> </w:t>
      </w:r>
      <w:proofErr w:type="spellStart"/>
      <w:r w:rsidRPr="009826D6">
        <w:rPr>
          <w:rFonts w:ascii="Arial" w:hAnsi="Arial" w:cs="Arial"/>
          <w:bCs/>
          <w:iCs/>
          <w:kern w:val="28"/>
          <w:sz w:val="36"/>
        </w:rPr>
        <w:t>Insan</w:t>
      </w:r>
      <w:proofErr w:type="spellEnd"/>
      <w:r w:rsidRPr="009826D6">
        <w:rPr>
          <w:rFonts w:ascii="Arial" w:hAnsi="Arial" w:cs="Arial"/>
          <w:bCs/>
          <w:iCs/>
          <w:kern w:val="28"/>
          <w:sz w:val="36"/>
        </w:rPr>
        <w:t xml:space="preserve"> Hospital, Banjarmasin</w:t>
      </w:r>
    </w:p>
    <w:p w14:paraId="1829EEDF" w14:textId="77777777" w:rsidR="0078168A" w:rsidRPr="00790ADA" w:rsidRDefault="0078168A" w:rsidP="009826D6">
      <w:pPr>
        <w:pStyle w:val="Author"/>
        <w:spacing w:line="240" w:lineRule="auto"/>
        <w:rPr>
          <w:rFonts w:ascii="Arial" w:hAnsi="Arial" w:cs="Arial"/>
          <w:sz w:val="36"/>
        </w:rPr>
      </w:pPr>
    </w:p>
    <w:p w14:paraId="5AA4B928" w14:textId="3DE08A01" w:rsidR="009826D6" w:rsidRDefault="0078168A" w:rsidP="00441B6F">
      <w:pPr>
        <w:pStyle w:val="Author"/>
        <w:spacing w:line="240" w:lineRule="auto"/>
        <w:rPr>
          <w:rFonts w:ascii="Arial" w:hAnsi="Arial" w:cs="Arial"/>
        </w:rPr>
      </w:pPr>
      <w:r w:rsidRPr="0078168A">
        <w:rPr>
          <w:rFonts w:ascii="Arial" w:hAnsi="Arial" w:cs="Arial"/>
        </w:rPr>
        <w:tab/>
      </w:r>
      <w:r>
        <w:rPr>
          <w:rFonts w:ascii="Arial" w:hAnsi="Arial" w:cs="Arial"/>
        </w:rPr>
        <w:t xml:space="preserve"> </w:t>
      </w:r>
    </w:p>
    <w:p w14:paraId="6C818405" w14:textId="77777777" w:rsidR="00B01FCD" w:rsidRPr="00FB3A86" w:rsidRDefault="005C427D" w:rsidP="00441B6F">
      <w:pPr>
        <w:pStyle w:val="Copyright"/>
        <w:spacing w:after="0" w:line="240" w:lineRule="auto"/>
        <w:jc w:val="both"/>
        <w:rPr>
          <w:rFonts w:ascii="Arial" w:hAnsi="Arial" w:cs="Arial"/>
        </w:rPr>
        <w:sectPr w:rsidR="00B01FCD" w:rsidRPr="00FB3A86" w:rsidSect="003A4D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9D96B7" wp14:editId="5AABA812">
                <wp:extent cx="5303520" cy="635"/>
                <wp:effectExtent l="13335" t="13335" r="17145" b="15240"/>
                <wp:docPr id="4243831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5E9E3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B2B04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08C724" w14:textId="77777777" w:rsidTr="001E44FE">
        <w:tc>
          <w:tcPr>
            <w:tcW w:w="9576" w:type="dxa"/>
            <w:shd w:val="clear" w:color="auto" w:fill="F2F2F2"/>
          </w:tcPr>
          <w:p w14:paraId="45213C08" w14:textId="77777777" w:rsidR="00505F06" w:rsidRPr="00BA1B01" w:rsidRDefault="009826D6" w:rsidP="00441B6F">
            <w:pPr>
              <w:pStyle w:val="Body"/>
              <w:spacing w:after="0"/>
              <w:rPr>
                <w:rFonts w:ascii="Arial" w:eastAsia="Calibri" w:hAnsi="Arial" w:cs="Arial"/>
                <w:szCs w:val="22"/>
              </w:rPr>
            </w:pPr>
            <w:r w:rsidRPr="009826D6">
              <w:rPr>
                <w:rFonts w:ascii="Arial" w:eastAsia="Calibri" w:hAnsi="Arial" w:cs="Arial"/>
                <w:szCs w:val="22"/>
              </w:rPr>
              <w:t xml:space="preserve">The management of toxic and hazardous waste (B3) is a crucial aspect of environmental management. Solid medical B3 waste is the residue from activities or businesses containing hazardous or toxic materials that can pollute or damage the environment, either directly or indirectly. The research aims to evaluate the technical operations of solid medical hazardous waste management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Banjarmasin. The research was conducted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in Banjarmasin City. Respondents were selected using purposive sampling, consisting of 15 medical personnel and 4 environmental health officers from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14 medical personnel and 3 environmental health officers from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Data were analyzed using a Likert scale to assess the operational techniques of solid medical B3 waste management, including reduction and sorting, containerization, packaging, labeling, storage, and transportation, based on questionnaire responses. The technical and operational evaluation of solid medical hazardous waste management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Banjarmasin, namely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showed that the implementation of management was still in the less appropriate category, with a total score of 65.26%, while the technical and operational evaluation of solid medical hazardous waste management at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showed that the implementation of management was still in the appropriate category, with a total score of 73.33%.</w:t>
            </w:r>
          </w:p>
        </w:tc>
      </w:tr>
    </w:tbl>
    <w:p w14:paraId="16CC6774" w14:textId="77777777" w:rsidR="00636EB2" w:rsidRDefault="00636EB2" w:rsidP="00441B6F">
      <w:pPr>
        <w:pStyle w:val="Body"/>
        <w:spacing w:after="0"/>
        <w:rPr>
          <w:rFonts w:ascii="Arial" w:hAnsi="Arial" w:cs="Arial"/>
          <w:i/>
        </w:rPr>
      </w:pPr>
    </w:p>
    <w:p w14:paraId="3AA98989" w14:textId="2566DCDA" w:rsidR="00790ADA" w:rsidRDefault="00A24E7E" w:rsidP="00441B6F">
      <w:pPr>
        <w:pStyle w:val="Body"/>
        <w:spacing w:after="0"/>
        <w:rPr>
          <w:rFonts w:ascii="Arial" w:hAnsi="Arial" w:cs="Arial"/>
          <w:i/>
        </w:rPr>
      </w:pPr>
      <w:r>
        <w:rPr>
          <w:rFonts w:ascii="Arial" w:hAnsi="Arial" w:cs="Arial"/>
          <w:i/>
        </w:rPr>
        <w:t xml:space="preserve">Keywords: </w:t>
      </w:r>
      <w:r w:rsidR="009826D6" w:rsidRPr="009826D6">
        <w:rPr>
          <w:rFonts w:ascii="Arial" w:hAnsi="Arial" w:cs="Arial"/>
          <w:i/>
        </w:rPr>
        <w:t xml:space="preserve">Managing, Solid Medical, Sultan </w:t>
      </w:r>
      <w:proofErr w:type="spellStart"/>
      <w:r w:rsidR="009826D6" w:rsidRPr="009826D6">
        <w:rPr>
          <w:rFonts w:ascii="Arial" w:hAnsi="Arial" w:cs="Arial"/>
          <w:i/>
        </w:rPr>
        <w:t>Suriansyah</w:t>
      </w:r>
      <w:proofErr w:type="spellEnd"/>
      <w:r w:rsidR="009826D6" w:rsidRPr="009826D6">
        <w:rPr>
          <w:rFonts w:ascii="Arial" w:hAnsi="Arial" w:cs="Arial"/>
          <w:i/>
        </w:rPr>
        <w:t xml:space="preserve"> Hospital, </w:t>
      </w:r>
      <w:proofErr w:type="spellStart"/>
      <w:r w:rsidR="009826D6" w:rsidRPr="009826D6">
        <w:rPr>
          <w:rFonts w:ascii="Arial" w:hAnsi="Arial" w:cs="Arial"/>
          <w:i/>
        </w:rPr>
        <w:t>Suaka</w:t>
      </w:r>
      <w:proofErr w:type="spellEnd"/>
      <w:r w:rsidR="009826D6" w:rsidRPr="009826D6">
        <w:rPr>
          <w:rFonts w:ascii="Arial" w:hAnsi="Arial" w:cs="Arial"/>
          <w:i/>
        </w:rPr>
        <w:t xml:space="preserve"> </w:t>
      </w:r>
      <w:proofErr w:type="spellStart"/>
      <w:r w:rsidR="009826D6" w:rsidRPr="009826D6">
        <w:rPr>
          <w:rFonts w:ascii="Arial" w:hAnsi="Arial" w:cs="Arial"/>
          <w:i/>
        </w:rPr>
        <w:t>Insan</w:t>
      </w:r>
      <w:proofErr w:type="spellEnd"/>
      <w:r w:rsidR="009826D6" w:rsidRPr="009826D6">
        <w:rPr>
          <w:rFonts w:ascii="Arial" w:hAnsi="Arial" w:cs="Arial"/>
          <w:i/>
        </w:rPr>
        <w:t xml:space="preserve"> Hospital</w:t>
      </w:r>
    </w:p>
    <w:p w14:paraId="150E0FAF" w14:textId="77777777" w:rsidR="00505F06" w:rsidRPr="00A24E7E" w:rsidRDefault="00505F06" w:rsidP="00441B6F">
      <w:pPr>
        <w:pStyle w:val="Body"/>
        <w:spacing w:after="0"/>
        <w:rPr>
          <w:rFonts w:ascii="Arial" w:hAnsi="Arial" w:cs="Arial"/>
          <w:i/>
        </w:rPr>
      </w:pPr>
    </w:p>
    <w:p w14:paraId="577C67E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AB76D0" w14:textId="77777777" w:rsidR="009826D6" w:rsidRPr="009826D6" w:rsidRDefault="009826D6" w:rsidP="009826D6">
      <w:pPr>
        <w:pStyle w:val="Body"/>
        <w:rPr>
          <w:rFonts w:ascii="Arial" w:hAnsi="Arial" w:cs="Arial"/>
        </w:rPr>
      </w:pPr>
      <w:r w:rsidRPr="009826D6">
        <w:rPr>
          <w:rFonts w:ascii="Arial" w:hAnsi="Arial" w:cs="Arial"/>
        </w:rPr>
        <w:t>The management of toxic and hazardous waste (B3) is a crucial aspect of environmental management. Solid medical B3 waste is the residue from activities or businesses containing hazardous or toxic materials that can pollute or damage the environment, either directly or indirectly. Furthermore, solid medical B3 waste also has the potential to harm human health and threaten the survival of other living organisms (</w:t>
      </w:r>
      <w:proofErr w:type="spellStart"/>
      <w:r w:rsidRPr="009826D6">
        <w:rPr>
          <w:rFonts w:ascii="Arial" w:hAnsi="Arial" w:cs="Arial"/>
        </w:rPr>
        <w:t>Setiadi</w:t>
      </w:r>
      <w:proofErr w:type="spellEnd"/>
      <w:r w:rsidRPr="009826D6">
        <w:rPr>
          <w:rFonts w:ascii="Arial" w:hAnsi="Arial" w:cs="Arial"/>
        </w:rPr>
        <w:t xml:space="preserve"> &amp; </w:t>
      </w:r>
      <w:proofErr w:type="spellStart"/>
      <w:r w:rsidRPr="009826D6">
        <w:rPr>
          <w:rFonts w:ascii="Arial" w:hAnsi="Arial" w:cs="Arial"/>
        </w:rPr>
        <w:t>Rosnawati</w:t>
      </w:r>
      <w:proofErr w:type="spellEnd"/>
      <w:r w:rsidRPr="009826D6">
        <w:rPr>
          <w:rFonts w:ascii="Arial" w:hAnsi="Arial" w:cs="Arial"/>
        </w:rPr>
        <w:t>, 2024).</w:t>
      </w:r>
    </w:p>
    <w:p w14:paraId="7EF9FE99" w14:textId="68157A67" w:rsidR="009826D6" w:rsidRPr="009826D6" w:rsidRDefault="009826D6" w:rsidP="009826D6">
      <w:pPr>
        <w:pStyle w:val="Body"/>
        <w:rPr>
          <w:rFonts w:ascii="Arial" w:hAnsi="Arial" w:cs="Arial"/>
        </w:rPr>
      </w:pPr>
      <w:r w:rsidRPr="009826D6">
        <w:rPr>
          <w:rFonts w:ascii="Arial" w:hAnsi="Arial" w:cs="Arial"/>
        </w:rPr>
        <w:t xml:space="preserve">Hospitals are one of the largest producers of solid medical B3 waste. Throughout their operations, hospitals produce solid, liquid, and gaseous waste. Solid waste is one of the </w:t>
      </w:r>
      <w:r w:rsidR="00E1079A">
        <w:rPr>
          <w:rFonts w:ascii="Arial" w:hAnsi="Arial" w:cs="Arial"/>
        </w:rPr>
        <w:t>types of waste</w:t>
      </w:r>
      <w:r w:rsidRPr="009826D6">
        <w:rPr>
          <w:rFonts w:ascii="Arial" w:hAnsi="Arial" w:cs="Arial"/>
        </w:rPr>
        <w:t xml:space="preserve"> that can impact environmental quality. The majority of solid waste in hospitals is solid medical B3 waste. Hazardous waste from hospital operations arises from all hospital and laboratory operations, including waste from patient healing processes, wound cleansing additives, blood dialysis, cancer treatment processes, surgical procedures, pharmaceutical preparations, and combustion residues (Maharani et al., 2023).</w:t>
      </w:r>
    </w:p>
    <w:p w14:paraId="57A92925" w14:textId="1B05A7B3" w:rsidR="009826D6" w:rsidRPr="009826D6" w:rsidRDefault="009826D6" w:rsidP="009826D6">
      <w:pPr>
        <w:pStyle w:val="Body"/>
        <w:rPr>
          <w:rFonts w:ascii="Arial" w:hAnsi="Arial" w:cs="Arial"/>
        </w:rPr>
      </w:pPr>
      <w:r w:rsidRPr="009826D6">
        <w:rPr>
          <w:rFonts w:ascii="Arial" w:hAnsi="Arial" w:cs="Arial"/>
        </w:rPr>
        <w:t xml:space="preserve">Banjarmasin City boasts the largest government-owned healthcare facility, Sultan </w:t>
      </w:r>
      <w:proofErr w:type="spellStart"/>
      <w:r w:rsidRPr="009826D6">
        <w:rPr>
          <w:rFonts w:ascii="Arial" w:hAnsi="Arial" w:cs="Arial"/>
        </w:rPr>
        <w:t>Suriansyah</w:t>
      </w:r>
      <w:proofErr w:type="spellEnd"/>
      <w:r w:rsidRPr="009826D6">
        <w:rPr>
          <w:rFonts w:ascii="Arial" w:hAnsi="Arial" w:cs="Arial"/>
        </w:rPr>
        <w:t xml:space="preserve"> Hospital, and the privately owned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Initial observations from research conducted at the two hospitals, which served as data sources, revealed that neither hospital had comprehensive data on the generation of solid medical hazardous waste. Information on solid medical hazardous waste transportation routes in Banjarmasin City remains unclear, as transportation of solid medical hazardous waste must be carried out by waste transporters with official permits for solid medical hazardous waste transportation and comply with transportation vehicle regulations, transportation recommendations, and the use of </w:t>
      </w:r>
      <w:r w:rsidRPr="009826D6">
        <w:rPr>
          <w:rFonts w:ascii="Arial" w:hAnsi="Arial" w:cs="Arial"/>
        </w:rPr>
        <w:lastRenderedPageBreak/>
        <w:t xml:space="preserve">the </w:t>
      </w:r>
      <w:proofErr w:type="spellStart"/>
      <w:r w:rsidRPr="009826D6">
        <w:rPr>
          <w:rFonts w:ascii="Arial" w:hAnsi="Arial" w:cs="Arial"/>
        </w:rPr>
        <w:t>Festronik</w:t>
      </w:r>
      <w:proofErr w:type="spellEnd"/>
      <w:r w:rsidRPr="009826D6">
        <w:rPr>
          <w:rFonts w:ascii="Arial" w:hAnsi="Arial" w:cs="Arial"/>
        </w:rPr>
        <w:t xml:space="preserve"> system. The </w:t>
      </w:r>
      <w:proofErr w:type="spellStart"/>
      <w:r w:rsidRPr="009826D6">
        <w:rPr>
          <w:rFonts w:ascii="Arial" w:hAnsi="Arial" w:cs="Arial"/>
        </w:rPr>
        <w:t>Festronik</w:t>
      </w:r>
      <w:proofErr w:type="spellEnd"/>
      <w:r w:rsidRPr="009826D6">
        <w:rPr>
          <w:rFonts w:ascii="Arial" w:hAnsi="Arial" w:cs="Arial"/>
        </w:rPr>
        <w:t xml:space="preserve"> system is an electronic monitoring system to ensure that </w:t>
      </w:r>
      <w:r w:rsidR="00E1079A">
        <w:rPr>
          <w:rFonts w:ascii="Arial" w:hAnsi="Arial" w:cs="Arial"/>
        </w:rPr>
        <w:t xml:space="preserve">the </w:t>
      </w:r>
      <w:r w:rsidRPr="009826D6">
        <w:rPr>
          <w:rFonts w:ascii="Arial" w:hAnsi="Arial" w:cs="Arial"/>
        </w:rPr>
        <w:t>transportation of solid medical hazardous waste is carried out in accordance with government regulations to prevent environmental pollution. However, this system is not yet accessible to local governments.</w:t>
      </w:r>
    </w:p>
    <w:p w14:paraId="0F9C4A22" w14:textId="77777777" w:rsidR="00790ADA" w:rsidRDefault="009826D6" w:rsidP="009826D6">
      <w:pPr>
        <w:pStyle w:val="Body"/>
        <w:spacing w:after="0"/>
        <w:rPr>
          <w:rFonts w:ascii="Arial" w:hAnsi="Arial" w:cs="Arial"/>
        </w:rPr>
      </w:pPr>
      <w:r w:rsidRPr="009826D6">
        <w:rPr>
          <w:rFonts w:ascii="Arial" w:hAnsi="Arial" w:cs="Arial"/>
        </w:rPr>
        <w:t xml:space="preserve">Transportation of solid medical hazardous waste also carries risks that can arise from the transportation vehicles used and the characteristics of the medical waste, which is considered solid medical hazardous waste. This can potentially lead to accidents due to the dangers of the quantity and characteristics of solid medical hazardous waste, as well as the conditions for implementing the requirements for solid medical hazardous waste management. If not managed properly, it can cause work accidents and even emergency conditions. The research aims to evaluate the technical operations of solid medical hazardous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w:t>
      </w:r>
    </w:p>
    <w:p w14:paraId="79D4BE15" w14:textId="77777777" w:rsidR="009826D6" w:rsidRPr="00FB3A86" w:rsidRDefault="009826D6" w:rsidP="009826D6">
      <w:pPr>
        <w:pStyle w:val="Body"/>
        <w:spacing w:after="0"/>
        <w:rPr>
          <w:rFonts w:ascii="Arial" w:hAnsi="Arial" w:cs="Arial"/>
        </w:rPr>
      </w:pPr>
    </w:p>
    <w:p w14:paraId="718D339F" w14:textId="42FF2F2E" w:rsidR="00790ADA" w:rsidRPr="00FB3A86" w:rsidRDefault="00902823" w:rsidP="00441B6F">
      <w:pPr>
        <w:pStyle w:val="AbstHead"/>
        <w:spacing w:after="0"/>
        <w:jc w:val="both"/>
        <w:rPr>
          <w:rFonts w:ascii="Arial" w:hAnsi="Arial" w:cs="Arial"/>
        </w:rPr>
      </w:pPr>
      <w:r>
        <w:rPr>
          <w:rFonts w:ascii="Arial" w:hAnsi="Arial" w:cs="Arial"/>
        </w:rPr>
        <w:t>2. material</w:t>
      </w:r>
      <w:r w:rsidR="00E1079A">
        <w:rPr>
          <w:rFonts w:ascii="Arial" w:hAnsi="Arial" w:cs="Arial"/>
        </w:rPr>
        <w:t>S</w:t>
      </w:r>
      <w:r>
        <w:rPr>
          <w:rFonts w:ascii="Arial" w:hAnsi="Arial" w:cs="Arial"/>
        </w:rPr>
        <w:t xml:space="preserve"> and method</w:t>
      </w:r>
      <w:r w:rsidR="00000F8F">
        <w:rPr>
          <w:rFonts w:ascii="Arial" w:hAnsi="Arial" w:cs="Arial"/>
        </w:rPr>
        <w:t xml:space="preserve">s </w:t>
      </w:r>
    </w:p>
    <w:p w14:paraId="51024EAD" w14:textId="77777777" w:rsidR="009826D6" w:rsidRPr="009826D6" w:rsidRDefault="009826D6" w:rsidP="009826D6">
      <w:pPr>
        <w:pStyle w:val="Body"/>
        <w:rPr>
          <w:rFonts w:ascii="Arial" w:hAnsi="Arial" w:cs="Arial"/>
        </w:rPr>
      </w:pPr>
      <w:r w:rsidRPr="009826D6">
        <w:rPr>
          <w:rFonts w:ascii="Arial" w:hAnsi="Arial" w:cs="Arial"/>
        </w:rPr>
        <w:t xml:space="preserve">The research was conducted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City. Respondents in this study were determined using a purposive sampling technique, consisting of 15 medical personnel and 4 environmental health unit officers from </w:t>
      </w:r>
      <w:proofErr w:type="spellStart"/>
      <w:r w:rsidRPr="009826D6">
        <w:rPr>
          <w:rFonts w:ascii="Arial" w:hAnsi="Arial" w:cs="Arial"/>
        </w:rPr>
        <w:t>Suriansyah</w:t>
      </w:r>
      <w:proofErr w:type="spellEnd"/>
      <w:r w:rsidRPr="009826D6">
        <w:rPr>
          <w:rFonts w:ascii="Arial" w:hAnsi="Arial" w:cs="Arial"/>
        </w:rPr>
        <w:t xml:space="preserve"> Hospital, as well as 14 medical personnel and 3 environmental health unit officers from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w:t>
      </w:r>
    </w:p>
    <w:p w14:paraId="60911CAF" w14:textId="77777777" w:rsidR="00790ADA" w:rsidRDefault="009826D6" w:rsidP="009826D6">
      <w:pPr>
        <w:pStyle w:val="Body"/>
        <w:spacing w:after="0"/>
        <w:rPr>
          <w:rFonts w:ascii="Arial" w:hAnsi="Arial" w:cs="Arial"/>
        </w:rPr>
      </w:pPr>
      <w:r w:rsidRPr="009826D6">
        <w:rPr>
          <w:rFonts w:ascii="Arial" w:hAnsi="Arial" w:cs="Arial"/>
        </w:rPr>
        <w:t xml:space="preserve">The data analysis technique to answer the objective is to analyze the operational techniques of solid medical B3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which includes LB3 reduction and sorting, LB3 containerization, packaging, LB3 symbols and labels, LB3 storage and LB3 delivery using Likert scale data analysis by filling out a questionnaire or survey containing a list of questions to respondents.</w:t>
      </w:r>
    </w:p>
    <w:p w14:paraId="3A065D9C" w14:textId="77777777" w:rsidR="009826D6" w:rsidRPr="00FB3A86" w:rsidRDefault="009826D6" w:rsidP="009826D6">
      <w:pPr>
        <w:pStyle w:val="Body"/>
        <w:spacing w:after="0"/>
        <w:rPr>
          <w:rFonts w:ascii="Arial" w:hAnsi="Arial" w:cs="Arial"/>
        </w:rPr>
      </w:pPr>
    </w:p>
    <w:p w14:paraId="2142031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7C4B09" w14:textId="77777777" w:rsidR="00790ADA" w:rsidRPr="00FB3A86" w:rsidRDefault="00790ADA" w:rsidP="00441B6F">
      <w:pPr>
        <w:pStyle w:val="Head1"/>
        <w:spacing w:after="0"/>
        <w:jc w:val="both"/>
        <w:rPr>
          <w:rFonts w:ascii="Arial" w:hAnsi="Arial" w:cs="Arial"/>
        </w:rPr>
      </w:pPr>
    </w:p>
    <w:p w14:paraId="47578A63" w14:textId="77777777" w:rsidR="009826D6" w:rsidRPr="009826D6" w:rsidRDefault="009826D6" w:rsidP="009826D6">
      <w:pPr>
        <w:spacing w:line="259" w:lineRule="auto"/>
        <w:jc w:val="both"/>
        <w:rPr>
          <w:rFonts w:ascii="Arial" w:hAnsi="Arial" w:cs="Arial"/>
          <w:b/>
          <w:bCs/>
          <w:iCs/>
          <w:lang w:val="en-GB"/>
        </w:rPr>
      </w:pPr>
      <w:r w:rsidRPr="009826D6">
        <w:rPr>
          <w:rFonts w:ascii="Arial" w:hAnsi="Arial" w:cs="Arial"/>
          <w:b/>
          <w:bCs/>
          <w:iCs/>
          <w:lang w:val="en-GB"/>
        </w:rPr>
        <w:t xml:space="preserve">1. Sultan </w:t>
      </w:r>
      <w:proofErr w:type="spellStart"/>
      <w:r w:rsidRPr="009826D6">
        <w:rPr>
          <w:rFonts w:ascii="Arial" w:hAnsi="Arial" w:cs="Arial"/>
          <w:b/>
          <w:bCs/>
          <w:iCs/>
          <w:lang w:val="en-GB"/>
        </w:rPr>
        <w:t>Suriansyah</w:t>
      </w:r>
      <w:proofErr w:type="spellEnd"/>
      <w:r w:rsidRPr="009826D6">
        <w:rPr>
          <w:rFonts w:ascii="Arial" w:hAnsi="Arial" w:cs="Arial"/>
          <w:b/>
          <w:bCs/>
          <w:iCs/>
          <w:lang w:val="en-GB"/>
        </w:rPr>
        <w:t xml:space="preserve"> Hospital</w:t>
      </w:r>
    </w:p>
    <w:p w14:paraId="0464C405" w14:textId="77777777" w:rsidR="009826D6" w:rsidRDefault="009826D6" w:rsidP="009826D6">
      <w:pPr>
        <w:spacing w:line="259" w:lineRule="auto"/>
        <w:jc w:val="both"/>
        <w:rPr>
          <w:rFonts w:ascii="Arial" w:hAnsi="Arial" w:cs="Arial"/>
          <w:iCs/>
          <w:lang w:val="en-GB"/>
        </w:rPr>
      </w:pPr>
      <w:r w:rsidRPr="009826D6">
        <w:rPr>
          <w:rFonts w:ascii="Arial" w:hAnsi="Arial" w:cs="Arial"/>
          <w:iCs/>
          <w:lang w:val="en-GB"/>
        </w:rPr>
        <w:t xml:space="preserve">Results of the technical operational evaluation of solid medical waste management at Sultan </w:t>
      </w:r>
      <w:proofErr w:type="spellStart"/>
      <w:r w:rsidRPr="009826D6">
        <w:rPr>
          <w:rFonts w:ascii="Arial" w:hAnsi="Arial" w:cs="Arial"/>
          <w:iCs/>
          <w:lang w:val="en-GB"/>
        </w:rPr>
        <w:t>Suriansyah</w:t>
      </w:r>
      <w:proofErr w:type="spellEnd"/>
      <w:r w:rsidRPr="009826D6">
        <w:rPr>
          <w:rFonts w:ascii="Arial" w:hAnsi="Arial" w:cs="Arial"/>
          <w:iCs/>
          <w:lang w:val="en-GB"/>
        </w:rPr>
        <w:t xml:space="preserve"> Hospital. The assessment covered several key parameters, namely the reduction and sorting of solid medical waste, storage facilities and methods, storage time, transportation cooperation (MoU/contract), monitoring and reporting, and the readiness of emergency response documents. The evaluation also covered the technical aspects of handover, assessing the suitability of the waste manifest, storage methods during transport, and transportation equipment for solid medical waste. Parameters were measured based on compliance criteria stipulated in regulations and then compared with existing conditions at each hospital using a Likert scale assessment system. The results provide an overview of the extent to which both hospitals have implemented technical and administrative management of solid medical waste in accordance with applicable standards and serve as a basis for identifying aspects that need improvement to ensure occupational safety and environmental protection. The results of the study, with 15 medical personnel and 4 environmental health unit officers as respondents, are presented as follows:</w:t>
      </w:r>
    </w:p>
    <w:p w14:paraId="28C0B54E" w14:textId="77777777" w:rsidR="009826D6" w:rsidRDefault="009826D6" w:rsidP="009826D6">
      <w:pPr>
        <w:spacing w:line="259" w:lineRule="auto"/>
        <w:jc w:val="both"/>
        <w:rPr>
          <w:rFonts w:ascii="Arial" w:hAnsi="Arial" w:cs="Arial"/>
          <w:iCs/>
          <w:color w:val="000000"/>
          <w:lang w:val="en-GB"/>
        </w:rPr>
      </w:pPr>
    </w:p>
    <w:p w14:paraId="03F841BD" w14:textId="77777777" w:rsidR="009826D6" w:rsidRPr="009826D6" w:rsidRDefault="009826D6" w:rsidP="009826D6">
      <w:pPr>
        <w:spacing w:line="259" w:lineRule="auto"/>
        <w:jc w:val="both"/>
        <w:rPr>
          <w:rFonts w:ascii="Arial" w:hAnsi="Arial" w:cs="Arial"/>
          <w:iCs/>
          <w:color w:val="000000"/>
          <w:lang w:val="en-GB"/>
        </w:rPr>
      </w:pPr>
      <w:r w:rsidRPr="009826D6">
        <w:rPr>
          <w:rFonts w:ascii="Arial" w:hAnsi="Arial" w:cs="Arial"/>
          <w:iCs/>
          <w:color w:val="000000"/>
          <w:lang w:val="en-GB"/>
        </w:rPr>
        <w:t xml:space="preserve">Table 1. Solid Medical Waste Management at Sultan </w:t>
      </w:r>
      <w:proofErr w:type="spellStart"/>
      <w:r w:rsidRPr="009826D6">
        <w:rPr>
          <w:rFonts w:ascii="Arial" w:hAnsi="Arial" w:cs="Arial"/>
          <w:iCs/>
          <w:color w:val="000000"/>
          <w:lang w:val="en-GB"/>
        </w:rPr>
        <w:t>Suriansyah</w:t>
      </w:r>
      <w:proofErr w:type="spellEnd"/>
      <w:r w:rsidRPr="009826D6">
        <w:rPr>
          <w:rFonts w:ascii="Arial" w:hAnsi="Arial" w:cs="Arial"/>
          <w:iCs/>
          <w:color w:val="000000"/>
          <w:lang w:val="en-GB"/>
        </w:rPr>
        <w:t xml:space="preserve"> Hospital</w:t>
      </w:r>
    </w:p>
    <w:tbl>
      <w:tblPr>
        <w:tblStyle w:val="TableGrid2"/>
        <w:tblW w:w="82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260"/>
        <w:gridCol w:w="1252"/>
        <w:gridCol w:w="1096"/>
        <w:gridCol w:w="1128"/>
      </w:tblGrid>
      <w:tr w:rsidR="009826D6" w:rsidRPr="009826D6" w14:paraId="174AA390" w14:textId="77777777" w:rsidTr="009826D6">
        <w:trPr>
          <w:tblHeader/>
        </w:trPr>
        <w:tc>
          <w:tcPr>
            <w:tcW w:w="560" w:type="dxa"/>
            <w:tcBorders>
              <w:top w:val="single" w:sz="4" w:space="0" w:color="auto"/>
              <w:bottom w:val="single" w:sz="4" w:space="0" w:color="auto"/>
            </w:tcBorders>
            <w:shd w:val="clear" w:color="auto" w:fill="DBE5F1"/>
            <w:vAlign w:val="center"/>
          </w:tcPr>
          <w:p w14:paraId="65FE9F50" w14:textId="77777777" w:rsidR="009826D6" w:rsidRPr="009826D6" w:rsidRDefault="009826D6" w:rsidP="004A6CAF">
            <w:pPr>
              <w:tabs>
                <w:tab w:val="left" w:pos="426"/>
              </w:tabs>
              <w:jc w:val="center"/>
              <w:rPr>
                <w:rFonts w:ascii="Arial" w:hAnsi="Arial" w:cs="Arial"/>
                <w:b/>
                <w:sz w:val="20"/>
                <w:szCs w:val="20"/>
              </w:rPr>
            </w:pPr>
            <w:r w:rsidRPr="009826D6">
              <w:rPr>
                <w:rFonts w:ascii="Arial" w:hAnsi="Arial" w:cs="Arial"/>
                <w:b/>
                <w:sz w:val="20"/>
                <w:szCs w:val="20"/>
              </w:rPr>
              <w:t>No</w:t>
            </w:r>
          </w:p>
        </w:tc>
        <w:tc>
          <w:tcPr>
            <w:tcW w:w="4260" w:type="dxa"/>
            <w:tcBorders>
              <w:top w:val="single" w:sz="4" w:space="0" w:color="auto"/>
              <w:bottom w:val="single" w:sz="4" w:space="0" w:color="auto"/>
            </w:tcBorders>
            <w:shd w:val="clear" w:color="auto" w:fill="DBE5F1"/>
            <w:vAlign w:val="center"/>
          </w:tcPr>
          <w:p w14:paraId="7432ADFB"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Technical Evaluation of Operational Management</w:t>
            </w:r>
          </w:p>
        </w:tc>
        <w:tc>
          <w:tcPr>
            <w:tcW w:w="1252" w:type="dxa"/>
            <w:tcBorders>
              <w:top w:val="single" w:sz="4" w:space="0" w:color="auto"/>
              <w:bottom w:val="single" w:sz="4" w:space="0" w:color="auto"/>
            </w:tcBorders>
            <w:shd w:val="clear" w:color="auto" w:fill="DBE5F1"/>
            <w:vAlign w:val="center"/>
          </w:tcPr>
          <w:p w14:paraId="574961EE"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1</w:t>
            </w:r>
          </w:p>
          <w:p w14:paraId="353EC918"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(Not Suitable)</w:t>
            </w:r>
          </w:p>
        </w:tc>
        <w:tc>
          <w:tcPr>
            <w:tcW w:w="1096" w:type="dxa"/>
            <w:tcBorders>
              <w:top w:val="single" w:sz="4" w:space="0" w:color="auto"/>
              <w:bottom w:val="single" w:sz="4" w:space="0" w:color="auto"/>
            </w:tcBorders>
            <w:shd w:val="clear" w:color="auto" w:fill="DBE5F1"/>
            <w:vAlign w:val="center"/>
          </w:tcPr>
          <w:p w14:paraId="44B56B32"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2</w:t>
            </w:r>
          </w:p>
          <w:p w14:paraId="7EDE2FF5"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(Less Suitable)</w:t>
            </w:r>
          </w:p>
        </w:tc>
        <w:tc>
          <w:tcPr>
            <w:tcW w:w="1128" w:type="dxa"/>
            <w:tcBorders>
              <w:top w:val="single" w:sz="4" w:space="0" w:color="auto"/>
              <w:bottom w:val="single" w:sz="4" w:space="0" w:color="auto"/>
            </w:tcBorders>
            <w:shd w:val="clear" w:color="auto" w:fill="DBE5F1"/>
            <w:vAlign w:val="center"/>
          </w:tcPr>
          <w:p w14:paraId="2CE2BF31"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3</w:t>
            </w:r>
          </w:p>
          <w:p w14:paraId="11CD97F1"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(Suitable)</w:t>
            </w:r>
          </w:p>
        </w:tc>
      </w:tr>
      <w:tr w:rsidR="009826D6" w:rsidRPr="009826D6" w14:paraId="0EFF02E0" w14:textId="77777777" w:rsidTr="009826D6">
        <w:tc>
          <w:tcPr>
            <w:tcW w:w="560" w:type="dxa"/>
            <w:tcBorders>
              <w:top w:val="single" w:sz="4" w:space="0" w:color="auto"/>
            </w:tcBorders>
          </w:tcPr>
          <w:p w14:paraId="257188D5"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1</w:t>
            </w:r>
          </w:p>
        </w:tc>
        <w:tc>
          <w:tcPr>
            <w:tcW w:w="4260" w:type="dxa"/>
            <w:tcBorders>
              <w:top w:val="single" w:sz="4" w:space="0" w:color="auto"/>
            </w:tcBorders>
          </w:tcPr>
          <w:p w14:paraId="0F9B0BBA"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Reduction &amp; Segregation of Hazardous and Toxic Materials:</w:t>
            </w:r>
          </w:p>
          <w:p w14:paraId="4A1DA8D3"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Avoid the use of materials containing Hazardous and Toxic Materials if other options are available.</w:t>
            </w:r>
          </w:p>
          <w:p w14:paraId="6EE280B7"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Implement good management of any materials that have the potential to cause health problems and/or environmental pollution.</w:t>
            </w:r>
          </w:p>
          <w:p w14:paraId="0270D310"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bCs/>
                <w:color w:val="auto"/>
                <w:sz w:val="20"/>
                <w:szCs w:val="20"/>
              </w:rPr>
            </w:pPr>
            <w:r w:rsidRPr="009826D6">
              <w:rPr>
                <w:rFonts w:ascii="Arial" w:hAnsi="Arial" w:cs="Arial"/>
                <w:color w:val="auto"/>
                <w:sz w:val="20"/>
                <w:szCs w:val="20"/>
                <w:lang w:val="en-US"/>
              </w:rPr>
              <w:t>Separate Hazardous and Toxic Materials based on their type, group, or characteristics.</w:t>
            </w:r>
          </w:p>
        </w:tc>
        <w:tc>
          <w:tcPr>
            <w:tcW w:w="1252" w:type="dxa"/>
            <w:tcBorders>
              <w:top w:val="single" w:sz="4" w:space="0" w:color="auto"/>
            </w:tcBorders>
          </w:tcPr>
          <w:p w14:paraId="3D5DB38D"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26,32</w:t>
            </w:r>
            <w:r w:rsidRPr="009826D6">
              <w:rPr>
                <w:rFonts w:ascii="Arial" w:hAnsi="Arial" w:cs="Arial"/>
                <w:color w:val="000000"/>
                <w:sz w:val="20"/>
                <w:szCs w:val="20"/>
                <w:lang w:val="en-US"/>
              </w:rPr>
              <w:t>%</w:t>
            </w:r>
          </w:p>
        </w:tc>
        <w:tc>
          <w:tcPr>
            <w:tcW w:w="1096" w:type="dxa"/>
            <w:tcBorders>
              <w:top w:val="single" w:sz="4" w:space="0" w:color="auto"/>
            </w:tcBorders>
          </w:tcPr>
          <w:p w14:paraId="4EBDFE8B"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57,89</w:t>
            </w:r>
            <w:r w:rsidRPr="009826D6">
              <w:rPr>
                <w:rFonts w:ascii="Arial" w:hAnsi="Arial" w:cs="Arial"/>
                <w:color w:val="000000"/>
                <w:sz w:val="20"/>
                <w:szCs w:val="20"/>
                <w:lang w:val="en-US"/>
              </w:rPr>
              <w:t>%</w:t>
            </w:r>
          </w:p>
        </w:tc>
        <w:tc>
          <w:tcPr>
            <w:tcW w:w="1128" w:type="dxa"/>
            <w:tcBorders>
              <w:top w:val="single" w:sz="4" w:space="0" w:color="auto"/>
            </w:tcBorders>
          </w:tcPr>
          <w:p w14:paraId="69DAEE9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r>
      <w:tr w:rsidR="009826D6" w:rsidRPr="009826D6" w14:paraId="4CD11D4C" w14:textId="77777777" w:rsidTr="009826D6">
        <w:tc>
          <w:tcPr>
            <w:tcW w:w="560" w:type="dxa"/>
          </w:tcPr>
          <w:p w14:paraId="681E08D0"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2</w:t>
            </w:r>
          </w:p>
        </w:tc>
        <w:tc>
          <w:tcPr>
            <w:tcW w:w="4260" w:type="dxa"/>
          </w:tcPr>
          <w:p w14:paraId="634511AA"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LB3 Containers:</w:t>
            </w:r>
          </w:p>
          <w:p w14:paraId="6BC39B7E"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a. Contain solid medical hazardous waste according to the solid medical hazardous waste group.</w:t>
            </w:r>
          </w:p>
          <w:p w14:paraId="4A3130D3"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lastRenderedPageBreak/>
              <w:t>Containers for solid medical hazardous waste must not leak easily.</w:t>
            </w:r>
          </w:p>
          <w:p w14:paraId="5C2AF8D3"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have lids.</w:t>
            </w:r>
          </w:p>
          <w:p w14:paraId="77989F40"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color w:val="auto"/>
                <w:sz w:val="20"/>
                <w:szCs w:val="20"/>
              </w:rPr>
            </w:pPr>
            <w:r w:rsidRPr="009826D6">
              <w:rPr>
                <w:rFonts w:ascii="Arial" w:hAnsi="Arial" w:cs="Arial"/>
                <w:bCs/>
                <w:color w:val="auto"/>
                <w:sz w:val="20"/>
                <w:szCs w:val="20"/>
                <w:lang w:val="en-US"/>
              </w:rPr>
              <w:t>Containers for solid medical hazardous waste must be lined with plastic of the appropriate color.</w:t>
            </w:r>
          </w:p>
        </w:tc>
        <w:tc>
          <w:tcPr>
            <w:tcW w:w="1252" w:type="dxa"/>
          </w:tcPr>
          <w:p w14:paraId="352249F8"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lastRenderedPageBreak/>
              <w:t>26,32</w:t>
            </w:r>
            <w:r w:rsidRPr="009826D6">
              <w:rPr>
                <w:rFonts w:ascii="Arial" w:hAnsi="Arial" w:cs="Arial"/>
                <w:color w:val="000000"/>
                <w:sz w:val="20"/>
                <w:szCs w:val="20"/>
                <w:lang w:val="en-US"/>
              </w:rPr>
              <w:t>%</w:t>
            </w:r>
          </w:p>
        </w:tc>
        <w:tc>
          <w:tcPr>
            <w:tcW w:w="1096" w:type="dxa"/>
          </w:tcPr>
          <w:p w14:paraId="7F7C8256"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t>42,11</w:t>
            </w:r>
            <w:r w:rsidRPr="009826D6">
              <w:rPr>
                <w:rFonts w:ascii="Arial" w:hAnsi="Arial" w:cs="Arial"/>
                <w:color w:val="000000"/>
                <w:sz w:val="20"/>
                <w:szCs w:val="20"/>
                <w:lang w:val="en-US"/>
              </w:rPr>
              <w:t>%</w:t>
            </w:r>
          </w:p>
        </w:tc>
        <w:tc>
          <w:tcPr>
            <w:tcW w:w="1128" w:type="dxa"/>
          </w:tcPr>
          <w:p w14:paraId="66A115E0"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t>31,58</w:t>
            </w:r>
            <w:r w:rsidRPr="009826D6">
              <w:rPr>
                <w:rFonts w:ascii="Arial" w:hAnsi="Arial" w:cs="Arial"/>
                <w:color w:val="000000"/>
                <w:sz w:val="20"/>
                <w:szCs w:val="20"/>
                <w:lang w:val="en-US"/>
              </w:rPr>
              <w:t>%</w:t>
            </w:r>
          </w:p>
        </w:tc>
      </w:tr>
      <w:tr w:rsidR="009826D6" w:rsidRPr="009826D6" w14:paraId="18B01288" w14:textId="77777777" w:rsidTr="009826D6">
        <w:tc>
          <w:tcPr>
            <w:tcW w:w="560" w:type="dxa"/>
          </w:tcPr>
          <w:p w14:paraId="0D5DCE2B"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3</w:t>
            </w:r>
          </w:p>
        </w:tc>
        <w:tc>
          <w:tcPr>
            <w:tcW w:w="4260" w:type="dxa"/>
          </w:tcPr>
          <w:p w14:paraId="62BB0E20" w14:textId="77777777" w:rsidR="009826D6" w:rsidRPr="009826D6" w:rsidRDefault="009826D6" w:rsidP="004A6CAF">
            <w:pPr>
              <w:tabs>
                <w:tab w:val="left" w:pos="426"/>
              </w:tabs>
              <w:ind w:left="188" w:hanging="142"/>
              <w:rPr>
                <w:rFonts w:ascii="Arial" w:hAnsi="Arial" w:cs="Arial"/>
                <w:sz w:val="20"/>
                <w:szCs w:val="20"/>
                <w:lang w:val="en-US"/>
              </w:rPr>
            </w:pPr>
            <w:r w:rsidRPr="009826D6">
              <w:rPr>
                <w:rFonts w:ascii="Arial" w:hAnsi="Arial" w:cs="Arial"/>
                <w:sz w:val="20"/>
                <w:szCs w:val="20"/>
                <w:lang w:val="en-US"/>
              </w:rPr>
              <w:t>LB3 Packaging, Symbols, and Labels:</w:t>
            </w:r>
          </w:p>
          <w:p w14:paraId="3D19DEE8"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is packaged using solid medical hazardous waste packaging according to the solid medical hazardous waste group, with each packaging color corresponding to the waste's characteristics.</w:t>
            </w:r>
          </w:p>
          <w:p w14:paraId="248938BC"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Symbols and labels for solid medical hazardous waste are provided on each waste package according to the characteristics of the solid medical hazardous waste.</w:t>
            </w:r>
          </w:p>
          <w:p w14:paraId="3F523E97"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packaging is strong, rust-resistant, waterproof, and sealed.</w:t>
            </w:r>
          </w:p>
          <w:p w14:paraId="51380CD5" w14:textId="77777777" w:rsidR="009826D6" w:rsidRPr="009826D6" w:rsidRDefault="009826D6" w:rsidP="009826D6">
            <w:pPr>
              <w:pStyle w:val="ListParagraph"/>
              <w:numPr>
                <w:ilvl w:val="0"/>
                <w:numId w:val="31"/>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Sharps waste packaging is in the form of a safety box or other packaging that is not susceptible to sharp objects and is safe for waste sorting personnel.</w:t>
            </w:r>
          </w:p>
          <w:p w14:paraId="6E512962"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rPr>
            </w:pPr>
            <w:r w:rsidRPr="009826D6">
              <w:rPr>
                <w:rFonts w:ascii="Arial" w:hAnsi="Arial" w:cs="Arial"/>
                <w:sz w:val="20"/>
                <w:szCs w:val="20"/>
                <w:lang w:val="en-US"/>
              </w:rPr>
              <w:t>Packaging is made of single-use plastic, and the color of the plastic corresponds to the type of waste contained within.</w:t>
            </w:r>
          </w:p>
        </w:tc>
        <w:tc>
          <w:tcPr>
            <w:tcW w:w="1252" w:type="dxa"/>
          </w:tcPr>
          <w:p w14:paraId="3AAD84E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2DD1100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63,16</w:t>
            </w:r>
            <w:r w:rsidRPr="009826D6">
              <w:rPr>
                <w:rFonts w:ascii="Arial" w:hAnsi="Arial" w:cs="Arial"/>
                <w:color w:val="000000"/>
                <w:sz w:val="20"/>
                <w:szCs w:val="20"/>
                <w:lang w:val="en-US"/>
              </w:rPr>
              <w:t>%</w:t>
            </w:r>
          </w:p>
        </w:tc>
        <w:tc>
          <w:tcPr>
            <w:tcW w:w="1128" w:type="dxa"/>
          </w:tcPr>
          <w:p w14:paraId="485FA7A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r>
      <w:tr w:rsidR="009826D6" w:rsidRPr="009826D6" w14:paraId="7C9AE337" w14:textId="77777777" w:rsidTr="009826D6">
        <w:tc>
          <w:tcPr>
            <w:tcW w:w="560" w:type="dxa"/>
          </w:tcPr>
          <w:p w14:paraId="35C3A2DB"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4</w:t>
            </w:r>
          </w:p>
        </w:tc>
        <w:tc>
          <w:tcPr>
            <w:tcW w:w="4260" w:type="dxa"/>
          </w:tcPr>
          <w:p w14:paraId="2D4B6EEC" w14:textId="77777777" w:rsidR="009826D6" w:rsidRPr="009826D6" w:rsidRDefault="009826D6" w:rsidP="004A6CAF">
            <w:pPr>
              <w:pStyle w:val="ListParagraph"/>
              <w:tabs>
                <w:tab w:val="left" w:pos="426"/>
              </w:tabs>
              <w:spacing w:after="0" w:line="240" w:lineRule="auto"/>
              <w:ind w:left="188" w:right="0" w:firstLine="0"/>
              <w:jc w:val="left"/>
              <w:rPr>
                <w:rFonts w:ascii="Arial" w:hAnsi="Arial" w:cs="Arial"/>
                <w:color w:val="auto"/>
                <w:sz w:val="20"/>
                <w:szCs w:val="20"/>
                <w:lang w:val="en-US"/>
              </w:rPr>
            </w:pPr>
            <w:r w:rsidRPr="009826D6">
              <w:rPr>
                <w:rFonts w:ascii="Arial" w:hAnsi="Arial" w:cs="Arial"/>
                <w:color w:val="auto"/>
                <w:sz w:val="20"/>
                <w:szCs w:val="20"/>
                <w:lang w:val="en-US"/>
              </w:rPr>
              <w:t>Storage</w:t>
            </w:r>
          </w:p>
          <w:p w14:paraId="41EB1286" w14:textId="77777777" w:rsidR="009826D6" w:rsidRPr="009826D6" w:rsidRDefault="009826D6" w:rsidP="009826D6">
            <w:pPr>
              <w:pStyle w:val="ListParagraph"/>
              <w:numPr>
                <w:ilvl w:val="0"/>
                <w:numId w:val="39"/>
              </w:numPr>
              <w:spacing w:after="0" w:line="240" w:lineRule="auto"/>
              <w:ind w:right="0" w:hanging="548"/>
              <w:jc w:val="left"/>
              <w:rPr>
                <w:rFonts w:ascii="Arial" w:hAnsi="Arial" w:cs="Arial"/>
                <w:color w:val="auto"/>
                <w:sz w:val="20"/>
                <w:szCs w:val="20"/>
                <w:lang w:val="en-US"/>
              </w:rPr>
            </w:pPr>
            <w:r w:rsidRPr="009826D6">
              <w:rPr>
                <w:rFonts w:ascii="Arial" w:hAnsi="Arial" w:cs="Arial"/>
                <w:color w:val="auto"/>
                <w:sz w:val="20"/>
                <w:szCs w:val="20"/>
                <w:lang w:val="en-US"/>
              </w:rPr>
              <w:t>Storage Facilities for the LB3 Waste Disposal Site:</w:t>
            </w:r>
          </w:p>
          <w:p w14:paraId="723280C2"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solid medical hazardous waste disposal site is located in a flood-free area and is not adjacent to service activities or residential areas around the hospital.</w:t>
            </w:r>
          </w:p>
          <w:p w14:paraId="168289C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building is enclosed, equipped with doors, adequate ventilation, an exhaust fan, and a drainage system leading to the SPALD.</w:t>
            </w:r>
          </w:p>
          <w:p w14:paraId="28EBDE46"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floor is impermeable, made of concrete or cement with a good drainage system, and is easy to clean and disinfect. • A water source or water tap is available for cleaning.</w:t>
            </w:r>
          </w:p>
          <w:p w14:paraId="7BBAF480"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Can be locked to prevent unauthorized access.</w:t>
            </w:r>
          </w:p>
          <w:p w14:paraId="4E42C0D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Easily accessible by vehicles collecting or transporting waste.</w:t>
            </w:r>
          </w:p>
          <w:p w14:paraId="71EDF3EA"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Protected from sunlight, rain, strong winds, flooding, and other factors that could potentially cause accidents or work-related disasters. It is inaccessible to animals, insects, and birds.</w:t>
            </w:r>
          </w:p>
          <w:p w14:paraId="50B34E18"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Waste disposal sites are provided with symbols and labels, signs prohibiting unauthorized entry, and coordinate points.</w:t>
            </w:r>
          </w:p>
          <w:p w14:paraId="09C7D2C0"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lastRenderedPageBreak/>
              <w:t>Located far from food storage or preparation areas.</w:t>
            </w:r>
          </w:p>
          <w:p w14:paraId="51ECD608" w14:textId="77777777" w:rsidR="009826D6" w:rsidRPr="009826D6" w:rsidRDefault="009826D6" w:rsidP="009826D6">
            <w:pPr>
              <w:pStyle w:val="ListParagraph"/>
              <w:numPr>
                <w:ilvl w:val="0"/>
                <w:numId w:val="32"/>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Cleaning equipment, protective clothing, and waste containers or bags must be located as close as possible to the storage facility.</w:t>
            </w:r>
          </w:p>
          <w:p w14:paraId="05DBD949"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lang w:val="en-US"/>
              </w:rPr>
            </w:pPr>
            <w:r w:rsidRPr="009826D6">
              <w:rPr>
                <w:rFonts w:ascii="Arial" w:hAnsi="Arial" w:cs="Arial"/>
                <w:sz w:val="20"/>
                <w:szCs w:val="20"/>
                <w:lang w:val="en-US"/>
              </w:rPr>
              <w:t>The walls, floors, and ceilings of the storage facility are kept clean, including daily floor cleaning.</w:t>
            </w:r>
          </w:p>
        </w:tc>
        <w:tc>
          <w:tcPr>
            <w:tcW w:w="1252" w:type="dxa"/>
          </w:tcPr>
          <w:p w14:paraId="5E2B79F8"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lastRenderedPageBreak/>
              <w:t>15,79</w:t>
            </w:r>
            <w:r w:rsidRPr="009826D6">
              <w:rPr>
                <w:rFonts w:ascii="Arial" w:hAnsi="Arial" w:cs="Arial"/>
                <w:color w:val="000000"/>
                <w:sz w:val="20"/>
                <w:szCs w:val="20"/>
                <w:lang w:val="en-US"/>
              </w:rPr>
              <w:t>%</w:t>
            </w:r>
          </w:p>
        </w:tc>
        <w:tc>
          <w:tcPr>
            <w:tcW w:w="1096" w:type="dxa"/>
          </w:tcPr>
          <w:p w14:paraId="44F2FEA1"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73,68</w:t>
            </w:r>
            <w:r w:rsidRPr="009826D6">
              <w:rPr>
                <w:rFonts w:ascii="Arial" w:hAnsi="Arial" w:cs="Arial"/>
                <w:color w:val="000000"/>
                <w:sz w:val="20"/>
                <w:szCs w:val="20"/>
                <w:lang w:val="en-US"/>
              </w:rPr>
              <w:t>%</w:t>
            </w:r>
          </w:p>
        </w:tc>
        <w:tc>
          <w:tcPr>
            <w:tcW w:w="1128" w:type="dxa"/>
          </w:tcPr>
          <w:p w14:paraId="391F30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2FF52C8C" w14:textId="77777777" w:rsidTr="009826D6">
        <w:tc>
          <w:tcPr>
            <w:tcW w:w="560" w:type="dxa"/>
          </w:tcPr>
          <w:p w14:paraId="5D0B9FAD" w14:textId="77777777" w:rsidR="009826D6" w:rsidRPr="009826D6" w:rsidRDefault="009826D6" w:rsidP="004A6CAF">
            <w:pPr>
              <w:tabs>
                <w:tab w:val="left" w:pos="426"/>
              </w:tabs>
              <w:rPr>
                <w:rFonts w:ascii="Arial" w:hAnsi="Arial" w:cs="Arial"/>
                <w:sz w:val="20"/>
                <w:szCs w:val="20"/>
              </w:rPr>
            </w:pPr>
          </w:p>
        </w:tc>
        <w:tc>
          <w:tcPr>
            <w:tcW w:w="4260" w:type="dxa"/>
          </w:tcPr>
          <w:p w14:paraId="21F9A2DD"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Storage Period for Hazardous Waste (LB3):</w:t>
            </w:r>
          </w:p>
          <w:p w14:paraId="00E9CB29" w14:textId="77777777" w:rsidR="009826D6" w:rsidRPr="009826D6" w:rsidRDefault="009826D6" w:rsidP="009826D6">
            <w:pPr>
              <w:pStyle w:val="ListParagraph"/>
              <w:numPr>
                <w:ilvl w:val="0"/>
                <w:numId w:val="32"/>
              </w:numPr>
              <w:tabs>
                <w:tab w:val="left" w:pos="426"/>
              </w:tabs>
              <w:spacing w:after="0" w:line="240" w:lineRule="auto"/>
              <w:ind w:left="188" w:right="0" w:hanging="188"/>
              <w:jc w:val="left"/>
              <w:rPr>
                <w:rFonts w:ascii="Arial" w:hAnsi="Arial" w:cs="Arial"/>
                <w:color w:val="auto"/>
                <w:sz w:val="20"/>
                <w:szCs w:val="20"/>
                <w:lang w:val="en-US"/>
              </w:rPr>
            </w:pPr>
            <w:r w:rsidRPr="009826D6">
              <w:rPr>
                <w:rFonts w:ascii="Arial" w:hAnsi="Arial" w:cs="Arial"/>
                <w:color w:val="auto"/>
                <w:sz w:val="20"/>
                <w:szCs w:val="20"/>
                <w:lang w:val="en-US"/>
              </w:rPr>
              <w:t>Hazardous waste with infectious characteristics, sharp objects, and pathological objects must be stored in the storage area for a maximum of 2 (two) days, at a temperature greater than 0°C (zero degrees Celsius), and 90 days at a temperature equal to or less than 0°C (zero degrees Celsius).</w:t>
            </w:r>
          </w:p>
          <w:p w14:paraId="24239353" w14:textId="77777777" w:rsidR="009826D6" w:rsidRPr="009826D6" w:rsidRDefault="009826D6" w:rsidP="009826D6">
            <w:pPr>
              <w:numPr>
                <w:ilvl w:val="0"/>
                <w:numId w:val="38"/>
              </w:numPr>
              <w:tabs>
                <w:tab w:val="left" w:pos="426"/>
              </w:tabs>
              <w:ind w:left="188" w:hanging="188"/>
              <w:contextualSpacing/>
              <w:rPr>
                <w:rFonts w:ascii="Arial" w:hAnsi="Arial" w:cs="Arial"/>
                <w:bCs/>
                <w:sz w:val="20"/>
                <w:szCs w:val="20"/>
                <w:lang w:val="en-US"/>
              </w:rPr>
            </w:pPr>
            <w:r w:rsidRPr="009826D6">
              <w:rPr>
                <w:rFonts w:ascii="Arial" w:hAnsi="Arial" w:cs="Arial"/>
                <w:sz w:val="20"/>
                <w:szCs w:val="20"/>
                <w:lang w:val="en-US"/>
              </w:rPr>
              <w:t>Hazardous waste with chemical, radioactive, pharmaceutical, cytotoxic, gas cylinder, or pressurized container characteristics must be stored in the storage area for 90 (ninety) days, for Hazardous Waste produced at 50 kg (fifty kilograms) per day or more, or 180 (one hundred and eighty) days, for Hazardous Waste produced at less than 50 kg (fifty kilograms).</w:t>
            </w:r>
          </w:p>
        </w:tc>
        <w:tc>
          <w:tcPr>
            <w:tcW w:w="1252" w:type="dxa"/>
          </w:tcPr>
          <w:p w14:paraId="03D7B02C"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048E3EE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57,89</w:t>
            </w:r>
            <w:r w:rsidRPr="009826D6">
              <w:rPr>
                <w:rFonts w:ascii="Arial" w:hAnsi="Arial" w:cs="Arial"/>
                <w:color w:val="000000"/>
                <w:sz w:val="20"/>
                <w:szCs w:val="20"/>
                <w:lang w:val="en-US"/>
              </w:rPr>
              <w:t>%</w:t>
            </w:r>
          </w:p>
        </w:tc>
        <w:tc>
          <w:tcPr>
            <w:tcW w:w="1128" w:type="dxa"/>
          </w:tcPr>
          <w:p w14:paraId="600EB9A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r>
      <w:tr w:rsidR="009826D6" w:rsidRPr="009826D6" w14:paraId="556982C4" w14:textId="77777777" w:rsidTr="009826D6">
        <w:tc>
          <w:tcPr>
            <w:tcW w:w="560" w:type="dxa"/>
          </w:tcPr>
          <w:p w14:paraId="6BBAD62A" w14:textId="77777777" w:rsidR="009826D6" w:rsidRPr="009826D6" w:rsidRDefault="009826D6" w:rsidP="004A6CAF">
            <w:pPr>
              <w:tabs>
                <w:tab w:val="left" w:pos="426"/>
              </w:tabs>
              <w:rPr>
                <w:rFonts w:ascii="Arial" w:hAnsi="Arial" w:cs="Arial"/>
                <w:sz w:val="20"/>
                <w:szCs w:val="20"/>
              </w:rPr>
            </w:pPr>
          </w:p>
        </w:tc>
        <w:tc>
          <w:tcPr>
            <w:tcW w:w="4260" w:type="dxa"/>
          </w:tcPr>
          <w:p w14:paraId="79B70B4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Waste Management Site Monitoring:</w:t>
            </w:r>
          </w:p>
          <w:p w14:paraId="7E37C282"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LB3 Quantity and Type: Monitor the quantity and type of LB3 produced, stored, transported, and processed regularly.</w:t>
            </w:r>
          </w:p>
          <w:p w14:paraId="3C2DE5D8"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Storage Condition Monitoring: including temperature, humidity, container integrity, and security of the temporary LB3 storage location.</w:t>
            </w:r>
          </w:p>
          <w:p w14:paraId="47D7699B" w14:textId="77777777" w:rsidR="009826D6" w:rsidRPr="009826D6" w:rsidRDefault="009826D6" w:rsidP="009826D6">
            <w:pPr>
              <w:pStyle w:val="ListParagraph"/>
              <w:numPr>
                <w:ilvl w:val="0"/>
                <w:numId w:val="33"/>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Environmental Impact Monitoring: potential air, water, and soil pollution due to the ineffectiveness of LB3 management.</w:t>
            </w:r>
          </w:p>
          <w:p w14:paraId="2DFB4CDB" w14:textId="77777777" w:rsidR="009826D6" w:rsidRPr="009826D6" w:rsidRDefault="009826D6" w:rsidP="009826D6">
            <w:pPr>
              <w:numPr>
                <w:ilvl w:val="0"/>
                <w:numId w:val="38"/>
              </w:numPr>
              <w:tabs>
                <w:tab w:val="left" w:pos="426"/>
              </w:tabs>
              <w:ind w:left="330"/>
              <w:contextualSpacing/>
              <w:rPr>
                <w:rFonts w:ascii="Arial" w:hAnsi="Arial" w:cs="Arial"/>
                <w:bCs/>
                <w:sz w:val="20"/>
                <w:szCs w:val="20"/>
              </w:rPr>
            </w:pPr>
            <w:r w:rsidRPr="009826D6">
              <w:rPr>
                <w:rFonts w:ascii="Arial" w:hAnsi="Arial" w:cs="Arial"/>
                <w:sz w:val="20"/>
                <w:szCs w:val="20"/>
                <w:lang w:val="en-US"/>
              </w:rPr>
              <w:t>• Third-Party Performance Monitoring: If using external LB3 transporters or processors, the facility must monitor their compliance and performance with permits and technical procedures.</w:t>
            </w:r>
          </w:p>
        </w:tc>
        <w:tc>
          <w:tcPr>
            <w:tcW w:w="1252" w:type="dxa"/>
          </w:tcPr>
          <w:p w14:paraId="1CC0367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c>
          <w:tcPr>
            <w:tcW w:w="1096" w:type="dxa"/>
          </w:tcPr>
          <w:p w14:paraId="14F642F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63,16</w:t>
            </w:r>
            <w:r w:rsidRPr="009826D6">
              <w:rPr>
                <w:rFonts w:ascii="Arial" w:hAnsi="Arial" w:cs="Arial"/>
                <w:color w:val="000000"/>
                <w:sz w:val="20"/>
                <w:szCs w:val="20"/>
                <w:lang w:val="en-US"/>
              </w:rPr>
              <w:t>%</w:t>
            </w:r>
          </w:p>
        </w:tc>
        <w:tc>
          <w:tcPr>
            <w:tcW w:w="1128" w:type="dxa"/>
          </w:tcPr>
          <w:p w14:paraId="46736E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r>
      <w:tr w:rsidR="009826D6" w:rsidRPr="009826D6" w14:paraId="40E939DC" w14:textId="77777777" w:rsidTr="009826D6">
        <w:tc>
          <w:tcPr>
            <w:tcW w:w="560" w:type="dxa"/>
          </w:tcPr>
          <w:p w14:paraId="4BCA8194" w14:textId="77777777" w:rsidR="009826D6" w:rsidRPr="009826D6" w:rsidRDefault="009826D6" w:rsidP="004A6CAF">
            <w:pPr>
              <w:tabs>
                <w:tab w:val="left" w:pos="426"/>
              </w:tabs>
              <w:rPr>
                <w:rFonts w:ascii="Arial" w:hAnsi="Arial" w:cs="Arial"/>
                <w:sz w:val="20"/>
                <w:szCs w:val="20"/>
              </w:rPr>
            </w:pPr>
          </w:p>
        </w:tc>
        <w:tc>
          <w:tcPr>
            <w:tcW w:w="4260" w:type="dxa"/>
          </w:tcPr>
          <w:p w14:paraId="32D9E594" w14:textId="77777777" w:rsidR="009826D6" w:rsidRPr="009826D6" w:rsidRDefault="009826D6" w:rsidP="004A6CAF">
            <w:pPr>
              <w:pStyle w:val="ListParagraph"/>
              <w:tabs>
                <w:tab w:val="left" w:pos="426"/>
              </w:tabs>
              <w:spacing w:after="0" w:line="240" w:lineRule="auto"/>
              <w:ind w:left="0" w:right="0" w:firstLine="0"/>
              <w:jc w:val="left"/>
              <w:rPr>
                <w:rFonts w:ascii="Arial" w:hAnsi="Arial" w:cs="Arial"/>
                <w:color w:val="auto"/>
                <w:sz w:val="20"/>
                <w:szCs w:val="20"/>
                <w:lang w:val="en-US"/>
              </w:rPr>
            </w:pPr>
            <w:r w:rsidRPr="009826D6">
              <w:rPr>
                <w:rFonts w:ascii="Arial" w:hAnsi="Arial" w:cs="Arial"/>
                <w:color w:val="auto"/>
                <w:sz w:val="20"/>
                <w:szCs w:val="20"/>
                <w:lang w:val="en-US"/>
              </w:rPr>
              <w:t>d. LB3 Balance Sheet:</w:t>
            </w:r>
          </w:p>
          <w:p w14:paraId="6C493E4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a description of the sources, types, and characteristics of stored solid medical hazardous waste.</w:t>
            </w:r>
          </w:p>
          <w:p w14:paraId="50E7DA27" w14:textId="77777777" w:rsidR="009826D6" w:rsidRPr="009826D6" w:rsidRDefault="009826D6" w:rsidP="009826D6">
            <w:pPr>
              <w:pStyle w:val="ListParagraph"/>
              <w:numPr>
                <w:ilvl w:val="0"/>
                <w:numId w:val="34"/>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the quantity or volume of solid medical hazardous waste collected each month.</w:t>
            </w:r>
          </w:p>
          <w:p w14:paraId="69A8DD69" w14:textId="77777777" w:rsidR="009826D6" w:rsidRPr="009826D6" w:rsidRDefault="009826D6" w:rsidP="009826D6">
            <w:pPr>
              <w:numPr>
                <w:ilvl w:val="0"/>
                <w:numId w:val="38"/>
              </w:numPr>
              <w:tabs>
                <w:tab w:val="left" w:pos="426"/>
              </w:tabs>
              <w:ind w:left="330"/>
              <w:contextualSpacing/>
              <w:rPr>
                <w:rFonts w:ascii="Arial" w:hAnsi="Arial" w:cs="Arial"/>
                <w:sz w:val="20"/>
                <w:szCs w:val="20"/>
              </w:rPr>
            </w:pPr>
            <w:r w:rsidRPr="009826D6">
              <w:rPr>
                <w:rFonts w:ascii="Arial" w:hAnsi="Arial" w:cs="Arial"/>
                <w:sz w:val="20"/>
                <w:szCs w:val="20"/>
                <w:lang w:val="en-US"/>
              </w:rPr>
              <w:t xml:space="preserve">Contains the quantity or volume of solid medical hazardous waste submitted to solid medical hazardous waste collectors, </w:t>
            </w:r>
            <w:r w:rsidRPr="009826D6">
              <w:rPr>
                <w:rFonts w:ascii="Arial" w:hAnsi="Arial" w:cs="Arial"/>
                <w:sz w:val="20"/>
                <w:szCs w:val="20"/>
                <w:lang w:val="en-US"/>
              </w:rPr>
              <w:lastRenderedPageBreak/>
              <w:t>solid medical hazardous waste users, solid medical hazardous waste processors, and/or solid medical hazardous waste stockpilers each month.</w:t>
            </w:r>
          </w:p>
        </w:tc>
        <w:tc>
          <w:tcPr>
            <w:tcW w:w="1252" w:type="dxa"/>
          </w:tcPr>
          <w:p w14:paraId="0E42FDC8"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lastRenderedPageBreak/>
              <w:t>21,05</w:t>
            </w:r>
            <w:r w:rsidRPr="009826D6">
              <w:rPr>
                <w:rFonts w:ascii="Arial" w:hAnsi="Arial" w:cs="Arial"/>
                <w:color w:val="000000"/>
                <w:sz w:val="20"/>
                <w:szCs w:val="20"/>
                <w:lang w:val="en-US"/>
              </w:rPr>
              <w:t>%</w:t>
            </w:r>
          </w:p>
        </w:tc>
        <w:tc>
          <w:tcPr>
            <w:tcW w:w="1096" w:type="dxa"/>
          </w:tcPr>
          <w:p w14:paraId="3B0EA611"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52,63</w:t>
            </w:r>
            <w:r w:rsidRPr="009826D6">
              <w:rPr>
                <w:rFonts w:ascii="Arial" w:hAnsi="Arial" w:cs="Arial"/>
                <w:color w:val="000000"/>
                <w:sz w:val="20"/>
                <w:szCs w:val="20"/>
                <w:lang w:val="en-US"/>
              </w:rPr>
              <w:t>%</w:t>
            </w:r>
          </w:p>
        </w:tc>
        <w:tc>
          <w:tcPr>
            <w:tcW w:w="1128" w:type="dxa"/>
          </w:tcPr>
          <w:p w14:paraId="3C05ADCC"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26,32</w:t>
            </w:r>
            <w:r w:rsidRPr="009826D6">
              <w:rPr>
                <w:rFonts w:ascii="Arial" w:hAnsi="Arial" w:cs="Arial"/>
                <w:color w:val="000000"/>
                <w:sz w:val="20"/>
                <w:szCs w:val="20"/>
                <w:lang w:val="en-US"/>
              </w:rPr>
              <w:t>%</w:t>
            </w:r>
          </w:p>
        </w:tc>
      </w:tr>
      <w:tr w:rsidR="009826D6" w:rsidRPr="009826D6" w14:paraId="1B8D1355" w14:textId="77777777" w:rsidTr="009826D6">
        <w:tc>
          <w:tcPr>
            <w:tcW w:w="560" w:type="dxa"/>
          </w:tcPr>
          <w:p w14:paraId="4E5D8317" w14:textId="77777777" w:rsidR="009826D6" w:rsidRPr="009826D6" w:rsidRDefault="009826D6" w:rsidP="004A6CAF">
            <w:pPr>
              <w:tabs>
                <w:tab w:val="left" w:pos="426"/>
              </w:tabs>
              <w:rPr>
                <w:rFonts w:ascii="Arial" w:hAnsi="Arial" w:cs="Arial"/>
                <w:sz w:val="20"/>
                <w:szCs w:val="20"/>
              </w:rPr>
            </w:pPr>
          </w:p>
        </w:tc>
        <w:tc>
          <w:tcPr>
            <w:tcW w:w="4260" w:type="dxa"/>
          </w:tcPr>
          <w:p w14:paraId="747ADED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e. Recording and Reporting of Solid Medical Hazardous Waste (LB3):</w:t>
            </w:r>
          </w:p>
          <w:p w14:paraId="28C40E57"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Recording the type and quantity of LB3</w:t>
            </w:r>
          </w:p>
          <w:p w14:paraId="0466DB7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Source and location of LB3 generation</w:t>
            </w:r>
          </w:p>
          <w:p w14:paraId="78FE8FD0"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Identity of the managing party (including the name and permit of the third party transporting or processing the LB3), if any.</w:t>
            </w:r>
          </w:p>
          <w:p w14:paraId="58E01D1D"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Reporting frequency: Reports are submitted periodically, at least every 6 months, to the local environmental agency.</w:t>
            </w:r>
          </w:p>
          <w:p w14:paraId="28C9D9C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The report format must comply with the format established by the Ministry of Environment and Forestry or the local Environmental Agency, including quantitative and descriptive data.</w:t>
            </w:r>
          </w:p>
          <w:p w14:paraId="62B52F0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Purpose of reporting: To monitor the effectiveness of LB3 management, prevent pollution, and serve as a basis for evaluation and guidance by the government.</w:t>
            </w:r>
          </w:p>
          <w:p w14:paraId="5BDA7ADB"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Supporting documents: Reports must include proof of recording, photographs of activities, and a copy of the permit of the LB3 transporter/manager.</w:t>
            </w:r>
          </w:p>
        </w:tc>
        <w:tc>
          <w:tcPr>
            <w:tcW w:w="1252" w:type="dxa"/>
          </w:tcPr>
          <w:p w14:paraId="67A816CC"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c>
          <w:tcPr>
            <w:tcW w:w="1096" w:type="dxa"/>
          </w:tcPr>
          <w:p w14:paraId="367F77E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78,95</w:t>
            </w:r>
            <w:r w:rsidRPr="009826D6">
              <w:rPr>
                <w:rFonts w:ascii="Arial" w:hAnsi="Arial" w:cs="Arial"/>
                <w:color w:val="000000"/>
                <w:sz w:val="20"/>
                <w:szCs w:val="20"/>
                <w:lang w:val="en-US"/>
              </w:rPr>
              <w:t>%</w:t>
            </w:r>
          </w:p>
        </w:tc>
        <w:tc>
          <w:tcPr>
            <w:tcW w:w="1128" w:type="dxa"/>
          </w:tcPr>
          <w:p w14:paraId="532708E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5414917C" w14:textId="77777777" w:rsidTr="009826D6">
        <w:tc>
          <w:tcPr>
            <w:tcW w:w="560" w:type="dxa"/>
          </w:tcPr>
          <w:p w14:paraId="0E2B6B10" w14:textId="77777777" w:rsidR="009826D6" w:rsidRPr="009826D6" w:rsidRDefault="009826D6" w:rsidP="004A6CAF">
            <w:pPr>
              <w:tabs>
                <w:tab w:val="left" w:pos="426"/>
              </w:tabs>
              <w:rPr>
                <w:rFonts w:ascii="Arial" w:hAnsi="Arial" w:cs="Arial"/>
                <w:sz w:val="20"/>
                <w:szCs w:val="20"/>
              </w:rPr>
            </w:pPr>
          </w:p>
        </w:tc>
        <w:tc>
          <w:tcPr>
            <w:tcW w:w="4260" w:type="dxa"/>
          </w:tcPr>
          <w:p w14:paraId="32B70DB8"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f. LB3 Emergency Program Documents:</w:t>
            </w:r>
          </w:p>
          <w:p w14:paraId="33961B92"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Have an Emergency Response System for managing solid medical hazardous waste (including Emergency Response SOPs)</w:t>
            </w:r>
          </w:p>
          <w:p w14:paraId="20AC6DB5" w14:textId="77777777" w:rsidR="009826D6" w:rsidRPr="009826D6" w:rsidRDefault="009826D6" w:rsidP="009826D6">
            <w:pPr>
              <w:pStyle w:val="ListParagraph"/>
              <w:numPr>
                <w:ilvl w:val="0"/>
                <w:numId w:val="35"/>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Availability of fire extinguishers and other appropriate emergency response equipment (fire extinguishers, eyewash, and first aid kits)</w:t>
            </w:r>
          </w:p>
          <w:p w14:paraId="11F97F0A" w14:textId="77777777" w:rsidR="009826D6" w:rsidRPr="009826D6" w:rsidRDefault="009826D6" w:rsidP="009826D6">
            <w:pPr>
              <w:numPr>
                <w:ilvl w:val="0"/>
                <w:numId w:val="40"/>
              </w:numPr>
              <w:tabs>
                <w:tab w:val="left" w:pos="426"/>
              </w:tabs>
              <w:ind w:left="330"/>
              <w:contextualSpacing/>
              <w:rPr>
                <w:rFonts w:ascii="Arial" w:hAnsi="Arial" w:cs="Arial"/>
                <w:bCs/>
                <w:sz w:val="20"/>
                <w:szCs w:val="20"/>
              </w:rPr>
            </w:pPr>
            <w:r w:rsidRPr="009826D6">
              <w:rPr>
                <w:rFonts w:ascii="Arial" w:hAnsi="Arial" w:cs="Arial"/>
                <w:sz w:val="20"/>
                <w:szCs w:val="20"/>
                <w:lang w:val="en-US"/>
              </w:rPr>
              <w:t>• Availability of fences, emergency exits, and evacuation routes (in accordance with the storage and emergency response SOPs)</w:t>
            </w:r>
          </w:p>
        </w:tc>
        <w:tc>
          <w:tcPr>
            <w:tcW w:w="1252" w:type="dxa"/>
          </w:tcPr>
          <w:p w14:paraId="2B8B64A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1DA0E8C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68,42</w:t>
            </w:r>
            <w:r w:rsidRPr="009826D6">
              <w:rPr>
                <w:rFonts w:ascii="Arial" w:hAnsi="Arial" w:cs="Arial"/>
                <w:color w:val="000000"/>
                <w:sz w:val="20"/>
                <w:szCs w:val="20"/>
                <w:lang w:val="en-US"/>
              </w:rPr>
              <w:t>%</w:t>
            </w:r>
          </w:p>
        </w:tc>
        <w:tc>
          <w:tcPr>
            <w:tcW w:w="1128" w:type="dxa"/>
          </w:tcPr>
          <w:p w14:paraId="410E13A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10DBBB39" w14:textId="77777777" w:rsidTr="009826D6">
        <w:tc>
          <w:tcPr>
            <w:tcW w:w="560" w:type="dxa"/>
          </w:tcPr>
          <w:p w14:paraId="341E1525"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5</w:t>
            </w:r>
          </w:p>
        </w:tc>
        <w:tc>
          <w:tcPr>
            <w:tcW w:w="4260" w:type="dxa"/>
          </w:tcPr>
          <w:p w14:paraId="011DF0C8"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LB3 Handover</w:t>
            </w:r>
          </w:p>
          <w:p w14:paraId="74AACEF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MoU/Contract (Licensed Transporter)</w:t>
            </w:r>
          </w:p>
          <w:p w14:paraId="57D1ECC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a. LB3 Manifest:</w:t>
            </w:r>
          </w:p>
          <w:p w14:paraId="2B75BC5A"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A manifest code is provided to each healthcare facility.</w:t>
            </w:r>
          </w:p>
          <w:p w14:paraId="5EC7A0A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LB3 storage method during transport:</w:t>
            </w:r>
          </w:p>
          <w:p w14:paraId="2B6B56AD"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a secure closure to prevent spills.</w:t>
            </w:r>
          </w:p>
          <w:p w14:paraId="4FE8F82C"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be free from damage, leaks, or rust.</w:t>
            </w:r>
          </w:p>
          <w:p w14:paraId="37859B35"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symbols and labels that reflect the characteristics of the LB3.</w:t>
            </w:r>
          </w:p>
          <w:p w14:paraId="1BA01753"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Transportation:</w:t>
            </w:r>
          </w:p>
          <w:p w14:paraId="67AB812C"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lastRenderedPageBreak/>
              <w:t>Transportation must be carried out using motorized vehicles with four or more wheels, or three wheels that have obtained a permit for solid medical hazardous waste management for LB3 transportation activities.</w:t>
            </w:r>
          </w:p>
          <w:p w14:paraId="398773C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Use the LB3 symbol.</w:t>
            </w:r>
          </w:p>
          <w:p w14:paraId="1C70E692"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Equipped with an LB3 manifest</w:t>
            </w:r>
          </w:p>
        </w:tc>
        <w:tc>
          <w:tcPr>
            <w:tcW w:w="1252" w:type="dxa"/>
          </w:tcPr>
          <w:p w14:paraId="324A23A4"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lastRenderedPageBreak/>
              <w:t>15,79</w:t>
            </w:r>
            <w:r w:rsidRPr="009826D6">
              <w:rPr>
                <w:rFonts w:ascii="Arial" w:hAnsi="Arial" w:cs="Arial"/>
                <w:color w:val="000000"/>
                <w:sz w:val="20"/>
                <w:szCs w:val="20"/>
                <w:lang w:val="en-US"/>
              </w:rPr>
              <w:t>%</w:t>
            </w:r>
          </w:p>
        </w:tc>
        <w:tc>
          <w:tcPr>
            <w:tcW w:w="1096" w:type="dxa"/>
          </w:tcPr>
          <w:p w14:paraId="614611A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73,68</w:t>
            </w:r>
            <w:r w:rsidRPr="009826D6">
              <w:rPr>
                <w:rFonts w:ascii="Arial" w:hAnsi="Arial" w:cs="Arial"/>
                <w:color w:val="000000"/>
                <w:sz w:val="20"/>
                <w:szCs w:val="20"/>
                <w:lang w:val="en-US"/>
              </w:rPr>
              <w:t>%</w:t>
            </w:r>
          </w:p>
        </w:tc>
        <w:tc>
          <w:tcPr>
            <w:tcW w:w="1128" w:type="dxa"/>
          </w:tcPr>
          <w:p w14:paraId="58214EE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25E6E974" w14:textId="77777777" w:rsidTr="009826D6">
        <w:tc>
          <w:tcPr>
            <w:tcW w:w="4820" w:type="dxa"/>
            <w:gridSpan w:val="2"/>
            <w:tcBorders>
              <w:top w:val="single" w:sz="4" w:space="0" w:color="auto"/>
              <w:bottom w:val="single" w:sz="4" w:space="0" w:color="auto"/>
            </w:tcBorders>
          </w:tcPr>
          <w:p w14:paraId="58AA36FF" w14:textId="77777777" w:rsidR="009826D6" w:rsidRPr="009826D6" w:rsidRDefault="009826D6" w:rsidP="004A6CAF">
            <w:pPr>
              <w:tabs>
                <w:tab w:val="left" w:pos="426"/>
              </w:tabs>
              <w:jc w:val="center"/>
              <w:rPr>
                <w:rFonts w:ascii="Arial" w:hAnsi="Arial" w:cs="Arial"/>
                <w:b/>
                <w:bCs/>
                <w:sz w:val="20"/>
                <w:szCs w:val="20"/>
                <w:lang w:val="en-US"/>
              </w:rPr>
            </w:pPr>
            <w:r w:rsidRPr="009826D6">
              <w:rPr>
                <w:rFonts w:ascii="Arial" w:hAnsi="Arial" w:cs="Arial"/>
                <w:b/>
                <w:bCs/>
                <w:sz w:val="20"/>
                <w:szCs w:val="20"/>
                <w:lang w:val="en-US"/>
              </w:rPr>
              <w:t>Total</w:t>
            </w:r>
          </w:p>
        </w:tc>
        <w:tc>
          <w:tcPr>
            <w:tcW w:w="3476" w:type="dxa"/>
            <w:gridSpan w:val="3"/>
            <w:tcBorders>
              <w:top w:val="single" w:sz="4" w:space="0" w:color="auto"/>
              <w:bottom w:val="single" w:sz="4" w:space="0" w:color="auto"/>
            </w:tcBorders>
          </w:tcPr>
          <w:p w14:paraId="150CC4CF"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65,26 % (Less Suitable)</w:t>
            </w:r>
          </w:p>
        </w:tc>
      </w:tr>
    </w:tbl>
    <w:p w14:paraId="2696E015" w14:textId="77777777" w:rsidR="009826D6" w:rsidRPr="009826D6" w:rsidRDefault="009826D6" w:rsidP="009826D6">
      <w:pPr>
        <w:spacing w:line="259" w:lineRule="auto"/>
        <w:rPr>
          <w:rFonts w:ascii="Arial" w:hAnsi="Arial" w:cs="Arial"/>
          <w:iCs/>
          <w:color w:val="000000"/>
          <w:lang w:val="en-GB"/>
        </w:rPr>
      </w:pPr>
    </w:p>
    <w:p w14:paraId="051F5069" w14:textId="77777777" w:rsidR="009826D6" w:rsidRPr="009826D6" w:rsidRDefault="009826D6" w:rsidP="009826D6">
      <w:pPr>
        <w:spacing w:line="259" w:lineRule="auto"/>
        <w:jc w:val="both"/>
        <w:rPr>
          <w:rFonts w:ascii="Arial" w:hAnsi="Arial" w:cs="Arial"/>
        </w:rPr>
      </w:pPr>
      <w:r w:rsidRPr="009826D6">
        <w:rPr>
          <w:rFonts w:ascii="Arial" w:hAnsi="Arial" w:cs="Arial"/>
        </w:rPr>
        <w:t xml:space="preserve">A study conducted with 15 medical personnel and four UKL officers conducted a technical evaluation of the operational management of solid medical hazardous waste at Sultan </w:t>
      </w:r>
      <w:proofErr w:type="spellStart"/>
      <w:r w:rsidRPr="009826D6">
        <w:rPr>
          <w:rFonts w:ascii="Arial" w:hAnsi="Arial" w:cs="Arial"/>
        </w:rPr>
        <w:t>Suriansyah</w:t>
      </w:r>
      <w:proofErr w:type="spellEnd"/>
      <w:r w:rsidRPr="009826D6">
        <w:rPr>
          <w:rFonts w:ascii="Arial" w:hAnsi="Arial" w:cs="Arial"/>
        </w:rPr>
        <w:t xml:space="preserve"> Hospital, indicating that the management implementation remains in the Less Suitable category, with a total score of 65.26%. The study found that most parameters did not fully meet the technical and administrative standards stipulated in regulations, particularly in terms of waste sorting, containerization, storage, monitoring, and transfer. The evaluation of solid medical hazardous waste management poses a high risk to the health of hospital personnel, patients, the public, and the environment if not managed properly.</w:t>
      </w:r>
    </w:p>
    <w:p w14:paraId="1D5C8A43" w14:textId="77777777" w:rsidR="009826D6" w:rsidRPr="009826D6" w:rsidRDefault="009826D6" w:rsidP="009826D6">
      <w:pPr>
        <w:spacing w:line="259" w:lineRule="auto"/>
        <w:jc w:val="both"/>
        <w:rPr>
          <w:rFonts w:ascii="Arial" w:hAnsi="Arial" w:cs="Arial"/>
        </w:rPr>
      </w:pPr>
      <w:r w:rsidRPr="009826D6">
        <w:rPr>
          <w:rFonts w:ascii="Arial" w:hAnsi="Arial" w:cs="Arial"/>
        </w:rPr>
        <w:t>Regarding the reduction and sorting of solid medical hazardous waste, the majority of respondents stated that implementation is still suboptimal. 57.89% rated this practice as Less Suitable, while 15.79% rated it as Suitable. However, the Unsuitable score indicates that efforts to minimize the use of hazardous materials and separate waste based on its characteristics have not been implemented consistently. Sorting is the initial stage that determines the effectiveness of subsequent waste management, including containerization, storage, and transportation.</w:t>
      </w:r>
    </w:p>
    <w:p w14:paraId="0230F613" w14:textId="77777777" w:rsidR="009826D6" w:rsidRPr="009826D6" w:rsidRDefault="009826D6" w:rsidP="009826D6">
      <w:pPr>
        <w:spacing w:line="259" w:lineRule="auto"/>
        <w:jc w:val="both"/>
        <w:rPr>
          <w:rFonts w:ascii="Arial" w:hAnsi="Arial" w:cs="Arial"/>
        </w:rPr>
      </w:pPr>
      <w:r w:rsidRPr="009826D6">
        <w:rPr>
          <w:rFonts w:ascii="Arial" w:hAnsi="Arial" w:cs="Arial"/>
        </w:rPr>
        <w:t>The containerization of solid medical hazardous waste (B3) showed slightly better conditions than sorting, but was still dominated by the Less Suitable category (42.11%). 31.58% of respondents assessed that the container met Suitable standards, such as leak-proof containers, lids, and coated with standard-colored Suitable plastic. The high percentage of Not Suitable (26.32%) indicates that some service units are inconsistently using Suitable containers for waste types. This situation poses potential risks of spills, cross-contamination, and exposure for staff.</w:t>
      </w:r>
    </w:p>
    <w:p w14:paraId="2B5CE030" w14:textId="77777777" w:rsidR="009826D6" w:rsidRPr="009826D6" w:rsidRDefault="009826D6" w:rsidP="009826D6">
      <w:pPr>
        <w:spacing w:line="259" w:lineRule="auto"/>
        <w:jc w:val="both"/>
        <w:rPr>
          <w:rFonts w:ascii="Arial" w:hAnsi="Arial" w:cs="Arial"/>
        </w:rPr>
      </w:pPr>
      <w:r w:rsidRPr="009826D6">
        <w:rPr>
          <w:rFonts w:ascii="Arial" w:hAnsi="Arial" w:cs="Arial"/>
        </w:rPr>
        <w:t>Packaging parameters, symbols, and labels received the highest rating in the Less Suitable category, at 63.16%. This indicates that most waste packaging does not meet standards such as the use of strong, rust-resistant, waterproof packaging, and proper labeling. The use of safety boxes for sharps waste is also not uniform across all service units. Unsuitable conditions at this stage can complicate the waste identification process, increase the risk of staff injury, and complicate waste auditing and reporting.</w:t>
      </w:r>
    </w:p>
    <w:p w14:paraId="25116E81" w14:textId="77777777" w:rsidR="009826D6" w:rsidRPr="009826D6" w:rsidRDefault="009826D6" w:rsidP="009826D6">
      <w:pPr>
        <w:spacing w:line="259" w:lineRule="auto"/>
        <w:jc w:val="both"/>
        <w:rPr>
          <w:rFonts w:ascii="Arial" w:hAnsi="Arial" w:cs="Arial"/>
        </w:rPr>
      </w:pPr>
      <w:r w:rsidRPr="009826D6">
        <w:rPr>
          <w:rFonts w:ascii="Arial" w:hAnsi="Arial" w:cs="Arial"/>
        </w:rPr>
        <w:t>Regarding the storage facilities at the hazardous waste disposal site, the evaluation results also showed a high level of unsuitability, with 73.68% of respondents assessing the facility conditions as Less Suitable. Requirements such as complete ventilation, exhaust fans, a tight drainage system, water sources for cleaning, and site security have not been fully met. An ideal waste disposal site should be in an area safe from flooding, easily accessible, and protected from external factors that can cause work accidents. Waste disposal sites that do not meet these requirements can pose a risk of pollution and danger to waste management officers.</w:t>
      </w:r>
    </w:p>
    <w:p w14:paraId="28C905E9" w14:textId="77777777" w:rsidR="009826D6" w:rsidRPr="009826D6" w:rsidRDefault="009826D6" w:rsidP="009826D6">
      <w:pPr>
        <w:spacing w:line="259" w:lineRule="auto"/>
        <w:jc w:val="both"/>
        <w:rPr>
          <w:rFonts w:ascii="Arial" w:hAnsi="Arial" w:cs="Arial"/>
        </w:rPr>
      </w:pPr>
      <w:r w:rsidRPr="009826D6">
        <w:rPr>
          <w:rFonts w:ascii="Arial" w:hAnsi="Arial" w:cs="Arial"/>
        </w:rPr>
        <w:t>The storage time for solid medical hazardous waste also received a Less Suitable rating, with 57.89%. 21.05% of respondents considered its implementation to be Suitable. However, many service units still do not implement the regulatory Suitable storage time limit, particularly for infectious waste, which can only be stored for two days at temperatures above 0°C. Inaccurate storage times increase the risk of waste odor, increase the number of pathogenic microorganisms, and potentially pollute the environment.</w:t>
      </w:r>
    </w:p>
    <w:p w14:paraId="42F47437" w14:textId="77777777" w:rsidR="009826D6" w:rsidRPr="009826D6" w:rsidRDefault="009826D6" w:rsidP="009826D6">
      <w:pPr>
        <w:spacing w:line="259" w:lineRule="auto"/>
        <w:jc w:val="both"/>
        <w:rPr>
          <w:rFonts w:ascii="Arial" w:hAnsi="Arial" w:cs="Arial"/>
        </w:rPr>
      </w:pPr>
      <w:r w:rsidRPr="009826D6">
        <w:rPr>
          <w:rFonts w:ascii="Arial" w:hAnsi="Arial" w:cs="Arial"/>
        </w:rPr>
        <w:t>Monitoring of the Hazardous Waste Disposal Site (TPS) is also an aspect requiring attention, with 63.16% of respondents rating its implementation as Less Suitable. Regular monitoring of waste volume, storage conditions, potential pollution, and third-party performance has not been carried out optimally. Monitoring is crucial for early detection of potential problems and ensuring that the entire waste management process follows Suitable procedures.</w:t>
      </w:r>
    </w:p>
    <w:p w14:paraId="371B4124" w14:textId="77777777" w:rsidR="009826D6" w:rsidRPr="009826D6" w:rsidRDefault="009826D6" w:rsidP="009826D6">
      <w:pPr>
        <w:spacing w:line="259" w:lineRule="auto"/>
        <w:jc w:val="both"/>
        <w:rPr>
          <w:rFonts w:ascii="Arial" w:hAnsi="Arial" w:cs="Arial"/>
        </w:rPr>
      </w:pPr>
      <w:r w:rsidRPr="009826D6">
        <w:rPr>
          <w:rFonts w:ascii="Arial" w:hAnsi="Arial" w:cs="Arial"/>
        </w:rPr>
        <w:t>The Hazardous Waste Balance aspect showed more varied results, with 26.32% of respondents stating it was Suitable, but more than half (52.63%) considered it Less Suitable. Recording the amount of waste generated, collected, and handed over to third parties is a crucial administrative process to ensure transparency and accountability in management. Inadequacy in this aspect can lead to inaccurate data and complicate reporting to relevant agencies.</w:t>
      </w:r>
    </w:p>
    <w:p w14:paraId="2B9ECFC8" w14:textId="77777777" w:rsidR="009826D6" w:rsidRPr="009826D6" w:rsidRDefault="009826D6" w:rsidP="009826D6">
      <w:pPr>
        <w:spacing w:line="259" w:lineRule="auto"/>
        <w:jc w:val="both"/>
        <w:rPr>
          <w:rFonts w:ascii="Arial" w:hAnsi="Arial" w:cs="Arial"/>
        </w:rPr>
      </w:pPr>
      <w:r w:rsidRPr="009826D6">
        <w:rPr>
          <w:rFonts w:ascii="Arial" w:hAnsi="Arial" w:cs="Arial"/>
        </w:rPr>
        <w:t xml:space="preserve">The recording and reporting of hazardous and toxic waste was one of the parameters with the highest level of unsuitability, at 78.95%. This indicates that hospitals have not consistently recorded the type and quantity of waste, the identity of the waste handler, and the preparation of periodic reports in accordance with the Ministry of Environment and Forestry's </w:t>
      </w:r>
      <w:r w:rsidRPr="009826D6">
        <w:rPr>
          <w:rFonts w:ascii="Arial" w:hAnsi="Arial" w:cs="Arial"/>
        </w:rPr>
        <w:lastRenderedPageBreak/>
        <w:t>regulations. These reports are crucial for assessing the effectiveness of waste management and serve as the basis for guidance from environmental agencies. Low compliance in this aspect can also impact legal compliance and potential administrative sanctions.</w:t>
      </w:r>
    </w:p>
    <w:p w14:paraId="0695ECFF" w14:textId="52C1D78B" w:rsidR="009826D6" w:rsidRPr="009826D6" w:rsidRDefault="009826D6" w:rsidP="009826D6">
      <w:pPr>
        <w:spacing w:line="259" w:lineRule="auto"/>
        <w:jc w:val="both"/>
        <w:rPr>
          <w:rFonts w:ascii="Arial" w:hAnsi="Arial" w:cs="Arial"/>
        </w:rPr>
      </w:pPr>
      <w:r w:rsidRPr="009826D6">
        <w:rPr>
          <w:rFonts w:ascii="Arial" w:hAnsi="Arial" w:cs="Arial"/>
        </w:rPr>
        <w:t xml:space="preserve">Regarding the handover of hazardous and toxic waste to third parties, including aspects such as the MoU, manifest, storage during transportation, and the suitability of the vehicle, the majority of respondents (73.68%) rated it Less Suitable. This indicates that hospitals need to improve coordination with licensed waste transporters and ensure all technical and administrative requirements are met. Unsuitability at this stage can impact safety during transportation and the integrity of data in the waste manifest. Overall, the evaluation results demonstrate the need for comprehensive improvements in both technical and administrative aspects to ensure that the management of solid medical hazardous waste at Sultan </w:t>
      </w:r>
      <w:proofErr w:type="spellStart"/>
      <w:r w:rsidRPr="009826D6">
        <w:rPr>
          <w:rFonts w:ascii="Arial" w:hAnsi="Arial" w:cs="Arial"/>
        </w:rPr>
        <w:t>Suriansyah</w:t>
      </w:r>
      <w:proofErr w:type="spellEnd"/>
      <w:r w:rsidRPr="009826D6">
        <w:rPr>
          <w:rFonts w:ascii="Arial" w:hAnsi="Arial" w:cs="Arial"/>
        </w:rPr>
        <w:t xml:space="preserve"> Hospital meets regulations and is safe for both the environment and staff.</w:t>
      </w:r>
    </w:p>
    <w:p w14:paraId="40B1B519" w14:textId="77777777" w:rsidR="009826D6" w:rsidRPr="009826D6" w:rsidRDefault="009826D6" w:rsidP="009826D6">
      <w:pPr>
        <w:spacing w:line="259" w:lineRule="auto"/>
        <w:ind w:firstLine="709"/>
        <w:jc w:val="both"/>
        <w:rPr>
          <w:rFonts w:ascii="Arial" w:hAnsi="Arial" w:cs="Arial"/>
        </w:rPr>
      </w:pPr>
    </w:p>
    <w:p w14:paraId="7C7D5E57" w14:textId="77777777" w:rsidR="009826D6" w:rsidRPr="009826D6" w:rsidRDefault="009826D6" w:rsidP="009826D6">
      <w:pPr>
        <w:spacing w:line="259" w:lineRule="auto"/>
        <w:jc w:val="both"/>
        <w:rPr>
          <w:rFonts w:ascii="Arial" w:hAnsi="Arial" w:cs="Arial"/>
          <w:b/>
          <w:bCs/>
          <w:iCs/>
          <w:lang w:val="en-GB"/>
        </w:rPr>
      </w:pPr>
      <w:r w:rsidRPr="009826D6">
        <w:rPr>
          <w:rFonts w:ascii="Arial" w:hAnsi="Arial" w:cs="Arial"/>
          <w:b/>
          <w:bCs/>
          <w:iCs/>
          <w:lang w:val="en-GB"/>
        </w:rPr>
        <w:t xml:space="preserve">2. </w:t>
      </w:r>
      <w:proofErr w:type="spellStart"/>
      <w:r w:rsidRPr="009826D6">
        <w:rPr>
          <w:rFonts w:ascii="Arial" w:hAnsi="Arial" w:cs="Arial"/>
          <w:b/>
          <w:bCs/>
          <w:iCs/>
          <w:lang w:val="en-GB"/>
        </w:rPr>
        <w:t>Suaka</w:t>
      </w:r>
      <w:proofErr w:type="spellEnd"/>
      <w:r w:rsidRPr="009826D6">
        <w:rPr>
          <w:rFonts w:ascii="Arial" w:hAnsi="Arial" w:cs="Arial"/>
          <w:b/>
          <w:bCs/>
          <w:iCs/>
          <w:lang w:val="en-GB"/>
        </w:rPr>
        <w:t xml:space="preserve"> </w:t>
      </w:r>
      <w:proofErr w:type="spellStart"/>
      <w:r w:rsidRPr="009826D6">
        <w:rPr>
          <w:rFonts w:ascii="Arial" w:hAnsi="Arial" w:cs="Arial"/>
          <w:b/>
          <w:bCs/>
          <w:iCs/>
          <w:lang w:val="en-GB"/>
        </w:rPr>
        <w:t>Insan</w:t>
      </w:r>
      <w:proofErr w:type="spellEnd"/>
      <w:r w:rsidRPr="009826D6">
        <w:rPr>
          <w:rFonts w:ascii="Arial" w:hAnsi="Arial" w:cs="Arial"/>
          <w:b/>
          <w:bCs/>
          <w:iCs/>
          <w:lang w:val="en-GB"/>
        </w:rPr>
        <w:t xml:space="preserve"> Hospital</w:t>
      </w:r>
    </w:p>
    <w:p w14:paraId="70991CC6" w14:textId="77777777" w:rsidR="009826D6" w:rsidRDefault="009826D6" w:rsidP="009826D6">
      <w:pPr>
        <w:spacing w:line="259" w:lineRule="auto"/>
        <w:jc w:val="both"/>
        <w:rPr>
          <w:rFonts w:ascii="Arial" w:hAnsi="Arial" w:cs="Arial"/>
        </w:rPr>
      </w:pPr>
      <w:r w:rsidRPr="009826D6">
        <w:rPr>
          <w:rFonts w:ascii="Arial" w:hAnsi="Arial" w:cs="Arial"/>
        </w:rPr>
        <w:t xml:space="preserve">The results of the technical and operational evaluation of solid medical waste management for Hazardous and Toxic Materials (B3) at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The results of the study, involving 14 medical personnel and 3 environmental health unit officers, are presented as follows:</w:t>
      </w:r>
    </w:p>
    <w:p w14:paraId="3CF1CACC" w14:textId="77777777" w:rsidR="009826D6" w:rsidRPr="00283882" w:rsidRDefault="009826D6" w:rsidP="009826D6">
      <w:pPr>
        <w:spacing w:line="259" w:lineRule="auto"/>
        <w:rPr>
          <w:szCs w:val="24"/>
        </w:rPr>
      </w:pPr>
    </w:p>
    <w:p w14:paraId="22FDB91F" w14:textId="77777777" w:rsidR="009826D6" w:rsidRDefault="009826D6" w:rsidP="009826D6">
      <w:pPr>
        <w:spacing w:line="259" w:lineRule="auto"/>
        <w:rPr>
          <w:szCs w:val="24"/>
        </w:rPr>
      </w:pPr>
      <w:r w:rsidRPr="00283882">
        <w:rPr>
          <w:szCs w:val="24"/>
        </w:rPr>
        <w:t xml:space="preserve">Table 2. Management of Solid Medical Waste at </w:t>
      </w:r>
      <w:proofErr w:type="spellStart"/>
      <w:r w:rsidRPr="00283882">
        <w:rPr>
          <w:szCs w:val="24"/>
        </w:rPr>
        <w:t>Suaka</w:t>
      </w:r>
      <w:proofErr w:type="spellEnd"/>
      <w:r w:rsidRPr="00283882">
        <w:rPr>
          <w:szCs w:val="24"/>
        </w:rPr>
        <w:t xml:space="preserve"> </w:t>
      </w:r>
      <w:proofErr w:type="spellStart"/>
      <w:r w:rsidRPr="00283882">
        <w:rPr>
          <w:szCs w:val="24"/>
        </w:rPr>
        <w:t>Insan</w:t>
      </w:r>
      <w:proofErr w:type="spellEnd"/>
      <w:r w:rsidRPr="00283882">
        <w:rPr>
          <w:szCs w:val="24"/>
        </w:rPr>
        <w:t xml:space="preserve"> Hospital</w:t>
      </w:r>
    </w:p>
    <w:tbl>
      <w:tblPr>
        <w:tblStyle w:val="TableGrid2"/>
        <w:tblW w:w="81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977"/>
        <w:gridCol w:w="1248"/>
        <w:gridCol w:w="1137"/>
        <w:gridCol w:w="1217"/>
      </w:tblGrid>
      <w:tr w:rsidR="009826D6" w:rsidRPr="009826D6" w14:paraId="6B69E077" w14:textId="77777777" w:rsidTr="009826D6">
        <w:trPr>
          <w:tblHeader/>
        </w:trPr>
        <w:tc>
          <w:tcPr>
            <w:tcW w:w="559" w:type="dxa"/>
            <w:tcBorders>
              <w:top w:val="single" w:sz="4" w:space="0" w:color="auto"/>
              <w:bottom w:val="single" w:sz="4" w:space="0" w:color="auto"/>
            </w:tcBorders>
            <w:shd w:val="clear" w:color="auto" w:fill="DBE5F1"/>
            <w:vAlign w:val="center"/>
          </w:tcPr>
          <w:p w14:paraId="7AB398E6" w14:textId="77777777" w:rsidR="009826D6" w:rsidRPr="009826D6" w:rsidRDefault="009826D6" w:rsidP="004A6CAF">
            <w:pPr>
              <w:tabs>
                <w:tab w:val="left" w:pos="426"/>
              </w:tabs>
              <w:jc w:val="center"/>
              <w:rPr>
                <w:rFonts w:ascii="Arial" w:hAnsi="Arial" w:cs="Arial"/>
                <w:b/>
                <w:sz w:val="20"/>
                <w:szCs w:val="20"/>
              </w:rPr>
            </w:pPr>
            <w:r w:rsidRPr="009826D6">
              <w:rPr>
                <w:rFonts w:ascii="Arial" w:hAnsi="Arial" w:cs="Arial"/>
                <w:b/>
                <w:sz w:val="20"/>
                <w:szCs w:val="20"/>
              </w:rPr>
              <w:t>No</w:t>
            </w:r>
          </w:p>
        </w:tc>
        <w:tc>
          <w:tcPr>
            <w:tcW w:w="3977" w:type="dxa"/>
            <w:tcBorders>
              <w:top w:val="single" w:sz="4" w:space="0" w:color="auto"/>
              <w:bottom w:val="single" w:sz="4" w:space="0" w:color="auto"/>
            </w:tcBorders>
            <w:shd w:val="clear" w:color="auto" w:fill="DBE5F1"/>
            <w:vAlign w:val="center"/>
          </w:tcPr>
          <w:p w14:paraId="56FDAA10"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Technical Evaluation of Operational Management</w:t>
            </w:r>
          </w:p>
        </w:tc>
        <w:tc>
          <w:tcPr>
            <w:tcW w:w="1248" w:type="dxa"/>
            <w:tcBorders>
              <w:top w:val="single" w:sz="4" w:space="0" w:color="auto"/>
              <w:bottom w:val="single" w:sz="4" w:space="0" w:color="auto"/>
            </w:tcBorders>
            <w:shd w:val="clear" w:color="auto" w:fill="DBE5F1"/>
            <w:vAlign w:val="center"/>
          </w:tcPr>
          <w:p w14:paraId="5C72010D"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1</w:t>
            </w:r>
          </w:p>
          <w:p w14:paraId="1C9F3660"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(Not Suitable)</w:t>
            </w:r>
          </w:p>
        </w:tc>
        <w:tc>
          <w:tcPr>
            <w:tcW w:w="1137" w:type="dxa"/>
            <w:tcBorders>
              <w:top w:val="single" w:sz="4" w:space="0" w:color="auto"/>
              <w:bottom w:val="single" w:sz="4" w:space="0" w:color="auto"/>
            </w:tcBorders>
            <w:shd w:val="clear" w:color="auto" w:fill="DBE5F1"/>
            <w:vAlign w:val="center"/>
          </w:tcPr>
          <w:p w14:paraId="22F5D4DF"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2</w:t>
            </w:r>
          </w:p>
          <w:p w14:paraId="4BF43A3D"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(Less Suitable)</w:t>
            </w:r>
          </w:p>
        </w:tc>
        <w:tc>
          <w:tcPr>
            <w:tcW w:w="1217" w:type="dxa"/>
            <w:tcBorders>
              <w:top w:val="single" w:sz="4" w:space="0" w:color="auto"/>
              <w:bottom w:val="single" w:sz="4" w:space="0" w:color="auto"/>
            </w:tcBorders>
            <w:shd w:val="clear" w:color="auto" w:fill="DBE5F1"/>
            <w:vAlign w:val="center"/>
          </w:tcPr>
          <w:p w14:paraId="736B1E15"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3</w:t>
            </w:r>
          </w:p>
          <w:p w14:paraId="6F6E095B"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(Suitable)</w:t>
            </w:r>
          </w:p>
        </w:tc>
      </w:tr>
      <w:tr w:rsidR="009826D6" w:rsidRPr="009826D6" w14:paraId="6CFF06BE" w14:textId="77777777" w:rsidTr="009826D6">
        <w:tc>
          <w:tcPr>
            <w:tcW w:w="559" w:type="dxa"/>
            <w:tcBorders>
              <w:top w:val="single" w:sz="4" w:space="0" w:color="auto"/>
            </w:tcBorders>
          </w:tcPr>
          <w:p w14:paraId="57D53189"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1</w:t>
            </w:r>
          </w:p>
        </w:tc>
        <w:tc>
          <w:tcPr>
            <w:tcW w:w="3977" w:type="dxa"/>
            <w:tcBorders>
              <w:top w:val="single" w:sz="4" w:space="0" w:color="auto"/>
            </w:tcBorders>
          </w:tcPr>
          <w:p w14:paraId="28DA3BCC"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Reduction &amp; Segregation of Hazardous and Toxic Materials:</w:t>
            </w:r>
          </w:p>
          <w:p w14:paraId="5734D195"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Avoid the use of materials containing Hazardous and Toxic Materials if other options are available.</w:t>
            </w:r>
          </w:p>
          <w:p w14:paraId="20591E1E"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Implement good management of any materials that have the potential to cause health problems and/or environmental pollution.</w:t>
            </w:r>
          </w:p>
          <w:p w14:paraId="15E52856"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bCs/>
                <w:color w:val="auto"/>
                <w:sz w:val="20"/>
                <w:szCs w:val="20"/>
              </w:rPr>
            </w:pPr>
            <w:r w:rsidRPr="009826D6">
              <w:rPr>
                <w:rFonts w:ascii="Arial" w:hAnsi="Arial" w:cs="Arial"/>
                <w:color w:val="auto"/>
                <w:sz w:val="20"/>
                <w:szCs w:val="20"/>
                <w:lang w:val="en-US"/>
              </w:rPr>
              <w:t>Separate Hazardous and Toxic Materials based on their type, group, or characteristics.</w:t>
            </w:r>
          </w:p>
        </w:tc>
        <w:tc>
          <w:tcPr>
            <w:tcW w:w="1248" w:type="dxa"/>
            <w:tcBorders>
              <w:top w:val="single" w:sz="4" w:space="0" w:color="auto"/>
            </w:tcBorders>
          </w:tcPr>
          <w:p w14:paraId="13493101"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17,65</w:t>
            </w:r>
            <w:r w:rsidRPr="009826D6">
              <w:rPr>
                <w:rFonts w:ascii="Arial" w:hAnsi="Arial" w:cs="Arial"/>
                <w:sz w:val="20"/>
                <w:szCs w:val="20"/>
                <w:lang w:val="en-US"/>
              </w:rPr>
              <w:t>%</w:t>
            </w:r>
          </w:p>
        </w:tc>
        <w:tc>
          <w:tcPr>
            <w:tcW w:w="1137" w:type="dxa"/>
            <w:tcBorders>
              <w:top w:val="single" w:sz="4" w:space="0" w:color="auto"/>
            </w:tcBorders>
          </w:tcPr>
          <w:p w14:paraId="79E9AAF5"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52,94</w:t>
            </w:r>
            <w:r w:rsidRPr="009826D6">
              <w:rPr>
                <w:rFonts w:ascii="Arial" w:hAnsi="Arial" w:cs="Arial"/>
                <w:sz w:val="20"/>
                <w:szCs w:val="20"/>
                <w:lang w:val="en-US"/>
              </w:rPr>
              <w:t>%</w:t>
            </w:r>
          </w:p>
        </w:tc>
        <w:tc>
          <w:tcPr>
            <w:tcW w:w="1217" w:type="dxa"/>
            <w:tcBorders>
              <w:top w:val="single" w:sz="4" w:space="0" w:color="auto"/>
            </w:tcBorders>
          </w:tcPr>
          <w:p w14:paraId="145070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08141A50" w14:textId="77777777" w:rsidTr="009826D6">
        <w:tc>
          <w:tcPr>
            <w:tcW w:w="559" w:type="dxa"/>
          </w:tcPr>
          <w:p w14:paraId="0EB290D3"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2</w:t>
            </w:r>
          </w:p>
        </w:tc>
        <w:tc>
          <w:tcPr>
            <w:tcW w:w="3977" w:type="dxa"/>
          </w:tcPr>
          <w:p w14:paraId="736AB468"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LB3 Containers:</w:t>
            </w:r>
          </w:p>
          <w:p w14:paraId="5F97FE1A"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a. Contain solid medical hazardous waste according to the solid medical hazardous waste group.</w:t>
            </w:r>
          </w:p>
          <w:p w14:paraId="64FC2341"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not leak easily.</w:t>
            </w:r>
          </w:p>
          <w:p w14:paraId="37E15F76"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have lids.</w:t>
            </w:r>
          </w:p>
          <w:p w14:paraId="5C180C74"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color w:val="auto"/>
                <w:sz w:val="20"/>
                <w:szCs w:val="20"/>
              </w:rPr>
            </w:pPr>
            <w:r w:rsidRPr="009826D6">
              <w:rPr>
                <w:rFonts w:ascii="Arial" w:hAnsi="Arial" w:cs="Arial"/>
                <w:bCs/>
                <w:color w:val="auto"/>
                <w:sz w:val="20"/>
                <w:szCs w:val="20"/>
                <w:lang w:val="en-US"/>
              </w:rPr>
              <w:t>Containers for solid medical hazardous waste must be lined with plastic of the appropriate color.</w:t>
            </w:r>
          </w:p>
        </w:tc>
        <w:tc>
          <w:tcPr>
            <w:tcW w:w="1248" w:type="dxa"/>
          </w:tcPr>
          <w:p w14:paraId="21A2AF22"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17,65</w:t>
            </w:r>
            <w:r w:rsidRPr="009826D6">
              <w:rPr>
                <w:rFonts w:ascii="Arial" w:hAnsi="Arial" w:cs="Arial"/>
                <w:sz w:val="20"/>
                <w:szCs w:val="20"/>
                <w:lang w:val="en-US"/>
              </w:rPr>
              <w:t>%</w:t>
            </w:r>
          </w:p>
        </w:tc>
        <w:tc>
          <w:tcPr>
            <w:tcW w:w="1137" w:type="dxa"/>
          </w:tcPr>
          <w:p w14:paraId="792581E4"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2EF5002A"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723494A5" w14:textId="77777777" w:rsidTr="009826D6">
        <w:tc>
          <w:tcPr>
            <w:tcW w:w="559" w:type="dxa"/>
          </w:tcPr>
          <w:p w14:paraId="06421461"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3</w:t>
            </w:r>
          </w:p>
        </w:tc>
        <w:tc>
          <w:tcPr>
            <w:tcW w:w="3977" w:type="dxa"/>
          </w:tcPr>
          <w:p w14:paraId="30149240" w14:textId="77777777" w:rsidR="009826D6" w:rsidRPr="009826D6" w:rsidRDefault="009826D6" w:rsidP="004A6CAF">
            <w:pPr>
              <w:tabs>
                <w:tab w:val="left" w:pos="426"/>
              </w:tabs>
              <w:ind w:left="188" w:hanging="142"/>
              <w:rPr>
                <w:rFonts w:ascii="Arial" w:hAnsi="Arial" w:cs="Arial"/>
                <w:sz w:val="20"/>
                <w:szCs w:val="20"/>
                <w:lang w:val="en-US"/>
              </w:rPr>
            </w:pPr>
            <w:r w:rsidRPr="009826D6">
              <w:rPr>
                <w:rFonts w:ascii="Arial" w:hAnsi="Arial" w:cs="Arial"/>
                <w:sz w:val="20"/>
                <w:szCs w:val="20"/>
                <w:lang w:val="en-US"/>
              </w:rPr>
              <w:t>LB3 Packaging, Symbols, and Labels:</w:t>
            </w:r>
          </w:p>
          <w:p w14:paraId="203B5FE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is packaged using solid medical hazardous waste packaging according to the solid medical hazardous waste group, with each packaging color corresponding to the waste's characteristics.</w:t>
            </w:r>
          </w:p>
          <w:p w14:paraId="20DA81FA"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Symbols and labels for solid medical hazardous waste are provided on each waste package according to the characteristics of the solid medical hazardous waste.</w:t>
            </w:r>
          </w:p>
          <w:p w14:paraId="79B9069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packaging is strong, rust-resistant, waterproof, and sealed.</w:t>
            </w:r>
          </w:p>
          <w:p w14:paraId="4A3FE172" w14:textId="77777777" w:rsidR="009826D6" w:rsidRPr="009826D6" w:rsidRDefault="009826D6" w:rsidP="009826D6">
            <w:pPr>
              <w:pStyle w:val="ListParagraph"/>
              <w:numPr>
                <w:ilvl w:val="0"/>
                <w:numId w:val="31"/>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lastRenderedPageBreak/>
              <w:t>Sharps waste packaging is in the form of a safety box or other packaging that is not susceptible to sharp objects and is safe for waste sorting personnel.</w:t>
            </w:r>
          </w:p>
          <w:p w14:paraId="0FB8AA9C"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rPr>
            </w:pPr>
            <w:r w:rsidRPr="009826D6">
              <w:rPr>
                <w:rFonts w:ascii="Arial" w:hAnsi="Arial" w:cs="Arial"/>
                <w:sz w:val="20"/>
                <w:szCs w:val="20"/>
                <w:lang w:val="en-US"/>
              </w:rPr>
              <w:t>Packaging is made of single-use plastic, and the color of the plastic corresponds to the type of waste contained within.</w:t>
            </w:r>
          </w:p>
        </w:tc>
        <w:tc>
          <w:tcPr>
            <w:tcW w:w="1248" w:type="dxa"/>
          </w:tcPr>
          <w:p w14:paraId="3A75CE2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5471AF5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64,71</w:t>
            </w:r>
            <w:r w:rsidRPr="009826D6">
              <w:rPr>
                <w:rFonts w:ascii="Arial" w:hAnsi="Arial" w:cs="Arial"/>
                <w:sz w:val="20"/>
                <w:szCs w:val="20"/>
                <w:lang w:val="en-US"/>
              </w:rPr>
              <w:t>%</w:t>
            </w:r>
          </w:p>
        </w:tc>
        <w:tc>
          <w:tcPr>
            <w:tcW w:w="1217" w:type="dxa"/>
          </w:tcPr>
          <w:p w14:paraId="285F7C69"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051CF3D7" w14:textId="77777777" w:rsidTr="009826D6">
        <w:tc>
          <w:tcPr>
            <w:tcW w:w="559" w:type="dxa"/>
          </w:tcPr>
          <w:p w14:paraId="6637693D"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4</w:t>
            </w:r>
          </w:p>
        </w:tc>
        <w:tc>
          <w:tcPr>
            <w:tcW w:w="3977" w:type="dxa"/>
          </w:tcPr>
          <w:p w14:paraId="76CD2731" w14:textId="77777777" w:rsidR="009826D6" w:rsidRPr="009826D6" w:rsidRDefault="009826D6" w:rsidP="004A6CAF">
            <w:pPr>
              <w:pStyle w:val="ListParagraph"/>
              <w:tabs>
                <w:tab w:val="left" w:pos="426"/>
              </w:tabs>
              <w:spacing w:after="0" w:line="240" w:lineRule="auto"/>
              <w:ind w:left="188" w:right="0" w:firstLine="0"/>
              <w:jc w:val="left"/>
              <w:rPr>
                <w:rFonts w:ascii="Arial" w:hAnsi="Arial" w:cs="Arial"/>
                <w:color w:val="auto"/>
                <w:sz w:val="20"/>
                <w:szCs w:val="20"/>
                <w:lang w:val="en-US"/>
              </w:rPr>
            </w:pPr>
            <w:r w:rsidRPr="009826D6">
              <w:rPr>
                <w:rFonts w:ascii="Arial" w:hAnsi="Arial" w:cs="Arial"/>
                <w:color w:val="auto"/>
                <w:sz w:val="20"/>
                <w:szCs w:val="20"/>
                <w:lang w:val="en-US"/>
              </w:rPr>
              <w:t>Storage</w:t>
            </w:r>
          </w:p>
          <w:p w14:paraId="3765816E" w14:textId="77777777" w:rsidR="009826D6" w:rsidRPr="009826D6" w:rsidRDefault="009826D6" w:rsidP="009826D6">
            <w:pPr>
              <w:pStyle w:val="ListParagraph"/>
              <w:numPr>
                <w:ilvl w:val="0"/>
                <w:numId w:val="39"/>
              </w:numPr>
              <w:spacing w:after="0" w:line="240" w:lineRule="auto"/>
              <w:ind w:right="0" w:hanging="548"/>
              <w:jc w:val="left"/>
              <w:rPr>
                <w:rFonts w:ascii="Arial" w:hAnsi="Arial" w:cs="Arial"/>
                <w:color w:val="auto"/>
                <w:sz w:val="20"/>
                <w:szCs w:val="20"/>
                <w:lang w:val="en-US"/>
              </w:rPr>
            </w:pPr>
            <w:r w:rsidRPr="009826D6">
              <w:rPr>
                <w:rFonts w:ascii="Arial" w:hAnsi="Arial" w:cs="Arial"/>
                <w:color w:val="auto"/>
                <w:sz w:val="20"/>
                <w:szCs w:val="20"/>
                <w:lang w:val="en-US"/>
              </w:rPr>
              <w:t>Storage Facilities for the LB3 Waste Disposal Site:</w:t>
            </w:r>
          </w:p>
          <w:p w14:paraId="4C2331E7"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solid medical hazardous waste disposal site is located in a flood-free area and is not adjacent to service activities or residential areas around the hospital.</w:t>
            </w:r>
          </w:p>
          <w:p w14:paraId="7D3E35B1"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building is enclosed, equipped with doors, adequate ventilation, an exhaust fan, and a drainage system leading to the SPALD.</w:t>
            </w:r>
          </w:p>
          <w:p w14:paraId="569ED22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floor is impermeable, made of concrete or cement with a good drainage system, and is easy to clean and disinfect. • A water source or water tap is available for cleaning.</w:t>
            </w:r>
          </w:p>
          <w:p w14:paraId="25F09F3F"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Can be locked to prevent unauthorized access.</w:t>
            </w:r>
          </w:p>
          <w:p w14:paraId="1B1A0A82"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Easily accessible by vehicles collecting or transporting waste.</w:t>
            </w:r>
          </w:p>
          <w:p w14:paraId="5111CFCD"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Protected from sunlight, rain, strong winds, flooding, and other factors that could potentially cause accidents or work-related disasters. It is inaccessible to animals, insects, and birds.</w:t>
            </w:r>
          </w:p>
          <w:p w14:paraId="335DDC9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Waste disposal sites are provided with symbols and labels, signs prohibiting unauthorized entry, and coordinate points.</w:t>
            </w:r>
          </w:p>
          <w:p w14:paraId="32E5578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Located far from food storage or preparation areas.</w:t>
            </w:r>
          </w:p>
          <w:p w14:paraId="235B2CAF" w14:textId="77777777" w:rsidR="009826D6" w:rsidRPr="009826D6" w:rsidRDefault="009826D6" w:rsidP="009826D6">
            <w:pPr>
              <w:pStyle w:val="ListParagraph"/>
              <w:numPr>
                <w:ilvl w:val="0"/>
                <w:numId w:val="32"/>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Cleaning equipment, protective clothing, and waste containers or bags must be located as close as possible to the storage facility.</w:t>
            </w:r>
          </w:p>
          <w:p w14:paraId="7BCE0538"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lang w:val="en-US"/>
              </w:rPr>
            </w:pPr>
            <w:r w:rsidRPr="009826D6">
              <w:rPr>
                <w:rFonts w:ascii="Arial" w:hAnsi="Arial" w:cs="Arial"/>
                <w:sz w:val="20"/>
                <w:szCs w:val="20"/>
                <w:lang w:val="en-US"/>
              </w:rPr>
              <w:t>The walls, floors, and ceilings of the storage facility are kept clean, including daily floor cleaning.</w:t>
            </w:r>
          </w:p>
        </w:tc>
        <w:tc>
          <w:tcPr>
            <w:tcW w:w="1248" w:type="dxa"/>
          </w:tcPr>
          <w:p w14:paraId="29AB38C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28ADA81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58,82</w:t>
            </w:r>
            <w:r w:rsidRPr="009826D6">
              <w:rPr>
                <w:rFonts w:ascii="Arial" w:hAnsi="Arial" w:cs="Arial"/>
                <w:sz w:val="20"/>
                <w:szCs w:val="20"/>
                <w:lang w:val="en-US"/>
              </w:rPr>
              <w:t>%</w:t>
            </w:r>
          </w:p>
        </w:tc>
        <w:tc>
          <w:tcPr>
            <w:tcW w:w="1217" w:type="dxa"/>
          </w:tcPr>
          <w:p w14:paraId="29177CD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751C9F71" w14:textId="77777777" w:rsidTr="009826D6">
        <w:tc>
          <w:tcPr>
            <w:tcW w:w="559" w:type="dxa"/>
          </w:tcPr>
          <w:p w14:paraId="42C32744" w14:textId="77777777" w:rsidR="009826D6" w:rsidRPr="009826D6" w:rsidRDefault="009826D6" w:rsidP="004A6CAF">
            <w:pPr>
              <w:tabs>
                <w:tab w:val="left" w:pos="426"/>
              </w:tabs>
              <w:rPr>
                <w:rFonts w:ascii="Arial" w:hAnsi="Arial" w:cs="Arial"/>
                <w:sz w:val="20"/>
                <w:szCs w:val="20"/>
              </w:rPr>
            </w:pPr>
          </w:p>
        </w:tc>
        <w:tc>
          <w:tcPr>
            <w:tcW w:w="3977" w:type="dxa"/>
          </w:tcPr>
          <w:p w14:paraId="53C64354"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Storage Period for Hazardous Waste (LB3):</w:t>
            </w:r>
          </w:p>
          <w:p w14:paraId="7811CF5E" w14:textId="77777777" w:rsidR="009826D6" w:rsidRPr="009826D6" w:rsidRDefault="009826D6" w:rsidP="009826D6">
            <w:pPr>
              <w:pStyle w:val="ListParagraph"/>
              <w:numPr>
                <w:ilvl w:val="0"/>
                <w:numId w:val="32"/>
              </w:numPr>
              <w:tabs>
                <w:tab w:val="left" w:pos="426"/>
              </w:tabs>
              <w:spacing w:after="0" w:line="240" w:lineRule="auto"/>
              <w:ind w:left="188" w:right="0" w:hanging="188"/>
              <w:jc w:val="left"/>
              <w:rPr>
                <w:rFonts w:ascii="Arial" w:hAnsi="Arial" w:cs="Arial"/>
                <w:color w:val="auto"/>
                <w:sz w:val="20"/>
                <w:szCs w:val="20"/>
                <w:lang w:val="en-US"/>
              </w:rPr>
            </w:pPr>
            <w:r w:rsidRPr="009826D6">
              <w:rPr>
                <w:rFonts w:ascii="Arial" w:hAnsi="Arial" w:cs="Arial"/>
                <w:color w:val="auto"/>
                <w:sz w:val="20"/>
                <w:szCs w:val="20"/>
                <w:lang w:val="en-US"/>
              </w:rPr>
              <w:t>Hazardous waste with infectious characteristics, sharp objects, and pathological objects must be stored in the storage area for a maximum of 2 (two) days, at a temperature greater than 0°C (zero degrees Celsius), and 90 days at a temperature equal to or less than 0°C (zero degrees Celsius).</w:t>
            </w:r>
          </w:p>
          <w:p w14:paraId="5E4D51E4" w14:textId="77777777" w:rsidR="009826D6" w:rsidRPr="009826D6" w:rsidRDefault="009826D6" w:rsidP="009826D6">
            <w:pPr>
              <w:numPr>
                <w:ilvl w:val="0"/>
                <w:numId w:val="38"/>
              </w:numPr>
              <w:tabs>
                <w:tab w:val="left" w:pos="426"/>
              </w:tabs>
              <w:ind w:left="188" w:hanging="188"/>
              <w:contextualSpacing/>
              <w:rPr>
                <w:rFonts w:ascii="Arial" w:hAnsi="Arial" w:cs="Arial"/>
                <w:bCs/>
                <w:sz w:val="20"/>
                <w:szCs w:val="20"/>
                <w:lang w:val="en-US"/>
              </w:rPr>
            </w:pPr>
            <w:r w:rsidRPr="009826D6">
              <w:rPr>
                <w:rFonts w:ascii="Arial" w:hAnsi="Arial" w:cs="Arial"/>
                <w:sz w:val="20"/>
                <w:szCs w:val="20"/>
                <w:lang w:val="en-US"/>
              </w:rPr>
              <w:lastRenderedPageBreak/>
              <w:t>Hazardous waste with chemical, radioactive, pharmaceutical, cytotoxic, gas cylinder, or pressurized container characteristics must be stored in the storage area for 90 (ninety) days, for Hazardous Waste produced at 50 kg (fifty kilograms) per day or more, or 180 (one hundred and eighty) days, for Hazardous Waste produced at less than 50 kg (fifty kilograms).</w:t>
            </w:r>
          </w:p>
        </w:tc>
        <w:tc>
          <w:tcPr>
            <w:tcW w:w="1248" w:type="dxa"/>
          </w:tcPr>
          <w:p w14:paraId="574B84B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072E9DF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226E1B5E"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41,18</w:t>
            </w:r>
            <w:r w:rsidRPr="009826D6">
              <w:rPr>
                <w:rFonts w:ascii="Arial" w:hAnsi="Arial" w:cs="Arial"/>
                <w:sz w:val="20"/>
                <w:szCs w:val="20"/>
                <w:lang w:val="en-US"/>
              </w:rPr>
              <w:t>%</w:t>
            </w:r>
          </w:p>
        </w:tc>
      </w:tr>
      <w:tr w:rsidR="009826D6" w:rsidRPr="009826D6" w14:paraId="5FE26818" w14:textId="77777777" w:rsidTr="009826D6">
        <w:tc>
          <w:tcPr>
            <w:tcW w:w="559" w:type="dxa"/>
          </w:tcPr>
          <w:p w14:paraId="661D9807" w14:textId="77777777" w:rsidR="009826D6" w:rsidRPr="009826D6" w:rsidRDefault="009826D6" w:rsidP="004A6CAF">
            <w:pPr>
              <w:tabs>
                <w:tab w:val="left" w:pos="426"/>
              </w:tabs>
              <w:rPr>
                <w:rFonts w:ascii="Arial" w:hAnsi="Arial" w:cs="Arial"/>
                <w:sz w:val="20"/>
                <w:szCs w:val="20"/>
              </w:rPr>
            </w:pPr>
          </w:p>
        </w:tc>
        <w:tc>
          <w:tcPr>
            <w:tcW w:w="3977" w:type="dxa"/>
          </w:tcPr>
          <w:p w14:paraId="185E26A0"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Waste Management Site Monitoring:</w:t>
            </w:r>
          </w:p>
          <w:p w14:paraId="6EFC990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LB3 Quantity and Type: Monitor the quantity and type of LB3 produced, stored, transported, and processed regularly.</w:t>
            </w:r>
          </w:p>
          <w:p w14:paraId="6B8841C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Storage Condition Monitoring: including temperature, humidity, container integrity, and security of the temporary LB3 storage location.</w:t>
            </w:r>
          </w:p>
          <w:p w14:paraId="6550D9E4" w14:textId="77777777" w:rsidR="009826D6" w:rsidRPr="009826D6" w:rsidRDefault="009826D6" w:rsidP="009826D6">
            <w:pPr>
              <w:pStyle w:val="ListParagraph"/>
              <w:numPr>
                <w:ilvl w:val="0"/>
                <w:numId w:val="33"/>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Environmental Impact Monitoring: potential air, water, and soil pollution due to the ineffectiveness of LB3 management.</w:t>
            </w:r>
          </w:p>
          <w:p w14:paraId="69C3F53D" w14:textId="77777777" w:rsidR="009826D6" w:rsidRPr="009826D6" w:rsidRDefault="009826D6" w:rsidP="009826D6">
            <w:pPr>
              <w:numPr>
                <w:ilvl w:val="0"/>
                <w:numId w:val="38"/>
              </w:numPr>
              <w:tabs>
                <w:tab w:val="left" w:pos="426"/>
              </w:tabs>
              <w:ind w:left="330"/>
              <w:contextualSpacing/>
              <w:rPr>
                <w:rFonts w:ascii="Arial" w:hAnsi="Arial" w:cs="Arial"/>
                <w:bCs/>
                <w:sz w:val="20"/>
                <w:szCs w:val="20"/>
              </w:rPr>
            </w:pPr>
            <w:r w:rsidRPr="009826D6">
              <w:rPr>
                <w:rFonts w:ascii="Arial" w:hAnsi="Arial" w:cs="Arial"/>
                <w:sz w:val="20"/>
                <w:szCs w:val="20"/>
                <w:lang w:val="en-US"/>
              </w:rPr>
              <w:t>• Third-Party Performance Monitoring: If using external LB3 transporters or processors, the facility must monitor their compliance and performance with permits and technical procedures.</w:t>
            </w:r>
          </w:p>
        </w:tc>
        <w:tc>
          <w:tcPr>
            <w:tcW w:w="1248" w:type="dxa"/>
          </w:tcPr>
          <w:p w14:paraId="1DA41734"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w:t>
            </w:r>
            <w:r w:rsidRPr="009826D6">
              <w:rPr>
                <w:rFonts w:ascii="Arial" w:hAnsi="Arial" w:cs="Arial"/>
                <w:sz w:val="20"/>
                <w:szCs w:val="20"/>
                <w:lang w:val="en-US"/>
              </w:rPr>
              <w:t>%</w:t>
            </w:r>
          </w:p>
        </w:tc>
        <w:tc>
          <w:tcPr>
            <w:tcW w:w="1137" w:type="dxa"/>
          </w:tcPr>
          <w:p w14:paraId="3B1AEAE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47,06</w:t>
            </w:r>
            <w:r w:rsidRPr="009826D6">
              <w:rPr>
                <w:rFonts w:ascii="Arial" w:hAnsi="Arial" w:cs="Arial"/>
                <w:sz w:val="20"/>
                <w:szCs w:val="20"/>
                <w:lang w:val="en-US"/>
              </w:rPr>
              <w:t>%</w:t>
            </w:r>
          </w:p>
        </w:tc>
        <w:tc>
          <w:tcPr>
            <w:tcW w:w="1217" w:type="dxa"/>
          </w:tcPr>
          <w:p w14:paraId="12B25E9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47,06</w:t>
            </w:r>
            <w:r w:rsidRPr="009826D6">
              <w:rPr>
                <w:rFonts w:ascii="Arial" w:hAnsi="Arial" w:cs="Arial"/>
                <w:sz w:val="20"/>
                <w:szCs w:val="20"/>
                <w:lang w:val="en-US"/>
              </w:rPr>
              <w:t>%</w:t>
            </w:r>
          </w:p>
        </w:tc>
      </w:tr>
      <w:tr w:rsidR="009826D6" w:rsidRPr="009826D6" w14:paraId="54CB2C2D" w14:textId="77777777" w:rsidTr="009826D6">
        <w:tc>
          <w:tcPr>
            <w:tcW w:w="559" w:type="dxa"/>
          </w:tcPr>
          <w:p w14:paraId="0BC039E3" w14:textId="77777777" w:rsidR="009826D6" w:rsidRPr="009826D6" w:rsidRDefault="009826D6" w:rsidP="004A6CAF">
            <w:pPr>
              <w:tabs>
                <w:tab w:val="left" w:pos="426"/>
              </w:tabs>
              <w:rPr>
                <w:rFonts w:ascii="Arial" w:hAnsi="Arial" w:cs="Arial"/>
                <w:sz w:val="20"/>
                <w:szCs w:val="20"/>
              </w:rPr>
            </w:pPr>
          </w:p>
        </w:tc>
        <w:tc>
          <w:tcPr>
            <w:tcW w:w="3977" w:type="dxa"/>
          </w:tcPr>
          <w:p w14:paraId="687972C8" w14:textId="77777777" w:rsidR="009826D6" w:rsidRPr="009826D6" w:rsidRDefault="009826D6" w:rsidP="004A6CAF">
            <w:pPr>
              <w:pStyle w:val="ListParagraph"/>
              <w:tabs>
                <w:tab w:val="left" w:pos="426"/>
              </w:tabs>
              <w:spacing w:after="0" w:line="240" w:lineRule="auto"/>
              <w:ind w:left="0" w:right="0" w:firstLine="0"/>
              <w:jc w:val="left"/>
              <w:rPr>
                <w:rFonts w:ascii="Arial" w:hAnsi="Arial" w:cs="Arial"/>
                <w:color w:val="auto"/>
                <w:sz w:val="20"/>
                <w:szCs w:val="20"/>
                <w:lang w:val="en-US"/>
              </w:rPr>
            </w:pPr>
            <w:r w:rsidRPr="009826D6">
              <w:rPr>
                <w:rFonts w:ascii="Arial" w:hAnsi="Arial" w:cs="Arial"/>
                <w:color w:val="auto"/>
                <w:sz w:val="20"/>
                <w:szCs w:val="20"/>
                <w:lang w:val="en-US"/>
              </w:rPr>
              <w:t>d. LB3 Balance Sheet:</w:t>
            </w:r>
          </w:p>
          <w:p w14:paraId="16356123"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a description of the sources, types, and characteristics of stored solid medical hazardous waste.</w:t>
            </w:r>
          </w:p>
          <w:p w14:paraId="18DC4692" w14:textId="77777777" w:rsidR="009826D6" w:rsidRPr="009826D6" w:rsidRDefault="009826D6" w:rsidP="009826D6">
            <w:pPr>
              <w:pStyle w:val="ListParagraph"/>
              <w:numPr>
                <w:ilvl w:val="0"/>
                <w:numId w:val="34"/>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the quantity or volume of solid medical hazardous waste collected each month.</w:t>
            </w:r>
          </w:p>
          <w:p w14:paraId="558C141F" w14:textId="77777777" w:rsidR="009826D6" w:rsidRPr="009826D6" w:rsidRDefault="009826D6" w:rsidP="009826D6">
            <w:pPr>
              <w:numPr>
                <w:ilvl w:val="0"/>
                <w:numId w:val="38"/>
              </w:numPr>
              <w:tabs>
                <w:tab w:val="left" w:pos="426"/>
              </w:tabs>
              <w:ind w:left="330"/>
              <w:contextualSpacing/>
              <w:rPr>
                <w:rFonts w:ascii="Arial" w:hAnsi="Arial" w:cs="Arial"/>
                <w:sz w:val="20"/>
                <w:szCs w:val="20"/>
              </w:rPr>
            </w:pPr>
            <w:r w:rsidRPr="009826D6">
              <w:rPr>
                <w:rFonts w:ascii="Arial" w:hAnsi="Arial" w:cs="Arial"/>
                <w:sz w:val="20"/>
                <w:szCs w:val="20"/>
                <w:lang w:val="en-US"/>
              </w:rPr>
              <w:t>Contains the quantity or volume of solid medical hazardous waste submitted to solid medical hazardous waste collectors, solid medical hazardous waste users, solid medical hazardous waste processors, and/or solid medical hazardous waste stockpilers each month.</w:t>
            </w:r>
          </w:p>
        </w:tc>
        <w:tc>
          <w:tcPr>
            <w:tcW w:w="1248" w:type="dxa"/>
          </w:tcPr>
          <w:p w14:paraId="79ECD53B"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11,76</w:t>
            </w:r>
          </w:p>
        </w:tc>
        <w:tc>
          <w:tcPr>
            <w:tcW w:w="1137" w:type="dxa"/>
          </w:tcPr>
          <w:p w14:paraId="0DBD2ED3"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47,06</w:t>
            </w:r>
          </w:p>
        </w:tc>
        <w:tc>
          <w:tcPr>
            <w:tcW w:w="1217" w:type="dxa"/>
          </w:tcPr>
          <w:p w14:paraId="2DBA07D4"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41,18</w:t>
            </w:r>
          </w:p>
        </w:tc>
      </w:tr>
      <w:tr w:rsidR="009826D6" w:rsidRPr="009826D6" w14:paraId="5535492C" w14:textId="77777777" w:rsidTr="009826D6">
        <w:tc>
          <w:tcPr>
            <w:tcW w:w="559" w:type="dxa"/>
          </w:tcPr>
          <w:p w14:paraId="116AA439" w14:textId="77777777" w:rsidR="009826D6" w:rsidRPr="009826D6" w:rsidRDefault="009826D6" w:rsidP="004A6CAF">
            <w:pPr>
              <w:tabs>
                <w:tab w:val="left" w:pos="426"/>
              </w:tabs>
              <w:rPr>
                <w:rFonts w:ascii="Arial" w:hAnsi="Arial" w:cs="Arial"/>
                <w:sz w:val="20"/>
                <w:szCs w:val="20"/>
              </w:rPr>
            </w:pPr>
          </w:p>
        </w:tc>
        <w:tc>
          <w:tcPr>
            <w:tcW w:w="3977" w:type="dxa"/>
          </w:tcPr>
          <w:p w14:paraId="432AEB6F"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e. Recording and Reporting of Solid Medical Hazardous Waste (LB3):</w:t>
            </w:r>
          </w:p>
          <w:p w14:paraId="6096DB29"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Recording the type and quantity of LB3</w:t>
            </w:r>
          </w:p>
          <w:p w14:paraId="1662ABEF"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Source and location of LB3 generation</w:t>
            </w:r>
          </w:p>
          <w:p w14:paraId="626AA2D9"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Identity of the managing party (including the name and permit of the third party transporting or processing the LB3), if any.</w:t>
            </w:r>
          </w:p>
          <w:p w14:paraId="2FF6536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Reporting frequency: Reports are submitted periodically, at least every 6 months, to the local environmental agency.</w:t>
            </w:r>
          </w:p>
          <w:p w14:paraId="17EB21FD"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lastRenderedPageBreak/>
              <w:t>The report format must comply with the format established by the Ministry of Environment and Forestry or the local Environmental Agency, including quantitative and descriptive data.</w:t>
            </w:r>
          </w:p>
          <w:p w14:paraId="3283B2E3"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Purpose of reporting: To monitor the effectiveness of LB3 management, prevent pollution, and serve as a basis for evaluation and guidance by the government.</w:t>
            </w:r>
          </w:p>
          <w:p w14:paraId="01728F5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Supporting documents: Reports must include proof of recording, photographs of activities, and a copy of the permit of the LB3 transporter/manager.</w:t>
            </w:r>
          </w:p>
        </w:tc>
        <w:tc>
          <w:tcPr>
            <w:tcW w:w="1248" w:type="dxa"/>
          </w:tcPr>
          <w:p w14:paraId="22F21DD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3D7009D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0E3653B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41,18</w:t>
            </w:r>
            <w:r w:rsidRPr="009826D6">
              <w:rPr>
                <w:rFonts w:ascii="Arial" w:hAnsi="Arial" w:cs="Arial"/>
                <w:sz w:val="20"/>
                <w:szCs w:val="20"/>
                <w:lang w:val="en-US"/>
              </w:rPr>
              <w:t>%</w:t>
            </w:r>
          </w:p>
        </w:tc>
      </w:tr>
      <w:tr w:rsidR="009826D6" w:rsidRPr="009826D6" w14:paraId="5E26A466" w14:textId="77777777" w:rsidTr="009826D6">
        <w:tc>
          <w:tcPr>
            <w:tcW w:w="559" w:type="dxa"/>
          </w:tcPr>
          <w:p w14:paraId="78450CB3" w14:textId="77777777" w:rsidR="009826D6" w:rsidRPr="009826D6" w:rsidRDefault="009826D6" w:rsidP="004A6CAF">
            <w:pPr>
              <w:tabs>
                <w:tab w:val="left" w:pos="426"/>
              </w:tabs>
              <w:rPr>
                <w:rFonts w:ascii="Arial" w:hAnsi="Arial" w:cs="Arial"/>
                <w:sz w:val="20"/>
                <w:szCs w:val="20"/>
              </w:rPr>
            </w:pPr>
          </w:p>
        </w:tc>
        <w:tc>
          <w:tcPr>
            <w:tcW w:w="3977" w:type="dxa"/>
          </w:tcPr>
          <w:p w14:paraId="0C05289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f. LB3 Emergency Program Documents:</w:t>
            </w:r>
          </w:p>
          <w:p w14:paraId="3CF1E7C4"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Have an Emergency Response System for managing solid medical hazardous waste (including Emergency Response SOPs)</w:t>
            </w:r>
          </w:p>
          <w:p w14:paraId="275520AC" w14:textId="77777777" w:rsidR="009826D6" w:rsidRPr="009826D6" w:rsidRDefault="009826D6" w:rsidP="009826D6">
            <w:pPr>
              <w:pStyle w:val="ListParagraph"/>
              <w:numPr>
                <w:ilvl w:val="0"/>
                <w:numId w:val="35"/>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Availability of fire extinguishers and other appropriate emergency response equipment (fire extinguishers, eyewash, and first aid kits)</w:t>
            </w:r>
          </w:p>
          <w:p w14:paraId="07D3317E" w14:textId="77777777" w:rsidR="009826D6" w:rsidRPr="009826D6" w:rsidRDefault="009826D6" w:rsidP="009826D6">
            <w:pPr>
              <w:numPr>
                <w:ilvl w:val="0"/>
                <w:numId w:val="40"/>
              </w:numPr>
              <w:tabs>
                <w:tab w:val="left" w:pos="426"/>
              </w:tabs>
              <w:ind w:left="330"/>
              <w:contextualSpacing/>
              <w:rPr>
                <w:rFonts w:ascii="Arial" w:hAnsi="Arial" w:cs="Arial"/>
                <w:bCs/>
                <w:sz w:val="20"/>
                <w:szCs w:val="20"/>
              </w:rPr>
            </w:pPr>
            <w:r w:rsidRPr="009826D6">
              <w:rPr>
                <w:rFonts w:ascii="Arial" w:hAnsi="Arial" w:cs="Arial"/>
                <w:sz w:val="20"/>
                <w:szCs w:val="20"/>
                <w:lang w:val="en-US"/>
              </w:rPr>
              <w:t>• Availability of fences, emergency exits, and evacuation routes (in accordance with the storage and emergency response SOPs)</w:t>
            </w:r>
          </w:p>
        </w:tc>
        <w:tc>
          <w:tcPr>
            <w:tcW w:w="1248" w:type="dxa"/>
          </w:tcPr>
          <w:p w14:paraId="4C1E5B6E"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43A66EB1"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70,59</w:t>
            </w:r>
            <w:r w:rsidRPr="009826D6">
              <w:rPr>
                <w:rFonts w:ascii="Arial" w:hAnsi="Arial" w:cs="Arial"/>
                <w:sz w:val="20"/>
                <w:szCs w:val="20"/>
                <w:lang w:val="en-US"/>
              </w:rPr>
              <w:t>%</w:t>
            </w:r>
          </w:p>
        </w:tc>
        <w:tc>
          <w:tcPr>
            <w:tcW w:w="1217" w:type="dxa"/>
          </w:tcPr>
          <w:p w14:paraId="62F14D1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17,65</w:t>
            </w:r>
            <w:r w:rsidRPr="009826D6">
              <w:rPr>
                <w:rFonts w:ascii="Arial" w:hAnsi="Arial" w:cs="Arial"/>
                <w:sz w:val="20"/>
                <w:szCs w:val="20"/>
                <w:lang w:val="en-US"/>
              </w:rPr>
              <w:t>%</w:t>
            </w:r>
          </w:p>
        </w:tc>
      </w:tr>
      <w:tr w:rsidR="009826D6" w:rsidRPr="009826D6" w14:paraId="7229ED32" w14:textId="77777777" w:rsidTr="009826D6">
        <w:tc>
          <w:tcPr>
            <w:tcW w:w="559" w:type="dxa"/>
          </w:tcPr>
          <w:p w14:paraId="0B7DB65F"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5</w:t>
            </w:r>
          </w:p>
        </w:tc>
        <w:tc>
          <w:tcPr>
            <w:tcW w:w="3977" w:type="dxa"/>
          </w:tcPr>
          <w:p w14:paraId="70CA21C4"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LB3 Handover</w:t>
            </w:r>
          </w:p>
          <w:p w14:paraId="157E527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MoU/Contract (Licensed Transporter)</w:t>
            </w:r>
          </w:p>
          <w:p w14:paraId="2A2D84CE"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a. LB3 Manifest:</w:t>
            </w:r>
          </w:p>
          <w:p w14:paraId="2F4C9ED1"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A manifest code is provided to each healthcare facility.</w:t>
            </w:r>
          </w:p>
          <w:p w14:paraId="29757272"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LB3 storage method during transport:</w:t>
            </w:r>
          </w:p>
          <w:p w14:paraId="19B453F0"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a secure closure to prevent spills.</w:t>
            </w:r>
          </w:p>
          <w:p w14:paraId="3604CD78"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be free from damage, leaks, or rust.</w:t>
            </w:r>
          </w:p>
          <w:p w14:paraId="714B3FAB"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symbols and labels that reflect the characteristics of the LB3.</w:t>
            </w:r>
          </w:p>
          <w:p w14:paraId="6ED6837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Transportation:</w:t>
            </w:r>
          </w:p>
          <w:p w14:paraId="367E98A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Transportation must be carried out using motorized vehicles with four or more wheels, or three wheels that have obtained a permit for solid medical hazardous waste management for LB3 transportation activities.</w:t>
            </w:r>
          </w:p>
          <w:p w14:paraId="31B2A3C5"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Use the LB3 symbol.</w:t>
            </w:r>
          </w:p>
          <w:p w14:paraId="2D418E6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Equipped with an LB3 manifest</w:t>
            </w:r>
          </w:p>
        </w:tc>
        <w:tc>
          <w:tcPr>
            <w:tcW w:w="1248" w:type="dxa"/>
          </w:tcPr>
          <w:p w14:paraId="4700534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72882A3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82,35</w:t>
            </w:r>
            <w:r w:rsidRPr="009826D6">
              <w:rPr>
                <w:rFonts w:ascii="Arial" w:hAnsi="Arial" w:cs="Arial"/>
                <w:sz w:val="20"/>
                <w:szCs w:val="20"/>
                <w:lang w:val="en-US"/>
              </w:rPr>
              <w:t>%</w:t>
            </w:r>
          </w:p>
        </w:tc>
        <w:tc>
          <w:tcPr>
            <w:tcW w:w="1217" w:type="dxa"/>
          </w:tcPr>
          <w:p w14:paraId="6CC8E5E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w:t>
            </w:r>
            <w:r w:rsidRPr="009826D6">
              <w:rPr>
                <w:rFonts w:ascii="Arial" w:hAnsi="Arial" w:cs="Arial"/>
                <w:sz w:val="20"/>
                <w:szCs w:val="20"/>
                <w:lang w:val="en-US"/>
              </w:rPr>
              <w:t>%</w:t>
            </w:r>
          </w:p>
        </w:tc>
      </w:tr>
      <w:tr w:rsidR="009826D6" w:rsidRPr="009826D6" w14:paraId="3BC3EF21" w14:textId="77777777" w:rsidTr="009826D6">
        <w:tc>
          <w:tcPr>
            <w:tcW w:w="4536" w:type="dxa"/>
            <w:gridSpan w:val="2"/>
            <w:tcBorders>
              <w:top w:val="single" w:sz="4" w:space="0" w:color="auto"/>
              <w:bottom w:val="single" w:sz="4" w:space="0" w:color="auto"/>
            </w:tcBorders>
          </w:tcPr>
          <w:p w14:paraId="4D7D7C3E" w14:textId="77777777" w:rsidR="009826D6" w:rsidRPr="009826D6" w:rsidRDefault="009826D6" w:rsidP="004A6CAF">
            <w:pPr>
              <w:tabs>
                <w:tab w:val="left" w:pos="426"/>
              </w:tabs>
              <w:jc w:val="center"/>
              <w:rPr>
                <w:rFonts w:ascii="Arial" w:hAnsi="Arial" w:cs="Arial"/>
                <w:b/>
                <w:bCs/>
                <w:sz w:val="20"/>
                <w:szCs w:val="20"/>
                <w:lang w:val="en-US"/>
              </w:rPr>
            </w:pPr>
            <w:r w:rsidRPr="009826D6">
              <w:rPr>
                <w:rFonts w:ascii="Arial" w:hAnsi="Arial" w:cs="Arial"/>
                <w:b/>
                <w:bCs/>
                <w:sz w:val="20"/>
                <w:szCs w:val="20"/>
                <w:lang w:val="en-US"/>
              </w:rPr>
              <w:t>Total</w:t>
            </w:r>
          </w:p>
        </w:tc>
        <w:tc>
          <w:tcPr>
            <w:tcW w:w="3602" w:type="dxa"/>
            <w:gridSpan w:val="3"/>
            <w:tcBorders>
              <w:top w:val="single" w:sz="4" w:space="0" w:color="auto"/>
              <w:bottom w:val="single" w:sz="4" w:space="0" w:color="auto"/>
            </w:tcBorders>
          </w:tcPr>
          <w:p w14:paraId="621431B6"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73,33 % (Suitable)</w:t>
            </w:r>
          </w:p>
        </w:tc>
      </w:tr>
    </w:tbl>
    <w:p w14:paraId="66B9A0EC" w14:textId="77777777" w:rsidR="009826D6" w:rsidRDefault="009826D6" w:rsidP="009826D6">
      <w:pPr>
        <w:spacing w:line="259" w:lineRule="auto"/>
        <w:rPr>
          <w:szCs w:val="24"/>
        </w:rPr>
      </w:pPr>
    </w:p>
    <w:p w14:paraId="58DFA675" w14:textId="77777777" w:rsidR="00136A0F" w:rsidRDefault="00136A0F" w:rsidP="009826D6">
      <w:pPr>
        <w:spacing w:line="259" w:lineRule="auto"/>
        <w:rPr>
          <w:szCs w:val="24"/>
        </w:rPr>
      </w:pPr>
    </w:p>
    <w:p w14:paraId="3988D29A" w14:textId="77777777" w:rsidR="00136A0F" w:rsidRDefault="00136A0F" w:rsidP="009826D6">
      <w:pPr>
        <w:spacing w:line="259" w:lineRule="auto"/>
        <w:rPr>
          <w:szCs w:val="24"/>
        </w:rPr>
      </w:pPr>
    </w:p>
    <w:p w14:paraId="7A5F7910" w14:textId="77777777" w:rsidR="009826D6" w:rsidRPr="00BD7313" w:rsidRDefault="009826D6" w:rsidP="009826D6">
      <w:pPr>
        <w:spacing w:line="259" w:lineRule="auto"/>
        <w:jc w:val="both"/>
        <w:rPr>
          <w:szCs w:val="24"/>
        </w:rPr>
      </w:pPr>
      <w:r w:rsidRPr="00BD7313">
        <w:rPr>
          <w:szCs w:val="24"/>
        </w:rPr>
        <w:lastRenderedPageBreak/>
        <w:t xml:space="preserve">A study conducted with 14 medical personnel and three UKL officers, evaluating the technical and operational management of solid medical hazardous waste at </w:t>
      </w:r>
      <w:proofErr w:type="spellStart"/>
      <w:r w:rsidRPr="00BD7313">
        <w:rPr>
          <w:szCs w:val="24"/>
        </w:rPr>
        <w:t>Suaka</w:t>
      </w:r>
      <w:proofErr w:type="spellEnd"/>
      <w:r w:rsidRPr="00BD7313">
        <w:rPr>
          <w:szCs w:val="24"/>
        </w:rPr>
        <w:t xml:space="preserve"> </w:t>
      </w:r>
      <w:proofErr w:type="spellStart"/>
      <w:r w:rsidRPr="00BD7313">
        <w:rPr>
          <w:szCs w:val="24"/>
        </w:rPr>
        <w:t>Insan</w:t>
      </w:r>
      <w:proofErr w:type="spellEnd"/>
      <w:r w:rsidRPr="00BD7313">
        <w:rPr>
          <w:szCs w:val="24"/>
        </w:rPr>
        <w:t xml:space="preserve"> Hospital, showed that management implementation remained in the Suitable category, with a total score of 73.33%.</w:t>
      </w:r>
    </w:p>
    <w:p w14:paraId="3BB45A44" w14:textId="77777777" w:rsidR="009826D6" w:rsidRPr="00BD7313" w:rsidRDefault="009826D6" w:rsidP="009826D6">
      <w:pPr>
        <w:spacing w:line="259" w:lineRule="auto"/>
        <w:jc w:val="both"/>
        <w:rPr>
          <w:szCs w:val="24"/>
        </w:rPr>
      </w:pPr>
      <w:r w:rsidRPr="00BD7313">
        <w:rPr>
          <w:szCs w:val="24"/>
        </w:rPr>
        <w:t>The evaluation of the reduction and segregation of solid medical hazardous waste showed that the majority of respondents rated the practice as "Less Suitable" (52.94%), while only 29.41% rated it as Suitable. This indicates that efforts to avoid the use of hazardous materials, manage hazardous materials, and separate waste based on its characteristics have not been optimally implemented by staff. This lack of suitability could impact potential occupational safety risks and environmental pollution if not promptly addressed.</w:t>
      </w:r>
    </w:p>
    <w:p w14:paraId="10F7BB7F" w14:textId="3ABC8BA7" w:rsidR="009826D6" w:rsidRPr="00BD7313" w:rsidRDefault="009826D6" w:rsidP="009826D6">
      <w:pPr>
        <w:spacing w:line="259" w:lineRule="auto"/>
        <w:jc w:val="both"/>
        <w:rPr>
          <w:szCs w:val="24"/>
        </w:rPr>
      </w:pPr>
      <w:r w:rsidRPr="00BD7313">
        <w:rPr>
          <w:szCs w:val="24"/>
        </w:rPr>
        <w:t xml:space="preserve">Regarding the containerization of solid medical hazardous waste, respondents also rated it as "Less Suitable" (52.94%). Criteria such as leak-proof containers, lids, and plastic coatings of suitable </w:t>
      </w:r>
      <w:proofErr w:type="spellStart"/>
      <w:r w:rsidRPr="00BD7313">
        <w:rPr>
          <w:szCs w:val="24"/>
        </w:rPr>
        <w:t>colo</w:t>
      </w:r>
      <w:r w:rsidR="00E1079A">
        <w:rPr>
          <w:szCs w:val="24"/>
        </w:rPr>
        <w:t>u</w:t>
      </w:r>
      <w:r w:rsidRPr="00BD7313">
        <w:rPr>
          <w:szCs w:val="24"/>
        </w:rPr>
        <w:t>rs</w:t>
      </w:r>
      <w:proofErr w:type="spellEnd"/>
      <w:r w:rsidRPr="00BD7313">
        <w:rPr>
          <w:szCs w:val="24"/>
        </w:rPr>
        <w:t xml:space="preserve"> have not been consistently implemented in the field. Only 29.41% of respondents rated the implementation as Suitable. This situation indicates the need for increased supervision and the provision of </w:t>
      </w:r>
      <w:proofErr w:type="spellStart"/>
      <w:r w:rsidRPr="00BD7313">
        <w:rPr>
          <w:szCs w:val="24"/>
        </w:rPr>
        <w:t>standardi</w:t>
      </w:r>
      <w:r w:rsidR="00E1079A">
        <w:rPr>
          <w:szCs w:val="24"/>
        </w:rPr>
        <w:t>s</w:t>
      </w:r>
      <w:r w:rsidRPr="00BD7313">
        <w:rPr>
          <w:szCs w:val="24"/>
        </w:rPr>
        <w:t>ed</w:t>
      </w:r>
      <w:proofErr w:type="spellEnd"/>
      <w:r w:rsidRPr="00BD7313">
        <w:rPr>
          <w:szCs w:val="24"/>
        </w:rPr>
        <w:t xml:space="preserve"> container facilities to ensure that containerization activities meet safe technical requirements.</w:t>
      </w:r>
    </w:p>
    <w:p w14:paraId="0AE0B3FB" w14:textId="77777777" w:rsidR="009826D6" w:rsidRPr="00BD7313" w:rsidRDefault="009826D6" w:rsidP="009826D6">
      <w:pPr>
        <w:spacing w:line="259" w:lineRule="auto"/>
        <w:jc w:val="both"/>
        <w:rPr>
          <w:szCs w:val="24"/>
        </w:rPr>
      </w:pPr>
      <w:r w:rsidRPr="00BD7313">
        <w:rPr>
          <w:szCs w:val="24"/>
        </w:rPr>
        <w:t>The aspects of packaging, symbolization, and waste labeling received a higher level of unsuitability, with 64.71% of respondents rating the practice as "Less Suitable." Numerous technical points in this aspect—such as packaging strength, rust resistance, color standards, waste characteristic labels, and the use of safety boxes for sharps—require more intensive attention and training for staff. The low level of suitability indicates that waste packaging does not fully meet safety standards.</w:t>
      </w:r>
    </w:p>
    <w:p w14:paraId="69656A8A" w14:textId="77777777" w:rsidR="009826D6" w:rsidRPr="00BD7313" w:rsidRDefault="009826D6" w:rsidP="009826D6">
      <w:pPr>
        <w:spacing w:line="259" w:lineRule="auto"/>
        <w:jc w:val="both"/>
        <w:rPr>
          <w:szCs w:val="24"/>
        </w:rPr>
      </w:pPr>
      <w:r w:rsidRPr="00BD7313">
        <w:rPr>
          <w:szCs w:val="24"/>
        </w:rPr>
        <w:t>An evaluation of the storage facility (TPS LB3) also showed that the majority of respondents rated it as "Less Suitable" (58.82%). Several indicators, such as the location of the TPS, ventilation, drainage system, weather protection, secure access, and completeness of supporting facilities, were not fully met. Storage facilities that do not meet standards have the potential to pose a risk of pollution and health problems in the hospital environment.</w:t>
      </w:r>
    </w:p>
    <w:p w14:paraId="72B51F79" w14:textId="77777777" w:rsidR="009826D6" w:rsidRDefault="009826D6" w:rsidP="009826D6">
      <w:pPr>
        <w:spacing w:line="259" w:lineRule="auto"/>
        <w:jc w:val="both"/>
        <w:rPr>
          <w:szCs w:val="24"/>
        </w:rPr>
      </w:pPr>
      <w:r w:rsidRPr="00BD7313">
        <w:rPr>
          <w:szCs w:val="24"/>
        </w:rPr>
        <w:t>Regarding the storage time for hazardous waste, the assessment results showed a better level of suitability than the previous aspect, with 41.18% of respondents stating it was "Suitable." Despite this, 52.94% still rated the implementation as Less Suitable. This indicates that there are still inaccuracies in the length of waste storage, particularly for infectious and chemical waste, which have strict storage time requirements. Monitoring of storage time must be strengthened to prevent the accumulation of potentially hazardous waste.</w:t>
      </w:r>
    </w:p>
    <w:p w14:paraId="29856204" w14:textId="77777777" w:rsidR="009826D6" w:rsidRPr="00BD7313" w:rsidRDefault="009826D6" w:rsidP="009826D6">
      <w:pPr>
        <w:spacing w:line="259" w:lineRule="auto"/>
        <w:jc w:val="both"/>
        <w:rPr>
          <w:szCs w:val="24"/>
        </w:rPr>
      </w:pPr>
      <w:r w:rsidRPr="00BD7313">
        <w:rPr>
          <w:szCs w:val="24"/>
        </w:rPr>
        <w:t>Regarding the monitoring aspect of hazardous waste disposal sites (TPS), the assessment was relatively balanced between the "Less Suitable" (47.06%) and "Suitable" (47.06%). This means that some work units have monitored waste quantity, storage conditions, and potential environmental impacts, but implementation is not yet uniform across all departments. Third-party monitoring is also a concern due to its relationship to compliance with technical permits and waste processing standards.</w:t>
      </w:r>
    </w:p>
    <w:p w14:paraId="7D0DED12" w14:textId="77777777" w:rsidR="009826D6" w:rsidRPr="00BD7313" w:rsidRDefault="009826D6" w:rsidP="009826D6">
      <w:pPr>
        <w:spacing w:line="259" w:lineRule="auto"/>
        <w:jc w:val="both"/>
        <w:rPr>
          <w:szCs w:val="24"/>
        </w:rPr>
      </w:pPr>
      <w:r w:rsidRPr="00BD7313">
        <w:rPr>
          <w:szCs w:val="24"/>
        </w:rPr>
        <w:t>Regarding the hazardous waste balance sheet, 47.06% of respondents assessed its implementation as Less Suitable. This is despite the fact that the waste balance sheet is a crucial document that contains the sources, types, and quantities of waste generated and submitted to the processing party. Incomplete waste balance sheets can impact weak internal controls and potentially lead to unsuitable reporting to environmental agencies.</w:t>
      </w:r>
    </w:p>
    <w:p w14:paraId="1A4CBF88" w14:textId="77777777" w:rsidR="009826D6" w:rsidRPr="00BD7313" w:rsidRDefault="009826D6" w:rsidP="009826D6">
      <w:pPr>
        <w:spacing w:line="259" w:lineRule="auto"/>
        <w:jc w:val="both"/>
        <w:rPr>
          <w:szCs w:val="24"/>
        </w:rPr>
      </w:pPr>
      <w:r w:rsidRPr="00BD7313">
        <w:rPr>
          <w:szCs w:val="24"/>
        </w:rPr>
        <w:t>Regarding hazardous waste recording and reporting, 52.94% of respondents assessed implementation as Less Suitable, while 41.18% assessed it as Suitable. Reporting of hazardous waste requires a standard format that must be submitted periodically, complete with quantitative data and supporting evidence. These results indicate continued deficiencies in consistent recording, complete documentation, and timely report submission.</w:t>
      </w:r>
    </w:p>
    <w:p w14:paraId="0D5C7EC7" w14:textId="6E464B46" w:rsidR="009826D6" w:rsidRPr="00BD7313" w:rsidRDefault="009826D6" w:rsidP="009826D6">
      <w:pPr>
        <w:spacing w:line="259" w:lineRule="auto"/>
        <w:jc w:val="both"/>
        <w:rPr>
          <w:szCs w:val="24"/>
        </w:rPr>
      </w:pPr>
      <w:r w:rsidRPr="00BD7313">
        <w:rPr>
          <w:szCs w:val="24"/>
        </w:rPr>
        <w:t xml:space="preserve">The document aspect of the hazardous waste emergency program was the indicator with the highest level of unsuitability, with 70.59% of respondents rating it as "Unsuitable." The completeness of emergency response SOPs, </w:t>
      </w:r>
      <w:r w:rsidR="00E1079A">
        <w:rPr>
          <w:szCs w:val="24"/>
        </w:rPr>
        <w:t xml:space="preserve">the </w:t>
      </w:r>
      <w:r w:rsidRPr="00BD7313">
        <w:rPr>
          <w:szCs w:val="24"/>
        </w:rPr>
        <w:t>availability of fire extinguishers, evacuation routes, and other safety facilities were suboptimal. This is a significant finding because emergency preparedness is crucial for preventing and handling incidents involving hazardous waste, so improving facilities and staff understanding is essential.</w:t>
      </w:r>
    </w:p>
    <w:p w14:paraId="30785EE0" w14:textId="77777777" w:rsidR="009826D6" w:rsidRDefault="009826D6" w:rsidP="009826D6">
      <w:pPr>
        <w:spacing w:line="259" w:lineRule="auto"/>
        <w:jc w:val="both"/>
        <w:rPr>
          <w:szCs w:val="24"/>
        </w:rPr>
      </w:pPr>
      <w:r w:rsidRPr="00BD7313">
        <w:rPr>
          <w:szCs w:val="24"/>
        </w:rPr>
        <w:t>The final aspect concerns the handover of hazardous waste to third parties; 82.35% of respondents rated its implementation as "Less Suitable." This aspect includes the use of manifests, proper packaging during transportation, the safety of transport vehicles, and transporter permits. The low level of "Suitability" indicates the need for evaluation and development of cooperation mechanisms with third parties to ensure that waste transportation meets appropriate standards and does not pose environmental risks.</w:t>
      </w:r>
    </w:p>
    <w:p w14:paraId="58B96D17" w14:textId="7511E512" w:rsidR="00136A0F" w:rsidRDefault="00136A0F" w:rsidP="00136A0F">
      <w:pPr>
        <w:spacing w:line="259" w:lineRule="auto"/>
        <w:jc w:val="center"/>
        <w:rPr>
          <w:szCs w:val="24"/>
        </w:rPr>
      </w:pPr>
      <w:r>
        <w:rPr>
          <w:noProof/>
        </w:rPr>
        <w:lastRenderedPageBreak/>
        <w:drawing>
          <wp:inline distT="0" distB="0" distL="0" distR="0" wp14:anchorId="4A8DEA56" wp14:editId="4163B664">
            <wp:extent cx="3762375" cy="2743200"/>
            <wp:effectExtent l="0" t="0" r="9525" b="0"/>
            <wp:docPr id="1799251630" name="Chart 1">
              <a:extLst xmlns:a="http://schemas.openxmlformats.org/drawingml/2006/main">
                <a:ext uri="{FF2B5EF4-FFF2-40B4-BE49-F238E27FC236}">
                  <a16:creationId xmlns:a16="http://schemas.microsoft.com/office/drawing/2014/main" id="{D19955DB-B998-6CDB-C60E-51ECF0CA6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B05230" w14:textId="0498EECD" w:rsidR="00136A0F" w:rsidRDefault="00136A0F" w:rsidP="00136A0F">
      <w:pPr>
        <w:spacing w:line="259" w:lineRule="auto"/>
        <w:jc w:val="center"/>
        <w:rPr>
          <w:szCs w:val="24"/>
        </w:rPr>
      </w:pPr>
      <w:r>
        <w:rPr>
          <w:szCs w:val="24"/>
        </w:rPr>
        <w:t xml:space="preserve">Figure 1. </w:t>
      </w:r>
      <w:r w:rsidRPr="00136A0F">
        <w:rPr>
          <w:szCs w:val="24"/>
        </w:rPr>
        <w:t>Management of Solid Medical Waste</w:t>
      </w:r>
    </w:p>
    <w:p w14:paraId="162AD855" w14:textId="77777777" w:rsidR="00136A0F" w:rsidRPr="00BD7313" w:rsidRDefault="00136A0F" w:rsidP="00136A0F">
      <w:pPr>
        <w:spacing w:line="259" w:lineRule="auto"/>
        <w:jc w:val="center"/>
        <w:rPr>
          <w:szCs w:val="24"/>
        </w:rPr>
      </w:pPr>
    </w:p>
    <w:p w14:paraId="14DC9543" w14:textId="04F3523E" w:rsidR="009826D6" w:rsidRPr="00BD7313" w:rsidRDefault="009826D6" w:rsidP="009826D6">
      <w:pPr>
        <w:spacing w:line="259" w:lineRule="auto"/>
        <w:jc w:val="both"/>
        <w:rPr>
          <w:szCs w:val="24"/>
        </w:rPr>
      </w:pPr>
      <w:proofErr w:type="spellStart"/>
      <w:r w:rsidRPr="00BD7313">
        <w:rPr>
          <w:szCs w:val="24"/>
        </w:rPr>
        <w:t>Awodele</w:t>
      </w:r>
      <w:proofErr w:type="spellEnd"/>
      <w:r w:rsidRPr="00BD7313">
        <w:rPr>
          <w:szCs w:val="24"/>
        </w:rPr>
        <w:t xml:space="preserve"> et al. (2016) and Datta et al. (2018) found that weaknesses in medical waste management can pose serious health and environmental risks, and </w:t>
      </w:r>
      <w:proofErr w:type="spellStart"/>
      <w:r w:rsidRPr="00BD7313">
        <w:rPr>
          <w:szCs w:val="24"/>
        </w:rPr>
        <w:t>emphasi</w:t>
      </w:r>
      <w:r w:rsidR="00E1079A">
        <w:rPr>
          <w:szCs w:val="24"/>
        </w:rPr>
        <w:t>s</w:t>
      </w:r>
      <w:r w:rsidRPr="00BD7313">
        <w:rPr>
          <w:szCs w:val="24"/>
        </w:rPr>
        <w:t>ed</w:t>
      </w:r>
      <w:proofErr w:type="spellEnd"/>
      <w:r w:rsidRPr="00BD7313">
        <w:rPr>
          <w:szCs w:val="24"/>
        </w:rPr>
        <w:t xml:space="preserve"> the importance of implementing Ministerial Regulation No. 56 of 2015 consistently </w:t>
      </w:r>
      <w:r w:rsidR="00E1079A">
        <w:rPr>
          <w:szCs w:val="24"/>
        </w:rPr>
        <w:t>to implement</w:t>
      </w:r>
      <w:r w:rsidRPr="00BD7313">
        <w:rPr>
          <w:szCs w:val="24"/>
        </w:rPr>
        <w:t xml:space="preserve"> every stage of management, particularly sorting, containerization, and transportation.</w:t>
      </w:r>
    </w:p>
    <w:p w14:paraId="6D56F5AB" w14:textId="5D52D577" w:rsidR="009826D6" w:rsidRPr="00BD7313" w:rsidRDefault="009826D6" w:rsidP="009826D6">
      <w:pPr>
        <w:spacing w:line="259" w:lineRule="auto"/>
        <w:jc w:val="both"/>
        <w:rPr>
          <w:szCs w:val="24"/>
        </w:rPr>
      </w:pPr>
      <w:proofErr w:type="spellStart"/>
      <w:r w:rsidRPr="00BD7313">
        <w:rPr>
          <w:szCs w:val="24"/>
        </w:rPr>
        <w:t>Damanhuri</w:t>
      </w:r>
      <w:proofErr w:type="spellEnd"/>
      <w:r w:rsidRPr="00BD7313">
        <w:rPr>
          <w:szCs w:val="24"/>
        </w:rPr>
        <w:t xml:space="preserve"> (2010) stated that hospital waste management must be implemented comprehensively, encompassing facilities, finances, and </w:t>
      </w:r>
      <w:proofErr w:type="spellStart"/>
      <w:r w:rsidRPr="00BD7313">
        <w:rPr>
          <w:szCs w:val="24"/>
        </w:rPr>
        <w:t>organi</w:t>
      </w:r>
      <w:r w:rsidR="00E1079A">
        <w:rPr>
          <w:szCs w:val="24"/>
        </w:rPr>
        <w:t>s</w:t>
      </w:r>
      <w:r w:rsidRPr="00BD7313">
        <w:rPr>
          <w:szCs w:val="24"/>
        </w:rPr>
        <w:t>ational</w:t>
      </w:r>
      <w:proofErr w:type="spellEnd"/>
      <w:r w:rsidRPr="00BD7313">
        <w:rPr>
          <w:szCs w:val="24"/>
        </w:rPr>
        <w:t xml:space="preserve"> governance to meet environmental health requirements. Medical waste can contain pathogenic microorganisms such as bacteria, viruses, and fungi (WHO &amp; UNICEF, 2020), which, if not handled properly, can pollute the environment and increase the risk of infection. Poor management, including mishandling of contaminated materials or inadequate waste treatment equipment, exacerbates this risk (Altin et al., 2003).</w:t>
      </w:r>
    </w:p>
    <w:p w14:paraId="3C1B8227" w14:textId="77777777" w:rsidR="009826D6" w:rsidRDefault="009826D6" w:rsidP="009826D6">
      <w:pPr>
        <w:spacing w:line="259" w:lineRule="auto"/>
        <w:jc w:val="both"/>
        <w:rPr>
          <w:szCs w:val="24"/>
        </w:rPr>
      </w:pPr>
      <w:r w:rsidRPr="00BD7313">
        <w:rPr>
          <w:szCs w:val="24"/>
        </w:rPr>
        <w:t>Based on field observations, the hospital's waste management system does not fully comply with Circular Letter (SE.2/MENLHK/PSLB3/PLB.3/3/2020) concerning the Management of Infectious Waste (Solid Medical Hazardous Waste) and Household Waste. Hospitals located near densely populated residential areas increase the risk of community exposure to infectious waste, primarily due to the lack of transportation signs, inadequate waste segregation, and the daily increasing volume of waste handling, hazmat suits, and injection vials. This situation suggests that unstandardized medical waste management can pose a double risk of physical injury and disease transmission (</w:t>
      </w:r>
      <w:proofErr w:type="spellStart"/>
      <w:r w:rsidRPr="00BD7313">
        <w:rPr>
          <w:szCs w:val="24"/>
        </w:rPr>
        <w:t>Choidiyah</w:t>
      </w:r>
      <w:proofErr w:type="spellEnd"/>
      <w:r w:rsidRPr="00BD7313">
        <w:rPr>
          <w:szCs w:val="24"/>
        </w:rPr>
        <w:t xml:space="preserve"> et al., 2019).</w:t>
      </w:r>
    </w:p>
    <w:p w14:paraId="065CF4B4" w14:textId="77777777" w:rsidR="009826D6" w:rsidRPr="00BD7313" w:rsidRDefault="009826D6" w:rsidP="009826D6">
      <w:pPr>
        <w:spacing w:line="259" w:lineRule="auto"/>
        <w:jc w:val="both"/>
        <w:rPr>
          <w:szCs w:val="24"/>
        </w:rPr>
      </w:pPr>
      <w:r w:rsidRPr="00BD7313">
        <w:rPr>
          <w:szCs w:val="24"/>
        </w:rPr>
        <w:t xml:space="preserve">Mizwar (2012) emphasized the importance of spatial assessment, regional feasibility, and criteria-based analysis in determining the location of waste management facilities, including landfills. Multi-criteria </w:t>
      </w:r>
      <w:proofErr w:type="gramStart"/>
      <w:r w:rsidRPr="00BD7313">
        <w:rPr>
          <w:szCs w:val="24"/>
        </w:rPr>
        <w:t>approaches</w:t>
      </w:r>
      <w:proofErr w:type="gramEnd"/>
      <w:r w:rsidRPr="00BD7313">
        <w:rPr>
          <w:szCs w:val="24"/>
        </w:rPr>
        <w:t xml:space="preserve"> such as AHP and WLC in the study demonstrated that distance to residential areas, geological conditions, transportation access, and buffer zones are important factors in minimizing environmental risks, as is the case with the transportation of solid medical hazardous waste, which requires safe routes, controlled distances, and mitigation of potential community exposure (Mizwar &amp; Kartini, 2016).</w:t>
      </w:r>
    </w:p>
    <w:p w14:paraId="37244B66" w14:textId="77777777" w:rsidR="009826D6" w:rsidRPr="00BD7313" w:rsidRDefault="009826D6" w:rsidP="009826D6">
      <w:pPr>
        <w:spacing w:line="259" w:lineRule="auto"/>
        <w:jc w:val="both"/>
        <w:rPr>
          <w:szCs w:val="24"/>
        </w:rPr>
      </w:pPr>
      <w:r w:rsidRPr="00BD7313">
        <w:rPr>
          <w:szCs w:val="24"/>
        </w:rPr>
        <w:t>The risks of transporting solid medical hazardous waste are also closely related to regional conditions and environmental capacity. Kadir et al. (2016) noted that increased human activity can impact environmental quality, necessitating restoration and conservation strategies. The Transportation of Solid Medical Hazardous Waste illustrates that every waste transfer process must consider environmental carrying capacity to avoid exacerbating the vulnerability of living spaces, particularly in areas already experiencing ecological stress.</w:t>
      </w:r>
    </w:p>
    <w:p w14:paraId="066D4FC4" w14:textId="691A27C4" w:rsidR="009826D6" w:rsidRPr="00BD7313" w:rsidRDefault="009826D6" w:rsidP="009826D6">
      <w:pPr>
        <w:spacing w:line="259" w:lineRule="auto"/>
        <w:jc w:val="both"/>
        <w:rPr>
          <w:szCs w:val="24"/>
        </w:rPr>
      </w:pPr>
      <w:r w:rsidRPr="00BD7313">
        <w:rPr>
          <w:szCs w:val="24"/>
        </w:rPr>
        <w:t>Strengthening</w:t>
      </w:r>
      <w:r>
        <w:rPr>
          <w:szCs w:val="24"/>
        </w:rPr>
        <w:t xml:space="preserve"> </w:t>
      </w:r>
      <w:r w:rsidRPr="00BD7313">
        <w:rPr>
          <w:szCs w:val="24"/>
        </w:rPr>
        <w:t xml:space="preserve">ergonomics, occupational safety training, routine supervision, and optimization of waste management facilities are still needed to continuously </w:t>
      </w:r>
      <w:proofErr w:type="spellStart"/>
      <w:r w:rsidRPr="00BD7313">
        <w:rPr>
          <w:szCs w:val="24"/>
        </w:rPr>
        <w:t>minimi</w:t>
      </w:r>
      <w:r w:rsidR="00E1079A">
        <w:rPr>
          <w:szCs w:val="24"/>
        </w:rPr>
        <w:t>s</w:t>
      </w:r>
      <w:r w:rsidRPr="00BD7313">
        <w:rPr>
          <w:szCs w:val="24"/>
        </w:rPr>
        <w:t>e</w:t>
      </w:r>
      <w:proofErr w:type="spellEnd"/>
      <w:r w:rsidRPr="00BD7313">
        <w:rPr>
          <w:szCs w:val="24"/>
        </w:rPr>
        <w:t xml:space="preserve"> occupational risks and ensure the safety and health of personnel at all stages of solid medical hazardous waste management. Abbad and Diyanah (2022) found that the hazardous medical waste management process does not comply with regulations, particularly in terms of reduction, sorting, containerization, and in-situ transportation. Infectious waste is mixed because proper sorting is not carried out, storage is not tailored to the type and characteristics of the waste, and labeling and symbolization are not carried out in an orderly manner.</w:t>
      </w:r>
    </w:p>
    <w:p w14:paraId="2A99BF29" w14:textId="77777777" w:rsidR="009826D6" w:rsidRPr="00BD7313" w:rsidRDefault="009826D6" w:rsidP="009826D6">
      <w:pPr>
        <w:spacing w:line="259" w:lineRule="auto"/>
        <w:jc w:val="both"/>
        <w:rPr>
          <w:szCs w:val="24"/>
        </w:rPr>
      </w:pPr>
      <w:proofErr w:type="spellStart"/>
      <w:r w:rsidRPr="00BD7313">
        <w:rPr>
          <w:szCs w:val="24"/>
        </w:rPr>
        <w:t>Mahyudin</w:t>
      </w:r>
      <w:proofErr w:type="spellEnd"/>
      <w:r w:rsidRPr="00BD7313">
        <w:rPr>
          <w:szCs w:val="24"/>
        </w:rPr>
        <w:t xml:space="preserve"> et al. (2025) found that in hazardous waste management, the majority of the public does not understand the dangers of hazardous waste and does not separate it. This situation indicates that the general management system for solid medical hazardous waste, both in healthcare facilities and households, still faces challenges in terms of knowledge, behavior, and supporting facilities. Public ignorance of the dangers of solid medical hazardous waste increases the risk of exposure if leaks or accidents occur during transportation. Your research indicates that the transportation of solid medical </w:t>
      </w:r>
      <w:r w:rsidRPr="00BD7313">
        <w:rPr>
          <w:szCs w:val="24"/>
        </w:rPr>
        <w:lastRenderedPageBreak/>
        <w:t>hazardous waste must be carried out professionally, in accordance with operational standards, and supported by competent transporters to minimize risks.</w:t>
      </w:r>
    </w:p>
    <w:p w14:paraId="67476122" w14:textId="77777777" w:rsidR="009826D6" w:rsidRDefault="009826D6" w:rsidP="009826D6">
      <w:pPr>
        <w:spacing w:line="259" w:lineRule="auto"/>
        <w:jc w:val="both"/>
        <w:rPr>
          <w:szCs w:val="24"/>
        </w:rPr>
      </w:pPr>
      <w:r w:rsidRPr="00BD7313">
        <w:rPr>
          <w:szCs w:val="24"/>
        </w:rPr>
        <w:t>The risk of transporting solid medical hazardous waste is determined not only by internal factors such as vehicle infrastructure and personnel competence, but also by external factors such as regional conditions, spatial planning, environmental capacity, and community behavior. Risk management must be comprehensive, integrating technical, spatial, educational, and insti</w:t>
      </w:r>
      <w:bookmarkStart w:id="0" w:name="_GoBack"/>
      <w:bookmarkEnd w:id="0"/>
      <w:r w:rsidRPr="00BD7313">
        <w:rPr>
          <w:szCs w:val="24"/>
        </w:rPr>
        <w:t>tutional approaches, as emphasized by various supporting literature.</w:t>
      </w:r>
    </w:p>
    <w:p w14:paraId="38663C01" w14:textId="77777777" w:rsidR="00E053D0" w:rsidRDefault="00E053D0" w:rsidP="00441B6F">
      <w:pPr>
        <w:pStyle w:val="Body"/>
        <w:spacing w:after="0"/>
        <w:rPr>
          <w:rFonts w:ascii="Arial" w:hAnsi="Arial" w:cs="Arial"/>
        </w:rPr>
      </w:pPr>
    </w:p>
    <w:p w14:paraId="4518C65C" w14:textId="77777777" w:rsidR="00790ADA" w:rsidRPr="00FB3A86" w:rsidRDefault="00790ADA" w:rsidP="00441B6F">
      <w:pPr>
        <w:pStyle w:val="Body"/>
        <w:spacing w:after="0"/>
        <w:rPr>
          <w:rFonts w:ascii="Arial" w:hAnsi="Arial" w:cs="Arial"/>
        </w:rPr>
      </w:pPr>
    </w:p>
    <w:p w14:paraId="627E82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67023B" w14:textId="77777777" w:rsidR="00790ADA" w:rsidRPr="00FB3A86" w:rsidRDefault="00790ADA" w:rsidP="00441B6F">
      <w:pPr>
        <w:pStyle w:val="ConcHead"/>
        <w:spacing w:after="0"/>
        <w:jc w:val="both"/>
        <w:rPr>
          <w:rFonts w:ascii="Arial" w:hAnsi="Arial" w:cs="Arial"/>
        </w:rPr>
      </w:pPr>
    </w:p>
    <w:p w14:paraId="4CCD68CD" w14:textId="77777777" w:rsidR="00790ADA" w:rsidRDefault="009826D6" w:rsidP="00441B6F">
      <w:pPr>
        <w:pStyle w:val="Body"/>
        <w:spacing w:after="0"/>
        <w:rPr>
          <w:rFonts w:ascii="Arial" w:hAnsi="Arial" w:cs="Arial"/>
        </w:rPr>
      </w:pPr>
      <w:r w:rsidRPr="009826D6">
        <w:rPr>
          <w:rFonts w:ascii="Arial" w:hAnsi="Arial" w:cs="Arial"/>
        </w:rPr>
        <w:t xml:space="preserve">The technical and operational evaluation of solid medical hazardous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namely at Sultan </w:t>
      </w:r>
      <w:proofErr w:type="spellStart"/>
      <w:r w:rsidRPr="009826D6">
        <w:rPr>
          <w:rFonts w:ascii="Arial" w:hAnsi="Arial" w:cs="Arial"/>
        </w:rPr>
        <w:t>Suriansyah</w:t>
      </w:r>
      <w:proofErr w:type="spellEnd"/>
      <w:r w:rsidRPr="009826D6">
        <w:rPr>
          <w:rFonts w:ascii="Arial" w:hAnsi="Arial" w:cs="Arial"/>
        </w:rPr>
        <w:t xml:space="preserve"> Hospital, showed that the implementation of management was still in the less appropriate category, with a total score of 65.26%, while the technical and operational evaluation of solid medical hazardous waste management at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showed that the implementation of management was still in the appropriate category, with a total score of 73.33%.</w:t>
      </w:r>
    </w:p>
    <w:p w14:paraId="7F3A525E" w14:textId="77777777" w:rsidR="009826D6" w:rsidRPr="00FB3A86" w:rsidRDefault="009826D6" w:rsidP="00441B6F">
      <w:pPr>
        <w:pStyle w:val="Body"/>
        <w:spacing w:after="0"/>
        <w:rPr>
          <w:rFonts w:ascii="Arial" w:hAnsi="Arial" w:cs="Arial"/>
        </w:rPr>
      </w:pPr>
    </w:p>
    <w:p w14:paraId="7B76CE71" w14:textId="77777777" w:rsidR="00315186" w:rsidRPr="00315186" w:rsidRDefault="00315186" w:rsidP="00441B6F"/>
    <w:p w14:paraId="02BE0381" w14:textId="77777777" w:rsidR="00AC752F" w:rsidRDefault="00AC752F" w:rsidP="00441B6F">
      <w:pPr>
        <w:pStyle w:val="ReferHead"/>
        <w:spacing w:after="0"/>
        <w:jc w:val="both"/>
        <w:rPr>
          <w:rFonts w:ascii="Arial" w:hAnsi="Arial" w:cs="Arial"/>
          <w:b w:val="0"/>
          <w:caps w:val="0"/>
          <w:sz w:val="20"/>
        </w:rPr>
      </w:pPr>
    </w:p>
    <w:p w14:paraId="4E9917FF"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0C08165" w14:textId="2A82F94C" w:rsidR="003D350F" w:rsidRDefault="002D1241" w:rsidP="00441B6F">
      <w:pPr>
        <w:pStyle w:val="ReferHead"/>
        <w:spacing w:after="0"/>
        <w:jc w:val="both"/>
        <w:rPr>
          <w:rFonts w:ascii="Arial" w:hAnsi="Arial" w:cs="Arial"/>
          <w:b w:val="0"/>
          <w:caps w:val="0"/>
          <w:sz w:val="20"/>
        </w:rPr>
      </w:pPr>
      <w:r w:rsidRPr="002D1241">
        <w:rPr>
          <w:rFonts w:ascii="Arial" w:hAnsi="Arial" w:cs="Arial"/>
          <w:b w:val="0"/>
          <w:caps w:val="0"/>
          <w:sz w:val="20"/>
        </w:rPr>
        <w:t>As per international standards or university standards, respondents’ written consent has been collected and preserved by the author(s).</w:t>
      </w:r>
    </w:p>
    <w:p w14:paraId="7DA2A555" w14:textId="77777777" w:rsidR="002D1241" w:rsidRDefault="002D1241" w:rsidP="00441B6F">
      <w:pPr>
        <w:pStyle w:val="ReferHead"/>
        <w:spacing w:after="0"/>
        <w:jc w:val="both"/>
        <w:rPr>
          <w:rFonts w:ascii="Arial" w:hAnsi="Arial" w:cs="Arial"/>
          <w:b w:val="0"/>
          <w:caps w:val="0"/>
          <w:sz w:val="20"/>
        </w:rPr>
      </w:pPr>
    </w:p>
    <w:p w14:paraId="6A5F5222" w14:textId="77777777" w:rsidR="003D350F" w:rsidRPr="002D1241" w:rsidRDefault="003D350F" w:rsidP="003D350F">
      <w:pPr>
        <w:rPr>
          <w:rFonts w:ascii="Calibri" w:eastAsia="Calibri" w:hAnsi="Calibri"/>
          <w:b/>
          <w:kern w:val="2"/>
          <w:highlight w:val="yellow"/>
        </w:rPr>
      </w:pPr>
      <w:bookmarkStart w:id="1" w:name="_Hlk204003461"/>
      <w:bookmarkStart w:id="2" w:name="_Hlk213070710"/>
      <w:r w:rsidRPr="002D1241">
        <w:rPr>
          <w:rFonts w:ascii="Calibri" w:eastAsia="Calibri" w:hAnsi="Calibri"/>
          <w:b/>
          <w:kern w:val="2"/>
          <w:highlight w:val="yellow"/>
        </w:rPr>
        <w:t>Disclaimer (Artificial intelligence)</w:t>
      </w:r>
    </w:p>
    <w:p w14:paraId="6167A4E8" w14:textId="77777777" w:rsidR="00136A0F" w:rsidRDefault="00136A0F" w:rsidP="003D350F">
      <w:pPr>
        <w:rPr>
          <w:rFonts w:ascii="Calibri" w:eastAsia="Calibri" w:hAnsi="Calibri"/>
          <w:kern w:val="2"/>
          <w:highlight w:val="yellow"/>
        </w:rPr>
      </w:pPr>
    </w:p>
    <w:p w14:paraId="30C348FC" w14:textId="63ADAE14" w:rsidR="003D350F" w:rsidRDefault="003D350F" w:rsidP="003D350F">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18FC2D61" w14:textId="77777777" w:rsidR="002D1241" w:rsidRDefault="002D1241" w:rsidP="003D350F">
      <w:pPr>
        <w:rPr>
          <w:rFonts w:ascii="Calibri" w:eastAsia="Calibri" w:hAnsi="Calibri"/>
          <w:kern w:val="2"/>
          <w:highlight w:val="yellow"/>
        </w:rPr>
      </w:pPr>
    </w:p>
    <w:bookmarkEnd w:id="1"/>
    <w:bookmarkEnd w:id="2"/>
    <w:p w14:paraId="5A317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54DD6" w14:textId="77777777" w:rsidR="00790ADA" w:rsidRPr="00FB3A86" w:rsidRDefault="00790ADA" w:rsidP="00441B6F">
      <w:pPr>
        <w:pStyle w:val="ReferHead"/>
        <w:spacing w:after="0"/>
        <w:jc w:val="both"/>
        <w:rPr>
          <w:rFonts w:ascii="Arial" w:hAnsi="Arial" w:cs="Arial"/>
        </w:rPr>
      </w:pPr>
    </w:p>
    <w:p w14:paraId="21A7E8C8" w14:textId="46C96758" w:rsidR="00AC752F" w:rsidRDefault="00F56D68" w:rsidP="00ED3BCD">
      <w:pPr>
        <w:pStyle w:val="Body"/>
        <w:spacing w:after="0"/>
      </w:pPr>
      <w:r w:rsidRPr="00F56D68">
        <w:t xml:space="preserve">Abbad, R. S., &amp; Diyanah, K. C. (2022). Analysis of Medical Waste Hazardous Management at Dr. R. </w:t>
      </w:r>
      <w:proofErr w:type="spellStart"/>
      <w:r w:rsidRPr="00F56D68">
        <w:t>Sosodoro</w:t>
      </w:r>
      <w:proofErr w:type="spellEnd"/>
      <w:r w:rsidRPr="00F56D68">
        <w:t xml:space="preserve"> </w:t>
      </w:r>
      <w:proofErr w:type="spellStart"/>
      <w:r w:rsidRPr="00F56D68">
        <w:t>Djatikoesoemo</w:t>
      </w:r>
      <w:proofErr w:type="spellEnd"/>
      <w:r w:rsidRPr="00F56D68">
        <w:t xml:space="preserve"> Regional General Hospital, </w:t>
      </w:r>
      <w:proofErr w:type="spellStart"/>
      <w:r w:rsidRPr="00F56D68">
        <w:t>Bojonegoro</w:t>
      </w:r>
      <w:proofErr w:type="spellEnd"/>
      <w:r w:rsidRPr="00F56D68">
        <w:t xml:space="preserve">. Media </w:t>
      </w:r>
      <w:proofErr w:type="spellStart"/>
      <w:r w:rsidRPr="00F56D68">
        <w:t>Gizi</w:t>
      </w:r>
      <w:proofErr w:type="spellEnd"/>
      <w:r w:rsidRPr="00F56D68">
        <w:t xml:space="preserve"> </w:t>
      </w:r>
      <w:proofErr w:type="spellStart"/>
      <w:r w:rsidRPr="00F56D68">
        <w:t>Kesmas</w:t>
      </w:r>
      <w:proofErr w:type="spellEnd"/>
      <w:r w:rsidRPr="00F56D68">
        <w:t xml:space="preserve">, 11(2), 494–499. </w:t>
      </w:r>
      <w:hyperlink r:id="rId15" w:history="1">
        <w:r w:rsidRPr="003068E5">
          <w:rPr>
            <w:rStyle w:val="Hyperlink"/>
          </w:rPr>
          <w:t>https://doi.org/10.20473/mgk.v11i2.2022.494-499</w:t>
        </w:r>
      </w:hyperlink>
      <w:r>
        <w:t xml:space="preserve"> </w:t>
      </w:r>
      <w:r w:rsidR="00AC752F">
        <w:t xml:space="preserve"> </w:t>
      </w:r>
    </w:p>
    <w:p w14:paraId="4199F28F" w14:textId="288B3123" w:rsidR="00AC752F" w:rsidRDefault="00F56D68" w:rsidP="00ED3BCD">
      <w:pPr>
        <w:pStyle w:val="Body"/>
        <w:spacing w:after="0"/>
      </w:pPr>
      <w:r w:rsidRPr="00F56D68">
        <w:t xml:space="preserve">Altin, S., Altin, A., </w:t>
      </w:r>
      <w:proofErr w:type="spellStart"/>
      <w:r w:rsidRPr="00F56D68">
        <w:t>Elevli</w:t>
      </w:r>
      <w:proofErr w:type="spellEnd"/>
      <w:r w:rsidRPr="00F56D68">
        <w:t xml:space="preserve">, B., &amp; Cerit, O. (2003). Determination of hospital waste composition and disposal methods: A case study. Polish Journal of Environmental Studies, 12(2), 251–255. </w:t>
      </w:r>
      <w:hyperlink r:id="rId16" w:history="1">
        <w:r w:rsidRPr="003068E5">
          <w:rPr>
            <w:rStyle w:val="Hyperlink"/>
          </w:rPr>
          <w:t>https://www.pjoes.com/pdf-87553-21412?filename=Determination%20of%20Hospital.pdf</w:t>
        </w:r>
      </w:hyperlink>
      <w:r>
        <w:t xml:space="preserve"> </w:t>
      </w:r>
      <w:r w:rsidR="00AC752F">
        <w:t xml:space="preserve"> </w:t>
      </w:r>
    </w:p>
    <w:p w14:paraId="49FB30BD" w14:textId="43F35325" w:rsidR="00AC752F" w:rsidRDefault="00255757" w:rsidP="00ED3BCD">
      <w:pPr>
        <w:pStyle w:val="Body"/>
        <w:spacing w:after="0"/>
      </w:pPr>
      <w:proofErr w:type="spellStart"/>
      <w:r w:rsidRPr="00255757">
        <w:t>Awodele</w:t>
      </w:r>
      <w:proofErr w:type="spellEnd"/>
      <w:r w:rsidRPr="00255757">
        <w:t xml:space="preserve">, O., </w:t>
      </w:r>
      <w:proofErr w:type="spellStart"/>
      <w:r w:rsidRPr="00255757">
        <w:t>Adewoye</w:t>
      </w:r>
      <w:proofErr w:type="spellEnd"/>
      <w:r w:rsidRPr="00255757">
        <w:t xml:space="preserve">, A. A., &amp; Oparah, A. C. (2016). Assessment of medical waste management in seven hospitals in Lagos, Nigeria. BMC Public Health, 16, Article 269. </w:t>
      </w:r>
      <w:hyperlink r:id="rId17" w:history="1">
        <w:r w:rsidRPr="003068E5">
          <w:rPr>
            <w:rStyle w:val="Hyperlink"/>
          </w:rPr>
          <w:t>https://doi.org/10.1186/s12889-016-2916-1</w:t>
        </w:r>
      </w:hyperlink>
      <w:r>
        <w:t xml:space="preserve"> </w:t>
      </w:r>
      <w:r w:rsidR="00AC752F">
        <w:t xml:space="preserve"> </w:t>
      </w:r>
    </w:p>
    <w:p w14:paraId="4489A5DE" w14:textId="5947420E" w:rsidR="00AC752F" w:rsidRDefault="00D965B3" w:rsidP="00ED3BCD">
      <w:pPr>
        <w:pStyle w:val="Body"/>
        <w:spacing w:after="0"/>
      </w:pPr>
      <w:proofErr w:type="spellStart"/>
      <w:r w:rsidRPr="00D965B3">
        <w:t>Choidiyah</w:t>
      </w:r>
      <w:proofErr w:type="spellEnd"/>
      <w:r w:rsidRPr="00D965B3">
        <w:t xml:space="preserve">, S., Joko, T., &amp; </w:t>
      </w:r>
      <w:proofErr w:type="spellStart"/>
      <w:r w:rsidRPr="00D965B3">
        <w:t>Setiani</w:t>
      </w:r>
      <w:proofErr w:type="spellEnd"/>
      <w:r w:rsidRPr="00D965B3">
        <w:t xml:space="preserve">, O. (2018). PENGELOLAAN LIMBAH BAHAN BERBAHAYA DAN BERACUN (LB3) DITINJAU DARI INDEKS PROPER DI RSUD TUGUREJO SEMARANG. </w:t>
      </w:r>
      <w:proofErr w:type="spellStart"/>
      <w:r w:rsidRPr="00D965B3">
        <w:t>Jurnal</w:t>
      </w:r>
      <w:proofErr w:type="spellEnd"/>
      <w:r w:rsidRPr="00D965B3">
        <w:t xml:space="preserve"> </w:t>
      </w:r>
      <w:proofErr w:type="spellStart"/>
      <w:r w:rsidRPr="00D965B3">
        <w:t>Kesehatan</w:t>
      </w:r>
      <w:proofErr w:type="spellEnd"/>
      <w:r w:rsidRPr="00D965B3">
        <w:t xml:space="preserve"> Masyarakat, 6(4), 515–524. </w:t>
      </w:r>
      <w:hyperlink r:id="rId18" w:history="1">
        <w:r w:rsidRPr="003068E5">
          <w:rPr>
            <w:rStyle w:val="Hyperlink"/>
          </w:rPr>
          <w:t>https://doi.org/10.14710/jkm.v6i4.21460</w:t>
        </w:r>
      </w:hyperlink>
      <w:r>
        <w:t xml:space="preserve"> </w:t>
      </w:r>
      <w:r w:rsidR="00AC752F">
        <w:t xml:space="preserve"> </w:t>
      </w:r>
    </w:p>
    <w:p w14:paraId="6FACFC01" w14:textId="77777777" w:rsidR="00AC752F" w:rsidRDefault="00AC752F" w:rsidP="00ED3BCD">
      <w:pPr>
        <w:pStyle w:val="Body"/>
        <w:spacing w:after="0"/>
      </w:pPr>
      <w:proofErr w:type="spellStart"/>
      <w:r>
        <w:t>Damanhuri</w:t>
      </w:r>
      <w:proofErr w:type="spellEnd"/>
      <w:r>
        <w:t xml:space="preserve">, E. (2010). Hazardous and Toxic Material Management. Bandung. https://journal.bkpsl.org/index.php/jplb/article/view/476 </w:t>
      </w:r>
    </w:p>
    <w:p w14:paraId="5A4CA1B5" w14:textId="31174225" w:rsidR="00AC752F" w:rsidRDefault="0096600B" w:rsidP="00ED3BCD">
      <w:pPr>
        <w:pStyle w:val="Body"/>
        <w:spacing w:after="0"/>
      </w:pPr>
      <w:r w:rsidRPr="0096600B">
        <w:t xml:space="preserve">Datta, P., </w:t>
      </w:r>
      <w:proofErr w:type="spellStart"/>
      <w:r w:rsidRPr="0096600B">
        <w:t>Mohi</w:t>
      </w:r>
      <w:proofErr w:type="spellEnd"/>
      <w:r w:rsidRPr="0096600B">
        <w:t xml:space="preserve">, G., &amp; Chander, J. (2018). Biomedical waste management in India: Critical appraisal. Journal of Laboratory Physicians, 10(1), 6–14. </w:t>
      </w:r>
      <w:hyperlink r:id="rId19" w:history="1">
        <w:r w:rsidRPr="003068E5">
          <w:rPr>
            <w:rStyle w:val="Hyperlink"/>
          </w:rPr>
          <w:t>https://doi.org/10.4103/JLP.JLP_89_17</w:t>
        </w:r>
      </w:hyperlink>
      <w:r>
        <w:t xml:space="preserve"> </w:t>
      </w:r>
      <w:r w:rsidR="00AC752F">
        <w:t xml:space="preserve"> </w:t>
      </w:r>
    </w:p>
    <w:p w14:paraId="7F337C0F" w14:textId="25A8D653" w:rsidR="00AC752F" w:rsidRDefault="00741E1C" w:rsidP="00ED3BCD">
      <w:pPr>
        <w:pStyle w:val="Body"/>
        <w:spacing w:after="0"/>
      </w:pPr>
      <w:r w:rsidRPr="00741E1C">
        <w:t xml:space="preserve">Kadir, S., </w:t>
      </w:r>
      <w:proofErr w:type="spellStart"/>
      <w:r w:rsidRPr="00741E1C">
        <w:t>Badaruddin</w:t>
      </w:r>
      <w:proofErr w:type="spellEnd"/>
      <w:r w:rsidRPr="00741E1C">
        <w:t xml:space="preserve">, N., </w:t>
      </w:r>
      <w:proofErr w:type="spellStart"/>
      <w:r w:rsidRPr="00741E1C">
        <w:t>Nurlina</w:t>
      </w:r>
      <w:proofErr w:type="spellEnd"/>
      <w:r w:rsidRPr="00741E1C">
        <w:t xml:space="preserve">, I., Ridwan, I., &amp; </w:t>
      </w:r>
      <w:proofErr w:type="spellStart"/>
      <w:r w:rsidRPr="00741E1C">
        <w:t>Rianawaty</w:t>
      </w:r>
      <w:proofErr w:type="spellEnd"/>
      <w:r w:rsidRPr="00741E1C">
        <w:t xml:space="preserve">, F. (2016). The recovery of </w:t>
      </w:r>
      <w:proofErr w:type="spellStart"/>
      <w:r w:rsidRPr="00741E1C">
        <w:t>Tabunio</w:t>
      </w:r>
      <w:proofErr w:type="spellEnd"/>
      <w:r w:rsidRPr="00741E1C">
        <w:t xml:space="preserve"> Watershed through enrichment planting using ecologically and economically valuable species in South Kalimantan, Indonesia. </w:t>
      </w:r>
      <w:proofErr w:type="spellStart"/>
      <w:r w:rsidRPr="00741E1C">
        <w:t>Biodiversitas</w:t>
      </w:r>
      <w:proofErr w:type="spellEnd"/>
      <w:r w:rsidRPr="00741E1C">
        <w:t xml:space="preserve">, 17(1), 140–147. </w:t>
      </w:r>
      <w:hyperlink r:id="rId20" w:history="1">
        <w:r w:rsidRPr="003068E5">
          <w:rPr>
            <w:rStyle w:val="Hyperlink"/>
          </w:rPr>
          <w:t>https://doi.org/10.13057/biodiv/d170121</w:t>
        </w:r>
      </w:hyperlink>
      <w:r>
        <w:t xml:space="preserve"> </w:t>
      </w:r>
      <w:r w:rsidR="00AC752F">
        <w:t xml:space="preserve"> </w:t>
      </w:r>
    </w:p>
    <w:p w14:paraId="752B5697" w14:textId="77777777" w:rsidR="00AC752F" w:rsidRDefault="00AC752F" w:rsidP="00ED3BCD">
      <w:pPr>
        <w:pStyle w:val="Body"/>
        <w:spacing w:after="0"/>
      </w:pPr>
      <w:r>
        <w:t xml:space="preserve">Maharani, S., Kartini, A. M., &amp; </w:t>
      </w:r>
      <w:proofErr w:type="spellStart"/>
      <w:r>
        <w:t>Fildzah</w:t>
      </w:r>
      <w:proofErr w:type="spellEnd"/>
      <w:r>
        <w:t xml:space="preserve">, C. A. (2023). Evaluation of Hazardous and Toxic Waste Management at the X District Regional General Hospital. Theoretical and Applied Journal of Environmental Engineering, 3(1). https://journal.ipb.ac.id/jpsl/article/view/54484 </w:t>
      </w:r>
    </w:p>
    <w:p w14:paraId="1AA5C489" w14:textId="67BC92F0" w:rsidR="00AC752F" w:rsidRDefault="00AC752F" w:rsidP="00ED3BCD">
      <w:pPr>
        <w:pStyle w:val="Body"/>
        <w:spacing w:after="0"/>
      </w:pPr>
      <w:proofErr w:type="spellStart"/>
      <w:r>
        <w:t>Mahyudin</w:t>
      </w:r>
      <w:proofErr w:type="spellEnd"/>
      <w:r>
        <w:t xml:space="preserve">, R. P., Husin, M., </w:t>
      </w:r>
      <w:proofErr w:type="spellStart"/>
      <w:r>
        <w:t>Firdausy</w:t>
      </w:r>
      <w:proofErr w:type="spellEnd"/>
      <w:r>
        <w:t xml:space="preserve">, M. A., </w:t>
      </w:r>
      <w:proofErr w:type="spellStart"/>
      <w:r>
        <w:t>Ridhayah</w:t>
      </w:r>
      <w:proofErr w:type="spellEnd"/>
      <w:r>
        <w:t xml:space="preserve">, Y., </w:t>
      </w:r>
      <w:proofErr w:type="spellStart"/>
      <w:r>
        <w:t>Mahreda</w:t>
      </w:r>
      <w:proofErr w:type="spellEnd"/>
      <w:r>
        <w:t xml:space="preserve">, E. S., &amp; </w:t>
      </w:r>
      <w:proofErr w:type="spellStart"/>
      <w:r>
        <w:t>Mahyudin</w:t>
      </w:r>
      <w:proofErr w:type="spellEnd"/>
      <w:r>
        <w:t xml:space="preserve">, I. (2025). Study of household hazardous and toxic waste management patterns in Banjar Regency. </w:t>
      </w:r>
      <w:proofErr w:type="spellStart"/>
      <w:r>
        <w:t>Jukung</w:t>
      </w:r>
      <w:proofErr w:type="spellEnd"/>
      <w:r>
        <w:t xml:space="preserve"> Environmental Engineering Journal, 11(1), 40–49.  </w:t>
      </w:r>
      <w:hyperlink r:id="rId21" w:history="1">
        <w:r w:rsidR="0000729F" w:rsidRPr="003068E5">
          <w:rPr>
            <w:rStyle w:val="Hyperlink"/>
          </w:rPr>
          <w:t>https://doi.org/10.20527/jukung.v11i1.22218</w:t>
        </w:r>
      </w:hyperlink>
      <w:r w:rsidR="0000729F">
        <w:t xml:space="preserve"> </w:t>
      </w:r>
    </w:p>
    <w:p w14:paraId="647181FA" w14:textId="05078729" w:rsidR="00AC752F" w:rsidRDefault="00AC752F" w:rsidP="00ED3BCD">
      <w:pPr>
        <w:pStyle w:val="Body"/>
        <w:spacing w:after="0"/>
      </w:pPr>
      <w:r>
        <w:t xml:space="preserve">Mizwar, A. (2012). Determining the location of the final waste processing site (TPA) in </w:t>
      </w:r>
      <w:proofErr w:type="spellStart"/>
      <w:r>
        <w:t>Banjarbaru</w:t>
      </w:r>
      <w:proofErr w:type="spellEnd"/>
      <w:r>
        <w:t xml:space="preserve"> City using a Geographic Information System (GIS). </w:t>
      </w:r>
      <w:proofErr w:type="spellStart"/>
      <w:r>
        <w:t>EnviroScienteae</w:t>
      </w:r>
      <w:proofErr w:type="spellEnd"/>
      <w:r>
        <w:t xml:space="preserve">, 8, 16–22. </w:t>
      </w:r>
      <w:hyperlink r:id="rId22" w:history="1">
        <w:r w:rsidR="006D3764" w:rsidRPr="003068E5">
          <w:rPr>
            <w:rStyle w:val="Hyperlink"/>
          </w:rPr>
          <w:t>https://ppjp.ulm.ac.id/journal/index.php/es/article/view/2062/0</w:t>
        </w:r>
      </w:hyperlink>
      <w:r w:rsidR="006D3764">
        <w:t xml:space="preserve"> </w:t>
      </w:r>
    </w:p>
    <w:p w14:paraId="71943539" w14:textId="4D1BBA60" w:rsidR="00AC752F" w:rsidRDefault="00AC752F" w:rsidP="00ED3BCD">
      <w:pPr>
        <w:pStyle w:val="Body"/>
        <w:spacing w:after="0"/>
      </w:pPr>
      <w:r>
        <w:t xml:space="preserve">Mizwar, A., &amp; Kartini, P. R. (2016). Application of Geographic Information Systems (GIS) for mapping the distribution of illegal waste dumps in </w:t>
      </w:r>
      <w:proofErr w:type="spellStart"/>
      <w:r>
        <w:t>Banjarbaru</w:t>
      </w:r>
      <w:proofErr w:type="spellEnd"/>
      <w:r>
        <w:t xml:space="preserve"> City, South Kalimantan. </w:t>
      </w:r>
      <w:proofErr w:type="spellStart"/>
      <w:r>
        <w:t>Jurnal</w:t>
      </w:r>
      <w:proofErr w:type="spellEnd"/>
      <w:r>
        <w:t xml:space="preserve"> </w:t>
      </w:r>
      <w:proofErr w:type="spellStart"/>
      <w:r>
        <w:t>Jukung</w:t>
      </w:r>
      <w:proofErr w:type="spellEnd"/>
      <w:r>
        <w:t xml:space="preserve">, 2(1):13-24. </w:t>
      </w:r>
      <w:hyperlink r:id="rId23" w:history="1">
        <w:r w:rsidR="0080271B" w:rsidRPr="003068E5">
          <w:rPr>
            <w:rStyle w:val="Hyperlink"/>
          </w:rPr>
          <w:t>https://ppjp.ulm.ac.id/journal/index.php/jukung/article/view/1058/0</w:t>
        </w:r>
      </w:hyperlink>
      <w:r w:rsidR="0080271B">
        <w:t xml:space="preserve"> </w:t>
      </w:r>
      <w:r>
        <w:t xml:space="preserve"> </w:t>
      </w:r>
    </w:p>
    <w:p w14:paraId="5DCAD101" w14:textId="09D5866C" w:rsidR="00AC752F" w:rsidRDefault="00701D53" w:rsidP="00ED3BCD">
      <w:pPr>
        <w:pStyle w:val="Body"/>
        <w:spacing w:after="0"/>
      </w:pPr>
      <w:r w:rsidRPr="00701D53">
        <w:lastRenderedPageBreak/>
        <w:t xml:space="preserve">Ministry of Health of the Republic of Indonesia. (2020). Regulation of the Minister of Health of the Republic of Indonesia Number 3 of 2020 concerning Hospital Classification and Licensing. </w:t>
      </w:r>
      <w:hyperlink r:id="rId24" w:history="1">
        <w:r w:rsidRPr="003068E5">
          <w:rPr>
            <w:rStyle w:val="Hyperlink"/>
          </w:rPr>
          <w:t>https://peraturan.bpk.go.id/Home/Details/130000/peraturan-menteri-kesehatan-nomor-3-tahun-2020</w:t>
        </w:r>
      </w:hyperlink>
      <w:r>
        <w:t xml:space="preserve"> </w:t>
      </w:r>
      <w:r w:rsidR="00AC752F">
        <w:t xml:space="preserve"> </w:t>
      </w:r>
    </w:p>
    <w:p w14:paraId="48C0F299" w14:textId="77777777" w:rsidR="00AC752F" w:rsidRDefault="00AC752F" w:rsidP="00ED3BCD">
      <w:pPr>
        <w:pStyle w:val="Body"/>
        <w:spacing w:after="0"/>
      </w:pPr>
      <w:r>
        <w:t>Regulation of the Minister of Environment and Forestry Number 56 of 2015 concerning Procedures and Technical Requirements for the Management of Hazardous and Toxic Waste. (2015). Jakarta: Ministry of Environment and Forestry. https://www.makarim.com/news/the-government-introduced-new-health-care-obligations-for-hospitals</w:t>
      </w:r>
    </w:p>
    <w:p w14:paraId="2D27AC41" w14:textId="32DC06D1" w:rsidR="00AC752F" w:rsidRDefault="00AC752F" w:rsidP="00ED3BCD">
      <w:pPr>
        <w:pStyle w:val="Body"/>
        <w:spacing w:after="0"/>
      </w:pPr>
      <w:r>
        <w:t xml:space="preserve">Regulation of the Minister of Environment and Forestry of the Republic of Indonesia Number 6 of 2021 concerning Procedures and Requirements for the Management of Hazardous and Toxic Waste. (2021). Jakarta: Ministry of Environment and Forestry. </w:t>
      </w:r>
      <w:hyperlink r:id="rId25" w:history="1">
        <w:r w:rsidR="00060BB0" w:rsidRPr="003068E5">
          <w:rPr>
            <w:rStyle w:val="Hyperlink"/>
          </w:rPr>
          <w:t>https://peraturan.go.id/permen/lhk/no-6-tahun-2021-tentang-tata-cara-dan-persyaratan-pengelolaan-limbah-bahan-berbahaya-dan-beracun</w:t>
        </w:r>
      </w:hyperlink>
      <w:r w:rsidR="00060BB0">
        <w:t xml:space="preserve"> </w:t>
      </w:r>
    </w:p>
    <w:p w14:paraId="6607F6D4" w14:textId="316D5E99" w:rsidR="00AC752F" w:rsidRDefault="00AC752F" w:rsidP="00ED3BCD">
      <w:pPr>
        <w:pStyle w:val="Body"/>
        <w:spacing w:after="0"/>
      </w:pPr>
      <w:r>
        <w:t xml:space="preserve">Regulation of the Minister of Environment Number 14 of 2013 concerning Symbols and Labels for Solid Medical Hazardous Waste. (2013). Jakarta: Ministry of Environment and Forestry. </w:t>
      </w:r>
      <w:hyperlink r:id="rId26" w:history="1">
        <w:r w:rsidR="00121221" w:rsidRPr="003068E5">
          <w:rPr>
            <w:rStyle w:val="Hyperlink"/>
          </w:rPr>
          <w:t>https://dlh.jakarta.go.id/peraturan-menteri-lingkungan-hidup-nomor-14-tahun-2013-tentang-simbol-dan-label-limbah-b3/</w:t>
        </w:r>
      </w:hyperlink>
      <w:r w:rsidR="00121221">
        <w:t xml:space="preserve"> </w:t>
      </w:r>
    </w:p>
    <w:p w14:paraId="5A950C37" w14:textId="0A903409" w:rsidR="00AC752F" w:rsidRDefault="00151AAD" w:rsidP="00ED3BCD">
      <w:pPr>
        <w:pStyle w:val="Body"/>
        <w:spacing w:after="0"/>
      </w:pPr>
      <w:r w:rsidRPr="00151AAD">
        <w:t xml:space="preserve">Central Government of Indonesia. (2021). Government Regulation Number 22 of 2021 concerning the Implementation of Environmental Protection and Management. </w:t>
      </w:r>
      <w:hyperlink r:id="rId27" w:history="1">
        <w:r w:rsidRPr="003068E5">
          <w:rPr>
            <w:rStyle w:val="Hyperlink"/>
          </w:rPr>
          <w:t>https://www.ecolex.org/details/legislation/government-regulation-no-22-of-2021-on-environmental-protection-organisation-and-management-lex-faoc203690/</w:t>
        </w:r>
      </w:hyperlink>
      <w:r>
        <w:t xml:space="preserve"> </w:t>
      </w:r>
    </w:p>
    <w:p w14:paraId="230274B9" w14:textId="5BBF86F4" w:rsidR="00AC752F" w:rsidRDefault="00161F45" w:rsidP="00ED3BCD">
      <w:pPr>
        <w:pStyle w:val="Body"/>
        <w:spacing w:after="0"/>
      </w:pPr>
      <w:r w:rsidRPr="00161F45">
        <w:t xml:space="preserve">Minister of Health of the Republic of Indonesia. (2020). Regulation of the Minister of Health of the Republic of Indonesia Number 21 of 2020 concerning the Strategic Plan of the Ministry of Health for 2020–2024. Ministry of Health. </w:t>
      </w:r>
      <w:hyperlink r:id="rId28" w:history="1">
        <w:r w:rsidRPr="003068E5">
          <w:rPr>
            <w:rStyle w:val="Hyperlink"/>
          </w:rPr>
          <w:t>https://peraturan.bpk.go.id/Home/Details/169000/peraturan-menteri-kesehatan-nomor-21-tahun-2020</w:t>
        </w:r>
      </w:hyperlink>
      <w:r>
        <w:t xml:space="preserve"> </w:t>
      </w:r>
    </w:p>
    <w:p w14:paraId="30448F69" w14:textId="28B5232B" w:rsidR="00AC752F" w:rsidRDefault="00AC752F" w:rsidP="00ED3BCD">
      <w:pPr>
        <w:pStyle w:val="Body"/>
        <w:spacing w:after="0"/>
      </w:pPr>
      <w:r>
        <w:t xml:space="preserve">Regulation of the Minister of Environment and Forestry No. 56. (2015). Procedures and Technical Requirements for the Management of Hazardous and Toxic Waste from Healthcare Facilities, 3 (July), 103–111. </w:t>
      </w:r>
      <w:hyperlink r:id="rId29" w:history="1">
        <w:r w:rsidR="00174954" w:rsidRPr="003068E5">
          <w:rPr>
            <w:rStyle w:val="Hyperlink"/>
          </w:rPr>
          <w:t>https://www.paralegal.id/peraturan/peraturan-menteri-lingkungan-hidup-dan-kehutanan-nomor-p56menlhk-setjen2015/</w:t>
        </w:r>
      </w:hyperlink>
      <w:r w:rsidR="00174954">
        <w:t xml:space="preserve"> </w:t>
      </w:r>
    </w:p>
    <w:p w14:paraId="513E7D72" w14:textId="7F31AECE" w:rsidR="00AC752F" w:rsidRDefault="00E33280" w:rsidP="00ED3BCD">
      <w:pPr>
        <w:pStyle w:val="Body"/>
        <w:spacing w:after="0"/>
      </w:pPr>
      <w:r w:rsidRPr="00E33280">
        <w:t xml:space="preserve">Government of the Republic of Indonesia. (2014). Government Regulation of the Republic of Indonesia Number 101 Year 2014 on Hazardous and Toxic Waste Management. Jakarta: Government of the Republic of Indonesia. </w:t>
      </w:r>
      <w:hyperlink r:id="rId30" w:history="1">
        <w:r w:rsidRPr="003068E5">
          <w:rPr>
            <w:rStyle w:val="Hyperlink"/>
          </w:rPr>
          <w:t>https://www.ecolex.org/details/regulation/regulation-of-the-government-of-the-republic-of-indonesia-no-101-of-2014-concerning-hazardous-and-toxic-waste-management-lex-faoc144000/</w:t>
        </w:r>
      </w:hyperlink>
      <w:r>
        <w:t xml:space="preserve"> </w:t>
      </w:r>
    </w:p>
    <w:p w14:paraId="655F5122" w14:textId="09D54E4E" w:rsidR="00790ADA" w:rsidRDefault="00815EFC" w:rsidP="00ED3BCD">
      <w:pPr>
        <w:pStyle w:val="Body"/>
        <w:spacing w:after="0"/>
      </w:pPr>
      <w:r w:rsidRPr="00815EFC">
        <w:t xml:space="preserve">Setiadi, F. N., &amp; </w:t>
      </w:r>
      <w:proofErr w:type="spellStart"/>
      <w:r w:rsidRPr="00815EFC">
        <w:t>Rosnawati</w:t>
      </w:r>
      <w:proofErr w:type="spellEnd"/>
      <w:r w:rsidRPr="00815EFC">
        <w:t xml:space="preserve">, E. (2024). Legal Framework and Issues in Hazardous Waste Management. Indonesian Journal of Law and Economics Review. </w:t>
      </w:r>
      <w:hyperlink r:id="rId31" w:history="1">
        <w:r w:rsidRPr="003068E5">
          <w:rPr>
            <w:rStyle w:val="Hyperlink"/>
          </w:rPr>
          <w:t>https://doi.org/10.21070/ijler.v19i4.1182</w:t>
        </w:r>
      </w:hyperlink>
      <w:r>
        <w:t xml:space="preserve"> </w:t>
      </w:r>
    </w:p>
    <w:p w14:paraId="14B87393" w14:textId="77777777" w:rsidR="00AC752F" w:rsidRPr="00FB3A86" w:rsidRDefault="00AC752F" w:rsidP="00AC752F">
      <w:pPr>
        <w:pStyle w:val="Body"/>
        <w:spacing w:after="0"/>
        <w:ind w:left="851" w:hanging="851"/>
        <w:rPr>
          <w:rFonts w:ascii="Arial" w:hAnsi="Arial" w:cs="Arial"/>
        </w:rPr>
      </w:pPr>
    </w:p>
    <w:p w14:paraId="5E3DF99B" w14:textId="77777777" w:rsidR="00B01FCD" w:rsidRPr="00FB3A86" w:rsidRDefault="00B01FCD" w:rsidP="00441B6F">
      <w:pPr>
        <w:pStyle w:val="Appendix"/>
        <w:spacing w:after="0"/>
        <w:jc w:val="both"/>
        <w:rPr>
          <w:rFonts w:ascii="Arial" w:hAnsi="Arial" w:cs="Arial"/>
          <w:b w:val="0"/>
        </w:rPr>
      </w:pPr>
    </w:p>
    <w:sectPr w:rsidR="00B01FCD" w:rsidRPr="00FB3A86" w:rsidSect="003A4DD5">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BB0B" w14:textId="77777777" w:rsidR="00CD459A" w:rsidRDefault="00CD459A" w:rsidP="00C37E61">
      <w:r>
        <w:separator/>
      </w:r>
    </w:p>
  </w:endnote>
  <w:endnote w:type="continuationSeparator" w:id="0">
    <w:p w14:paraId="293E7907" w14:textId="77777777" w:rsidR="00CD459A" w:rsidRDefault="00CD45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EAC9" w14:textId="77777777" w:rsidR="003A4DD5" w:rsidRDefault="003A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D182" w14:textId="77777777" w:rsidR="003A4DD5" w:rsidRDefault="003A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A981" w14:textId="439C4411" w:rsidR="00754C9A" w:rsidRPr="00A239D8" w:rsidRDefault="00754C9A" w:rsidP="00A239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6F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6DBB8" w14:textId="77777777" w:rsidR="00CD459A" w:rsidRDefault="00CD459A" w:rsidP="00C37E61">
      <w:r>
        <w:separator/>
      </w:r>
    </w:p>
  </w:footnote>
  <w:footnote w:type="continuationSeparator" w:id="0">
    <w:p w14:paraId="0E39C54D" w14:textId="77777777" w:rsidR="00CD459A" w:rsidRDefault="00CD45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0A6B" w14:textId="01CC0C78" w:rsidR="003A4DD5" w:rsidRDefault="00E1079A">
    <w:pPr>
      <w:pStyle w:val="Header"/>
    </w:pPr>
    <w:r>
      <w:rPr>
        <w:noProof/>
      </w:rPr>
      <w:pict w14:anchorId="71DB3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EFBD" w14:textId="405C3691" w:rsidR="003A4DD5" w:rsidRDefault="00E1079A">
    <w:pPr>
      <w:pStyle w:val="Header"/>
    </w:pPr>
    <w:r>
      <w:rPr>
        <w:noProof/>
      </w:rPr>
      <w:pict w14:anchorId="057A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B86A" w14:textId="5F9FBF41" w:rsidR="00296529" w:rsidRPr="00296529" w:rsidRDefault="00E1079A" w:rsidP="00296529">
    <w:pPr>
      <w:ind w:left="2160"/>
      <w:jc w:val="center"/>
      <w:rPr>
        <w:rFonts w:ascii="Times New Roman" w:eastAsia="Calibri" w:hAnsi="Times New Roman"/>
        <w:i/>
        <w:sz w:val="18"/>
        <w:szCs w:val="22"/>
      </w:rPr>
    </w:pPr>
    <w:r>
      <w:rPr>
        <w:noProof/>
      </w:rPr>
      <w:pict w14:anchorId="2FE4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CC7D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0872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240E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AFCB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DAF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082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2D08" w14:textId="1009BBF8" w:rsidR="003A4DD5" w:rsidRDefault="00E1079A">
    <w:pPr>
      <w:pStyle w:val="Header"/>
    </w:pPr>
    <w:r>
      <w:rPr>
        <w:noProof/>
      </w:rPr>
      <w:pict w14:anchorId="25859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0492" w14:textId="7F729A5B" w:rsidR="003A4DD5" w:rsidRDefault="00E1079A">
    <w:pPr>
      <w:pStyle w:val="Header"/>
    </w:pPr>
    <w:r>
      <w:rPr>
        <w:noProof/>
      </w:rPr>
      <w:pict w14:anchorId="27298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71B8" w14:textId="649AFE0C" w:rsidR="003A4DD5" w:rsidRDefault="00E1079A">
    <w:pPr>
      <w:pStyle w:val="Header"/>
    </w:pPr>
    <w:r>
      <w:rPr>
        <w:noProof/>
      </w:rPr>
      <w:pict w14:anchorId="701EB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73A9A"/>
    <w:multiLevelType w:val="hybridMultilevel"/>
    <w:tmpl w:val="E6EECC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6B3ADF"/>
    <w:multiLevelType w:val="hybridMultilevel"/>
    <w:tmpl w:val="AA8EB8C6"/>
    <w:lvl w:ilvl="0" w:tplc="4A782A7C">
      <w:start w:val="1"/>
      <w:numFmt w:val="lowerLetter"/>
      <w:lvlText w:val="%1."/>
      <w:lvlJc w:val="left"/>
      <w:pPr>
        <w:ind w:left="548" w:hanging="360"/>
      </w:pPr>
      <w:rPr>
        <w:rFonts w:hint="default"/>
      </w:rPr>
    </w:lvl>
    <w:lvl w:ilvl="1" w:tplc="DB72602C">
      <w:start w:val="1"/>
      <w:numFmt w:val="decimal"/>
      <w:lvlText w:val="%2."/>
      <w:lvlJc w:val="left"/>
      <w:pPr>
        <w:ind w:left="1628" w:hanging="720"/>
      </w:pPr>
      <w:rPr>
        <w:rFonts w:hint="default"/>
      </w:rPr>
    </w:lvl>
    <w:lvl w:ilvl="2" w:tplc="3809001B" w:tentative="1">
      <w:start w:val="1"/>
      <w:numFmt w:val="lowerRoman"/>
      <w:lvlText w:val="%3."/>
      <w:lvlJc w:val="right"/>
      <w:pPr>
        <w:ind w:left="1988" w:hanging="180"/>
      </w:pPr>
    </w:lvl>
    <w:lvl w:ilvl="3" w:tplc="3809000F" w:tentative="1">
      <w:start w:val="1"/>
      <w:numFmt w:val="decimal"/>
      <w:lvlText w:val="%4."/>
      <w:lvlJc w:val="left"/>
      <w:pPr>
        <w:ind w:left="2708" w:hanging="360"/>
      </w:pPr>
    </w:lvl>
    <w:lvl w:ilvl="4" w:tplc="38090019" w:tentative="1">
      <w:start w:val="1"/>
      <w:numFmt w:val="lowerLetter"/>
      <w:lvlText w:val="%5."/>
      <w:lvlJc w:val="left"/>
      <w:pPr>
        <w:ind w:left="3428" w:hanging="360"/>
      </w:pPr>
    </w:lvl>
    <w:lvl w:ilvl="5" w:tplc="3809001B" w:tentative="1">
      <w:start w:val="1"/>
      <w:numFmt w:val="lowerRoman"/>
      <w:lvlText w:val="%6."/>
      <w:lvlJc w:val="right"/>
      <w:pPr>
        <w:ind w:left="4148" w:hanging="180"/>
      </w:pPr>
    </w:lvl>
    <w:lvl w:ilvl="6" w:tplc="3809000F" w:tentative="1">
      <w:start w:val="1"/>
      <w:numFmt w:val="decimal"/>
      <w:lvlText w:val="%7."/>
      <w:lvlJc w:val="left"/>
      <w:pPr>
        <w:ind w:left="4868" w:hanging="360"/>
      </w:pPr>
    </w:lvl>
    <w:lvl w:ilvl="7" w:tplc="38090019" w:tentative="1">
      <w:start w:val="1"/>
      <w:numFmt w:val="lowerLetter"/>
      <w:lvlText w:val="%8."/>
      <w:lvlJc w:val="left"/>
      <w:pPr>
        <w:ind w:left="5588" w:hanging="360"/>
      </w:pPr>
    </w:lvl>
    <w:lvl w:ilvl="8" w:tplc="3809001B" w:tentative="1">
      <w:start w:val="1"/>
      <w:numFmt w:val="lowerRoman"/>
      <w:lvlText w:val="%9."/>
      <w:lvlJc w:val="right"/>
      <w:pPr>
        <w:ind w:left="6308"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F7E24"/>
    <w:multiLevelType w:val="hybridMultilevel"/>
    <w:tmpl w:val="F8F4577C"/>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611ADB"/>
    <w:multiLevelType w:val="hybridMultilevel"/>
    <w:tmpl w:val="F1C4998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5D012A6"/>
    <w:multiLevelType w:val="hybridMultilevel"/>
    <w:tmpl w:val="BF6AF5D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0E1C90"/>
    <w:multiLevelType w:val="hybridMultilevel"/>
    <w:tmpl w:val="C9707B22"/>
    <w:lvl w:ilvl="0" w:tplc="4E84880C">
      <w:numFmt w:val="bullet"/>
      <w:lvlText w:val="•"/>
      <w:lvlJc w:val="left"/>
      <w:pPr>
        <w:ind w:left="766" w:hanging="360"/>
      </w:pPr>
      <w:rPr>
        <w:rFonts w:hint="default"/>
        <w:lang w:val="id" w:eastAsia="en-US" w:bidi="ar-SA"/>
      </w:rPr>
    </w:lvl>
    <w:lvl w:ilvl="1" w:tplc="38090003" w:tentative="1">
      <w:start w:val="1"/>
      <w:numFmt w:val="bullet"/>
      <w:lvlText w:val="o"/>
      <w:lvlJc w:val="left"/>
      <w:pPr>
        <w:ind w:left="1486" w:hanging="360"/>
      </w:pPr>
      <w:rPr>
        <w:rFonts w:ascii="Courier New" w:hAnsi="Courier New" w:cs="Courier New" w:hint="default"/>
      </w:rPr>
    </w:lvl>
    <w:lvl w:ilvl="2" w:tplc="38090005" w:tentative="1">
      <w:start w:val="1"/>
      <w:numFmt w:val="bullet"/>
      <w:lvlText w:val=""/>
      <w:lvlJc w:val="left"/>
      <w:pPr>
        <w:ind w:left="2206" w:hanging="360"/>
      </w:pPr>
      <w:rPr>
        <w:rFonts w:ascii="Wingdings" w:hAnsi="Wingdings" w:hint="default"/>
      </w:rPr>
    </w:lvl>
    <w:lvl w:ilvl="3" w:tplc="38090001" w:tentative="1">
      <w:start w:val="1"/>
      <w:numFmt w:val="bullet"/>
      <w:lvlText w:val=""/>
      <w:lvlJc w:val="left"/>
      <w:pPr>
        <w:ind w:left="2926" w:hanging="360"/>
      </w:pPr>
      <w:rPr>
        <w:rFonts w:ascii="Symbol" w:hAnsi="Symbol" w:hint="default"/>
      </w:rPr>
    </w:lvl>
    <w:lvl w:ilvl="4" w:tplc="38090003" w:tentative="1">
      <w:start w:val="1"/>
      <w:numFmt w:val="bullet"/>
      <w:lvlText w:val="o"/>
      <w:lvlJc w:val="left"/>
      <w:pPr>
        <w:ind w:left="3646" w:hanging="360"/>
      </w:pPr>
      <w:rPr>
        <w:rFonts w:ascii="Courier New" w:hAnsi="Courier New" w:cs="Courier New" w:hint="default"/>
      </w:rPr>
    </w:lvl>
    <w:lvl w:ilvl="5" w:tplc="38090005" w:tentative="1">
      <w:start w:val="1"/>
      <w:numFmt w:val="bullet"/>
      <w:lvlText w:val=""/>
      <w:lvlJc w:val="left"/>
      <w:pPr>
        <w:ind w:left="4366" w:hanging="360"/>
      </w:pPr>
      <w:rPr>
        <w:rFonts w:ascii="Wingdings" w:hAnsi="Wingdings" w:hint="default"/>
      </w:rPr>
    </w:lvl>
    <w:lvl w:ilvl="6" w:tplc="38090001" w:tentative="1">
      <w:start w:val="1"/>
      <w:numFmt w:val="bullet"/>
      <w:lvlText w:val=""/>
      <w:lvlJc w:val="left"/>
      <w:pPr>
        <w:ind w:left="5086" w:hanging="360"/>
      </w:pPr>
      <w:rPr>
        <w:rFonts w:ascii="Symbol" w:hAnsi="Symbol" w:hint="default"/>
      </w:rPr>
    </w:lvl>
    <w:lvl w:ilvl="7" w:tplc="38090003" w:tentative="1">
      <w:start w:val="1"/>
      <w:numFmt w:val="bullet"/>
      <w:lvlText w:val="o"/>
      <w:lvlJc w:val="left"/>
      <w:pPr>
        <w:ind w:left="5806" w:hanging="360"/>
      </w:pPr>
      <w:rPr>
        <w:rFonts w:ascii="Courier New" w:hAnsi="Courier New" w:cs="Courier New" w:hint="default"/>
      </w:rPr>
    </w:lvl>
    <w:lvl w:ilvl="8" w:tplc="38090005" w:tentative="1">
      <w:start w:val="1"/>
      <w:numFmt w:val="bullet"/>
      <w:lvlText w:val=""/>
      <w:lvlJc w:val="left"/>
      <w:pPr>
        <w:ind w:left="6526"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09919A0"/>
    <w:multiLevelType w:val="hybridMultilevel"/>
    <w:tmpl w:val="75DAB6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1B1523"/>
    <w:multiLevelType w:val="hybridMultilevel"/>
    <w:tmpl w:val="4C944A30"/>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D3595"/>
    <w:multiLevelType w:val="hybridMultilevel"/>
    <w:tmpl w:val="D7509B8E"/>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13C7539"/>
    <w:multiLevelType w:val="hybridMultilevel"/>
    <w:tmpl w:val="50C6152E"/>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1A308B4"/>
    <w:multiLevelType w:val="hybridMultilevel"/>
    <w:tmpl w:val="436014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117922"/>
    <w:multiLevelType w:val="hybridMultilevel"/>
    <w:tmpl w:val="C70CA7A4"/>
    <w:lvl w:ilvl="0" w:tplc="4A782A7C">
      <w:start w:val="1"/>
      <w:numFmt w:val="lowerLetter"/>
      <w:lvlText w:val="%1."/>
      <w:lvlJc w:val="left"/>
      <w:pPr>
        <w:ind w:left="548" w:hanging="360"/>
      </w:pPr>
      <w:rPr>
        <w:rFonts w:hint="default"/>
      </w:rPr>
    </w:lvl>
    <w:lvl w:ilvl="1" w:tplc="FFFFFFFF">
      <w:start w:val="1"/>
      <w:numFmt w:val="decimal"/>
      <w:lvlText w:val="%2."/>
      <w:lvlJc w:val="left"/>
      <w:pPr>
        <w:ind w:left="1628" w:hanging="720"/>
      </w:pPr>
      <w:rPr>
        <w:rFonts w:hint="default"/>
      </w:rPr>
    </w:lvl>
    <w:lvl w:ilvl="2" w:tplc="FFFFFFFF" w:tentative="1">
      <w:start w:val="1"/>
      <w:numFmt w:val="lowerRoman"/>
      <w:lvlText w:val="%3."/>
      <w:lvlJc w:val="right"/>
      <w:pPr>
        <w:ind w:left="1988" w:hanging="180"/>
      </w:pPr>
    </w:lvl>
    <w:lvl w:ilvl="3" w:tplc="FFFFFFFF" w:tentative="1">
      <w:start w:val="1"/>
      <w:numFmt w:val="decimal"/>
      <w:lvlText w:val="%4."/>
      <w:lvlJc w:val="left"/>
      <w:pPr>
        <w:ind w:left="2708" w:hanging="360"/>
      </w:pPr>
    </w:lvl>
    <w:lvl w:ilvl="4" w:tplc="FFFFFFFF" w:tentative="1">
      <w:start w:val="1"/>
      <w:numFmt w:val="lowerLetter"/>
      <w:lvlText w:val="%5."/>
      <w:lvlJc w:val="left"/>
      <w:pPr>
        <w:ind w:left="3428" w:hanging="360"/>
      </w:pPr>
    </w:lvl>
    <w:lvl w:ilvl="5" w:tplc="FFFFFFFF" w:tentative="1">
      <w:start w:val="1"/>
      <w:numFmt w:val="lowerRoman"/>
      <w:lvlText w:val="%6."/>
      <w:lvlJc w:val="right"/>
      <w:pPr>
        <w:ind w:left="4148" w:hanging="180"/>
      </w:pPr>
    </w:lvl>
    <w:lvl w:ilvl="6" w:tplc="FFFFFFFF" w:tentative="1">
      <w:start w:val="1"/>
      <w:numFmt w:val="decimal"/>
      <w:lvlText w:val="%7."/>
      <w:lvlJc w:val="left"/>
      <w:pPr>
        <w:ind w:left="4868" w:hanging="360"/>
      </w:pPr>
    </w:lvl>
    <w:lvl w:ilvl="7" w:tplc="FFFFFFFF" w:tentative="1">
      <w:start w:val="1"/>
      <w:numFmt w:val="lowerLetter"/>
      <w:lvlText w:val="%8."/>
      <w:lvlJc w:val="left"/>
      <w:pPr>
        <w:ind w:left="5588" w:hanging="360"/>
      </w:pPr>
    </w:lvl>
    <w:lvl w:ilvl="8" w:tplc="FFFFFFFF" w:tentative="1">
      <w:start w:val="1"/>
      <w:numFmt w:val="lowerRoman"/>
      <w:lvlText w:val="%9."/>
      <w:lvlJc w:val="right"/>
      <w:pPr>
        <w:ind w:left="6308"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900EB3"/>
    <w:multiLevelType w:val="hybridMultilevel"/>
    <w:tmpl w:val="5718907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1"/>
  </w:num>
  <w:num w:numId="8">
    <w:abstractNumId w:val="18"/>
  </w:num>
  <w:num w:numId="9">
    <w:abstractNumId w:val="38"/>
  </w:num>
  <w:num w:numId="10">
    <w:abstractNumId w:val="3"/>
  </w:num>
  <w:num w:numId="11">
    <w:abstractNumId w:val="30"/>
  </w:num>
  <w:num w:numId="12">
    <w:abstractNumId w:val="5"/>
  </w:num>
  <w:num w:numId="13">
    <w:abstractNumId w:val="26"/>
  </w:num>
  <w:num w:numId="14">
    <w:abstractNumId w:val="13"/>
  </w:num>
  <w:num w:numId="15">
    <w:abstractNumId w:val="33"/>
  </w:num>
  <w:num w:numId="16">
    <w:abstractNumId w:val="7"/>
  </w:num>
  <w:num w:numId="17">
    <w:abstractNumId w:val="34"/>
  </w:num>
  <w:num w:numId="18">
    <w:abstractNumId w:val="21"/>
  </w:num>
  <w:num w:numId="19">
    <w:abstractNumId w:val="41"/>
  </w:num>
  <w:num w:numId="20">
    <w:abstractNumId w:val="17"/>
  </w:num>
  <w:num w:numId="21">
    <w:abstractNumId w:val="15"/>
  </w:num>
  <w:num w:numId="22">
    <w:abstractNumId w:val="19"/>
  </w:num>
  <w:num w:numId="23">
    <w:abstractNumId w:val="31"/>
  </w:num>
  <w:num w:numId="24">
    <w:abstractNumId w:val="39"/>
  </w:num>
  <w:num w:numId="25">
    <w:abstractNumId w:val="6"/>
  </w:num>
  <w:num w:numId="26">
    <w:abstractNumId w:val="24"/>
  </w:num>
  <w:num w:numId="27">
    <w:abstractNumId w:val="32"/>
  </w:num>
  <w:num w:numId="28">
    <w:abstractNumId w:val="40"/>
  </w:num>
  <w:num w:numId="29">
    <w:abstractNumId w:val="37"/>
  </w:num>
  <w:num w:numId="30">
    <w:abstractNumId w:val="16"/>
  </w:num>
  <w:num w:numId="31">
    <w:abstractNumId w:val="10"/>
  </w:num>
  <w:num w:numId="32">
    <w:abstractNumId w:val="23"/>
  </w:num>
  <w:num w:numId="33">
    <w:abstractNumId w:val="36"/>
  </w:num>
  <w:num w:numId="34">
    <w:abstractNumId w:val="25"/>
  </w:num>
  <w:num w:numId="35">
    <w:abstractNumId w:val="8"/>
  </w:num>
  <w:num w:numId="36">
    <w:abstractNumId w:val="2"/>
  </w:num>
  <w:num w:numId="37">
    <w:abstractNumId w:val="14"/>
  </w:num>
  <w:num w:numId="38">
    <w:abstractNumId w:val="27"/>
  </w:num>
  <w:num w:numId="39">
    <w:abstractNumId w:val="4"/>
  </w:num>
  <w:num w:numId="40">
    <w:abstractNumId w:val="11"/>
  </w:num>
  <w:num w:numId="41">
    <w:abstractNumId w:val="20"/>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szAzMza0sLC0NDZT0lEKTi0uzszPAykwrAUAU1hPQCwAAAA="/>
  </w:docVars>
  <w:rsids>
    <w:rsidRoot w:val="00AA6219"/>
    <w:rsid w:val="00000F8F"/>
    <w:rsid w:val="0000729F"/>
    <w:rsid w:val="00030174"/>
    <w:rsid w:val="0004579C"/>
    <w:rsid w:val="00060BB0"/>
    <w:rsid w:val="000A47FA"/>
    <w:rsid w:val="000A65D3"/>
    <w:rsid w:val="000B1E33"/>
    <w:rsid w:val="000D689F"/>
    <w:rsid w:val="000E7B7B"/>
    <w:rsid w:val="000E7D62"/>
    <w:rsid w:val="000F1210"/>
    <w:rsid w:val="00103357"/>
    <w:rsid w:val="00121221"/>
    <w:rsid w:val="00123C9F"/>
    <w:rsid w:val="00126190"/>
    <w:rsid w:val="00130F17"/>
    <w:rsid w:val="001320BF"/>
    <w:rsid w:val="00136A0F"/>
    <w:rsid w:val="00151AAD"/>
    <w:rsid w:val="00161F45"/>
    <w:rsid w:val="00163BC4"/>
    <w:rsid w:val="00174954"/>
    <w:rsid w:val="00184830"/>
    <w:rsid w:val="00191062"/>
    <w:rsid w:val="00192B72"/>
    <w:rsid w:val="001A29D8"/>
    <w:rsid w:val="001A5CAA"/>
    <w:rsid w:val="001B0427"/>
    <w:rsid w:val="001D3A51"/>
    <w:rsid w:val="001E10D2"/>
    <w:rsid w:val="001E25B4"/>
    <w:rsid w:val="001E44FE"/>
    <w:rsid w:val="00200595"/>
    <w:rsid w:val="00204835"/>
    <w:rsid w:val="00207480"/>
    <w:rsid w:val="00231920"/>
    <w:rsid w:val="0023195C"/>
    <w:rsid w:val="0024282C"/>
    <w:rsid w:val="002460DC"/>
    <w:rsid w:val="00250985"/>
    <w:rsid w:val="002556F6"/>
    <w:rsid w:val="00255757"/>
    <w:rsid w:val="00283105"/>
    <w:rsid w:val="00284C4C"/>
    <w:rsid w:val="00287E68"/>
    <w:rsid w:val="00296529"/>
    <w:rsid w:val="002B27FB"/>
    <w:rsid w:val="002B685A"/>
    <w:rsid w:val="002C57D2"/>
    <w:rsid w:val="002C79E7"/>
    <w:rsid w:val="002D1241"/>
    <w:rsid w:val="002E0D56"/>
    <w:rsid w:val="00315186"/>
    <w:rsid w:val="0033343E"/>
    <w:rsid w:val="003512C2"/>
    <w:rsid w:val="00371FB6"/>
    <w:rsid w:val="003763C1"/>
    <w:rsid w:val="00376BBE"/>
    <w:rsid w:val="0039224F"/>
    <w:rsid w:val="003A43A4"/>
    <w:rsid w:val="003A4DD5"/>
    <w:rsid w:val="003A7E18"/>
    <w:rsid w:val="003C4C86"/>
    <w:rsid w:val="003C6258"/>
    <w:rsid w:val="003D350F"/>
    <w:rsid w:val="003E2904"/>
    <w:rsid w:val="00401927"/>
    <w:rsid w:val="0041027F"/>
    <w:rsid w:val="00412475"/>
    <w:rsid w:val="00420617"/>
    <w:rsid w:val="00423789"/>
    <w:rsid w:val="00440F43"/>
    <w:rsid w:val="00441B6F"/>
    <w:rsid w:val="00446221"/>
    <w:rsid w:val="00450E62"/>
    <w:rsid w:val="004539DB"/>
    <w:rsid w:val="00471A80"/>
    <w:rsid w:val="00476B8E"/>
    <w:rsid w:val="004A6591"/>
    <w:rsid w:val="004D305E"/>
    <w:rsid w:val="004D4277"/>
    <w:rsid w:val="00502516"/>
    <w:rsid w:val="00505F06"/>
    <w:rsid w:val="00506828"/>
    <w:rsid w:val="005141FA"/>
    <w:rsid w:val="005232B7"/>
    <w:rsid w:val="0053056E"/>
    <w:rsid w:val="00554FDA"/>
    <w:rsid w:val="005C427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764"/>
    <w:rsid w:val="006D6940"/>
    <w:rsid w:val="006F11EC"/>
    <w:rsid w:val="0070082C"/>
    <w:rsid w:val="00701D53"/>
    <w:rsid w:val="007369E6"/>
    <w:rsid w:val="00741E1C"/>
    <w:rsid w:val="0074362D"/>
    <w:rsid w:val="00746E59"/>
    <w:rsid w:val="00754C9A"/>
    <w:rsid w:val="0075599A"/>
    <w:rsid w:val="00761D52"/>
    <w:rsid w:val="0077749E"/>
    <w:rsid w:val="0078168A"/>
    <w:rsid w:val="00790ADA"/>
    <w:rsid w:val="007B5259"/>
    <w:rsid w:val="007D2288"/>
    <w:rsid w:val="007D759E"/>
    <w:rsid w:val="007E088F"/>
    <w:rsid w:val="007F7B32"/>
    <w:rsid w:val="0080271B"/>
    <w:rsid w:val="00804BC2"/>
    <w:rsid w:val="0081431A"/>
    <w:rsid w:val="00815EFC"/>
    <w:rsid w:val="0083216F"/>
    <w:rsid w:val="00854419"/>
    <w:rsid w:val="00854883"/>
    <w:rsid w:val="00860000"/>
    <w:rsid w:val="00863BD3"/>
    <w:rsid w:val="008641ED"/>
    <w:rsid w:val="00866D66"/>
    <w:rsid w:val="008671C6"/>
    <w:rsid w:val="00875803"/>
    <w:rsid w:val="008B459E"/>
    <w:rsid w:val="008D7176"/>
    <w:rsid w:val="008E13AE"/>
    <w:rsid w:val="008E1506"/>
    <w:rsid w:val="008E710C"/>
    <w:rsid w:val="008F69D6"/>
    <w:rsid w:val="00902823"/>
    <w:rsid w:val="00915CA6"/>
    <w:rsid w:val="00927834"/>
    <w:rsid w:val="009500A6"/>
    <w:rsid w:val="009504AB"/>
    <w:rsid w:val="00957C18"/>
    <w:rsid w:val="009659BA"/>
    <w:rsid w:val="0096600B"/>
    <w:rsid w:val="009826D6"/>
    <w:rsid w:val="00983040"/>
    <w:rsid w:val="009B3FB9"/>
    <w:rsid w:val="009C2465"/>
    <w:rsid w:val="009C563A"/>
    <w:rsid w:val="009D35A0"/>
    <w:rsid w:val="009D7EB7"/>
    <w:rsid w:val="009E048A"/>
    <w:rsid w:val="009E08E9"/>
    <w:rsid w:val="009E3DB9"/>
    <w:rsid w:val="009E6E35"/>
    <w:rsid w:val="009F0EDA"/>
    <w:rsid w:val="009F30E8"/>
    <w:rsid w:val="00A03B96"/>
    <w:rsid w:val="00A05B19"/>
    <w:rsid w:val="00A1134E"/>
    <w:rsid w:val="00A239D8"/>
    <w:rsid w:val="00A24E7E"/>
    <w:rsid w:val="00A258C3"/>
    <w:rsid w:val="00A347C0"/>
    <w:rsid w:val="00A35308"/>
    <w:rsid w:val="00A51431"/>
    <w:rsid w:val="00A539AD"/>
    <w:rsid w:val="00A94063"/>
    <w:rsid w:val="00AA6219"/>
    <w:rsid w:val="00AA74E0"/>
    <w:rsid w:val="00AB703F"/>
    <w:rsid w:val="00AC6BB8"/>
    <w:rsid w:val="00AC752F"/>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3F9"/>
    <w:rsid w:val="00C70F1B"/>
    <w:rsid w:val="00C71A47"/>
    <w:rsid w:val="00C7464C"/>
    <w:rsid w:val="00C7564F"/>
    <w:rsid w:val="00C85588"/>
    <w:rsid w:val="00CD459A"/>
    <w:rsid w:val="00CD6755"/>
    <w:rsid w:val="00CD6856"/>
    <w:rsid w:val="00CE0089"/>
    <w:rsid w:val="00CE793C"/>
    <w:rsid w:val="00CF193C"/>
    <w:rsid w:val="00D173F1"/>
    <w:rsid w:val="00D5685A"/>
    <w:rsid w:val="00D74CB0"/>
    <w:rsid w:val="00D8295D"/>
    <w:rsid w:val="00D965B3"/>
    <w:rsid w:val="00DB250C"/>
    <w:rsid w:val="00DC2A65"/>
    <w:rsid w:val="00DE15F0"/>
    <w:rsid w:val="00DE5663"/>
    <w:rsid w:val="00DE78AA"/>
    <w:rsid w:val="00E053D0"/>
    <w:rsid w:val="00E1079A"/>
    <w:rsid w:val="00E15994"/>
    <w:rsid w:val="00E3114E"/>
    <w:rsid w:val="00E31A70"/>
    <w:rsid w:val="00E33280"/>
    <w:rsid w:val="00E35B02"/>
    <w:rsid w:val="00E66496"/>
    <w:rsid w:val="00E66B35"/>
    <w:rsid w:val="00E66E10"/>
    <w:rsid w:val="00E769F6"/>
    <w:rsid w:val="00E8407C"/>
    <w:rsid w:val="00E84F3C"/>
    <w:rsid w:val="00EA012C"/>
    <w:rsid w:val="00EC6A55"/>
    <w:rsid w:val="00ED0288"/>
    <w:rsid w:val="00ED3BCD"/>
    <w:rsid w:val="00EE52CB"/>
    <w:rsid w:val="00EF581D"/>
    <w:rsid w:val="00EF7FD8"/>
    <w:rsid w:val="00F06F59"/>
    <w:rsid w:val="00F17988"/>
    <w:rsid w:val="00F469F0"/>
    <w:rsid w:val="00F53273"/>
    <w:rsid w:val="00F56D6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B8A2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next heading"/>
    <w:basedOn w:val="Normal"/>
    <w:link w:val="ListParagraphChar"/>
    <w:uiPriority w:val="34"/>
    <w:qFormat/>
    <w:rsid w:val="009826D6"/>
    <w:pPr>
      <w:spacing w:after="3" w:line="238" w:lineRule="auto"/>
      <w:ind w:left="720" w:right="63" w:hanging="10"/>
      <w:contextualSpacing/>
      <w:jc w:val="both"/>
    </w:pPr>
    <w:rPr>
      <w:rFonts w:ascii="Times New Roman" w:hAnsi="Times New Roman"/>
      <w:color w:val="202124"/>
      <w:kern w:val="2"/>
      <w:sz w:val="24"/>
      <w:szCs w:val="22"/>
      <w:lang w:val="id-ID" w:eastAsia="id-ID"/>
      <w14:ligatures w14:val="standardContextual"/>
    </w:rPr>
  </w:style>
  <w:style w:type="character" w:customStyle="1" w:styleId="ListParagraphChar">
    <w:name w:val="List Paragraph Char"/>
    <w:aliases w:val="next heading Char"/>
    <w:basedOn w:val="DefaultParagraphFont"/>
    <w:link w:val="ListParagraph"/>
    <w:uiPriority w:val="34"/>
    <w:qFormat/>
    <w:rsid w:val="009826D6"/>
    <w:rPr>
      <w:color w:val="202124"/>
      <w:kern w:val="2"/>
      <w:sz w:val="24"/>
      <w:szCs w:val="22"/>
      <w:lang w:val="id-ID" w:eastAsia="id-ID"/>
      <w14:ligatures w14:val="standardContextual"/>
    </w:rPr>
  </w:style>
  <w:style w:type="table" w:customStyle="1" w:styleId="TableGrid2">
    <w:name w:val="Table Grid2"/>
    <w:basedOn w:val="TableNormal"/>
    <w:next w:val="TableGrid"/>
    <w:uiPriority w:val="39"/>
    <w:qFormat/>
    <w:rsid w:val="009826D6"/>
    <w:rPr>
      <w:rFonts w:asciiTheme="minorHAnsi" w:eastAsia="Calibr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4710/jkm.v6i4.21460" TargetMode="External"/><Relationship Id="rId26" Type="http://schemas.openxmlformats.org/officeDocument/2006/relationships/hyperlink" Target="https://dlh.jakarta.go.id/peraturan-menteri-lingkungan-hidup-nomor-14-tahun-2013-tentang-simbol-dan-label-limbah-b3/" TargetMode="External"/><Relationship Id="rId21" Type="http://schemas.openxmlformats.org/officeDocument/2006/relationships/hyperlink" Target="https://doi.org/10.20527/jukung.v11i1.2221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889-016-2916-1" TargetMode="External"/><Relationship Id="rId25" Type="http://schemas.openxmlformats.org/officeDocument/2006/relationships/hyperlink" Target="https://peraturan.go.id/permen/lhk/no-6-tahun-2021-tentang-tata-cara-dan-persyaratan-pengelolaan-limbah-bahan-berbahaya-dan-beracun"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pjoes.com/pdf-87553-21412?filename=Determination%20of%20Hospital.pdf" TargetMode="External"/><Relationship Id="rId20" Type="http://schemas.openxmlformats.org/officeDocument/2006/relationships/hyperlink" Target="https://doi.org/10.13057/biodiv/d170121" TargetMode="External"/><Relationship Id="rId29" Type="http://schemas.openxmlformats.org/officeDocument/2006/relationships/hyperlink" Target="https://www.paralegal.id/peraturan/peraturan-menteri-lingkungan-hidup-dan-kehutanan-nomor-p56menlhk-setjen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aturan.bpk.go.id/Home/Details/130000/peraturan-menteri-kesehatan-nomor-3-tahun-2020"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0473/mgk.v11i2.2022.494-499" TargetMode="External"/><Relationship Id="rId23" Type="http://schemas.openxmlformats.org/officeDocument/2006/relationships/hyperlink" Target="https://ppjp.ulm.ac.id/journal/index.php/jukung/article/view/1058/0" TargetMode="External"/><Relationship Id="rId28" Type="http://schemas.openxmlformats.org/officeDocument/2006/relationships/hyperlink" Target="https://peraturan.bpk.go.id/Home/Details/169000/peraturan-menteri-kesehatan-nomor-21-tahun-202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4103/JLP.JLP_89_17" TargetMode="External"/><Relationship Id="rId31" Type="http://schemas.openxmlformats.org/officeDocument/2006/relationships/hyperlink" Target="https://doi.org/10.21070/ijler.v19i4.11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ppjp.ulm.ac.id/journal/index.php/es/article/view/2062/0" TargetMode="External"/><Relationship Id="rId27" Type="http://schemas.openxmlformats.org/officeDocument/2006/relationships/hyperlink" Target="https://www.ecolex.org/details/legislation/government-regulation-no-22-of-2021-on-environmental-protection-organisation-and-management-lex-faoc203690/" TargetMode="External"/><Relationship Id="rId30" Type="http://schemas.openxmlformats.org/officeDocument/2006/relationships/hyperlink" Target="https://www.ecolex.org/details/regulation/regulation-of-the-government-of-the-republic-of-indonesia-no-101-of-2014-concerning-hazardous-and-toxic-waste-management-lex-faoc144000/"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Management of Solid Medical Waste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Sheet1!$C$2:$D$2</c:f>
              <c:strCache>
                <c:ptCount val="2"/>
                <c:pt idx="0">
                  <c:v>Sultan Suriansyah Hospital</c:v>
                </c:pt>
                <c:pt idx="1">
                  <c:v>Suaka Insan Hospital</c:v>
                </c:pt>
              </c:strCache>
            </c:strRef>
          </c:cat>
          <c:val>
            <c:numRef>
              <c:f>Sheet1!$C$3:$D$3</c:f>
              <c:numCache>
                <c:formatCode>0.00%</c:formatCode>
                <c:ptCount val="2"/>
                <c:pt idx="0">
                  <c:v>0.65259999999999996</c:v>
                </c:pt>
                <c:pt idx="1">
                  <c:v>0.73329999999999995</c:v>
                </c:pt>
              </c:numCache>
            </c:numRef>
          </c:val>
          <c:extLst>
            <c:ext xmlns:c16="http://schemas.microsoft.com/office/drawing/2014/chart" uri="{C3380CC4-5D6E-409C-BE32-E72D297353CC}">
              <c16:uniqueId val="{00000000-4BE5-4D65-AC8D-F2CFCEA4809D}"/>
            </c:ext>
          </c:extLst>
        </c:ser>
        <c:dLbls>
          <c:dLblPos val="outEnd"/>
          <c:showLegendKey val="0"/>
          <c:showVal val="1"/>
          <c:showCatName val="0"/>
          <c:showSerName val="0"/>
          <c:showPercent val="0"/>
          <c:showBubbleSize val="0"/>
        </c:dLbls>
        <c:gapWidth val="219"/>
        <c:overlap val="-27"/>
        <c:axId val="1697556063"/>
        <c:axId val="1697558463"/>
      </c:barChart>
      <c:catAx>
        <c:axId val="1697556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558463"/>
        <c:crosses val="autoZero"/>
        <c:auto val="1"/>
        <c:lblAlgn val="ctr"/>
        <c:lblOffset val="100"/>
        <c:noMultiLvlLbl val="0"/>
      </c:catAx>
      <c:valAx>
        <c:axId val="16975584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556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1E76-A816-478D-AA39-8CB2A09C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14</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43</cp:revision>
  <cp:lastPrinted>1999-07-06T11:00:00Z</cp:lastPrinted>
  <dcterms:created xsi:type="dcterms:W3CDTF">2025-12-24T04:06:00Z</dcterms:created>
  <dcterms:modified xsi:type="dcterms:W3CDTF">2025-12-29T07:59:00Z</dcterms:modified>
</cp:coreProperties>
</file>