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7A030" w14:textId="77777777" w:rsidR="0086572A" w:rsidRDefault="0086572A" w:rsidP="0086572A">
      <w:pPr>
        <w:jc w:val="both"/>
        <w:rPr>
          <w:lang w:bidi="fa-IR"/>
        </w:rPr>
      </w:pPr>
    </w:p>
    <w:p w14:paraId="518940A1" w14:textId="77777777" w:rsidR="0086572A" w:rsidRDefault="0086572A" w:rsidP="0086572A">
      <w:pPr>
        <w:jc w:val="both"/>
        <w:rPr>
          <w:lang w:bidi="fa-IR"/>
        </w:rPr>
      </w:pPr>
    </w:p>
    <w:p w14:paraId="3CABAB58" w14:textId="77777777" w:rsidR="003910CE" w:rsidRPr="003910CE" w:rsidRDefault="003910CE" w:rsidP="003910CE">
      <w:pPr>
        <w:jc w:val="center"/>
        <w:rPr>
          <w:b/>
          <w:bCs/>
          <w:sz w:val="24"/>
          <w:szCs w:val="24"/>
          <w:rtl/>
          <w:lang w:bidi="fa-IR"/>
        </w:rPr>
      </w:pPr>
      <w:r w:rsidRPr="003910CE">
        <w:rPr>
          <w:b/>
          <w:bCs/>
          <w:sz w:val="24"/>
          <w:szCs w:val="24"/>
          <w:lang w:bidi="fa-IR"/>
        </w:rPr>
        <w:t xml:space="preserve">Flood Hazard Zonation and Village Vulnerability Analysis in the </w:t>
      </w:r>
    </w:p>
    <w:p w14:paraId="19814F9C" w14:textId="55BFE767" w:rsidR="0086572A" w:rsidRPr="003910CE" w:rsidRDefault="003910CE" w:rsidP="000C0AF5">
      <w:pPr>
        <w:jc w:val="center"/>
        <w:rPr>
          <w:b/>
          <w:bCs/>
          <w:sz w:val="24"/>
          <w:szCs w:val="24"/>
          <w:lang w:bidi="fa-IR"/>
        </w:rPr>
      </w:pPr>
      <w:proofErr w:type="spellStart"/>
      <w:r w:rsidRPr="003910CE">
        <w:rPr>
          <w:b/>
          <w:bCs/>
          <w:sz w:val="24"/>
          <w:szCs w:val="24"/>
          <w:lang w:bidi="fa-IR"/>
        </w:rPr>
        <w:t>Shevisheh</w:t>
      </w:r>
      <w:proofErr w:type="spellEnd"/>
      <w:r w:rsidRPr="003910CE">
        <w:rPr>
          <w:b/>
          <w:bCs/>
          <w:sz w:val="24"/>
          <w:szCs w:val="24"/>
          <w:lang w:bidi="fa-IR"/>
        </w:rPr>
        <w:t xml:space="preserve"> </w:t>
      </w:r>
      <w:r w:rsidR="000C0AF5">
        <w:rPr>
          <w:b/>
          <w:bCs/>
          <w:sz w:val="24"/>
          <w:szCs w:val="24"/>
          <w:lang w:bidi="fa-IR"/>
        </w:rPr>
        <w:t>basin</w:t>
      </w:r>
      <w:r w:rsidRPr="003910CE">
        <w:rPr>
          <w:b/>
          <w:bCs/>
          <w:sz w:val="24"/>
          <w:szCs w:val="24"/>
          <w:lang w:bidi="fa-IR"/>
        </w:rPr>
        <w:t>, Western Iran</w:t>
      </w:r>
    </w:p>
    <w:p w14:paraId="10D7D576" w14:textId="77777777" w:rsidR="0086572A" w:rsidRDefault="0086572A" w:rsidP="000C0AF5">
      <w:pPr>
        <w:jc w:val="center"/>
        <w:rPr>
          <w:rtl/>
          <w:lang w:bidi="fa-IR"/>
        </w:rPr>
      </w:pPr>
    </w:p>
    <w:p w14:paraId="00E557BF" w14:textId="77777777" w:rsidR="000C0AF5" w:rsidRDefault="000C0AF5" w:rsidP="000C0AF5">
      <w:pPr>
        <w:jc w:val="center"/>
        <w:rPr>
          <w:rtl/>
          <w:lang w:bidi="fa-IR"/>
        </w:rPr>
      </w:pPr>
    </w:p>
    <w:p w14:paraId="218990CD" w14:textId="77777777" w:rsidR="008045B2" w:rsidRDefault="008045B2" w:rsidP="008045B2">
      <w:pPr>
        <w:pStyle w:val="ListParagraph"/>
        <w:ind w:left="1080"/>
        <w:rPr>
          <w:rtl/>
          <w:lang w:bidi="fa-IR"/>
        </w:rPr>
      </w:pPr>
    </w:p>
    <w:p w14:paraId="445BB1C1" w14:textId="77777777" w:rsidR="003910CE" w:rsidRDefault="003910CE" w:rsidP="0086572A">
      <w:pPr>
        <w:jc w:val="both"/>
        <w:rPr>
          <w:lang w:bidi="fa-IR"/>
        </w:rPr>
      </w:pPr>
    </w:p>
    <w:p w14:paraId="69BA03E0" w14:textId="77777777" w:rsidR="00A76EAE" w:rsidRDefault="00A76EAE" w:rsidP="0086572A">
      <w:pPr>
        <w:jc w:val="both"/>
        <w:rPr>
          <w:lang w:bidi="fa-IR"/>
        </w:rPr>
      </w:pPr>
    </w:p>
    <w:p w14:paraId="79D28BB7" w14:textId="3417C9D4" w:rsidR="00445A40" w:rsidRPr="00407087" w:rsidRDefault="00445A40" w:rsidP="0086572A">
      <w:pPr>
        <w:jc w:val="both"/>
        <w:rPr>
          <w:rFonts w:eastAsia="Times New Roman" w:cs="Times New Roman"/>
          <w14:ligatures w14:val="none"/>
        </w:rPr>
      </w:pPr>
      <w:r w:rsidRPr="00407087">
        <w:rPr>
          <w:rFonts w:eastAsia="Times New Roman" w:cs="Times New Roman"/>
          <w:b/>
          <w:bCs/>
          <w14:ligatures w14:val="none"/>
        </w:rPr>
        <w:t xml:space="preserve">Abstract </w:t>
      </w:r>
    </w:p>
    <w:p w14:paraId="57583D3C" w14:textId="6F31F89E" w:rsidR="00445A40" w:rsidRPr="00407087" w:rsidRDefault="00445A40" w:rsidP="0086572A">
      <w:pPr>
        <w:jc w:val="both"/>
        <w:rPr>
          <w:rFonts w:eastAsia="Times New Roman" w:cs="Times New Roman"/>
          <w14:ligatures w14:val="none"/>
        </w:rPr>
      </w:pPr>
      <w:r w:rsidRPr="00407087">
        <w:rPr>
          <w:rFonts w:eastAsia="Times New Roman" w:cs="Times New Roman"/>
          <w14:ligatures w14:val="none"/>
        </w:rPr>
        <w:t xml:space="preserve">Flooding is one of the most destructive natural hazards, causing significant damage to settlements, infrastructure, and natural resources every year. Accurate identification of flood-prone areas and assessment of the vulnerability of human settlements are essential steps in risk management and preventive planning. The </w:t>
      </w:r>
      <w:proofErr w:type="spellStart"/>
      <w:r w:rsidRPr="00407087">
        <w:rPr>
          <w:rFonts w:eastAsia="Times New Roman" w:cs="Times New Roman"/>
          <w14:ligatures w14:val="none"/>
        </w:rPr>
        <w:t>Shooysheh</w:t>
      </w:r>
      <w:proofErr w:type="spellEnd"/>
      <w:r w:rsidRPr="00407087">
        <w:rPr>
          <w:rFonts w:eastAsia="Times New Roman" w:cs="Times New Roman"/>
          <w14:ligatures w14:val="none"/>
        </w:rPr>
        <w:t xml:space="preserve"> watershed in western Iran, due to its geomorphological characteristics, high precipitation, and physiographic conditions, exhibits a considerable potential for flood occurrence. In this study, to delineate flood-susceptible zones and evaluate the vulnerability of villages within the basin, a set of influential environmental and hydrological parameters—including annual average precipitation, distance from rivers, elevation, slope, vegetation density, and lithology—were selected, standardized, and incorporated into the modeling process. The Analytic Hierarchy Process (AHP) was applied for weighting the criteria, and the WLC and OWA multi-criteria decision-making methods were employed to integrate the layers. The results revealed that the southern parts of the watershed, characterized by low elevations, gentle slopes, and proximity to river channels, possess the highest flood potential. According to the OWA model, approximately 24% (about 473 km²) of the basin, and based on the WLC model, about 23.9% (470 km²) fall within the high and very high flood-susceptibility zones. Furthermore, the analysis of village distribution showed that—under the OWA model—87 villages (70.7%) and—under the WLC model—81 villages (65.9%) lie within the high and very high vulnerability classes. These findings highlight the urgent need for managerial and preventive measures to mitigate flood risk in the rural areas of the </w:t>
      </w:r>
      <w:proofErr w:type="spellStart"/>
      <w:r w:rsidRPr="00407087">
        <w:rPr>
          <w:rFonts w:eastAsia="Times New Roman" w:cs="Times New Roman"/>
          <w14:ligatures w14:val="none"/>
        </w:rPr>
        <w:t>Shooysheh</w:t>
      </w:r>
      <w:proofErr w:type="spellEnd"/>
      <w:r w:rsidRPr="00407087">
        <w:rPr>
          <w:rFonts w:eastAsia="Times New Roman" w:cs="Times New Roman"/>
          <w14:ligatures w14:val="none"/>
        </w:rPr>
        <w:t xml:space="preserve"> watershed. The outcomes of this research provide a practical tool for urban planning, disaster management, and sustainable development within the region.</w:t>
      </w:r>
    </w:p>
    <w:p w14:paraId="0FA6A9B4" w14:textId="78DC4F96" w:rsidR="00445A40" w:rsidRPr="00445A40" w:rsidRDefault="0086572A" w:rsidP="0086572A">
      <w:pPr>
        <w:jc w:val="both"/>
        <w:rPr>
          <w:rFonts w:eastAsia="Times New Roman" w:cs="Times New Roman"/>
          <w:sz w:val="24"/>
          <w:szCs w:val="24"/>
          <w:rtl/>
          <w:lang w:bidi="fa-IR"/>
          <w14:ligatures w14:val="none"/>
        </w:rPr>
      </w:pPr>
      <w:r w:rsidRPr="00407087">
        <w:rPr>
          <w:rFonts w:eastAsia="Times New Roman" w:cs="Times New Roman"/>
          <w:b/>
          <w:bCs/>
          <w:lang w:bidi="fa-IR"/>
          <w14:ligatures w14:val="none"/>
        </w:rPr>
        <w:t>Keywords:</w:t>
      </w:r>
      <w:r w:rsidRPr="00407087">
        <w:rPr>
          <w:rFonts w:eastAsia="Times New Roman" w:cs="Times New Roman"/>
          <w:lang w:bidi="fa-IR"/>
          <w14:ligatures w14:val="none"/>
        </w:rPr>
        <w:t xml:space="preserve"> Flood, Hazard zonation, Village vulnerability, WLC, OWA, </w:t>
      </w:r>
      <w:proofErr w:type="spellStart"/>
      <w:r w:rsidRPr="00407087">
        <w:rPr>
          <w:rFonts w:eastAsia="Times New Roman" w:cs="Times New Roman"/>
          <w:lang w:bidi="fa-IR"/>
          <w14:ligatures w14:val="none"/>
        </w:rPr>
        <w:t>Shevisheh</w:t>
      </w:r>
      <w:proofErr w:type="spellEnd"/>
      <w:r w:rsidRPr="00407087">
        <w:rPr>
          <w:rFonts w:eastAsia="Times New Roman" w:cs="Times New Roman"/>
          <w:lang w:bidi="fa-IR"/>
          <w14:ligatures w14:val="none"/>
        </w:rPr>
        <w:t xml:space="preserve"> watershed</w:t>
      </w:r>
      <w:r w:rsidRPr="0086572A">
        <w:rPr>
          <w:rFonts w:eastAsia="Times New Roman" w:cs="Times New Roman"/>
          <w:sz w:val="24"/>
          <w:szCs w:val="24"/>
          <w:lang w:bidi="fa-IR"/>
          <w14:ligatures w14:val="none"/>
        </w:rPr>
        <w:br/>
      </w:r>
    </w:p>
    <w:p w14:paraId="1D46EA09" w14:textId="77777777" w:rsidR="00445A40" w:rsidRPr="00445A40" w:rsidRDefault="00445A40" w:rsidP="0086572A">
      <w:pPr>
        <w:jc w:val="both"/>
        <w:rPr>
          <w:rFonts w:eastAsia="Times New Roman" w:cs="Times New Roman"/>
          <w:sz w:val="24"/>
          <w:szCs w:val="24"/>
          <w14:ligatures w14:val="none"/>
        </w:rPr>
      </w:pPr>
    </w:p>
    <w:p w14:paraId="2033964C" w14:textId="77777777" w:rsidR="00A76EAE" w:rsidRDefault="00A76EAE" w:rsidP="0086572A">
      <w:pPr>
        <w:jc w:val="both"/>
        <w:rPr>
          <w:lang w:bidi="fa-IR"/>
        </w:rPr>
      </w:pPr>
    </w:p>
    <w:p w14:paraId="7619A6FD" w14:textId="77777777" w:rsidR="00A76EAE" w:rsidRDefault="00A76EAE" w:rsidP="0086572A">
      <w:pPr>
        <w:jc w:val="both"/>
        <w:rPr>
          <w:lang w:bidi="fa-IR"/>
        </w:rPr>
      </w:pPr>
    </w:p>
    <w:p w14:paraId="51283FC1" w14:textId="77777777" w:rsidR="00A76EAE" w:rsidRDefault="00A76EAE" w:rsidP="0086572A">
      <w:pPr>
        <w:jc w:val="both"/>
        <w:rPr>
          <w:lang w:bidi="fa-IR"/>
        </w:rPr>
      </w:pPr>
    </w:p>
    <w:p w14:paraId="1022B518" w14:textId="77777777" w:rsidR="00A76EAE" w:rsidRDefault="00A76EAE" w:rsidP="0086572A">
      <w:pPr>
        <w:jc w:val="both"/>
        <w:rPr>
          <w:lang w:bidi="fa-IR"/>
        </w:rPr>
      </w:pPr>
    </w:p>
    <w:p w14:paraId="1E8A155D" w14:textId="77777777" w:rsidR="00A76EAE" w:rsidRDefault="00A76EAE" w:rsidP="00902808">
      <w:pPr>
        <w:jc w:val="right"/>
        <w:rPr>
          <w:lang w:bidi="fa-IR"/>
        </w:rPr>
      </w:pPr>
    </w:p>
    <w:p w14:paraId="32625ABE" w14:textId="77777777" w:rsidR="00A76EAE" w:rsidRDefault="00A76EAE" w:rsidP="00902808">
      <w:pPr>
        <w:jc w:val="right"/>
        <w:rPr>
          <w:lang w:bidi="fa-IR"/>
        </w:rPr>
      </w:pPr>
    </w:p>
    <w:p w14:paraId="023FE938" w14:textId="77777777" w:rsidR="00A76EAE" w:rsidRDefault="00A76EAE" w:rsidP="00902808">
      <w:pPr>
        <w:jc w:val="right"/>
        <w:rPr>
          <w:lang w:bidi="fa-IR"/>
        </w:rPr>
      </w:pPr>
    </w:p>
    <w:p w14:paraId="68E2B3AD" w14:textId="77777777" w:rsidR="00A76EAE" w:rsidRDefault="00A76EAE" w:rsidP="00A76EAE">
      <w:pPr>
        <w:rPr>
          <w:rtl/>
          <w:lang w:bidi="fa-IR"/>
        </w:rPr>
      </w:pPr>
    </w:p>
    <w:p w14:paraId="60FD1D4E" w14:textId="77777777" w:rsidR="003729DC" w:rsidRDefault="003729DC" w:rsidP="00A76EAE">
      <w:pPr>
        <w:rPr>
          <w:rtl/>
          <w:lang w:bidi="fa-IR"/>
        </w:rPr>
      </w:pPr>
    </w:p>
    <w:p w14:paraId="695A139F" w14:textId="77777777" w:rsidR="003729DC" w:rsidRDefault="003729DC" w:rsidP="00A76EAE">
      <w:pPr>
        <w:rPr>
          <w:rtl/>
          <w:lang w:bidi="fa-IR"/>
        </w:rPr>
      </w:pPr>
    </w:p>
    <w:p w14:paraId="3FAFB63E" w14:textId="77777777" w:rsidR="003729DC" w:rsidRDefault="003729DC" w:rsidP="00A76EAE">
      <w:pPr>
        <w:rPr>
          <w:rtl/>
          <w:lang w:bidi="fa-IR"/>
        </w:rPr>
      </w:pPr>
    </w:p>
    <w:p w14:paraId="52EF4F8D" w14:textId="77777777" w:rsidR="003729DC" w:rsidRDefault="003729DC" w:rsidP="00A76EAE">
      <w:pPr>
        <w:rPr>
          <w:rtl/>
          <w:lang w:bidi="fa-IR"/>
        </w:rPr>
      </w:pPr>
    </w:p>
    <w:p w14:paraId="41CBA4B2" w14:textId="77777777" w:rsidR="003729DC" w:rsidRDefault="003729DC" w:rsidP="00A76EAE">
      <w:pPr>
        <w:rPr>
          <w:lang w:bidi="fa-IR"/>
        </w:rPr>
      </w:pPr>
    </w:p>
    <w:p w14:paraId="7C6EF9DC" w14:textId="77777777" w:rsidR="00465299" w:rsidRDefault="00465299" w:rsidP="00FE0BD4">
      <w:pPr>
        <w:rPr>
          <w:lang w:bidi="fa-IR"/>
        </w:rPr>
      </w:pPr>
    </w:p>
    <w:p w14:paraId="3491218D" w14:textId="1E41EC1D" w:rsidR="00465299" w:rsidRPr="008A0D06" w:rsidRDefault="008A0D06" w:rsidP="008A0D06">
      <w:pPr>
        <w:rPr>
          <w:b/>
          <w:bCs/>
          <w:rtl/>
          <w:lang w:bidi="fa-IR"/>
        </w:rPr>
      </w:pPr>
      <w:r>
        <w:rPr>
          <w:b/>
          <w:bCs/>
          <w:lang w:bidi="fa-IR"/>
        </w:rPr>
        <w:t xml:space="preserve">1. </w:t>
      </w:r>
      <w:r w:rsidRPr="008A0D06">
        <w:rPr>
          <w:b/>
          <w:bCs/>
          <w:lang w:bidi="fa-IR"/>
        </w:rPr>
        <w:t>Introduction</w:t>
      </w:r>
    </w:p>
    <w:p w14:paraId="39C43E2D" w14:textId="77777777" w:rsidR="00FE0BD4" w:rsidRPr="00FE0BD4" w:rsidRDefault="00FE0BD4" w:rsidP="00FE0BD4">
      <w:pPr>
        <w:jc w:val="both"/>
        <w:rPr>
          <w:lang w:bidi="fa-IR"/>
        </w:rPr>
      </w:pPr>
      <w:r w:rsidRPr="00FE0BD4">
        <w:rPr>
          <w:lang w:bidi="fa-IR"/>
        </w:rPr>
        <w:t xml:space="preserve">Floods are among the most common and destructive natural hazards worldwide, and their high potential to damage the environment, infrastructure, and human life has made them a critical focus for disaster management and urban and rural planning (Lu &amp; Run, 2011; Chen et al., 2019; Zhang et al., 2025). Flooding occurs when the volume of water from rainfall or snowmelt exceeds the watershed's capacity to absorb and convey it, leading to the accumulation of surface runoff. Multiple factors can intensify flood occurrence, including rainfall intensity and distribution, topography and slope, soil type and </w:t>
      </w:r>
      <w:r w:rsidRPr="00FE0BD4">
        <w:rPr>
          <w:lang w:bidi="fa-IR"/>
        </w:rPr>
        <w:lastRenderedPageBreak/>
        <w:t>vegetation cover, population density, and human activities (</w:t>
      </w:r>
      <w:proofErr w:type="spellStart"/>
      <w:r w:rsidRPr="00FE0BD4">
        <w:rPr>
          <w:lang w:bidi="fa-IR"/>
        </w:rPr>
        <w:t>Subraelu</w:t>
      </w:r>
      <w:proofErr w:type="spellEnd"/>
      <w:r w:rsidRPr="00FE0BD4">
        <w:rPr>
          <w:lang w:bidi="fa-IR"/>
        </w:rPr>
        <w:t xml:space="preserve"> et al., 2023; </w:t>
      </w:r>
      <w:proofErr w:type="spellStart"/>
      <w:r w:rsidRPr="00FE0BD4">
        <w:rPr>
          <w:lang w:bidi="fa-IR"/>
        </w:rPr>
        <w:t>Abedini</w:t>
      </w:r>
      <w:proofErr w:type="spellEnd"/>
      <w:r w:rsidRPr="00FE0BD4">
        <w:rPr>
          <w:lang w:bidi="fa-IR"/>
        </w:rPr>
        <w:t xml:space="preserve"> &amp; </w:t>
      </w:r>
      <w:proofErr w:type="spellStart"/>
      <w:r w:rsidRPr="00FE0BD4">
        <w:rPr>
          <w:lang w:bidi="fa-IR"/>
        </w:rPr>
        <w:t>Sardashti</w:t>
      </w:r>
      <w:proofErr w:type="spellEnd"/>
      <w:r w:rsidRPr="00FE0BD4">
        <w:rPr>
          <w:lang w:bidi="fa-IR"/>
        </w:rPr>
        <w:t>, 2025).</w:t>
      </w:r>
    </w:p>
    <w:p w14:paraId="38921772" w14:textId="77777777" w:rsidR="00FE0BD4" w:rsidRPr="00FE0BD4" w:rsidRDefault="00FE0BD4" w:rsidP="00FE0BD4">
      <w:pPr>
        <w:jc w:val="both"/>
        <w:rPr>
          <w:lang w:bidi="fa-IR"/>
        </w:rPr>
      </w:pPr>
      <w:r w:rsidRPr="00FE0BD4">
        <w:rPr>
          <w:lang w:bidi="fa-IR"/>
        </w:rPr>
        <w:t>One of the most significant contributors to natural hazards, including floods, is the increasing population and human intervention in nature (</w:t>
      </w:r>
      <w:proofErr w:type="spellStart"/>
      <w:r w:rsidRPr="00FE0BD4">
        <w:rPr>
          <w:lang w:bidi="fa-IR"/>
        </w:rPr>
        <w:t>Negahban</w:t>
      </w:r>
      <w:proofErr w:type="spellEnd"/>
      <w:r w:rsidRPr="00FE0BD4">
        <w:rPr>
          <w:lang w:bidi="fa-IR"/>
        </w:rPr>
        <w:t xml:space="preserve"> et al., 2019; </w:t>
      </w:r>
      <w:proofErr w:type="spellStart"/>
      <w:r w:rsidRPr="00FE0BD4">
        <w:rPr>
          <w:lang w:bidi="fa-IR"/>
        </w:rPr>
        <w:t>Mohammadkhan</w:t>
      </w:r>
      <w:proofErr w:type="spellEnd"/>
      <w:r w:rsidRPr="00FE0BD4">
        <w:rPr>
          <w:lang w:bidi="fa-IR"/>
        </w:rPr>
        <w:t xml:space="preserve"> et al., 2019; </w:t>
      </w:r>
      <w:proofErr w:type="spellStart"/>
      <w:r w:rsidRPr="00FE0BD4">
        <w:rPr>
          <w:lang w:bidi="fa-IR"/>
        </w:rPr>
        <w:t>Gołębiowski</w:t>
      </w:r>
      <w:proofErr w:type="spellEnd"/>
      <w:r w:rsidRPr="00FE0BD4">
        <w:rPr>
          <w:lang w:bidi="fa-IR"/>
        </w:rPr>
        <w:t xml:space="preserve"> et al., 2022; Shakti et al., 2023). Urban and rural expansion, land-use changes, vegetation removal, construction of runoff-control structures, and industrial activities can reduce a watershed’s natural capacity to manage surface water, thereby increasing flood severity (</w:t>
      </w:r>
      <w:proofErr w:type="spellStart"/>
      <w:r w:rsidRPr="00FE0BD4">
        <w:rPr>
          <w:lang w:bidi="fa-IR"/>
        </w:rPr>
        <w:t>Ganjaeian</w:t>
      </w:r>
      <w:proofErr w:type="spellEnd"/>
      <w:r w:rsidRPr="00FE0BD4">
        <w:rPr>
          <w:lang w:bidi="fa-IR"/>
        </w:rPr>
        <w:t>, 2020). Moreover, population growth exposes more individuals and infrastructure to flood risk, amplifying economic and social impacts (</w:t>
      </w:r>
      <w:proofErr w:type="spellStart"/>
      <w:r w:rsidRPr="00FE0BD4">
        <w:rPr>
          <w:lang w:bidi="fa-IR"/>
        </w:rPr>
        <w:t>Kundzewicz</w:t>
      </w:r>
      <w:proofErr w:type="spellEnd"/>
      <w:r w:rsidRPr="00FE0BD4">
        <w:rPr>
          <w:lang w:bidi="fa-IR"/>
        </w:rPr>
        <w:t xml:space="preserve"> &amp; Takeuchi, 1999; Jha &amp; </w:t>
      </w:r>
      <w:proofErr w:type="spellStart"/>
      <w:r w:rsidRPr="00FE0BD4">
        <w:rPr>
          <w:lang w:bidi="fa-IR"/>
        </w:rPr>
        <w:t>Afreen</w:t>
      </w:r>
      <w:proofErr w:type="spellEnd"/>
      <w:r w:rsidRPr="00FE0BD4">
        <w:rPr>
          <w:lang w:bidi="fa-IR"/>
        </w:rPr>
        <w:t xml:space="preserve">, 2020; Chen et al., 2021; </w:t>
      </w:r>
      <w:proofErr w:type="spellStart"/>
      <w:r w:rsidRPr="00FE0BD4">
        <w:rPr>
          <w:lang w:bidi="fa-IR"/>
        </w:rPr>
        <w:t>Alharbi</w:t>
      </w:r>
      <w:proofErr w:type="spellEnd"/>
      <w:r w:rsidRPr="00FE0BD4">
        <w:rPr>
          <w:lang w:bidi="fa-IR"/>
        </w:rPr>
        <w:t xml:space="preserve"> et al., 2023; </w:t>
      </w:r>
      <w:proofErr w:type="spellStart"/>
      <w:r w:rsidRPr="00FE0BD4">
        <w:rPr>
          <w:lang w:bidi="fa-IR"/>
        </w:rPr>
        <w:t>Nouhou</w:t>
      </w:r>
      <w:proofErr w:type="spellEnd"/>
      <w:r w:rsidRPr="00FE0BD4">
        <w:rPr>
          <w:lang w:bidi="fa-IR"/>
        </w:rPr>
        <w:t xml:space="preserve"> et al., 2025).</w:t>
      </w:r>
    </w:p>
    <w:p w14:paraId="579A34BF" w14:textId="77777777" w:rsidR="00FE0BD4" w:rsidRPr="00FE0BD4" w:rsidRDefault="00FE0BD4" w:rsidP="00FE0BD4">
      <w:pPr>
        <w:jc w:val="both"/>
        <w:rPr>
          <w:lang w:bidi="fa-IR"/>
        </w:rPr>
      </w:pPr>
      <w:r w:rsidRPr="00FE0BD4">
        <w:rPr>
          <w:lang w:bidi="fa-IR"/>
        </w:rPr>
        <w:t>Floods not only cause direct destructive effects but also have indirect and long-term consequences on the environment and human life (Berthelot et al., 2014). These include soil erosion, reduced water quality, damage to agricultural production, population displacement, health risks, and decreased economic productivity (</w:t>
      </w:r>
      <w:proofErr w:type="spellStart"/>
      <w:r w:rsidRPr="00FE0BD4">
        <w:rPr>
          <w:lang w:bidi="fa-IR"/>
        </w:rPr>
        <w:t>Geng</w:t>
      </w:r>
      <w:proofErr w:type="spellEnd"/>
      <w:r w:rsidRPr="00FE0BD4">
        <w:rPr>
          <w:lang w:bidi="fa-IR"/>
        </w:rPr>
        <w:t xml:space="preserve"> et al., 2020; Mo et al., 2021; </w:t>
      </w:r>
      <w:proofErr w:type="spellStart"/>
      <w:r w:rsidRPr="00FE0BD4">
        <w:rPr>
          <w:lang w:bidi="fa-IR"/>
        </w:rPr>
        <w:t>Sedighi</w:t>
      </w:r>
      <w:proofErr w:type="spellEnd"/>
      <w:r w:rsidRPr="00FE0BD4">
        <w:rPr>
          <w:lang w:bidi="fa-IR"/>
        </w:rPr>
        <w:t xml:space="preserve"> et al., 2021; Yuan et al., 2024; </w:t>
      </w:r>
      <w:proofErr w:type="spellStart"/>
      <w:r w:rsidRPr="00FE0BD4">
        <w:rPr>
          <w:lang w:bidi="fa-IR"/>
        </w:rPr>
        <w:t>Faraji</w:t>
      </w:r>
      <w:proofErr w:type="spellEnd"/>
      <w:r w:rsidRPr="00FE0BD4">
        <w:rPr>
          <w:lang w:bidi="fa-IR"/>
        </w:rPr>
        <w:t xml:space="preserve"> </w:t>
      </w:r>
      <w:proofErr w:type="spellStart"/>
      <w:r w:rsidRPr="00FE0BD4">
        <w:rPr>
          <w:lang w:bidi="fa-IR"/>
        </w:rPr>
        <w:t>Mondared</w:t>
      </w:r>
      <w:proofErr w:type="spellEnd"/>
      <w:r w:rsidRPr="00FE0BD4">
        <w:rPr>
          <w:lang w:bidi="fa-IR"/>
        </w:rPr>
        <w:t xml:space="preserve"> et al., 2025). Therefore, flooding is a complex hazard in which both natural and human-induced factors play critical roles in its occurrence and intensity (Parker, 2000; </w:t>
      </w:r>
      <w:proofErr w:type="spellStart"/>
      <w:r w:rsidRPr="00FE0BD4">
        <w:rPr>
          <w:lang w:bidi="fa-IR"/>
        </w:rPr>
        <w:t>Hewawasam</w:t>
      </w:r>
      <w:proofErr w:type="spellEnd"/>
      <w:r w:rsidRPr="00FE0BD4">
        <w:rPr>
          <w:lang w:bidi="fa-IR"/>
        </w:rPr>
        <w:t xml:space="preserve"> &amp; Matsui, 2022; Li et al., 2024; Ju et al., 2025). Given these issues, identifying flood-prone areas and assessing the vulnerability of populations and infrastructure is of great importance. The use of multi-criteria models, spatial data, and precise mapping can provide an effective tool for flood prediction and disaster management, guiding preventive planning and minimizing potential damage (Merz et al., 2010; </w:t>
      </w:r>
      <w:proofErr w:type="spellStart"/>
      <w:r w:rsidRPr="00FE0BD4">
        <w:rPr>
          <w:lang w:bidi="fa-IR"/>
        </w:rPr>
        <w:t>Petroselli</w:t>
      </w:r>
      <w:proofErr w:type="spellEnd"/>
      <w:r w:rsidRPr="00FE0BD4">
        <w:rPr>
          <w:lang w:bidi="fa-IR"/>
        </w:rPr>
        <w:t xml:space="preserve"> et al., 2020; </w:t>
      </w:r>
      <w:proofErr w:type="spellStart"/>
      <w:r w:rsidRPr="00FE0BD4">
        <w:rPr>
          <w:lang w:bidi="fa-IR"/>
        </w:rPr>
        <w:t>Lv</w:t>
      </w:r>
      <w:proofErr w:type="spellEnd"/>
      <w:r w:rsidRPr="00FE0BD4">
        <w:rPr>
          <w:lang w:bidi="fa-IR"/>
        </w:rPr>
        <w:t xml:space="preserve"> et al., 2025). In conclusion, a thorough understanding of the factors influencing flood occurrence, particularly the impacts of human activities and population growth, is vital for designing preventive measures and protecting lives, the environment, and economic resources. Scientific studies in this field enable decision-makers to implement appropriate planning and smart management strategies, enhancing regional resilience against potential floods and reducing both economic and human losses (Jha et al., 2012; Liu et al., 2025).</w:t>
      </w:r>
    </w:p>
    <w:p w14:paraId="51E67667" w14:textId="0C1CBB66" w:rsidR="00FE0BD4" w:rsidRPr="00FE0BD4" w:rsidRDefault="00FE0BD4" w:rsidP="00B13153">
      <w:pPr>
        <w:jc w:val="both"/>
        <w:rPr>
          <w:lang w:bidi="fa-IR"/>
        </w:rPr>
      </w:pPr>
      <w:r w:rsidRPr="00FE0BD4">
        <w:rPr>
          <w:lang w:bidi="fa-IR"/>
        </w:rPr>
        <w:t>Different regions have varying potentials for natural hazards, including floods, due to differences in geomorphology, geology, and hydroclimatic conditions (</w:t>
      </w:r>
      <w:proofErr w:type="spellStart"/>
      <w:r w:rsidRPr="00FE0BD4">
        <w:rPr>
          <w:lang w:bidi="fa-IR"/>
        </w:rPr>
        <w:t>Salari</w:t>
      </w:r>
      <w:proofErr w:type="spellEnd"/>
      <w:r w:rsidRPr="00FE0BD4">
        <w:rPr>
          <w:lang w:bidi="fa-IR"/>
        </w:rPr>
        <w:t xml:space="preserve"> et al., 2020; </w:t>
      </w:r>
      <w:proofErr w:type="spellStart"/>
      <w:r w:rsidRPr="00FE0BD4">
        <w:rPr>
          <w:lang w:bidi="fa-IR"/>
        </w:rPr>
        <w:t>Negahban</w:t>
      </w:r>
      <w:proofErr w:type="spellEnd"/>
      <w:r w:rsidRPr="00FE0BD4">
        <w:rPr>
          <w:lang w:bidi="fa-IR"/>
        </w:rPr>
        <w:t xml:space="preserve"> et al., 2021; Amani et al., 2025; </w:t>
      </w:r>
      <w:proofErr w:type="spellStart"/>
      <w:r w:rsidRPr="00FE0BD4">
        <w:rPr>
          <w:lang w:bidi="fa-IR"/>
        </w:rPr>
        <w:t>Ganjaeian</w:t>
      </w:r>
      <w:proofErr w:type="spellEnd"/>
      <w:r w:rsidRPr="00FE0BD4">
        <w:rPr>
          <w:lang w:bidi="fa-IR"/>
        </w:rPr>
        <w:t xml:space="preserve"> et al., 2025). Among the areas most vulnerable to such hazards is the </w:t>
      </w:r>
      <w:proofErr w:type="spellStart"/>
      <w:r w:rsidRPr="00FE0BD4">
        <w:rPr>
          <w:lang w:bidi="fa-IR"/>
        </w:rPr>
        <w:t>Shevisheh</w:t>
      </w:r>
      <w:proofErr w:type="spellEnd"/>
      <w:r w:rsidRPr="00FE0BD4">
        <w:rPr>
          <w:lang w:bidi="fa-IR"/>
        </w:rPr>
        <w:t xml:space="preserve"> watershed in western Iran. In watersheds like </w:t>
      </w:r>
      <w:proofErr w:type="spellStart"/>
      <w:r w:rsidRPr="00FE0BD4">
        <w:rPr>
          <w:lang w:bidi="fa-IR"/>
        </w:rPr>
        <w:t>Shevisheh</w:t>
      </w:r>
      <w:proofErr w:type="spellEnd"/>
      <w:r w:rsidRPr="00FE0BD4">
        <w:rPr>
          <w:lang w:bidi="fa-IR"/>
        </w:rPr>
        <w:t>, the distribution of population, location of villages near rivers, and presence of low-lying areas significantly increase the vulnerability of people and infrastructure. Consequently, flooding not only damages homes and infrastructure but also threatens agricultural productivity, water and soil resources, causes population displacement, and poses public health risks.</w:t>
      </w:r>
    </w:p>
    <w:p w14:paraId="1159204B" w14:textId="77777777" w:rsidR="00FE0BD4" w:rsidRPr="00FE0BD4" w:rsidRDefault="00FE0BD4" w:rsidP="00FE0BD4">
      <w:pPr>
        <w:jc w:val="both"/>
        <w:rPr>
          <w:lang w:bidi="fa-IR"/>
        </w:rPr>
      </w:pPr>
      <w:r w:rsidRPr="00FE0BD4">
        <w:rPr>
          <w:lang w:bidi="fa-IR"/>
        </w:rPr>
        <w:t xml:space="preserve">Despite the importance of this issue, accurate data and scientific analyses regarding flood-prone areas and the vulnerability of villages in the </w:t>
      </w:r>
      <w:proofErr w:type="spellStart"/>
      <w:r w:rsidRPr="00FE0BD4">
        <w:rPr>
          <w:lang w:bidi="fa-IR"/>
        </w:rPr>
        <w:t>Shevisheh</w:t>
      </w:r>
      <w:proofErr w:type="spellEnd"/>
      <w:r w:rsidRPr="00FE0BD4">
        <w:rPr>
          <w:lang w:bidi="fa-IR"/>
        </w:rPr>
        <w:t xml:space="preserve"> watershed are limited. This lack of information hinders effective flood risk management and may lead to unplanned development in high-risk areas, increasing potential economic and human losses. Additionally, the absence of scientific analysis limits the optimization of natural resource management and preventive planning (Park &amp; Lee, 2019; Idowu &amp; Zhou, 2023).</w:t>
      </w:r>
    </w:p>
    <w:p w14:paraId="23388CAE" w14:textId="77777777" w:rsidR="00FE0BD4" w:rsidRPr="00FE0BD4" w:rsidRDefault="00FE0BD4" w:rsidP="00FE0BD4">
      <w:pPr>
        <w:jc w:val="both"/>
        <w:rPr>
          <w:lang w:bidi="fa-IR"/>
        </w:rPr>
      </w:pPr>
      <w:r w:rsidRPr="00FE0BD4">
        <w:rPr>
          <w:lang w:bidi="fa-IR"/>
        </w:rPr>
        <w:t xml:space="preserve">Flooding in this watershed also produces indirect and long-term consequences. Direct impacts include infrastructure destruction, damage to farmlands and natural resources, reduced water quality, and threats to public health (Kim et al., 2016). Indirect impacts may include decreased agricultural productivity, increased economic costs, and reduced social and economic resilience of rural communities (Zhang et al., 2025). These outcomes underscore the necessity for scientific and practical studies to identify high-risk areas and implement preventive planning (Lee &amp; Lin, 2021; </w:t>
      </w:r>
      <w:proofErr w:type="spellStart"/>
      <w:r w:rsidRPr="00FE0BD4">
        <w:rPr>
          <w:lang w:bidi="fa-IR"/>
        </w:rPr>
        <w:t>Vilca</w:t>
      </w:r>
      <w:proofErr w:type="spellEnd"/>
      <w:r w:rsidRPr="00FE0BD4">
        <w:rPr>
          <w:lang w:bidi="fa-IR"/>
        </w:rPr>
        <w:t xml:space="preserve">-Campana et al., 2025). Therefore, it is essential to identify flood-prone areas, analyze village vulnerability, and assess spatial risk distribution within the watershed. Utilizing spatial data, accurate mapping, and multi-criteria decision-making models can provide effective tools for proactive management and mitigating potential damages. Without these measures, the </w:t>
      </w:r>
      <w:proofErr w:type="spellStart"/>
      <w:r w:rsidRPr="00FE0BD4">
        <w:rPr>
          <w:lang w:bidi="fa-IR"/>
        </w:rPr>
        <w:t>Shevisheh</w:t>
      </w:r>
      <w:proofErr w:type="spellEnd"/>
      <w:r w:rsidRPr="00FE0BD4">
        <w:rPr>
          <w:lang w:bidi="fa-IR"/>
        </w:rPr>
        <w:t xml:space="preserve"> watershed remains at high risk of flooding, and safeguarding the population and infrastructure will face serious challenges. Overall, this problem statement highlights that flooding, as a major natural hazard in this watershed, requires scientific analysis, precise prediction, and effective</w:t>
      </w:r>
    </w:p>
    <w:p w14:paraId="233A559A" w14:textId="77777777" w:rsidR="002B7243" w:rsidRDefault="002B7243" w:rsidP="00C712BB">
      <w:pPr>
        <w:rPr>
          <w:lang w:bidi="fa-IR"/>
        </w:rPr>
      </w:pPr>
    </w:p>
    <w:p w14:paraId="1377CBF6" w14:textId="77777777" w:rsidR="00A83363" w:rsidRPr="00A83363" w:rsidRDefault="00913EA2" w:rsidP="00A83363">
      <w:pPr>
        <w:rPr>
          <w:b/>
          <w:bCs/>
          <w:lang w:bidi="fa-IR"/>
        </w:rPr>
      </w:pPr>
      <w:r w:rsidRPr="00A83363">
        <w:rPr>
          <w:b/>
          <w:bCs/>
          <w:lang w:bidi="fa-IR"/>
        </w:rPr>
        <w:t xml:space="preserve">2. </w:t>
      </w:r>
      <w:r w:rsidR="00A83363" w:rsidRPr="00A83363">
        <w:rPr>
          <w:b/>
          <w:bCs/>
          <w:lang w:bidi="fa-IR"/>
        </w:rPr>
        <w:t>Study Area</w:t>
      </w:r>
    </w:p>
    <w:p w14:paraId="011EF61F" w14:textId="6BC24FF0" w:rsidR="003D77D7" w:rsidRPr="003D77D7" w:rsidRDefault="003D77D7" w:rsidP="00BE5AA2">
      <w:pPr>
        <w:jc w:val="both"/>
        <w:rPr>
          <w:rFonts w:eastAsia="Times New Roman" w:cs="Times New Roman"/>
          <w14:ligatures w14:val="none"/>
        </w:rPr>
      </w:pPr>
      <w:r w:rsidRPr="003D77D7">
        <w:rPr>
          <w:rFonts w:eastAsia="Times New Roman" w:cs="Times New Roman"/>
          <w14:ligatures w14:val="none"/>
        </w:rPr>
        <w:lastRenderedPageBreak/>
        <w:t xml:space="preserve">The study area of the present research encompasses the </w:t>
      </w:r>
      <w:proofErr w:type="spellStart"/>
      <w:r w:rsidRPr="003D77D7">
        <w:rPr>
          <w:rFonts w:eastAsia="Times New Roman" w:cs="Times New Roman"/>
          <w14:ligatures w14:val="none"/>
        </w:rPr>
        <w:t>Sh</w:t>
      </w:r>
      <w:r w:rsidR="003B4911">
        <w:rPr>
          <w:rFonts w:eastAsia="Times New Roman" w:cs="Times New Roman"/>
          <w14:ligatures w14:val="none"/>
        </w:rPr>
        <w:t>e</w:t>
      </w:r>
      <w:r w:rsidRPr="003D77D7">
        <w:rPr>
          <w:rFonts w:eastAsia="Times New Roman" w:cs="Times New Roman"/>
          <w14:ligatures w14:val="none"/>
        </w:rPr>
        <w:t>visheh</w:t>
      </w:r>
      <w:proofErr w:type="spellEnd"/>
      <w:r w:rsidRPr="003D77D7">
        <w:rPr>
          <w:rFonts w:eastAsia="Times New Roman" w:cs="Times New Roman"/>
          <w14:ligatures w14:val="none"/>
        </w:rPr>
        <w:t xml:space="preserve"> </w:t>
      </w:r>
      <w:r w:rsidR="00BE47E7">
        <w:rPr>
          <w:rFonts w:eastAsia="Times New Roman" w:cs="Times New Roman"/>
          <w14:ligatures w14:val="none"/>
        </w:rPr>
        <w:t>basin</w:t>
      </w:r>
      <w:r w:rsidRPr="003D77D7">
        <w:rPr>
          <w:rFonts w:eastAsia="Times New Roman" w:cs="Times New Roman"/>
          <w14:ligatures w14:val="none"/>
        </w:rPr>
        <w:t xml:space="preserve">, located in western Iran (Figure 1). Covering approximately 1,969 square kilometers, this basin falls within the political boundaries of Kurdistan Province, including the counties of </w:t>
      </w:r>
      <w:proofErr w:type="spellStart"/>
      <w:r w:rsidRPr="003D77D7">
        <w:rPr>
          <w:rFonts w:eastAsia="Times New Roman" w:cs="Times New Roman"/>
          <w14:ligatures w14:val="none"/>
        </w:rPr>
        <w:t>Sanandaj</w:t>
      </w:r>
      <w:proofErr w:type="spellEnd"/>
      <w:r w:rsidRPr="003D77D7">
        <w:rPr>
          <w:rFonts w:eastAsia="Times New Roman" w:cs="Times New Roman"/>
          <w14:ligatures w14:val="none"/>
        </w:rPr>
        <w:t xml:space="preserve">, </w:t>
      </w:r>
      <w:proofErr w:type="spellStart"/>
      <w:r w:rsidRPr="003D77D7">
        <w:rPr>
          <w:rFonts w:eastAsia="Times New Roman" w:cs="Times New Roman"/>
          <w14:ligatures w14:val="none"/>
        </w:rPr>
        <w:t>Sarvabad</w:t>
      </w:r>
      <w:proofErr w:type="spellEnd"/>
      <w:r w:rsidRPr="003D77D7">
        <w:rPr>
          <w:rFonts w:eastAsia="Times New Roman" w:cs="Times New Roman"/>
          <w14:ligatures w14:val="none"/>
        </w:rPr>
        <w:t xml:space="preserve">, and </w:t>
      </w:r>
      <w:proofErr w:type="spellStart"/>
      <w:r w:rsidRPr="003D77D7">
        <w:rPr>
          <w:rFonts w:eastAsia="Times New Roman" w:cs="Times New Roman"/>
          <w14:ligatures w14:val="none"/>
        </w:rPr>
        <w:t>Marivan</w:t>
      </w:r>
      <w:proofErr w:type="spellEnd"/>
      <w:r w:rsidRPr="003D77D7">
        <w:rPr>
          <w:rFonts w:eastAsia="Times New Roman" w:cs="Times New Roman"/>
          <w14:ligatures w14:val="none"/>
        </w:rPr>
        <w:t xml:space="preserve">. According to the hydrological basin classification of Iran, the </w:t>
      </w:r>
      <w:proofErr w:type="spellStart"/>
      <w:r w:rsidR="002F3FA4">
        <w:rPr>
          <w:rFonts w:eastAsia="Times New Roman" w:cs="Times New Roman"/>
          <w14:ligatures w14:val="none"/>
        </w:rPr>
        <w:t>Shevisheh</w:t>
      </w:r>
      <w:proofErr w:type="spellEnd"/>
      <w:r w:rsidRPr="003D77D7">
        <w:rPr>
          <w:rFonts w:eastAsia="Times New Roman" w:cs="Times New Roman"/>
          <w14:ligatures w14:val="none"/>
        </w:rPr>
        <w:t xml:space="preserve"> </w:t>
      </w:r>
      <w:r w:rsidR="00BE47E7">
        <w:rPr>
          <w:rFonts w:eastAsia="Times New Roman" w:cs="Times New Roman"/>
          <w14:ligatures w14:val="none"/>
        </w:rPr>
        <w:t>basin</w:t>
      </w:r>
      <w:r w:rsidRPr="003D77D7">
        <w:rPr>
          <w:rFonts w:eastAsia="Times New Roman" w:cs="Times New Roman"/>
          <w14:ligatures w14:val="none"/>
        </w:rPr>
        <w:t xml:space="preserve"> is part of the Persian Gulf drainage basin. Topographically, the area is dominated by mountainous terrains and steep hillslopes, resulting in the formation of numerous deep valleys throughout the basin</w:t>
      </w:r>
      <w:r w:rsidR="00BE5AA2">
        <w:rPr>
          <w:rFonts w:eastAsia="Times New Roman" w:cs="Times New Roman"/>
          <w14:ligatures w14:val="none"/>
        </w:rPr>
        <w:t xml:space="preserve"> (</w:t>
      </w:r>
      <w:proofErr w:type="spellStart"/>
      <w:r w:rsidR="00BE5AA2" w:rsidRPr="00BE5AA2">
        <w:rPr>
          <w:rFonts w:eastAsia="Times New Roman" w:cs="Times New Roman"/>
          <w14:ligatures w14:val="none"/>
        </w:rPr>
        <w:t>Nayyeri</w:t>
      </w:r>
      <w:proofErr w:type="spellEnd"/>
      <w:r w:rsidR="00BE5AA2">
        <w:rPr>
          <w:rFonts w:eastAsia="Times New Roman" w:cs="Times New Roman"/>
          <w14:ligatures w14:val="none"/>
        </w:rPr>
        <w:t xml:space="preserve"> et al, 2018)</w:t>
      </w:r>
      <w:r w:rsidRPr="003D77D7">
        <w:rPr>
          <w:rFonts w:eastAsia="Times New Roman" w:cs="Times New Roman"/>
          <w14:ligatures w14:val="none"/>
        </w:rPr>
        <w:t xml:space="preserve">. From a climatic perspective, </w:t>
      </w:r>
      <w:proofErr w:type="spellStart"/>
      <w:r w:rsidR="002F3FA4">
        <w:rPr>
          <w:rFonts w:eastAsia="Times New Roman" w:cs="Times New Roman"/>
          <w14:ligatures w14:val="none"/>
        </w:rPr>
        <w:t>Shevisheh</w:t>
      </w:r>
      <w:proofErr w:type="spellEnd"/>
      <w:r w:rsidRPr="003D77D7">
        <w:rPr>
          <w:rFonts w:eastAsia="Times New Roman" w:cs="Times New Roman"/>
          <w14:ligatures w14:val="none"/>
        </w:rPr>
        <w:t xml:space="preserve"> is considered one of the high-precipitation </w:t>
      </w:r>
      <w:r w:rsidR="00BE47E7">
        <w:rPr>
          <w:rFonts w:eastAsia="Times New Roman" w:cs="Times New Roman"/>
          <w14:ligatures w14:val="none"/>
        </w:rPr>
        <w:t>basin</w:t>
      </w:r>
      <w:r w:rsidRPr="003D77D7">
        <w:rPr>
          <w:rFonts w:eastAsia="Times New Roman" w:cs="Times New Roman"/>
          <w14:ligatures w14:val="none"/>
        </w:rPr>
        <w:t xml:space="preserve">s in Iran, with an average annual rainfall exceeding 700 millimeters. The combination of rugged terrain and substantial precipitation gives this </w:t>
      </w:r>
      <w:r w:rsidR="00BE47E7">
        <w:rPr>
          <w:rFonts w:eastAsia="Times New Roman" w:cs="Times New Roman"/>
          <w14:ligatures w14:val="none"/>
        </w:rPr>
        <w:t>basin</w:t>
      </w:r>
      <w:r w:rsidRPr="003D77D7">
        <w:rPr>
          <w:rFonts w:eastAsia="Times New Roman" w:cs="Times New Roman"/>
          <w14:ligatures w14:val="none"/>
        </w:rPr>
        <w:t xml:space="preserve"> significant hydrological and environmental importance.</w:t>
      </w:r>
    </w:p>
    <w:p w14:paraId="79D9334F" w14:textId="77777777" w:rsidR="00E264B1" w:rsidRPr="00913EA2" w:rsidRDefault="00E264B1" w:rsidP="003D77D7"/>
    <w:p w14:paraId="3703C9AB" w14:textId="16CC40C6" w:rsidR="00913EA2" w:rsidRPr="00913EA2" w:rsidRDefault="003D77D7" w:rsidP="00A83363">
      <w:pPr>
        <w:jc w:val="center"/>
        <w:rPr>
          <w:rFonts w:eastAsia="Times New Roman" w:cs="Times New Roman"/>
          <w:sz w:val="24"/>
          <w:szCs w:val="24"/>
          <w14:ligatures w14:val="none"/>
        </w:rPr>
      </w:pPr>
      <w:r w:rsidRPr="003D77D7">
        <w:rPr>
          <w:rFonts w:eastAsia="Times New Roman" w:cs="Times New Roman"/>
          <w:noProof/>
          <w:sz w:val="24"/>
          <w:szCs w:val="24"/>
          <w14:ligatures w14:val="none"/>
        </w:rPr>
        <w:drawing>
          <wp:inline distT="0" distB="0" distL="0" distR="0" wp14:anchorId="0D83C58F" wp14:editId="4E6276C6">
            <wp:extent cx="5013960" cy="4348693"/>
            <wp:effectExtent l="0" t="0" r="0" b="0"/>
            <wp:docPr id="10" name="Picture 10" descr="E:\project\GIS-project\pireh\Flood-Shevisheh\khro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Flood-Shevisheh\khroji\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098" cy="4350547"/>
                    </a:xfrm>
                    <a:prstGeom prst="rect">
                      <a:avLst/>
                    </a:prstGeom>
                    <a:noFill/>
                    <a:ln>
                      <a:noFill/>
                    </a:ln>
                  </pic:spPr>
                </pic:pic>
              </a:graphicData>
            </a:graphic>
          </wp:inline>
        </w:drawing>
      </w:r>
    </w:p>
    <w:p w14:paraId="51A03A84" w14:textId="28FE513C" w:rsidR="00913EA2" w:rsidRPr="00A83363" w:rsidRDefault="00A83363" w:rsidP="00A83363">
      <w:pPr>
        <w:jc w:val="center"/>
        <w:rPr>
          <w:lang w:bidi="fa-IR"/>
        </w:rPr>
      </w:pPr>
      <w:r w:rsidRPr="00A83363">
        <w:rPr>
          <w:sz w:val="20"/>
          <w:szCs w:val="20"/>
          <w:lang w:bidi="fa-IR"/>
        </w:rPr>
        <w:t>Figure 1. Location map of the study area</w:t>
      </w:r>
    </w:p>
    <w:p w14:paraId="36A75288" w14:textId="77777777" w:rsidR="005731C4" w:rsidRDefault="005731C4" w:rsidP="00A83363">
      <w:pPr>
        <w:rPr>
          <w:lang w:bidi="fa-IR"/>
        </w:rPr>
      </w:pPr>
    </w:p>
    <w:p w14:paraId="109CF4D4" w14:textId="54AAA8A0" w:rsidR="00B74B58" w:rsidRPr="004E5D3E" w:rsidRDefault="004E5D3E" w:rsidP="00C552E6">
      <w:pPr>
        <w:rPr>
          <w:b/>
          <w:bCs/>
          <w:lang w:bidi="fa-IR"/>
        </w:rPr>
      </w:pPr>
      <w:r w:rsidRPr="004E5D3E">
        <w:rPr>
          <w:b/>
          <w:bCs/>
          <w:lang w:bidi="fa-IR"/>
        </w:rPr>
        <w:t>3.</w:t>
      </w:r>
      <w:r w:rsidRPr="004E5D3E">
        <w:rPr>
          <w:b/>
          <w:bCs/>
        </w:rPr>
        <w:t xml:space="preserve"> </w:t>
      </w:r>
      <w:r w:rsidRPr="004E5D3E">
        <w:rPr>
          <w:b/>
          <w:bCs/>
          <w:lang w:bidi="fa-IR"/>
        </w:rPr>
        <w:t>Materials and methods</w:t>
      </w:r>
    </w:p>
    <w:p w14:paraId="24E4163C" w14:textId="3530E94B" w:rsidR="0031089B" w:rsidRDefault="0031089B" w:rsidP="009D2BB7">
      <w:pPr>
        <w:jc w:val="both"/>
        <w:rPr>
          <w:rtl/>
          <w:lang w:bidi="fa-IR"/>
        </w:rPr>
      </w:pPr>
      <w:r w:rsidRPr="0031089B">
        <w:rPr>
          <w:lang w:bidi="fa-IR"/>
        </w:rPr>
        <w:t xml:space="preserve">To carry out the analysis, several datasets were used, including the 30-m SRTM Digital Elevation Model, the 1:100,000 geological map, and satellite-based data from MODIS and CHIRPS, in addition to basic raster and vector layers. The main tools employed were ArcGIS for layer preparation and standardization, </w:t>
      </w:r>
      <w:proofErr w:type="spellStart"/>
      <w:r w:rsidRPr="0031089B">
        <w:rPr>
          <w:lang w:bidi="fa-IR"/>
        </w:rPr>
        <w:t>TerrSet</w:t>
      </w:r>
      <w:proofErr w:type="spellEnd"/>
      <w:r w:rsidRPr="0031089B">
        <w:rPr>
          <w:lang w:bidi="fa-IR"/>
        </w:rPr>
        <w:t xml:space="preserve"> for implementing the WLC and OWA multicriteria models, and Expert Choice for parameter weighting using the AHP method.</w:t>
      </w:r>
      <w:r w:rsidR="009D2BB7" w:rsidRPr="009D2BB7">
        <w:t xml:space="preserve"> </w:t>
      </w:r>
      <w:r w:rsidR="009D2BB7" w:rsidRPr="009D2BB7">
        <w:rPr>
          <w:lang w:bidi="fa-IR"/>
        </w:rPr>
        <w:t>The following sections provide a detailed description of the research steps</w:t>
      </w:r>
      <w:r w:rsidR="009D2BB7">
        <w:rPr>
          <w:lang w:bidi="fa-IR"/>
        </w:rPr>
        <w:t xml:space="preserve">: </w:t>
      </w:r>
    </w:p>
    <w:p w14:paraId="48366781" w14:textId="65C8AD14" w:rsidR="0031089B" w:rsidRPr="009D2BB7" w:rsidRDefault="009D2BB7" w:rsidP="00D37358">
      <w:pPr>
        <w:pStyle w:val="ListParagraph"/>
        <w:numPr>
          <w:ilvl w:val="0"/>
          <w:numId w:val="37"/>
        </w:numPr>
        <w:jc w:val="both"/>
        <w:rPr>
          <w:lang w:bidi="fa-IR"/>
        </w:rPr>
      </w:pPr>
      <w:r w:rsidRPr="009D2BB7">
        <w:rPr>
          <w:b/>
          <w:bCs/>
          <w:lang w:bidi="fa-IR"/>
        </w:rPr>
        <w:t>Step</w:t>
      </w:r>
      <w:r w:rsidR="0031089B" w:rsidRPr="009D2BB7">
        <w:rPr>
          <w:b/>
          <w:bCs/>
          <w:lang w:bidi="fa-IR"/>
        </w:rPr>
        <w:t xml:space="preserve"> 1</w:t>
      </w:r>
      <w:r w:rsidRPr="009D2BB7">
        <w:rPr>
          <w:b/>
          <w:bCs/>
          <w:lang w:bidi="fa-IR"/>
        </w:rPr>
        <w:t xml:space="preserve"> (Preparation of Spatial Layers):</w:t>
      </w:r>
      <w:r w:rsidRPr="009D2BB7">
        <w:rPr>
          <w:lang w:bidi="fa-IR"/>
        </w:rPr>
        <w:t xml:space="preserve"> </w:t>
      </w:r>
      <w:r w:rsidRPr="0031089B">
        <w:rPr>
          <w:lang w:bidi="fa-IR"/>
        </w:rPr>
        <w:t>Initially, based on expert knowledge and literature review, six key parameters influencing flood susceptibility—</w:t>
      </w:r>
      <w:r w:rsidRPr="009D2BB7">
        <w:rPr>
          <w:lang w:bidi="fa-IR"/>
        </w:rPr>
        <w:t>distance to rivers, mean annual precipitation, elevation, slope, vegetation density, and lithology</w:t>
      </w:r>
      <w:r w:rsidRPr="0031089B">
        <w:rPr>
          <w:lang w:bidi="fa-IR"/>
        </w:rPr>
        <w:t>—were selected. The spatial layers for these parameters were then generated. MODIS and Google Earth Engine were used for vegetation density</w:t>
      </w:r>
      <w:r w:rsidR="00D37358">
        <w:rPr>
          <w:lang w:bidi="fa-IR"/>
        </w:rPr>
        <w:t xml:space="preserve"> (</w:t>
      </w:r>
      <w:proofErr w:type="spellStart"/>
      <w:r w:rsidR="00D37358" w:rsidRPr="00D37358">
        <w:rPr>
          <w:lang w:bidi="fa-IR"/>
        </w:rPr>
        <w:t>Zahabnazouri</w:t>
      </w:r>
      <w:proofErr w:type="spellEnd"/>
      <w:r w:rsidR="00D37358">
        <w:rPr>
          <w:lang w:bidi="fa-IR"/>
        </w:rPr>
        <w:t xml:space="preserve"> et al, 2025)</w:t>
      </w:r>
      <w:r w:rsidRPr="0031089B">
        <w:rPr>
          <w:lang w:bidi="fa-IR"/>
        </w:rPr>
        <w:t>, CHIRPS for rainfall, SRTM for slope, elevation, and river distance, and the geological map for lithology. This process produced a complete set of layers necessary for flood susceptibility analysis.</w:t>
      </w:r>
    </w:p>
    <w:p w14:paraId="6FDEFD8C" w14:textId="0720D4BE" w:rsidR="0031089B" w:rsidRPr="009D2BB7" w:rsidRDefault="009D2BB7" w:rsidP="009D2BB7">
      <w:pPr>
        <w:pStyle w:val="ListParagraph"/>
        <w:numPr>
          <w:ilvl w:val="0"/>
          <w:numId w:val="37"/>
        </w:numPr>
        <w:ind w:left="567" w:hanging="141"/>
        <w:jc w:val="both"/>
        <w:rPr>
          <w:lang w:bidi="fa-IR"/>
        </w:rPr>
      </w:pPr>
      <w:r w:rsidRPr="009D2BB7">
        <w:rPr>
          <w:b/>
          <w:bCs/>
          <w:lang w:bidi="fa-IR"/>
        </w:rPr>
        <w:t>Step</w:t>
      </w:r>
      <w:r w:rsidR="0031089B" w:rsidRPr="009D2BB7">
        <w:rPr>
          <w:b/>
          <w:bCs/>
          <w:lang w:bidi="fa-IR"/>
        </w:rPr>
        <w:t xml:space="preserve"> 2</w:t>
      </w:r>
      <w:r w:rsidRPr="009D2BB7">
        <w:rPr>
          <w:b/>
          <w:bCs/>
          <w:lang w:bidi="fa-IR"/>
        </w:rPr>
        <w:t xml:space="preserve"> (Standardization of Layers):</w:t>
      </w:r>
      <w:r w:rsidRPr="009D2BB7">
        <w:rPr>
          <w:lang w:bidi="fa-IR"/>
        </w:rPr>
        <w:t xml:space="preserve"> </w:t>
      </w:r>
      <w:r w:rsidRPr="0031089B">
        <w:rPr>
          <w:lang w:bidi="fa-IR"/>
        </w:rPr>
        <w:t xml:space="preserve">All layers were standardized in ArcGIS to a common scale ranging from 0 to 1. Areas with higher flood potential—such as low-lying zones, gentle slopes, </w:t>
      </w:r>
      <w:r w:rsidRPr="0031089B">
        <w:rPr>
          <w:lang w:bidi="fa-IR"/>
        </w:rPr>
        <w:lastRenderedPageBreak/>
        <w:t>regions near rivers, high-rainfall areas, sparse vegetation, and impermeable lithology—were assigned values close to 1. Conversely, regions with lower susceptibility were assigned values closer to 0.</w:t>
      </w:r>
    </w:p>
    <w:p w14:paraId="388A6DF6" w14:textId="7EC8A2CA" w:rsidR="0031089B" w:rsidRPr="009D2BB7" w:rsidRDefault="009D2BB7" w:rsidP="0056026E">
      <w:pPr>
        <w:pStyle w:val="ListParagraph"/>
        <w:numPr>
          <w:ilvl w:val="0"/>
          <w:numId w:val="37"/>
        </w:numPr>
        <w:ind w:left="567" w:hanging="141"/>
        <w:jc w:val="both"/>
        <w:rPr>
          <w:lang w:bidi="fa-IR"/>
        </w:rPr>
      </w:pPr>
      <w:r w:rsidRPr="009D2BB7">
        <w:rPr>
          <w:b/>
          <w:bCs/>
          <w:lang w:bidi="fa-IR"/>
        </w:rPr>
        <w:t>Step</w:t>
      </w:r>
      <w:r w:rsidR="0031089B" w:rsidRPr="009D2BB7">
        <w:rPr>
          <w:b/>
          <w:bCs/>
          <w:lang w:bidi="fa-IR"/>
        </w:rPr>
        <w:t xml:space="preserve"> 3</w:t>
      </w:r>
      <w:r w:rsidRPr="009D2BB7">
        <w:rPr>
          <w:b/>
          <w:bCs/>
          <w:lang w:bidi="fa-IR"/>
        </w:rPr>
        <w:t xml:space="preserve"> (Parameter Weighting)</w:t>
      </w:r>
      <w:r w:rsidR="0031089B" w:rsidRPr="009D2BB7">
        <w:rPr>
          <w:b/>
          <w:bCs/>
          <w:lang w:bidi="fa-IR"/>
        </w:rPr>
        <w:t>:</w:t>
      </w:r>
      <w:r w:rsidRPr="009D2BB7">
        <w:rPr>
          <w:lang w:bidi="fa-IR"/>
        </w:rPr>
        <w:t xml:space="preserve"> </w:t>
      </w:r>
      <w:r w:rsidRPr="0031089B">
        <w:rPr>
          <w:lang w:bidi="fa-IR"/>
        </w:rPr>
        <w:t xml:space="preserve">Since the significance of the parameters varies, their weights were determined using the </w:t>
      </w:r>
      <w:r w:rsidRPr="009D2BB7">
        <w:rPr>
          <w:lang w:bidi="fa-IR"/>
        </w:rPr>
        <w:t>Analytic Hierarchy Process (AHP)</w:t>
      </w:r>
      <w:r w:rsidRPr="0031089B">
        <w:rPr>
          <w:lang w:bidi="fa-IR"/>
        </w:rPr>
        <w:t xml:space="preserve"> in Expert Choice. The criteria were compared in pairs, and the resulting relative importance values were used to establish the final weight of each layer for the multicriteria analysis</w:t>
      </w:r>
      <w:r w:rsidR="00B13153">
        <w:rPr>
          <w:lang w:val="en-GB" w:bidi="fa-IR"/>
        </w:rPr>
        <w:t xml:space="preserve"> (Dong et al, 2022)</w:t>
      </w:r>
      <w:r w:rsidRPr="0031089B">
        <w:rPr>
          <w:lang w:bidi="fa-IR"/>
        </w:rPr>
        <w:t>.</w:t>
      </w:r>
    </w:p>
    <w:p w14:paraId="2522E9D3" w14:textId="4BF4ED42" w:rsidR="009D2BB7" w:rsidRDefault="009D2BB7" w:rsidP="009D2BB7">
      <w:pPr>
        <w:pStyle w:val="ListParagraph"/>
        <w:numPr>
          <w:ilvl w:val="0"/>
          <w:numId w:val="37"/>
        </w:numPr>
        <w:ind w:left="567" w:hanging="141"/>
        <w:jc w:val="both"/>
        <w:rPr>
          <w:lang w:bidi="fa-IR"/>
        </w:rPr>
      </w:pPr>
      <w:r w:rsidRPr="009D2BB7">
        <w:rPr>
          <w:b/>
          <w:bCs/>
          <w:lang w:bidi="fa-IR"/>
        </w:rPr>
        <w:t>Step</w:t>
      </w:r>
      <w:r w:rsidR="0031089B" w:rsidRPr="009D2BB7">
        <w:rPr>
          <w:b/>
          <w:bCs/>
          <w:lang w:bidi="fa-IR"/>
        </w:rPr>
        <w:t xml:space="preserve"> 4</w:t>
      </w:r>
      <w:r w:rsidRPr="009D2BB7">
        <w:rPr>
          <w:b/>
          <w:bCs/>
          <w:lang w:bidi="fa-IR"/>
        </w:rPr>
        <w:t xml:space="preserve"> (Final Map Production and Analysis)</w:t>
      </w:r>
      <w:r w:rsidR="0031089B" w:rsidRPr="009D2BB7">
        <w:rPr>
          <w:b/>
          <w:bCs/>
          <w:lang w:bidi="fa-IR"/>
        </w:rPr>
        <w:t>:</w:t>
      </w:r>
      <w:r w:rsidRPr="009D2BB7">
        <w:rPr>
          <w:lang w:bidi="fa-IR"/>
        </w:rPr>
        <w:t xml:space="preserve"> </w:t>
      </w:r>
      <w:r w:rsidRPr="0031089B">
        <w:rPr>
          <w:lang w:bidi="fa-IR"/>
        </w:rPr>
        <w:t xml:space="preserve">In the final </w:t>
      </w:r>
      <w:r>
        <w:rPr>
          <w:lang w:bidi="fa-IR"/>
        </w:rPr>
        <w:t>Step</w:t>
      </w:r>
      <w:r w:rsidRPr="0031089B">
        <w:rPr>
          <w:lang w:bidi="fa-IR"/>
        </w:rPr>
        <w:t xml:space="preserve">, the standardized and weighted layers were integrated in </w:t>
      </w:r>
      <w:proofErr w:type="spellStart"/>
      <w:r w:rsidRPr="009D2BB7">
        <w:rPr>
          <w:lang w:bidi="fa-IR"/>
        </w:rPr>
        <w:t>TerrSet</w:t>
      </w:r>
      <w:proofErr w:type="spellEnd"/>
      <w:r w:rsidRPr="0031089B">
        <w:rPr>
          <w:lang w:bidi="fa-IR"/>
        </w:rPr>
        <w:t xml:space="preserve"> using the </w:t>
      </w:r>
      <w:r w:rsidRPr="009D2BB7">
        <w:rPr>
          <w:lang w:bidi="fa-IR"/>
        </w:rPr>
        <w:t>Weighted Linear Combination (WLC)</w:t>
      </w:r>
      <w:r w:rsidRPr="0031089B">
        <w:rPr>
          <w:lang w:bidi="fa-IR"/>
        </w:rPr>
        <w:t xml:space="preserve"> and </w:t>
      </w:r>
      <w:r w:rsidRPr="009D2BB7">
        <w:rPr>
          <w:lang w:bidi="fa-IR"/>
        </w:rPr>
        <w:t>Ordered Weighted Averaging (OWA)</w:t>
      </w:r>
      <w:r w:rsidRPr="0031089B">
        <w:rPr>
          <w:lang w:bidi="fa-IR"/>
        </w:rPr>
        <w:t xml:space="preserve"> methods to produce the final </w:t>
      </w:r>
      <w:r w:rsidRPr="009D2BB7">
        <w:rPr>
          <w:lang w:bidi="fa-IR"/>
        </w:rPr>
        <w:t>flood susceptibility map</w:t>
      </w:r>
      <w:r w:rsidRPr="0031089B">
        <w:rPr>
          <w:lang w:bidi="fa-IR"/>
        </w:rPr>
        <w:t xml:space="preserve"> of the </w:t>
      </w:r>
      <w:proofErr w:type="spellStart"/>
      <w:r w:rsidRPr="0031089B">
        <w:rPr>
          <w:lang w:bidi="fa-IR"/>
        </w:rPr>
        <w:t>Shevisheh</w:t>
      </w:r>
      <w:proofErr w:type="spellEnd"/>
      <w:r w:rsidRPr="0031089B">
        <w:rPr>
          <w:lang w:bidi="fa-IR"/>
        </w:rPr>
        <w:t xml:space="preserve"> </w:t>
      </w:r>
      <w:r w:rsidR="00BE47E7">
        <w:rPr>
          <w:lang w:bidi="fa-IR"/>
        </w:rPr>
        <w:t>basin</w:t>
      </w:r>
      <w:r w:rsidRPr="0031089B">
        <w:rPr>
          <w:lang w:bidi="fa-IR"/>
        </w:rPr>
        <w:t xml:space="preserve">. After generating the map, the </w:t>
      </w:r>
      <w:r w:rsidRPr="009D2BB7">
        <w:rPr>
          <w:lang w:bidi="fa-IR"/>
        </w:rPr>
        <w:t>vulnerability of villages</w:t>
      </w:r>
      <w:r w:rsidRPr="0031089B">
        <w:rPr>
          <w:lang w:bidi="fa-IR"/>
        </w:rPr>
        <w:t xml:space="preserve"> within the </w:t>
      </w:r>
      <w:r w:rsidR="00BE47E7">
        <w:rPr>
          <w:lang w:bidi="fa-IR"/>
        </w:rPr>
        <w:t>basin</w:t>
      </w:r>
      <w:r w:rsidRPr="0031089B">
        <w:rPr>
          <w:lang w:bidi="fa-IR"/>
        </w:rPr>
        <w:t xml:space="preserve"> to flood hazards was evaluated to identify high-risk areas.</w:t>
      </w:r>
      <w:r w:rsidR="009A1B70">
        <w:rPr>
          <w:lang w:bidi="fa-IR"/>
        </w:rPr>
        <w:t xml:space="preserve"> </w:t>
      </w:r>
    </w:p>
    <w:p w14:paraId="4F0212B6" w14:textId="2FE58F2F" w:rsidR="009A1B70" w:rsidRPr="009A1B70" w:rsidRDefault="009A1B70" w:rsidP="00EE5953">
      <w:pPr>
        <w:jc w:val="both"/>
      </w:pPr>
      <w:r w:rsidRPr="009A1B70">
        <w:t>The Weighted Linear Combination (WLC) method is one of the most widely used multi-criteria evaluation approaches in GIS. In this method, after assigning weights to the information layers, the criteria are combined linearly. The weight of each criterion has a direct influence on the final outcome, and areas with higher values represent greater potential regarding the phenomenon under investigation. Its main advantages include simplicity, transparency of calculations, and the ability to integrate a large number of criteria</w:t>
      </w:r>
      <w:r w:rsidR="00561ECA">
        <w:t xml:space="preserve"> (</w:t>
      </w:r>
      <w:proofErr w:type="spellStart"/>
      <w:r w:rsidR="00561ECA">
        <w:t>Tabesh</w:t>
      </w:r>
      <w:proofErr w:type="spellEnd"/>
      <w:r w:rsidR="00561ECA">
        <w:t xml:space="preserve"> et al, 2020</w:t>
      </w:r>
      <w:r w:rsidR="00EE5953" w:rsidRPr="00EE5953">
        <w:t>;</w:t>
      </w:r>
      <w:r w:rsidR="00EE5953">
        <w:rPr>
          <w:rFonts w:hint="cs"/>
          <w:rtl/>
        </w:rPr>
        <w:t xml:space="preserve"> </w:t>
      </w:r>
      <w:proofErr w:type="spellStart"/>
      <w:r w:rsidR="00F338F9" w:rsidRPr="00F338F9">
        <w:t>Mosatfa</w:t>
      </w:r>
      <w:proofErr w:type="spellEnd"/>
      <w:r w:rsidR="00F338F9" w:rsidRPr="00F338F9">
        <w:t xml:space="preserve"> et al, 2022</w:t>
      </w:r>
      <w:r w:rsidR="00EE5953" w:rsidRPr="00EE5953">
        <w:t>;</w:t>
      </w:r>
      <w:r w:rsidR="00F338F9" w:rsidRPr="00F338F9">
        <w:t xml:space="preserve"> </w:t>
      </w:r>
      <w:proofErr w:type="spellStart"/>
      <w:r w:rsidR="00F338F9" w:rsidRPr="00F338F9">
        <w:t>Solaimani</w:t>
      </w:r>
      <w:proofErr w:type="spellEnd"/>
      <w:r w:rsidR="00F338F9" w:rsidRPr="00F338F9">
        <w:t xml:space="preserve"> et al</w:t>
      </w:r>
      <w:r w:rsidR="00EE5953">
        <w:rPr>
          <w:rFonts w:hint="cs"/>
          <w:rtl/>
        </w:rPr>
        <w:t>.</w:t>
      </w:r>
      <w:r w:rsidR="00F338F9" w:rsidRPr="00F338F9">
        <w:t>, 2023</w:t>
      </w:r>
      <w:r w:rsidR="00561ECA">
        <w:t>)</w:t>
      </w:r>
      <w:r w:rsidRPr="009A1B70">
        <w:t>. In contrast, the Ordered Weighted Averaging (OWA) method is a more flexible approach that, in addition to criterion weights, uses order-based weights. This provides the possibility to control the degree of risk-taking and the decision-maker’s attitude (conservative or optimistic). OWA can range between two extreme conditions—AND logic (strict) and OR logic (lenient)—and therefore produces more realistic results. For this reason, OWA is considered an effective tool in analyzing hazards such as flooding, which are characterized by significant uncertainty and variability</w:t>
      </w:r>
      <w:r w:rsidR="00561ECA">
        <w:t xml:space="preserve"> (</w:t>
      </w:r>
      <w:r w:rsidR="001C443C" w:rsidRPr="001C443C">
        <w:t>Xiao</w:t>
      </w:r>
      <w:r w:rsidR="001C443C">
        <w:t xml:space="preserve"> et al, 2017</w:t>
      </w:r>
      <w:r w:rsidR="00EE5953" w:rsidRPr="00EE5953">
        <w:t>;</w:t>
      </w:r>
      <w:r w:rsidR="001C443C" w:rsidRPr="001C443C">
        <w:t xml:space="preserve"> </w:t>
      </w:r>
      <w:proofErr w:type="spellStart"/>
      <w:r w:rsidR="00561ECA">
        <w:t>Ganjaeian</w:t>
      </w:r>
      <w:proofErr w:type="spellEnd"/>
      <w:r w:rsidR="00561ECA">
        <w:t xml:space="preserve"> et al, 2021</w:t>
      </w:r>
      <w:r w:rsidR="001C443C">
        <w:t>., Chen, 2022</w:t>
      </w:r>
      <w:r w:rsidR="00561ECA">
        <w:t>)</w:t>
      </w:r>
      <w:r w:rsidRPr="009A1B70">
        <w:t>.</w:t>
      </w:r>
    </w:p>
    <w:p w14:paraId="12F4F094" w14:textId="77777777" w:rsidR="003D77D7" w:rsidRDefault="003D77D7" w:rsidP="00731364">
      <w:pPr>
        <w:rPr>
          <w:rtl/>
          <w:lang w:bidi="fa-IR"/>
        </w:rPr>
      </w:pPr>
    </w:p>
    <w:p w14:paraId="0EF28901" w14:textId="6C0EC41A" w:rsidR="00B74B58" w:rsidRPr="001232E6" w:rsidRDefault="004E5D3E" w:rsidP="00C322B8">
      <w:pPr>
        <w:rPr>
          <w:b/>
          <w:bCs/>
        </w:rPr>
      </w:pPr>
      <w:r w:rsidRPr="001232E6">
        <w:rPr>
          <w:b/>
          <w:bCs/>
        </w:rPr>
        <w:t>4</w:t>
      </w:r>
      <w:r w:rsidR="00B74B58" w:rsidRPr="001232E6">
        <w:rPr>
          <w:b/>
          <w:bCs/>
        </w:rPr>
        <w:t>. Results</w:t>
      </w:r>
      <w:r w:rsidR="00FB4A23">
        <w:rPr>
          <w:b/>
          <w:bCs/>
        </w:rPr>
        <w:t xml:space="preserve"> </w:t>
      </w:r>
      <w:r w:rsidR="00196A9E">
        <w:rPr>
          <w:b/>
          <w:bCs/>
        </w:rPr>
        <w:t xml:space="preserve">and </w:t>
      </w:r>
      <w:r w:rsidR="00196A9E" w:rsidRPr="00196A9E">
        <w:rPr>
          <w:b/>
          <w:bCs/>
        </w:rPr>
        <w:t>Discussion</w:t>
      </w:r>
    </w:p>
    <w:p w14:paraId="097EA36A" w14:textId="470C5386" w:rsidR="00902808" w:rsidRDefault="004E5D3E" w:rsidP="00C322B8">
      <w:pPr>
        <w:rPr>
          <w:b/>
          <w:bCs/>
          <w:rtl/>
        </w:rPr>
      </w:pPr>
      <w:r w:rsidRPr="001232E6">
        <w:rPr>
          <w:b/>
          <w:bCs/>
        </w:rPr>
        <w:t>4</w:t>
      </w:r>
      <w:r w:rsidR="00B74B58" w:rsidRPr="001232E6">
        <w:rPr>
          <w:b/>
          <w:bCs/>
        </w:rPr>
        <w:t>.1. Description of the Parameters Used</w:t>
      </w:r>
    </w:p>
    <w:p w14:paraId="740C2311" w14:textId="5F42DE33" w:rsidR="006D74C0" w:rsidRPr="001232E6" w:rsidRDefault="006D74C0" w:rsidP="00EE5953">
      <w:pPr>
        <w:jc w:val="both"/>
      </w:pPr>
      <w:r w:rsidRPr="006D74C0">
        <w:t>The hydro-geomorphological characteristics of any region play a fundamental role in determining its development potential as well as its vulnerability to natural hazards</w:t>
      </w:r>
      <w:r w:rsidR="00374367">
        <w:t xml:space="preserve"> (</w:t>
      </w:r>
      <w:proofErr w:type="spellStart"/>
      <w:r w:rsidR="00374367" w:rsidRPr="00374367">
        <w:t>Hosseinzadeh</w:t>
      </w:r>
      <w:proofErr w:type="spellEnd"/>
      <w:r w:rsidR="00374367">
        <w:t xml:space="preserve"> et al, 2023</w:t>
      </w:r>
      <w:r w:rsidR="00EE5953" w:rsidRPr="00EE5953">
        <w:t>;</w:t>
      </w:r>
      <w:r w:rsidR="00EE5953">
        <w:rPr>
          <w:rFonts w:hint="cs"/>
          <w:rtl/>
        </w:rPr>
        <w:t xml:space="preserve"> </w:t>
      </w:r>
      <w:r w:rsidR="00374367">
        <w:t>Rahimi et al, 2024)</w:t>
      </w:r>
      <w:r w:rsidRPr="006D74C0">
        <w:t>. Assessing hydrological conditions is therefore essential in various planning processes, including physical development planning and the identification of areas susceptible to natural hazards such as flooding</w:t>
      </w:r>
      <w:r w:rsidR="00304BDD">
        <w:rPr>
          <w:lang w:val="en-GB" w:bidi="fa-IR"/>
        </w:rPr>
        <w:t xml:space="preserve"> (</w:t>
      </w:r>
      <w:proofErr w:type="spellStart"/>
      <w:r w:rsidR="00232DC4" w:rsidRPr="00232DC4">
        <w:rPr>
          <w:lang w:val="en-GB" w:bidi="fa-IR"/>
        </w:rPr>
        <w:t>Nayyeri</w:t>
      </w:r>
      <w:proofErr w:type="spellEnd"/>
      <w:r w:rsidR="00232DC4">
        <w:rPr>
          <w:lang w:val="en-GB" w:bidi="fa-IR"/>
        </w:rPr>
        <w:t xml:space="preserve"> et al, 2017</w:t>
      </w:r>
      <w:r w:rsidR="00EE5953" w:rsidRPr="00EE5953">
        <w:rPr>
          <w:lang w:val="en-GB" w:bidi="fa-IR"/>
        </w:rPr>
        <w:t>;</w:t>
      </w:r>
      <w:r w:rsidR="00232DC4">
        <w:rPr>
          <w:lang w:val="en-GB" w:bidi="fa-IR"/>
        </w:rPr>
        <w:t xml:space="preserve"> </w:t>
      </w:r>
      <w:proofErr w:type="spellStart"/>
      <w:r w:rsidR="00232DC4">
        <w:rPr>
          <w:lang w:val="en-GB" w:bidi="fa-IR"/>
        </w:rPr>
        <w:t>Salari</w:t>
      </w:r>
      <w:proofErr w:type="spellEnd"/>
      <w:r w:rsidR="00232DC4">
        <w:rPr>
          <w:lang w:val="en-GB" w:bidi="fa-IR"/>
        </w:rPr>
        <w:t xml:space="preserve"> et al, 2017</w:t>
      </w:r>
      <w:r w:rsidR="00EE5953" w:rsidRPr="00EE5953">
        <w:rPr>
          <w:lang w:val="en-GB" w:bidi="fa-IR"/>
        </w:rPr>
        <w:t>;</w:t>
      </w:r>
      <w:r w:rsidR="00690F08">
        <w:rPr>
          <w:lang w:val="en-GB" w:bidi="fa-IR"/>
        </w:rPr>
        <w:t xml:space="preserve"> </w:t>
      </w:r>
      <w:proofErr w:type="spellStart"/>
      <w:r w:rsidR="00690F08">
        <w:rPr>
          <w:lang w:val="en-GB" w:bidi="fa-IR"/>
        </w:rPr>
        <w:t>Ganjaeian</w:t>
      </w:r>
      <w:proofErr w:type="spellEnd"/>
      <w:r w:rsidR="00690F08">
        <w:rPr>
          <w:lang w:val="en-GB" w:bidi="fa-IR"/>
        </w:rPr>
        <w:t xml:space="preserve"> et al, 2025</w:t>
      </w:r>
      <w:r w:rsidR="00304BDD">
        <w:rPr>
          <w:lang w:val="en-GB" w:bidi="fa-IR"/>
        </w:rPr>
        <w:t>)</w:t>
      </w:r>
      <w:r w:rsidRPr="006D74C0">
        <w:t xml:space="preserve">. To identify and analyze flood-prone zones within the </w:t>
      </w:r>
      <w:proofErr w:type="spellStart"/>
      <w:r w:rsidRPr="006D74C0">
        <w:t>Shuisheh</w:t>
      </w:r>
      <w:proofErr w:type="spellEnd"/>
      <w:r w:rsidRPr="006D74C0">
        <w:t xml:space="preserve"> watershed, a set of environmental and hydrological parameters—those exerting the greatest influence on flood generation and intensification—were selected and examined. Each of these factors directly or indirectly affects runoff production, the rate of water accumulation, and the likelihood of flow overtopping, thus playing a decisive role in flood susceptibility modeling. The following sections provide a detailed explanation of these parameters and the procedures used for their standardization.</w:t>
      </w:r>
    </w:p>
    <w:p w14:paraId="4016377A" w14:textId="6137500A"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1) Distance from Rivers:</w:t>
      </w:r>
      <w:r w:rsidRPr="001232E6">
        <w:rPr>
          <w:rFonts w:eastAsia="Times New Roman" w:cs="Times New Roman"/>
          <w14:ligatures w14:val="none"/>
        </w:rPr>
        <w:t xml:space="preserve"> Distance to rivers is one of the most fundamental factors influencing flood susceptibility, as areas located near river channels are constantly exposed to the risk of overflow and bank overtopping</w:t>
      </w:r>
      <w:r w:rsidR="001E2214">
        <w:rPr>
          <w:rFonts w:eastAsia="Times New Roman" w:cs="Times New Roman"/>
          <w14:ligatures w14:val="none"/>
        </w:rPr>
        <w:t xml:space="preserve"> (</w:t>
      </w:r>
      <w:proofErr w:type="spellStart"/>
      <w:r w:rsidR="001E2214">
        <w:rPr>
          <w:rFonts w:eastAsia="Times New Roman" w:cs="Times New Roman"/>
          <w14:ligatures w14:val="none"/>
        </w:rPr>
        <w:t>Negahban</w:t>
      </w:r>
      <w:proofErr w:type="spellEnd"/>
      <w:r w:rsidR="001E2214">
        <w:rPr>
          <w:rFonts w:eastAsia="Times New Roman" w:cs="Times New Roman"/>
          <w14:ligatures w14:val="none"/>
        </w:rPr>
        <w:t xml:space="preserve"> et al, 2025)</w:t>
      </w:r>
      <w:r w:rsidRPr="001232E6">
        <w:rPr>
          <w:rFonts w:eastAsia="Times New Roman" w:cs="Times New Roman"/>
          <w14:ligatures w14:val="none"/>
        </w:rPr>
        <w:t>. Proximity to the main flow path results in shorter runoff concentration times and higher levels of hazard. Therefore, during the standardization of the river-distance layer, areas located closest to the rivers—those with the highest likelihood of flooding—were assigned values close to 1 (Figure 2).</w:t>
      </w:r>
    </w:p>
    <w:p w14:paraId="668EF5E3" w14:textId="77777777" w:rsidR="001232E6" w:rsidRDefault="001232E6" w:rsidP="009E0CC8">
      <w:pPr>
        <w:jc w:val="center"/>
        <w:rPr>
          <w:rFonts w:eastAsia="Times New Roman" w:cs="Times New Roman"/>
          <w14:ligatures w14:val="none"/>
        </w:rPr>
      </w:pPr>
    </w:p>
    <w:p w14:paraId="26EEB176" w14:textId="337905FB" w:rsidR="00BE47E7" w:rsidRPr="001232E6" w:rsidRDefault="00BF6FB2" w:rsidP="009E0CC8">
      <w:pPr>
        <w:jc w:val="center"/>
        <w:rPr>
          <w:rFonts w:eastAsia="Times New Roman" w:cs="Times New Roman"/>
          <w14:ligatures w14:val="none"/>
        </w:rPr>
      </w:pPr>
      <w:r w:rsidRPr="00BF6FB2">
        <w:rPr>
          <w:rFonts w:eastAsia="Times New Roman" w:cs="Times New Roman"/>
          <w:noProof/>
          <w14:ligatures w14:val="none"/>
        </w:rPr>
        <w:lastRenderedPageBreak/>
        <w:drawing>
          <wp:inline distT="0" distB="0" distL="0" distR="0" wp14:anchorId="24A35104" wp14:editId="36E57B4A">
            <wp:extent cx="4617720" cy="3677073"/>
            <wp:effectExtent l="0" t="0" r="0" b="0"/>
            <wp:docPr id="11" name="Picture 11" descr="E:\project\GIS-project\pireh\Flood-Shevisheh\khroji\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GIS-project\pireh\Flood-Shevisheh\khroji\ri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9444" cy="3678446"/>
                    </a:xfrm>
                    <a:prstGeom prst="rect">
                      <a:avLst/>
                    </a:prstGeom>
                    <a:noFill/>
                    <a:ln>
                      <a:noFill/>
                    </a:ln>
                  </pic:spPr>
                </pic:pic>
              </a:graphicData>
            </a:graphic>
          </wp:inline>
        </w:drawing>
      </w:r>
    </w:p>
    <w:p w14:paraId="157C0200" w14:textId="2CF33865" w:rsidR="001232E6" w:rsidRPr="00BF6FB2" w:rsidRDefault="009E0CC8" w:rsidP="00BE47E7">
      <w:pPr>
        <w:jc w:val="center"/>
        <w:rPr>
          <w:rFonts w:eastAsia="Times New Roman" w:cs="Times New Roman"/>
          <w:sz w:val="20"/>
          <w:szCs w:val="20"/>
          <w14:ligatures w14:val="none"/>
        </w:rPr>
      </w:pPr>
      <w:r w:rsidRPr="00BF6FB2">
        <w:rPr>
          <w:rFonts w:eastAsia="Times New Roman" w:cs="Times New Roman"/>
          <w:sz w:val="20"/>
          <w:szCs w:val="20"/>
          <w14:ligatures w14:val="none"/>
        </w:rPr>
        <w:t xml:space="preserve">Figure </w:t>
      </w:r>
      <w:r w:rsidR="00BE47E7" w:rsidRPr="00BF6FB2">
        <w:rPr>
          <w:rFonts w:eastAsia="Times New Roman" w:cs="Times New Roman"/>
          <w:sz w:val="20"/>
          <w:szCs w:val="20"/>
          <w14:ligatures w14:val="none"/>
        </w:rPr>
        <w:t>2</w:t>
      </w:r>
      <w:r w:rsidRPr="00BF6FB2">
        <w:rPr>
          <w:rFonts w:eastAsia="Times New Roman" w:cs="Times New Roman"/>
          <w:sz w:val="20"/>
          <w:szCs w:val="20"/>
          <w14:ligatures w14:val="none"/>
        </w:rPr>
        <w:t xml:space="preserve">. </w:t>
      </w:r>
      <w:r w:rsidR="00BE47E7" w:rsidRPr="00BF6FB2">
        <w:rPr>
          <w:rFonts w:eastAsia="Times New Roman" w:cs="Times New Roman"/>
          <w:sz w:val="20"/>
          <w:szCs w:val="20"/>
          <w14:ligatures w14:val="none"/>
        </w:rPr>
        <w:t xml:space="preserve">Standardized map of the river-distance layer of the </w:t>
      </w:r>
      <w:proofErr w:type="spellStart"/>
      <w:r w:rsidR="00BE47E7" w:rsidRPr="00BF6FB2">
        <w:rPr>
          <w:rFonts w:eastAsia="Times New Roman" w:cs="Times New Roman"/>
          <w:sz w:val="20"/>
          <w:szCs w:val="20"/>
          <w14:ligatures w14:val="none"/>
        </w:rPr>
        <w:t>Shevisheh</w:t>
      </w:r>
      <w:proofErr w:type="spellEnd"/>
      <w:r w:rsidR="00BE47E7" w:rsidRPr="00BF6FB2">
        <w:rPr>
          <w:rFonts w:eastAsia="Times New Roman" w:cs="Times New Roman"/>
          <w:sz w:val="20"/>
          <w:szCs w:val="20"/>
          <w14:ligatures w14:val="none"/>
        </w:rPr>
        <w:t xml:space="preserve"> basin</w:t>
      </w:r>
    </w:p>
    <w:p w14:paraId="51656921" w14:textId="77777777" w:rsidR="001232E6" w:rsidRPr="001232E6" w:rsidRDefault="001232E6" w:rsidP="001232E6">
      <w:pPr>
        <w:jc w:val="both"/>
        <w:rPr>
          <w:rFonts w:eastAsia="Times New Roman" w:cs="Times New Roman"/>
          <w14:ligatures w14:val="none"/>
        </w:rPr>
      </w:pPr>
    </w:p>
    <w:p w14:paraId="2F5B17C4" w14:textId="5C42FD89"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2) Mean Annual Precipitation:</w:t>
      </w:r>
      <w:r w:rsidRPr="001232E6">
        <w:rPr>
          <w:rFonts w:eastAsia="Times New Roman" w:cs="Times New Roman"/>
          <w14:ligatures w14:val="none"/>
        </w:rPr>
        <w:t xml:space="preserve"> Precipitation is a primary driver of flood generation, and spatial variations in rainfall significantly affect the hydrological response of a </w:t>
      </w:r>
      <w:r w:rsidR="00BE47E7">
        <w:rPr>
          <w:rFonts w:eastAsia="Times New Roman" w:cs="Times New Roman"/>
          <w14:ligatures w14:val="none"/>
        </w:rPr>
        <w:t>basin</w:t>
      </w:r>
      <w:r w:rsidRPr="001232E6">
        <w:rPr>
          <w:rFonts w:eastAsia="Times New Roman" w:cs="Times New Roman"/>
          <w14:ligatures w14:val="none"/>
        </w:rPr>
        <w:t xml:space="preserve">. Due to the considerable elevation differences within the </w:t>
      </w:r>
      <w:proofErr w:type="spellStart"/>
      <w:r w:rsidRPr="001232E6">
        <w:rPr>
          <w:rFonts w:eastAsia="Times New Roman" w:cs="Times New Roman"/>
          <w14:ligatures w14:val="none"/>
        </w:rPr>
        <w:t>Shevisheh</w:t>
      </w:r>
      <w:proofErr w:type="spellEnd"/>
      <w:r w:rsidRPr="001232E6">
        <w:rPr>
          <w:rFonts w:eastAsia="Times New Roman" w:cs="Times New Roman"/>
          <w14:ligatures w14:val="none"/>
        </w:rPr>
        <w:t xml:space="preserve"> basin, rainfall distribution varies across different parts of the area, leading to differences in runoff production. Generally, zones receiving higher annual precipitation have greater flood potential. For this reason, in the standardization process, areas with higher rainfall were assigned values close to 1 (Figure 3).</w:t>
      </w:r>
    </w:p>
    <w:p w14:paraId="345C9601" w14:textId="77777777" w:rsidR="001232E6" w:rsidRDefault="001232E6" w:rsidP="00BF6FB2">
      <w:pPr>
        <w:rPr>
          <w:rFonts w:eastAsia="Times New Roman" w:cs="Times New Roman"/>
          <w:rtl/>
          <w14:ligatures w14:val="none"/>
        </w:rPr>
      </w:pPr>
    </w:p>
    <w:p w14:paraId="30FF7B69" w14:textId="3855E127" w:rsidR="00BE47E7" w:rsidRDefault="00BF6FB2" w:rsidP="00BE47E7">
      <w:pPr>
        <w:jc w:val="center"/>
        <w:rPr>
          <w:rFonts w:eastAsia="Times New Roman" w:cs="Times New Roman"/>
          <w:rtl/>
          <w14:ligatures w14:val="none"/>
        </w:rPr>
      </w:pPr>
      <w:r w:rsidRPr="00BF6FB2">
        <w:rPr>
          <w:rFonts w:eastAsia="Times New Roman" w:cs="Times New Roman"/>
          <w:noProof/>
          <w14:ligatures w14:val="none"/>
        </w:rPr>
        <w:lastRenderedPageBreak/>
        <w:drawing>
          <wp:inline distT="0" distB="0" distL="0" distR="0" wp14:anchorId="5CDF5D58" wp14:editId="2CC81C60">
            <wp:extent cx="4850839" cy="3862705"/>
            <wp:effectExtent l="0" t="0" r="6985" b="4445"/>
            <wp:docPr id="12" name="Picture 12" descr="E:\project\GIS-project\pireh\Flood-Shevisheh\khroji\b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Flood-Shevisheh\khroji\bar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1773" cy="3863449"/>
                    </a:xfrm>
                    <a:prstGeom prst="rect">
                      <a:avLst/>
                    </a:prstGeom>
                    <a:noFill/>
                    <a:ln>
                      <a:noFill/>
                    </a:ln>
                  </pic:spPr>
                </pic:pic>
              </a:graphicData>
            </a:graphic>
          </wp:inline>
        </w:drawing>
      </w:r>
    </w:p>
    <w:p w14:paraId="542E4176" w14:textId="0E565467" w:rsidR="00BE47E7" w:rsidRPr="00BE47E7"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t>Figure 3</w:t>
      </w:r>
      <w:r w:rsidRPr="00BE47E7">
        <w:rPr>
          <w:rFonts w:eastAsia="Times New Roman" w:cs="Times New Roman" w:hint="cs"/>
          <w:sz w:val="20"/>
          <w:szCs w:val="20"/>
          <w:rtl/>
          <w14:ligatures w14:val="none"/>
        </w:rPr>
        <w:t>.</w:t>
      </w:r>
      <w:r w:rsidRPr="00BE47E7">
        <w:rPr>
          <w:rFonts w:eastAsia="Times New Roman" w:cs="Times New Roman"/>
          <w:sz w:val="20"/>
          <w:szCs w:val="20"/>
          <w14:ligatures w14:val="none"/>
        </w:rPr>
        <w:t xml:space="preserve"> Standardized map of the mean annual precipitation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5EF38339" w14:textId="77777777" w:rsidR="001232E6" w:rsidRPr="001232E6" w:rsidRDefault="001232E6" w:rsidP="001232E6">
      <w:pPr>
        <w:jc w:val="both"/>
        <w:rPr>
          <w:rFonts w:eastAsia="Times New Roman" w:cs="Times New Roman"/>
          <w14:ligatures w14:val="none"/>
        </w:rPr>
      </w:pPr>
    </w:p>
    <w:p w14:paraId="54AB88E0" w14:textId="1533FB84"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3) Elevation:</w:t>
      </w:r>
      <w:r w:rsidRPr="001232E6">
        <w:rPr>
          <w:rFonts w:eastAsia="Times New Roman" w:cs="Times New Roman"/>
          <w14:ligatures w14:val="none"/>
        </w:rPr>
        <w:t xml:space="preserve"> Elevation directly influences runoff accumulation and flood occurrence. Low-lying areas, often located at the downstream sections of the </w:t>
      </w:r>
      <w:r w:rsidR="00BE47E7">
        <w:rPr>
          <w:rFonts w:eastAsia="Times New Roman" w:cs="Times New Roman"/>
          <w14:ligatures w14:val="none"/>
        </w:rPr>
        <w:t>basin</w:t>
      </w:r>
      <w:r w:rsidRPr="001232E6">
        <w:rPr>
          <w:rFonts w:eastAsia="Times New Roman" w:cs="Times New Roman"/>
          <w14:ligatures w14:val="none"/>
        </w:rPr>
        <w:t>, serve as collection points for surface flows and river discharge. Consequently, these regions exhibit a higher probability of flooding during intense rainfall events. Based on this principle, low-elevation zones were assigned values close to 1 in the elevation-standardization process (Figure 4).</w:t>
      </w:r>
    </w:p>
    <w:p w14:paraId="3EFDF9E6" w14:textId="77777777" w:rsidR="001232E6" w:rsidRPr="001232E6" w:rsidRDefault="001232E6" w:rsidP="001232E6">
      <w:pPr>
        <w:jc w:val="both"/>
        <w:rPr>
          <w:rFonts w:eastAsia="Times New Roman" w:cs="Times New Roman"/>
          <w14:ligatures w14:val="none"/>
        </w:rPr>
      </w:pPr>
    </w:p>
    <w:p w14:paraId="3068BE61" w14:textId="547CAC08" w:rsidR="001232E6" w:rsidRDefault="00BF6FB2" w:rsidP="00BF6FB2">
      <w:pPr>
        <w:jc w:val="center"/>
        <w:rPr>
          <w:rFonts w:eastAsia="Times New Roman" w:cs="Times New Roman"/>
          <w14:ligatures w14:val="none"/>
        </w:rPr>
      </w:pPr>
      <w:r w:rsidRPr="00BF6FB2">
        <w:rPr>
          <w:rFonts w:eastAsia="Times New Roman" w:cs="Times New Roman"/>
          <w:noProof/>
          <w14:ligatures w14:val="none"/>
        </w:rPr>
        <w:drawing>
          <wp:inline distT="0" distB="0" distL="0" distR="0" wp14:anchorId="443E0670" wp14:editId="48FE33FD">
            <wp:extent cx="4621973" cy="3680460"/>
            <wp:effectExtent l="0" t="0" r="7620" b="0"/>
            <wp:docPr id="13" name="Picture 13" descr="E:\project\GIS-project\pireh\Flood-Shevisheh\khroji\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GIS-project\pireh\Flood-Shevisheh\khroji\de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7785" cy="3685088"/>
                    </a:xfrm>
                    <a:prstGeom prst="rect">
                      <a:avLst/>
                    </a:prstGeom>
                    <a:noFill/>
                    <a:ln>
                      <a:noFill/>
                    </a:ln>
                  </pic:spPr>
                </pic:pic>
              </a:graphicData>
            </a:graphic>
          </wp:inline>
        </w:drawing>
      </w:r>
    </w:p>
    <w:p w14:paraId="3F4441D2" w14:textId="1A62B6FE" w:rsidR="00BE47E7" w:rsidRPr="00BE47E7"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lastRenderedPageBreak/>
        <w:t>Figure 4</w:t>
      </w:r>
      <w:r w:rsidRPr="00BE47E7">
        <w:rPr>
          <w:rFonts w:eastAsia="Times New Roman" w:cs="Times New Roman" w:hint="cs"/>
          <w:sz w:val="20"/>
          <w:szCs w:val="20"/>
          <w:rtl/>
          <w14:ligatures w14:val="none"/>
        </w:rPr>
        <w:t>.</w:t>
      </w:r>
      <w:r w:rsidRPr="00BE47E7">
        <w:rPr>
          <w:rFonts w:eastAsia="Times New Roman" w:cs="Times New Roman"/>
          <w:sz w:val="20"/>
          <w:szCs w:val="20"/>
          <w14:ligatures w14:val="none"/>
        </w:rPr>
        <w:t xml:space="preserve"> Standardized map of the elevation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3D5C5034" w14:textId="77777777" w:rsidR="001232E6" w:rsidRPr="001232E6" w:rsidRDefault="001232E6" w:rsidP="001232E6">
      <w:pPr>
        <w:jc w:val="both"/>
        <w:rPr>
          <w:rFonts w:eastAsia="Times New Roman" w:cs="Times New Roman"/>
          <w14:ligatures w14:val="none"/>
        </w:rPr>
      </w:pPr>
    </w:p>
    <w:p w14:paraId="53AEEEF0" w14:textId="03FB7EEA"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4) Slope:</w:t>
      </w:r>
      <w:r w:rsidRPr="001232E6">
        <w:rPr>
          <w:rFonts w:eastAsia="Times New Roman" w:cs="Times New Roman"/>
          <w14:ligatures w14:val="none"/>
        </w:rPr>
        <w:t xml:space="preserve"> Slope determines the velocity of surface runoff and is a critical factor in assessing flood susceptibility. Low-slope areas generally experience slower water movement and greater runoff accumulation, making them more prone to flooding</w:t>
      </w:r>
      <w:r w:rsidR="005166F5">
        <w:rPr>
          <w:rFonts w:eastAsia="Times New Roman" w:cs="Times New Roman"/>
          <w14:ligatures w14:val="none"/>
        </w:rPr>
        <w:t xml:space="preserve"> (</w:t>
      </w:r>
      <w:r w:rsidR="001E2214">
        <w:rPr>
          <w:rFonts w:eastAsia="Times New Roman" w:cs="Times New Roman"/>
          <w14:ligatures w14:val="none"/>
        </w:rPr>
        <w:t xml:space="preserve">Safari </w:t>
      </w:r>
      <w:proofErr w:type="spellStart"/>
      <w:r w:rsidR="001E2214">
        <w:rPr>
          <w:rFonts w:eastAsia="Times New Roman" w:cs="Times New Roman"/>
          <w14:ligatures w14:val="none"/>
        </w:rPr>
        <w:t>Namivandi</w:t>
      </w:r>
      <w:proofErr w:type="spellEnd"/>
      <w:r w:rsidR="001E2214">
        <w:rPr>
          <w:rFonts w:eastAsia="Times New Roman" w:cs="Times New Roman"/>
          <w14:ligatures w14:val="none"/>
        </w:rPr>
        <w:t xml:space="preserve"> et al, 2024</w:t>
      </w:r>
      <w:r w:rsidR="005166F5">
        <w:rPr>
          <w:rFonts w:eastAsia="Times New Roman" w:cs="Times New Roman"/>
          <w14:ligatures w14:val="none"/>
        </w:rPr>
        <w:t>)</w:t>
      </w:r>
      <w:r w:rsidRPr="001232E6">
        <w:rPr>
          <w:rFonts w:eastAsia="Times New Roman" w:cs="Times New Roman"/>
          <w14:ligatures w14:val="none"/>
        </w:rPr>
        <w:t>. Accordingly, in the standardization of the slope layer, low-slope regions were assigned values close to 1 due to their higher flood potential (Figure 5).</w:t>
      </w:r>
    </w:p>
    <w:p w14:paraId="197DA0E0" w14:textId="77777777" w:rsidR="001232E6" w:rsidRDefault="001232E6" w:rsidP="001232E6">
      <w:pPr>
        <w:jc w:val="both"/>
        <w:rPr>
          <w:rFonts w:eastAsia="Times New Roman" w:cs="Times New Roman"/>
          <w14:ligatures w14:val="none"/>
        </w:rPr>
      </w:pPr>
    </w:p>
    <w:p w14:paraId="4888E691" w14:textId="42F4966E" w:rsidR="00BF6FB2" w:rsidRPr="001232E6" w:rsidRDefault="00BF6FB2" w:rsidP="00BF6FB2">
      <w:pPr>
        <w:jc w:val="center"/>
        <w:rPr>
          <w:rFonts w:eastAsia="Times New Roman" w:cs="Times New Roman"/>
          <w14:ligatures w14:val="none"/>
        </w:rPr>
      </w:pPr>
      <w:r w:rsidRPr="00BF6FB2">
        <w:rPr>
          <w:rFonts w:eastAsia="Times New Roman" w:cs="Times New Roman"/>
          <w:noProof/>
          <w14:ligatures w14:val="none"/>
        </w:rPr>
        <w:drawing>
          <wp:inline distT="0" distB="0" distL="0" distR="0" wp14:anchorId="6880C5C8" wp14:editId="66F115E4">
            <wp:extent cx="4572000" cy="3640666"/>
            <wp:effectExtent l="0" t="0" r="0" b="0"/>
            <wp:docPr id="15" name="Picture 15" descr="E:\project\GIS-project\pireh\Flood-Shevisheh\khroji\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GIS-project\pireh\Flood-Shevisheh\khroji\slop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4262" cy="3642467"/>
                    </a:xfrm>
                    <a:prstGeom prst="rect">
                      <a:avLst/>
                    </a:prstGeom>
                    <a:noFill/>
                    <a:ln>
                      <a:noFill/>
                    </a:ln>
                  </pic:spPr>
                </pic:pic>
              </a:graphicData>
            </a:graphic>
          </wp:inline>
        </w:drawing>
      </w:r>
    </w:p>
    <w:p w14:paraId="03917DE1" w14:textId="6A50F30E" w:rsidR="001232E6" w:rsidRPr="00BE47E7"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t>Figure 5.</w:t>
      </w:r>
      <w:r w:rsidRPr="00BE47E7">
        <w:rPr>
          <w:sz w:val="20"/>
          <w:szCs w:val="20"/>
        </w:rPr>
        <w:t xml:space="preserve"> </w:t>
      </w:r>
      <w:r w:rsidRPr="00BE47E7">
        <w:rPr>
          <w:rFonts w:eastAsia="Times New Roman" w:cs="Times New Roman"/>
          <w:sz w:val="20"/>
          <w:szCs w:val="20"/>
          <w14:ligatures w14:val="none"/>
        </w:rPr>
        <w:t xml:space="preserve">Standardized map of the slope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7F96E5AB" w14:textId="77777777" w:rsidR="001232E6" w:rsidRPr="001232E6" w:rsidRDefault="001232E6" w:rsidP="001232E6">
      <w:pPr>
        <w:jc w:val="both"/>
        <w:rPr>
          <w:rFonts w:eastAsia="Times New Roman" w:cs="Times New Roman"/>
          <w14:ligatures w14:val="none"/>
        </w:rPr>
      </w:pPr>
    </w:p>
    <w:p w14:paraId="791146CC" w14:textId="1561B795"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5) Vegetation Density:</w:t>
      </w:r>
      <w:r w:rsidRPr="001232E6">
        <w:rPr>
          <w:rFonts w:eastAsia="Times New Roman" w:cs="Times New Roman"/>
          <w14:ligatures w14:val="none"/>
        </w:rPr>
        <w:t xml:space="preserve"> Vegetation plays an essential role in regulating runoff velocity, enhancing soil infiltration, and reducing surface erosion. In this study, vegetation density was derived using MODIS imagery and Google Earth Engine. The resulting map showed considerable spatial variation in vegetation cover across the </w:t>
      </w:r>
      <w:r w:rsidR="00BE47E7">
        <w:rPr>
          <w:rFonts w:eastAsia="Times New Roman" w:cs="Times New Roman"/>
          <w14:ligatures w14:val="none"/>
        </w:rPr>
        <w:t>basin</w:t>
      </w:r>
      <w:r w:rsidRPr="001232E6">
        <w:rPr>
          <w:rFonts w:eastAsia="Times New Roman" w:cs="Times New Roman"/>
          <w14:ligatures w14:val="none"/>
        </w:rPr>
        <w:t>. Since areas with sparse vegetation have lower infiltration capacity and generate more runoff, they were assigned values close to 1 during standardization (Figure 6).</w:t>
      </w:r>
    </w:p>
    <w:p w14:paraId="4F112CF9" w14:textId="77777777" w:rsidR="001232E6" w:rsidRDefault="001232E6" w:rsidP="00BF6FB2">
      <w:pPr>
        <w:jc w:val="center"/>
        <w:rPr>
          <w:rFonts w:eastAsia="Times New Roman" w:cs="Times New Roman"/>
          <w14:ligatures w14:val="none"/>
        </w:rPr>
      </w:pPr>
    </w:p>
    <w:p w14:paraId="49E1CC8E" w14:textId="692AA12F" w:rsidR="00BF6FB2" w:rsidRPr="001232E6" w:rsidRDefault="00BF6FB2" w:rsidP="00BF6FB2">
      <w:pPr>
        <w:jc w:val="center"/>
        <w:rPr>
          <w:rFonts w:eastAsia="Times New Roman" w:cs="Times New Roman"/>
          <w14:ligatures w14:val="none"/>
        </w:rPr>
      </w:pPr>
      <w:r w:rsidRPr="00BF6FB2">
        <w:rPr>
          <w:rFonts w:eastAsia="Times New Roman" w:cs="Times New Roman"/>
          <w:noProof/>
          <w14:ligatures w14:val="none"/>
        </w:rPr>
        <w:lastRenderedPageBreak/>
        <w:drawing>
          <wp:inline distT="0" distB="0" distL="0" distR="0" wp14:anchorId="3E28FCE3" wp14:editId="5E8BCC11">
            <wp:extent cx="4641112" cy="3695700"/>
            <wp:effectExtent l="0" t="0" r="7620" b="0"/>
            <wp:docPr id="16" name="Picture 16" descr="E:\project\GIS-project\pireh\Flood-Shevisheh\khroji\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GIS-project\pireh\Flood-Shevisheh\khroji\v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3968" cy="3697974"/>
                    </a:xfrm>
                    <a:prstGeom prst="rect">
                      <a:avLst/>
                    </a:prstGeom>
                    <a:noFill/>
                    <a:ln>
                      <a:noFill/>
                    </a:ln>
                  </pic:spPr>
                </pic:pic>
              </a:graphicData>
            </a:graphic>
          </wp:inline>
        </w:drawing>
      </w:r>
    </w:p>
    <w:p w14:paraId="60F734E8" w14:textId="331278AA" w:rsidR="001232E6" w:rsidRPr="00BE47E7"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t>Figure 6</w:t>
      </w:r>
      <w:r w:rsidRPr="00BE47E7">
        <w:rPr>
          <w:rFonts w:eastAsia="Times New Roman" w:cs="Times New Roman" w:hint="cs"/>
          <w:sz w:val="20"/>
          <w:szCs w:val="20"/>
          <w:rtl/>
          <w14:ligatures w14:val="none"/>
        </w:rPr>
        <w:t>.</w:t>
      </w:r>
      <w:r w:rsidRPr="00BE47E7">
        <w:rPr>
          <w:sz w:val="20"/>
          <w:szCs w:val="20"/>
        </w:rPr>
        <w:t xml:space="preserve"> </w:t>
      </w:r>
      <w:r w:rsidRPr="00BE47E7">
        <w:rPr>
          <w:rFonts w:eastAsia="Times New Roman" w:cs="Times New Roman"/>
          <w:sz w:val="20"/>
          <w:szCs w:val="20"/>
          <w14:ligatures w14:val="none"/>
        </w:rPr>
        <w:t xml:space="preserve">Standardized map of the vegetation density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06B58A11" w14:textId="77777777" w:rsidR="001232E6" w:rsidRPr="001232E6" w:rsidRDefault="001232E6" w:rsidP="001232E6">
      <w:pPr>
        <w:jc w:val="both"/>
        <w:rPr>
          <w:rFonts w:eastAsia="Times New Roman" w:cs="Times New Roman"/>
          <w14:ligatures w14:val="none"/>
        </w:rPr>
      </w:pPr>
    </w:p>
    <w:p w14:paraId="26D6099B" w14:textId="31FD8974"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6) Lithology:</w:t>
      </w:r>
      <w:r w:rsidRPr="001232E6">
        <w:rPr>
          <w:rFonts w:eastAsia="Times New Roman" w:cs="Times New Roman"/>
          <w14:ligatures w14:val="none"/>
        </w:rPr>
        <w:t xml:space="preserve"> Lithology significantly affects soil permeability and, consequently, the volume of surface runoff. Permeable lithological units tend to reduce flood hazard by allowing higher infiltration rates, whereas impermeable units increase runoff and flood risk. In the study area, basaltic formations—due to their lower permeability and higher runoff potential—were assigned values close to 1, whereas limestone units, which contain numerous fractures and exhibit higher permeability, received values close to 0 (Figure 7).</w:t>
      </w:r>
    </w:p>
    <w:p w14:paraId="65C26467" w14:textId="77777777" w:rsidR="00902808" w:rsidRDefault="00902808" w:rsidP="00BF6FB2">
      <w:pPr>
        <w:jc w:val="center"/>
      </w:pPr>
    </w:p>
    <w:p w14:paraId="342085EA" w14:textId="1E307ECD" w:rsidR="00BF6FB2" w:rsidRPr="00902808" w:rsidRDefault="00BF6FB2" w:rsidP="00BF6FB2">
      <w:pPr>
        <w:jc w:val="center"/>
      </w:pPr>
      <w:r w:rsidRPr="00BF6FB2">
        <w:rPr>
          <w:noProof/>
        </w:rPr>
        <w:lastRenderedPageBreak/>
        <w:drawing>
          <wp:inline distT="0" distB="0" distL="0" distR="0" wp14:anchorId="3E59CF27" wp14:editId="782F3B02">
            <wp:extent cx="4922520" cy="3919783"/>
            <wp:effectExtent l="0" t="0" r="0" b="5080"/>
            <wp:docPr id="18" name="Picture 18" descr="E:\project\GIS-project\pireh\Flood-Shevisheh\khroji\li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GIS-project\pireh\Flood-Shevisheh\khroji\litholog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7801" cy="3923989"/>
                    </a:xfrm>
                    <a:prstGeom prst="rect">
                      <a:avLst/>
                    </a:prstGeom>
                    <a:noFill/>
                    <a:ln>
                      <a:noFill/>
                    </a:ln>
                  </pic:spPr>
                </pic:pic>
              </a:graphicData>
            </a:graphic>
          </wp:inline>
        </w:drawing>
      </w:r>
    </w:p>
    <w:p w14:paraId="471E6531" w14:textId="6C2F619D" w:rsidR="00DB21CB"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t>Figure 7</w:t>
      </w:r>
      <w:r w:rsidRPr="00BE47E7">
        <w:rPr>
          <w:rFonts w:eastAsia="Times New Roman" w:cs="Times New Roman" w:hint="cs"/>
          <w:sz w:val="20"/>
          <w:szCs w:val="20"/>
          <w:rtl/>
          <w14:ligatures w14:val="none"/>
        </w:rPr>
        <w:t>.</w:t>
      </w:r>
      <w:r w:rsidRPr="00BE47E7">
        <w:rPr>
          <w:sz w:val="20"/>
          <w:szCs w:val="20"/>
        </w:rPr>
        <w:t xml:space="preserve"> </w:t>
      </w:r>
      <w:r w:rsidRPr="00BE47E7">
        <w:rPr>
          <w:rFonts w:eastAsia="Times New Roman" w:cs="Times New Roman"/>
          <w:sz w:val="20"/>
          <w:szCs w:val="20"/>
          <w14:ligatures w14:val="none"/>
        </w:rPr>
        <w:t xml:space="preserve">Standardized map of the lithology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23890739" w14:textId="77777777" w:rsidR="00777B83" w:rsidRDefault="00777B83" w:rsidP="00777B83">
      <w:pPr>
        <w:rPr>
          <w:lang w:bidi="fa-IR"/>
        </w:rPr>
      </w:pPr>
    </w:p>
    <w:p w14:paraId="5AE6CC2E" w14:textId="3627ED71" w:rsidR="00777B83" w:rsidRDefault="00777B83" w:rsidP="00777B83">
      <w:pPr>
        <w:rPr>
          <w:b/>
          <w:bCs/>
          <w:rtl/>
          <w:lang w:bidi="fa-IR"/>
        </w:rPr>
      </w:pPr>
      <w:r w:rsidRPr="00777B83">
        <w:rPr>
          <w:b/>
          <w:bCs/>
          <w:lang w:bidi="fa-IR"/>
        </w:rPr>
        <w:t>4.2.</w:t>
      </w:r>
      <w:r w:rsidRPr="00777B83">
        <w:rPr>
          <w:b/>
          <w:bCs/>
        </w:rPr>
        <w:t xml:space="preserve"> </w:t>
      </w:r>
      <w:r w:rsidRPr="00777B83">
        <w:rPr>
          <w:b/>
          <w:bCs/>
          <w:lang w:bidi="fa-IR"/>
        </w:rPr>
        <w:t>Weighting of the parameters</w:t>
      </w:r>
    </w:p>
    <w:p w14:paraId="43298636" w14:textId="3FE04B02" w:rsidR="00F95EF6" w:rsidRPr="00E73A5B" w:rsidRDefault="00E73A5B" w:rsidP="00E73A5B">
      <w:pPr>
        <w:jc w:val="both"/>
        <w:rPr>
          <w:rtl/>
          <w:lang w:bidi="fa-IR"/>
        </w:rPr>
      </w:pPr>
      <w:r w:rsidRPr="00E73A5B">
        <w:rPr>
          <w:lang w:bidi="fa-IR"/>
        </w:rPr>
        <w:t>Since the value and importance of the spatial layers are not equal, in this study the parameters were weighted using expert judgment and the Analytic Hierarchy Process (AHP). This procedure allows for determining the relative significance of each layer and its influence on flood occurrence. According to the results, the river-distance layer and the elevation layer hold the highest importance in flood susceptibility analysis, with weights of 0.275 and 0.218, respectively, while the other parameters were assigned weights accordingly for their integration in the final analysis</w:t>
      </w:r>
      <w:r>
        <w:rPr>
          <w:lang w:bidi="fa-IR"/>
        </w:rPr>
        <w:t xml:space="preserve"> (Table 1)</w:t>
      </w:r>
      <w:r w:rsidRPr="00E73A5B">
        <w:rPr>
          <w:lang w:bidi="fa-IR"/>
        </w:rPr>
        <w:t>.</w:t>
      </w:r>
    </w:p>
    <w:p w14:paraId="2B0E9DA9" w14:textId="77777777" w:rsidR="00F95EF6" w:rsidRDefault="00F95EF6" w:rsidP="00E73A5B">
      <w:pPr>
        <w:rPr>
          <w:rtl/>
          <w:lang w:bidi="fa-IR"/>
        </w:rPr>
      </w:pPr>
    </w:p>
    <w:p w14:paraId="2B785F5D" w14:textId="77777777" w:rsidR="00F95EF6" w:rsidRPr="00DF622B" w:rsidRDefault="00F95EF6" w:rsidP="00F95EF6">
      <w:pPr>
        <w:jc w:val="center"/>
        <w:rPr>
          <w:sz w:val="20"/>
          <w:szCs w:val="20"/>
          <w:rtl/>
          <w:lang w:bidi="fa-IR"/>
        </w:rPr>
      </w:pPr>
      <w:r w:rsidRPr="00DF622B">
        <w:rPr>
          <w:sz w:val="20"/>
          <w:szCs w:val="20"/>
          <w:lang w:bidi="fa-IR"/>
        </w:rPr>
        <w:t>Table 1. Final weights of the parameters based on the AHP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1559"/>
      </w:tblGrid>
      <w:tr w:rsidR="00F95EF6" w14:paraId="2ABF39DC" w14:textId="77777777" w:rsidTr="006F7DDF">
        <w:trPr>
          <w:jc w:val="center"/>
        </w:trPr>
        <w:tc>
          <w:tcPr>
            <w:tcW w:w="704" w:type="dxa"/>
            <w:tcBorders>
              <w:top w:val="single" w:sz="4" w:space="0" w:color="auto"/>
              <w:bottom w:val="single" w:sz="4" w:space="0" w:color="auto"/>
            </w:tcBorders>
            <w:vAlign w:val="center"/>
          </w:tcPr>
          <w:p w14:paraId="43EF3A91" w14:textId="77777777" w:rsidR="00F95EF6" w:rsidRPr="00EC6036" w:rsidRDefault="00F95EF6" w:rsidP="00223975">
            <w:pPr>
              <w:jc w:val="center"/>
              <w:rPr>
                <w:rFonts w:cstheme="minorBidi"/>
                <w:sz w:val="20"/>
                <w:szCs w:val="20"/>
                <w14:ligatures w14:val="standardContextual"/>
              </w:rPr>
            </w:pPr>
            <w:r w:rsidRPr="00EC6036">
              <w:rPr>
                <w:rFonts w:cstheme="minorBidi"/>
                <w:sz w:val="20"/>
                <w:szCs w:val="20"/>
                <w14:ligatures w14:val="standardContextual"/>
              </w:rPr>
              <w:t>Row</w:t>
            </w:r>
          </w:p>
        </w:tc>
        <w:tc>
          <w:tcPr>
            <w:tcW w:w="2835" w:type="dxa"/>
            <w:tcBorders>
              <w:top w:val="single" w:sz="4" w:space="0" w:color="auto"/>
              <w:bottom w:val="single" w:sz="4" w:space="0" w:color="auto"/>
            </w:tcBorders>
            <w:vAlign w:val="center"/>
          </w:tcPr>
          <w:p w14:paraId="4BA6A6F7" w14:textId="77777777" w:rsidR="00F95EF6" w:rsidRPr="00EC6036" w:rsidRDefault="00F95EF6" w:rsidP="00223975">
            <w:pPr>
              <w:jc w:val="center"/>
              <w:rPr>
                <w:rFonts w:cstheme="minorBidi"/>
                <w:sz w:val="20"/>
                <w:szCs w:val="20"/>
                <w14:ligatures w14:val="standardContextual"/>
              </w:rPr>
            </w:pPr>
            <w:r w:rsidRPr="00EC6036">
              <w:rPr>
                <w:rFonts w:cstheme="minorBidi"/>
                <w:sz w:val="20"/>
                <w:szCs w:val="20"/>
                <w14:ligatures w14:val="standardContextual"/>
              </w:rPr>
              <w:t>Parameter</w:t>
            </w:r>
          </w:p>
        </w:tc>
        <w:tc>
          <w:tcPr>
            <w:tcW w:w="1559" w:type="dxa"/>
            <w:tcBorders>
              <w:top w:val="single" w:sz="4" w:space="0" w:color="auto"/>
              <w:bottom w:val="single" w:sz="4" w:space="0" w:color="auto"/>
            </w:tcBorders>
            <w:vAlign w:val="center"/>
          </w:tcPr>
          <w:p w14:paraId="536026D9" w14:textId="77777777" w:rsidR="00F95EF6" w:rsidRPr="00EC6036" w:rsidRDefault="00F95EF6" w:rsidP="00223975">
            <w:pPr>
              <w:jc w:val="center"/>
              <w:rPr>
                <w:rFonts w:cstheme="minorBidi"/>
                <w:sz w:val="20"/>
                <w:szCs w:val="20"/>
                <w:rtl/>
                <w14:ligatures w14:val="standardContextual"/>
              </w:rPr>
            </w:pPr>
            <w:r w:rsidRPr="00EC6036">
              <w:rPr>
                <w:rFonts w:cstheme="minorBidi"/>
                <w:sz w:val="20"/>
                <w:szCs w:val="20"/>
                <w14:ligatures w14:val="standardContextual"/>
              </w:rPr>
              <w:t>Weight</w:t>
            </w:r>
          </w:p>
        </w:tc>
      </w:tr>
      <w:tr w:rsidR="006F7DDF" w14:paraId="69681689" w14:textId="77777777" w:rsidTr="006F7DDF">
        <w:trPr>
          <w:jc w:val="center"/>
        </w:trPr>
        <w:tc>
          <w:tcPr>
            <w:tcW w:w="704" w:type="dxa"/>
            <w:tcBorders>
              <w:top w:val="single" w:sz="4" w:space="0" w:color="auto"/>
            </w:tcBorders>
            <w:vAlign w:val="center"/>
          </w:tcPr>
          <w:p w14:paraId="6E230D34" w14:textId="16646DA9" w:rsidR="006F7DDF" w:rsidRPr="00EC6036" w:rsidRDefault="006F7DDF" w:rsidP="006F7DDF">
            <w:pPr>
              <w:jc w:val="center"/>
              <w:rPr>
                <w:sz w:val="20"/>
                <w:szCs w:val="20"/>
              </w:rPr>
            </w:pPr>
            <w:r w:rsidRPr="00EC6036">
              <w:rPr>
                <w:rFonts w:cstheme="minorBidi"/>
                <w:sz w:val="20"/>
                <w:szCs w:val="20"/>
                <w14:ligatures w14:val="standardContextual"/>
              </w:rPr>
              <w:t>1</w:t>
            </w:r>
          </w:p>
        </w:tc>
        <w:tc>
          <w:tcPr>
            <w:tcW w:w="2835" w:type="dxa"/>
            <w:tcBorders>
              <w:top w:val="single" w:sz="4" w:space="0" w:color="auto"/>
            </w:tcBorders>
            <w:vAlign w:val="center"/>
          </w:tcPr>
          <w:p w14:paraId="51BE7315" w14:textId="6089B833" w:rsidR="006F7DDF" w:rsidRPr="00EC6036" w:rsidRDefault="006F7DDF" w:rsidP="006F7DDF">
            <w:pPr>
              <w:jc w:val="center"/>
              <w:rPr>
                <w:sz w:val="20"/>
                <w:szCs w:val="20"/>
              </w:rPr>
            </w:pPr>
            <w:r w:rsidRPr="00EC6036">
              <w:rPr>
                <w:rFonts w:cstheme="minorBidi"/>
                <w:sz w:val="20"/>
                <w:szCs w:val="20"/>
                <w14:ligatures w14:val="standardContextual"/>
              </w:rPr>
              <w:t>Distance from River</w:t>
            </w:r>
          </w:p>
        </w:tc>
        <w:tc>
          <w:tcPr>
            <w:tcW w:w="1559" w:type="dxa"/>
            <w:tcBorders>
              <w:top w:val="single" w:sz="4" w:space="0" w:color="auto"/>
            </w:tcBorders>
            <w:vAlign w:val="center"/>
          </w:tcPr>
          <w:p w14:paraId="1251DBC0" w14:textId="118AC102" w:rsidR="006F7DDF" w:rsidRPr="00EC6036" w:rsidRDefault="006F7DDF" w:rsidP="006F7DDF">
            <w:pPr>
              <w:jc w:val="center"/>
              <w:rPr>
                <w:sz w:val="20"/>
                <w:szCs w:val="20"/>
              </w:rPr>
            </w:pPr>
            <w:r w:rsidRPr="00EC6036">
              <w:rPr>
                <w:rFonts w:cstheme="minorBidi"/>
                <w:sz w:val="20"/>
                <w:szCs w:val="20"/>
                <w14:ligatures w14:val="standardContextual"/>
              </w:rPr>
              <w:t>0.</w:t>
            </w:r>
            <w:r>
              <w:rPr>
                <w:rFonts w:cstheme="minorBidi"/>
                <w:sz w:val="20"/>
                <w:szCs w:val="20"/>
                <w14:ligatures w14:val="standardContextual"/>
              </w:rPr>
              <w:t>275</w:t>
            </w:r>
          </w:p>
        </w:tc>
      </w:tr>
      <w:tr w:rsidR="006F7DDF" w14:paraId="050114AF" w14:textId="77777777" w:rsidTr="006F7DDF">
        <w:trPr>
          <w:jc w:val="center"/>
        </w:trPr>
        <w:tc>
          <w:tcPr>
            <w:tcW w:w="704" w:type="dxa"/>
            <w:vAlign w:val="center"/>
          </w:tcPr>
          <w:p w14:paraId="0FD30B9B" w14:textId="25CFB42E" w:rsidR="006F7DDF" w:rsidRPr="00EC6036" w:rsidRDefault="006F7DDF" w:rsidP="006F7DDF">
            <w:pPr>
              <w:jc w:val="center"/>
              <w:rPr>
                <w:sz w:val="20"/>
                <w:szCs w:val="20"/>
              </w:rPr>
            </w:pPr>
            <w:r w:rsidRPr="00EC6036">
              <w:rPr>
                <w:rFonts w:cstheme="minorBidi"/>
                <w:sz w:val="20"/>
                <w:szCs w:val="20"/>
                <w14:ligatures w14:val="standardContextual"/>
              </w:rPr>
              <w:t>2</w:t>
            </w:r>
          </w:p>
        </w:tc>
        <w:tc>
          <w:tcPr>
            <w:tcW w:w="2835" w:type="dxa"/>
            <w:vAlign w:val="center"/>
          </w:tcPr>
          <w:p w14:paraId="2E70F5B4" w14:textId="3D1D671D" w:rsidR="006F7DDF" w:rsidRPr="006F7DDF" w:rsidRDefault="006F7DDF" w:rsidP="006F7DDF">
            <w:pPr>
              <w:jc w:val="center"/>
              <w:rPr>
                <w:rFonts w:cstheme="minorBidi"/>
                <w:sz w:val="20"/>
                <w:szCs w:val="20"/>
                <w14:ligatures w14:val="standardContextual"/>
              </w:rPr>
            </w:pPr>
            <w:r w:rsidRPr="006F7DDF">
              <w:rPr>
                <w:rFonts w:cstheme="minorBidi"/>
                <w:sz w:val="20"/>
                <w:szCs w:val="20"/>
                <w14:ligatures w14:val="standardContextual"/>
              </w:rPr>
              <w:t>Mean Annual Precipitation</w:t>
            </w:r>
          </w:p>
        </w:tc>
        <w:tc>
          <w:tcPr>
            <w:tcW w:w="1559" w:type="dxa"/>
            <w:vAlign w:val="center"/>
          </w:tcPr>
          <w:p w14:paraId="3E8EBD4D" w14:textId="2EF8358D" w:rsidR="006F7DDF" w:rsidRPr="00EC6036" w:rsidRDefault="006F7DDF" w:rsidP="006F7DDF">
            <w:pPr>
              <w:jc w:val="center"/>
              <w:rPr>
                <w:sz w:val="20"/>
                <w:szCs w:val="20"/>
              </w:rPr>
            </w:pPr>
            <w:r w:rsidRPr="00EC6036">
              <w:rPr>
                <w:rFonts w:cstheme="minorBidi"/>
                <w:sz w:val="20"/>
                <w:szCs w:val="20"/>
                <w14:ligatures w14:val="standardContextual"/>
              </w:rPr>
              <w:t>0.</w:t>
            </w:r>
            <w:r>
              <w:rPr>
                <w:rFonts w:cstheme="minorBidi"/>
                <w:sz w:val="20"/>
                <w:szCs w:val="20"/>
                <w14:ligatures w14:val="standardContextual"/>
              </w:rPr>
              <w:t>087</w:t>
            </w:r>
          </w:p>
        </w:tc>
      </w:tr>
      <w:tr w:rsidR="006F7DDF" w14:paraId="0B750C11" w14:textId="77777777" w:rsidTr="006F7DDF">
        <w:trPr>
          <w:jc w:val="center"/>
        </w:trPr>
        <w:tc>
          <w:tcPr>
            <w:tcW w:w="704" w:type="dxa"/>
            <w:vAlign w:val="center"/>
          </w:tcPr>
          <w:p w14:paraId="051B7D66" w14:textId="2C3FFCA3"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3</w:t>
            </w:r>
          </w:p>
        </w:tc>
        <w:tc>
          <w:tcPr>
            <w:tcW w:w="2835" w:type="dxa"/>
            <w:vAlign w:val="center"/>
          </w:tcPr>
          <w:p w14:paraId="0AA668AE" w14:textId="77777777"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Elevation</w:t>
            </w:r>
          </w:p>
        </w:tc>
        <w:tc>
          <w:tcPr>
            <w:tcW w:w="1559" w:type="dxa"/>
            <w:vAlign w:val="center"/>
          </w:tcPr>
          <w:p w14:paraId="2D0A9EA6" w14:textId="510215CF"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0.21</w:t>
            </w:r>
            <w:r>
              <w:rPr>
                <w:rFonts w:cstheme="minorBidi"/>
                <w:sz w:val="20"/>
                <w:szCs w:val="20"/>
                <w14:ligatures w14:val="standardContextual"/>
              </w:rPr>
              <w:t>8</w:t>
            </w:r>
          </w:p>
        </w:tc>
      </w:tr>
      <w:tr w:rsidR="006F7DDF" w14:paraId="39A0F904" w14:textId="77777777" w:rsidTr="00223975">
        <w:trPr>
          <w:jc w:val="center"/>
        </w:trPr>
        <w:tc>
          <w:tcPr>
            <w:tcW w:w="704" w:type="dxa"/>
            <w:vAlign w:val="center"/>
          </w:tcPr>
          <w:p w14:paraId="245C9FC6" w14:textId="2DCBCE56"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4</w:t>
            </w:r>
          </w:p>
        </w:tc>
        <w:tc>
          <w:tcPr>
            <w:tcW w:w="2835" w:type="dxa"/>
            <w:vAlign w:val="center"/>
          </w:tcPr>
          <w:p w14:paraId="106A403B" w14:textId="77777777"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Slope</w:t>
            </w:r>
          </w:p>
        </w:tc>
        <w:tc>
          <w:tcPr>
            <w:tcW w:w="1559" w:type="dxa"/>
            <w:vAlign w:val="center"/>
          </w:tcPr>
          <w:p w14:paraId="572ECDFB" w14:textId="48163176"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0.</w:t>
            </w:r>
            <w:r>
              <w:rPr>
                <w:rFonts w:cstheme="minorBidi"/>
                <w:sz w:val="20"/>
                <w:szCs w:val="20"/>
                <w14:ligatures w14:val="standardContextual"/>
              </w:rPr>
              <w:t>173</w:t>
            </w:r>
          </w:p>
        </w:tc>
      </w:tr>
      <w:tr w:rsidR="006F7DDF" w14:paraId="1C7281C0" w14:textId="77777777" w:rsidTr="006F7DDF">
        <w:trPr>
          <w:jc w:val="center"/>
        </w:trPr>
        <w:tc>
          <w:tcPr>
            <w:tcW w:w="704" w:type="dxa"/>
            <w:vAlign w:val="center"/>
          </w:tcPr>
          <w:p w14:paraId="6F7DD854" w14:textId="7EB779E7"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5</w:t>
            </w:r>
          </w:p>
        </w:tc>
        <w:tc>
          <w:tcPr>
            <w:tcW w:w="2835" w:type="dxa"/>
            <w:vAlign w:val="center"/>
          </w:tcPr>
          <w:p w14:paraId="49E11277" w14:textId="3140FD62"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Vegetation Density</w:t>
            </w:r>
          </w:p>
        </w:tc>
        <w:tc>
          <w:tcPr>
            <w:tcW w:w="1559" w:type="dxa"/>
            <w:vAlign w:val="center"/>
          </w:tcPr>
          <w:p w14:paraId="5A8E341F" w14:textId="63802139"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0.1</w:t>
            </w:r>
            <w:r>
              <w:rPr>
                <w:rFonts w:cstheme="minorBidi"/>
                <w:sz w:val="20"/>
                <w:szCs w:val="20"/>
                <w14:ligatures w14:val="standardContextual"/>
              </w:rPr>
              <w:t>38</w:t>
            </w:r>
          </w:p>
        </w:tc>
      </w:tr>
      <w:tr w:rsidR="006F7DDF" w14:paraId="56D48295" w14:textId="77777777" w:rsidTr="006F7DDF">
        <w:trPr>
          <w:jc w:val="center"/>
        </w:trPr>
        <w:tc>
          <w:tcPr>
            <w:tcW w:w="704" w:type="dxa"/>
            <w:tcBorders>
              <w:bottom w:val="single" w:sz="4" w:space="0" w:color="auto"/>
            </w:tcBorders>
            <w:vAlign w:val="center"/>
          </w:tcPr>
          <w:p w14:paraId="6FE85938" w14:textId="5FCC89C1"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6</w:t>
            </w:r>
          </w:p>
        </w:tc>
        <w:tc>
          <w:tcPr>
            <w:tcW w:w="2835" w:type="dxa"/>
            <w:tcBorders>
              <w:bottom w:val="single" w:sz="4" w:space="0" w:color="auto"/>
            </w:tcBorders>
            <w:vAlign w:val="center"/>
          </w:tcPr>
          <w:p w14:paraId="3FB3BB92" w14:textId="106037E0"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Lithology</w:t>
            </w:r>
          </w:p>
        </w:tc>
        <w:tc>
          <w:tcPr>
            <w:tcW w:w="1559" w:type="dxa"/>
            <w:tcBorders>
              <w:bottom w:val="single" w:sz="4" w:space="0" w:color="auto"/>
            </w:tcBorders>
            <w:vAlign w:val="center"/>
          </w:tcPr>
          <w:p w14:paraId="6D2F9E30" w14:textId="72722361"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0.</w:t>
            </w:r>
            <w:r>
              <w:rPr>
                <w:rFonts w:cstheme="minorBidi"/>
                <w:sz w:val="20"/>
                <w:szCs w:val="20"/>
                <w14:ligatures w14:val="standardContextual"/>
              </w:rPr>
              <w:t>109</w:t>
            </w:r>
          </w:p>
        </w:tc>
      </w:tr>
    </w:tbl>
    <w:p w14:paraId="79939D96" w14:textId="2F118006" w:rsidR="00C20A46" w:rsidRDefault="00C20A46" w:rsidP="00C20A46">
      <w:pPr>
        <w:bidi/>
        <w:rPr>
          <w:rtl/>
          <w:lang w:bidi="fa-IR"/>
        </w:rPr>
      </w:pPr>
    </w:p>
    <w:p w14:paraId="219529BB" w14:textId="77777777" w:rsidR="004951F2" w:rsidRPr="004951F2" w:rsidRDefault="004951F2" w:rsidP="004951F2">
      <w:pPr>
        <w:rPr>
          <w:b/>
          <w:bCs/>
        </w:rPr>
      </w:pPr>
      <w:r w:rsidRPr="004951F2">
        <w:rPr>
          <w:b/>
          <w:bCs/>
        </w:rPr>
        <w:t>4.3. Identification of Flood-Prone Areas</w:t>
      </w:r>
    </w:p>
    <w:p w14:paraId="726EA9DF" w14:textId="68B96DFB" w:rsidR="004951F2" w:rsidRDefault="004951F2" w:rsidP="004951F2">
      <w:pPr>
        <w:jc w:val="both"/>
        <w:rPr>
          <w:rtl/>
        </w:rPr>
      </w:pPr>
      <w:r w:rsidRPr="004951F2">
        <w:t xml:space="preserve">After standardizing and weighting the spatial layers, the calculated weights were applied to each layer. The layers were then imported into </w:t>
      </w:r>
      <w:proofErr w:type="spellStart"/>
      <w:r w:rsidRPr="004951F2">
        <w:t>TerrSet</w:t>
      </w:r>
      <w:proofErr w:type="spellEnd"/>
      <w:r w:rsidRPr="004951F2">
        <w:t xml:space="preserve"> software and combined using the </w:t>
      </w:r>
      <w:r>
        <w:t>OWA and WLC</w:t>
      </w:r>
      <w:r w:rsidRPr="004951F2">
        <w:t xml:space="preserve"> methods. This process produced the final flood-prone areas map, which is classified into five flood-susceptibility classes, representing the level of flood risk in different parts of the </w:t>
      </w:r>
      <w:r w:rsidR="00E1688E">
        <w:t>basin</w:t>
      </w:r>
      <w:r w:rsidRPr="004951F2">
        <w:t xml:space="preserve"> (Figures 8 and 9).</w:t>
      </w:r>
    </w:p>
    <w:p w14:paraId="7054E5EA" w14:textId="77777777" w:rsidR="004951F2" w:rsidRDefault="004951F2" w:rsidP="004951F2">
      <w:pPr>
        <w:rPr>
          <w:rtl/>
        </w:rPr>
      </w:pPr>
    </w:p>
    <w:p w14:paraId="04053E51" w14:textId="77777777" w:rsidR="004951F2" w:rsidRDefault="004951F2" w:rsidP="004951F2">
      <w:pPr>
        <w:rPr>
          <w:rtl/>
        </w:rPr>
      </w:pPr>
    </w:p>
    <w:p w14:paraId="58346A16" w14:textId="17E1EB26" w:rsidR="004951F2" w:rsidRPr="004951F2" w:rsidRDefault="004951F2" w:rsidP="004951F2">
      <w:pPr>
        <w:jc w:val="center"/>
      </w:pPr>
      <w:r w:rsidRPr="004951F2">
        <w:rPr>
          <w:noProof/>
        </w:rPr>
        <w:lastRenderedPageBreak/>
        <w:drawing>
          <wp:inline distT="0" distB="0" distL="0" distR="0" wp14:anchorId="5297EC3A" wp14:editId="0BE8D209">
            <wp:extent cx="4937760" cy="3956011"/>
            <wp:effectExtent l="0" t="0" r="0" b="6985"/>
            <wp:docPr id="1" name="Picture 1" descr="E:\project\GIS-project\pireh\Flood-Shevisheh\khroji\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Flood-Shevisheh\khroji\OW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0925" cy="3958546"/>
                    </a:xfrm>
                    <a:prstGeom prst="rect">
                      <a:avLst/>
                    </a:prstGeom>
                    <a:noFill/>
                    <a:ln>
                      <a:noFill/>
                    </a:ln>
                  </pic:spPr>
                </pic:pic>
              </a:graphicData>
            </a:graphic>
          </wp:inline>
        </w:drawing>
      </w:r>
    </w:p>
    <w:p w14:paraId="1A77C008" w14:textId="4D5648F9" w:rsidR="004951F2" w:rsidRDefault="004951F2" w:rsidP="004951F2">
      <w:pPr>
        <w:jc w:val="center"/>
        <w:rPr>
          <w:sz w:val="20"/>
          <w:szCs w:val="20"/>
        </w:rPr>
      </w:pPr>
      <w:r w:rsidRPr="004951F2">
        <w:rPr>
          <w:sz w:val="20"/>
          <w:szCs w:val="20"/>
        </w:rPr>
        <w:t>Figure 8: Final flood-prone areas map generated using the OWA method</w:t>
      </w:r>
    </w:p>
    <w:p w14:paraId="59FABF64" w14:textId="77777777" w:rsidR="004951F2" w:rsidRDefault="004951F2" w:rsidP="004951F2"/>
    <w:p w14:paraId="7DCE69B3" w14:textId="04D08CD3" w:rsidR="004951F2" w:rsidRPr="004951F2" w:rsidRDefault="004951F2" w:rsidP="004951F2">
      <w:pPr>
        <w:jc w:val="center"/>
      </w:pPr>
      <w:r w:rsidRPr="004951F2">
        <w:rPr>
          <w:noProof/>
        </w:rPr>
        <w:drawing>
          <wp:inline distT="0" distB="0" distL="0" distR="0" wp14:anchorId="754E1BBF" wp14:editId="60A809C7">
            <wp:extent cx="4892040" cy="3919382"/>
            <wp:effectExtent l="0" t="0" r="3810" b="5080"/>
            <wp:docPr id="2" name="Picture 2" descr="E:\project\GIS-project\pireh\Flood-Shevisheh\khroji\W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GIS-project\pireh\Flood-Shevisheh\khroji\WL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3645" cy="3920668"/>
                    </a:xfrm>
                    <a:prstGeom prst="rect">
                      <a:avLst/>
                    </a:prstGeom>
                    <a:noFill/>
                    <a:ln>
                      <a:noFill/>
                    </a:ln>
                  </pic:spPr>
                </pic:pic>
              </a:graphicData>
            </a:graphic>
          </wp:inline>
        </w:drawing>
      </w:r>
    </w:p>
    <w:p w14:paraId="7F0EBBA8" w14:textId="472E658D" w:rsidR="004951F2" w:rsidRPr="004951F2" w:rsidRDefault="004951F2" w:rsidP="004951F2">
      <w:pPr>
        <w:jc w:val="center"/>
        <w:rPr>
          <w:sz w:val="20"/>
          <w:szCs w:val="20"/>
        </w:rPr>
      </w:pPr>
      <w:r w:rsidRPr="004951F2">
        <w:rPr>
          <w:sz w:val="20"/>
          <w:szCs w:val="20"/>
        </w:rPr>
        <w:t>Figure 9: Final flood-prone areas map generated using the WLC method</w:t>
      </w:r>
    </w:p>
    <w:p w14:paraId="65D4CBA6" w14:textId="77777777" w:rsidR="004951F2" w:rsidRDefault="004951F2" w:rsidP="004951F2">
      <w:pPr>
        <w:bidi/>
        <w:rPr>
          <w:rtl/>
          <w:lang w:bidi="fa-IR"/>
        </w:rPr>
      </w:pPr>
    </w:p>
    <w:p w14:paraId="2F959D09" w14:textId="77777777" w:rsidR="004951F2" w:rsidRDefault="004951F2" w:rsidP="004951F2">
      <w:pPr>
        <w:bidi/>
        <w:rPr>
          <w:rtl/>
          <w:lang w:bidi="fa-IR"/>
        </w:rPr>
      </w:pPr>
    </w:p>
    <w:p w14:paraId="19B6342B" w14:textId="77777777" w:rsidR="004951F2" w:rsidRDefault="004951F2" w:rsidP="004951F2">
      <w:pPr>
        <w:bidi/>
        <w:rPr>
          <w:rtl/>
          <w:lang w:bidi="fa-IR"/>
        </w:rPr>
      </w:pPr>
    </w:p>
    <w:p w14:paraId="4C648DC1" w14:textId="5F34DA08" w:rsidR="005A6568" w:rsidRPr="005A6568" w:rsidRDefault="005A6568" w:rsidP="005A6568">
      <w:pPr>
        <w:jc w:val="both"/>
        <w:rPr>
          <w:rFonts w:eastAsia="Times New Roman" w:cs="Times New Roman"/>
          <w14:ligatures w14:val="none"/>
        </w:rPr>
      </w:pPr>
      <w:r w:rsidRPr="005A6568">
        <w:rPr>
          <w:rFonts w:eastAsia="Times New Roman" w:cs="Times New Roman"/>
          <w14:ligatures w14:val="none"/>
        </w:rPr>
        <w:lastRenderedPageBreak/>
        <w:t xml:space="preserve">The results of area calculation and percentage distribution of flood-susceptibility classes indicate that, according to the OWA method, approximately 473 km² (equivalent to 24% of the </w:t>
      </w:r>
      <w:r w:rsidR="00E1688E">
        <w:rPr>
          <w:rFonts w:eastAsia="Times New Roman" w:cs="Times New Roman"/>
          <w14:ligatures w14:val="none"/>
        </w:rPr>
        <w:t>basin</w:t>
      </w:r>
      <w:r w:rsidRPr="005A6568">
        <w:rPr>
          <w:rFonts w:eastAsia="Times New Roman" w:cs="Times New Roman"/>
          <w14:ligatures w14:val="none"/>
        </w:rPr>
        <w:t xml:space="preserve"> area) and, according to the WLC method, about 470 km² (equivalent to 23.9% of the </w:t>
      </w:r>
      <w:r w:rsidR="00E1688E">
        <w:rPr>
          <w:rFonts w:eastAsia="Times New Roman" w:cs="Times New Roman"/>
          <w14:ligatures w14:val="none"/>
        </w:rPr>
        <w:t>basin</w:t>
      </w:r>
      <w:r w:rsidRPr="005A6568">
        <w:rPr>
          <w:rFonts w:eastAsia="Times New Roman" w:cs="Times New Roman"/>
          <w14:ligatures w14:val="none"/>
        </w:rPr>
        <w:t xml:space="preserve"> area) fall into the highest flood-susceptibility class. These areas, mostly located in the southern part of the </w:t>
      </w:r>
      <w:r w:rsidR="00E1688E">
        <w:rPr>
          <w:rFonts w:eastAsia="Times New Roman" w:cs="Times New Roman"/>
          <w14:ligatures w14:val="none"/>
        </w:rPr>
        <w:t>basin</w:t>
      </w:r>
      <w:r w:rsidRPr="005A6568">
        <w:rPr>
          <w:rFonts w:eastAsia="Times New Roman" w:cs="Times New Roman"/>
          <w14:ligatures w14:val="none"/>
        </w:rPr>
        <w:t xml:space="preserve">, are highly prone to flooding due to their low elevation, gentle slope, and proximity to rivers. Furthermore, the results show that according to the OWA method, approximately 1095 km² (equivalent to 55.6% of the </w:t>
      </w:r>
      <w:r w:rsidR="00E1688E">
        <w:rPr>
          <w:rFonts w:eastAsia="Times New Roman" w:cs="Times New Roman"/>
          <w14:ligatures w14:val="none"/>
        </w:rPr>
        <w:t>basin</w:t>
      </w:r>
      <w:r w:rsidRPr="005A6568">
        <w:rPr>
          <w:rFonts w:eastAsia="Times New Roman" w:cs="Times New Roman"/>
          <w14:ligatures w14:val="none"/>
        </w:rPr>
        <w:t xml:space="preserve"> area) and, according to the WLC method, about 804 km² (equivalent to 40.8% of the </w:t>
      </w:r>
      <w:r w:rsidR="00E1688E">
        <w:rPr>
          <w:rFonts w:eastAsia="Times New Roman" w:cs="Times New Roman"/>
          <w14:ligatures w14:val="none"/>
        </w:rPr>
        <w:t>basin</w:t>
      </w:r>
      <w:r w:rsidRPr="005A6568">
        <w:rPr>
          <w:rFonts w:eastAsia="Times New Roman" w:cs="Times New Roman"/>
          <w14:ligatures w14:val="none"/>
        </w:rPr>
        <w:t xml:space="preserve"> area) fall into the lowest flood-susceptibility class (Table 2 and Figure 10). These areas, characterized by higher elevation, steeper slopes, and greater distance from rivers, have a lower potential for flooding and are relatively safer compared to other parts of the </w:t>
      </w:r>
      <w:r w:rsidR="00E1688E">
        <w:rPr>
          <w:rFonts w:eastAsia="Times New Roman" w:cs="Times New Roman"/>
          <w14:ligatures w14:val="none"/>
        </w:rPr>
        <w:t>basin</w:t>
      </w:r>
      <w:r w:rsidRPr="005A6568">
        <w:rPr>
          <w:rFonts w:eastAsia="Times New Roman" w:cs="Times New Roman"/>
          <w14:ligatures w14:val="none"/>
        </w:rPr>
        <w:t>.</w:t>
      </w:r>
    </w:p>
    <w:p w14:paraId="32F5F7BB" w14:textId="6923D977" w:rsidR="00575561" w:rsidRDefault="00575561" w:rsidP="005A6568">
      <w:pPr>
        <w:rPr>
          <w:lang w:bidi="fa-IR"/>
        </w:rPr>
      </w:pPr>
    </w:p>
    <w:p w14:paraId="70B71F1E" w14:textId="77777777" w:rsidR="00575561" w:rsidRDefault="00575561" w:rsidP="00575561">
      <w:pPr>
        <w:jc w:val="center"/>
        <w:rPr>
          <w:rFonts w:eastAsia="Times New Roman" w:cs="Times New Roman"/>
          <w:sz w:val="20"/>
          <w:szCs w:val="20"/>
          <w14:ligatures w14:val="none"/>
        </w:rPr>
      </w:pPr>
      <w:r w:rsidRPr="004D4070">
        <w:rPr>
          <w:rFonts w:eastAsia="Times New Roman" w:cs="Times New Roman"/>
          <w:sz w:val="20"/>
          <w:szCs w:val="20"/>
          <w14:ligatures w14:val="none"/>
        </w:rPr>
        <w:t>Table 2: Area and percentage of each susceptibility class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1600"/>
        <w:gridCol w:w="1330"/>
        <w:gridCol w:w="1330"/>
        <w:gridCol w:w="1329"/>
        <w:gridCol w:w="1330"/>
      </w:tblGrid>
      <w:tr w:rsidR="00650589" w14:paraId="4BE9F744" w14:textId="77777777" w:rsidTr="003D590A">
        <w:trPr>
          <w:trHeight w:val="250"/>
          <w:jc w:val="center"/>
        </w:trPr>
        <w:tc>
          <w:tcPr>
            <w:tcW w:w="594" w:type="dxa"/>
            <w:vMerge w:val="restart"/>
            <w:tcBorders>
              <w:top w:val="single" w:sz="4" w:space="0" w:color="auto"/>
            </w:tcBorders>
            <w:vAlign w:val="center"/>
          </w:tcPr>
          <w:p w14:paraId="5D8E2E7C" w14:textId="6CDF1F9E" w:rsidR="00650589" w:rsidRDefault="00650589" w:rsidP="003D590A">
            <w:pPr>
              <w:jc w:val="center"/>
              <w:rPr>
                <w:rFonts w:eastAsia="Times New Roman" w:cs="Times New Roman"/>
                <w:sz w:val="20"/>
                <w:szCs w:val="20"/>
              </w:rPr>
            </w:pPr>
            <w:r>
              <w:rPr>
                <w:rFonts w:eastAsia="Times New Roman" w:cs="Times New Roman"/>
                <w:sz w:val="20"/>
                <w:szCs w:val="20"/>
              </w:rPr>
              <w:t>Row</w:t>
            </w:r>
          </w:p>
        </w:tc>
        <w:tc>
          <w:tcPr>
            <w:tcW w:w="1600" w:type="dxa"/>
            <w:vMerge w:val="restart"/>
            <w:tcBorders>
              <w:top w:val="single" w:sz="4" w:space="0" w:color="auto"/>
            </w:tcBorders>
            <w:vAlign w:val="center"/>
          </w:tcPr>
          <w:p w14:paraId="329A366C" w14:textId="3F50AF5C" w:rsidR="00650589" w:rsidRDefault="00650589" w:rsidP="003D590A">
            <w:pPr>
              <w:jc w:val="center"/>
              <w:rPr>
                <w:rFonts w:eastAsia="Times New Roman" w:cs="Times New Roman"/>
                <w:sz w:val="20"/>
                <w:szCs w:val="20"/>
              </w:rPr>
            </w:pPr>
            <w:r>
              <w:rPr>
                <w:rFonts w:eastAsia="Times New Roman" w:cs="Times New Roman"/>
                <w:sz w:val="20"/>
                <w:szCs w:val="20"/>
              </w:rPr>
              <w:t>Class</w:t>
            </w:r>
          </w:p>
        </w:tc>
        <w:tc>
          <w:tcPr>
            <w:tcW w:w="2660" w:type="dxa"/>
            <w:gridSpan w:val="2"/>
            <w:tcBorders>
              <w:top w:val="single" w:sz="4" w:space="0" w:color="auto"/>
              <w:bottom w:val="single" w:sz="4" w:space="0" w:color="auto"/>
            </w:tcBorders>
          </w:tcPr>
          <w:p w14:paraId="1ED0E486" w14:textId="64D6B485" w:rsidR="00650589" w:rsidRDefault="00650589" w:rsidP="00223975">
            <w:pPr>
              <w:jc w:val="center"/>
              <w:rPr>
                <w:rFonts w:eastAsia="Times New Roman" w:cs="Times New Roman"/>
                <w:sz w:val="20"/>
                <w:szCs w:val="20"/>
              </w:rPr>
            </w:pPr>
            <w:r>
              <w:rPr>
                <w:rFonts w:eastAsia="Times New Roman" w:cs="Times New Roman"/>
                <w:sz w:val="20"/>
                <w:szCs w:val="20"/>
              </w:rPr>
              <w:t>OWA</w:t>
            </w:r>
          </w:p>
        </w:tc>
        <w:tc>
          <w:tcPr>
            <w:tcW w:w="2659" w:type="dxa"/>
            <w:gridSpan w:val="2"/>
            <w:tcBorders>
              <w:top w:val="single" w:sz="4" w:space="0" w:color="auto"/>
              <w:bottom w:val="single" w:sz="4" w:space="0" w:color="auto"/>
            </w:tcBorders>
          </w:tcPr>
          <w:p w14:paraId="59E89D5E" w14:textId="0BCCF281" w:rsidR="00650589" w:rsidRDefault="00650589" w:rsidP="00223975">
            <w:pPr>
              <w:jc w:val="center"/>
              <w:rPr>
                <w:rFonts w:eastAsia="Times New Roman" w:cs="Times New Roman"/>
                <w:sz w:val="20"/>
                <w:szCs w:val="20"/>
              </w:rPr>
            </w:pPr>
            <w:r>
              <w:rPr>
                <w:rFonts w:eastAsia="Times New Roman" w:cs="Times New Roman"/>
                <w:sz w:val="20"/>
                <w:szCs w:val="20"/>
              </w:rPr>
              <w:t>WLC</w:t>
            </w:r>
          </w:p>
        </w:tc>
      </w:tr>
      <w:tr w:rsidR="00650589" w14:paraId="05587C2D" w14:textId="46FE3B93" w:rsidTr="003D590A">
        <w:trPr>
          <w:trHeight w:val="250"/>
          <w:jc w:val="center"/>
        </w:trPr>
        <w:tc>
          <w:tcPr>
            <w:tcW w:w="594" w:type="dxa"/>
            <w:vMerge/>
            <w:tcBorders>
              <w:bottom w:val="single" w:sz="4" w:space="0" w:color="auto"/>
            </w:tcBorders>
          </w:tcPr>
          <w:p w14:paraId="3C31C7CC" w14:textId="0159CB76" w:rsidR="00650589" w:rsidRDefault="00650589" w:rsidP="00575561">
            <w:pPr>
              <w:jc w:val="center"/>
              <w:rPr>
                <w:rFonts w:eastAsia="Times New Roman" w:cs="Times New Roman"/>
                <w:sz w:val="20"/>
                <w:szCs w:val="20"/>
              </w:rPr>
            </w:pPr>
          </w:p>
        </w:tc>
        <w:tc>
          <w:tcPr>
            <w:tcW w:w="1600" w:type="dxa"/>
            <w:vMerge/>
            <w:tcBorders>
              <w:bottom w:val="single" w:sz="4" w:space="0" w:color="auto"/>
            </w:tcBorders>
          </w:tcPr>
          <w:p w14:paraId="5CCAA75D" w14:textId="7F0A0AE3" w:rsidR="00650589" w:rsidRDefault="00650589" w:rsidP="00575561">
            <w:pPr>
              <w:jc w:val="center"/>
              <w:rPr>
                <w:rFonts w:eastAsia="Times New Roman" w:cs="Times New Roman"/>
                <w:sz w:val="20"/>
                <w:szCs w:val="20"/>
              </w:rPr>
            </w:pPr>
          </w:p>
        </w:tc>
        <w:tc>
          <w:tcPr>
            <w:tcW w:w="1330" w:type="dxa"/>
            <w:tcBorders>
              <w:top w:val="single" w:sz="4" w:space="0" w:color="auto"/>
              <w:bottom w:val="single" w:sz="4" w:space="0" w:color="auto"/>
            </w:tcBorders>
          </w:tcPr>
          <w:p w14:paraId="658374D9" w14:textId="77777777" w:rsidR="00650589" w:rsidRDefault="00650589" w:rsidP="00575561">
            <w:pPr>
              <w:jc w:val="center"/>
              <w:rPr>
                <w:rFonts w:eastAsia="Times New Roman" w:cs="Times New Roman"/>
                <w:sz w:val="20"/>
                <w:szCs w:val="20"/>
              </w:rPr>
            </w:pPr>
            <w:r>
              <w:rPr>
                <w:rFonts w:eastAsia="Times New Roman" w:cs="Times New Roman"/>
                <w:sz w:val="20"/>
                <w:szCs w:val="20"/>
              </w:rPr>
              <w:t>Area (km</w:t>
            </w:r>
            <w:r w:rsidRPr="00BD158C">
              <w:rPr>
                <w:rFonts w:eastAsia="Times New Roman" w:cs="Times New Roman"/>
                <w:sz w:val="20"/>
                <w:szCs w:val="20"/>
                <w:vertAlign w:val="superscript"/>
              </w:rPr>
              <w:t>2</w:t>
            </w:r>
            <w:r>
              <w:rPr>
                <w:rFonts w:eastAsia="Times New Roman" w:cs="Times New Roman"/>
                <w:sz w:val="20"/>
                <w:szCs w:val="20"/>
              </w:rPr>
              <w:t>)</w:t>
            </w:r>
          </w:p>
        </w:tc>
        <w:tc>
          <w:tcPr>
            <w:tcW w:w="1330" w:type="dxa"/>
            <w:tcBorders>
              <w:top w:val="single" w:sz="4" w:space="0" w:color="auto"/>
              <w:bottom w:val="single" w:sz="4" w:space="0" w:color="auto"/>
            </w:tcBorders>
          </w:tcPr>
          <w:p w14:paraId="7F268F68" w14:textId="77777777" w:rsidR="00650589" w:rsidRDefault="00650589" w:rsidP="00575561">
            <w:pPr>
              <w:jc w:val="center"/>
              <w:rPr>
                <w:rFonts w:eastAsia="Times New Roman" w:cs="Times New Roman"/>
                <w:sz w:val="20"/>
                <w:szCs w:val="20"/>
              </w:rPr>
            </w:pPr>
            <w:r>
              <w:rPr>
                <w:rFonts w:eastAsia="Times New Roman" w:cs="Times New Roman"/>
                <w:sz w:val="20"/>
                <w:szCs w:val="20"/>
              </w:rPr>
              <w:t>Percent area</w:t>
            </w:r>
          </w:p>
        </w:tc>
        <w:tc>
          <w:tcPr>
            <w:tcW w:w="1329" w:type="dxa"/>
            <w:tcBorders>
              <w:top w:val="single" w:sz="4" w:space="0" w:color="auto"/>
              <w:bottom w:val="single" w:sz="4" w:space="0" w:color="auto"/>
            </w:tcBorders>
          </w:tcPr>
          <w:p w14:paraId="3E57CD19" w14:textId="3D69E654" w:rsidR="00650589" w:rsidRDefault="00650589" w:rsidP="00575561">
            <w:pPr>
              <w:jc w:val="center"/>
              <w:rPr>
                <w:rFonts w:eastAsia="Times New Roman" w:cs="Times New Roman"/>
                <w:sz w:val="20"/>
                <w:szCs w:val="20"/>
              </w:rPr>
            </w:pPr>
            <w:r>
              <w:rPr>
                <w:rFonts w:eastAsia="Times New Roman" w:cs="Times New Roman"/>
                <w:sz w:val="20"/>
                <w:szCs w:val="20"/>
              </w:rPr>
              <w:t>Area (km</w:t>
            </w:r>
            <w:r w:rsidRPr="00BD158C">
              <w:rPr>
                <w:rFonts w:eastAsia="Times New Roman" w:cs="Times New Roman"/>
                <w:sz w:val="20"/>
                <w:szCs w:val="20"/>
                <w:vertAlign w:val="superscript"/>
              </w:rPr>
              <w:t>2</w:t>
            </w:r>
            <w:r>
              <w:rPr>
                <w:rFonts w:eastAsia="Times New Roman" w:cs="Times New Roman"/>
                <w:sz w:val="20"/>
                <w:szCs w:val="20"/>
              </w:rPr>
              <w:t>)</w:t>
            </w:r>
          </w:p>
        </w:tc>
        <w:tc>
          <w:tcPr>
            <w:tcW w:w="1330" w:type="dxa"/>
            <w:tcBorders>
              <w:top w:val="single" w:sz="4" w:space="0" w:color="auto"/>
              <w:bottom w:val="single" w:sz="4" w:space="0" w:color="auto"/>
            </w:tcBorders>
          </w:tcPr>
          <w:p w14:paraId="2240441C" w14:textId="22B60001" w:rsidR="00650589" w:rsidRDefault="00650589" w:rsidP="00575561">
            <w:pPr>
              <w:jc w:val="center"/>
              <w:rPr>
                <w:rFonts w:eastAsia="Times New Roman" w:cs="Times New Roman"/>
                <w:sz w:val="20"/>
                <w:szCs w:val="20"/>
              </w:rPr>
            </w:pPr>
            <w:r>
              <w:rPr>
                <w:rFonts w:eastAsia="Times New Roman" w:cs="Times New Roman"/>
                <w:sz w:val="20"/>
                <w:szCs w:val="20"/>
              </w:rPr>
              <w:t>Percent area</w:t>
            </w:r>
          </w:p>
        </w:tc>
      </w:tr>
      <w:tr w:rsidR="00575561" w14:paraId="0FE5254E" w14:textId="16819827" w:rsidTr="003D590A">
        <w:trPr>
          <w:trHeight w:val="250"/>
          <w:jc w:val="center"/>
        </w:trPr>
        <w:tc>
          <w:tcPr>
            <w:tcW w:w="594" w:type="dxa"/>
            <w:tcBorders>
              <w:top w:val="single" w:sz="4" w:space="0" w:color="auto"/>
            </w:tcBorders>
          </w:tcPr>
          <w:p w14:paraId="2EA07356" w14:textId="77777777" w:rsidR="00575561" w:rsidRDefault="00575561" w:rsidP="00575561">
            <w:pPr>
              <w:jc w:val="center"/>
              <w:rPr>
                <w:rFonts w:eastAsia="Times New Roman" w:cs="Times New Roman"/>
                <w:sz w:val="20"/>
                <w:szCs w:val="20"/>
              </w:rPr>
            </w:pPr>
            <w:r>
              <w:rPr>
                <w:rFonts w:eastAsia="Times New Roman" w:cs="Times New Roman"/>
                <w:sz w:val="20"/>
                <w:szCs w:val="20"/>
              </w:rPr>
              <w:t>1</w:t>
            </w:r>
          </w:p>
        </w:tc>
        <w:tc>
          <w:tcPr>
            <w:tcW w:w="1600" w:type="dxa"/>
            <w:tcBorders>
              <w:top w:val="single" w:sz="4" w:space="0" w:color="auto"/>
            </w:tcBorders>
          </w:tcPr>
          <w:p w14:paraId="5C756B6E" w14:textId="77777777" w:rsidR="00575561" w:rsidRDefault="00575561" w:rsidP="00575561">
            <w:pPr>
              <w:jc w:val="center"/>
              <w:rPr>
                <w:rFonts w:eastAsia="Times New Roman" w:cs="Times New Roman"/>
                <w:sz w:val="20"/>
                <w:szCs w:val="20"/>
              </w:rPr>
            </w:pPr>
            <w:r>
              <w:rPr>
                <w:rFonts w:eastAsia="Times New Roman" w:cs="Times New Roman"/>
                <w:sz w:val="20"/>
                <w:szCs w:val="20"/>
              </w:rPr>
              <w:t>Very Low</w:t>
            </w:r>
          </w:p>
        </w:tc>
        <w:tc>
          <w:tcPr>
            <w:tcW w:w="1330" w:type="dxa"/>
            <w:tcBorders>
              <w:top w:val="single" w:sz="4" w:space="0" w:color="auto"/>
            </w:tcBorders>
          </w:tcPr>
          <w:p w14:paraId="1FA735DA" w14:textId="6C99FB63" w:rsidR="00575561" w:rsidRDefault="00650589" w:rsidP="00575561">
            <w:pPr>
              <w:jc w:val="center"/>
              <w:rPr>
                <w:rFonts w:eastAsia="Times New Roman" w:cs="Times New Roman"/>
                <w:sz w:val="20"/>
                <w:szCs w:val="20"/>
              </w:rPr>
            </w:pPr>
            <w:r>
              <w:rPr>
                <w:rFonts w:eastAsia="Times New Roman" w:cs="Times New Roman"/>
                <w:sz w:val="20"/>
                <w:szCs w:val="20"/>
              </w:rPr>
              <w:t>369</w:t>
            </w:r>
          </w:p>
        </w:tc>
        <w:tc>
          <w:tcPr>
            <w:tcW w:w="1330" w:type="dxa"/>
            <w:tcBorders>
              <w:top w:val="single" w:sz="4" w:space="0" w:color="auto"/>
            </w:tcBorders>
          </w:tcPr>
          <w:p w14:paraId="6CC9AC55" w14:textId="4B48B7FD" w:rsidR="00575561" w:rsidRDefault="00650589" w:rsidP="00575561">
            <w:pPr>
              <w:jc w:val="center"/>
              <w:rPr>
                <w:rFonts w:eastAsia="Times New Roman" w:cs="Times New Roman"/>
                <w:sz w:val="20"/>
                <w:szCs w:val="20"/>
              </w:rPr>
            </w:pPr>
            <w:r>
              <w:rPr>
                <w:rFonts w:eastAsia="Times New Roman" w:cs="Times New Roman"/>
                <w:sz w:val="20"/>
                <w:szCs w:val="20"/>
              </w:rPr>
              <w:t>18.7</w:t>
            </w:r>
          </w:p>
        </w:tc>
        <w:tc>
          <w:tcPr>
            <w:tcW w:w="1329" w:type="dxa"/>
            <w:tcBorders>
              <w:top w:val="single" w:sz="4" w:space="0" w:color="auto"/>
            </w:tcBorders>
          </w:tcPr>
          <w:p w14:paraId="1EF67D93" w14:textId="6259B2E4" w:rsidR="00575561" w:rsidRDefault="00650589" w:rsidP="00575561">
            <w:pPr>
              <w:jc w:val="center"/>
              <w:rPr>
                <w:rFonts w:eastAsia="Times New Roman" w:cs="Times New Roman"/>
                <w:sz w:val="20"/>
                <w:szCs w:val="20"/>
              </w:rPr>
            </w:pPr>
            <w:r>
              <w:rPr>
                <w:rFonts w:eastAsia="Times New Roman" w:cs="Times New Roman"/>
                <w:sz w:val="20"/>
                <w:szCs w:val="20"/>
              </w:rPr>
              <w:t>453</w:t>
            </w:r>
          </w:p>
        </w:tc>
        <w:tc>
          <w:tcPr>
            <w:tcW w:w="1330" w:type="dxa"/>
            <w:tcBorders>
              <w:top w:val="single" w:sz="4" w:space="0" w:color="auto"/>
            </w:tcBorders>
          </w:tcPr>
          <w:p w14:paraId="04B6C991" w14:textId="0E9E430D" w:rsidR="00575561" w:rsidRDefault="00650589" w:rsidP="00575561">
            <w:pPr>
              <w:jc w:val="center"/>
              <w:rPr>
                <w:rFonts w:eastAsia="Times New Roman" w:cs="Times New Roman"/>
                <w:sz w:val="20"/>
                <w:szCs w:val="20"/>
              </w:rPr>
            </w:pPr>
            <w:r>
              <w:rPr>
                <w:rFonts w:eastAsia="Times New Roman" w:cs="Times New Roman"/>
                <w:sz w:val="20"/>
                <w:szCs w:val="20"/>
              </w:rPr>
              <w:t>23</w:t>
            </w:r>
          </w:p>
        </w:tc>
      </w:tr>
      <w:tr w:rsidR="00575561" w14:paraId="68EF1183" w14:textId="735F7865" w:rsidTr="003D590A">
        <w:trPr>
          <w:trHeight w:val="250"/>
          <w:jc w:val="center"/>
        </w:trPr>
        <w:tc>
          <w:tcPr>
            <w:tcW w:w="594" w:type="dxa"/>
          </w:tcPr>
          <w:p w14:paraId="64D4CE84" w14:textId="77777777" w:rsidR="00575561" w:rsidRDefault="00575561" w:rsidP="00575561">
            <w:pPr>
              <w:jc w:val="center"/>
              <w:rPr>
                <w:rFonts w:eastAsia="Times New Roman" w:cs="Times New Roman"/>
                <w:sz w:val="20"/>
                <w:szCs w:val="20"/>
              </w:rPr>
            </w:pPr>
            <w:r>
              <w:rPr>
                <w:rFonts w:eastAsia="Times New Roman" w:cs="Times New Roman"/>
                <w:sz w:val="20"/>
                <w:szCs w:val="20"/>
              </w:rPr>
              <w:t>2</w:t>
            </w:r>
          </w:p>
        </w:tc>
        <w:tc>
          <w:tcPr>
            <w:tcW w:w="1600" w:type="dxa"/>
          </w:tcPr>
          <w:p w14:paraId="53038C19" w14:textId="77777777" w:rsidR="00575561" w:rsidRDefault="00575561" w:rsidP="00575561">
            <w:pPr>
              <w:jc w:val="center"/>
              <w:rPr>
                <w:rFonts w:eastAsia="Times New Roman" w:cs="Times New Roman"/>
                <w:sz w:val="20"/>
                <w:szCs w:val="20"/>
              </w:rPr>
            </w:pPr>
            <w:r>
              <w:rPr>
                <w:rFonts w:eastAsia="Times New Roman" w:cs="Times New Roman"/>
                <w:sz w:val="20"/>
                <w:szCs w:val="20"/>
              </w:rPr>
              <w:t>Low</w:t>
            </w:r>
          </w:p>
        </w:tc>
        <w:tc>
          <w:tcPr>
            <w:tcW w:w="1330" w:type="dxa"/>
          </w:tcPr>
          <w:p w14:paraId="4A22755F" w14:textId="4C4238E6" w:rsidR="00575561" w:rsidRDefault="00650589" w:rsidP="00575561">
            <w:pPr>
              <w:jc w:val="center"/>
              <w:rPr>
                <w:rFonts w:eastAsia="Times New Roman" w:cs="Times New Roman"/>
                <w:sz w:val="20"/>
                <w:szCs w:val="20"/>
              </w:rPr>
            </w:pPr>
            <w:r>
              <w:rPr>
                <w:rFonts w:eastAsia="Times New Roman" w:cs="Times New Roman"/>
                <w:sz w:val="20"/>
                <w:szCs w:val="20"/>
              </w:rPr>
              <w:t>726</w:t>
            </w:r>
          </w:p>
        </w:tc>
        <w:tc>
          <w:tcPr>
            <w:tcW w:w="1330" w:type="dxa"/>
          </w:tcPr>
          <w:p w14:paraId="26FD92A2" w14:textId="4192721B" w:rsidR="00575561" w:rsidRDefault="00650589" w:rsidP="00575561">
            <w:pPr>
              <w:jc w:val="center"/>
              <w:rPr>
                <w:rFonts w:eastAsia="Times New Roman" w:cs="Times New Roman"/>
                <w:sz w:val="20"/>
                <w:szCs w:val="20"/>
              </w:rPr>
            </w:pPr>
            <w:r>
              <w:rPr>
                <w:rFonts w:eastAsia="Times New Roman" w:cs="Times New Roman"/>
                <w:sz w:val="20"/>
                <w:szCs w:val="20"/>
              </w:rPr>
              <w:t>36.9</w:t>
            </w:r>
          </w:p>
        </w:tc>
        <w:tc>
          <w:tcPr>
            <w:tcW w:w="1329" w:type="dxa"/>
          </w:tcPr>
          <w:p w14:paraId="2AF72363" w14:textId="74FA4758" w:rsidR="00575561" w:rsidRDefault="00650589" w:rsidP="00575561">
            <w:pPr>
              <w:jc w:val="center"/>
              <w:rPr>
                <w:rFonts w:eastAsia="Times New Roman" w:cs="Times New Roman"/>
                <w:sz w:val="20"/>
                <w:szCs w:val="20"/>
              </w:rPr>
            </w:pPr>
            <w:r>
              <w:rPr>
                <w:rFonts w:eastAsia="Times New Roman" w:cs="Times New Roman"/>
                <w:sz w:val="20"/>
                <w:szCs w:val="20"/>
              </w:rPr>
              <w:t>351</w:t>
            </w:r>
          </w:p>
        </w:tc>
        <w:tc>
          <w:tcPr>
            <w:tcW w:w="1330" w:type="dxa"/>
          </w:tcPr>
          <w:p w14:paraId="309AA7CA" w14:textId="7B73FB08" w:rsidR="00575561" w:rsidRDefault="00650589" w:rsidP="00575561">
            <w:pPr>
              <w:jc w:val="center"/>
              <w:rPr>
                <w:rFonts w:eastAsia="Times New Roman" w:cs="Times New Roman"/>
                <w:sz w:val="20"/>
                <w:szCs w:val="20"/>
              </w:rPr>
            </w:pPr>
            <w:r>
              <w:rPr>
                <w:rFonts w:eastAsia="Times New Roman" w:cs="Times New Roman"/>
                <w:sz w:val="20"/>
                <w:szCs w:val="20"/>
              </w:rPr>
              <w:t>17.8</w:t>
            </w:r>
          </w:p>
        </w:tc>
      </w:tr>
      <w:tr w:rsidR="00575561" w14:paraId="1536A64F" w14:textId="3823B5D8" w:rsidTr="003D590A">
        <w:trPr>
          <w:trHeight w:val="250"/>
          <w:jc w:val="center"/>
        </w:trPr>
        <w:tc>
          <w:tcPr>
            <w:tcW w:w="594" w:type="dxa"/>
          </w:tcPr>
          <w:p w14:paraId="367FC56D" w14:textId="77777777" w:rsidR="00575561" w:rsidRDefault="00575561" w:rsidP="00575561">
            <w:pPr>
              <w:jc w:val="center"/>
              <w:rPr>
                <w:rFonts w:eastAsia="Times New Roman" w:cs="Times New Roman"/>
                <w:sz w:val="20"/>
                <w:szCs w:val="20"/>
              </w:rPr>
            </w:pPr>
            <w:r>
              <w:rPr>
                <w:rFonts w:eastAsia="Times New Roman" w:cs="Times New Roman"/>
                <w:sz w:val="20"/>
                <w:szCs w:val="20"/>
              </w:rPr>
              <w:t>3</w:t>
            </w:r>
          </w:p>
        </w:tc>
        <w:tc>
          <w:tcPr>
            <w:tcW w:w="1600" w:type="dxa"/>
          </w:tcPr>
          <w:p w14:paraId="5EC5C395" w14:textId="77777777" w:rsidR="00575561" w:rsidRDefault="00575561" w:rsidP="00575561">
            <w:pPr>
              <w:jc w:val="center"/>
              <w:rPr>
                <w:rFonts w:eastAsia="Times New Roman" w:cs="Times New Roman"/>
                <w:sz w:val="20"/>
                <w:szCs w:val="20"/>
              </w:rPr>
            </w:pPr>
            <w:r>
              <w:rPr>
                <w:rFonts w:eastAsia="Times New Roman" w:cs="Times New Roman"/>
                <w:sz w:val="20"/>
                <w:szCs w:val="20"/>
              </w:rPr>
              <w:t>Moderate</w:t>
            </w:r>
          </w:p>
        </w:tc>
        <w:tc>
          <w:tcPr>
            <w:tcW w:w="1330" w:type="dxa"/>
          </w:tcPr>
          <w:p w14:paraId="63ED14ED" w14:textId="7A082075" w:rsidR="00575561" w:rsidRDefault="00650589" w:rsidP="00575561">
            <w:pPr>
              <w:jc w:val="center"/>
              <w:rPr>
                <w:rFonts w:eastAsia="Times New Roman" w:cs="Times New Roman"/>
                <w:sz w:val="20"/>
                <w:szCs w:val="20"/>
              </w:rPr>
            </w:pPr>
            <w:r>
              <w:rPr>
                <w:rFonts w:eastAsia="Times New Roman" w:cs="Times New Roman"/>
                <w:sz w:val="20"/>
                <w:szCs w:val="20"/>
              </w:rPr>
              <w:t>401</w:t>
            </w:r>
          </w:p>
        </w:tc>
        <w:tc>
          <w:tcPr>
            <w:tcW w:w="1330" w:type="dxa"/>
          </w:tcPr>
          <w:p w14:paraId="1948B439" w14:textId="00AAC464" w:rsidR="00575561" w:rsidRDefault="00650589" w:rsidP="00575561">
            <w:pPr>
              <w:jc w:val="center"/>
              <w:rPr>
                <w:rFonts w:eastAsia="Times New Roman" w:cs="Times New Roman"/>
                <w:sz w:val="20"/>
                <w:szCs w:val="20"/>
              </w:rPr>
            </w:pPr>
            <w:r>
              <w:rPr>
                <w:rFonts w:eastAsia="Times New Roman" w:cs="Times New Roman"/>
                <w:sz w:val="20"/>
                <w:szCs w:val="20"/>
              </w:rPr>
              <w:t>20.4</w:t>
            </w:r>
          </w:p>
        </w:tc>
        <w:tc>
          <w:tcPr>
            <w:tcW w:w="1329" w:type="dxa"/>
          </w:tcPr>
          <w:p w14:paraId="5AFC6233" w14:textId="65CE2543" w:rsidR="00575561" w:rsidRDefault="00650589" w:rsidP="00575561">
            <w:pPr>
              <w:jc w:val="center"/>
              <w:rPr>
                <w:rFonts w:eastAsia="Times New Roman" w:cs="Times New Roman"/>
                <w:sz w:val="20"/>
                <w:szCs w:val="20"/>
              </w:rPr>
            </w:pPr>
            <w:r>
              <w:rPr>
                <w:rFonts w:eastAsia="Times New Roman" w:cs="Times New Roman"/>
                <w:sz w:val="20"/>
                <w:szCs w:val="20"/>
              </w:rPr>
              <w:t>695</w:t>
            </w:r>
          </w:p>
        </w:tc>
        <w:tc>
          <w:tcPr>
            <w:tcW w:w="1330" w:type="dxa"/>
          </w:tcPr>
          <w:p w14:paraId="4D03E18E" w14:textId="77F832A9" w:rsidR="00575561" w:rsidRDefault="00650589" w:rsidP="00575561">
            <w:pPr>
              <w:jc w:val="center"/>
              <w:rPr>
                <w:rFonts w:eastAsia="Times New Roman" w:cs="Times New Roman"/>
                <w:sz w:val="20"/>
                <w:szCs w:val="20"/>
              </w:rPr>
            </w:pPr>
            <w:r>
              <w:rPr>
                <w:rFonts w:eastAsia="Times New Roman" w:cs="Times New Roman"/>
                <w:sz w:val="20"/>
                <w:szCs w:val="20"/>
              </w:rPr>
              <w:t>35.3</w:t>
            </w:r>
          </w:p>
        </w:tc>
      </w:tr>
      <w:tr w:rsidR="00575561" w14:paraId="58F7DE3D" w14:textId="28F0E65E" w:rsidTr="003D590A">
        <w:trPr>
          <w:trHeight w:val="250"/>
          <w:jc w:val="center"/>
        </w:trPr>
        <w:tc>
          <w:tcPr>
            <w:tcW w:w="594" w:type="dxa"/>
          </w:tcPr>
          <w:p w14:paraId="6C96CFA1" w14:textId="77777777" w:rsidR="00575561" w:rsidRDefault="00575561" w:rsidP="00575561">
            <w:pPr>
              <w:jc w:val="center"/>
              <w:rPr>
                <w:rFonts w:eastAsia="Times New Roman" w:cs="Times New Roman"/>
                <w:sz w:val="20"/>
                <w:szCs w:val="20"/>
              </w:rPr>
            </w:pPr>
            <w:r>
              <w:rPr>
                <w:rFonts w:eastAsia="Times New Roman" w:cs="Times New Roman"/>
                <w:sz w:val="20"/>
                <w:szCs w:val="20"/>
              </w:rPr>
              <w:t>4</w:t>
            </w:r>
          </w:p>
        </w:tc>
        <w:tc>
          <w:tcPr>
            <w:tcW w:w="1600" w:type="dxa"/>
          </w:tcPr>
          <w:p w14:paraId="70A856C3" w14:textId="77777777" w:rsidR="00575561" w:rsidRDefault="00575561" w:rsidP="00575561">
            <w:pPr>
              <w:jc w:val="center"/>
              <w:rPr>
                <w:rFonts w:eastAsia="Times New Roman" w:cs="Times New Roman"/>
                <w:sz w:val="20"/>
                <w:szCs w:val="20"/>
              </w:rPr>
            </w:pPr>
            <w:r>
              <w:rPr>
                <w:rFonts w:eastAsia="Times New Roman" w:cs="Times New Roman"/>
                <w:sz w:val="20"/>
                <w:szCs w:val="20"/>
              </w:rPr>
              <w:t>High</w:t>
            </w:r>
          </w:p>
        </w:tc>
        <w:tc>
          <w:tcPr>
            <w:tcW w:w="1330" w:type="dxa"/>
          </w:tcPr>
          <w:p w14:paraId="051559AD" w14:textId="684A0A17" w:rsidR="00575561" w:rsidRDefault="00650589" w:rsidP="00575561">
            <w:pPr>
              <w:jc w:val="center"/>
              <w:rPr>
                <w:rFonts w:eastAsia="Times New Roman" w:cs="Times New Roman"/>
                <w:sz w:val="20"/>
                <w:szCs w:val="20"/>
              </w:rPr>
            </w:pPr>
            <w:r>
              <w:rPr>
                <w:rFonts w:eastAsia="Times New Roman" w:cs="Times New Roman"/>
                <w:sz w:val="20"/>
                <w:szCs w:val="20"/>
              </w:rPr>
              <w:t>411</w:t>
            </w:r>
          </w:p>
        </w:tc>
        <w:tc>
          <w:tcPr>
            <w:tcW w:w="1330" w:type="dxa"/>
          </w:tcPr>
          <w:p w14:paraId="1F1DE571" w14:textId="62634C35" w:rsidR="00575561" w:rsidRDefault="00650589" w:rsidP="00575561">
            <w:pPr>
              <w:jc w:val="center"/>
              <w:rPr>
                <w:rFonts w:eastAsia="Times New Roman" w:cs="Times New Roman"/>
                <w:sz w:val="20"/>
                <w:szCs w:val="20"/>
              </w:rPr>
            </w:pPr>
            <w:r>
              <w:rPr>
                <w:rFonts w:eastAsia="Times New Roman" w:cs="Times New Roman"/>
                <w:sz w:val="20"/>
                <w:szCs w:val="20"/>
              </w:rPr>
              <w:t>20.9</w:t>
            </w:r>
          </w:p>
        </w:tc>
        <w:tc>
          <w:tcPr>
            <w:tcW w:w="1329" w:type="dxa"/>
          </w:tcPr>
          <w:p w14:paraId="626CB5A9" w14:textId="4C04A9CE" w:rsidR="00575561" w:rsidRDefault="00650589" w:rsidP="00575561">
            <w:pPr>
              <w:jc w:val="center"/>
              <w:rPr>
                <w:rFonts w:eastAsia="Times New Roman" w:cs="Times New Roman"/>
                <w:sz w:val="20"/>
                <w:szCs w:val="20"/>
              </w:rPr>
            </w:pPr>
            <w:r>
              <w:rPr>
                <w:rFonts w:eastAsia="Times New Roman" w:cs="Times New Roman"/>
                <w:sz w:val="20"/>
                <w:szCs w:val="20"/>
              </w:rPr>
              <w:t>313</w:t>
            </w:r>
          </w:p>
        </w:tc>
        <w:tc>
          <w:tcPr>
            <w:tcW w:w="1330" w:type="dxa"/>
          </w:tcPr>
          <w:p w14:paraId="3CC27F90" w14:textId="70E1A828" w:rsidR="00575561" w:rsidRDefault="00650589" w:rsidP="00575561">
            <w:pPr>
              <w:jc w:val="center"/>
              <w:rPr>
                <w:rFonts w:eastAsia="Times New Roman" w:cs="Times New Roman"/>
                <w:sz w:val="20"/>
                <w:szCs w:val="20"/>
              </w:rPr>
            </w:pPr>
            <w:r>
              <w:rPr>
                <w:rFonts w:eastAsia="Times New Roman" w:cs="Times New Roman"/>
                <w:sz w:val="20"/>
                <w:szCs w:val="20"/>
              </w:rPr>
              <w:t>15.9</w:t>
            </w:r>
          </w:p>
        </w:tc>
      </w:tr>
      <w:tr w:rsidR="00575561" w14:paraId="38034C9B" w14:textId="0CA481DF" w:rsidTr="003D590A">
        <w:trPr>
          <w:trHeight w:val="250"/>
          <w:jc w:val="center"/>
        </w:trPr>
        <w:tc>
          <w:tcPr>
            <w:tcW w:w="594" w:type="dxa"/>
          </w:tcPr>
          <w:p w14:paraId="3815C139" w14:textId="77777777" w:rsidR="00575561" w:rsidRDefault="00575561" w:rsidP="00575561">
            <w:pPr>
              <w:jc w:val="center"/>
              <w:rPr>
                <w:rFonts w:eastAsia="Times New Roman" w:cs="Times New Roman"/>
                <w:sz w:val="20"/>
                <w:szCs w:val="20"/>
              </w:rPr>
            </w:pPr>
            <w:r>
              <w:rPr>
                <w:rFonts w:eastAsia="Times New Roman" w:cs="Times New Roman"/>
                <w:sz w:val="20"/>
                <w:szCs w:val="20"/>
              </w:rPr>
              <w:t>5</w:t>
            </w:r>
          </w:p>
        </w:tc>
        <w:tc>
          <w:tcPr>
            <w:tcW w:w="1600" w:type="dxa"/>
          </w:tcPr>
          <w:p w14:paraId="35A2733C" w14:textId="77777777" w:rsidR="00575561" w:rsidRDefault="00575561" w:rsidP="00575561">
            <w:pPr>
              <w:jc w:val="center"/>
              <w:rPr>
                <w:rFonts w:eastAsia="Times New Roman" w:cs="Times New Roman"/>
                <w:sz w:val="20"/>
                <w:szCs w:val="20"/>
              </w:rPr>
            </w:pPr>
            <w:r>
              <w:rPr>
                <w:rFonts w:eastAsia="Times New Roman" w:cs="Times New Roman"/>
                <w:sz w:val="20"/>
                <w:szCs w:val="20"/>
              </w:rPr>
              <w:t>Very High</w:t>
            </w:r>
          </w:p>
        </w:tc>
        <w:tc>
          <w:tcPr>
            <w:tcW w:w="1330" w:type="dxa"/>
          </w:tcPr>
          <w:p w14:paraId="342BA23C" w14:textId="61D94BA3" w:rsidR="00575561" w:rsidRDefault="00650589" w:rsidP="00575561">
            <w:pPr>
              <w:jc w:val="center"/>
              <w:rPr>
                <w:rFonts w:eastAsia="Times New Roman" w:cs="Times New Roman"/>
                <w:sz w:val="20"/>
                <w:szCs w:val="20"/>
              </w:rPr>
            </w:pPr>
            <w:r>
              <w:rPr>
                <w:rFonts w:eastAsia="Times New Roman" w:cs="Times New Roman"/>
                <w:sz w:val="20"/>
                <w:szCs w:val="20"/>
              </w:rPr>
              <w:t>62</w:t>
            </w:r>
          </w:p>
        </w:tc>
        <w:tc>
          <w:tcPr>
            <w:tcW w:w="1330" w:type="dxa"/>
          </w:tcPr>
          <w:p w14:paraId="08FB9EAF" w14:textId="2C23E77C" w:rsidR="00575561" w:rsidRDefault="00650589" w:rsidP="00575561">
            <w:pPr>
              <w:jc w:val="center"/>
              <w:rPr>
                <w:rFonts w:eastAsia="Times New Roman" w:cs="Times New Roman"/>
                <w:sz w:val="20"/>
                <w:szCs w:val="20"/>
              </w:rPr>
            </w:pPr>
            <w:r>
              <w:rPr>
                <w:rFonts w:eastAsia="Times New Roman" w:cs="Times New Roman"/>
                <w:sz w:val="20"/>
                <w:szCs w:val="20"/>
              </w:rPr>
              <w:t>3.1</w:t>
            </w:r>
          </w:p>
        </w:tc>
        <w:tc>
          <w:tcPr>
            <w:tcW w:w="1329" w:type="dxa"/>
          </w:tcPr>
          <w:p w14:paraId="366F478A" w14:textId="5691D2B8" w:rsidR="00575561" w:rsidRDefault="00650589" w:rsidP="00575561">
            <w:pPr>
              <w:jc w:val="center"/>
              <w:rPr>
                <w:rFonts w:eastAsia="Times New Roman" w:cs="Times New Roman"/>
                <w:sz w:val="20"/>
                <w:szCs w:val="20"/>
              </w:rPr>
            </w:pPr>
            <w:r>
              <w:rPr>
                <w:rFonts w:eastAsia="Times New Roman" w:cs="Times New Roman"/>
                <w:sz w:val="20"/>
                <w:szCs w:val="20"/>
              </w:rPr>
              <w:t>157</w:t>
            </w:r>
          </w:p>
        </w:tc>
        <w:tc>
          <w:tcPr>
            <w:tcW w:w="1330" w:type="dxa"/>
          </w:tcPr>
          <w:p w14:paraId="1E16F13A" w14:textId="1BFD017E" w:rsidR="00575561" w:rsidRDefault="00650589" w:rsidP="00575561">
            <w:pPr>
              <w:jc w:val="center"/>
              <w:rPr>
                <w:rFonts w:eastAsia="Times New Roman" w:cs="Times New Roman"/>
                <w:sz w:val="20"/>
                <w:szCs w:val="20"/>
              </w:rPr>
            </w:pPr>
            <w:r>
              <w:rPr>
                <w:rFonts w:eastAsia="Times New Roman" w:cs="Times New Roman"/>
                <w:sz w:val="20"/>
                <w:szCs w:val="20"/>
              </w:rPr>
              <w:t>8</w:t>
            </w:r>
          </w:p>
        </w:tc>
      </w:tr>
      <w:tr w:rsidR="00575561" w14:paraId="053233ED" w14:textId="7130EDCC" w:rsidTr="003D590A">
        <w:trPr>
          <w:trHeight w:val="250"/>
          <w:jc w:val="center"/>
        </w:trPr>
        <w:tc>
          <w:tcPr>
            <w:tcW w:w="594" w:type="dxa"/>
            <w:tcBorders>
              <w:bottom w:val="single" w:sz="4" w:space="0" w:color="auto"/>
            </w:tcBorders>
          </w:tcPr>
          <w:p w14:paraId="719EB684" w14:textId="77777777" w:rsidR="00575561" w:rsidRDefault="00575561" w:rsidP="00575561">
            <w:pPr>
              <w:jc w:val="center"/>
              <w:rPr>
                <w:rFonts w:eastAsia="Times New Roman" w:cs="Times New Roman"/>
                <w:sz w:val="20"/>
                <w:szCs w:val="20"/>
              </w:rPr>
            </w:pPr>
            <w:r>
              <w:rPr>
                <w:rFonts w:eastAsia="Times New Roman" w:cs="Times New Roman"/>
                <w:sz w:val="20"/>
                <w:szCs w:val="20"/>
              </w:rPr>
              <w:t>6</w:t>
            </w:r>
          </w:p>
        </w:tc>
        <w:tc>
          <w:tcPr>
            <w:tcW w:w="1600" w:type="dxa"/>
            <w:tcBorders>
              <w:bottom w:val="single" w:sz="4" w:space="0" w:color="auto"/>
            </w:tcBorders>
          </w:tcPr>
          <w:p w14:paraId="70CCC87B" w14:textId="77777777" w:rsidR="00575561" w:rsidRDefault="00575561" w:rsidP="00575561">
            <w:pPr>
              <w:jc w:val="center"/>
              <w:rPr>
                <w:rFonts w:eastAsia="Times New Roman" w:cs="Times New Roman"/>
                <w:sz w:val="20"/>
                <w:szCs w:val="20"/>
              </w:rPr>
            </w:pPr>
            <w:r>
              <w:rPr>
                <w:rFonts w:eastAsia="Times New Roman" w:cs="Times New Roman"/>
                <w:sz w:val="20"/>
                <w:szCs w:val="20"/>
              </w:rPr>
              <w:t>Total</w:t>
            </w:r>
          </w:p>
        </w:tc>
        <w:tc>
          <w:tcPr>
            <w:tcW w:w="1330" w:type="dxa"/>
            <w:tcBorders>
              <w:bottom w:val="single" w:sz="4" w:space="0" w:color="auto"/>
            </w:tcBorders>
          </w:tcPr>
          <w:p w14:paraId="7B34117D" w14:textId="2C7FCD32" w:rsidR="00575561" w:rsidRDefault="00650589" w:rsidP="00575561">
            <w:pPr>
              <w:jc w:val="center"/>
              <w:rPr>
                <w:rFonts w:eastAsia="Times New Roman" w:cs="Times New Roman"/>
                <w:sz w:val="20"/>
                <w:szCs w:val="20"/>
              </w:rPr>
            </w:pPr>
            <w:r>
              <w:rPr>
                <w:rFonts w:eastAsia="Times New Roman" w:cs="Times New Roman"/>
                <w:sz w:val="20"/>
                <w:szCs w:val="20"/>
              </w:rPr>
              <w:t>1969</w:t>
            </w:r>
          </w:p>
        </w:tc>
        <w:tc>
          <w:tcPr>
            <w:tcW w:w="1330" w:type="dxa"/>
            <w:tcBorders>
              <w:bottom w:val="single" w:sz="4" w:space="0" w:color="auto"/>
            </w:tcBorders>
          </w:tcPr>
          <w:p w14:paraId="178FDD87" w14:textId="4914EDE1" w:rsidR="00575561" w:rsidRDefault="00650589" w:rsidP="00575561">
            <w:pPr>
              <w:jc w:val="center"/>
              <w:rPr>
                <w:rFonts w:eastAsia="Times New Roman" w:cs="Times New Roman"/>
                <w:sz w:val="20"/>
                <w:szCs w:val="20"/>
              </w:rPr>
            </w:pPr>
            <w:r>
              <w:rPr>
                <w:rFonts w:eastAsia="Times New Roman" w:cs="Times New Roman"/>
                <w:sz w:val="20"/>
                <w:szCs w:val="20"/>
              </w:rPr>
              <w:t>100</w:t>
            </w:r>
          </w:p>
        </w:tc>
        <w:tc>
          <w:tcPr>
            <w:tcW w:w="1329" w:type="dxa"/>
            <w:tcBorders>
              <w:bottom w:val="single" w:sz="4" w:space="0" w:color="auto"/>
            </w:tcBorders>
          </w:tcPr>
          <w:p w14:paraId="4C8A7F45" w14:textId="621935A5" w:rsidR="00575561" w:rsidRDefault="00650589" w:rsidP="00575561">
            <w:pPr>
              <w:jc w:val="center"/>
              <w:rPr>
                <w:rFonts w:eastAsia="Times New Roman" w:cs="Times New Roman"/>
                <w:sz w:val="20"/>
                <w:szCs w:val="20"/>
              </w:rPr>
            </w:pPr>
            <w:r>
              <w:rPr>
                <w:rFonts w:eastAsia="Times New Roman" w:cs="Times New Roman"/>
                <w:sz w:val="20"/>
                <w:szCs w:val="20"/>
              </w:rPr>
              <w:t>1969</w:t>
            </w:r>
          </w:p>
        </w:tc>
        <w:tc>
          <w:tcPr>
            <w:tcW w:w="1330" w:type="dxa"/>
            <w:tcBorders>
              <w:bottom w:val="single" w:sz="4" w:space="0" w:color="auto"/>
            </w:tcBorders>
          </w:tcPr>
          <w:p w14:paraId="7D1F9FFE" w14:textId="73BDB8F7" w:rsidR="00575561" w:rsidRDefault="00650589" w:rsidP="00575561">
            <w:pPr>
              <w:jc w:val="center"/>
              <w:rPr>
                <w:rFonts w:eastAsia="Times New Roman" w:cs="Times New Roman"/>
                <w:sz w:val="20"/>
                <w:szCs w:val="20"/>
              </w:rPr>
            </w:pPr>
            <w:r>
              <w:rPr>
                <w:rFonts w:eastAsia="Times New Roman" w:cs="Times New Roman"/>
                <w:sz w:val="20"/>
                <w:szCs w:val="20"/>
              </w:rPr>
              <w:t>100</w:t>
            </w:r>
          </w:p>
        </w:tc>
      </w:tr>
    </w:tbl>
    <w:p w14:paraId="1F5A929C" w14:textId="77777777" w:rsidR="00C20A46" w:rsidRDefault="00C20A46" w:rsidP="005A6568">
      <w:pPr>
        <w:rPr>
          <w:lang w:bidi="fa-IR"/>
        </w:rPr>
      </w:pPr>
    </w:p>
    <w:p w14:paraId="479E302C" w14:textId="4FDE6009" w:rsidR="004951F2" w:rsidRDefault="004951F2" w:rsidP="004951F2">
      <w:pPr>
        <w:bidi/>
        <w:jc w:val="center"/>
        <w:rPr>
          <w:lang w:bidi="fa-IR"/>
        </w:rPr>
      </w:pPr>
      <w:r>
        <w:rPr>
          <w:noProof/>
        </w:rPr>
        <w:drawing>
          <wp:inline distT="0" distB="0" distL="0" distR="0" wp14:anchorId="209004BD" wp14:editId="3AEA76DA">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7FA98FC" w14:textId="2A422BFC" w:rsidR="00E06360" w:rsidRDefault="004951F2" w:rsidP="00E06360">
      <w:pPr>
        <w:bidi/>
        <w:jc w:val="center"/>
        <w:rPr>
          <w:sz w:val="20"/>
          <w:szCs w:val="20"/>
          <w:rtl/>
        </w:rPr>
      </w:pPr>
      <w:r w:rsidRPr="004951F2">
        <w:rPr>
          <w:sz w:val="20"/>
          <w:szCs w:val="20"/>
        </w:rPr>
        <w:t>Figure 10: Percentage area chart of flood-susceptibility classes using the OWA and WLC methods</w:t>
      </w:r>
    </w:p>
    <w:p w14:paraId="34A9AC14" w14:textId="77777777" w:rsidR="005A6568" w:rsidRDefault="005A6568" w:rsidP="0033553E">
      <w:pPr>
        <w:rPr>
          <w:rtl/>
          <w:lang w:val="en-GB" w:bidi="fa-IR"/>
        </w:rPr>
      </w:pPr>
    </w:p>
    <w:p w14:paraId="4DB3DEBA" w14:textId="73CFD0C6" w:rsidR="00BF00A5" w:rsidRPr="00BF00A5" w:rsidRDefault="00BF00A5" w:rsidP="00BF00A5">
      <w:pPr>
        <w:rPr>
          <w:b/>
          <w:bCs/>
        </w:rPr>
      </w:pPr>
      <w:r w:rsidRPr="00BF00A5">
        <w:rPr>
          <w:b/>
          <w:bCs/>
        </w:rPr>
        <w:t xml:space="preserve">4.4. Assessment of Village Vulnerability to Flood Hazards in the </w:t>
      </w:r>
      <w:r w:rsidR="00E1688E">
        <w:rPr>
          <w:b/>
          <w:bCs/>
        </w:rPr>
        <w:t>Basin</w:t>
      </w:r>
    </w:p>
    <w:p w14:paraId="078ADA5B" w14:textId="76D86CC2" w:rsidR="00BF00A5" w:rsidRPr="00BF00A5" w:rsidRDefault="00BF00A5" w:rsidP="002A50B2">
      <w:pPr>
        <w:jc w:val="both"/>
      </w:pPr>
      <w:r w:rsidRPr="00BF00A5">
        <w:t xml:space="preserve">In this section, the vulnerability of villages within the </w:t>
      </w:r>
      <w:r w:rsidR="00E1688E">
        <w:t>basin</w:t>
      </w:r>
      <w:r w:rsidRPr="00BF00A5">
        <w:t xml:space="preserve"> to flood hazards was evaluated by analyzing their distribution across flood-susceptibility classes. The analysis indicates that, according to the OWA model, 87 villages fall into the high and very high vulnerability classes, representing 70.</w:t>
      </w:r>
      <w:r w:rsidR="002A50B2">
        <w:t>8</w:t>
      </w:r>
      <w:r w:rsidRPr="00BF00A5">
        <w:t xml:space="preserve">% of all villages in the </w:t>
      </w:r>
      <w:r w:rsidR="00E1688E">
        <w:t>basin</w:t>
      </w:r>
      <w:r w:rsidRPr="00BF00A5">
        <w:t xml:space="preserve">. Similarly, according to the WLC model, 81 villages, equivalent to 65.9% of all villages, are classified within the high and very high vulnerability categories (Table 3 and Figure 11). These results highlight that a significant portion of villages in the </w:t>
      </w:r>
      <w:r w:rsidR="00E1688E">
        <w:t>basin</w:t>
      </w:r>
      <w:r w:rsidRPr="00BF00A5">
        <w:t xml:space="preserve"> is exposed to flood hazards. Therefore, the implementation of preventive measures and risk management strategies is essential to mitigate potential damages. Such measures may include improving early warning systems, designing runoff control structures, and optimizing land-use management within the </w:t>
      </w:r>
      <w:r w:rsidR="00E1688E">
        <w:t>basin</w:t>
      </w:r>
      <w:r w:rsidRPr="00BF00A5">
        <w:t>.</w:t>
      </w:r>
    </w:p>
    <w:p w14:paraId="1972192A" w14:textId="77777777" w:rsidR="00FA7440" w:rsidRDefault="00FA7440" w:rsidP="00FA7440">
      <w:pPr>
        <w:bidi/>
        <w:rPr>
          <w:rtl/>
        </w:rPr>
      </w:pPr>
    </w:p>
    <w:p w14:paraId="7264F651" w14:textId="77777777" w:rsidR="00BF00A5" w:rsidRDefault="00BF00A5" w:rsidP="00BF00A5">
      <w:pPr>
        <w:bidi/>
        <w:rPr>
          <w:rtl/>
        </w:rPr>
      </w:pPr>
    </w:p>
    <w:p w14:paraId="264A780A" w14:textId="77777777" w:rsidR="00BF00A5" w:rsidRDefault="00BF00A5" w:rsidP="00BF00A5">
      <w:pPr>
        <w:bidi/>
        <w:rPr>
          <w:rtl/>
        </w:rPr>
      </w:pPr>
    </w:p>
    <w:p w14:paraId="11EBDFCB" w14:textId="77777777" w:rsidR="00BF00A5" w:rsidRDefault="00BF00A5" w:rsidP="00BF00A5">
      <w:pPr>
        <w:bidi/>
        <w:rPr>
          <w:rtl/>
        </w:rPr>
      </w:pPr>
    </w:p>
    <w:p w14:paraId="20F51F27" w14:textId="77777777" w:rsidR="00BF00A5" w:rsidRDefault="00BF00A5" w:rsidP="00BF00A5">
      <w:pPr>
        <w:bidi/>
        <w:rPr>
          <w:rtl/>
        </w:rPr>
      </w:pPr>
    </w:p>
    <w:p w14:paraId="76B8DBAE" w14:textId="77777777" w:rsidR="00BF00A5" w:rsidRDefault="00BF00A5" w:rsidP="00BF00A5">
      <w:pPr>
        <w:bidi/>
        <w:rPr>
          <w:rtl/>
          <w:lang w:bidi="fa-IR"/>
        </w:rPr>
      </w:pPr>
    </w:p>
    <w:p w14:paraId="293E3BE1" w14:textId="1AA949E8" w:rsidR="00FA7440" w:rsidRPr="00BF00A5" w:rsidRDefault="00BF00A5" w:rsidP="00FA7440">
      <w:pPr>
        <w:jc w:val="center"/>
        <w:rPr>
          <w:rFonts w:eastAsia="Times New Roman" w:cs="Times New Roman"/>
          <w:sz w:val="18"/>
          <w:szCs w:val="18"/>
          <w14:ligatures w14:val="none"/>
        </w:rPr>
      </w:pPr>
      <w:r w:rsidRPr="00BF00A5">
        <w:rPr>
          <w:sz w:val="20"/>
          <w:szCs w:val="20"/>
          <w:lang w:bidi="fa-IR"/>
        </w:rPr>
        <w:t>Table 3: Number and percentage of villages in flood vulnerability potential classes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1600"/>
        <w:gridCol w:w="1330"/>
        <w:gridCol w:w="1330"/>
        <w:gridCol w:w="1329"/>
        <w:gridCol w:w="1330"/>
      </w:tblGrid>
      <w:tr w:rsidR="00FA7440" w14:paraId="40128AE1" w14:textId="77777777" w:rsidTr="00223975">
        <w:trPr>
          <w:trHeight w:val="250"/>
          <w:jc w:val="center"/>
        </w:trPr>
        <w:tc>
          <w:tcPr>
            <w:tcW w:w="594" w:type="dxa"/>
            <w:vMerge w:val="restart"/>
            <w:tcBorders>
              <w:top w:val="single" w:sz="4" w:space="0" w:color="auto"/>
            </w:tcBorders>
            <w:vAlign w:val="center"/>
          </w:tcPr>
          <w:p w14:paraId="538BE334" w14:textId="77777777" w:rsidR="00FA7440" w:rsidRDefault="00FA7440" w:rsidP="00223975">
            <w:pPr>
              <w:jc w:val="center"/>
              <w:rPr>
                <w:rFonts w:eastAsia="Times New Roman" w:cs="Times New Roman"/>
                <w:sz w:val="20"/>
                <w:szCs w:val="20"/>
              </w:rPr>
            </w:pPr>
            <w:r>
              <w:rPr>
                <w:rFonts w:eastAsia="Times New Roman" w:cs="Times New Roman"/>
                <w:sz w:val="20"/>
                <w:szCs w:val="20"/>
              </w:rPr>
              <w:t>Row</w:t>
            </w:r>
          </w:p>
        </w:tc>
        <w:tc>
          <w:tcPr>
            <w:tcW w:w="1600" w:type="dxa"/>
            <w:vMerge w:val="restart"/>
            <w:tcBorders>
              <w:top w:val="single" w:sz="4" w:space="0" w:color="auto"/>
            </w:tcBorders>
            <w:vAlign w:val="center"/>
          </w:tcPr>
          <w:p w14:paraId="38983222" w14:textId="77777777" w:rsidR="00FA7440" w:rsidRDefault="00FA7440" w:rsidP="00223975">
            <w:pPr>
              <w:jc w:val="center"/>
              <w:rPr>
                <w:rFonts w:eastAsia="Times New Roman" w:cs="Times New Roman"/>
                <w:sz w:val="20"/>
                <w:szCs w:val="20"/>
              </w:rPr>
            </w:pPr>
            <w:r>
              <w:rPr>
                <w:rFonts w:eastAsia="Times New Roman" w:cs="Times New Roman"/>
                <w:sz w:val="20"/>
                <w:szCs w:val="20"/>
              </w:rPr>
              <w:t>Class</w:t>
            </w:r>
          </w:p>
        </w:tc>
        <w:tc>
          <w:tcPr>
            <w:tcW w:w="2660" w:type="dxa"/>
            <w:gridSpan w:val="2"/>
            <w:tcBorders>
              <w:top w:val="single" w:sz="4" w:space="0" w:color="auto"/>
              <w:bottom w:val="single" w:sz="4" w:space="0" w:color="auto"/>
            </w:tcBorders>
          </w:tcPr>
          <w:p w14:paraId="41C81FF0" w14:textId="77777777" w:rsidR="00FA7440" w:rsidRDefault="00FA7440" w:rsidP="00223975">
            <w:pPr>
              <w:jc w:val="center"/>
              <w:rPr>
                <w:rFonts w:eastAsia="Times New Roman" w:cs="Times New Roman"/>
                <w:sz w:val="20"/>
                <w:szCs w:val="20"/>
              </w:rPr>
            </w:pPr>
            <w:r>
              <w:rPr>
                <w:rFonts w:eastAsia="Times New Roman" w:cs="Times New Roman"/>
                <w:sz w:val="20"/>
                <w:szCs w:val="20"/>
              </w:rPr>
              <w:t>OWA</w:t>
            </w:r>
          </w:p>
        </w:tc>
        <w:tc>
          <w:tcPr>
            <w:tcW w:w="2659" w:type="dxa"/>
            <w:gridSpan w:val="2"/>
            <w:tcBorders>
              <w:top w:val="single" w:sz="4" w:space="0" w:color="auto"/>
              <w:bottom w:val="single" w:sz="4" w:space="0" w:color="auto"/>
            </w:tcBorders>
          </w:tcPr>
          <w:p w14:paraId="357E0F02" w14:textId="77777777" w:rsidR="00FA7440" w:rsidRDefault="00FA7440" w:rsidP="00223975">
            <w:pPr>
              <w:jc w:val="center"/>
              <w:rPr>
                <w:rFonts w:eastAsia="Times New Roman" w:cs="Times New Roman"/>
                <w:sz w:val="20"/>
                <w:szCs w:val="20"/>
              </w:rPr>
            </w:pPr>
            <w:r>
              <w:rPr>
                <w:rFonts w:eastAsia="Times New Roman" w:cs="Times New Roman"/>
                <w:sz w:val="20"/>
                <w:szCs w:val="20"/>
              </w:rPr>
              <w:t>WLC</w:t>
            </w:r>
          </w:p>
        </w:tc>
      </w:tr>
      <w:tr w:rsidR="00FA7440" w14:paraId="50A36A22" w14:textId="77777777" w:rsidTr="00223975">
        <w:trPr>
          <w:trHeight w:val="250"/>
          <w:jc w:val="center"/>
        </w:trPr>
        <w:tc>
          <w:tcPr>
            <w:tcW w:w="594" w:type="dxa"/>
            <w:vMerge/>
            <w:tcBorders>
              <w:bottom w:val="single" w:sz="4" w:space="0" w:color="auto"/>
            </w:tcBorders>
          </w:tcPr>
          <w:p w14:paraId="2266BAB3" w14:textId="77777777" w:rsidR="00FA7440" w:rsidRDefault="00FA7440" w:rsidP="00223975">
            <w:pPr>
              <w:jc w:val="center"/>
              <w:rPr>
                <w:rFonts w:eastAsia="Times New Roman" w:cs="Times New Roman"/>
                <w:sz w:val="20"/>
                <w:szCs w:val="20"/>
              </w:rPr>
            </w:pPr>
          </w:p>
        </w:tc>
        <w:tc>
          <w:tcPr>
            <w:tcW w:w="1600" w:type="dxa"/>
            <w:vMerge/>
            <w:tcBorders>
              <w:bottom w:val="single" w:sz="4" w:space="0" w:color="auto"/>
            </w:tcBorders>
          </w:tcPr>
          <w:p w14:paraId="5A151A26" w14:textId="77777777" w:rsidR="00FA7440" w:rsidRDefault="00FA7440" w:rsidP="00223975">
            <w:pPr>
              <w:jc w:val="center"/>
              <w:rPr>
                <w:rFonts w:eastAsia="Times New Roman" w:cs="Times New Roman"/>
                <w:sz w:val="20"/>
                <w:szCs w:val="20"/>
              </w:rPr>
            </w:pPr>
          </w:p>
        </w:tc>
        <w:tc>
          <w:tcPr>
            <w:tcW w:w="1330" w:type="dxa"/>
            <w:tcBorders>
              <w:top w:val="single" w:sz="4" w:space="0" w:color="auto"/>
              <w:bottom w:val="single" w:sz="4" w:space="0" w:color="auto"/>
            </w:tcBorders>
          </w:tcPr>
          <w:p w14:paraId="76991BB0" w14:textId="6170BF3A" w:rsidR="00FA7440" w:rsidRDefault="00BF00A5" w:rsidP="00223975">
            <w:pPr>
              <w:jc w:val="center"/>
              <w:rPr>
                <w:rFonts w:eastAsia="Times New Roman" w:cs="Times New Roman"/>
                <w:sz w:val="20"/>
                <w:szCs w:val="20"/>
              </w:rPr>
            </w:pPr>
            <w:r w:rsidRPr="00BF00A5">
              <w:rPr>
                <w:rFonts w:eastAsia="Times New Roman" w:cs="Times New Roman"/>
                <w:sz w:val="20"/>
                <w:szCs w:val="20"/>
              </w:rPr>
              <w:t>Number of villages</w:t>
            </w:r>
          </w:p>
        </w:tc>
        <w:tc>
          <w:tcPr>
            <w:tcW w:w="1330" w:type="dxa"/>
            <w:tcBorders>
              <w:top w:val="single" w:sz="4" w:space="0" w:color="auto"/>
              <w:bottom w:val="single" w:sz="4" w:space="0" w:color="auto"/>
            </w:tcBorders>
          </w:tcPr>
          <w:p w14:paraId="6AC820C0" w14:textId="35BBAEF3" w:rsidR="00FA7440" w:rsidRDefault="00BF00A5" w:rsidP="00223975">
            <w:pPr>
              <w:jc w:val="center"/>
              <w:rPr>
                <w:rFonts w:eastAsia="Times New Roman" w:cs="Times New Roman"/>
                <w:sz w:val="20"/>
                <w:szCs w:val="20"/>
              </w:rPr>
            </w:pPr>
            <w:r w:rsidRPr="00BF00A5">
              <w:rPr>
                <w:rFonts w:eastAsia="Times New Roman" w:cs="Times New Roman"/>
                <w:sz w:val="20"/>
                <w:szCs w:val="20"/>
              </w:rPr>
              <w:t>Percentage of villages</w:t>
            </w:r>
          </w:p>
        </w:tc>
        <w:tc>
          <w:tcPr>
            <w:tcW w:w="1329" w:type="dxa"/>
            <w:tcBorders>
              <w:top w:val="single" w:sz="4" w:space="0" w:color="auto"/>
              <w:bottom w:val="single" w:sz="4" w:space="0" w:color="auto"/>
            </w:tcBorders>
          </w:tcPr>
          <w:p w14:paraId="1A9D62A8" w14:textId="3F191B7E" w:rsidR="00FA7440" w:rsidRDefault="00BF00A5" w:rsidP="00BF00A5">
            <w:pPr>
              <w:jc w:val="center"/>
              <w:rPr>
                <w:rFonts w:eastAsia="Times New Roman" w:cs="Times New Roman"/>
                <w:sz w:val="20"/>
                <w:szCs w:val="20"/>
              </w:rPr>
            </w:pPr>
            <w:r w:rsidRPr="00BF00A5">
              <w:rPr>
                <w:rFonts w:eastAsia="Times New Roman" w:cs="Times New Roman"/>
                <w:sz w:val="20"/>
                <w:szCs w:val="20"/>
              </w:rPr>
              <w:t>Number of villages</w:t>
            </w:r>
          </w:p>
        </w:tc>
        <w:tc>
          <w:tcPr>
            <w:tcW w:w="1330" w:type="dxa"/>
            <w:tcBorders>
              <w:top w:val="single" w:sz="4" w:space="0" w:color="auto"/>
              <w:bottom w:val="single" w:sz="4" w:space="0" w:color="auto"/>
            </w:tcBorders>
          </w:tcPr>
          <w:p w14:paraId="22DE9914" w14:textId="20604939" w:rsidR="00FA7440" w:rsidRDefault="00BF00A5" w:rsidP="00BF00A5">
            <w:pPr>
              <w:jc w:val="center"/>
              <w:rPr>
                <w:rFonts w:eastAsia="Times New Roman" w:cs="Times New Roman"/>
                <w:sz w:val="20"/>
                <w:szCs w:val="20"/>
              </w:rPr>
            </w:pPr>
            <w:r w:rsidRPr="00BF00A5">
              <w:rPr>
                <w:rFonts w:eastAsia="Times New Roman" w:cs="Times New Roman"/>
                <w:sz w:val="20"/>
                <w:szCs w:val="20"/>
              </w:rPr>
              <w:t>Percentage of villages</w:t>
            </w:r>
          </w:p>
        </w:tc>
      </w:tr>
      <w:tr w:rsidR="00FA7440" w14:paraId="1920917B" w14:textId="77777777" w:rsidTr="00223975">
        <w:trPr>
          <w:trHeight w:val="250"/>
          <w:jc w:val="center"/>
        </w:trPr>
        <w:tc>
          <w:tcPr>
            <w:tcW w:w="594" w:type="dxa"/>
            <w:tcBorders>
              <w:top w:val="single" w:sz="4" w:space="0" w:color="auto"/>
            </w:tcBorders>
          </w:tcPr>
          <w:p w14:paraId="282B7A56" w14:textId="77777777" w:rsidR="00FA7440" w:rsidRDefault="00FA7440" w:rsidP="00223975">
            <w:pPr>
              <w:jc w:val="center"/>
              <w:rPr>
                <w:rFonts w:eastAsia="Times New Roman" w:cs="Times New Roman"/>
                <w:sz w:val="20"/>
                <w:szCs w:val="20"/>
              </w:rPr>
            </w:pPr>
            <w:r>
              <w:rPr>
                <w:rFonts w:eastAsia="Times New Roman" w:cs="Times New Roman"/>
                <w:sz w:val="20"/>
                <w:szCs w:val="20"/>
              </w:rPr>
              <w:t>1</w:t>
            </w:r>
          </w:p>
        </w:tc>
        <w:tc>
          <w:tcPr>
            <w:tcW w:w="1600" w:type="dxa"/>
            <w:tcBorders>
              <w:top w:val="single" w:sz="4" w:space="0" w:color="auto"/>
            </w:tcBorders>
          </w:tcPr>
          <w:p w14:paraId="270102DF" w14:textId="77777777" w:rsidR="00FA7440" w:rsidRDefault="00FA7440" w:rsidP="00223975">
            <w:pPr>
              <w:jc w:val="center"/>
              <w:rPr>
                <w:rFonts w:eastAsia="Times New Roman" w:cs="Times New Roman"/>
                <w:sz w:val="20"/>
                <w:szCs w:val="20"/>
              </w:rPr>
            </w:pPr>
            <w:r>
              <w:rPr>
                <w:rFonts w:eastAsia="Times New Roman" w:cs="Times New Roman"/>
                <w:sz w:val="20"/>
                <w:szCs w:val="20"/>
              </w:rPr>
              <w:t>Very Low</w:t>
            </w:r>
          </w:p>
        </w:tc>
        <w:tc>
          <w:tcPr>
            <w:tcW w:w="1330" w:type="dxa"/>
            <w:tcBorders>
              <w:top w:val="single" w:sz="4" w:space="0" w:color="auto"/>
            </w:tcBorders>
          </w:tcPr>
          <w:p w14:paraId="6CD7DF61" w14:textId="2763F163" w:rsidR="00FA7440" w:rsidRDefault="005B3986" w:rsidP="00223975">
            <w:pPr>
              <w:jc w:val="center"/>
              <w:rPr>
                <w:rFonts w:eastAsia="Times New Roman" w:cs="Times New Roman"/>
                <w:sz w:val="20"/>
                <w:szCs w:val="20"/>
              </w:rPr>
            </w:pPr>
            <w:r>
              <w:rPr>
                <w:rFonts w:eastAsia="Times New Roman" w:cs="Times New Roman"/>
                <w:sz w:val="20"/>
                <w:szCs w:val="20"/>
              </w:rPr>
              <w:t>1</w:t>
            </w:r>
          </w:p>
        </w:tc>
        <w:tc>
          <w:tcPr>
            <w:tcW w:w="1330" w:type="dxa"/>
            <w:tcBorders>
              <w:top w:val="single" w:sz="4" w:space="0" w:color="auto"/>
            </w:tcBorders>
          </w:tcPr>
          <w:p w14:paraId="30A1792F" w14:textId="76BFF4E0" w:rsidR="00FA7440" w:rsidRDefault="005B3986" w:rsidP="00223975">
            <w:pPr>
              <w:jc w:val="center"/>
              <w:rPr>
                <w:rFonts w:eastAsia="Times New Roman" w:cs="Times New Roman"/>
                <w:sz w:val="20"/>
                <w:szCs w:val="20"/>
              </w:rPr>
            </w:pPr>
            <w:r>
              <w:rPr>
                <w:rFonts w:eastAsia="Times New Roman" w:cs="Times New Roman"/>
                <w:sz w:val="20"/>
                <w:szCs w:val="20"/>
              </w:rPr>
              <w:t>0.8</w:t>
            </w:r>
          </w:p>
        </w:tc>
        <w:tc>
          <w:tcPr>
            <w:tcW w:w="1329" w:type="dxa"/>
            <w:tcBorders>
              <w:top w:val="single" w:sz="4" w:space="0" w:color="auto"/>
            </w:tcBorders>
          </w:tcPr>
          <w:p w14:paraId="3DB2DE1C" w14:textId="11F6D741" w:rsidR="00FA7440" w:rsidRDefault="005B3986" w:rsidP="00223975">
            <w:pPr>
              <w:jc w:val="center"/>
              <w:rPr>
                <w:rFonts w:eastAsia="Times New Roman" w:cs="Times New Roman"/>
                <w:sz w:val="20"/>
                <w:szCs w:val="20"/>
              </w:rPr>
            </w:pPr>
            <w:r>
              <w:rPr>
                <w:rFonts w:eastAsia="Times New Roman" w:cs="Times New Roman"/>
                <w:sz w:val="20"/>
                <w:szCs w:val="20"/>
              </w:rPr>
              <w:t>1</w:t>
            </w:r>
          </w:p>
        </w:tc>
        <w:tc>
          <w:tcPr>
            <w:tcW w:w="1330" w:type="dxa"/>
            <w:tcBorders>
              <w:top w:val="single" w:sz="4" w:space="0" w:color="auto"/>
            </w:tcBorders>
          </w:tcPr>
          <w:p w14:paraId="11FFB071" w14:textId="1A196622" w:rsidR="00FA7440" w:rsidRDefault="005B3986" w:rsidP="00223975">
            <w:pPr>
              <w:jc w:val="center"/>
              <w:rPr>
                <w:rFonts w:eastAsia="Times New Roman" w:cs="Times New Roman"/>
                <w:sz w:val="20"/>
                <w:szCs w:val="20"/>
              </w:rPr>
            </w:pPr>
            <w:r>
              <w:rPr>
                <w:rFonts w:eastAsia="Times New Roman" w:cs="Times New Roman"/>
                <w:sz w:val="20"/>
                <w:szCs w:val="20"/>
              </w:rPr>
              <w:t>0.8</w:t>
            </w:r>
          </w:p>
        </w:tc>
      </w:tr>
      <w:tr w:rsidR="00FA7440" w14:paraId="3E7866A2" w14:textId="77777777" w:rsidTr="00223975">
        <w:trPr>
          <w:trHeight w:val="250"/>
          <w:jc w:val="center"/>
        </w:trPr>
        <w:tc>
          <w:tcPr>
            <w:tcW w:w="594" w:type="dxa"/>
          </w:tcPr>
          <w:p w14:paraId="1179D887" w14:textId="77777777" w:rsidR="00FA7440" w:rsidRDefault="00FA7440" w:rsidP="00223975">
            <w:pPr>
              <w:jc w:val="center"/>
              <w:rPr>
                <w:rFonts w:eastAsia="Times New Roman" w:cs="Times New Roman"/>
                <w:sz w:val="20"/>
                <w:szCs w:val="20"/>
              </w:rPr>
            </w:pPr>
            <w:r>
              <w:rPr>
                <w:rFonts w:eastAsia="Times New Roman" w:cs="Times New Roman"/>
                <w:sz w:val="20"/>
                <w:szCs w:val="20"/>
              </w:rPr>
              <w:t>2</w:t>
            </w:r>
          </w:p>
        </w:tc>
        <w:tc>
          <w:tcPr>
            <w:tcW w:w="1600" w:type="dxa"/>
          </w:tcPr>
          <w:p w14:paraId="0A747967" w14:textId="77777777" w:rsidR="00FA7440" w:rsidRDefault="00FA7440" w:rsidP="00223975">
            <w:pPr>
              <w:jc w:val="center"/>
              <w:rPr>
                <w:rFonts w:eastAsia="Times New Roman" w:cs="Times New Roman"/>
                <w:sz w:val="20"/>
                <w:szCs w:val="20"/>
              </w:rPr>
            </w:pPr>
            <w:r>
              <w:rPr>
                <w:rFonts w:eastAsia="Times New Roman" w:cs="Times New Roman"/>
                <w:sz w:val="20"/>
                <w:szCs w:val="20"/>
              </w:rPr>
              <w:t>Low</w:t>
            </w:r>
          </w:p>
        </w:tc>
        <w:tc>
          <w:tcPr>
            <w:tcW w:w="1330" w:type="dxa"/>
          </w:tcPr>
          <w:p w14:paraId="31622D66" w14:textId="105DF8C7" w:rsidR="00FA7440" w:rsidRDefault="005B3986" w:rsidP="00223975">
            <w:pPr>
              <w:jc w:val="center"/>
              <w:rPr>
                <w:rFonts w:eastAsia="Times New Roman" w:cs="Times New Roman"/>
                <w:sz w:val="20"/>
                <w:szCs w:val="20"/>
              </w:rPr>
            </w:pPr>
            <w:r>
              <w:rPr>
                <w:rFonts w:eastAsia="Times New Roman" w:cs="Times New Roman"/>
                <w:sz w:val="20"/>
                <w:szCs w:val="20"/>
              </w:rPr>
              <w:t>11</w:t>
            </w:r>
          </w:p>
        </w:tc>
        <w:tc>
          <w:tcPr>
            <w:tcW w:w="1330" w:type="dxa"/>
          </w:tcPr>
          <w:p w14:paraId="1E7478C0" w14:textId="572D7C22" w:rsidR="00FA7440" w:rsidRDefault="005B3986" w:rsidP="00223975">
            <w:pPr>
              <w:jc w:val="center"/>
              <w:rPr>
                <w:rFonts w:eastAsia="Times New Roman" w:cs="Times New Roman"/>
                <w:sz w:val="20"/>
                <w:szCs w:val="20"/>
              </w:rPr>
            </w:pPr>
            <w:r>
              <w:rPr>
                <w:rFonts w:eastAsia="Times New Roman" w:cs="Times New Roman"/>
                <w:sz w:val="20"/>
                <w:szCs w:val="20"/>
              </w:rPr>
              <w:t>8.9</w:t>
            </w:r>
          </w:p>
        </w:tc>
        <w:tc>
          <w:tcPr>
            <w:tcW w:w="1329" w:type="dxa"/>
          </w:tcPr>
          <w:p w14:paraId="7549174B" w14:textId="45AC8100" w:rsidR="00FA7440" w:rsidRDefault="005B3986" w:rsidP="00223975">
            <w:pPr>
              <w:jc w:val="center"/>
              <w:rPr>
                <w:rFonts w:eastAsia="Times New Roman" w:cs="Times New Roman"/>
                <w:sz w:val="20"/>
                <w:szCs w:val="20"/>
              </w:rPr>
            </w:pPr>
            <w:r>
              <w:rPr>
                <w:rFonts w:eastAsia="Times New Roman" w:cs="Times New Roman"/>
                <w:sz w:val="20"/>
                <w:szCs w:val="20"/>
              </w:rPr>
              <w:t>2</w:t>
            </w:r>
          </w:p>
        </w:tc>
        <w:tc>
          <w:tcPr>
            <w:tcW w:w="1330" w:type="dxa"/>
          </w:tcPr>
          <w:p w14:paraId="100F8545" w14:textId="06ACD3A2" w:rsidR="00FA7440" w:rsidRDefault="005B3986" w:rsidP="00223975">
            <w:pPr>
              <w:jc w:val="center"/>
              <w:rPr>
                <w:rFonts w:eastAsia="Times New Roman" w:cs="Times New Roman"/>
                <w:sz w:val="20"/>
                <w:szCs w:val="20"/>
              </w:rPr>
            </w:pPr>
            <w:r>
              <w:rPr>
                <w:rFonts w:eastAsia="Times New Roman" w:cs="Times New Roman"/>
                <w:sz w:val="20"/>
                <w:szCs w:val="20"/>
              </w:rPr>
              <w:t>1.6</w:t>
            </w:r>
          </w:p>
        </w:tc>
      </w:tr>
      <w:tr w:rsidR="00FA7440" w14:paraId="4A1089DC" w14:textId="77777777" w:rsidTr="00223975">
        <w:trPr>
          <w:trHeight w:val="250"/>
          <w:jc w:val="center"/>
        </w:trPr>
        <w:tc>
          <w:tcPr>
            <w:tcW w:w="594" w:type="dxa"/>
          </w:tcPr>
          <w:p w14:paraId="2C062207" w14:textId="77777777" w:rsidR="00FA7440" w:rsidRDefault="00FA7440" w:rsidP="00223975">
            <w:pPr>
              <w:jc w:val="center"/>
              <w:rPr>
                <w:rFonts w:eastAsia="Times New Roman" w:cs="Times New Roman"/>
                <w:sz w:val="20"/>
                <w:szCs w:val="20"/>
              </w:rPr>
            </w:pPr>
            <w:r>
              <w:rPr>
                <w:rFonts w:eastAsia="Times New Roman" w:cs="Times New Roman"/>
                <w:sz w:val="20"/>
                <w:szCs w:val="20"/>
              </w:rPr>
              <w:t>3</w:t>
            </w:r>
          </w:p>
        </w:tc>
        <w:tc>
          <w:tcPr>
            <w:tcW w:w="1600" w:type="dxa"/>
          </w:tcPr>
          <w:p w14:paraId="025443D5" w14:textId="77777777" w:rsidR="00FA7440" w:rsidRDefault="00FA7440" w:rsidP="00223975">
            <w:pPr>
              <w:jc w:val="center"/>
              <w:rPr>
                <w:rFonts w:eastAsia="Times New Roman" w:cs="Times New Roman"/>
                <w:sz w:val="20"/>
                <w:szCs w:val="20"/>
              </w:rPr>
            </w:pPr>
            <w:r>
              <w:rPr>
                <w:rFonts w:eastAsia="Times New Roman" w:cs="Times New Roman"/>
                <w:sz w:val="20"/>
                <w:szCs w:val="20"/>
              </w:rPr>
              <w:t>Moderate</w:t>
            </w:r>
          </w:p>
        </w:tc>
        <w:tc>
          <w:tcPr>
            <w:tcW w:w="1330" w:type="dxa"/>
          </w:tcPr>
          <w:p w14:paraId="75BAFB52" w14:textId="0B7F5D23" w:rsidR="00FA7440" w:rsidRDefault="005B3986" w:rsidP="00223975">
            <w:pPr>
              <w:jc w:val="center"/>
              <w:rPr>
                <w:rFonts w:eastAsia="Times New Roman" w:cs="Times New Roman"/>
                <w:sz w:val="20"/>
                <w:szCs w:val="20"/>
              </w:rPr>
            </w:pPr>
            <w:r>
              <w:rPr>
                <w:rFonts w:eastAsia="Times New Roman" w:cs="Times New Roman"/>
                <w:sz w:val="20"/>
                <w:szCs w:val="20"/>
              </w:rPr>
              <w:t>24</w:t>
            </w:r>
          </w:p>
        </w:tc>
        <w:tc>
          <w:tcPr>
            <w:tcW w:w="1330" w:type="dxa"/>
          </w:tcPr>
          <w:p w14:paraId="21487ACB" w14:textId="605DC384" w:rsidR="00FA7440" w:rsidRDefault="005B3986" w:rsidP="00223975">
            <w:pPr>
              <w:jc w:val="center"/>
              <w:rPr>
                <w:rFonts w:eastAsia="Times New Roman" w:cs="Times New Roman"/>
                <w:sz w:val="20"/>
                <w:szCs w:val="20"/>
              </w:rPr>
            </w:pPr>
            <w:r>
              <w:rPr>
                <w:rFonts w:eastAsia="Times New Roman" w:cs="Times New Roman"/>
                <w:sz w:val="20"/>
                <w:szCs w:val="20"/>
              </w:rPr>
              <w:t>19.5</w:t>
            </w:r>
          </w:p>
        </w:tc>
        <w:tc>
          <w:tcPr>
            <w:tcW w:w="1329" w:type="dxa"/>
          </w:tcPr>
          <w:p w14:paraId="749B8DD7" w14:textId="252F4E1E" w:rsidR="00FA7440" w:rsidRDefault="005B3986" w:rsidP="00223975">
            <w:pPr>
              <w:jc w:val="center"/>
              <w:rPr>
                <w:rFonts w:eastAsia="Times New Roman" w:cs="Times New Roman"/>
                <w:sz w:val="20"/>
                <w:szCs w:val="20"/>
              </w:rPr>
            </w:pPr>
            <w:r>
              <w:rPr>
                <w:rFonts w:eastAsia="Times New Roman" w:cs="Times New Roman"/>
                <w:sz w:val="20"/>
                <w:szCs w:val="20"/>
              </w:rPr>
              <w:t>39</w:t>
            </w:r>
          </w:p>
        </w:tc>
        <w:tc>
          <w:tcPr>
            <w:tcW w:w="1330" w:type="dxa"/>
          </w:tcPr>
          <w:p w14:paraId="0E9D77FB" w14:textId="4CBBE85C" w:rsidR="00FA7440" w:rsidRDefault="005B3986" w:rsidP="00223975">
            <w:pPr>
              <w:jc w:val="center"/>
              <w:rPr>
                <w:rFonts w:eastAsia="Times New Roman" w:cs="Times New Roman"/>
                <w:sz w:val="20"/>
                <w:szCs w:val="20"/>
              </w:rPr>
            </w:pPr>
            <w:r>
              <w:rPr>
                <w:rFonts w:eastAsia="Times New Roman" w:cs="Times New Roman"/>
                <w:sz w:val="20"/>
                <w:szCs w:val="20"/>
              </w:rPr>
              <w:t>31.7</w:t>
            </w:r>
          </w:p>
        </w:tc>
      </w:tr>
      <w:tr w:rsidR="00FA7440" w14:paraId="6B0D6A7B" w14:textId="77777777" w:rsidTr="00223975">
        <w:trPr>
          <w:trHeight w:val="250"/>
          <w:jc w:val="center"/>
        </w:trPr>
        <w:tc>
          <w:tcPr>
            <w:tcW w:w="594" w:type="dxa"/>
          </w:tcPr>
          <w:p w14:paraId="7785A72B" w14:textId="77777777" w:rsidR="00FA7440" w:rsidRDefault="00FA7440" w:rsidP="00223975">
            <w:pPr>
              <w:jc w:val="center"/>
              <w:rPr>
                <w:rFonts w:eastAsia="Times New Roman" w:cs="Times New Roman"/>
                <w:sz w:val="20"/>
                <w:szCs w:val="20"/>
              </w:rPr>
            </w:pPr>
            <w:r>
              <w:rPr>
                <w:rFonts w:eastAsia="Times New Roman" w:cs="Times New Roman"/>
                <w:sz w:val="20"/>
                <w:szCs w:val="20"/>
              </w:rPr>
              <w:t>4</w:t>
            </w:r>
          </w:p>
        </w:tc>
        <w:tc>
          <w:tcPr>
            <w:tcW w:w="1600" w:type="dxa"/>
          </w:tcPr>
          <w:p w14:paraId="5D6B0C30" w14:textId="77777777" w:rsidR="00FA7440" w:rsidRDefault="00FA7440" w:rsidP="00223975">
            <w:pPr>
              <w:jc w:val="center"/>
              <w:rPr>
                <w:rFonts w:eastAsia="Times New Roman" w:cs="Times New Roman"/>
                <w:sz w:val="20"/>
                <w:szCs w:val="20"/>
              </w:rPr>
            </w:pPr>
            <w:r>
              <w:rPr>
                <w:rFonts w:eastAsia="Times New Roman" w:cs="Times New Roman"/>
                <w:sz w:val="20"/>
                <w:szCs w:val="20"/>
              </w:rPr>
              <w:t>High</w:t>
            </w:r>
          </w:p>
        </w:tc>
        <w:tc>
          <w:tcPr>
            <w:tcW w:w="1330" w:type="dxa"/>
          </w:tcPr>
          <w:p w14:paraId="6EBF791B" w14:textId="0E89CBB2" w:rsidR="00FA7440" w:rsidRDefault="005B3986" w:rsidP="00223975">
            <w:pPr>
              <w:jc w:val="center"/>
              <w:rPr>
                <w:rFonts w:eastAsia="Times New Roman" w:cs="Times New Roman"/>
                <w:sz w:val="20"/>
                <w:szCs w:val="20"/>
              </w:rPr>
            </w:pPr>
            <w:r>
              <w:rPr>
                <w:rFonts w:eastAsia="Times New Roman" w:cs="Times New Roman"/>
                <w:sz w:val="20"/>
                <w:szCs w:val="20"/>
              </w:rPr>
              <w:t>67</w:t>
            </w:r>
          </w:p>
        </w:tc>
        <w:tc>
          <w:tcPr>
            <w:tcW w:w="1330" w:type="dxa"/>
          </w:tcPr>
          <w:p w14:paraId="429601AF" w14:textId="1ED8394D" w:rsidR="00FA7440" w:rsidRDefault="005B3986" w:rsidP="00223975">
            <w:pPr>
              <w:jc w:val="center"/>
              <w:rPr>
                <w:rFonts w:eastAsia="Times New Roman" w:cs="Times New Roman"/>
                <w:sz w:val="20"/>
                <w:szCs w:val="20"/>
              </w:rPr>
            </w:pPr>
            <w:r>
              <w:rPr>
                <w:rFonts w:eastAsia="Times New Roman" w:cs="Times New Roman"/>
                <w:sz w:val="20"/>
                <w:szCs w:val="20"/>
              </w:rPr>
              <w:t>54.5</w:t>
            </w:r>
          </w:p>
        </w:tc>
        <w:tc>
          <w:tcPr>
            <w:tcW w:w="1329" w:type="dxa"/>
          </w:tcPr>
          <w:p w14:paraId="0FCB809A" w14:textId="4FF36BDD" w:rsidR="00FA7440" w:rsidRDefault="005B3986" w:rsidP="00223975">
            <w:pPr>
              <w:jc w:val="center"/>
              <w:rPr>
                <w:rFonts w:eastAsia="Times New Roman" w:cs="Times New Roman"/>
                <w:sz w:val="20"/>
                <w:szCs w:val="20"/>
              </w:rPr>
            </w:pPr>
            <w:r>
              <w:rPr>
                <w:rFonts w:eastAsia="Times New Roman" w:cs="Times New Roman"/>
                <w:sz w:val="20"/>
                <w:szCs w:val="20"/>
              </w:rPr>
              <w:t>44</w:t>
            </w:r>
          </w:p>
        </w:tc>
        <w:tc>
          <w:tcPr>
            <w:tcW w:w="1330" w:type="dxa"/>
          </w:tcPr>
          <w:p w14:paraId="0D114840" w14:textId="1A7452EB" w:rsidR="00FA7440" w:rsidRDefault="005B3986" w:rsidP="00223975">
            <w:pPr>
              <w:jc w:val="center"/>
              <w:rPr>
                <w:rFonts w:eastAsia="Times New Roman" w:cs="Times New Roman"/>
                <w:sz w:val="20"/>
                <w:szCs w:val="20"/>
              </w:rPr>
            </w:pPr>
            <w:r>
              <w:rPr>
                <w:rFonts w:eastAsia="Times New Roman" w:cs="Times New Roman"/>
                <w:sz w:val="20"/>
                <w:szCs w:val="20"/>
              </w:rPr>
              <w:t>35.8</w:t>
            </w:r>
          </w:p>
        </w:tc>
      </w:tr>
      <w:tr w:rsidR="00FA7440" w14:paraId="3556867E" w14:textId="77777777" w:rsidTr="00223975">
        <w:trPr>
          <w:trHeight w:val="250"/>
          <w:jc w:val="center"/>
        </w:trPr>
        <w:tc>
          <w:tcPr>
            <w:tcW w:w="594" w:type="dxa"/>
          </w:tcPr>
          <w:p w14:paraId="7CBAE977" w14:textId="77777777" w:rsidR="00FA7440" w:rsidRDefault="00FA7440" w:rsidP="00223975">
            <w:pPr>
              <w:jc w:val="center"/>
              <w:rPr>
                <w:rFonts w:eastAsia="Times New Roman" w:cs="Times New Roman"/>
                <w:sz w:val="20"/>
                <w:szCs w:val="20"/>
              </w:rPr>
            </w:pPr>
            <w:r>
              <w:rPr>
                <w:rFonts w:eastAsia="Times New Roman" w:cs="Times New Roman"/>
                <w:sz w:val="20"/>
                <w:szCs w:val="20"/>
              </w:rPr>
              <w:t>5</w:t>
            </w:r>
          </w:p>
        </w:tc>
        <w:tc>
          <w:tcPr>
            <w:tcW w:w="1600" w:type="dxa"/>
          </w:tcPr>
          <w:p w14:paraId="299B72F1" w14:textId="77777777" w:rsidR="00FA7440" w:rsidRDefault="00FA7440" w:rsidP="00223975">
            <w:pPr>
              <w:jc w:val="center"/>
              <w:rPr>
                <w:rFonts w:eastAsia="Times New Roman" w:cs="Times New Roman"/>
                <w:sz w:val="20"/>
                <w:szCs w:val="20"/>
              </w:rPr>
            </w:pPr>
            <w:r>
              <w:rPr>
                <w:rFonts w:eastAsia="Times New Roman" w:cs="Times New Roman"/>
                <w:sz w:val="20"/>
                <w:szCs w:val="20"/>
              </w:rPr>
              <w:t>Very High</w:t>
            </w:r>
          </w:p>
        </w:tc>
        <w:tc>
          <w:tcPr>
            <w:tcW w:w="1330" w:type="dxa"/>
          </w:tcPr>
          <w:p w14:paraId="4B955301" w14:textId="6A26EFE4" w:rsidR="00FA7440" w:rsidRDefault="005B3986" w:rsidP="00223975">
            <w:pPr>
              <w:jc w:val="center"/>
              <w:rPr>
                <w:rFonts w:eastAsia="Times New Roman" w:cs="Times New Roman"/>
                <w:sz w:val="20"/>
                <w:szCs w:val="20"/>
              </w:rPr>
            </w:pPr>
            <w:r>
              <w:rPr>
                <w:rFonts w:eastAsia="Times New Roman" w:cs="Times New Roman"/>
                <w:sz w:val="20"/>
                <w:szCs w:val="20"/>
              </w:rPr>
              <w:t>20</w:t>
            </w:r>
          </w:p>
        </w:tc>
        <w:tc>
          <w:tcPr>
            <w:tcW w:w="1330" w:type="dxa"/>
          </w:tcPr>
          <w:p w14:paraId="3A9E23D5" w14:textId="237B2772" w:rsidR="00FA7440" w:rsidRDefault="005B3986" w:rsidP="00223975">
            <w:pPr>
              <w:jc w:val="center"/>
              <w:rPr>
                <w:rFonts w:eastAsia="Times New Roman" w:cs="Times New Roman"/>
                <w:sz w:val="20"/>
                <w:szCs w:val="20"/>
              </w:rPr>
            </w:pPr>
            <w:r>
              <w:rPr>
                <w:rFonts w:eastAsia="Times New Roman" w:cs="Times New Roman"/>
                <w:sz w:val="20"/>
                <w:szCs w:val="20"/>
              </w:rPr>
              <w:t>16.3</w:t>
            </w:r>
          </w:p>
        </w:tc>
        <w:tc>
          <w:tcPr>
            <w:tcW w:w="1329" w:type="dxa"/>
          </w:tcPr>
          <w:p w14:paraId="5FD16D61" w14:textId="1F734FA2" w:rsidR="00FA7440" w:rsidRDefault="005B3986" w:rsidP="00223975">
            <w:pPr>
              <w:jc w:val="center"/>
              <w:rPr>
                <w:rFonts w:eastAsia="Times New Roman" w:cs="Times New Roman"/>
                <w:sz w:val="20"/>
                <w:szCs w:val="20"/>
              </w:rPr>
            </w:pPr>
            <w:r>
              <w:rPr>
                <w:rFonts w:eastAsia="Times New Roman" w:cs="Times New Roman"/>
                <w:sz w:val="20"/>
                <w:szCs w:val="20"/>
              </w:rPr>
              <w:t>37</w:t>
            </w:r>
          </w:p>
        </w:tc>
        <w:tc>
          <w:tcPr>
            <w:tcW w:w="1330" w:type="dxa"/>
          </w:tcPr>
          <w:p w14:paraId="005E1BA0" w14:textId="68884ED3" w:rsidR="00FA7440" w:rsidRDefault="005B3986" w:rsidP="00223975">
            <w:pPr>
              <w:jc w:val="center"/>
              <w:rPr>
                <w:rFonts w:eastAsia="Times New Roman" w:cs="Times New Roman"/>
                <w:sz w:val="20"/>
                <w:szCs w:val="20"/>
              </w:rPr>
            </w:pPr>
            <w:r>
              <w:rPr>
                <w:rFonts w:eastAsia="Times New Roman" w:cs="Times New Roman"/>
                <w:sz w:val="20"/>
                <w:szCs w:val="20"/>
              </w:rPr>
              <w:t>30.1</w:t>
            </w:r>
          </w:p>
        </w:tc>
      </w:tr>
      <w:tr w:rsidR="00FA7440" w14:paraId="624343EC" w14:textId="77777777" w:rsidTr="00223975">
        <w:trPr>
          <w:trHeight w:val="250"/>
          <w:jc w:val="center"/>
        </w:trPr>
        <w:tc>
          <w:tcPr>
            <w:tcW w:w="594" w:type="dxa"/>
            <w:tcBorders>
              <w:bottom w:val="single" w:sz="4" w:space="0" w:color="auto"/>
            </w:tcBorders>
          </w:tcPr>
          <w:p w14:paraId="5372608C" w14:textId="77777777" w:rsidR="00FA7440" w:rsidRDefault="00FA7440" w:rsidP="00223975">
            <w:pPr>
              <w:jc w:val="center"/>
              <w:rPr>
                <w:rFonts w:eastAsia="Times New Roman" w:cs="Times New Roman"/>
                <w:sz w:val="20"/>
                <w:szCs w:val="20"/>
              </w:rPr>
            </w:pPr>
            <w:r>
              <w:rPr>
                <w:rFonts w:eastAsia="Times New Roman" w:cs="Times New Roman"/>
                <w:sz w:val="20"/>
                <w:szCs w:val="20"/>
              </w:rPr>
              <w:t>6</w:t>
            </w:r>
          </w:p>
        </w:tc>
        <w:tc>
          <w:tcPr>
            <w:tcW w:w="1600" w:type="dxa"/>
            <w:tcBorders>
              <w:bottom w:val="single" w:sz="4" w:space="0" w:color="auto"/>
            </w:tcBorders>
          </w:tcPr>
          <w:p w14:paraId="65EEBBBD" w14:textId="77777777" w:rsidR="00FA7440" w:rsidRDefault="00FA7440" w:rsidP="00223975">
            <w:pPr>
              <w:jc w:val="center"/>
              <w:rPr>
                <w:rFonts w:eastAsia="Times New Roman" w:cs="Times New Roman"/>
                <w:sz w:val="20"/>
                <w:szCs w:val="20"/>
              </w:rPr>
            </w:pPr>
            <w:r>
              <w:rPr>
                <w:rFonts w:eastAsia="Times New Roman" w:cs="Times New Roman"/>
                <w:sz w:val="20"/>
                <w:szCs w:val="20"/>
              </w:rPr>
              <w:t>Total</w:t>
            </w:r>
          </w:p>
        </w:tc>
        <w:tc>
          <w:tcPr>
            <w:tcW w:w="1330" w:type="dxa"/>
            <w:tcBorders>
              <w:bottom w:val="single" w:sz="4" w:space="0" w:color="auto"/>
            </w:tcBorders>
          </w:tcPr>
          <w:p w14:paraId="12A53C8C" w14:textId="36987615" w:rsidR="00FA7440" w:rsidRDefault="005B3986" w:rsidP="00223975">
            <w:pPr>
              <w:jc w:val="center"/>
              <w:rPr>
                <w:rFonts w:eastAsia="Times New Roman" w:cs="Times New Roman"/>
                <w:sz w:val="20"/>
                <w:szCs w:val="20"/>
              </w:rPr>
            </w:pPr>
            <w:r>
              <w:rPr>
                <w:rFonts w:eastAsia="Times New Roman" w:cs="Times New Roman"/>
                <w:sz w:val="20"/>
                <w:szCs w:val="20"/>
              </w:rPr>
              <w:t>123</w:t>
            </w:r>
          </w:p>
        </w:tc>
        <w:tc>
          <w:tcPr>
            <w:tcW w:w="1330" w:type="dxa"/>
            <w:tcBorders>
              <w:bottom w:val="single" w:sz="4" w:space="0" w:color="auto"/>
            </w:tcBorders>
          </w:tcPr>
          <w:p w14:paraId="68107623" w14:textId="1DE48799" w:rsidR="00FA7440" w:rsidRDefault="005B3986" w:rsidP="00223975">
            <w:pPr>
              <w:jc w:val="center"/>
              <w:rPr>
                <w:rFonts w:eastAsia="Times New Roman" w:cs="Times New Roman"/>
                <w:sz w:val="20"/>
                <w:szCs w:val="20"/>
              </w:rPr>
            </w:pPr>
            <w:r>
              <w:rPr>
                <w:rFonts w:eastAsia="Times New Roman" w:cs="Times New Roman"/>
                <w:sz w:val="20"/>
                <w:szCs w:val="20"/>
              </w:rPr>
              <w:t>100</w:t>
            </w:r>
          </w:p>
        </w:tc>
        <w:tc>
          <w:tcPr>
            <w:tcW w:w="1329" w:type="dxa"/>
            <w:tcBorders>
              <w:bottom w:val="single" w:sz="4" w:space="0" w:color="auto"/>
            </w:tcBorders>
          </w:tcPr>
          <w:p w14:paraId="5A910E28" w14:textId="20B72D8C" w:rsidR="00FA7440" w:rsidRDefault="005B3986" w:rsidP="00223975">
            <w:pPr>
              <w:jc w:val="center"/>
              <w:rPr>
                <w:rFonts w:eastAsia="Times New Roman" w:cs="Times New Roman"/>
                <w:sz w:val="20"/>
                <w:szCs w:val="20"/>
              </w:rPr>
            </w:pPr>
            <w:r>
              <w:rPr>
                <w:rFonts w:eastAsia="Times New Roman" w:cs="Times New Roman"/>
                <w:sz w:val="20"/>
                <w:szCs w:val="20"/>
              </w:rPr>
              <w:t>123</w:t>
            </w:r>
          </w:p>
        </w:tc>
        <w:tc>
          <w:tcPr>
            <w:tcW w:w="1330" w:type="dxa"/>
            <w:tcBorders>
              <w:bottom w:val="single" w:sz="4" w:space="0" w:color="auto"/>
            </w:tcBorders>
          </w:tcPr>
          <w:p w14:paraId="09D8EE86" w14:textId="3F2F7E2A" w:rsidR="00FA7440" w:rsidRDefault="005B3986" w:rsidP="00223975">
            <w:pPr>
              <w:jc w:val="center"/>
              <w:rPr>
                <w:rFonts w:eastAsia="Times New Roman" w:cs="Times New Roman"/>
                <w:sz w:val="20"/>
                <w:szCs w:val="20"/>
              </w:rPr>
            </w:pPr>
            <w:r>
              <w:rPr>
                <w:rFonts w:eastAsia="Times New Roman" w:cs="Times New Roman"/>
                <w:sz w:val="20"/>
                <w:szCs w:val="20"/>
              </w:rPr>
              <w:t>100</w:t>
            </w:r>
          </w:p>
        </w:tc>
      </w:tr>
    </w:tbl>
    <w:p w14:paraId="4991AC3F" w14:textId="77777777" w:rsidR="00FA7440" w:rsidRDefault="00FA7440" w:rsidP="00BF00A5">
      <w:pPr>
        <w:rPr>
          <w:lang w:bidi="fa-IR"/>
        </w:rPr>
      </w:pPr>
    </w:p>
    <w:p w14:paraId="7489BBDC" w14:textId="09AE5912" w:rsidR="00FA7440" w:rsidRDefault="00BF00A5" w:rsidP="00FA7440">
      <w:pPr>
        <w:bidi/>
        <w:jc w:val="center"/>
        <w:rPr>
          <w:lang w:bidi="fa-IR"/>
        </w:rPr>
      </w:pPr>
      <w:r>
        <w:rPr>
          <w:noProof/>
        </w:rPr>
        <w:drawing>
          <wp:inline distT="0" distB="0" distL="0" distR="0" wp14:anchorId="15307BD0" wp14:editId="08BE5ACE">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3C1EAC" w14:textId="23944A92" w:rsidR="00FA7440" w:rsidRDefault="00BF00A5" w:rsidP="00BF00A5">
      <w:pPr>
        <w:bidi/>
        <w:jc w:val="center"/>
        <w:rPr>
          <w:rtl/>
          <w:lang w:bidi="fa-IR"/>
        </w:rPr>
      </w:pPr>
      <w:r w:rsidRPr="00BF00A5">
        <w:rPr>
          <w:sz w:val="20"/>
          <w:szCs w:val="20"/>
        </w:rPr>
        <w:t>Figure 11: Percentage of villages in flood vulnerability potential classes</w:t>
      </w:r>
    </w:p>
    <w:p w14:paraId="22719217" w14:textId="77777777" w:rsidR="00FA7440" w:rsidRDefault="00FA7440" w:rsidP="0097660F">
      <w:pPr>
        <w:bidi/>
        <w:jc w:val="right"/>
        <w:rPr>
          <w:rtl/>
          <w:lang w:bidi="fa-IR"/>
        </w:rPr>
      </w:pPr>
    </w:p>
    <w:p w14:paraId="33246BF5" w14:textId="396F1206" w:rsidR="0097660F" w:rsidRPr="0097660F" w:rsidRDefault="0097660F" w:rsidP="0097660F">
      <w:pPr>
        <w:bidi/>
        <w:jc w:val="right"/>
        <w:rPr>
          <w:b/>
          <w:bCs/>
          <w:rtl/>
          <w:lang w:bidi="fa-IR"/>
        </w:rPr>
      </w:pPr>
      <w:r w:rsidRPr="0097660F">
        <w:rPr>
          <w:b/>
          <w:bCs/>
          <w:lang w:bidi="fa-IR"/>
        </w:rPr>
        <w:t>5. Conclusion</w:t>
      </w:r>
    </w:p>
    <w:p w14:paraId="7C10E2F7" w14:textId="7B4D9C39" w:rsidR="002A50B2" w:rsidRPr="0097660F" w:rsidRDefault="0097660F" w:rsidP="00E1688E">
      <w:pPr>
        <w:jc w:val="both"/>
        <w:rPr>
          <w:lang w:bidi="fa-IR"/>
        </w:rPr>
      </w:pPr>
      <w:r w:rsidRPr="0097660F">
        <w:rPr>
          <w:lang w:bidi="fa-IR"/>
        </w:rPr>
        <w:t xml:space="preserve">The results of this study indicate that the </w:t>
      </w:r>
      <w:proofErr w:type="spellStart"/>
      <w:r w:rsidRPr="0097660F">
        <w:rPr>
          <w:lang w:bidi="fa-IR"/>
        </w:rPr>
        <w:t>Shevisheh</w:t>
      </w:r>
      <w:proofErr w:type="spellEnd"/>
      <w:r w:rsidRPr="0097660F">
        <w:rPr>
          <w:lang w:bidi="fa-IR"/>
        </w:rPr>
        <w:t xml:space="preserve"> </w:t>
      </w:r>
      <w:r w:rsidR="00E1688E">
        <w:rPr>
          <w:lang w:bidi="fa-IR"/>
        </w:rPr>
        <w:t>basin</w:t>
      </w:r>
      <w:r w:rsidRPr="0097660F">
        <w:rPr>
          <w:lang w:bidi="fa-IR"/>
        </w:rPr>
        <w:t xml:space="preserve"> exhibits an uneven distribution of flood susceptibility, with the southern parts of the basin being the most at risk. According to the final flood-prone area maps, approximately 473 km² (24% of the </w:t>
      </w:r>
      <w:r>
        <w:rPr>
          <w:lang w:bidi="fa-IR"/>
        </w:rPr>
        <w:t>basin</w:t>
      </w:r>
      <w:r w:rsidR="00E1688E">
        <w:rPr>
          <w:lang w:bidi="fa-IR"/>
        </w:rPr>
        <w:t xml:space="preserve"> area</w:t>
      </w:r>
      <w:r w:rsidRPr="0097660F">
        <w:rPr>
          <w:lang w:bidi="fa-IR"/>
        </w:rPr>
        <w:t xml:space="preserve">) using the OWA method and 470 km² (23.9% of the </w:t>
      </w:r>
      <w:r>
        <w:rPr>
          <w:lang w:bidi="fa-IR"/>
        </w:rPr>
        <w:t>basin</w:t>
      </w:r>
      <w:r w:rsidR="00E1688E">
        <w:rPr>
          <w:lang w:bidi="fa-IR"/>
        </w:rPr>
        <w:t xml:space="preserve"> area</w:t>
      </w:r>
      <w:r w:rsidRPr="0097660F">
        <w:rPr>
          <w:lang w:bidi="fa-IR"/>
        </w:rPr>
        <w:t xml:space="preserve">) using the WLC method fall into the highest flood-susceptibility class. These areas are highly exposed due to their low elevation, gentle slopes, and proximity to rivers. In contrast, the elevated and steep regions of the </w:t>
      </w:r>
      <w:r w:rsidR="00E1688E">
        <w:rPr>
          <w:lang w:bidi="fa-IR"/>
        </w:rPr>
        <w:t>basin</w:t>
      </w:r>
      <w:r w:rsidRPr="0097660F">
        <w:rPr>
          <w:lang w:bidi="fa-IR"/>
        </w:rPr>
        <w:t xml:space="preserve">, covering about 1095 km² (55.6% of the </w:t>
      </w:r>
      <w:r>
        <w:rPr>
          <w:lang w:bidi="fa-IR"/>
        </w:rPr>
        <w:t>basin</w:t>
      </w:r>
      <w:r w:rsidR="00E1688E">
        <w:rPr>
          <w:lang w:bidi="fa-IR"/>
        </w:rPr>
        <w:t xml:space="preserve"> area</w:t>
      </w:r>
      <w:r w:rsidRPr="0097660F">
        <w:rPr>
          <w:lang w:bidi="fa-IR"/>
        </w:rPr>
        <w:t xml:space="preserve">) using OWA </w:t>
      </w:r>
      <w:r>
        <w:rPr>
          <w:lang w:bidi="fa-IR"/>
        </w:rPr>
        <w:t xml:space="preserve">method </w:t>
      </w:r>
      <w:r w:rsidRPr="0097660F">
        <w:rPr>
          <w:lang w:bidi="fa-IR"/>
        </w:rPr>
        <w:t>and 804 km² (40.8% of the basin</w:t>
      </w:r>
      <w:r w:rsidR="00E1688E">
        <w:rPr>
          <w:lang w:bidi="fa-IR"/>
        </w:rPr>
        <w:t xml:space="preserve"> area</w:t>
      </w:r>
      <w:r w:rsidRPr="0097660F">
        <w:rPr>
          <w:lang w:bidi="fa-IR"/>
        </w:rPr>
        <w:t>)</w:t>
      </w:r>
      <w:r>
        <w:rPr>
          <w:lang w:bidi="fa-IR"/>
        </w:rPr>
        <w:t xml:space="preserve"> using</w:t>
      </w:r>
      <w:r w:rsidRPr="0097660F">
        <w:rPr>
          <w:lang w:bidi="fa-IR"/>
        </w:rPr>
        <w:t xml:space="preserve"> WLC method</w:t>
      </w:r>
      <w:r>
        <w:rPr>
          <w:lang w:bidi="fa-IR"/>
        </w:rPr>
        <w:t>,</w:t>
      </w:r>
      <w:r w:rsidRPr="0097660F">
        <w:rPr>
          <w:lang w:bidi="fa-IR"/>
        </w:rPr>
        <w:t xml:space="preserve"> have low flood potential.</w:t>
      </w:r>
      <w:r w:rsidR="002A50B2" w:rsidRPr="002A50B2">
        <w:rPr>
          <w:lang w:bidi="fa-IR"/>
        </w:rPr>
        <w:t xml:space="preserve"> </w:t>
      </w:r>
      <w:r w:rsidR="002A50B2" w:rsidRPr="0097660F">
        <w:rPr>
          <w:lang w:bidi="fa-IR"/>
        </w:rPr>
        <w:t>The assessment of villages indicates that a significant number are highly vulnerable to flooding. According to the OWA model, 87 villages (70.</w:t>
      </w:r>
      <w:r w:rsidR="002A50B2">
        <w:rPr>
          <w:lang w:bidi="fa-IR"/>
        </w:rPr>
        <w:t>8</w:t>
      </w:r>
      <w:r w:rsidR="002A50B2" w:rsidRPr="0097660F">
        <w:rPr>
          <w:lang w:bidi="fa-IR"/>
        </w:rPr>
        <w:t>%) and according to the WLC model, 81 villages (65.9%) fall within the high and very high vulnerability classes. These findings highlight that a large portion of the rural population and infrastructure is at risk of floo</w:t>
      </w:r>
      <w:r w:rsidR="002A50B2">
        <w:rPr>
          <w:lang w:bidi="fa-IR"/>
        </w:rPr>
        <w:t>d damage.</w:t>
      </w:r>
    </w:p>
    <w:p w14:paraId="0CDEA5EB" w14:textId="3B44305A" w:rsidR="0097660F" w:rsidRPr="0097660F" w:rsidRDefault="00D644A6" w:rsidP="00D644A6">
      <w:pPr>
        <w:jc w:val="both"/>
        <w:rPr>
          <w:lang w:bidi="fa-IR"/>
        </w:rPr>
      </w:pPr>
      <w:r w:rsidRPr="00D644A6">
        <w:rPr>
          <w:lang w:bidi="fa-IR"/>
        </w:rPr>
        <w:t xml:space="preserve">Based on the results obtained, implementing preventive and management measures to reduce flood risks in the </w:t>
      </w:r>
      <w:proofErr w:type="spellStart"/>
      <w:r w:rsidRPr="00D644A6">
        <w:rPr>
          <w:lang w:bidi="fa-IR"/>
        </w:rPr>
        <w:t>Shevisheh</w:t>
      </w:r>
      <w:proofErr w:type="spellEnd"/>
      <w:r w:rsidRPr="00D644A6">
        <w:rPr>
          <w:lang w:bidi="fa-IR"/>
        </w:rPr>
        <w:t xml:space="preserve"> watershed is essential. First, it is recommended to establish early warning systems in high-risk areas and flood-prone villages to alert residents prior to flood events. Additionally, land-use management, including restricting construction along riverbanks and preserving existing vegetation cover, can help reduce surface runoff and increase soil infiltration. The construction of runoff control structures, such as channels, storage reservoirs, and levees, is also advised to manage surface flow and mitigate potential damage. Furthermore, educating the local community and raising awareness about safe practices during floods, along with planning for emergency evacuation and disaster management, is crucial. Implementing a combination of these measures can effectively reduce flood risk and enhance the resilience of both the watershed and the villages against future flood events.</w:t>
      </w:r>
    </w:p>
    <w:p w14:paraId="6B84FAE2" w14:textId="4CE957F3" w:rsidR="00BF00A5" w:rsidRPr="002C54D5" w:rsidRDefault="002C54D5" w:rsidP="002C54D5">
      <w:pPr>
        <w:jc w:val="both"/>
        <w:rPr>
          <w:rtl/>
          <w:lang w:bidi="fa-IR"/>
        </w:rPr>
      </w:pPr>
      <w:r w:rsidRPr="002C54D5">
        <w:rPr>
          <w:lang w:bidi="fa-IR"/>
        </w:rPr>
        <w:t xml:space="preserve">Nevertheless, this study is subject to several limitations. The most significant limitation is the lack of hydrological data and the absence of detailed hydrometric records, which restricted the calibration and </w:t>
      </w:r>
      <w:r w:rsidRPr="002C54D5">
        <w:rPr>
          <w:lang w:bidi="fa-IR"/>
        </w:rPr>
        <w:lastRenderedPageBreak/>
        <w:t>validation of the model results. In addition, from a methodological perspective, the outcomes of the WLC and OWA models are partly dependent on expert judgment in parameter selection, layer standardization, and criteria weighting using the AHP method, which may introduce uncertainty into the final outputs. Moreover, the static nature of the applied models does not fully capture temporal variations in rainfall, land-use changes, and hydrological conditions within the watershed. Therefore, future studies are recommended to incorporate more comprehensive hydrological datasets, dynamic modeling approaches, and field-based validation methods to improve the accuracy and reliability of flood susceptibility assessments.</w:t>
      </w:r>
    </w:p>
    <w:p w14:paraId="7699792F" w14:textId="77777777" w:rsidR="002C54D5" w:rsidRPr="005A1680" w:rsidRDefault="002C54D5" w:rsidP="002C54D5">
      <w:pPr>
        <w:bidi/>
        <w:jc w:val="right"/>
        <w:rPr>
          <w:sz w:val="20"/>
          <w:szCs w:val="20"/>
          <w:rtl/>
          <w:lang w:bidi="fa-IR"/>
        </w:rPr>
      </w:pPr>
    </w:p>
    <w:p w14:paraId="3FDC9142" w14:textId="77777777" w:rsidR="005A1680" w:rsidRPr="005A1680" w:rsidRDefault="005A1680" w:rsidP="005A1680">
      <w:pPr>
        <w:bidi/>
        <w:spacing w:line="259" w:lineRule="auto"/>
        <w:rPr>
          <w:rFonts w:ascii="Calibri" w:eastAsia="Calibri" w:hAnsi="Calibri" w:cs="Times New Roman"/>
          <w:kern w:val="2"/>
          <w:szCs w:val="20"/>
        </w:rPr>
      </w:pPr>
      <w:bookmarkStart w:id="0" w:name="_Hlk192511329"/>
      <w:bookmarkStart w:id="1" w:name="_Hlk187485061"/>
      <w:bookmarkStart w:id="2" w:name="_Hlk194655630"/>
      <w:bookmarkStart w:id="3" w:name="_Hlk209008097"/>
      <w:bookmarkStart w:id="4" w:name="_Hlk211597560"/>
    </w:p>
    <w:p w14:paraId="0BBD795B" w14:textId="59842612" w:rsidR="005A1680" w:rsidRPr="005A1680" w:rsidRDefault="005A1680" w:rsidP="005A1680">
      <w:pPr>
        <w:bidi/>
        <w:spacing w:line="259" w:lineRule="auto"/>
        <w:jc w:val="right"/>
        <w:rPr>
          <w:rFonts w:eastAsia="Times New Roman" w:cs="Times New Roman"/>
          <w:b/>
          <w:bCs/>
          <w:szCs w:val="20"/>
          <w14:ligatures w14:val="none"/>
        </w:rPr>
      </w:pPr>
      <w:bookmarkStart w:id="5" w:name="_Hlk204003461"/>
      <w:bookmarkStart w:id="6" w:name="_Hlk209007716"/>
      <w:bookmarkStart w:id="7" w:name="_GoBack"/>
      <w:bookmarkEnd w:id="0"/>
      <w:bookmarkEnd w:id="1"/>
      <w:bookmarkEnd w:id="2"/>
      <w:bookmarkEnd w:id="3"/>
      <w:bookmarkEnd w:id="7"/>
      <w:r w:rsidRPr="005A1680">
        <w:rPr>
          <w:rFonts w:eastAsia="Times New Roman" w:cs="Times New Roman"/>
          <w:b/>
          <w:bCs/>
          <w:szCs w:val="20"/>
          <w14:ligatures w14:val="none"/>
        </w:rPr>
        <w:t>Disclaimer (Artificial intelligence)</w:t>
      </w:r>
    </w:p>
    <w:bookmarkEnd w:id="4"/>
    <w:bookmarkEnd w:id="5"/>
    <w:bookmarkEnd w:id="6"/>
    <w:p w14:paraId="7EE54C81" w14:textId="77777777" w:rsidR="005A1680" w:rsidRPr="005A1680" w:rsidRDefault="005A1680" w:rsidP="005A1680">
      <w:pPr>
        <w:jc w:val="both"/>
        <w:rPr>
          <w:rFonts w:eastAsia="Times New Roman" w:cs="Times New Roman"/>
          <w:szCs w:val="20"/>
          <w14:ligatures w14:val="none"/>
        </w:rPr>
      </w:pPr>
      <w:r w:rsidRPr="005A1680">
        <w:rPr>
          <w:rFonts w:eastAsia="Times New Roman" w:cs="Times New Roman"/>
          <w:szCs w:val="20"/>
          <w14:ligatures w14:val="none"/>
        </w:rPr>
        <w:t xml:space="preserve">The author(s) hereby declare that no generative AI technologies, including large language models (such as </w:t>
      </w:r>
      <w:proofErr w:type="spellStart"/>
      <w:r w:rsidRPr="005A1680">
        <w:rPr>
          <w:rFonts w:eastAsia="Times New Roman" w:cs="Times New Roman"/>
          <w:szCs w:val="20"/>
          <w14:ligatures w14:val="none"/>
        </w:rPr>
        <w:t>ChatGPT</w:t>
      </w:r>
      <w:proofErr w:type="spellEnd"/>
      <w:r w:rsidRPr="005A1680">
        <w:rPr>
          <w:rFonts w:eastAsia="Times New Roman" w:cs="Times New Roman"/>
          <w:szCs w:val="20"/>
          <w14:ligatures w14:val="none"/>
        </w:rPr>
        <w:t>, COPILOT, etc.) or text-to-image generators, were used in the writing or editing of this manuscript."</w:t>
      </w:r>
    </w:p>
    <w:p w14:paraId="78CB0179" w14:textId="77777777" w:rsidR="002C54D5" w:rsidRDefault="002C54D5" w:rsidP="005A1680">
      <w:pPr>
        <w:bidi/>
        <w:jc w:val="right"/>
        <w:rPr>
          <w:rtl/>
          <w:lang w:bidi="fa-IR"/>
        </w:rPr>
      </w:pPr>
    </w:p>
    <w:p w14:paraId="50D89C07" w14:textId="77777777" w:rsidR="00C712BB" w:rsidRDefault="00C712BB" w:rsidP="00C712BB">
      <w:pPr>
        <w:bidi/>
        <w:jc w:val="right"/>
        <w:rPr>
          <w:rtl/>
        </w:rPr>
      </w:pPr>
    </w:p>
    <w:p w14:paraId="4479054E" w14:textId="77777777" w:rsidR="002C54D5" w:rsidRDefault="002C54D5" w:rsidP="002C54D5">
      <w:pPr>
        <w:bidi/>
        <w:jc w:val="right"/>
        <w:rPr>
          <w:lang w:bidi="fa-IR"/>
        </w:rPr>
      </w:pPr>
    </w:p>
    <w:p w14:paraId="20E6A232" w14:textId="77777777" w:rsidR="00C712BB" w:rsidRDefault="00C712BB" w:rsidP="00C712BB">
      <w:pPr>
        <w:bidi/>
        <w:jc w:val="right"/>
        <w:rPr>
          <w:lang w:bidi="fa-IR"/>
        </w:rPr>
      </w:pPr>
    </w:p>
    <w:p w14:paraId="13B6C24D" w14:textId="44240BB0" w:rsidR="00C712BB" w:rsidRPr="00547235" w:rsidRDefault="00547235" w:rsidP="00547235">
      <w:pPr>
        <w:jc w:val="both"/>
        <w:rPr>
          <w:b/>
          <w:bCs/>
          <w:lang w:bidi="fa-IR"/>
        </w:rPr>
      </w:pPr>
      <w:r w:rsidRPr="00547235">
        <w:rPr>
          <w:b/>
          <w:bCs/>
          <w:lang w:bidi="fa-IR"/>
        </w:rPr>
        <w:t>Reference</w:t>
      </w:r>
    </w:p>
    <w:p w14:paraId="205D8A9E" w14:textId="77777777" w:rsidR="00F87617" w:rsidRDefault="00F87617" w:rsidP="00DF4E1B">
      <w:pPr>
        <w:pStyle w:val="ListParagraph"/>
        <w:numPr>
          <w:ilvl w:val="0"/>
          <w:numId w:val="46"/>
        </w:numPr>
        <w:jc w:val="both"/>
        <w:rPr>
          <w:lang w:bidi="fa-IR"/>
        </w:rPr>
      </w:pPr>
      <w:proofErr w:type="spellStart"/>
      <w:r w:rsidRPr="00553BA5">
        <w:rPr>
          <w:lang w:bidi="fa-IR"/>
        </w:rPr>
        <w:t>Abedini</w:t>
      </w:r>
      <w:proofErr w:type="spellEnd"/>
      <w:r w:rsidRPr="00553BA5">
        <w:rPr>
          <w:lang w:bidi="fa-IR"/>
        </w:rPr>
        <w:t xml:space="preserve">, M., &amp; </w:t>
      </w:r>
      <w:proofErr w:type="spellStart"/>
      <w:r w:rsidRPr="00553BA5">
        <w:rPr>
          <w:lang w:bidi="fa-IR"/>
        </w:rPr>
        <w:t>Sardashti</w:t>
      </w:r>
      <w:proofErr w:type="spellEnd"/>
      <w:r w:rsidRPr="00553BA5">
        <w:rPr>
          <w:lang w:bidi="fa-IR"/>
        </w:rPr>
        <w:t xml:space="preserve">, M. (2025). Flood Management Map Using New Random Forest Algorithm and Geographic Information System: Case Study: </w:t>
      </w:r>
      <w:proofErr w:type="spellStart"/>
      <w:r w:rsidRPr="00553BA5">
        <w:rPr>
          <w:lang w:bidi="fa-IR"/>
        </w:rPr>
        <w:t>Kandovan-Chalus</w:t>
      </w:r>
      <w:proofErr w:type="spellEnd"/>
      <w:r w:rsidRPr="00553BA5">
        <w:rPr>
          <w:lang w:bidi="fa-IR"/>
        </w:rPr>
        <w:t xml:space="preserve"> Axis. Journal of Hydrogeomorphology, 12(43), 33-17. </w:t>
      </w:r>
      <w:hyperlink r:id="rId19" w:history="1">
        <w:r w:rsidRPr="00004101">
          <w:rPr>
            <w:rStyle w:val="Hyperlink"/>
            <w:lang w:bidi="fa-IR"/>
          </w:rPr>
          <w:t>https://doi.org/10.22034/hyd.2025.63601.1758</w:t>
        </w:r>
      </w:hyperlink>
      <w:r>
        <w:rPr>
          <w:lang w:bidi="fa-IR"/>
        </w:rPr>
        <w:t xml:space="preserve"> </w:t>
      </w:r>
    </w:p>
    <w:p w14:paraId="3F9B80C7" w14:textId="77777777" w:rsidR="00F87617" w:rsidRDefault="00F87617" w:rsidP="00DF4E1B">
      <w:pPr>
        <w:pStyle w:val="ListParagraph"/>
        <w:numPr>
          <w:ilvl w:val="0"/>
          <w:numId w:val="46"/>
        </w:numPr>
        <w:tabs>
          <w:tab w:val="left" w:pos="7296"/>
        </w:tabs>
        <w:jc w:val="both"/>
        <w:rPr>
          <w:lang w:bidi="fa-IR"/>
        </w:rPr>
      </w:pPr>
      <w:proofErr w:type="spellStart"/>
      <w:r w:rsidRPr="00553BA5">
        <w:rPr>
          <w:lang w:bidi="fa-IR"/>
        </w:rPr>
        <w:t>Alharbi</w:t>
      </w:r>
      <w:proofErr w:type="spellEnd"/>
      <w:r w:rsidRPr="00553BA5">
        <w:rPr>
          <w:lang w:bidi="fa-IR"/>
        </w:rPr>
        <w:t xml:space="preserve">, T. (2023). Mapping of groundwater, flood, and drought potential zones in Neom, Saudi Arabia, using GIS and remote sensing techniques. *Water*, *15*(5), 966. </w:t>
      </w:r>
      <w:hyperlink r:id="rId20" w:history="1">
        <w:r w:rsidRPr="00004101">
          <w:rPr>
            <w:rStyle w:val="Hyperlink"/>
            <w:lang w:bidi="fa-IR"/>
          </w:rPr>
          <w:t>https://doi.org/10.3390/w15050966</w:t>
        </w:r>
      </w:hyperlink>
      <w:r>
        <w:rPr>
          <w:lang w:bidi="fa-IR"/>
        </w:rPr>
        <w:t xml:space="preserve"> </w:t>
      </w:r>
    </w:p>
    <w:p w14:paraId="4BA820AB" w14:textId="77777777" w:rsidR="00F87617" w:rsidRDefault="00F87617" w:rsidP="00DF4E1B">
      <w:pPr>
        <w:pStyle w:val="ListParagraph"/>
        <w:numPr>
          <w:ilvl w:val="0"/>
          <w:numId w:val="46"/>
        </w:numPr>
        <w:jc w:val="both"/>
        <w:rPr>
          <w:lang w:bidi="fa-IR"/>
        </w:rPr>
      </w:pPr>
      <w:r w:rsidRPr="00553BA5">
        <w:rPr>
          <w:lang w:bidi="fa-IR"/>
        </w:rPr>
        <w:t xml:space="preserve">Amani, K., Hosseini, S. M., Yamani, M., &amp; </w:t>
      </w:r>
      <w:proofErr w:type="spellStart"/>
      <w:r w:rsidRPr="00553BA5">
        <w:rPr>
          <w:lang w:bidi="fa-IR"/>
        </w:rPr>
        <w:t>Maghsoudi</w:t>
      </w:r>
      <w:proofErr w:type="spellEnd"/>
      <w:r w:rsidRPr="00553BA5">
        <w:rPr>
          <w:lang w:bidi="fa-IR"/>
        </w:rPr>
        <w:t xml:space="preserve">, M. (2025). Identification of Flood-Prone Areas in the </w:t>
      </w:r>
      <w:proofErr w:type="spellStart"/>
      <w:r w:rsidRPr="00553BA5">
        <w:rPr>
          <w:lang w:bidi="fa-IR"/>
        </w:rPr>
        <w:t>Sefidrud</w:t>
      </w:r>
      <w:proofErr w:type="spellEnd"/>
      <w:r w:rsidRPr="00553BA5">
        <w:rPr>
          <w:lang w:bidi="fa-IR"/>
        </w:rPr>
        <w:t xml:space="preserve"> River Basin Using Remote Sensing-Based Hydraulic Models and Geomorphological Evidences. Hydrogeomorphology </w:t>
      </w:r>
      <w:hyperlink r:id="rId21" w:history="1">
        <w:r w:rsidRPr="00004101">
          <w:rPr>
            <w:rStyle w:val="Hyperlink"/>
            <w:lang w:bidi="fa-IR"/>
          </w:rPr>
          <w:t>https://doi.org/10.22034/hyd.2025.64251.1762</w:t>
        </w:r>
      </w:hyperlink>
      <w:r>
        <w:rPr>
          <w:lang w:bidi="fa-IR"/>
        </w:rPr>
        <w:t xml:space="preserve"> </w:t>
      </w:r>
    </w:p>
    <w:p w14:paraId="0BFA19D0" w14:textId="77777777" w:rsidR="00F87617" w:rsidRDefault="00F87617" w:rsidP="00DF4E1B">
      <w:pPr>
        <w:pStyle w:val="ListParagraph"/>
        <w:numPr>
          <w:ilvl w:val="0"/>
          <w:numId w:val="46"/>
        </w:numPr>
        <w:jc w:val="both"/>
        <w:rPr>
          <w:lang w:bidi="fa-IR"/>
        </w:rPr>
      </w:pPr>
      <w:r w:rsidRPr="00553BA5">
        <w:rPr>
          <w:lang w:bidi="fa-IR"/>
        </w:rPr>
        <w:t>Berthelot, J.-S., Saint-Laurent, D., Gervais-</w:t>
      </w:r>
      <w:proofErr w:type="spellStart"/>
      <w:r w:rsidRPr="00553BA5">
        <w:rPr>
          <w:lang w:bidi="fa-IR"/>
        </w:rPr>
        <w:t>Beaulac</w:t>
      </w:r>
      <w:proofErr w:type="spellEnd"/>
      <w:r w:rsidRPr="00553BA5">
        <w:rPr>
          <w:lang w:bidi="fa-IR"/>
        </w:rPr>
        <w:t xml:space="preserve">, V., &amp; </w:t>
      </w:r>
      <w:proofErr w:type="spellStart"/>
      <w:r w:rsidRPr="00553BA5">
        <w:rPr>
          <w:lang w:bidi="fa-IR"/>
        </w:rPr>
        <w:t>Savoie</w:t>
      </w:r>
      <w:proofErr w:type="spellEnd"/>
      <w:r w:rsidRPr="00553BA5">
        <w:rPr>
          <w:lang w:bidi="fa-IR"/>
        </w:rPr>
        <w:t xml:space="preserve">, D. (2014). Assessing the Effects of Periodic Flooding on the Population Structure and Recruitment Rates of Riparian Tree Forests. Water, 6(9), 2614-2633. </w:t>
      </w:r>
      <w:hyperlink r:id="rId22" w:history="1">
        <w:r w:rsidRPr="00004101">
          <w:rPr>
            <w:rStyle w:val="Hyperlink"/>
            <w:lang w:bidi="fa-IR"/>
          </w:rPr>
          <w:t>https://doi.org/10.3390/w6092614</w:t>
        </w:r>
      </w:hyperlink>
      <w:r>
        <w:rPr>
          <w:lang w:bidi="fa-IR"/>
        </w:rPr>
        <w:t xml:space="preserve"> </w:t>
      </w:r>
    </w:p>
    <w:p w14:paraId="14BD044D" w14:textId="77777777" w:rsidR="00F87617" w:rsidRDefault="00F87617" w:rsidP="00DF4E1B">
      <w:pPr>
        <w:pStyle w:val="ListParagraph"/>
        <w:numPr>
          <w:ilvl w:val="0"/>
          <w:numId w:val="46"/>
        </w:numPr>
        <w:tabs>
          <w:tab w:val="left" w:pos="284"/>
          <w:tab w:val="left" w:pos="426"/>
        </w:tabs>
        <w:ind w:right="-2"/>
        <w:jc w:val="both"/>
      </w:pPr>
      <w:r w:rsidRPr="00553BA5">
        <w:rPr>
          <w:lang w:bidi="fa-IR"/>
        </w:rPr>
        <w:t xml:space="preserve">Chen, N., Yao, S., Wang, C., &amp; Du, W. (2019). A method for urban flood risk assessment and zoning considering road environments and terrain. Sustainability, 11(10), 2734. </w:t>
      </w:r>
      <w:hyperlink r:id="rId23" w:history="1">
        <w:r w:rsidRPr="00004101">
          <w:rPr>
            <w:rStyle w:val="Hyperlink"/>
            <w:lang w:bidi="fa-IR"/>
          </w:rPr>
          <w:t>https://doi.org/10.3390/su11102734</w:t>
        </w:r>
      </w:hyperlink>
    </w:p>
    <w:p w14:paraId="325AB93E" w14:textId="77777777" w:rsidR="00F87617" w:rsidRDefault="00F87617" w:rsidP="00DF4E1B">
      <w:pPr>
        <w:pStyle w:val="ListParagraph"/>
        <w:numPr>
          <w:ilvl w:val="0"/>
          <w:numId w:val="46"/>
        </w:numPr>
        <w:jc w:val="both"/>
        <w:rPr>
          <w:lang w:bidi="fa-IR"/>
        </w:rPr>
      </w:pPr>
      <w:r w:rsidRPr="00553BA5">
        <w:t xml:space="preserve">Chen, Y. (2022). Flood hazard zone mapping incorporating geographic information system (GIS) and multi-criteria analysis (MCA) techniques. Journal of Hydrology. </w:t>
      </w:r>
      <w:hyperlink r:id="rId24" w:history="1">
        <w:r w:rsidRPr="00004101">
          <w:rPr>
            <w:rStyle w:val="Hyperlink"/>
          </w:rPr>
          <w:t>https://doi.org/10.1016/j.jhydrol.2022.128268</w:t>
        </w:r>
      </w:hyperlink>
      <w:r>
        <w:t xml:space="preserve"> </w:t>
      </w:r>
    </w:p>
    <w:p w14:paraId="5D814CFF" w14:textId="77777777" w:rsidR="00F87617" w:rsidRDefault="00F87617" w:rsidP="00DF4E1B">
      <w:pPr>
        <w:pStyle w:val="ListParagraph"/>
        <w:numPr>
          <w:ilvl w:val="0"/>
          <w:numId w:val="46"/>
        </w:numPr>
        <w:tabs>
          <w:tab w:val="left" w:pos="7296"/>
        </w:tabs>
        <w:jc w:val="both"/>
        <w:rPr>
          <w:lang w:bidi="fa-IR"/>
        </w:rPr>
      </w:pPr>
      <w:r w:rsidRPr="00553BA5">
        <w:rPr>
          <w:lang w:bidi="fa-IR"/>
        </w:rPr>
        <w:t xml:space="preserve">Chen, Y., Ye, Z., Liu, H., Chen, R., Liu, Z., &amp; Liu, H. (2021). A GIS-Based Approach for Flood Risk Zoning by Combining Social Vulnerability and Flood Susceptibility: A Case Study of Nanjing, China. International Journal of Environmental Research and Public Health </w:t>
      </w:r>
      <w:hyperlink r:id="rId25" w:history="1">
        <w:r w:rsidRPr="00004101">
          <w:rPr>
            <w:rStyle w:val="Hyperlink"/>
            <w:lang w:bidi="fa-IR"/>
          </w:rPr>
          <w:t>https://doi.org/10.3390/ijerph182111597</w:t>
        </w:r>
      </w:hyperlink>
    </w:p>
    <w:p w14:paraId="4473CBCC" w14:textId="77777777" w:rsidR="00F87617" w:rsidRPr="00FB1C9E" w:rsidRDefault="00F87617" w:rsidP="00FB1C9E">
      <w:pPr>
        <w:pStyle w:val="ListParagraph"/>
        <w:numPr>
          <w:ilvl w:val="0"/>
          <w:numId w:val="46"/>
        </w:numPr>
        <w:jc w:val="both"/>
        <w:rPr>
          <w:lang w:bidi="fa-IR"/>
        </w:rPr>
      </w:pPr>
      <w:r w:rsidRPr="00FB1C9E">
        <w:rPr>
          <w:lang w:val="en-IN" w:bidi="fa-IR"/>
        </w:rPr>
        <w:t>Dung</w:t>
      </w:r>
      <w:r>
        <w:rPr>
          <w:lang w:bidi="fa-IR"/>
        </w:rPr>
        <w:t>,</w:t>
      </w:r>
      <w:r w:rsidRPr="00FB1C9E">
        <w:rPr>
          <w:lang w:val="en-IN" w:bidi="fa-IR"/>
        </w:rPr>
        <w:t xml:space="preserve"> N.B., Long, N.Q., Goyal, R., An, D.T., &amp; Minh, D.T. (2022). The role of factors affecting flood hazard zoning using analytical hierarchy process: a review. </w:t>
      </w:r>
      <w:r w:rsidRPr="00FB1C9E">
        <w:rPr>
          <w:i/>
          <w:iCs/>
          <w:lang w:val="en-IN" w:bidi="fa-IR"/>
        </w:rPr>
        <w:t>Earth Systems and Environment</w:t>
      </w:r>
      <w:r w:rsidRPr="00FB1C9E">
        <w:rPr>
          <w:lang w:val="en-IN" w:bidi="fa-IR"/>
        </w:rPr>
        <w:t xml:space="preserve">. 6(3), 697-713. </w:t>
      </w:r>
      <w:hyperlink r:id="rId26" w:history="1">
        <w:r w:rsidRPr="002661BA">
          <w:rPr>
            <w:rStyle w:val="Hyperlink"/>
            <w:lang w:val="en-IN" w:bidi="fa-IR"/>
          </w:rPr>
          <w:t>https://doi.org/10.1007/s41748-021-00235-4</w:t>
        </w:r>
      </w:hyperlink>
    </w:p>
    <w:p w14:paraId="295E1FF0" w14:textId="77777777" w:rsidR="00F87617" w:rsidRDefault="00F87617" w:rsidP="00DF4E1B">
      <w:pPr>
        <w:pStyle w:val="ListParagraph"/>
        <w:numPr>
          <w:ilvl w:val="0"/>
          <w:numId w:val="46"/>
        </w:numPr>
        <w:tabs>
          <w:tab w:val="left" w:pos="7296"/>
        </w:tabs>
        <w:jc w:val="both"/>
        <w:rPr>
          <w:lang w:bidi="fa-IR"/>
        </w:rPr>
      </w:pPr>
      <w:proofErr w:type="spellStart"/>
      <w:r w:rsidRPr="00553BA5">
        <w:rPr>
          <w:lang w:bidi="fa-IR"/>
        </w:rPr>
        <w:t>Faraji</w:t>
      </w:r>
      <w:proofErr w:type="spellEnd"/>
      <w:r w:rsidRPr="00553BA5">
        <w:rPr>
          <w:lang w:bidi="fa-IR"/>
        </w:rPr>
        <w:t xml:space="preserve"> </w:t>
      </w:r>
      <w:proofErr w:type="spellStart"/>
      <w:r w:rsidRPr="00553BA5">
        <w:rPr>
          <w:lang w:bidi="fa-IR"/>
        </w:rPr>
        <w:t>Mondared</w:t>
      </w:r>
      <w:proofErr w:type="spellEnd"/>
      <w:r w:rsidRPr="00553BA5">
        <w:rPr>
          <w:lang w:bidi="fa-IR"/>
        </w:rPr>
        <w:t xml:space="preserve">, A., </w:t>
      </w:r>
      <w:proofErr w:type="spellStart"/>
      <w:r w:rsidRPr="00553BA5">
        <w:rPr>
          <w:lang w:bidi="fa-IR"/>
        </w:rPr>
        <w:t>Roostaei</w:t>
      </w:r>
      <w:proofErr w:type="spellEnd"/>
      <w:r w:rsidRPr="00553BA5">
        <w:rPr>
          <w:lang w:bidi="fa-IR"/>
        </w:rPr>
        <w:t xml:space="preserve">, S., &amp; Mokhtari, D. (2023). Location of human phenomena in geographical space in the flood zone (case study of </w:t>
      </w:r>
      <w:proofErr w:type="spellStart"/>
      <w:r w:rsidRPr="00553BA5">
        <w:rPr>
          <w:lang w:bidi="fa-IR"/>
        </w:rPr>
        <w:t>Pardisan</w:t>
      </w:r>
      <w:proofErr w:type="spellEnd"/>
      <w:r w:rsidRPr="00553BA5">
        <w:rPr>
          <w:lang w:bidi="fa-IR"/>
        </w:rPr>
        <w:t xml:space="preserve"> region of Qom). Journal of Hydrogeomorphology, 9(33), 59-37. </w:t>
      </w:r>
      <w:hyperlink r:id="rId27" w:history="1">
        <w:r w:rsidRPr="00004101">
          <w:rPr>
            <w:rStyle w:val="Hyperlink"/>
            <w:lang w:bidi="fa-IR"/>
          </w:rPr>
          <w:t>https://doi.org/10.22034/hyd.2022.51769.1642</w:t>
        </w:r>
      </w:hyperlink>
      <w:r>
        <w:rPr>
          <w:lang w:bidi="fa-IR"/>
        </w:rPr>
        <w:t xml:space="preserve"> </w:t>
      </w:r>
    </w:p>
    <w:p w14:paraId="1AFBF0F6" w14:textId="77777777" w:rsidR="00F87617" w:rsidRDefault="00F87617" w:rsidP="00DF4E1B">
      <w:pPr>
        <w:pStyle w:val="ListParagraph"/>
        <w:numPr>
          <w:ilvl w:val="0"/>
          <w:numId w:val="46"/>
        </w:numPr>
        <w:tabs>
          <w:tab w:val="left" w:pos="7296"/>
        </w:tabs>
        <w:jc w:val="both"/>
        <w:rPr>
          <w:lang w:bidi="fa-IR"/>
        </w:rPr>
      </w:pPr>
      <w:proofErr w:type="spellStart"/>
      <w:r w:rsidRPr="00553BA5">
        <w:rPr>
          <w:lang w:bidi="fa-IR"/>
        </w:rPr>
        <w:t>Ganjaeian</w:t>
      </w:r>
      <w:proofErr w:type="spellEnd"/>
      <w:r w:rsidRPr="00553BA5">
        <w:rPr>
          <w:lang w:bidi="fa-IR"/>
        </w:rPr>
        <w:t xml:space="preserve">, H. (2020). Geomorphological hazards of urban areas, study methods and control strategies. </w:t>
      </w:r>
      <w:proofErr w:type="spellStart"/>
      <w:r w:rsidRPr="00553BA5">
        <w:rPr>
          <w:lang w:bidi="fa-IR"/>
        </w:rPr>
        <w:t>Entekhab</w:t>
      </w:r>
      <w:proofErr w:type="spellEnd"/>
      <w:r w:rsidRPr="00553BA5">
        <w:rPr>
          <w:lang w:bidi="fa-IR"/>
        </w:rPr>
        <w:t xml:space="preserve"> Publication. </w:t>
      </w:r>
      <w:hyperlink r:id="rId28" w:history="1">
        <w:r w:rsidRPr="00004101">
          <w:rPr>
            <w:rStyle w:val="Hyperlink"/>
            <w:lang w:bidi="fa-IR"/>
          </w:rPr>
          <w:t>https://www.gisoom.com/book/11628118</w:t>
        </w:r>
      </w:hyperlink>
    </w:p>
    <w:p w14:paraId="4E57DEBD" w14:textId="77777777" w:rsidR="00F87617" w:rsidRDefault="00F87617" w:rsidP="00DF4E1B">
      <w:pPr>
        <w:pStyle w:val="ListParagraph"/>
        <w:numPr>
          <w:ilvl w:val="0"/>
          <w:numId w:val="46"/>
        </w:numPr>
        <w:tabs>
          <w:tab w:val="left" w:pos="7296"/>
        </w:tabs>
        <w:jc w:val="both"/>
        <w:rPr>
          <w:lang w:bidi="fa-IR"/>
        </w:rPr>
      </w:pPr>
      <w:proofErr w:type="spellStart"/>
      <w:r w:rsidRPr="00553BA5">
        <w:rPr>
          <w:lang w:bidi="fa-IR"/>
        </w:rPr>
        <w:t>Ganjaeian</w:t>
      </w:r>
      <w:proofErr w:type="spellEnd"/>
      <w:r w:rsidRPr="00553BA5">
        <w:rPr>
          <w:lang w:bidi="fa-IR"/>
        </w:rPr>
        <w:t xml:space="preserve">, H., Hosseini, S. J., </w:t>
      </w:r>
      <w:proofErr w:type="spellStart"/>
      <w:r w:rsidRPr="00553BA5">
        <w:rPr>
          <w:lang w:bidi="fa-IR"/>
        </w:rPr>
        <w:t>Azeredo</w:t>
      </w:r>
      <w:proofErr w:type="spellEnd"/>
      <w:r w:rsidRPr="00553BA5">
        <w:rPr>
          <w:lang w:bidi="fa-IR"/>
        </w:rPr>
        <w:t xml:space="preserve">, G. A., Ebrahimi, A., </w:t>
      </w:r>
      <w:proofErr w:type="spellStart"/>
      <w:r w:rsidRPr="00553BA5">
        <w:rPr>
          <w:lang w:bidi="fa-IR"/>
        </w:rPr>
        <w:t>Shahjamali</w:t>
      </w:r>
      <w:proofErr w:type="spellEnd"/>
      <w:r w:rsidRPr="00553BA5">
        <w:rPr>
          <w:lang w:bidi="fa-IR"/>
        </w:rPr>
        <w:t xml:space="preserve">, M., &amp; </w:t>
      </w:r>
      <w:proofErr w:type="spellStart"/>
      <w:r w:rsidRPr="00553BA5">
        <w:rPr>
          <w:lang w:bidi="fa-IR"/>
        </w:rPr>
        <w:t>Akbarian</w:t>
      </w:r>
      <w:proofErr w:type="spellEnd"/>
      <w:r w:rsidRPr="00553BA5">
        <w:rPr>
          <w:lang w:bidi="fa-IR"/>
        </w:rPr>
        <w:t xml:space="preserve">, M. (2025). Assessment of the physical development trends of residential areas in natural hazard-prone regions of Kurdistan Province, Western Iran. Journal of Geography, Environment and Earth Science International, 29(11), 220–239. </w:t>
      </w:r>
      <w:hyperlink r:id="rId29" w:history="1">
        <w:r w:rsidRPr="00004101">
          <w:rPr>
            <w:rStyle w:val="Hyperlink"/>
            <w:lang w:bidi="fa-IR"/>
          </w:rPr>
          <w:t>https://doi.org/10.9734/jgeesi/2025/v29i11977</w:t>
        </w:r>
      </w:hyperlink>
    </w:p>
    <w:p w14:paraId="1C08DC8B" w14:textId="77777777" w:rsidR="00F87617" w:rsidRDefault="00F87617" w:rsidP="00DF4E1B">
      <w:pPr>
        <w:pStyle w:val="ListParagraph"/>
        <w:numPr>
          <w:ilvl w:val="0"/>
          <w:numId w:val="46"/>
        </w:numPr>
        <w:tabs>
          <w:tab w:val="left" w:pos="7296"/>
        </w:tabs>
        <w:jc w:val="both"/>
        <w:rPr>
          <w:lang w:bidi="fa-IR"/>
        </w:rPr>
      </w:pPr>
      <w:proofErr w:type="spellStart"/>
      <w:r w:rsidRPr="00EF6272">
        <w:rPr>
          <w:lang w:bidi="fa-IR"/>
        </w:rPr>
        <w:lastRenderedPageBreak/>
        <w:t>Ganjaeian</w:t>
      </w:r>
      <w:proofErr w:type="spellEnd"/>
      <w:r w:rsidRPr="00EF6272">
        <w:rPr>
          <w:lang w:bidi="fa-IR"/>
        </w:rPr>
        <w:t xml:space="preserve">, H., Hosseini, S. J., Hamidi </w:t>
      </w:r>
      <w:proofErr w:type="spellStart"/>
      <w:r w:rsidRPr="00EF6272">
        <w:rPr>
          <w:lang w:bidi="fa-IR"/>
        </w:rPr>
        <w:t>Kermanshahi</w:t>
      </w:r>
      <w:proofErr w:type="spellEnd"/>
      <w:r w:rsidRPr="00EF6272">
        <w:rPr>
          <w:lang w:bidi="fa-IR"/>
        </w:rPr>
        <w:t xml:space="preserve">, H., </w:t>
      </w:r>
      <w:proofErr w:type="spellStart"/>
      <w:r w:rsidRPr="00EF6272">
        <w:rPr>
          <w:lang w:bidi="fa-IR"/>
        </w:rPr>
        <w:t>Shahjamali</w:t>
      </w:r>
      <w:proofErr w:type="spellEnd"/>
      <w:r w:rsidRPr="00EF6272">
        <w:rPr>
          <w:lang w:bidi="fa-IR"/>
        </w:rPr>
        <w:t xml:space="preserve">, M., </w:t>
      </w:r>
      <w:proofErr w:type="spellStart"/>
      <w:r w:rsidRPr="00EF6272">
        <w:rPr>
          <w:lang w:bidi="fa-IR"/>
        </w:rPr>
        <w:t>Mirakhorli</w:t>
      </w:r>
      <w:proofErr w:type="spellEnd"/>
      <w:r w:rsidRPr="00EF6272">
        <w:rPr>
          <w:lang w:bidi="fa-IR"/>
        </w:rPr>
        <w:t xml:space="preserve">, A., &amp; </w:t>
      </w:r>
      <w:proofErr w:type="spellStart"/>
      <w:r w:rsidRPr="00EF6272">
        <w:rPr>
          <w:lang w:bidi="fa-IR"/>
        </w:rPr>
        <w:t>Zahabnazouri</w:t>
      </w:r>
      <w:proofErr w:type="spellEnd"/>
      <w:r w:rsidRPr="00EF6272">
        <w:rPr>
          <w:lang w:bidi="fa-IR"/>
        </w:rPr>
        <w:t xml:space="preserve">, S. (2025). Geospatial assessment of suitable areas for residential development along the </w:t>
      </w:r>
      <w:proofErr w:type="spellStart"/>
      <w:r w:rsidRPr="00EF6272">
        <w:rPr>
          <w:lang w:bidi="fa-IR"/>
        </w:rPr>
        <w:t>Makran</w:t>
      </w:r>
      <w:proofErr w:type="spellEnd"/>
      <w:r w:rsidRPr="00EF6272">
        <w:rPr>
          <w:lang w:bidi="fa-IR"/>
        </w:rPr>
        <w:t xml:space="preserve"> coastal strip, Southern Iran. Asian Journal of Geographical Research, 8(4), 247–264. </w:t>
      </w:r>
      <w:hyperlink r:id="rId30" w:history="1">
        <w:r w:rsidRPr="00004101">
          <w:rPr>
            <w:rStyle w:val="Hyperlink"/>
            <w:lang w:bidi="fa-IR"/>
          </w:rPr>
          <w:t>https://doi.org/10.9734/ajgr/2025/v8i4333</w:t>
        </w:r>
      </w:hyperlink>
      <w:r>
        <w:rPr>
          <w:lang w:bidi="fa-IR"/>
        </w:rPr>
        <w:t xml:space="preserve"> </w:t>
      </w:r>
    </w:p>
    <w:p w14:paraId="1B0178D8" w14:textId="77777777" w:rsidR="00F87617" w:rsidRDefault="00F87617" w:rsidP="00DF4E1B">
      <w:pPr>
        <w:pStyle w:val="ListParagraph"/>
        <w:numPr>
          <w:ilvl w:val="0"/>
          <w:numId w:val="46"/>
        </w:numPr>
        <w:tabs>
          <w:tab w:val="left" w:pos="7296"/>
        </w:tabs>
        <w:jc w:val="both"/>
        <w:rPr>
          <w:lang w:bidi="fa-IR"/>
        </w:rPr>
      </w:pPr>
      <w:proofErr w:type="spellStart"/>
      <w:r w:rsidRPr="00EF6272">
        <w:rPr>
          <w:lang w:bidi="fa-IR"/>
        </w:rPr>
        <w:t>Ganjaeian</w:t>
      </w:r>
      <w:proofErr w:type="spellEnd"/>
      <w:r w:rsidRPr="00EF6272">
        <w:rPr>
          <w:lang w:bidi="fa-IR"/>
        </w:rPr>
        <w:t xml:space="preserve">, H., </w:t>
      </w:r>
      <w:proofErr w:type="spellStart"/>
      <w:r w:rsidRPr="00EF6272">
        <w:rPr>
          <w:lang w:bidi="fa-IR"/>
        </w:rPr>
        <w:t>Nosrati</w:t>
      </w:r>
      <w:proofErr w:type="spellEnd"/>
      <w:r w:rsidRPr="00EF6272">
        <w:rPr>
          <w:lang w:bidi="fa-IR"/>
        </w:rPr>
        <w:t xml:space="preserve">, M., Ebrahimi, A., &amp; </w:t>
      </w:r>
      <w:proofErr w:type="spellStart"/>
      <w:r w:rsidRPr="00EF6272">
        <w:rPr>
          <w:lang w:bidi="fa-IR"/>
        </w:rPr>
        <w:t>Ghisarian</w:t>
      </w:r>
      <w:proofErr w:type="spellEnd"/>
      <w:r w:rsidRPr="00EF6272">
        <w:rPr>
          <w:lang w:bidi="fa-IR"/>
        </w:rPr>
        <w:t xml:space="preserve">, S. S. (2024). Assessing the vulnerability of rural areas against natural hazards (Case study: Villages of </w:t>
      </w:r>
      <w:proofErr w:type="spellStart"/>
      <w:r w:rsidRPr="00EF6272">
        <w:rPr>
          <w:lang w:bidi="fa-IR"/>
        </w:rPr>
        <w:t>Oraman</w:t>
      </w:r>
      <w:proofErr w:type="spellEnd"/>
      <w:r w:rsidRPr="00EF6272">
        <w:rPr>
          <w:lang w:bidi="fa-IR"/>
        </w:rPr>
        <w:t xml:space="preserve"> Region). Journal of Environmental Research in Mountainous Regions, 1(2), 57–70. </w:t>
      </w:r>
      <w:hyperlink r:id="rId31" w:history="1">
        <w:r w:rsidRPr="00004101">
          <w:rPr>
            <w:rStyle w:val="Hyperlink"/>
            <w:lang w:bidi="fa-IR"/>
          </w:rPr>
          <w:t>https://doi.org/10.22034/ermr.2024.63510</w:t>
        </w:r>
      </w:hyperlink>
      <w:r>
        <w:rPr>
          <w:lang w:bidi="fa-IR"/>
        </w:rPr>
        <w:t xml:space="preserve"> </w:t>
      </w:r>
    </w:p>
    <w:p w14:paraId="2285C0BA" w14:textId="77777777" w:rsidR="00F87617" w:rsidRDefault="00F87617" w:rsidP="00DF4E1B">
      <w:pPr>
        <w:pStyle w:val="ListParagraph"/>
        <w:numPr>
          <w:ilvl w:val="0"/>
          <w:numId w:val="46"/>
        </w:numPr>
        <w:jc w:val="both"/>
        <w:rPr>
          <w:lang w:bidi="fa-IR"/>
        </w:rPr>
      </w:pPr>
      <w:proofErr w:type="spellStart"/>
      <w:r w:rsidRPr="00EF6272">
        <w:rPr>
          <w:lang w:bidi="fa-IR"/>
        </w:rPr>
        <w:t>Ganjaeian</w:t>
      </w:r>
      <w:proofErr w:type="spellEnd"/>
      <w:r w:rsidRPr="00EF6272">
        <w:rPr>
          <w:lang w:bidi="fa-IR"/>
        </w:rPr>
        <w:t xml:space="preserve">, H., Rezaei </w:t>
      </w:r>
      <w:proofErr w:type="spellStart"/>
      <w:r w:rsidRPr="00EF6272">
        <w:rPr>
          <w:lang w:bidi="fa-IR"/>
        </w:rPr>
        <w:t>Arefi</w:t>
      </w:r>
      <w:proofErr w:type="spellEnd"/>
      <w:r w:rsidRPr="00EF6272">
        <w:rPr>
          <w:lang w:bidi="fa-IR"/>
        </w:rPr>
        <w:t xml:space="preserve">, M., </w:t>
      </w:r>
      <w:proofErr w:type="spellStart"/>
      <w:r w:rsidRPr="00EF6272">
        <w:rPr>
          <w:lang w:bidi="fa-IR"/>
        </w:rPr>
        <w:t>Peysoozi</w:t>
      </w:r>
      <w:proofErr w:type="spellEnd"/>
      <w:r w:rsidRPr="00EF6272">
        <w:rPr>
          <w:lang w:bidi="fa-IR"/>
        </w:rPr>
        <w:t xml:space="preserve">, T., &amp; </w:t>
      </w:r>
      <w:proofErr w:type="spellStart"/>
      <w:r w:rsidRPr="00EF6272">
        <w:rPr>
          <w:lang w:bidi="fa-IR"/>
        </w:rPr>
        <w:t>Emami</w:t>
      </w:r>
      <w:proofErr w:type="spellEnd"/>
      <w:r w:rsidRPr="00EF6272">
        <w:rPr>
          <w:lang w:bidi="fa-IR"/>
        </w:rPr>
        <w:t xml:space="preserve">, K. (2021). </w:t>
      </w:r>
      <w:proofErr w:type="spellStart"/>
      <w:r w:rsidRPr="00EF6272">
        <w:rPr>
          <w:lang w:bidi="fa-IR"/>
        </w:rPr>
        <w:t>Zonning</w:t>
      </w:r>
      <w:proofErr w:type="spellEnd"/>
      <w:r w:rsidRPr="00EF6272">
        <w:rPr>
          <w:lang w:bidi="fa-IR"/>
        </w:rPr>
        <w:t xml:space="preserve"> susceptible areas of landslide using WLC and OWA methods -A case study in Mountain cliff Khan, Iran. Sustainable Earth Trends, 1(2), 35–43. </w:t>
      </w:r>
      <w:hyperlink r:id="rId32" w:history="1">
        <w:r w:rsidRPr="00004101">
          <w:rPr>
            <w:rStyle w:val="Hyperlink"/>
            <w:lang w:bidi="fa-IR"/>
          </w:rPr>
          <w:t>https://doi.org/10.52547/sustainearth.1.2.43</w:t>
        </w:r>
      </w:hyperlink>
    </w:p>
    <w:p w14:paraId="003F5346" w14:textId="77777777" w:rsidR="00F87617" w:rsidRDefault="00F87617" w:rsidP="00DF4E1B">
      <w:pPr>
        <w:pStyle w:val="ListParagraph"/>
        <w:numPr>
          <w:ilvl w:val="0"/>
          <w:numId w:val="46"/>
        </w:numPr>
        <w:jc w:val="both"/>
        <w:rPr>
          <w:lang w:bidi="fa-IR"/>
        </w:rPr>
      </w:pPr>
      <w:proofErr w:type="spellStart"/>
      <w:r w:rsidRPr="00EF6272">
        <w:t>Geng</w:t>
      </w:r>
      <w:proofErr w:type="spellEnd"/>
      <w:r w:rsidRPr="00EF6272">
        <w:t xml:space="preserve">, Y., Zhu, B., &amp; Zheng, X. (2020). Effect of Independent Variables on Urban Flood Models. Water, 12(12), 3442. </w:t>
      </w:r>
      <w:hyperlink r:id="rId33" w:history="1">
        <w:r w:rsidRPr="00004101">
          <w:rPr>
            <w:rStyle w:val="Hyperlink"/>
          </w:rPr>
          <w:t>https://doi.org/10.3390/w12123442</w:t>
        </w:r>
      </w:hyperlink>
      <w:r>
        <w:t xml:space="preserve"> </w:t>
      </w:r>
    </w:p>
    <w:p w14:paraId="186A64A5" w14:textId="77777777" w:rsidR="00F87617" w:rsidRDefault="00F87617" w:rsidP="00DF4E1B">
      <w:pPr>
        <w:pStyle w:val="ListParagraph"/>
        <w:numPr>
          <w:ilvl w:val="0"/>
          <w:numId w:val="46"/>
        </w:numPr>
        <w:jc w:val="both"/>
        <w:rPr>
          <w:lang w:bidi="fa-IR"/>
        </w:rPr>
      </w:pPr>
      <w:proofErr w:type="spellStart"/>
      <w:r w:rsidRPr="00EF6272">
        <w:rPr>
          <w:lang w:bidi="fa-IR"/>
        </w:rPr>
        <w:t>Gołębiowski</w:t>
      </w:r>
      <w:proofErr w:type="spellEnd"/>
      <w:r w:rsidRPr="00EF6272">
        <w:rPr>
          <w:lang w:bidi="fa-IR"/>
        </w:rPr>
        <w:t xml:space="preserve">, T., </w:t>
      </w:r>
      <w:proofErr w:type="spellStart"/>
      <w:r w:rsidRPr="00EF6272">
        <w:rPr>
          <w:lang w:bidi="fa-IR"/>
        </w:rPr>
        <w:t>Piwakowski</w:t>
      </w:r>
      <w:proofErr w:type="spellEnd"/>
      <w:r w:rsidRPr="00EF6272">
        <w:rPr>
          <w:lang w:bidi="fa-IR"/>
        </w:rPr>
        <w:t xml:space="preserve">, B., &amp; </w:t>
      </w:r>
      <w:proofErr w:type="spellStart"/>
      <w:r w:rsidRPr="00EF6272">
        <w:rPr>
          <w:lang w:bidi="fa-IR"/>
        </w:rPr>
        <w:t>Ćwiklik</w:t>
      </w:r>
      <w:proofErr w:type="spellEnd"/>
      <w:r w:rsidRPr="00EF6272">
        <w:rPr>
          <w:lang w:bidi="fa-IR"/>
        </w:rPr>
        <w:t xml:space="preserve">, M. (2022). Application of Complex Geophysical Methods for the Detection of Unconsolidated Zones in Flood Dikes. Remote Sensing, 14(3), 538. </w:t>
      </w:r>
      <w:hyperlink r:id="rId34" w:history="1">
        <w:r w:rsidRPr="00004101">
          <w:rPr>
            <w:rStyle w:val="Hyperlink"/>
            <w:lang w:bidi="fa-IR"/>
          </w:rPr>
          <w:t>https://doi.org/10.3390/rs14030538</w:t>
        </w:r>
      </w:hyperlink>
      <w:r>
        <w:rPr>
          <w:lang w:bidi="fa-IR"/>
        </w:rPr>
        <w:t xml:space="preserve"> </w:t>
      </w:r>
    </w:p>
    <w:p w14:paraId="44A3DAF8" w14:textId="77777777" w:rsidR="00F87617" w:rsidRDefault="00F87617" w:rsidP="00DF4E1B">
      <w:pPr>
        <w:pStyle w:val="ListParagraph"/>
        <w:numPr>
          <w:ilvl w:val="0"/>
          <w:numId w:val="46"/>
        </w:numPr>
        <w:tabs>
          <w:tab w:val="left" w:pos="7296"/>
        </w:tabs>
        <w:jc w:val="both"/>
        <w:rPr>
          <w:lang w:bidi="fa-IR"/>
        </w:rPr>
      </w:pPr>
      <w:proofErr w:type="spellStart"/>
      <w:r w:rsidRPr="00EF6272">
        <w:rPr>
          <w:lang w:bidi="fa-IR"/>
        </w:rPr>
        <w:t>Hewawasam</w:t>
      </w:r>
      <w:proofErr w:type="spellEnd"/>
      <w:r w:rsidRPr="00EF6272">
        <w:rPr>
          <w:lang w:bidi="fa-IR"/>
        </w:rPr>
        <w:t xml:space="preserve">, V., &amp; Matsui, K. (2022). Traditional Water Governance Practices for Flood Mitigation in Ancient Sri Lanka. Climate, 10(5), 69. </w:t>
      </w:r>
      <w:hyperlink r:id="rId35" w:history="1">
        <w:r w:rsidRPr="00004101">
          <w:rPr>
            <w:rStyle w:val="Hyperlink"/>
            <w:lang w:bidi="fa-IR"/>
          </w:rPr>
          <w:t>https://doi.org/10.3390/cli10050069</w:t>
        </w:r>
      </w:hyperlink>
      <w:r>
        <w:rPr>
          <w:lang w:bidi="fa-IR"/>
        </w:rPr>
        <w:t xml:space="preserve"> </w:t>
      </w:r>
    </w:p>
    <w:p w14:paraId="5D1439CF" w14:textId="77777777" w:rsidR="00F87617" w:rsidRDefault="00F87617" w:rsidP="00DF4E1B">
      <w:pPr>
        <w:pStyle w:val="ListParagraph"/>
        <w:numPr>
          <w:ilvl w:val="0"/>
          <w:numId w:val="46"/>
        </w:numPr>
        <w:jc w:val="both"/>
        <w:rPr>
          <w:lang w:bidi="fa-IR"/>
        </w:rPr>
      </w:pPr>
      <w:proofErr w:type="spellStart"/>
      <w:r w:rsidRPr="00EF6272">
        <w:rPr>
          <w:lang w:bidi="fa-IR"/>
        </w:rPr>
        <w:t>Hosseinzadeh</w:t>
      </w:r>
      <w:proofErr w:type="spellEnd"/>
      <w:r w:rsidRPr="00EF6272">
        <w:rPr>
          <w:lang w:bidi="fa-IR"/>
        </w:rPr>
        <w:t xml:space="preserve">, M. M., Salehi Milani, A. R., &amp; Rezaian </w:t>
      </w:r>
      <w:proofErr w:type="spellStart"/>
      <w:r w:rsidRPr="00EF6272">
        <w:rPr>
          <w:lang w:bidi="fa-IR"/>
        </w:rPr>
        <w:t>Zarandini</w:t>
      </w:r>
      <w:proofErr w:type="spellEnd"/>
      <w:r w:rsidRPr="00EF6272">
        <w:rPr>
          <w:lang w:bidi="fa-IR"/>
        </w:rPr>
        <w:t xml:space="preserve">, F. (2023). Zoning of the sensitivity of the sub-basins of </w:t>
      </w:r>
      <w:proofErr w:type="spellStart"/>
      <w:r w:rsidRPr="00EF6272">
        <w:rPr>
          <w:lang w:bidi="fa-IR"/>
        </w:rPr>
        <w:t>Nekarood</w:t>
      </w:r>
      <w:proofErr w:type="spellEnd"/>
      <w:r w:rsidRPr="00EF6272">
        <w:rPr>
          <w:lang w:bidi="fa-IR"/>
        </w:rPr>
        <w:t xml:space="preserve"> basin to flooding, </w:t>
      </w:r>
      <w:proofErr w:type="spellStart"/>
      <w:r w:rsidRPr="00EF6272">
        <w:rPr>
          <w:lang w:bidi="fa-IR"/>
        </w:rPr>
        <w:t>Neka</w:t>
      </w:r>
      <w:proofErr w:type="spellEnd"/>
      <w:r w:rsidRPr="00EF6272">
        <w:rPr>
          <w:lang w:bidi="fa-IR"/>
        </w:rPr>
        <w:t xml:space="preserve">-Mazandaran. Journal of Hydrogeomorphology, 10(34), 100-75. </w:t>
      </w:r>
      <w:hyperlink r:id="rId36" w:history="1">
        <w:r w:rsidRPr="00004101">
          <w:rPr>
            <w:rStyle w:val="Hyperlink"/>
            <w:lang w:bidi="fa-IR"/>
          </w:rPr>
          <w:t>https://doi.org/10.22034/hyd.2023.52132.1646</w:t>
        </w:r>
      </w:hyperlink>
      <w:r>
        <w:rPr>
          <w:lang w:bidi="fa-IR"/>
        </w:rPr>
        <w:t xml:space="preserve"> </w:t>
      </w:r>
    </w:p>
    <w:p w14:paraId="6BFAA4D2" w14:textId="77777777" w:rsidR="00F87617" w:rsidRDefault="00F87617" w:rsidP="00DF4E1B">
      <w:pPr>
        <w:pStyle w:val="ListParagraph"/>
        <w:numPr>
          <w:ilvl w:val="0"/>
          <w:numId w:val="46"/>
        </w:numPr>
        <w:jc w:val="both"/>
        <w:rPr>
          <w:lang w:bidi="fa-IR"/>
        </w:rPr>
      </w:pPr>
      <w:r w:rsidRPr="00EF6272">
        <w:rPr>
          <w:lang w:bidi="fa-IR"/>
        </w:rPr>
        <w:t xml:space="preserve">Idowu, D., &amp; Zhou, W. (2023). Global Megacities and Frequent Floods: Correlation between Urban Expansion Patterns and Urban Flood Hazards. Sustainability, 15(3), 2514. </w:t>
      </w:r>
      <w:hyperlink r:id="rId37" w:history="1">
        <w:r w:rsidRPr="00004101">
          <w:rPr>
            <w:rStyle w:val="Hyperlink"/>
            <w:lang w:bidi="fa-IR"/>
          </w:rPr>
          <w:t>https://doi.org/10.3390/su15032514</w:t>
        </w:r>
      </w:hyperlink>
      <w:r>
        <w:rPr>
          <w:lang w:bidi="fa-IR"/>
        </w:rPr>
        <w:t xml:space="preserve"> </w:t>
      </w:r>
    </w:p>
    <w:p w14:paraId="0991F857" w14:textId="77777777" w:rsidR="00F87617" w:rsidRDefault="00F87617" w:rsidP="00DF4E1B">
      <w:pPr>
        <w:pStyle w:val="ListParagraph"/>
        <w:numPr>
          <w:ilvl w:val="0"/>
          <w:numId w:val="46"/>
        </w:numPr>
        <w:jc w:val="both"/>
        <w:rPr>
          <w:lang w:bidi="fa-IR"/>
        </w:rPr>
      </w:pPr>
      <w:r w:rsidRPr="00EF6272">
        <w:rPr>
          <w:lang w:bidi="fa-IR"/>
        </w:rPr>
        <w:t xml:space="preserve">Jha, A. K., Bloch, R., &amp; Lamond, J. (2012). Cities and Flooding: A Guide to Integrated Urban Flood Risk Management for the 21st Century. World Bank. </w:t>
      </w:r>
      <w:hyperlink r:id="rId38" w:history="1">
        <w:r w:rsidRPr="00004101">
          <w:rPr>
            <w:rStyle w:val="Hyperlink"/>
            <w:lang w:bidi="fa-IR"/>
          </w:rPr>
          <w:t>http://documents.worldbank.org/curated/en/325621468182673386</w:t>
        </w:r>
      </w:hyperlink>
      <w:r>
        <w:rPr>
          <w:lang w:bidi="fa-IR"/>
        </w:rPr>
        <w:t xml:space="preserve"> </w:t>
      </w:r>
    </w:p>
    <w:p w14:paraId="3FF0D262" w14:textId="77777777" w:rsidR="00F87617" w:rsidRDefault="00F87617" w:rsidP="00DF4E1B">
      <w:pPr>
        <w:pStyle w:val="ListParagraph"/>
        <w:numPr>
          <w:ilvl w:val="0"/>
          <w:numId w:val="46"/>
        </w:numPr>
        <w:jc w:val="both"/>
        <w:rPr>
          <w:lang w:bidi="fa-IR"/>
        </w:rPr>
      </w:pPr>
      <w:r w:rsidRPr="00EF6272">
        <w:rPr>
          <w:lang w:bidi="fa-IR"/>
        </w:rPr>
        <w:t xml:space="preserve">Jha, M. K., &amp; </w:t>
      </w:r>
      <w:proofErr w:type="spellStart"/>
      <w:r w:rsidRPr="00EF6272">
        <w:rPr>
          <w:lang w:bidi="fa-IR"/>
        </w:rPr>
        <w:t>Afreen</w:t>
      </w:r>
      <w:proofErr w:type="spellEnd"/>
      <w:r w:rsidRPr="00EF6272">
        <w:rPr>
          <w:lang w:bidi="fa-IR"/>
        </w:rPr>
        <w:t xml:space="preserve">, S. (2020). Flooding Urban Landscapes: Analysis Using Combined Hydrodynamic and Hydrologic Modeling Approaches. Water, 12(7), 1986. </w:t>
      </w:r>
      <w:hyperlink r:id="rId39" w:history="1">
        <w:r w:rsidRPr="00004101">
          <w:rPr>
            <w:rStyle w:val="Hyperlink"/>
            <w:lang w:bidi="fa-IR"/>
          </w:rPr>
          <w:t>https://doi.org/10.3390/w12071986</w:t>
        </w:r>
      </w:hyperlink>
      <w:r>
        <w:rPr>
          <w:lang w:bidi="fa-IR"/>
        </w:rPr>
        <w:t xml:space="preserve"> </w:t>
      </w:r>
    </w:p>
    <w:p w14:paraId="14C3DCF6" w14:textId="77777777" w:rsidR="00F87617" w:rsidRDefault="00F87617" w:rsidP="00DF4E1B">
      <w:pPr>
        <w:pStyle w:val="ListParagraph"/>
        <w:numPr>
          <w:ilvl w:val="0"/>
          <w:numId w:val="46"/>
        </w:numPr>
        <w:jc w:val="both"/>
        <w:rPr>
          <w:lang w:bidi="fa-IR"/>
        </w:rPr>
      </w:pPr>
      <w:r w:rsidRPr="00230A0E">
        <w:rPr>
          <w:lang w:bidi="fa-IR"/>
        </w:rPr>
        <w:t xml:space="preserve">Ju, Z., Fang, K., Wang, Y., Hu, B., Long, Y., Shi, Z., &amp; Zhou, P. (2025). Effects of Flooding Duration on Plant Root Traits and Soil Erosion Resistance in Water-Level Fluctuation Zones: A Case Study from the Three Gorges Reservoir, China. Water, 17(17), 2531. </w:t>
      </w:r>
      <w:hyperlink r:id="rId40" w:history="1">
        <w:r w:rsidRPr="00004101">
          <w:rPr>
            <w:rStyle w:val="Hyperlink"/>
            <w:lang w:bidi="fa-IR"/>
          </w:rPr>
          <w:t>https://doi.org/10.3390/w17172531</w:t>
        </w:r>
      </w:hyperlink>
    </w:p>
    <w:p w14:paraId="3900774D" w14:textId="77777777" w:rsidR="00F87617" w:rsidRDefault="00F87617" w:rsidP="00DF4E1B">
      <w:pPr>
        <w:pStyle w:val="ListParagraph"/>
        <w:numPr>
          <w:ilvl w:val="0"/>
          <w:numId w:val="46"/>
        </w:numPr>
        <w:jc w:val="both"/>
        <w:rPr>
          <w:lang w:bidi="fa-IR"/>
        </w:rPr>
      </w:pPr>
      <w:r w:rsidRPr="009B32DA">
        <w:rPr>
          <w:lang w:bidi="fa-IR"/>
        </w:rPr>
        <w:t xml:space="preserve">Kim, H., Lee, D.-K., &amp; Sung, S. (2016). Effect of Urban Green Spaces and Flooded Area Type on Flooding Probability. Sustainability, 8(2), 134. </w:t>
      </w:r>
      <w:hyperlink r:id="rId41" w:history="1">
        <w:r w:rsidRPr="00004101">
          <w:rPr>
            <w:rStyle w:val="Hyperlink"/>
            <w:lang w:bidi="fa-IR"/>
          </w:rPr>
          <w:t>https://doi.org/10.3390/su8020134</w:t>
        </w:r>
      </w:hyperlink>
      <w:r>
        <w:rPr>
          <w:lang w:bidi="fa-IR"/>
        </w:rPr>
        <w:t xml:space="preserve"> </w:t>
      </w:r>
    </w:p>
    <w:p w14:paraId="61ED85B5" w14:textId="77777777" w:rsidR="00F87617" w:rsidRDefault="00F87617" w:rsidP="00DF4E1B">
      <w:pPr>
        <w:pStyle w:val="ListParagraph"/>
        <w:numPr>
          <w:ilvl w:val="0"/>
          <w:numId w:val="46"/>
        </w:numPr>
        <w:jc w:val="both"/>
        <w:rPr>
          <w:lang w:bidi="fa-IR"/>
        </w:rPr>
      </w:pPr>
      <w:proofErr w:type="spellStart"/>
      <w:r w:rsidRPr="009B32DA">
        <w:rPr>
          <w:lang w:bidi="fa-IR"/>
        </w:rPr>
        <w:t>Kundzewicz</w:t>
      </w:r>
      <w:proofErr w:type="spellEnd"/>
      <w:r w:rsidRPr="009B32DA">
        <w:rPr>
          <w:lang w:bidi="fa-IR"/>
        </w:rPr>
        <w:t xml:space="preserve">, Z. W., &amp; Takeuchi, K. (1999). Flood protection and management: Quo </w:t>
      </w:r>
      <w:proofErr w:type="spellStart"/>
      <w:proofErr w:type="gramStart"/>
      <w:r w:rsidRPr="009B32DA">
        <w:rPr>
          <w:lang w:bidi="fa-IR"/>
        </w:rPr>
        <w:t>vadimus</w:t>
      </w:r>
      <w:proofErr w:type="spellEnd"/>
      <w:r w:rsidRPr="009B32DA">
        <w:rPr>
          <w:lang w:bidi="fa-IR"/>
        </w:rPr>
        <w:t>?.</w:t>
      </w:r>
      <w:proofErr w:type="gramEnd"/>
      <w:r w:rsidRPr="009B32DA">
        <w:rPr>
          <w:lang w:bidi="fa-IR"/>
        </w:rPr>
        <w:t xml:space="preserve"> Hydrological Sciences Journal. </w:t>
      </w:r>
      <w:hyperlink r:id="rId42" w:history="1">
        <w:r w:rsidRPr="00004101">
          <w:rPr>
            <w:rStyle w:val="Hyperlink"/>
            <w:lang w:bidi="fa-IR"/>
          </w:rPr>
          <w:t>https://doi.org/10.1080/02626669909492237</w:t>
        </w:r>
      </w:hyperlink>
      <w:r>
        <w:rPr>
          <w:lang w:bidi="fa-IR"/>
        </w:rPr>
        <w:t xml:space="preserve"> </w:t>
      </w:r>
    </w:p>
    <w:p w14:paraId="702F6E8E" w14:textId="77777777" w:rsidR="00F87617" w:rsidRDefault="00F87617" w:rsidP="00DF4E1B">
      <w:pPr>
        <w:pStyle w:val="ListParagraph"/>
        <w:numPr>
          <w:ilvl w:val="0"/>
          <w:numId w:val="46"/>
        </w:numPr>
        <w:jc w:val="both"/>
        <w:rPr>
          <w:lang w:bidi="fa-IR"/>
        </w:rPr>
      </w:pPr>
      <w:r w:rsidRPr="009B32DA">
        <w:rPr>
          <w:lang w:bidi="fa-IR"/>
        </w:rPr>
        <w:t xml:space="preserve">Lee, Y.-J., &amp; Lin, S.-Y. (2022). Effects of Perceptions of Climate Change and Flood Risk on Coping Behavior: A Case Study of Taipei, Taiwan. Sustainability, 14(1), 289. </w:t>
      </w:r>
      <w:hyperlink r:id="rId43" w:history="1">
        <w:r w:rsidRPr="00004101">
          <w:rPr>
            <w:rStyle w:val="Hyperlink"/>
            <w:lang w:bidi="fa-IR"/>
          </w:rPr>
          <w:t>https://doi.org/10.3390/su14010289</w:t>
        </w:r>
      </w:hyperlink>
      <w:r>
        <w:rPr>
          <w:lang w:bidi="fa-IR"/>
        </w:rPr>
        <w:t xml:space="preserve"> </w:t>
      </w:r>
    </w:p>
    <w:p w14:paraId="66B13CD0" w14:textId="77777777" w:rsidR="00F87617" w:rsidRDefault="00F87617" w:rsidP="00DF4E1B">
      <w:pPr>
        <w:pStyle w:val="ListParagraph"/>
        <w:numPr>
          <w:ilvl w:val="0"/>
          <w:numId w:val="46"/>
        </w:numPr>
        <w:jc w:val="both"/>
        <w:rPr>
          <w:lang w:bidi="fa-IR"/>
        </w:rPr>
      </w:pPr>
      <w:r w:rsidRPr="009B32DA">
        <w:rPr>
          <w:lang w:bidi="fa-IR"/>
        </w:rPr>
        <w:t xml:space="preserve">Li, H., Wang, Y., Ping, L., Li, N., &amp; Zhao, P. (2024). Comprehensive Zoning Strategies for Flood Disasters in China. Water, 16(17), 2546. </w:t>
      </w:r>
      <w:hyperlink r:id="rId44" w:history="1">
        <w:r w:rsidRPr="00004101">
          <w:rPr>
            <w:rStyle w:val="Hyperlink"/>
            <w:lang w:bidi="fa-IR"/>
          </w:rPr>
          <w:t>https://doi.org/10.3390/w16172546</w:t>
        </w:r>
      </w:hyperlink>
      <w:r>
        <w:rPr>
          <w:lang w:bidi="fa-IR"/>
        </w:rPr>
        <w:t xml:space="preserve"> </w:t>
      </w:r>
    </w:p>
    <w:p w14:paraId="3876E1E3" w14:textId="77777777" w:rsidR="00F87617" w:rsidRDefault="00F87617" w:rsidP="00DF4E1B">
      <w:pPr>
        <w:pStyle w:val="ListParagraph"/>
        <w:numPr>
          <w:ilvl w:val="0"/>
          <w:numId w:val="46"/>
        </w:numPr>
        <w:jc w:val="both"/>
        <w:rPr>
          <w:lang w:bidi="fa-IR"/>
        </w:rPr>
      </w:pPr>
      <w:r w:rsidRPr="009B32DA">
        <w:rPr>
          <w:lang w:bidi="fa-IR"/>
        </w:rPr>
        <w:t xml:space="preserve">Liu, D., Zhang, J., Wang, X., Peng, J., Wang, R., Huang, X., Li, D., Shao, L., &amp; Hao, Z. (2025). Synergizing Multi-Temporal Remote Sensing and Systemic Resilience for Rainstorm–Flood Risk Zoning in the Northern </w:t>
      </w:r>
      <w:proofErr w:type="spellStart"/>
      <w:r w:rsidRPr="009B32DA">
        <w:rPr>
          <w:lang w:bidi="fa-IR"/>
        </w:rPr>
        <w:t>Qinling</w:t>
      </w:r>
      <w:proofErr w:type="spellEnd"/>
      <w:r w:rsidRPr="009B32DA">
        <w:rPr>
          <w:lang w:bidi="fa-IR"/>
        </w:rPr>
        <w:t xml:space="preserve"> Foothills: A Geospatial Modeling Approach. Remote Sensing, 17(12), 2009. </w:t>
      </w:r>
      <w:hyperlink r:id="rId45" w:history="1">
        <w:r w:rsidRPr="00004101">
          <w:rPr>
            <w:rStyle w:val="Hyperlink"/>
            <w:lang w:bidi="fa-IR"/>
          </w:rPr>
          <w:t>https://doi.org/10.3390/rs17122009</w:t>
        </w:r>
      </w:hyperlink>
      <w:r>
        <w:rPr>
          <w:lang w:bidi="fa-IR"/>
        </w:rPr>
        <w:t xml:space="preserve"> </w:t>
      </w:r>
    </w:p>
    <w:p w14:paraId="43C491A3" w14:textId="77777777" w:rsidR="00F87617" w:rsidRDefault="00F87617" w:rsidP="00DF4E1B">
      <w:pPr>
        <w:pStyle w:val="ListParagraph"/>
        <w:numPr>
          <w:ilvl w:val="0"/>
          <w:numId w:val="46"/>
        </w:numPr>
        <w:jc w:val="both"/>
        <w:rPr>
          <w:lang w:bidi="fa-IR"/>
        </w:rPr>
      </w:pPr>
      <w:r w:rsidRPr="009B32DA">
        <w:rPr>
          <w:lang w:bidi="fa-IR"/>
        </w:rPr>
        <w:t xml:space="preserve">Lu, X. X., &amp; Ran, L. (2011). China flood havoc highlights poor urban planning. Natural Hazards, 56, 575–576. </w:t>
      </w:r>
      <w:hyperlink r:id="rId46" w:history="1">
        <w:r w:rsidRPr="00004101">
          <w:rPr>
            <w:rStyle w:val="Hyperlink"/>
            <w:lang w:bidi="fa-IR"/>
          </w:rPr>
          <w:t>https://doi.org/10.1007/s11069-011-9720-0</w:t>
        </w:r>
      </w:hyperlink>
      <w:r>
        <w:rPr>
          <w:lang w:bidi="fa-IR"/>
        </w:rPr>
        <w:t xml:space="preserve"> </w:t>
      </w:r>
    </w:p>
    <w:p w14:paraId="671401B0" w14:textId="77777777" w:rsidR="00F87617" w:rsidRDefault="00F87617" w:rsidP="00DF4E1B">
      <w:pPr>
        <w:pStyle w:val="ListParagraph"/>
        <w:numPr>
          <w:ilvl w:val="0"/>
          <w:numId w:val="46"/>
        </w:numPr>
        <w:jc w:val="both"/>
        <w:rPr>
          <w:lang w:bidi="fa-IR"/>
        </w:rPr>
      </w:pPr>
      <w:proofErr w:type="spellStart"/>
      <w:r w:rsidRPr="009B32DA">
        <w:rPr>
          <w:lang w:bidi="fa-IR"/>
        </w:rPr>
        <w:t>Lv</w:t>
      </w:r>
      <w:proofErr w:type="spellEnd"/>
      <w:r w:rsidRPr="009B32DA">
        <w:rPr>
          <w:lang w:bidi="fa-IR"/>
        </w:rPr>
        <w:t xml:space="preserve">, X., Lin, H., &amp; Chen, Z. (2025). Prevention and Control Strategies for Rainwater and Flood Disasters in Traditional Villages: A Concentrated Contiguous Zone Approach. Buildings, 15(8), 1335. </w:t>
      </w:r>
      <w:hyperlink r:id="rId47" w:history="1">
        <w:r w:rsidRPr="00004101">
          <w:rPr>
            <w:rStyle w:val="Hyperlink"/>
            <w:lang w:bidi="fa-IR"/>
          </w:rPr>
          <w:t>https://doi.org/10.3390/buildings15081335</w:t>
        </w:r>
      </w:hyperlink>
      <w:r>
        <w:rPr>
          <w:lang w:bidi="fa-IR"/>
        </w:rPr>
        <w:t xml:space="preserve"> </w:t>
      </w:r>
    </w:p>
    <w:p w14:paraId="0591B739" w14:textId="77777777" w:rsidR="00F87617" w:rsidRDefault="00F87617" w:rsidP="00DF4E1B">
      <w:pPr>
        <w:pStyle w:val="ListParagraph"/>
        <w:numPr>
          <w:ilvl w:val="0"/>
          <w:numId w:val="46"/>
        </w:numPr>
        <w:jc w:val="both"/>
        <w:rPr>
          <w:lang w:bidi="fa-IR"/>
        </w:rPr>
      </w:pPr>
      <w:r w:rsidRPr="009B32DA">
        <w:rPr>
          <w:lang w:bidi="fa-IR"/>
        </w:rPr>
        <w:t xml:space="preserve">Merz, B., </w:t>
      </w:r>
      <w:proofErr w:type="spellStart"/>
      <w:r w:rsidRPr="009B32DA">
        <w:rPr>
          <w:lang w:bidi="fa-IR"/>
        </w:rPr>
        <w:t>Kreibich</w:t>
      </w:r>
      <w:proofErr w:type="spellEnd"/>
      <w:r w:rsidRPr="009B32DA">
        <w:rPr>
          <w:lang w:bidi="fa-IR"/>
        </w:rPr>
        <w:t xml:space="preserve">, H., </w:t>
      </w:r>
      <w:proofErr w:type="spellStart"/>
      <w:r w:rsidRPr="009B32DA">
        <w:rPr>
          <w:lang w:bidi="fa-IR"/>
        </w:rPr>
        <w:t>Schwarze</w:t>
      </w:r>
      <w:proofErr w:type="spellEnd"/>
      <w:r w:rsidRPr="009B32DA">
        <w:rPr>
          <w:lang w:bidi="fa-IR"/>
        </w:rPr>
        <w:t xml:space="preserve">, R., &amp; </w:t>
      </w:r>
      <w:proofErr w:type="spellStart"/>
      <w:r w:rsidRPr="009B32DA">
        <w:rPr>
          <w:lang w:bidi="fa-IR"/>
        </w:rPr>
        <w:t>Thieken</w:t>
      </w:r>
      <w:proofErr w:type="spellEnd"/>
      <w:r w:rsidRPr="009B32DA">
        <w:rPr>
          <w:lang w:bidi="fa-IR"/>
        </w:rPr>
        <w:t xml:space="preserve">, A. (2010). Assessment of economic flood damage. Natural Hazards and Earth System Sciences, 10(8), 1697–1724. </w:t>
      </w:r>
      <w:hyperlink r:id="rId48" w:history="1">
        <w:r w:rsidRPr="00004101">
          <w:rPr>
            <w:rStyle w:val="Hyperlink"/>
            <w:lang w:bidi="fa-IR"/>
          </w:rPr>
          <w:t>https://doi.org/10.5194/nhess-10-1697-2010</w:t>
        </w:r>
      </w:hyperlink>
      <w:r>
        <w:rPr>
          <w:lang w:bidi="fa-IR"/>
        </w:rPr>
        <w:t xml:space="preserve"> </w:t>
      </w:r>
    </w:p>
    <w:p w14:paraId="422EC9F8" w14:textId="77777777" w:rsidR="00F87617" w:rsidRDefault="00F87617" w:rsidP="00DF4E1B">
      <w:pPr>
        <w:pStyle w:val="ListParagraph"/>
        <w:numPr>
          <w:ilvl w:val="0"/>
          <w:numId w:val="46"/>
        </w:numPr>
        <w:tabs>
          <w:tab w:val="left" w:pos="7296"/>
        </w:tabs>
        <w:jc w:val="both"/>
        <w:rPr>
          <w:lang w:bidi="fa-IR"/>
        </w:rPr>
      </w:pPr>
      <w:r w:rsidRPr="009B32DA">
        <w:rPr>
          <w:lang w:bidi="fa-IR"/>
        </w:rPr>
        <w:lastRenderedPageBreak/>
        <w:t xml:space="preserve">Mo, C., Zhu, C., </w:t>
      </w:r>
      <w:proofErr w:type="spellStart"/>
      <w:r w:rsidRPr="009B32DA">
        <w:rPr>
          <w:lang w:bidi="fa-IR"/>
        </w:rPr>
        <w:t>Ruan</w:t>
      </w:r>
      <w:proofErr w:type="spellEnd"/>
      <w:r w:rsidRPr="009B32DA">
        <w:rPr>
          <w:lang w:bidi="fa-IR"/>
        </w:rPr>
        <w:t xml:space="preserve">, Y., Lei, X., Xing, Z., &amp; Sun, G. (2021). Study on the Staged Operation of a Multi-Purpose Reservoir in Flood Season and Its Effect Evaluation. Water, 13(18), 2563. </w:t>
      </w:r>
      <w:hyperlink r:id="rId49" w:history="1">
        <w:r w:rsidRPr="00004101">
          <w:rPr>
            <w:rStyle w:val="Hyperlink"/>
            <w:lang w:bidi="fa-IR"/>
          </w:rPr>
          <w:t>https://doi.org/10.3390/w13182563</w:t>
        </w:r>
      </w:hyperlink>
      <w:r>
        <w:rPr>
          <w:lang w:bidi="fa-IR"/>
        </w:rPr>
        <w:t xml:space="preserve"> </w:t>
      </w:r>
    </w:p>
    <w:p w14:paraId="1806F4C8" w14:textId="77777777" w:rsidR="00F87617" w:rsidRDefault="00F87617" w:rsidP="00DF4E1B">
      <w:pPr>
        <w:pStyle w:val="ListParagraph"/>
        <w:numPr>
          <w:ilvl w:val="0"/>
          <w:numId w:val="46"/>
        </w:numPr>
        <w:tabs>
          <w:tab w:val="left" w:pos="284"/>
          <w:tab w:val="left" w:pos="426"/>
        </w:tabs>
        <w:ind w:right="-2"/>
        <w:jc w:val="both"/>
      </w:pPr>
      <w:proofErr w:type="spellStart"/>
      <w:r w:rsidRPr="00223975">
        <w:rPr>
          <w:lang w:bidi="fa-IR"/>
        </w:rPr>
        <w:t>Mohammadkhan</w:t>
      </w:r>
      <w:proofErr w:type="spellEnd"/>
      <w:r w:rsidRPr="00223975">
        <w:rPr>
          <w:lang w:bidi="fa-IR"/>
        </w:rPr>
        <w:t xml:space="preserve">, S., </w:t>
      </w:r>
      <w:proofErr w:type="spellStart"/>
      <w:r w:rsidRPr="00223975">
        <w:rPr>
          <w:lang w:bidi="fa-IR"/>
        </w:rPr>
        <w:t>Ganjaeian</w:t>
      </w:r>
      <w:proofErr w:type="spellEnd"/>
      <w:r w:rsidRPr="00223975">
        <w:rPr>
          <w:lang w:bidi="fa-IR"/>
        </w:rPr>
        <w:t xml:space="preserve">, H., </w:t>
      </w:r>
      <w:proofErr w:type="spellStart"/>
      <w:r w:rsidRPr="00223975">
        <w:rPr>
          <w:lang w:bidi="fa-IR"/>
        </w:rPr>
        <w:t>Shahri</w:t>
      </w:r>
      <w:proofErr w:type="spellEnd"/>
      <w:r w:rsidRPr="00223975">
        <w:rPr>
          <w:lang w:bidi="fa-IR"/>
        </w:rPr>
        <w:t xml:space="preserve">, S., &amp; </w:t>
      </w:r>
      <w:proofErr w:type="spellStart"/>
      <w:r w:rsidRPr="00223975">
        <w:rPr>
          <w:lang w:bidi="fa-IR"/>
        </w:rPr>
        <w:t>Abbaszade</w:t>
      </w:r>
      <w:proofErr w:type="spellEnd"/>
      <w:r w:rsidRPr="00223975">
        <w:rPr>
          <w:lang w:bidi="fa-IR"/>
        </w:rPr>
        <w:t xml:space="preserve">, A. (2019). Predicting the trend of urban development toward hazardous areas using multi-temporal images (Case study: </w:t>
      </w:r>
      <w:proofErr w:type="spellStart"/>
      <w:r w:rsidRPr="00223975">
        <w:rPr>
          <w:lang w:bidi="fa-IR"/>
        </w:rPr>
        <w:t>Marivan</w:t>
      </w:r>
      <w:proofErr w:type="spellEnd"/>
      <w:r w:rsidRPr="00223975">
        <w:rPr>
          <w:lang w:bidi="fa-IR"/>
        </w:rPr>
        <w:t xml:space="preserve"> City). Scientific-Research Quarterly of Geographical Data (SEPEHR) </w:t>
      </w:r>
      <w:hyperlink r:id="rId50" w:history="1">
        <w:r w:rsidRPr="00004101">
          <w:rPr>
            <w:rStyle w:val="Hyperlink"/>
            <w:lang w:bidi="fa-IR"/>
          </w:rPr>
          <w:t>https://doi.org/10.22131/sepehr.2019.36615</w:t>
        </w:r>
      </w:hyperlink>
      <w:r>
        <w:rPr>
          <w:lang w:bidi="fa-IR"/>
        </w:rPr>
        <w:t xml:space="preserve"> </w:t>
      </w:r>
    </w:p>
    <w:p w14:paraId="5DE94D49" w14:textId="77777777" w:rsidR="00F87617" w:rsidRDefault="00F87617" w:rsidP="00DF4E1B">
      <w:pPr>
        <w:pStyle w:val="ListParagraph"/>
        <w:numPr>
          <w:ilvl w:val="0"/>
          <w:numId w:val="46"/>
        </w:numPr>
        <w:tabs>
          <w:tab w:val="left" w:pos="7296"/>
        </w:tabs>
        <w:jc w:val="both"/>
        <w:rPr>
          <w:lang w:bidi="fa-IR"/>
        </w:rPr>
      </w:pPr>
      <w:proofErr w:type="spellStart"/>
      <w:r w:rsidRPr="00223975">
        <w:t>Mosatfa</w:t>
      </w:r>
      <w:proofErr w:type="spellEnd"/>
      <w:r w:rsidRPr="00223975">
        <w:t xml:space="preserve">, M., </w:t>
      </w:r>
      <w:proofErr w:type="spellStart"/>
      <w:r w:rsidRPr="00223975">
        <w:t>Shataee</w:t>
      </w:r>
      <w:proofErr w:type="spellEnd"/>
      <w:r w:rsidRPr="00223975">
        <w:t xml:space="preserve">, S., &amp; </w:t>
      </w:r>
      <w:proofErr w:type="spellStart"/>
      <w:r w:rsidRPr="00223975">
        <w:t>Mastouri</w:t>
      </w:r>
      <w:proofErr w:type="spellEnd"/>
      <w:r w:rsidRPr="00223975">
        <w:t xml:space="preserve">, A. (2021). </w:t>
      </w:r>
      <w:proofErr w:type="spellStart"/>
      <w:r w:rsidRPr="00223975">
        <w:t>Spatio</w:t>
      </w:r>
      <w:proofErr w:type="spellEnd"/>
      <w:r w:rsidRPr="00223975">
        <w:t xml:space="preserve">-temporal change detection of forest canopy cover density in the </w:t>
      </w:r>
      <w:proofErr w:type="spellStart"/>
      <w:r w:rsidRPr="00223975">
        <w:t>Golestan</w:t>
      </w:r>
      <w:proofErr w:type="spellEnd"/>
      <w:r w:rsidRPr="00223975">
        <w:t xml:space="preserve"> National Park, Iran. Environmental Resources Research, 9(2), 173-182. </w:t>
      </w:r>
      <w:hyperlink r:id="rId51" w:history="1">
        <w:r w:rsidRPr="00004101">
          <w:rPr>
            <w:rStyle w:val="Hyperlink"/>
          </w:rPr>
          <w:t>https://doi.org/10.22069/ijerr.2020.14943.1237</w:t>
        </w:r>
      </w:hyperlink>
      <w:r>
        <w:t xml:space="preserve"> </w:t>
      </w:r>
    </w:p>
    <w:p w14:paraId="5A46BEF0" w14:textId="77777777" w:rsidR="00F87617" w:rsidRDefault="00F87617" w:rsidP="00F87617">
      <w:pPr>
        <w:pStyle w:val="ListParagraph"/>
        <w:numPr>
          <w:ilvl w:val="0"/>
          <w:numId w:val="46"/>
        </w:numPr>
        <w:tabs>
          <w:tab w:val="left" w:pos="7296"/>
        </w:tabs>
        <w:jc w:val="both"/>
        <w:rPr>
          <w:lang w:bidi="fa-IR"/>
        </w:rPr>
      </w:pPr>
      <w:proofErr w:type="spellStart"/>
      <w:r w:rsidRPr="00757EE7">
        <w:rPr>
          <w:lang w:bidi="fa-IR"/>
        </w:rPr>
        <w:t>Nayyeri</w:t>
      </w:r>
      <w:proofErr w:type="spellEnd"/>
      <w:r w:rsidRPr="00757EE7">
        <w:rPr>
          <w:lang w:bidi="fa-IR"/>
        </w:rPr>
        <w:t xml:space="preserve">, H., </w:t>
      </w:r>
      <w:proofErr w:type="spellStart"/>
      <w:r w:rsidRPr="00757EE7">
        <w:rPr>
          <w:lang w:bidi="fa-IR"/>
        </w:rPr>
        <w:t>Ganjaeian</w:t>
      </w:r>
      <w:proofErr w:type="spellEnd"/>
      <w:r w:rsidRPr="00757EE7">
        <w:rPr>
          <w:lang w:bidi="fa-IR"/>
        </w:rPr>
        <w:t xml:space="preserve">, H., &amp; Amani, K. </w:t>
      </w:r>
      <w:r>
        <w:rPr>
          <w:lang w:bidi="fa-IR"/>
        </w:rPr>
        <w:t>(</w:t>
      </w:r>
      <w:r w:rsidRPr="00757EE7">
        <w:rPr>
          <w:lang w:bidi="fa-IR"/>
        </w:rPr>
        <w:t>2018</w:t>
      </w:r>
      <w:r>
        <w:rPr>
          <w:lang w:bidi="fa-IR"/>
        </w:rPr>
        <w:t>)</w:t>
      </w:r>
      <w:r w:rsidRPr="00757EE7">
        <w:rPr>
          <w:lang w:bidi="fa-IR"/>
        </w:rPr>
        <w:t xml:space="preserve">. Evaluation of Environmental Indicator of Perimeters of the Land Suitability for the Development of the </w:t>
      </w:r>
      <w:proofErr w:type="spellStart"/>
      <w:r w:rsidRPr="00757EE7">
        <w:rPr>
          <w:lang w:bidi="fa-IR"/>
        </w:rPr>
        <w:t>Sarvabad</w:t>
      </w:r>
      <w:proofErr w:type="spellEnd"/>
      <w:r w:rsidRPr="00757EE7">
        <w:rPr>
          <w:lang w:bidi="fa-IR"/>
        </w:rPr>
        <w:t xml:space="preserve"> City by Combining Two Models of Network Analysis and Fuzzy Logic. </w:t>
      </w:r>
      <w:r w:rsidRPr="00757EE7">
        <w:rPr>
          <w:i/>
          <w:iCs/>
          <w:lang w:bidi="fa-IR"/>
        </w:rPr>
        <w:t>Journal of Urban Social Geography</w:t>
      </w:r>
      <w:r w:rsidRPr="00757EE7">
        <w:rPr>
          <w:lang w:bidi="fa-IR"/>
        </w:rPr>
        <w:t xml:space="preserve">, 5(1), 49-62. </w:t>
      </w:r>
      <w:hyperlink r:id="rId52" w:history="1">
        <w:r w:rsidRPr="00757EE7">
          <w:rPr>
            <w:rStyle w:val="Hyperlink"/>
            <w:lang w:bidi="fa-IR"/>
          </w:rPr>
          <w:t>https://doi.org/10.22103/JUSG.2018.1961</w:t>
        </w:r>
      </w:hyperlink>
      <w:r w:rsidRPr="00757EE7">
        <w:rPr>
          <w:lang w:bidi="fa-IR"/>
        </w:rPr>
        <w:t xml:space="preserve"> </w:t>
      </w:r>
    </w:p>
    <w:p w14:paraId="6717D9B9" w14:textId="77777777" w:rsidR="00F87617" w:rsidRDefault="00F87617" w:rsidP="00DF4E1B">
      <w:pPr>
        <w:pStyle w:val="ListParagraph"/>
        <w:numPr>
          <w:ilvl w:val="0"/>
          <w:numId w:val="46"/>
        </w:numPr>
        <w:tabs>
          <w:tab w:val="left" w:pos="7296"/>
        </w:tabs>
        <w:jc w:val="both"/>
        <w:rPr>
          <w:lang w:bidi="fa-IR"/>
        </w:rPr>
      </w:pPr>
      <w:proofErr w:type="spellStart"/>
      <w:r w:rsidRPr="00223975">
        <w:rPr>
          <w:lang w:bidi="fa-IR"/>
        </w:rPr>
        <w:t>Nayyeri</w:t>
      </w:r>
      <w:proofErr w:type="spellEnd"/>
      <w:r w:rsidRPr="00223975">
        <w:rPr>
          <w:lang w:bidi="fa-IR"/>
        </w:rPr>
        <w:t xml:space="preserve">, H., </w:t>
      </w:r>
      <w:proofErr w:type="spellStart"/>
      <w:r w:rsidRPr="00223975">
        <w:rPr>
          <w:lang w:bidi="fa-IR"/>
        </w:rPr>
        <w:t>Salari</w:t>
      </w:r>
      <w:proofErr w:type="spellEnd"/>
      <w:r w:rsidRPr="00223975">
        <w:rPr>
          <w:lang w:bidi="fa-IR"/>
        </w:rPr>
        <w:t xml:space="preserve">, M., </w:t>
      </w:r>
      <w:proofErr w:type="spellStart"/>
      <w:r w:rsidRPr="00223975">
        <w:rPr>
          <w:lang w:bidi="fa-IR"/>
        </w:rPr>
        <w:t>Ganja</w:t>
      </w:r>
      <w:r>
        <w:rPr>
          <w:lang w:bidi="fa-IR"/>
        </w:rPr>
        <w:t>e</w:t>
      </w:r>
      <w:r w:rsidRPr="00223975">
        <w:rPr>
          <w:lang w:bidi="fa-IR"/>
        </w:rPr>
        <w:t>ian</w:t>
      </w:r>
      <w:proofErr w:type="spellEnd"/>
      <w:r w:rsidRPr="00223975">
        <w:rPr>
          <w:lang w:bidi="fa-IR"/>
        </w:rPr>
        <w:t xml:space="preserve">, H., &amp; Amani, K. (2017). Geomorphological assessment of land suitability for the physical expansion of </w:t>
      </w:r>
      <w:proofErr w:type="spellStart"/>
      <w:r w:rsidRPr="00223975">
        <w:rPr>
          <w:lang w:bidi="fa-IR"/>
        </w:rPr>
        <w:t>Sanandaj</w:t>
      </w:r>
      <w:proofErr w:type="spellEnd"/>
      <w:r w:rsidRPr="00223975">
        <w:rPr>
          <w:lang w:bidi="fa-IR"/>
        </w:rPr>
        <w:t xml:space="preserve"> city applying restricted areas. Geographical Urban Planning Research (GUPR), 5(1), 127–145. </w:t>
      </w:r>
      <w:hyperlink r:id="rId53" w:history="1">
        <w:r w:rsidRPr="00004101">
          <w:rPr>
            <w:rStyle w:val="Hyperlink"/>
            <w:lang w:bidi="fa-IR"/>
          </w:rPr>
          <w:t>https://doi.org/10.22059/jurbangeo.2017.63213</w:t>
        </w:r>
      </w:hyperlink>
      <w:r>
        <w:rPr>
          <w:lang w:bidi="fa-IR"/>
        </w:rPr>
        <w:t xml:space="preserve"> </w:t>
      </w:r>
    </w:p>
    <w:p w14:paraId="19087490" w14:textId="77777777" w:rsidR="00F87617" w:rsidRDefault="00F87617" w:rsidP="00DF4E1B">
      <w:pPr>
        <w:pStyle w:val="ListParagraph"/>
        <w:numPr>
          <w:ilvl w:val="0"/>
          <w:numId w:val="46"/>
        </w:numPr>
        <w:jc w:val="both"/>
        <w:rPr>
          <w:lang w:bidi="fa-IR"/>
        </w:rPr>
      </w:pPr>
      <w:proofErr w:type="spellStart"/>
      <w:r w:rsidRPr="00223975">
        <w:rPr>
          <w:lang w:bidi="fa-IR"/>
        </w:rPr>
        <w:t>Negahban</w:t>
      </w:r>
      <w:proofErr w:type="spellEnd"/>
      <w:r w:rsidRPr="00223975">
        <w:rPr>
          <w:lang w:bidi="fa-IR"/>
        </w:rPr>
        <w:t xml:space="preserve">, S., </w:t>
      </w:r>
      <w:proofErr w:type="spellStart"/>
      <w:r w:rsidRPr="00223975">
        <w:rPr>
          <w:lang w:bidi="fa-IR"/>
        </w:rPr>
        <w:t>Ganjaeian</w:t>
      </w:r>
      <w:proofErr w:type="spellEnd"/>
      <w:r w:rsidRPr="00223975">
        <w:rPr>
          <w:lang w:bidi="fa-IR"/>
        </w:rPr>
        <w:t xml:space="preserve">, H., Ebrahimi, A., &amp; </w:t>
      </w:r>
      <w:proofErr w:type="spellStart"/>
      <w:r w:rsidRPr="00223975">
        <w:rPr>
          <w:lang w:bidi="fa-IR"/>
        </w:rPr>
        <w:t>Emami</w:t>
      </w:r>
      <w:proofErr w:type="spellEnd"/>
      <w:r w:rsidRPr="00223975">
        <w:rPr>
          <w:lang w:bidi="fa-IR"/>
        </w:rPr>
        <w:t xml:space="preserve">, K. (2019). Monitoring and predicting the trend of changes in residential areas using multi-timed images (Case study: </w:t>
      </w:r>
      <w:proofErr w:type="spellStart"/>
      <w:r w:rsidRPr="00223975">
        <w:rPr>
          <w:lang w:bidi="fa-IR"/>
        </w:rPr>
        <w:t>Songhor</w:t>
      </w:r>
      <w:proofErr w:type="spellEnd"/>
      <w:r w:rsidRPr="00223975">
        <w:rPr>
          <w:lang w:bidi="fa-IR"/>
        </w:rPr>
        <w:t xml:space="preserve"> city). Journal of the Earth and Space Physics, 45(2), 343–354. </w:t>
      </w:r>
      <w:hyperlink r:id="rId54" w:history="1">
        <w:r w:rsidRPr="00004101">
          <w:rPr>
            <w:rStyle w:val="Hyperlink"/>
            <w:lang w:bidi="fa-IR"/>
          </w:rPr>
          <w:t>https://doi.org/10.22059/jesphys.2019.275076.1007084</w:t>
        </w:r>
      </w:hyperlink>
      <w:r>
        <w:rPr>
          <w:lang w:bidi="fa-IR"/>
        </w:rPr>
        <w:t xml:space="preserve"> </w:t>
      </w:r>
    </w:p>
    <w:p w14:paraId="746C706E" w14:textId="77777777" w:rsidR="00F87617" w:rsidRDefault="00F87617" w:rsidP="00DF4E1B">
      <w:pPr>
        <w:pStyle w:val="ListParagraph"/>
        <w:numPr>
          <w:ilvl w:val="0"/>
          <w:numId w:val="46"/>
        </w:numPr>
        <w:tabs>
          <w:tab w:val="left" w:pos="7296"/>
        </w:tabs>
        <w:jc w:val="both"/>
        <w:rPr>
          <w:lang w:bidi="fa-IR"/>
        </w:rPr>
      </w:pPr>
      <w:proofErr w:type="spellStart"/>
      <w:r w:rsidRPr="00223975">
        <w:rPr>
          <w:lang w:bidi="fa-IR"/>
        </w:rPr>
        <w:t>Negahban</w:t>
      </w:r>
      <w:proofErr w:type="spellEnd"/>
      <w:r w:rsidRPr="00223975">
        <w:rPr>
          <w:lang w:bidi="fa-IR"/>
        </w:rPr>
        <w:t xml:space="preserve">, S., </w:t>
      </w:r>
      <w:proofErr w:type="spellStart"/>
      <w:r w:rsidRPr="00223975">
        <w:rPr>
          <w:lang w:bidi="fa-IR"/>
        </w:rPr>
        <w:t>Ganjaeian</w:t>
      </w:r>
      <w:proofErr w:type="spellEnd"/>
      <w:r w:rsidRPr="00223975">
        <w:rPr>
          <w:lang w:bidi="fa-IR"/>
        </w:rPr>
        <w:t xml:space="preserve">, H., Ebrahimi, A., &amp; </w:t>
      </w:r>
      <w:proofErr w:type="spellStart"/>
      <w:r w:rsidRPr="00223975">
        <w:rPr>
          <w:lang w:bidi="fa-IR"/>
        </w:rPr>
        <w:t>Gheysarian</w:t>
      </w:r>
      <w:proofErr w:type="spellEnd"/>
      <w:r w:rsidRPr="00223975">
        <w:rPr>
          <w:lang w:bidi="fa-IR"/>
        </w:rPr>
        <w:t xml:space="preserve">, S. S. (2024). Analysis of the Roles of Environmental Factors in the Occurrence of Floods Using the Google Earth Engine System (Case Study: West of </w:t>
      </w:r>
      <w:proofErr w:type="spellStart"/>
      <w:r w:rsidRPr="00223975">
        <w:rPr>
          <w:lang w:bidi="fa-IR"/>
        </w:rPr>
        <w:t>Golestan</w:t>
      </w:r>
      <w:proofErr w:type="spellEnd"/>
      <w:r w:rsidRPr="00223975">
        <w:rPr>
          <w:lang w:bidi="fa-IR"/>
        </w:rPr>
        <w:t xml:space="preserve"> Province). Geography and Environmental Planning, 35(4), 1-18. </w:t>
      </w:r>
      <w:hyperlink r:id="rId55" w:history="1">
        <w:r w:rsidRPr="00004101">
          <w:rPr>
            <w:rStyle w:val="Hyperlink"/>
            <w:lang w:bidi="fa-IR"/>
          </w:rPr>
          <w:t>https://doi.org/10.22108/gep.2024.142342.1659</w:t>
        </w:r>
      </w:hyperlink>
      <w:r>
        <w:rPr>
          <w:lang w:bidi="fa-IR"/>
        </w:rPr>
        <w:t xml:space="preserve"> </w:t>
      </w:r>
    </w:p>
    <w:p w14:paraId="7F222E08" w14:textId="77777777" w:rsidR="00F87617" w:rsidRDefault="00F87617" w:rsidP="00854763">
      <w:pPr>
        <w:pStyle w:val="ListParagraph"/>
        <w:numPr>
          <w:ilvl w:val="0"/>
          <w:numId w:val="46"/>
        </w:numPr>
        <w:tabs>
          <w:tab w:val="left" w:pos="7296"/>
        </w:tabs>
        <w:jc w:val="both"/>
        <w:rPr>
          <w:lang w:bidi="fa-IR"/>
        </w:rPr>
      </w:pPr>
      <w:proofErr w:type="spellStart"/>
      <w:r w:rsidRPr="00223975">
        <w:rPr>
          <w:lang w:bidi="fa-IR"/>
        </w:rPr>
        <w:t>Negahban</w:t>
      </w:r>
      <w:proofErr w:type="spellEnd"/>
      <w:r w:rsidRPr="00223975">
        <w:rPr>
          <w:lang w:bidi="fa-IR"/>
        </w:rPr>
        <w:t xml:space="preserve">, S., </w:t>
      </w:r>
      <w:proofErr w:type="spellStart"/>
      <w:r w:rsidRPr="00223975">
        <w:rPr>
          <w:lang w:bidi="fa-IR"/>
        </w:rPr>
        <w:t>Ganjaeian</w:t>
      </w:r>
      <w:proofErr w:type="spellEnd"/>
      <w:r w:rsidRPr="00223975">
        <w:rPr>
          <w:lang w:bidi="fa-IR"/>
        </w:rPr>
        <w:t xml:space="preserve">, H., </w:t>
      </w:r>
      <w:proofErr w:type="spellStart"/>
      <w:r w:rsidRPr="00223975">
        <w:rPr>
          <w:lang w:bidi="fa-IR"/>
        </w:rPr>
        <w:t>Feraydooni</w:t>
      </w:r>
      <w:proofErr w:type="spellEnd"/>
      <w:r w:rsidRPr="00223975">
        <w:rPr>
          <w:lang w:bidi="fa-IR"/>
        </w:rPr>
        <w:t xml:space="preserve"> </w:t>
      </w:r>
      <w:proofErr w:type="spellStart"/>
      <w:r w:rsidRPr="00223975">
        <w:rPr>
          <w:lang w:bidi="fa-IR"/>
        </w:rPr>
        <w:t>Kordestani</w:t>
      </w:r>
      <w:proofErr w:type="spellEnd"/>
      <w:r w:rsidRPr="00223975">
        <w:rPr>
          <w:lang w:bidi="fa-IR"/>
        </w:rPr>
        <w:t xml:space="preserve">, M., &amp; </w:t>
      </w:r>
      <w:proofErr w:type="spellStart"/>
      <w:r w:rsidRPr="00223975">
        <w:rPr>
          <w:lang w:bidi="fa-IR"/>
        </w:rPr>
        <w:t>Cheshmeh</w:t>
      </w:r>
      <w:proofErr w:type="spellEnd"/>
      <w:r w:rsidRPr="00223975">
        <w:rPr>
          <w:lang w:bidi="fa-IR"/>
        </w:rPr>
        <w:t xml:space="preserve"> </w:t>
      </w:r>
      <w:proofErr w:type="spellStart"/>
      <w:r w:rsidRPr="00223975">
        <w:rPr>
          <w:lang w:bidi="fa-IR"/>
        </w:rPr>
        <w:t>Sefidi</w:t>
      </w:r>
      <w:proofErr w:type="spellEnd"/>
      <w:r w:rsidRPr="00223975">
        <w:rPr>
          <w:lang w:bidi="fa-IR"/>
        </w:rPr>
        <w:t xml:space="preserve">, Z. (2019). Assessing the physical development of cities and extending to geomorphological prohibited areas Using LCM (Case Study: </w:t>
      </w:r>
      <w:proofErr w:type="spellStart"/>
      <w:r w:rsidRPr="00223975">
        <w:rPr>
          <w:lang w:bidi="fa-IR"/>
        </w:rPr>
        <w:t>Sanandaj</w:t>
      </w:r>
      <w:proofErr w:type="spellEnd"/>
      <w:r w:rsidRPr="00223975">
        <w:rPr>
          <w:lang w:bidi="fa-IR"/>
        </w:rPr>
        <w:t xml:space="preserve"> City). Journal of Natural Environmental Hazards, 8(20), 39–52. </w:t>
      </w:r>
      <w:hyperlink r:id="rId56" w:history="1">
        <w:r w:rsidRPr="00004101">
          <w:rPr>
            <w:rStyle w:val="Hyperlink"/>
            <w:lang w:bidi="fa-IR"/>
          </w:rPr>
          <w:t>https://doi.org/10.22111/jneh.2018.21943.1317</w:t>
        </w:r>
      </w:hyperlink>
      <w:r>
        <w:rPr>
          <w:lang w:bidi="fa-IR"/>
        </w:rPr>
        <w:t xml:space="preserve"> </w:t>
      </w:r>
    </w:p>
    <w:p w14:paraId="5D4CF5B2" w14:textId="77777777" w:rsidR="00F87617" w:rsidRDefault="00F87617" w:rsidP="00DF4E1B">
      <w:pPr>
        <w:pStyle w:val="ListParagraph"/>
        <w:numPr>
          <w:ilvl w:val="0"/>
          <w:numId w:val="46"/>
        </w:numPr>
        <w:jc w:val="both"/>
        <w:rPr>
          <w:lang w:bidi="fa-IR"/>
        </w:rPr>
      </w:pPr>
      <w:proofErr w:type="spellStart"/>
      <w:r w:rsidRPr="00223975">
        <w:rPr>
          <w:lang w:bidi="fa-IR"/>
        </w:rPr>
        <w:t>Negahban</w:t>
      </w:r>
      <w:proofErr w:type="spellEnd"/>
      <w:r w:rsidRPr="00223975">
        <w:rPr>
          <w:lang w:bidi="fa-IR"/>
        </w:rPr>
        <w:t xml:space="preserve">, S., </w:t>
      </w:r>
      <w:proofErr w:type="spellStart"/>
      <w:r w:rsidRPr="00223975">
        <w:rPr>
          <w:lang w:bidi="fa-IR"/>
        </w:rPr>
        <w:t>Peysoozi</w:t>
      </w:r>
      <w:proofErr w:type="spellEnd"/>
      <w:r w:rsidRPr="00223975">
        <w:rPr>
          <w:lang w:bidi="fa-IR"/>
        </w:rPr>
        <w:t xml:space="preserve">, T., </w:t>
      </w:r>
      <w:proofErr w:type="spellStart"/>
      <w:r w:rsidRPr="00223975">
        <w:rPr>
          <w:lang w:bidi="fa-IR"/>
        </w:rPr>
        <w:t>Ganjaeian</w:t>
      </w:r>
      <w:proofErr w:type="spellEnd"/>
      <w:r w:rsidRPr="00223975">
        <w:rPr>
          <w:lang w:bidi="fa-IR"/>
        </w:rPr>
        <w:t xml:space="preserve">, H., &amp; </w:t>
      </w:r>
      <w:proofErr w:type="spellStart"/>
      <w:r w:rsidRPr="00223975">
        <w:rPr>
          <w:lang w:bidi="fa-IR"/>
        </w:rPr>
        <w:t>Norozi</w:t>
      </w:r>
      <w:proofErr w:type="spellEnd"/>
      <w:r w:rsidRPr="00223975">
        <w:rPr>
          <w:lang w:bidi="fa-IR"/>
        </w:rPr>
        <w:t xml:space="preserve">, M. (2021). Identify areas prone to landslide and vertical displacement using Radar images (Case study: </w:t>
      </w:r>
      <w:proofErr w:type="spellStart"/>
      <w:r w:rsidRPr="00223975">
        <w:rPr>
          <w:lang w:bidi="fa-IR"/>
        </w:rPr>
        <w:t>Lavasan</w:t>
      </w:r>
      <w:proofErr w:type="spellEnd"/>
      <w:r w:rsidRPr="00223975">
        <w:rPr>
          <w:lang w:bidi="fa-IR"/>
        </w:rPr>
        <w:t xml:space="preserve"> urban area and urban margin). Journal of Geography and Environmental Hazards, 10(3), 1–18. </w:t>
      </w:r>
      <w:hyperlink r:id="rId57" w:history="1">
        <w:r w:rsidRPr="00004101">
          <w:rPr>
            <w:rStyle w:val="Hyperlink"/>
            <w:lang w:bidi="fa-IR"/>
          </w:rPr>
          <w:t>https://doi.org/10.22067/geoeh.2021.71728.1094</w:t>
        </w:r>
      </w:hyperlink>
      <w:r>
        <w:rPr>
          <w:lang w:bidi="fa-IR"/>
        </w:rPr>
        <w:t xml:space="preserve"> </w:t>
      </w:r>
    </w:p>
    <w:p w14:paraId="6C7A9331" w14:textId="77777777" w:rsidR="00F87617" w:rsidRDefault="00F87617" w:rsidP="00DF4E1B">
      <w:pPr>
        <w:pStyle w:val="ListParagraph"/>
        <w:numPr>
          <w:ilvl w:val="0"/>
          <w:numId w:val="46"/>
        </w:numPr>
        <w:jc w:val="both"/>
        <w:rPr>
          <w:lang w:bidi="fa-IR"/>
        </w:rPr>
      </w:pPr>
      <w:proofErr w:type="spellStart"/>
      <w:r w:rsidRPr="00223975">
        <w:rPr>
          <w:lang w:bidi="fa-IR"/>
        </w:rPr>
        <w:t>Nouhou</w:t>
      </w:r>
      <w:proofErr w:type="spellEnd"/>
      <w:r w:rsidRPr="00223975">
        <w:rPr>
          <w:lang w:bidi="fa-IR"/>
        </w:rPr>
        <w:t xml:space="preserve">, Y. D., </w:t>
      </w:r>
      <w:proofErr w:type="spellStart"/>
      <w:r w:rsidRPr="00223975">
        <w:rPr>
          <w:lang w:bidi="fa-IR"/>
        </w:rPr>
        <w:t>Otache</w:t>
      </w:r>
      <w:proofErr w:type="spellEnd"/>
      <w:r w:rsidRPr="00223975">
        <w:rPr>
          <w:lang w:bidi="fa-IR"/>
        </w:rPr>
        <w:t xml:space="preserve">, M. Y., </w:t>
      </w:r>
      <w:proofErr w:type="spellStart"/>
      <w:r w:rsidRPr="00223975">
        <w:rPr>
          <w:lang w:bidi="fa-IR"/>
        </w:rPr>
        <w:t>Illiassou</w:t>
      </w:r>
      <w:proofErr w:type="spellEnd"/>
      <w:r w:rsidRPr="00223975">
        <w:rPr>
          <w:lang w:bidi="fa-IR"/>
        </w:rPr>
        <w:t xml:space="preserve">, S. A., Okunola, O. H., </w:t>
      </w:r>
      <w:proofErr w:type="spellStart"/>
      <w:r w:rsidRPr="00223975">
        <w:rPr>
          <w:lang w:bidi="fa-IR"/>
        </w:rPr>
        <w:t>Okhimamhe</w:t>
      </w:r>
      <w:proofErr w:type="spellEnd"/>
      <w:r w:rsidRPr="00223975">
        <w:rPr>
          <w:lang w:bidi="fa-IR"/>
        </w:rPr>
        <w:t xml:space="preserve">, A. A., &amp; Nguyen, T. T. (2025). Flood Risk Assessment and Zoning for Niamey and Lokoja Metropolises in Niger and Nigeria. Hydrology, 12(1), 17. </w:t>
      </w:r>
      <w:hyperlink r:id="rId58" w:history="1">
        <w:r w:rsidRPr="00004101">
          <w:rPr>
            <w:rStyle w:val="Hyperlink"/>
            <w:lang w:bidi="fa-IR"/>
          </w:rPr>
          <w:t>https://doi.org/10.3390/hydrology12010017</w:t>
        </w:r>
      </w:hyperlink>
    </w:p>
    <w:p w14:paraId="356D9D5C" w14:textId="77777777" w:rsidR="00F87617" w:rsidRDefault="00F87617" w:rsidP="00DF4E1B">
      <w:pPr>
        <w:pStyle w:val="ListParagraph"/>
        <w:numPr>
          <w:ilvl w:val="0"/>
          <w:numId w:val="46"/>
        </w:numPr>
        <w:jc w:val="both"/>
        <w:rPr>
          <w:lang w:bidi="fa-IR"/>
        </w:rPr>
      </w:pPr>
      <w:r w:rsidRPr="00223975">
        <w:t xml:space="preserve">Park, K., &amp; Lee, M.-H. (2019). The Development and Application of the Urban Flood Risk Assessment Model for Reflecting upon Urban Planning Elements. Water, 11(5), 920. </w:t>
      </w:r>
      <w:hyperlink r:id="rId59" w:history="1">
        <w:r w:rsidRPr="00004101">
          <w:rPr>
            <w:rStyle w:val="Hyperlink"/>
          </w:rPr>
          <w:t>https://doi.org/10.3390/w11050920</w:t>
        </w:r>
      </w:hyperlink>
      <w:r>
        <w:t xml:space="preserve"> </w:t>
      </w:r>
    </w:p>
    <w:p w14:paraId="493AB541" w14:textId="77777777" w:rsidR="00F87617" w:rsidRDefault="00F87617" w:rsidP="00DF4E1B">
      <w:pPr>
        <w:pStyle w:val="ListParagraph"/>
        <w:numPr>
          <w:ilvl w:val="0"/>
          <w:numId w:val="46"/>
        </w:numPr>
        <w:jc w:val="both"/>
        <w:rPr>
          <w:lang w:bidi="fa-IR"/>
        </w:rPr>
      </w:pPr>
      <w:r w:rsidRPr="00223975">
        <w:t xml:space="preserve">Parker, D. J. (2000). Floods. Routledge. </w:t>
      </w:r>
      <w:hyperlink r:id="rId60" w:history="1">
        <w:r w:rsidRPr="00004101">
          <w:rPr>
            <w:rStyle w:val="Hyperlink"/>
          </w:rPr>
          <w:t>https://www.routledge.com/Floods/Parker/p/book/9780415172387</w:t>
        </w:r>
      </w:hyperlink>
      <w:r>
        <w:t xml:space="preserve"> </w:t>
      </w:r>
    </w:p>
    <w:p w14:paraId="6C48487D" w14:textId="77777777" w:rsidR="00F87617" w:rsidRDefault="00F87617" w:rsidP="00DF4E1B">
      <w:pPr>
        <w:pStyle w:val="ListParagraph"/>
        <w:numPr>
          <w:ilvl w:val="0"/>
          <w:numId w:val="46"/>
        </w:numPr>
        <w:tabs>
          <w:tab w:val="left" w:pos="7296"/>
        </w:tabs>
        <w:jc w:val="both"/>
        <w:rPr>
          <w:lang w:bidi="fa-IR"/>
        </w:rPr>
      </w:pPr>
      <w:proofErr w:type="spellStart"/>
      <w:r w:rsidRPr="00223975">
        <w:rPr>
          <w:lang w:bidi="fa-IR"/>
        </w:rPr>
        <w:t>Petroselli</w:t>
      </w:r>
      <w:proofErr w:type="spellEnd"/>
      <w:r w:rsidRPr="00223975">
        <w:rPr>
          <w:lang w:bidi="fa-IR"/>
        </w:rPr>
        <w:t xml:space="preserve">, A., </w:t>
      </w:r>
      <w:proofErr w:type="spellStart"/>
      <w:r w:rsidRPr="00223975">
        <w:rPr>
          <w:lang w:bidi="fa-IR"/>
        </w:rPr>
        <w:t>Florek</w:t>
      </w:r>
      <w:proofErr w:type="spellEnd"/>
      <w:r w:rsidRPr="00223975">
        <w:rPr>
          <w:lang w:bidi="fa-IR"/>
        </w:rPr>
        <w:t xml:space="preserve">, J., </w:t>
      </w:r>
      <w:proofErr w:type="spellStart"/>
      <w:r w:rsidRPr="00223975">
        <w:rPr>
          <w:lang w:bidi="fa-IR"/>
        </w:rPr>
        <w:t>Młyński</w:t>
      </w:r>
      <w:proofErr w:type="spellEnd"/>
      <w:r w:rsidRPr="00223975">
        <w:rPr>
          <w:lang w:bidi="fa-IR"/>
        </w:rPr>
        <w:t xml:space="preserve">, D., </w:t>
      </w:r>
      <w:proofErr w:type="spellStart"/>
      <w:r w:rsidRPr="00223975">
        <w:rPr>
          <w:lang w:bidi="fa-IR"/>
        </w:rPr>
        <w:t>Książek</w:t>
      </w:r>
      <w:proofErr w:type="spellEnd"/>
      <w:r w:rsidRPr="00223975">
        <w:rPr>
          <w:lang w:bidi="fa-IR"/>
        </w:rPr>
        <w:t xml:space="preserve">, L., &amp; </w:t>
      </w:r>
      <w:proofErr w:type="spellStart"/>
      <w:r w:rsidRPr="00223975">
        <w:rPr>
          <w:lang w:bidi="fa-IR"/>
        </w:rPr>
        <w:t>Wałęga</w:t>
      </w:r>
      <w:proofErr w:type="spellEnd"/>
      <w:r w:rsidRPr="00223975">
        <w:rPr>
          <w:lang w:bidi="fa-IR"/>
        </w:rPr>
        <w:t xml:space="preserve">, A. (2020). New Insights on Flood Mapping Procedure: Two Case Studies in Poland. Sustainability, 12(20), 8454. </w:t>
      </w:r>
      <w:hyperlink r:id="rId61" w:history="1">
        <w:r w:rsidRPr="00004101">
          <w:rPr>
            <w:rStyle w:val="Hyperlink"/>
            <w:lang w:bidi="fa-IR"/>
          </w:rPr>
          <w:t>https://doi.org/10.3390/su12208454</w:t>
        </w:r>
      </w:hyperlink>
      <w:r>
        <w:rPr>
          <w:lang w:bidi="fa-IR"/>
        </w:rPr>
        <w:t xml:space="preserve"> </w:t>
      </w:r>
    </w:p>
    <w:p w14:paraId="2C11E75C" w14:textId="77777777" w:rsidR="00F87617" w:rsidRDefault="00F87617" w:rsidP="00DF4E1B">
      <w:pPr>
        <w:pStyle w:val="ListParagraph"/>
        <w:numPr>
          <w:ilvl w:val="0"/>
          <w:numId w:val="46"/>
        </w:numPr>
        <w:jc w:val="both"/>
      </w:pPr>
      <w:r w:rsidRPr="00223975">
        <w:rPr>
          <w:lang w:bidi="fa-IR"/>
        </w:rPr>
        <w:t xml:space="preserve">Rahimi, N., Khaleghi, S., &amp; </w:t>
      </w:r>
      <w:proofErr w:type="spellStart"/>
      <w:r w:rsidRPr="00223975">
        <w:rPr>
          <w:lang w:bidi="fa-IR"/>
        </w:rPr>
        <w:t>Salehipour</w:t>
      </w:r>
      <w:proofErr w:type="spellEnd"/>
      <w:r w:rsidRPr="00223975">
        <w:rPr>
          <w:lang w:bidi="fa-IR"/>
        </w:rPr>
        <w:t xml:space="preserve"> Milani, A. (2024). The effect of floods on river morphology changes (case study: </w:t>
      </w:r>
      <w:proofErr w:type="spellStart"/>
      <w:r w:rsidRPr="00223975">
        <w:rPr>
          <w:lang w:bidi="fa-IR"/>
        </w:rPr>
        <w:t>Sadij</w:t>
      </w:r>
      <w:proofErr w:type="spellEnd"/>
      <w:r w:rsidRPr="00223975">
        <w:rPr>
          <w:lang w:bidi="fa-IR"/>
        </w:rPr>
        <w:t xml:space="preserve"> River, </w:t>
      </w:r>
      <w:proofErr w:type="spellStart"/>
      <w:r w:rsidRPr="00223975">
        <w:rPr>
          <w:lang w:bidi="fa-IR"/>
        </w:rPr>
        <w:t>Hormozgan</w:t>
      </w:r>
      <w:proofErr w:type="spellEnd"/>
      <w:r w:rsidRPr="00223975">
        <w:rPr>
          <w:lang w:bidi="fa-IR"/>
        </w:rPr>
        <w:t xml:space="preserve"> Province). Journal of Hydrogeomorphology, 11(38), 160-141. </w:t>
      </w:r>
      <w:hyperlink r:id="rId62" w:history="1">
        <w:r w:rsidRPr="00004101">
          <w:rPr>
            <w:rStyle w:val="Hyperlink"/>
            <w:lang w:bidi="fa-IR"/>
          </w:rPr>
          <w:t>https://doi.org/10.22034/hyd.2024.59641.1717</w:t>
        </w:r>
      </w:hyperlink>
      <w:r>
        <w:rPr>
          <w:lang w:bidi="fa-IR"/>
        </w:rPr>
        <w:t xml:space="preserve"> </w:t>
      </w:r>
    </w:p>
    <w:p w14:paraId="45E58951" w14:textId="77777777" w:rsidR="00F87617" w:rsidRDefault="00F87617" w:rsidP="00DF4E1B">
      <w:pPr>
        <w:pStyle w:val="ListParagraph"/>
        <w:numPr>
          <w:ilvl w:val="0"/>
          <w:numId w:val="46"/>
        </w:numPr>
        <w:tabs>
          <w:tab w:val="left" w:pos="7296"/>
        </w:tabs>
        <w:jc w:val="both"/>
        <w:rPr>
          <w:lang w:bidi="fa-IR"/>
        </w:rPr>
      </w:pPr>
      <w:r w:rsidRPr="00223975">
        <w:rPr>
          <w:lang w:bidi="fa-IR"/>
        </w:rPr>
        <w:t xml:space="preserve">Safari </w:t>
      </w:r>
      <w:proofErr w:type="spellStart"/>
      <w:r w:rsidRPr="00223975">
        <w:rPr>
          <w:lang w:bidi="fa-IR"/>
        </w:rPr>
        <w:t>namivandi</w:t>
      </w:r>
      <w:proofErr w:type="spellEnd"/>
      <w:r w:rsidRPr="00223975">
        <w:rPr>
          <w:lang w:bidi="fa-IR"/>
        </w:rPr>
        <w:t xml:space="preserve">, M., </w:t>
      </w:r>
      <w:proofErr w:type="spellStart"/>
      <w:r w:rsidRPr="00223975">
        <w:rPr>
          <w:lang w:bidi="fa-IR"/>
        </w:rPr>
        <w:t>Ganjaeian</w:t>
      </w:r>
      <w:proofErr w:type="spellEnd"/>
      <w:r w:rsidRPr="00223975">
        <w:rPr>
          <w:lang w:bidi="fa-IR"/>
        </w:rPr>
        <w:t xml:space="preserve">, H., </w:t>
      </w:r>
      <w:proofErr w:type="spellStart"/>
      <w:r w:rsidRPr="00223975">
        <w:rPr>
          <w:lang w:bidi="fa-IR"/>
        </w:rPr>
        <w:t>Nosrati</w:t>
      </w:r>
      <w:proofErr w:type="spellEnd"/>
      <w:r w:rsidRPr="00223975">
        <w:rPr>
          <w:lang w:bidi="fa-IR"/>
        </w:rPr>
        <w:t xml:space="preserve">, M., &amp; </w:t>
      </w:r>
      <w:proofErr w:type="spellStart"/>
      <w:r w:rsidRPr="00223975">
        <w:rPr>
          <w:lang w:bidi="fa-IR"/>
        </w:rPr>
        <w:t>Mohammadian</w:t>
      </w:r>
      <w:proofErr w:type="spellEnd"/>
      <w:r w:rsidRPr="00223975">
        <w:rPr>
          <w:lang w:bidi="fa-IR"/>
        </w:rPr>
        <w:t xml:space="preserve">, K. (2024). Identification of flooded areas and analysis of factors influencing its occurrence (Case study: Southeast of </w:t>
      </w:r>
      <w:proofErr w:type="spellStart"/>
      <w:r w:rsidRPr="00223975">
        <w:rPr>
          <w:lang w:bidi="fa-IR"/>
        </w:rPr>
        <w:t>Sistan</w:t>
      </w:r>
      <w:proofErr w:type="spellEnd"/>
      <w:r w:rsidRPr="00223975">
        <w:rPr>
          <w:lang w:bidi="fa-IR"/>
        </w:rPr>
        <w:t xml:space="preserve"> and </w:t>
      </w:r>
      <w:proofErr w:type="spellStart"/>
      <w:r w:rsidRPr="00223975">
        <w:rPr>
          <w:lang w:bidi="fa-IR"/>
        </w:rPr>
        <w:t>Baluchestan</w:t>
      </w:r>
      <w:proofErr w:type="spellEnd"/>
      <w:r w:rsidRPr="00223975">
        <w:rPr>
          <w:lang w:bidi="fa-IR"/>
        </w:rPr>
        <w:t xml:space="preserve"> province). Quantitative Geomorphological Research, 13(2), 181-194. </w:t>
      </w:r>
      <w:hyperlink r:id="rId63" w:history="1">
        <w:r w:rsidRPr="00004101">
          <w:rPr>
            <w:rStyle w:val="Hyperlink"/>
            <w:lang w:bidi="fa-IR"/>
          </w:rPr>
          <w:t>https://doi.org/10.22034/gmpj.2024.449586.1494</w:t>
        </w:r>
      </w:hyperlink>
      <w:r>
        <w:rPr>
          <w:lang w:bidi="fa-IR"/>
        </w:rPr>
        <w:t xml:space="preserve"> </w:t>
      </w:r>
    </w:p>
    <w:p w14:paraId="11D1BA8D" w14:textId="77777777" w:rsidR="00F87617" w:rsidRDefault="00F87617" w:rsidP="00DF4E1B">
      <w:pPr>
        <w:pStyle w:val="ListParagraph"/>
        <w:numPr>
          <w:ilvl w:val="0"/>
          <w:numId w:val="46"/>
        </w:numPr>
        <w:tabs>
          <w:tab w:val="left" w:pos="7296"/>
        </w:tabs>
        <w:jc w:val="both"/>
        <w:rPr>
          <w:lang w:bidi="fa-IR"/>
        </w:rPr>
      </w:pPr>
      <w:proofErr w:type="spellStart"/>
      <w:r w:rsidRPr="00223975">
        <w:rPr>
          <w:lang w:bidi="fa-IR"/>
        </w:rPr>
        <w:t>Salari</w:t>
      </w:r>
      <w:proofErr w:type="spellEnd"/>
      <w:r w:rsidRPr="00223975">
        <w:rPr>
          <w:lang w:bidi="fa-IR"/>
        </w:rPr>
        <w:t xml:space="preserve">, M., </w:t>
      </w:r>
      <w:proofErr w:type="spellStart"/>
      <w:r w:rsidRPr="00223975">
        <w:rPr>
          <w:lang w:bidi="fa-IR"/>
        </w:rPr>
        <w:t>Nayeri</w:t>
      </w:r>
      <w:proofErr w:type="spellEnd"/>
      <w:r w:rsidRPr="00223975">
        <w:rPr>
          <w:lang w:bidi="fa-IR"/>
        </w:rPr>
        <w:t xml:space="preserve">, H., Amani, K., &amp; </w:t>
      </w:r>
      <w:proofErr w:type="spellStart"/>
      <w:r w:rsidRPr="00223975">
        <w:rPr>
          <w:lang w:bidi="fa-IR"/>
        </w:rPr>
        <w:t>Ganjaeian</w:t>
      </w:r>
      <w:proofErr w:type="spellEnd"/>
      <w:r w:rsidRPr="00223975">
        <w:rPr>
          <w:lang w:bidi="fa-IR"/>
        </w:rPr>
        <w:t xml:space="preserve">, H. (2017). Locating suitable directions for </w:t>
      </w:r>
      <w:proofErr w:type="spellStart"/>
      <w:r w:rsidRPr="00223975">
        <w:rPr>
          <w:lang w:bidi="fa-IR"/>
        </w:rPr>
        <w:t>Kamyaran</w:t>
      </w:r>
      <w:proofErr w:type="spellEnd"/>
      <w:r w:rsidRPr="00223975">
        <w:rPr>
          <w:lang w:bidi="fa-IR"/>
        </w:rPr>
        <w:t xml:space="preserve"> urban development through a </w:t>
      </w:r>
      <w:proofErr w:type="spellStart"/>
      <w:r w:rsidRPr="00223975">
        <w:rPr>
          <w:lang w:bidi="fa-IR"/>
        </w:rPr>
        <w:t>hazardology</w:t>
      </w:r>
      <w:proofErr w:type="spellEnd"/>
      <w:r w:rsidRPr="00223975">
        <w:rPr>
          <w:lang w:bidi="fa-IR"/>
        </w:rPr>
        <w:t xml:space="preserve"> approach based on the application of </w:t>
      </w:r>
      <w:r w:rsidRPr="00223975">
        <w:rPr>
          <w:lang w:bidi="fa-IR"/>
        </w:rPr>
        <w:lastRenderedPageBreak/>
        <w:t xml:space="preserve">geomorphologically restricted areas. Environmental Management Hazards, 4(4), 419–436. </w:t>
      </w:r>
      <w:hyperlink r:id="rId64" w:history="1">
        <w:r w:rsidRPr="00004101">
          <w:rPr>
            <w:rStyle w:val="Hyperlink"/>
            <w:lang w:bidi="fa-IR"/>
          </w:rPr>
          <w:t>https://doi.org/10.22059/jhsci.2018.252694.341</w:t>
        </w:r>
      </w:hyperlink>
      <w:r>
        <w:rPr>
          <w:lang w:bidi="fa-IR"/>
        </w:rPr>
        <w:t xml:space="preserve"> </w:t>
      </w:r>
    </w:p>
    <w:p w14:paraId="35EE69B2" w14:textId="77777777" w:rsidR="00F87617" w:rsidRDefault="00F87617" w:rsidP="00DF4E1B">
      <w:pPr>
        <w:pStyle w:val="ListParagraph"/>
        <w:numPr>
          <w:ilvl w:val="0"/>
          <w:numId w:val="46"/>
        </w:numPr>
        <w:jc w:val="both"/>
        <w:rPr>
          <w:lang w:bidi="fa-IR"/>
        </w:rPr>
      </w:pPr>
      <w:proofErr w:type="spellStart"/>
      <w:r w:rsidRPr="00223975">
        <w:rPr>
          <w:lang w:bidi="fa-IR"/>
        </w:rPr>
        <w:t>Salari</w:t>
      </w:r>
      <w:proofErr w:type="spellEnd"/>
      <w:r w:rsidRPr="00223975">
        <w:rPr>
          <w:lang w:bidi="fa-IR"/>
        </w:rPr>
        <w:t xml:space="preserve">, M., </w:t>
      </w:r>
      <w:proofErr w:type="spellStart"/>
      <w:r w:rsidRPr="00223975">
        <w:rPr>
          <w:lang w:bidi="fa-IR"/>
        </w:rPr>
        <w:t>Nayyeri</w:t>
      </w:r>
      <w:proofErr w:type="spellEnd"/>
      <w:r w:rsidRPr="00223975">
        <w:rPr>
          <w:lang w:bidi="fa-IR"/>
        </w:rPr>
        <w:t xml:space="preserve">, H., </w:t>
      </w:r>
      <w:proofErr w:type="spellStart"/>
      <w:r w:rsidRPr="00223975">
        <w:rPr>
          <w:lang w:bidi="fa-IR"/>
        </w:rPr>
        <w:t>Ganjaeian</w:t>
      </w:r>
      <w:proofErr w:type="spellEnd"/>
      <w:r w:rsidRPr="00223975">
        <w:rPr>
          <w:lang w:bidi="fa-IR"/>
        </w:rPr>
        <w:t xml:space="preserve">, H., &amp; Amani, K. (2020). Assessment and prediction of the process of expansion of residential areas with a geomorphological approach and environmental management (Case study: </w:t>
      </w:r>
      <w:proofErr w:type="spellStart"/>
      <w:r w:rsidRPr="00223975">
        <w:rPr>
          <w:lang w:bidi="fa-IR"/>
        </w:rPr>
        <w:t>Paveh</w:t>
      </w:r>
      <w:proofErr w:type="spellEnd"/>
      <w:r w:rsidRPr="00223975">
        <w:rPr>
          <w:lang w:bidi="fa-IR"/>
        </w:rPr>
        <w:t xml:space="preserve"> City). Quantitative Geomorphological Research, 9(1), 86–101. </w:t>
      </w:r>
      <w:hyperlink r:id="rId65" w:history="1">
        <w:r w:rsidRPr="00004101">
          <w:rPr>
            <w:rStyle w:val="Hyperlink"/>
            <w:lang w:bidi="fa-IR"/>
          </w:rPr>
          <w:t>https://doi.org/10.22034/gmpj.2020.109536</w:t>
        </w:r>
      </w:hyperlink>
      <w:r>
        <w:rPr>
          <w:lang w:bidi="fa-IR"/>
        </w:rPr>
        <w:t xml:space="preserve"> </w:t>
      </w:r>
    </w:p>
    <w:p w14:paraId="1659AD87" w14:textId="77777777" w:rsidR="00F87617" w:rsidRDefault="00F87617" w:rsidP="00DF4E1B">
      <w:pPr>
        <w:pStyle w:val="ListParagraph"/>
        <w:numPr>
          <w:ilvl w:val="0"/>
          <w:numId w:val="46"/>
        </w:numPr>
        <w:jc w:val="both"/>
        <w:rPr>
          <w:lang w:bidi="fa-IR"/>
        </w:rPr>
      </w:pPr>
      <w:proofErr w:type="spellStart"/>
      <w:r w:rsidRPr="00223975">
        <w:rPr>
          <w:lang w:bidi="fa-IR"/>
        </w:rPr>
        <w:t>Sedighi</w:t>
      </w:r>
      <w:proofErr w:type="spellEnd"/>
      <w:r w:rsidRPr="00223975">
        <w:rPr>
          <w:lang w:bidi="fa-IR"/>
        </w:rPr>
        <w:t xml:space="preserve">, T., </w:t>
      </w:r>
      <w:proofErr w:type="spellStart"/>
      <w:r w:rsidRPr="00223975">
        <w:rPr>
          <w:lang w:bidi="fa-IR"/>
        </w:rPr>
        <w:t>Varga</w:t>
      </w:r>
      <w:proofErr w:type="spellEnd"/>
      <w:r w:rsidRPr="00223975">
        <w:rPr>
          <w:lang w:bidi="fa-IR"/>
        </w:rPr>
        <w:t xml:space="preserve">, L., </w:t>
      </w:r>
      <w:proofErr w:type="spellStart"/>
      <w:r w:rsidRPr="00223975">
        <w:rPr>
          <w:lang w:bidi="fa-IR"/>
        </w:rPr>
        <w:t>Hosseinian</w:t>
      </w:r>
      <w:proofErr w:type="spellEnd"/>
      <w:r w:rsidRPr="00223975">
        <w:rPr>
          <w:lang w:bidi="fa-IR"/>
        </w:rPr>
        <w:t xml:space="preserve">-Far, A., &amp; </w:t>
      </w:r>
      <w:proofErr w:type="spellStart"/>
      <w:r w:rsidRPr="00223975">
        <w:rPr>
          <w:lang w:bidi="fa-IR"/>
        </w:rPr>
        <w:t>Daneshkhah</w:t>
      </w:r>
      <w:proofErr w:type="spellEnd"/>
      <w:r w:rsidRPr="00223975">
        <w:rPr>
          <w:lang w:bidi="fa-IR"/>
        </w:rPr>
        <w:t xml:space="preserve">, A. (2021). Economic Evaluation of Mental Health Effects of Flooding Using Bayesian Networks. International Journal of Environmental Research and Public Health, 18(14), 7467. </w:t>
      </w:r>
      <w:hyperlink r:id="rId66" w:history="1">
        <w:r w:rsidRPr="00004101">
          <w:rPr>
            <w:rStyle w:val="Hyperlink"/>
            <w:lang w:bidi="fa-IR"/>
          </w:rPr>
          <w:t>https://doi.org/10.3390/ijerph18147467</w:t>
        </w:r>
      </w:hyperlink>
    </w:p>
    <w:p w14:paraId="0962E20C" w14:textId="77777777" w:rsidR="00F87617" w:rsidRDefault="00F87617" w:rsidP="00DF4E1B">
      <w:pPr>
        <w:pStyle w:val="ListParagraph"/>
        <w:numPr>
          <w:ilvl w:val="0"/>
          <w:numId w:val="46"/>
        </w:numPr>
        <w:tabs>
          <w:tab w:val="left" w:pos="284"/>
          <w:tab w:val="left" w:pos="426"/>
        </w:tabs>
        <w:ind w:right="-2"/>
        <w:jc w:val="both"/>
      </w:pPr>
      <w:r w:rsidRPr="00223975">
        <w:t xml:space="preserve">Shakti, P. C., Hirano, K., &amp; Iwanami, K. (2023). Developing Flood Risk Zones during an Extreme Rain Event from the Perspective of Social Insurance Management. Sustainability, 15(6), 4909 </w:t>
      </w:r>
      <w:hyperlink r:id="rId67" w:history="1">
        <w:r w:rsidRPr="00004101">
          <w:rPr>
            <w:rStyle w:val="Hyperlink"/>
          </w:rPr>
          <w:t>https://doi.org/10.3390/su15064909</w:t>
        </w:r>
      </w:hyperlink>
      <w:r>
        <w:t xml:space="preserve"> </w:t>
      </w:r>
    </w:p>
    <w:p w14:paraId="31869D35" w14:textId="77777777" w:rsidR="00F87617" w:rsidRDefault="00F87617" w:rsidP="00DF4E1B">
      <w:pPr>
        <w:pStyle w:val="ListParagraph"/>
        <w:numPr>
          <w:ilvl w:val="0"/>
          <w:numId w:val="46"/>
        </w:numPr>
        <w:jc w:val="both"/>
        <w:rPr>
          <w:lang w:bidi="fa-IR"/>
        </w:rPr>
      </w:pPr>
      <w:proofErr w:type="spellStart"/>
      <w:r w:rsidRPr="00121851">
        <w:t>Solaimani</w:t>
      </w:r>
      <w:proofErr w:type="spellEnd"/>
      <w:r w:rsidRPr="00121851">
        <w:t xml:space="preserve">, K., </w:t>
      </w:r>
      <w:proofErr w:type="spellStart"/>
      <w:r w:rsidRPr="00121851">
        <w:t>Shokrian</w:t>
      </w:r>
      <w:proofErr w:type="spellEnd"/>
      <w:r w:rsidRPr="00121851">
        <w:t xml:space="preserve">, F., &amp; </w:t>
      </w:r>
      <w:proofErr w:type="spellStart"/>
      <w:r w:rsidRPr="00121851">
        <w:t>Darvishi</w:t>
      </w:r>
      <w:proofErr w:type="spellEnd"/>
      <w:r w:rsidRPr="00121851">
        <w:t xml:space="preserve">, S. (2023). An Assessment of the Integrated Multi-Criteria and New Models Efficiency in Watershed Flood Mapping. Water Resources Management, 37, 403–425. </w:t>
      </w:r>
      <w:hyperlink r:id="rId68" w:history="1">
        <w:r w:rsidRPr="00004101">
          <w:rPr>
            <w:rStyle w:val="Hyperlink"/>
          </w:rPr>
          <w:t>https://doi.org/10.1007/s11269-022-03380-1</w:t>
        </w:r>
      </w:hyperlink>
      <w:r>
        <w:t xml:space="preserve"> </w:t>
      </w:r>
    </w:p>
    <w:p w14:paraId="1449D299" w14:textId="77777777" w:rsidR="00F87617" w:rsidRDefault="00F87617" w:rsidP="00DF4E1B">
      <w:pPr>
        <w:pStyle w:val="ListParagraph"/>
        <w:numPr>
          <w:ilvl w:val="0"/>
          <w:numId w:val="46"/>
        </w:numPr>
        <w:jc w:val="both"/>
      </w:pPr>
      <w:proofErr w:type="spellStart"/>
      <w:r w:rsidRPr="00121851">
        <w:rPr>
          <w:lang w:bidi="fa-IR"/>
        </w:rPr>
        <w:t>Subraelu</w:t>
      </w:r>
      <w:proofErr w:type="spellEnd"/>
      <w:r w:rsidRPr="00121851">
        <w:rPr>
          <w:lang w:bidi="fa-IR"/>
        </w:rPr>
        <w:t xml:space="preserve">, P., Ahmed, A., </w:t>
      </w:r>
      <w:proofErr w:type="spellStart"/>
      <w:r w:rsidRPr="00121851">
        <w:rPr>
          <w:lang w:bidi="fa-IR"/>
        </w:rPr>
        <w:t>Ebraheem</w:t>
      </w:r>
      <w:proofErr w:type="spellEnd"/>
      <w:r w:rsidRPr="00121851">
        <w:rPr>
          <w:lang w:bidi="fa-IR"/>
        </w:rPr>
        <w:t xml:space="preserve">, A. A., Sherif, M., Mirza, S. B., </w:t>
      </w:r>
      <w:proofErr w:type="spellStart"/>
      <w:r w:rsidRPr="00121851">
        <w:rPr>
          <w:lang w:bidi="fa-IR"/>
        </w:rPr>
        <w:t>Ridouane</w:t>
      </w:r>
      <w:proofErr w:type="spellEnd"/>
      <w:r w:rsidRPr="00121851">
        <w:rPr>
          <w:lang w:bidi="fa-IR"/>
        </w:rPr>
        <w:t xml:space="preserve">, F. L., &amp; </w:t>
      </w:r>
      <w:proofErr w:type="spellStart"/>
      <w:r w:rsidRPr="00121851">
        <w:rPr>
          <w:lang w:bidi="fa-IR"/>
        </w:rPr>
        <w:t>Sefelnasr</w:t>
      </w:r>
      <w:proofErr w:type="spellEnd"/>
      <w:r w:rsidRPr="00121851">
        <w:rPr>
          <w:lang w:bidi="fa-IR"/>
        </w:rPr>
        <w:t xml:space="preserve">, A. (2023). Risk Assessment and Mapping of Flash Flood Vulnerable Zones in Arid Region, Fujairah City, UAE-Using Remote Sensing and GIS-Based Analysis. Water, 15(15), 2802. </w:t>
      </w:r>
      <w:hyperlink r:id="rId69" w:history="1">
        <w:r w:rsidRPr="00004101">
          <w:rPr>
            <w:rStyle w:val="Hyperlink"/>
            <w:lang w:bidi="fa-IR"/>
          </w:rPr>
          <w:t>https://doi.org/10.3390/w15152802</w:t>
        </w:r>
      </w:hyperlink>
    </w:p>
    <w:p w14:paraId="6F20F0F9" w14:textId="77777777" w:rsidR="00F87617" w:rsidRDefault="00F87617" w:rsidP="00854763">
      <w:pPr>
        <w:pStyle w:val="ListParagraph"/>
        <w:numPr>
          <w:ilvl w:val="0"/>
          <w:numId w:val="46"/>
        </w:numPr>
        <w:jc w:val="both"/>
        <w:rPr>
          <w:lang w:bidi="fa-IR"/>
        </w:rPr>
      </w:pPr>
      <w:proofErr w:type="spellStart"/>
      <w:r w:rsidRPr="00121851">
        <w:t>Tabesh</w:t>
      </w:r>
      <w:proofErr w:type="spellEnd"/>
      <w:r w:rsidRPr="00121851">
        <w:t xml:space="preserve">, S., Noori </w:t>
      </w:r>
      <w:proofErr w:type="spellStart"/>
      <w:r w:rsidRPr="00121851">
        <w:t>khanyourdi</w:t>
      </w:r>
      <w:proofErr w:type="spellEnd"/>
      <w:r w:rsidRPr="00121851">
        <w:t xml:space="preserve">, M., </w:t>
      </w:r>
      <w:proofErr w:type="spellStart"/>
      <w:r w:rsidRPr="00121851">
        <w:t>Dousti</w:t>
      </w:r>
      <w:proofErr w:type="spellEnd"/>
      <w:r w:rsidRPr="00121851">
        <w:t xml:space="preserve">, M., &amp; </w:t>
      </w:r>
      <w:proofErr w:type="spellStart"/>
      <w:r w:rsidRPr="00121851">
        <w:t>Ganjae</w:t>
      </w:r>
      <w:r>
        <w:t>ia</w:t>
      </w:r>
      <w:r w:rsidRPr="00121851">
        <w:t>n</w:t>
      </w:r>
      <w:proofErr w:type="spellEnd"/>
      <w:r w:rsidRPr="00121851">
        <w:t xml:space="preserve">, H. (2020). Presenting the proposed model for the location of sports places using the integrated model of WLC and AHP. Sport Management and Development. </w:t>
      </w:r>
      <w:hyperlink r:id="rId70" w:history="1">
        <w:r w:rsidRPr="00004101">
          <w:rPr>
            <w:rStyle w:val="Hyperlink"/>
          </w:rPr>
          <w:t>https://doi.org/10.22124/jsmd.2020.4096</w:t>
        </w:r>
      </w:hyperlink>
      <w:r>
        <w:t xml:space="preserve"> </w:t>
      </w:r>
    </w:p>
    <w:p w14:paraId="5DC985E7" w14:textId="77777777" w:rsidR="00F87617" w:rsidRDefault="00F87617" w:rsidP="00DF4E1B">
      <w:pPr>
        <w:pStyle w:val="ListParagraph"/>
        <w:numPr>
          <w:ilvl w:val="0"/>
          <w:numId w:val="46"/>
        </w:numPr>
        <w:tabs>
          <w:tab w:val="left" w:pos="284"/>
          <w:tab w:val="left" w:pos="426"/>
        </w:tabs>
        <w:ind w:right="-2"/>
        <w:jc w:val="both"/>
      </w:pPr>
      <w:proofErr w:type="spellStart"/>
      <w:r w:rsidRPr="005F67BF">
        <w:rPr>
          <w:lang w:bidi="fa-IR"/>
        </w:rPr>
        <w:t>Vilca</w:t>
      </w:r>
      <w:proofErr w:type="spellEnd"/>
      <w:r w:rsidRPr="005F67BF">
        <w:rPr>
          <w:lang w:bidi="fa-IR"/>
        </w:rPr>
        <w:t xml:space="preserve">-Campana, K., Carrasco-Valencia, L., </w:t>
      </w:r>
      <w:proofErr w:type="spellStart"/>
      <w:r w:rsidRPr="005F67BF">
        <w:rPr>
          <w:lang w:bidi="fa-IR"/>
        </w:rPr>
        <w:t>Iruri</w:t>
      </w:r>
      <w:proofErr w:type="spellEnd"/>
      <w:r w:rsidRPr="005F67BF">
        <w:rPr>
          <w:lang w:bidi="fa-IR"/>
        </w:rPr>
        <w:t>-Ramos, C., Cárdenas-</w:t>
      </w:r>
      <w:proofErr w:type="spellStart"/>
      <w:r w:rsidRPr="005F67BF">
        <w:rPr>
          <w:lang w:bidi="fa-IR"/>
        </w:rPr>
        <w:t>Pillco</w:t>
      </w:r>
      <w:proofErr w:type="spellEnd"/>
      <w:r w:rsidRPr="005F67BF">
        <w:rPr>
          <w:lang w:bidi="fa-IR"/>
        </w:rPr>
        <w:t xml:space="preserve">, B., Escudero, A., &amp; </w:t>
      </w:r>
      <w:proofErr w:type="spellStart"/>
      <w:r w:rsidRPr="005F67BF">
        <w:rPr>
          <w:lang w:bidi="fa-IR"/>
        </w:rPr>
        <w:t>Chanove</w:t>
      </w:r>
      <w:proofErr w:type="spellEnd"/>
      <w:r w:rsidRPr="005F67BF">
        <w:rPr>
          <w:lang w:bidi="fa-IR"/>
        </w:rPr>
        <w:t xml:space="preserve">-Manrique, A. (2025). Improving Urban Flood Resilience: Urban Flood Risk Mitigation Assessment Using a Geospatial Model in the Urban Section of a River Corridor. Water, 17(7), 1047. </w:t>
      </w:r>
      <w:hyperlink r:id="rId71" w:history="1">
        <w:r w:rsidRPr="00004101">
          <w:rPr>
            <w:rStyle w:val="Hyperlink"/>
            <w:lang w:bidi="fa-IR"/>
          </w:rPr>
          <w:t>https://doi.org/10.3390/w17071047</w:t>
        </w:r>
      </w:hyperlink>
      <w:r>
        <w:rPr>
          <w:lang w:bidi="fa-IR"/>
        </w:rPr>
        <w:t xml:space="preserve"> </w:t>
      </w:r>
    </w:p>
    <w:p w14:paraId="1722DC17" w14:textId="77777777" w:rsidR="00F87617" w:rsidRDefault="00F87617" w:rsidP="00DF4E1B">
      <w:pPr>
        <w:pStyle w:val="ListParagraph"/>
        <w:numPr>
          <w:ilvl w:val="0"/>
          <w:numId w:val="46"/>
        </w:numPr>
        <w:jc w:val="both"/>
        <w:rPr>
          <w:lang w:bidi="fa-IR"/>
        </w:rPr>
      </w:pPr>
      <w:r w:rsidRPr="005F67BF">
        <w:t xml:space="preserve">Xiao, Y., Yi, S., &amp; Tang, Z. (2017). Integrated flood hazard assessment based on spatial ordered weighted averaging method considering spatial heterogeneity of risk preference. The Science of The Total Environment, 599, 1034-1046. </w:t>
      </w:r>
      <w:hyperlink r:id="rId72" w:history="1">
        <w:r w:rsidRPr="00004101">
          <w:rPr>
            <w:rStyle w:val="Hyperlink"/>
          </w:rPr>
          <w:t>https://doi.org/10.1016/j.scitotenv.2017.04.218</w:t>
        </w:r>
      </w:hyperlink>
      <w:r>
        <w:t xml:space="preserve"> </w:t>
      </w:r>
    </w:p>
    <w:p w14:paraId="2F622AC9" w14:textId="77777777" w:rsidR="00F87617" w:rsidRDefault="00F87617" w:rsidP="00DF4E1B">
      <w:pPr>
        <w:pStyle w:val="ListParagraph"/>
        <w:numPr>
          <w:ilvl w:val="0"/>
          <w:numId w:val="46"/>
        </w:numPr>
        <w:tabs>
          <w:tab w:val="left" w:pos="284"/>
          <w:tab w:val="left" w:pos="426"/>
        </w:tabs>
        <w:ind w:right="-2"/>
        <w:jc w:val="both"/>
      </w:pPr>
      <w:r w:rsidRPr="005F67BF">
        <w:rPr>
          <w:lang w:bidi="fa-IR"/>
        </w:rPr>
        <w:t xml:space="preserve">Yuan, H., Peng, Z., Yang, J., Liu, J., Zhao, H., Ning, S., Xu, X., A., R., &amp; Li, H. (2024). Effects of Alternative Stress of Drought–Flood on Summer Maize Growth and Yield. Water, 16(19), 2742. </w:t>
      </w:r>
      <w:hyperlink r:id="rId73" w:history="1">
        <w:r w:rsidRPr="00004101">
          <w:rPr>
            <w:rStyle w:val="Hyperlink"/>
            <w:lang w:bidi="fa-IR"/>
          </w:rPr>
          <w:t>https://doi.org/10.3390/w16192742</w:t>
        </w:r>
      </w:hyperlink>
      <w:r>
        <w:rPr>
          <w:lang w:bidi="fa-IR"/>
        </w:rPr>
        <w:t xml:space="preserve"> </w:t>
      </w:r>
    </w:p>
    <w:p w14:paraId="64101EFC" w14:textId="77777777" w:rsidR="00F87617" w:rsidRDefault="00F87617" w:rsidP="00DF4E1B">
      <w:pPr>
        <w:pStyle w:val="ListParagraph"/>
        <w:numPr>
          <w:ilvl w:val="0"/>
          <w:numId w:val="46"/>
        </w:numPr>
        <w:jc w:val="both"/>
        <w:rPr>
          <w:lang w:bidi="fa-IR"/>
        </w:rPr>
      </w:pPr>
      <w:proofErr w:type="spellStart"/>
      <w:r w:rsidRPr="005F67BF">
        <w:t>Zahabnazouri</w:t>
      </w:r>
      <w:proofErr w:type="spellEnd"/>
      <w:r w:rsidRPr="005F67BF">
        <w:t xml:space="preserve">, S., Belmont, P., David, S. R., Wigand, P. E., &amp; </w:t>
      </w:r>
      <w:proofErr w:type="spellStart"/>
      <w:r w:rsidRPr="005F67BF">
        <w:t>Capolongo</w:t>
      </w:r>
      <w:proofErr w:type="spellEnd"/>
      <w:r w:rsidRPr="005F67BF">
        <w:t xml:space="preserve">, D. (2025). Geomorphic impacts of wildfire on soil erosion: pre- and post-fire RUSLE modeling in Bosco </w:t>
      </w:r>
      <w:proofErr w:type="spellStart"/>
      <w:r w:rsidRPr="005F67BF">
        <w:t>Difesa</w:t>
      </w:r>
      <w:proofErr w:type="spellEnd"/>
      <w:r w:rsidRPr="005F67BF">
        <w:t xml:space="preserve"> Grande, Southern Italy, using Google Earth Engine. Geomorphology </w:t>
      </w:r>
      <w:hyperlink r:id="rId74" w:history="1">
        <w:r w:rsidRPr="00004101">
          <w:rPr>
            <w:rStyle w:val="Hyperlink"/>
          </w:rPr>
          <w:t>https://doi.org/10.1016/j.geomorph.2025.110109</w:t>
        </w:r>
      </w:hyperlink>
      <w:r>
        <w:t xml:space="preserve"> </w:t>
      </w:r>
    </w:p>
    <w:p w14:paraId="59818BB4" w14:textId="77777777" w:rsidR="00F87617" w:rsidRDefault="00F87617" w:rsidP="00DF4E1B">
      <w:pPr>
        <w:pStyle w:val="ListParagraph"/>
        <w:numPr>
          <w:ilvl w:val="0"/>
          <w:numId w:val="46"/>
        </w:numPr>
        <w:tabs>
          <w:tab w:val="left" w:pos="284"/>
          <w:tab w:val="left" w:pos="426"/>
        </w:tabs>
        <w:ind w:right="-2"/>
        <w:jc w:val="both"/>
      </w:pPr>
      <w:proofErr w:type="spellStart"/>
      <w:r w:rsidRPr="005F67BF">
        <w:t>Zahabnazouri</w:t>
      </w:r>
      <w:proofErr w:type="spellEnd"/>
      <w:r w:rsidRPr="005F67BF">
        <w:t xml:space="preserve">, S., Belmont, P., David, S., Wigand, P. E., Elia, M., &amp; </w:t>
      </w:r>
      <w:proofErr w:type="spellStart"/>
      <w:r w:rsidRPr="005F67BF">
        <w:t>Capolongo</w:t>
      </w:r>
      <w:proofErr w:type="spellEnd"/>
      <w:r w:rsidRPr="005F67BF">
        <w:t xml:space="preserve">, D. (2025). Detecting Burn Severity and Vegetation Recovery After Fire Using </w:t>
      </w:r>
      <w:proofErr w:type="spellStart"/>
      <w:r w:rsidRPr="005F67BF">
        <w:t>dNBR</w:t>
      </w:r>
      <w:proofErr w:type="spellEnd"/>
      <w:r w:rsidRPr="005F67BF">
        <w:t xml:space="preserve"> and </w:t>
      </w:r>
      <w:proofErr w:type="spellStart"/>
      <w:r w:rsidRPr="005F67BF">
        <w:t>dNDVI</w:t>
      </w:r>
      <w:proofErr w:type="spellEnd"/>
      <w:r w:rsidRPr="005F67BF">
        <w:t xml:space="preserve"> Indices: Insight from the Bosco </w:t>
      </w:r>
      <w:proofErr w:type="spellStart"/>
      <w:r w:rsidRPr="005F67BF">
        <w:t>Difesa</w:t>
      </w:r>
      <w:proofErr w:type="spellEnd"/>
      <w:r w:rsidRPr="005F67BF">
        <w:t xml:space="preserve"> Grande, </w:t>
      </w:r>
      <w:proofErr w:type="spellStart"/>
      <w:r w:rsidRPr="005F67BF">
        <w:t>Gravina</w:t>
      </w:r>
      <w:proofErr w:type="spellEnd"/>
      <w:r w:rsidRPr="005F67BF">
        <w:t xml:space="preserve"> in Southern Italy. Sensors, 25(10), 3097. </w:t>
      </w:r>
      <w:hyperlink r:id="rId75" w:history="1">
        <w:r w:rsidRPr="00004101">
          <w:rPr>
            <w:rStyle w:val="Hyperlink"/>
          </w:rPr>
          <w:t>https://doi.org/10.3390/s25103097</w:t>
        </w:r>
      </w:hyperlink>
      <w:r>
        <w:t xml:space="preserve"> </w:t>
      </w:r>
    </w:p>
    <w:p w14:paraId="59D95048" w14:textId="77777777" w:rsidR="00F87617" w:rsidRDefault="00F87617" w:rsidP="00DF4E1B">
      <w:pPr>
        <w:pStyle w:val="ListParagraph"/>
        <w:numPr>
          <w:ilvl w:val="0"/>
          <w:numId w:val="46"/>
        </w:numPr>
        <w:jc w:val="both"/>
        <w:rPr>
          <w:lang w:bidi="fa-IR"/>
        </w:rPr>
      </w:pPr>
      <w:r w:rsidRPr="005F67BF">
        <w:rPr>
          <w:lang w:bidi="fa-IR"/>
        </w:rPr>
        <w:t xml:space="preserve">Zhang, Z., Li, Q., Liu, C., &amp; Chen, Y. (2025). A Study on the Zoning Method of Flash Flood Control for Mountainous Cities: A Case Study of Yunnan Province. Applied Sciences, 15(9), 4781. </w:t>
      </w:r>
      <w:hyperlink r:id="rId76" w:history="1">
        <w:r w:rsidRPr="00004101">
          <w:rPr>
            <w:rStyle w:val="Hyperlink"/>
            <w:lang w:bidi="fa-IR"/>
          </w:rPr>
          <w:t>https://doi.org/10.3390/app15094781</w:t>
        </w:r>
      </w:hyperlink>
      <w:r>
        <w:rPr>
          <w:lang w:bidi="fa-IR"/>
        </w:rPr>
        <w:t xml:space="preserve"> </w:t>
      </w:r>
    </w:p>
    <w:p w14:paraId="00E9B679" w14:textId="77777777" w:rsidR="00F87617" w:rsidRPr="00044B76" w:rsidRDefault="00F87617" w:rsidP="00DF4E1B">
      <w:pPr>
        <w:pStyle w:val="ListParagraph"/>
        <w:numPr>
          <w:ilvl w:val="0"/>
          <w:numId w:val="46"/>
        </w:numPr>
        <w:jc w:val="both"/>
        <w:rPr>
          <w:rStyle w:val="Hyperlink"/>
          <w:color w:val="auto"/>
          <w:u w:val="none"/>
          <w:lang w:bidi="fa-IR"/>
        </w:rPr>
      </w:pPr>
      <w:r w:rsidRPr="005F67BF">
        <w:rPr>
          <w:lang w:bidi="fa-IR"/>
        </w:rPr>
        <w:t xml:space="preserve">Zhong, Z., Wang, X., He, Y., Cai, S., &amp; Tong, H. (2025). Exceptional Backwater Effects on Wedge Storages and Flood Stages in a Large River-Type Reservoir: HEC-RAS Modeling of </w:t>
      </w:r>
      <w:proofErr w:type="spellStart"/>
      <w:r w:rsidRPr="005F67BF">
        <w:rPr>
          <w:lang w:bidi="fa-IR"/>
        </w:rPr>
        <w:t>Feilaixia</w:t>
      </w:r>
      <w:proofErr w:type="spellEnd"/>
      <w:r w:rsidRPr="005F67BF">
        <w:rPr>
          <w:lang w:bidi="fa-IR"/>
        </w:rPr>
        <w:t xml:space="preserve"> Gorge in the North River, South China. Water, 17(10), 1447. </w:t>
      </w:r>
      <w:hyperlink r:id="rId77" w:history="1">
        <w:r w:rsidRPr="00004101">
          <w:rPr>
            <w:rStyle w:val="Hyperlink"/>
            <w:lang w:bidi="fa-IR"/>
          </w:rPr>
          <w:t>https://doi.org/10.3390/w17101447</w:t>
        </w:r>
      </w:hyperlink>
    </w:p>
    <w:p w14:paraId="72210D8A" w14:textId="399181BD" w:rsidR="00F338F9" w:rsidRPr="00E40133" w:rsidRDefault="00F338F9" w:rsidP="00F338F9">
      <w:pPr>
        <w:rPr>
          <w:rtl/>
        </w:rPr>
      </w:pPr>
    </w:p>
    <w:sectPr w:rsidR="00F338F9" w:rsidRPr="00E40133" w:rsidSect="00C43E62">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2A849" w14:textId="77777777" w:rsidR="00A35FCD" w:rsidRDefault="00A35FCD" w:rsidP="004B4141">
      <w:r>
        <w:separator/>
      </w:r>
    </w:p>
  </w:endnote>
  <w:endnote w:type="continuationSeparator" w:id="0">
    <w:p w14:paraId="72F1D592" w14:textId="77777777" w:rsidR="00A35FCD" w:rsidRDefault="00A35FCD" w:rsidP="004B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58F1" w14:textId="77777777" w:rsidR="00F963E2" w:rsidRDefault="00F96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0258C" w14:textId="77777777" w:rsidR="00F963E2" w:rsidRDefault="00F963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B6F57" w14:textId="77777777" w:rsidR="00F963E2" w:rsidRDefault="00F9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41594" w14:textId="77777777" w:rsidR="00A35FCD" w:rsidRDefault="00A35FCD" w:rsidP="004B4141">
      <w:r>
        <w:separator/>
      </w:r>
    </w:p>
  </w:footnote>
  <w:footnote w:type="continuationSeparator" w:id="0">
    <w:p w14:paraId="366AB6A4" w14:textId="77777777" w:rsidR="00A35FCD" w:rsidRDefault="00A35FCD" w:rsidP="004B4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5D7A8" w14:textId="1717C737" w:rsidR="00F963E2" w:rsidRDefault="00A35FCD">
    <w:pPr>
      <w:pStyle w:val="Header"/>
    </w:pPr>
    <w:r>
      <w:rPr>
        <w:noProof/>
      </w:rPr>
      <w:pict w14:anchorId="0FFA7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44459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FE7D6" w14:textId="44C0A73C" w:rsidR="00F963E2" w:rsidRDefault="00A35FCD">
    <w:pPr>
      <w:pStyle w:val="Header"/>
    </w:pPr>
    <w:r>
      <w:rPr>
        <w:noProof/>
      </w:rPr>
      <w:pict w14:anchorId="4CD93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44459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C94C" w14:textId="5DD14D3A" w:rsidR="00F963E2" w:rsidRDefault="00A35FCD">
    <w:pPr>
      <w:pStyle w:val="Header"/>
    </w:pPr>
    <w:r>
      <w:rPr>
        <w:noProof/>
      </w:rPr>
      <w:pict w14:anchorId="1F5D6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44459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C38FB"/>
    <w:multiLevelType w:val="hybridMultilevel"/>
    <w:tmpl w:val="859C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A1815"/>
    <w:multiLevelType w:val="hybridMultilevel"/>
    <w:tmpl w:val="17D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1E53"/>
    <w:multiLevelType w:val="multilevel"/>
    <w:tmpl w:val="DBEEB918"/>
    <w:lvl w:ilvl="0">
      <w:start w:val="1"/>
      <w:numFmt w:val="decimal"/>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numFmt w:val="none"/>
      <w:lvlText w:val=""/>
      <w:lvlJc w:val="left"/>
      <w:pPr>
        <w:tabs>
          <w:tab w:val="num" w:pos="360"/>
        </w:tabs>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pStyle w:val="a"/>
      <w:lvlText w:val="%6"/>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C5F38F0"/>
    <w:multiLevelType w:val="multilevel"/>
    <w:tmpl w:val="0320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87B9E"/>
    <w:multiLevelType w:val="hybridMultilevel"/>
    <w:tmpl w:val="8188ADFE"/>
    <w:lvl w:ilvl="0" w:tplc="62E2DBE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81D8B"/>
    <w:multiLevelType w:val="multilevel"/>
    <w:tmpl w:val="4CF6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32EBA"/>
    <w:multiLevelType w:val="hybridMultilevel"/>
    <w:tmpl w:val="AA24989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15:restartNumberingAfterBreak="0">
    <w:nsid w:val="1D7014DF"/>
    <w:multiLevelType w:val="multilevel"/>
    <w:tmpl w:val="A8C0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A79C3"/>
    <w:multiLevelType w:val="multilevel"/>
    <w:tmpl w:val="F1C6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26D0F"/>
    <w:multiLevelType w:val="hybridMultilevel"/>
    <w:tmpl w:val="317A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018F5"/>
    <w:multiLevelType w:val="hybridMultilevel"/>
    <w:tmpl w:val="6D5A7AE8"/>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1" w15:restartNumberingAfterBreak="0">
    <w:nsid w:val="211F65F2"/>
    <w:multiLevelType w:val="multilevel"/>
    <w:tmpl w:val="6498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A7704"/>
    <w:multiLevelType w:val="hybridMultilevel"/>
    <w:tmpl w:val="62F0F5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22D25"/>
    <w:multiLevelType w:val="hybridMultilevel"/>
    <w:tmpl w:val="2E76AEB0"/>
    <w:lvl w:ilvl="0" w:tplc="8CD8E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575DB"/>
    <w:multiLevelType w:val="multilevel"/>
    <w:tmpl w:val="32FE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AF170D"/>
    <w:multiLevelType w:val="hybridMultilevel"/>
    <w:tmpl w:val="E95C0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C24221"/>
    <w:multiLevelType w:val="hybridMultilevel"/>
    <w:tmpl w:val="7B0E51AE"/>
    <w:lvl w:ilvl="0" w:tplc="101678F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243B4F"/>
    <w:multiLevelType w:val="multilevel"/>
    <w:tmpl w:val="F0C4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5506E5"/>
    <w:multiLevelType w:val="hybridMultilevel"/>
    <w:tmpl w:val="D9E2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847C18"/>
    <w:multiLevelType w:val="multilevel"/>
    <w:tmpl w:val="E6D0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281D65"/>
    <w:multiLevelType w:val="hybridMultilevel"/>
    <w:tmpl w:val="93F25132"/>
    <w:lvl w:ilvl="0" w:tplc="584E393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76E6B"/>
    <w:multiLevelType w:val="hybridMultilevel"/>
    <w:tmpl w:val="9A740410"/>
    <w:lvl w:ilvl="0" w:tplc="04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80547"/>
    <w:multiLevelType w:val="multilevel"/>
    <w:tmpl w:val="6E56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273EBF"/>
    <w:multiLevelType w:val="hybridMultilevel"/>
    <w:tmpl w:val="173A51FE"/>
    <w:lvl w:ilvl="0" w:tplc="76786B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F3DC0"/>
    <w:multiLevelType w:val="hybridMultilevel"/>
    <w:tmpl w:val="F0F0B4D0"/>
    <w:lvl w:ilvl="0" w:tplc="E5E04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C4C9A"/>
    <w:multiLevelType w:val="hybridMultilevel"/>
    <w:tmpl w:val="F9BA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9D1C27"/>
    <w:multiLevelType w:val="hybridMultilevel"/>
    <w:tmpl w:val="0A8E33AC"/>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7" w15:restartNumberingAfterBreak="0">
    <w:nsid w:val="4E0E23B7"/>
    <w:multiLevelType w:val="hybridMultilevel"/>
    <w:tmpl w:val="B1709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35A49"/>
    <w:multiLevelType w:val="hybridMultilevel"/>
    <w:tmpl w:val="D20A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AE1706"/>
    <w:multiLevelType w:val="hybridMultilevel"/>
    <w:tmpl w:val="21FABDA2"/>
    <w:lvl w:ilvl="0" w:tplc="A740D9A0">
      <w:start w:val="1"/>
      <w:numFmt w:val="decimal"/>
      <w:lvlText w:val="%1."/>
      <w:lvlJc w:val="left"/>
      <w:pPr>
        <w:ind w:left="720" w:hanging="360"/>
      </w:pPr>
      <w:rPr>
        <w:rFonts w:cs="B Nazanin"/>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BF21C1"/>
    <w:multiLevelType w:val="multilevel"/>
    <w:tmpl w:val="27DC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AE5035"/>
    <w:multiLevelType w:val="hybridMultilevel"/>
    <w:tmpl w:val="B04E5560"/>
    <w:lvl w:ilvl="0" w:tplc="76786B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495970"/>
    <w:multiLevelType w:val="hybridMultilevel"/>
    <w:tmpl w:val="EE1074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6344B96"/>
    <w:multiLevelType w:val="hybridMultilevel"/>
    <w:tmpl w:val="1E52B782"/>
    <w:lvl w:ilvl="0" w:tplc="9A5EB8B8">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860A40"/>
    <w:multiLevelType w:val="hybridMultilevel"/>
    <w:tmpl w:val="518A9FF0"/>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6B52E92"/>
    <w:multiLevelType w:val="multilevel"/>
    <w:tmpl w:val="B010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F241E5"/>
    <w:multiLevelType w:val="hybridMultilevel"/>
    <w:tmpl w:val="C958DEDC"/>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D571FD"/>
    <w:multiLevelType w:val="hybridMultilevel"/>
    <w:tmpl w:val="75FC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F71CC4"/>
    <w:multiLevelType w:val="hybridMultilevel"/>
    <w:tmpl w:val="FFB8ECC0"/>
    <w:lvl w:ilvl="0" w:tplc="2DA0D452">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B718B6"/>
    <w:multiLevelType w:val="hybridMultilevel"/>
    <w:tmpl w:val="351A9CE2"/>
    <w:lvl w:ilvl="0" w:tplc="04090001">
      <w:start w:val="1"/>
      <w:numFmt w:val="bullet"/>
      <w:lvlText w:val=""/>
      <w:lvlJc w:val="left"/>
      <w:pPr>
        <w:ind w:left="1080" w:hanging="360"/>
      </w:pPr>
      <w:rPr>
        <w:rFonts w:ascii="Symbol" w:hAnsi="Symbol"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6547340"/>
    <w:multiLevelType w:val="hybridMultilevel"/>
    <w:tmpl w:val="3DA2F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1120025"/>
    <w:multiLevelType w:val="hybridMultilevel"/>
    <w:tmpl w:val="73A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044A4D"/>
    <w:multiLevelType w:val="multilevel"/>
    <w:tmpl w:val="7E68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C1317D"/>
    <w:multiLevelType w:val="hybridMultilevel"/>
    <w:tmpl w:val="FEA22C3C"/>
    <w:lvl w:ilvl="0" w:tplc="6F7A0E7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9E26A4"/>
    <w:multiLevelType w:val="hybridMultilevel"/>
    <w:tmpl w:val="0C4C3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662AFA"/>
    <w:multiLevelType w:val="multilevel"/>
    <w:tmpl w:val="D9D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6"/>
  </w:num>
  <w:num w:numId="3">
    <w:abstractNumId w:val="18"/>
  </w:num>
  <w:num w:numId="4">
    <w:abstractNumId w:val="10"/>
  </w:num>
  <w:num w:numId="5">
    <w:abstractNumId w:val="40"/>
  </w:num>
  <w:num w:numId="6">
    <w:abstractNumId w:val="2"/>
  </w:num>
  <w:num w:numId="7">
    <w:abstractNumId w:val="34"/>
  </w:num>
  <w:num w:numId="8">
    <w:abstractNumId w:val="7"/>
  </w:num>
  <w:num w:numId="9">
    <w:abstractNumId w:val="36"/>
  </w:num>
  <w:num w:numId="10">
    <w:abstractNumId w:val="30"/>
  </w:num>
  <w:num w:numId="11">
    <w:abstractNumId w:val="42"/>
  </w:num>
  <w:num w:numId="12">
    <w:abstractNumId w:val="39"/>
  </w:num>
  <w:num w:numId="13">
    <w:abstractNumId w:val="6"/>
  </w:num>
  <w:num w:numId="14">
    <w:abstractNumId w:val="1"/>
  </w:num>
  <w:num w:numId="15">
    <w:abstractNumId w:val="41"/>
  </w:num>
  <w:num w:numId="16">
    <w:abstractNumId w:val="20"/>
  </w:num>
  <w:num w:numId="17">
    <w:abstractNumId w:val="9"/>
  </w:num>
  <w:num w:numId="18">
    <w:abstractNumId w:val="37"/>
  </w:num>
  <w:num w:numId="19">
    <w:abstractNumId w:val="15"/>
  </w:num>
  <w:num w:numId="20">
    <w:abstractNumId w:val="8"/>
  </w:num>
  <w:num w:numId="21">
    <w:abstractNumId w:val="11"/>
  </w:num>
  <w:num w:numId="22">
    <w:abstractNumId w:val="4"/>
  </w:num>
  <w:num w:numId="23">
    <w:abstractNumId w:val="33"/>
  </w:num>
  <w:num w:numId="24">
    <w:abstractNumId w:val="14"/>
  </w:num>
  <w:num w:numId="25">
    <w:abstractNumId w:val="19"/>
  </w:num>
  <w:num w:numId="26">
    <w:abstractNumId w:val="5"/>
  </w:num>
  <w:num w:numId="27">
    <w:abstractNumId w:val="3"/>
  </w:num>
  <w:num w:numId="28">
    <w:abstractNumId w:val="38"/>
  </w:num>
  <w:num w:numId="29">
    <w:abstractNumId w:val="13"/>
  </w:num>
  <w:num w:numId="30">
    <w:abstractNumId w:val="24"/>
  </w:num>
  <w:num w:numId="31">
    <w:abstractNumId w:val="16"/>
  </w:num>
  <w:num w:numId="32">
    <w:abstractNumId w:val="43"/>
  </w:num>
  <w:num w:numId="33">
    <w:abstractNumId w:val="29"/>
  </w:num>
  <w:num w:numId="34">
    <w:abstractNumId w:val="25"/>
  </w:num>
  <w:num w:numId="35">
    <w:abstractNumId w:val="12"/>
  </w:num>
  <w:num w:numId="36">
    <w:abstractNumId w:val="0"/>
  </w:num>
  <w:num w:numId="37">
    <w:abstractNumId w:val="28"/>
  </w:num>
  <w:num w:numId="38">
    <w:abstractNumId w:val="35"/>
  </w:num>
  <w:num w:numId="39">
    <w:abstractNumId w:val="22"/>
  </w:num>
  <w:num w:numId="40">
    <w:abstractNumId w:val="44"/>
  </w:num>
  <w:num w:numId="41">
    <w:abstractNumId w:val="21"/>
  </w:num>
  <w:num w:numId="42">
    <w:abstractNumId w:val="45"/>
  </w:num>
  <w:num w:numId="43">
    <w:abstractNumId w:val="27"/>
  </w:num>
  <w:num w:numId="44">
    <w:abstractNumId w:val="23"/>
  </w:num>
  <w:num w:numId="45">
    <w:abstractNumId w:val="31"/>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437"/>
    <w:rsid w:val="00004DF5"/>
    <w:rsid w:val="00023023"/>
    <w:rsid w:val="0002356B"/>
    <w:rsid w:val="00023684"/>
    <w:rsid w:val="00024372"/>
    <w:rsid w:val="00030517"/>
    <w:rsid w:val="000402E2"/>
    <w:rsid w:val="00042721"/>
    <w:rsid w:val="00044B76"/>
    <w:rsid w:val="0005117D"/>
    <w:rsid w:val="000607E6"/>
    <w:rsid w:val="00063F73"/>
    <w:rsid w:val="000658F2"/>
    <w:rsid w:val="00065B06"/>
    <w:rsid w:val="00066259"/>
    <w:rsid w:val="000722F0"/>
    <w:rsid w:val="0007357B"/>
    <w:rsid w:val="00073C59"/>
    <w:rsid w:val="000763EB"/>
    <w:rsid w:val="000A17D6"/>
    <w:rsid w:val="000A3A59"/>
    <w:rsid w:val="000B1487"/>
    <w:rsid w:val="000C0AF5"/>
    <w:rsid w:val="000C32AE"/>
    <w:rsid w:val="000C3F1A"/>
    <w:rsid w:val="000D2350"/>
    <w:rsid w:val="000E151E"/>
    <w:rsid w:val="000E46C7"/>
    <w:rsid w:val="000E4A64"/>
    <w:rsid w:val="000F062C"/>
    <w:rsid w:val="00112B2C"/>
    <w:rsid w:val="00121851"/>
    <w:rsid w:val="001232E6"/>
    <w:rsid w:val="001328CD"/>
    <w:rsid w:val="00150294"/>
    <w:rsid w:val="00155082"/>
    <w:rsid w:val="001575DC"/>
    <w:rsid w:val="0016202F"/>
    <w:rsid w:val="00165F49"/>
    <w:rsid w:val="001738CE"/>
    <w:rsid w:val="001741FF"/>
    <w:rsid w:val="001840CA"/>
    <w:rsid w:val="0018569A"/>
    <w:rsid w:val="00190B31"/>
    <w:rsid w:val="00193BE0"/>
    <w:rsid w:val="00196A9E"/>
    <w:rsid w:val="001C1BE2"/>
    <w:rsid w:val="001C443C"/>
    <w:rsid w:val="001C7263"/>
    <w:rsid w:val="001D5F03"/>
    <w:rsid w:val="001E2214"/>
    <w:rsid w:val="00205DC2"/>
    <w:rsid w:val="0021261D"/>
    <w:rsid w:val="0021286F"/>
    <w:rsid w:val="00213274"/>
    <w:rsid w:val="00215AA3"/>
    <w:rsid w:val="0021670C"/>
    <w:rsid w:val="00223975"/>
    <w:rsid w:val="002244D4"/>
    <w:rsid w:val="00230A0E"/>
    <w:rsid w:val="002323FE"/>
    <w:rsid w:val="00232DC4"/>
    <w:rsid w:val="002377F9"/>
    <w:rsid w:val="00247C4F"/>
    <w:rsid w:val="00254498"/>
    <w:rsid w:val="00270E07"/>
    <w:rsid w:val="00273980"/>
    <w:rsid w:val="00273D82"/>
    <w:rsid w:val="002837AD"/>
    <w:rsid w:val="00294F91"/>
    <w:rsid w:val="002A31E8"/>
    <w:rsid w:val="002A34BE"/>
    <w:rsid w:val="002A50B2"/>
    <w:rsid w:val="002B7243"/>
    <w:rsid w:val="002C2F74"/>
    <w:rsid w:val="002C2FF1"/>
    <w:rsid w:val="002C54D5"/>
    <w:rsid w:val="002C732B"/>
    <w:rsid w:val="002F3FA4"/>
    <w:rsid w:val="003016B8"/>
    <w:rsid w:val="003026DB"/>
    <w:rsid w:val="00304BDD"/>
    <w:rsid w:val="0031089B"/>
    <w:rsid w:val="00313C4D"/>
    <w:rsid w:val="0033553E"/>
    <w:rsid w:val="003378EC"/>
    <w:rsid w:val="003609B4"/>
    <w:rsid w:val="00363FD2"/>
    <w:rsid w:val="003718E5"/>
    <w:rsid w:val="003729DC"/>
    <w:rsid w:val="003733C0"/>
    <w:rsid w:val="00374367"/>
    <w:rsid w:val="003801BC"/>
    <w:rsid w:val="00383C73"/>
    <w:rsid w:val="00384B5F"/>
    <w:rsid w:val="003910CE"/>
    <w:rsid w:val="003931F8"/>
    <w:rsid w:val="003A0E40"/>
    <w:rsid w:val="003A3307"/>
    <w:rsid w:val="003B0DE8"/>
    <w:rsid w:val="003B4911"/>
    <w:rsid w:val="003B5DBE"/>
    <w:rsid w:val="003D590A"/>
    <w:rsid w:val="003D77D7"/>
    <w:rsid w:val="003E1519"/>
    <w:rsid w:val="003E3223"/>
    <w:rsid w:val="003E34C1"/>
    <w:rsid w:val="003E5D65"/>
    <w:rsid w:val="003F04B1"/>
    <w:rsid w:val="003F70F1"/>
    <w:rsid w:val="003F79FA"/>
    <w:rsid w:val="00402C38"/>
    <w:rsid w:val="00407087"/>
    <w:rsid w:val="0041333C"/>
    <w:rsid w:val="00416246"/>
    <w:rsid w:val="004164E9"/>
    <w:rsid w:val="0041670F"/>
    <w:rsid w:val="00421C2B"/>
    <w:rsid w:val="004236D4"/>
    <w:rsid w:val="00425379"/>
    <w:rsid w:val="00430287"/>
    <w:rsid w:val="00430EDB"/>
    <w:rsid w:val="00444196"/>
    <w:rsid w:val="0044500E"/>
    <w:rsid w:val="00445A40"/>
    <w:rsid w:val="00456F71"/>
    <w:rsid w:val="00465299"/>
    <w:rsid w:val="004732C9"/>
    <w:rsid w:val="00474A10"/>
    <w:rsid w:val="0047597D"/>
    <w:rsid w:val="004765AA"/>
    <w:rsid w:val="00494E9C"/>
    <w:rsid w:val="004951F2"/>
    <w:rsid w:val="004A11C8"/>
    <w:rsid w:val="004B08E3"/>
    <w:rsid w:val="004B1D73"/>
    <w:rsid w:val="004B4141"/>
    <w:rsid w:val="004C3BF3"/>
    <w:rsid w:val="004C444D"/>
    <w:rsid w:val="004C60E5"/>
    <w:rsid w:val="004D096C"/>
    <w:rsid w:val="004D4070"/>
    <w:rsid w:val="004E5D3E"/>
    <w:rsid w:val="004E7685"/>
    <w:rsid w:val="0050505C"/>
    <w:rsid w:val="005166F5"/>
    <w:rsid w:val="00520C83"/>
    <w:rsid w:val="00526B94"/>
    <w:rsid w:val="00535669"/>
    <w:rsid w:val="00540B56"/>
    <w:rsid w:val="00542CC6"/>
    <w:rsid w:val="00547235"/>
    <w:rsid w:val="00550251"/>
    <w:rsid w:val="00553BA5"/>
    <w:rsid w:val="0056026E"/>
    <w:rsid w:val="00561ECA"/>
    <w:rsid w:val="005731C4"/>
    <w:rsid w:val="00575561"/>
    <w:rsid w:val="0058201D"/>
    <w:rsid w:val="0058295E"/>
    <w:rsid w:val="0058380C"/>
    <w:rsid w:val="005840E2"/>
    <w:rsid w:val="0058696D"/>
    <w:rsid w:val="00595D5B"/>
    <w:rsid w:val="00596202"/>
    <w:rsid w:val="005A1680"/>
    <w:rsid w:val="005A6568"/>
    <w:rsid w:val="005A67F4"/>
    <w:rsid w:val="005B0339"/>
    <w:rsid w:val="005B06D5"/>
    <w:rsid w:val="005B0DF5"/>
    <w:rsid w:val="005B1288"/>
    <w:rsid w:val="005B2518"/>
    <w:rsid w:val="005B3986"/>
    <w:rsid w:val="005B45CE"/>
    <w:rsid w:val="005C2EA3"/>
    <w:rsid w:val="005C6508"/>
    <w:rsid w:val="005D204E"/>
    <w:rsid w:val="005D2600"/>
    <w:rsid w:val="005E281C"/>
    <w:rsid w:val="005F67BF"/>
    <w:rsid w:val="006060CB"/>
    <w:rsid w:val="0061616D"/>
    <w:rsid w:val="00616585"/>
    <w:rsid w:val="00626661"/>
    <w:rsid w:val="00637436"/>
    <w:rsid w:val="00637D3F"/>
    <w:rsid w:val="00642614"/>
    <w:rsid w:val="006473FC"/>
    <w:rsid w:val="00650589"/>
    <w:rsid w:val="006660B8"/>
    <w:rsid w:val="00671ED5"/>
    <w:rsid w:val="006770C6"/>
    <w:rsid w:val="00680F7D"/>
    <w:rsid w:val="00685C8C"/>
    <w:rsid w:val="00690F08"/>
    <w:rsid w:val="00691386"/>
    <w:rsid w:val="006B57D9"/>
    <w:rsid w:val="006C751E"/>
    <w:rsid w:val="006C7AD2"/>
    <w:rsid w:val="006D74C0"/>
    <w:rsid w:val="006E7E53"/>
    <w:rsid w:val="006F0F40"/>
    <w:rsid w:val="006F1B50"/>
    <w:rsid w:val="006F2102"/>
    <w:rsid w:val="006F3C4F"/>
    <w:rsid w:val="006F5852"/>
    <w:rsid w:val="006F7DDF"/>
    <w:rsid w:val="007037FE"/>
    <w:rsid w:val="00707DFF"/>
    <w:rsid w:val="0071527C"/>
    <w:rsid w:val="007234E5"/>
    <w:rsid w:val="00731364"/>
    <w:rsid w:val="00731E70"/>
    <w:rsid w:val="0073502A"/>
    <w:rsid w:val="00736D07"/>
    <w:rsid w:val="00740631"/>
    <w:rsid w:val="0074522A"/>
    <w:rsid w:val="00745A99"/>
    <w:rsid w:val="007471BC"/>
    <w:rsid w:val="00747A89"/>
    <w:rsid w:val="00752059"/>
    <w:rsid w:val="00757B4C"/>
    <w:rsid w:val="00757EE7"/>
    <w:rsid w:val="007606E3"/>
    <w:rsid w:val="00760793"/>
    <w:rsid w:val="007635BE"/>
    <w:rsid w:val="00777B83"/>
    <w:rsid w:val="00786784"/>
    <w:rsid w:val="007937C6"/>
    <w:rsid w:val="007A164E"/>
    <w:rsid w:val="007C3B0F"/>
    <w:rsid w:val="007C42F5"/>
    <w:rsid w:val="007E1084"/>
    <w:rsid w:val="00800012"/>
    <w:rsid w:val="008045B2"/>
    <w:rsid w:val="00807020"/>
    <w:rsid w:val="00807204"/>
    <w:rsid w:val="00817250"/>
    <w:rsid w:val="00822350"/>
    <w:rsid w:val="00822960"/>
    <w:rsid w:val="008255A2"/>
    <w:rsid w:val="008317CC"/>
    <w:rsid w:val="00850078"/>
    <w:rsid w:val="00854763"/>
    <w:rsid w:val="00855F1F"/>
    <w:rsid w:val="008637B0"/>
    <w:rsid w:val="0086572A"/>
    <w:rsid w:val="00874B9A"/>
    <w:rsid w:val="0088083E"/>
    <w:rsid w:val="0088559A"/>
    <w:rsid w:val="00886222"/>
    <w:rsid w:val="008A0D06"/>
    <w:rsid w:val="008B0E96"/>
    <w:rsid w:val="008C0B0B"/>
    <w:rsid w:val="008C33C1"/>
    <w:rsid w:val="008D20A7"/>
    <w:rsid w:val="008D244D"/>
    <w:rsid w:val="008D2702"/>
    <w:rsid w:val="008D3991"/>
    <w:rsid w:val="008E2823"/>
    <w:rsid w:val="008F7F4A"/>
    <w:rsid w:val="009015C3"/>
    <w:rsid w:val="00902808"/>
    <w:rsid w:val="009032C2"/>
    <w:rsid w:val="009041D4"/>
    <w:rsid w:val="0090539D"/>
    <w:rsid w:val="00913EA2"/>
    <w:rsid w:val="00914D0B"/>
    <w:rsid w:val="0091540D"/>
    <w:rsid w:val="00923F8E"/>
    <w:rsid w:val="00940FE5"/>
    <w:rsid w:val="0094449A"/>
    <w:rsid w:val="00951683"/>
    <w:rsid w:val="009526B0"/>
    <w:rsid w:val="00960A20"/>
    <w:rsid w:val="00966D4B"/>
    <w:rsid w:val="009703B1"/>
    <w:rsid w:val="0097660F"/>
    <w:rsid w:val="00981B9E"/>
    <w:rsid w:val="009A1B70"/>
    <w:rsid w:val="009A2837"/>
    <w:rsid w:val="009B1E52"/>
    <w:rsid w:val="009B32DA"/>
    <w:rsid w:val="009B42B9"/>
    <w:rsid w:val="009C4101"/>
    <w:rsid w:val="009D04B9"/>
    <w:rsid w:val="009D0689"/>
    <w:rsid w:val="009D2BB7"/>
    <w:rsid w:val="009D6E77"/>
    <w:rsid w:val="009E01BB"/>
    <w:rsid w:val="009E0CC8"/>
    <w:rsid w:val="009E2361"/>
    <w:rsid w:val="009E5D9D"/>
    <w:rsid w:val="009F2ED9"/>
    <w:rsid w:val="009F6786"/>
    <w:rsid w:val="009F7CBD"/>
    <w:rsid w:val="00A0639F"/>
    <w:rsid w:val="00A13175"/>
    <w:rsid w:val="00A3093E"/>
    <w:rsid w:val="00A332E4"/>
    <w:rsid w:val="00A342B8"/>
    <w:rsid w:val="00A34561"/>
    <w:rsid w:val="00A35FCD"/>
    <w:rsid w:val="00A40BD0"/>
    <w:rsid w:val="00A553B2"/>
    <w:rsid w:val="00A61070"/>
    <w:rsid w:val="00A6400E"/>
    <w:rsid w:val="00A7257D"/>
    <w:rsid w:val="00A76EAE"/>
    <w:rsid w:val="00A808F8"/>
    <w:rsid w:val="00A81437"/>
    <w:rsid w:val="00A83363"/>
    <w:rsid w:val="00A85C67"/>
    <w:rsid w:val="00A957D9"/>
    <w:rsid w:val="00AB0667"/>
    <w:rsid w:val="00AC05F0"/>
    <w:rsid w:val="00AD2FC9"/>
    <w:rsid w:val="00AE2D83"/>
    <w:rsid w:val="00AF119B"/>
    <w:rsid w:val="00B0706F"/>
    <w:rsid w:val="00B13153"/>
    <w:rsid w:val="00B15379"/>
    <w:rsid w:val="00B16E9C"/>
    <w:rsid w:val="00B178F2"/>
    <w:rsid w:val="00B30CFC"/>
    <w:rsid w:val="00B47EE1"/>
    <w:rsid w:val="00B642A6"/>
    <w:rsid w:val="00B74B58"/>
    <w:rsid w:val="00B75E8A"/>
    <w:rsid w:val="00B771AA"/>
    <w:rsid w:val="00B77411"/>
    <w:rsid w:val="00B80696"/>
    <w:rsid w:val="00B97FF1"/>
    <w:rsid w:val="00BA07EA"/>
    <w:rsid w:val="00BA0F23"/>
    <w:rsid w:val="00BB5E6C"/>
    <w:rsid w:val="00BC0750"/>
    <w:rsid w:val="00BC1A6A"/>
    <w:rsid w:val="00BC5E28"/>
    <w:rsid w:val="00BD0345"/>
    <w:rsid w:val="00BD158C"/>
    <w:rsid w:val="00BD2F76"/>
    <w:rsid w:val="00BE47E7"/>
    <w:rsid w:val="00BE577E"/>
    <w:rsid w:val="00BE5AA2"/>
    <w:rsid w:val="00BE72A7"/>
    <w:rsid w:val="00BF00A5"/>
    <w:rsid w:val="00BF6FB2"/>
    <w:rsid w:val="00C20A46"/>
    <w:rsid w:val="00C25DAC"/>
    <w:rsid w:val="00C27971"/>
    <w:rsid w:val="00C322B8"/>
    <w:rsid w:val="00C422A4"/>
    <w:rsid w:val="00C43E62"/>
    <w:rsid w:val="00C509B6"/>
    <w:rsid w:val="00C53117"/>
    <w:rsid w:val="00C53AA7"/>
    <w:rsid w:val="00C552E6"/>
    <w:rsid w:val="00C625DA"/>
    <w:rsid w:val="00C66258"/>
    <w:rsid w:val="00C712BB"/>
    <w:rsid w:val="00C737F4"/>
    <w:rsid w:val="00C749D1"/>
    <w:rsid w:val="00C76A15"/>
    <w:rsid w:val="00C77989"/>
    <w:rsid w:val="00C83822"/>
    <w:rsid w:val="00C868BB"/>
    <w:rsid w:val="00C9275B"/>
    <w:rsid w:val="00C93C17"/>
    <w:rsid w:val="00C963C4"/>
    <w:rsid w:val="00C9709F"/>
    <w:rsid w:val="00C97579"/>
    <w:rsid w:val="00CD311C"/>
    <w:rsid w:val="00CD7A04"/>
    <w:rsid w:val="00CF3001"/>
    <w:rsid w:val="00D079B7"/>
    <w:rsid w:val="00D130BA"/>
    <w:rsid w:val="00D131F0"/>
    <w:rsid w:val="00D2181D"/>
    <w:rsid w:val="00D23251"/>
    <w:rsid w:val="00D2665D"/>
    <w:rsid w:val="00D321FD"/>
    <w:rsid w:val="00D3230B"/>
    <w:rsid w:val="00D35E7A"/>
    <w:rsid w:val="00D37358"/>
    <w:rsid w:val="00D37F76"/>
    <w:rsid w:val="00D414B6"/>
    <w:rsid w:val="00D4162F"/>
    <w:rsid w:val="00D465D6"/>
    <w:rsid w:val="00D475F2"/>
    <w:rsid w:val="00D644A6"/>
    <w:rsid w:val="00D67B8B"/>
    <w:rsid w:val="00D746A4"/>
    <w:rsid w:val="00D75466"/>
    <w:rsid w:val="00D77D06"/>
    <w:rsid w:val="00D80FEC"/>
    <w:rsid w:val="00D82B8C"/>
    <w:rsid w:val="00D852F9"/>
    <w:rsid w:val="00D91BB1"/>
    <w:rsid w:val="00D94A54"/>
    <w:rsid w:val="00D94A5D"/>
    <w:rsid w:val="00D95E08"/>
    <w:rsid w:val="00DA0EA9"/>
    <w:rsid w:val="00DA17D1"/>
    <w:rsid w:val="00DA7900"/>
    <w:rsid w:val="00DB21CB"/>
    <w:rsid w:val="00DC5163"/>
    <w:rsid w:val="00DC5EDA"/>
    <w:rsid w:val="00DD1613"/>
    <w:rsid w:val="00DF4E1B"/>
    <w:rsid w:val="00DF5C7B"/>
    <w:rsid w:val="00DF622B"/>
    <w:rsid w:val="00E018BA"/>
    <w:rsid w:val="00E06360"/>
    <w:rsid w:val="00E104D2"/>
    <w:rsid w:val="00E12EE9"/>
    <w:rsid w:val="00E13186"/>
    <w:rsid w:val="00E1688E"/>
    <w:rsid w:val="00E25E09"/>
    <w:rsid w:val="00E264B1"/>
    <w:rsid w:val="00E26EEB"/>
    <w:rsid w:val="00E27F0D"/>
    <w:rsid w:val="00E35755"/>
    <w:rsid w:val="00E36780"/>
    <w:rsid w:val="00E40133"/>
    <w:rsid w:val="00E42215"/>
    <w:rsid w:val="00E45FCE"/>
    <w:rsid w:val="00E5125C"/>
    <w:rsid w:val="00E52E8F"/>
    <w:rsid w:val="00E65921"/>
    <w:rsid w:val="00E71D7A"/>
    <w:rsid w:val="00E72C5A"/>
    <w:rsid w:val="00E73982"/>
    <w:rsid w:val="00E73A5B"/>
    <w:rsid w:val="00E75B01"/>
    <w:rsid w:val="00E83ADA"/>
    <w:rsid w:val="00E90260"/>
    <w:rsid w:val="00E91BDC"/>
    <w:rsid w:val="00E938D6"/>
    <w:rsid w:val="00E9538F"/>
    <w:rsid w:val="00EA30AA"/>
    <w:rsid w:val="00EA41A3"/>
    <w:rsid w:val="00EA6CDB"/>
    <w:rsid w:val="00EB046D"/>
    <w:rsid w:val="00EB2F1D"/>
    <w:rsid w:val="00EB361B"/>
    <w:rsid w:val="00EC2C1B"/>
    <w:rsid w:val="00EC5E1F"/>
    <w:rsid w:val="00EC6036"/>
    <w:rsid w:val="00ED7D6F"/>
    <w:rsid w:val="00EE5953"/>
    <w:rsid w:val="00EE70EB"/>
    <w:rsid w:val="00EE7FE8"/>
    <w:rsid w:val="00EF6272"/>
    <w:rsid w:val="00EF7495"/>
    <w:rsid w:val="00EF7B8B"/>
    <w:rsid w:val="00F01FAF"/>
    <w:rsid w:val="00F23F07"/>
    <w:rsid w:val="00F338F9"/>
    <w:rsid w:val="00F36731"/>
    <w:rsid w:val="00F63040"/>
    <w:rsid w:val="00F72343"/>
    <w:rsid w:val="00F87617"/>
    <w:rsid w:val="00F90652"/>
    <w:rsid w:val="00F933C9"/>
    <w:rsid w:val="00F95EF6"/>
    <w:rsid w:val="00F963E2"/>
    <w:rsid w:val="00FA18B2"/>
    <w:rsid w:val="00FA2583"/>
    <w:rsid w:val="00FA7440"/>
    <w:rsid w:val="00FB1C9E"/>
    <w:rsid w:val="00FB1EA0"/>
    <w:rsid w:val="00FB2479"/>
    <w:rsid w:val="00FB4A23"/>
    <w:rsid w:val="00FC2437"/>
    <w:rsid w:val="00FC3AB0"/>
    <w:rsid w:val="00FE0BD4"/>
    <w:rsid w:val="00FE22AD"/>
    <w:rsid w:val="00FE2A9E"/>
    <w:rsid w:val="00FF7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B0C7F5"/>
  <w15:chartTrackingRefBased/>
  <w15:docId w15:val="{05E38772-DA48-4858-90A6-56E5DD8E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670C"/>
    <w:pPr>
      <w:bidi w:val="0"/>
      <w:spacing w:after="0" w:line="240" w:lineRule="auto"/>
    </w:pPr>
    <w:rPr>
      <w:rFonts w:ascii="Times New Roman" w:hAnsi="Times New Roman"/>
    </w:rPr>
  </w:style>
  <w:style w:type="paragraph" w:styleId="Heading1">
    <w:name w:val="heading 1"/>
    <w:basedOn w:val="Normal"/>
    <w:next w:val="Normal"/>
    <w:link w:val="Heading1Char"/>
    <w:uiPriority w:val="9"/>
    <w:qFormat/>
    <w:rsid w:val="00A814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4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4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4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4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4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4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4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4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4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4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4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4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4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4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4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4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437"/>
    <w:rPr>
      <w:rFonts w:eastAsiaTheme="majorEastAsia" w:cstheme="majorBidi"/>
      <w:color w:val="272727" w:themeColor="text1" w:themeTint="D8"/>
    </w:rPr>
  </w:style>
  <w:style w:type="paragraph" w:styleId="Title">
    <w:name w:val="Title"/>
    <w:basedOn w:val="Normal"/>
    <w:next w:val="Normal"/>
    <w:link w:val="TitleChar"/>
    <w:uiPriority w:val="10"/>
    <w:qFormat/>
    <w:rsid w:val="00A814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4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4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4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437"/>
    <w:pPr>
      <w:spacing w:before="160"/>
      <w:jc w:val="center"/>
    </w:pPr>
    <w:rPr>
      <w:i/>
      <w:iCs/>
      <w:color w:val="404040" w:themeColor="text1" w:themeTint="BF"/>
    </w:rPr>
  </w:style>
  <w:style w:type="character" w:customStyle="1" w:styleId="QuoteChar">
    <w:name w:val="Quote Char"/>
    <w:basedOn w:val="DefaultParagraphFont"/>
    <w:link w:val="Quote"/>
    <w:uiPriority w:val="29"/>
    <w:rsid w:val="00A81437"/>
    <w:rPr>
      <w:i/>
      <w:iCs/>
      <w:color w:val="404040" w:themeColor="text1" w:themeTint="BF"/>
    </w:rPr>
  </w:style>
  <w:style w:type="paragraph" w:styleId="ListParagraph">
    <w:name w:val="List Paragraph"/>
    <w:aliases w:val="لیست,زیرنویس2,heading2,heading4,saber List Paragraph,Numbered Items"/>
    <w:basedOn w:val="Normal"/>
    <w:link w:val="ListParagraphChar"/>
    <w:uiPriority w:val="34"/>
    <w:qFormat/>
    <w:rsid w:val="00A81437"/>
    <w:pPr>
      <w:ind w:left="720"/>
      <w:contextualSpacing/>
    </w:pPr>
  </w:style>
  <w:style w:type="character" w:styleId="IntenseEmphasis">
    <w:name w:val="Intense Emphasis"/>
    <w:basedOn w:val="DefaultParagraphFont"/>
    <w:uiPriority w:val="21"/>
    <w:qFormat/>
    <w:rsid w:val="00A81437"/>
    <w:rPr>
      <w:i/>
      <w:iCs/>
      <w:color w:val="2F5496" w:themeColor="accent1" w:themeShade="BF"/>
    </w:rPr>
  </w:style>
  <w:style w:type="paragraph" w:styleId="IntenseQuote">
    <w:name w:val="Intense Quote"/>
    <w:basedOn w:val="Normal"/>
    <w:next w:val="Normal"/>
    <w:link w:val="IntenseQuoteChar"/>
    <w:uiPriority w:val="30"/>
    <w:qFormat/>
    <w:rsid w:val="00A814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437"/>
    <w:rPr>
      <w:i/>
      <w:iCs/>
      <w:color w:val="2F5496" w:themeColor="accent1" w:themeShade="BF"/>
    </w:rPr>
  </w:style>
  <w:style w:type="character" w:styleId="IntenseReference">
    <w:name w:val="Intense Reference"/>
    <w:basedOn w:val="DefaultParagraphFont"/>
    <w:uiPriority w:val="32"/>
    <w:qFormat/>
    <w:rsid w:val="00A81437"/>
    <w:rPr>
      <w:b/>
      <w:bCs/>
      <w:smallCaps/>
      <w:color w:val="2F5496" w:themeColor="accent1" w:themeShade="BF"/>
      <w:spacing w:val="5"/>
    </w:rPr>
  </w:style>
  <w:style w:type="paragraph" w:styleId="NormalWeb">
    <w:name w:val="Normal (Web)"/>
    <w:basedOn w:val="Normal"/>
    <w:uiPriority w:val="99"/>
    <w:unhideWhenUsed/>
    <w:rsid w:val="004E7685"/>
    <w:rPr>
      <w:rFonts w:cs="Times New Roman"/>
      <w:sz w:val="24"/>
      <w:szCs w:val="24"/>
    </w:rPr>
  </w:style>
  <w:style w:type="character" w:styleId="Hyperlink">
    <w:name w:val="Hyperlink"/>
    <w:uiPriority w:val="99"/>
    <w:unhideWhenUsed/>
    <w:rsid w:val="00D37F76"/>
    <w:rPr>
      <w:color w:val="0000FF"/>
      <w:u w:val="single"/>
    </w:rPr>
  </w:style>
  <w:style w:type="character" w:customStyle="1" w:styleId="ListParagraphChar">
    <w:name w:val="List Paragraph Char"/>
    <w:aliases w:val="لیست Char,زیرنویس2 Char,heading2 Char,heading4 Char,saber List Paragraph Char,Numbered Items Char"/>
    <w:link w:val="ListParagraph"/>
    <w:uiPriority w:val="34"/>
    <w:rsid w:val="00D37F76"/>
  </w:style>
  <w:style w:type="character" w:customStyle="1" w:styleId="text">
    <w:name w:val="text"/>
    <w:rsid w:val="0018569A"/>
  </w:style>
  <w:style w:type="character" w:styleId="Emphasis">
    <w:name w:val="Emphasis"/>
    <w:basedOn w:val="DefaultParagraphFont"/>
    <w:uiPriority w:val="20"/>
    <w:qFormat/>
    <w:rsid w:val="008637B0"/>
    <w:rPr>
      <w:i/>
      <w:iCs/>
    </w:rPr>
  </w:style>
  <w:style w:type="numbering" w:customStyle="1" w:styleId="NoList1">
    <w:name w:val="No List1"/>
    <w:next w:val="NoList"/>
    <w:uiPriority w:val="99"/>
    <w:semiHidden/>
    <w:unhideWhenUsed/>
    <w:rsid w:val="00065B06"/>
  </w:style>
  <w:style w:type="paragraph" w:customStyle="1" w:styleId="a">
    <w:name w:val="زيرنويس شکل"/>
    <w:next w:val="Normal"/>
    <w:autoRedefine/>
    <w:qFormat/>
    <w:rsid w:val="00065B06"/>
    <w:pPr>
      <w:widowControl w:val="0"/>
      <w:numPr>
        <w:ilvl w:val="5"/>
        <w:numId w:val="6"/>
      </w:numPr>
      <w:tabs>
        <w:tab w:val="right" w:pos="22"/>
      </w:tabs>
      <w:adjustRightInd w:val="0"/>
      <w:snapToGrid w:val="0"/>
      <w:spacing w:after="360" w:line="204" w:lineRule="auto"/>
      <w:jc w:val="both"/>
      <w:outlineLvl w:val="5"/>
    </w:pPr>
    <w:rPr>
      <w:rFonts w:ascii="Times New Roman" w:eastAsia="Times New Roman" w:hAnsi="Times New Roman" w:cs="B Nazanin"/>
      <w:sz w:val="18"/>
      <w:szCs w:val="24"/>
      <w:lang w:bidi="fa-IR"/>
      <w14:ligatures w14:val="none"/>
    </w:rPr>
  </w:style>
  <w:style w:type="paragraph" w:styleId="FootnoteText">
    <w:name w:val="footnote text"/>
    <w:basedOn w:val="Normal"/>
    <w:link w:val="FootnoteTextChar"/>
    <w:uiPriority w:val="99"/>
    <w:semiHidden/>
    <w:unhideWhenUsed/>
    <w:rsid w:val="00065B06"/>
    <w:rPr>
      <w:rFonts w:cs="B Nazanin"/>
      <w:sz w:val="20"/>
      <w:szCs w:val="20"/>
      <w:lang w:bidi="fa-IR"/>
      <w14:ligatures w14:val="none"/>
    </w:rPr>
  </w:style>
  <w:style w:type="character" w:customStyle="1" w:styleId="FootnoteTextChar">
    <w:name w:val="Footnote Text Char"/>
    <w:basedOn w:val="DefaultParagraphFont"/>
    <w:link w:val="FootnoteText"/>
    <w:uiPriority w:val="99"/>
    <w:semiHidden/>
    <w:rsid w:val="00065B06"/>
    <w:rPr>
      <w:rFonts w:ascii="Times New Roman" w:hAnsi="Times New Roman" w:cs="B Nazanin"/>
      <w:sz w:val="20"/>
      <w:szCs w:val="20"/>
      <w:lang w:bidi="fa-IR"/>
      <w14:ligatures w14:val="none"/>
    </w:rPr>
  </w:style>
  <w:style w:type="character" w:styleId="FootnoteReference">
    <w:name w:val="footnote reference"/>
    <w:aliases w:val="شماره زيرنويس"/>
    <w:basedOn w:val="DefaultParagraphFont"/>
    <w:uiPriority w:val="99"/>
    <w:unhideWhenUsed/>
    <w:rsid w:val="00065B06"/>
    <w:rPr>
      <w:vertAlign w:val="superscript"/>
    </w:rPr>
  </w:style>
  <w:style w:type="paragraph" w:styleId="Header">
    <w:name w:val="header"/>
    <w:basedOn w:val="Normal"/>
    <w:link w:val="HeaderChar"/>
    <w:uiPriority w:val="99"/>
    <w:unhideWhenUsed/>
    <w:rsid w:val="00065B06"/>
    <w:pPr>
      <w:tabs>
        <w:tab w:val="center" w:pos="4513"/>
        <w:tab w:val="right" w:pos="9026"/>
      </w:tabs>
    </w:pPr>
    <w:rPr>
      <w:rFonts w:cs="B Nazanin"/>
      <w:szCs w:val="24"/>
      <w:lang w:bidi="fa-IR"/>
      <w14:ligatures w14:val="none"/>
    </w:rPr>
  </w:style>
  <w:style w:type="character" w:customStyle="1" w:styleId="HeaderChar">
    <w:name w:val="Header Char"/>
    <w:basedOn w:val="DefaultParagraphFont"/>
    <w:link w:val="Header"/>
    <w:uiPriority w:val="99"/>
    <w:rsid w:val="00065B06"/>
    <w:rPr>
      <w:rFonts w:ascii="Times New Roman" w:hAnsi="Times New Roman" w:cs="B Nazanin"/>
      <w:szCs w:val="24"/>
      <w:lang w:bidi="fa-IR"/>
      <w14:ligatures w14:val="none"/>
    </w:rPr>
  </w:style>
  <w:style w:type="paragraph" w:styleId="Footer">
    <w:name w:val="footer"/>
    <w:basedOn w:val="Normal"/>
    <w:link w:val="FooterChar"/>
    <w:uiPriority w:val="99"/>
    <w:unhideWhenUsed/>
    <w:rsid w:val="00065B06"/>
    <w:pPr>
      <w:tabs>
        <w:tab w:val="center" w:pos="4513"/>
        <w:tab w:val="right" w:pos="9026"/>
      </w:tabs>
    </w:pPr>
    <w:rPr>
      <w:rFonts w:cs="B Nazanin"/>
      <w:szCs w:val="24"/>
      <w:lang w:bidi="fa-IR"/>
      <w14:ligatures w14:val="none"/>
    </w:rPr>
  </w:style>
  <w:style w:type="character" w:customStyle="1" w:styleId="FooterChar">
    <w:name w:val="Footer Char"/>
    <w:basedOn w:val="DefaultParagraphFont"/>
    <w:link w:val="Footer"/>
    <w:uiPriority w:val="99"/>
    <w:rsid w:val="00065B06"/>
    <w:rPr>
      <w:rFonts w:ascii="Times New Roman" w:hAnsi="Times New Roman" w:cs="B Nazanin"/>
      <w:szCs w:val="24"/>
      <w:lang w:bidi="fa-IR"/>
      <w14:ligatures w14:val="none"/>
    </w:rPr>
  </w:style>
  <w:style w:type="table" w:styleId="TableGrid">
    <w:name w:val="Table Grid"/>
    <w:basedOn w:val="TableNormal"/>
    <w:uiPriority w:val="39"/>
    <w:rsid w:val="00065B06"/>
    <w:pPr>
      <w:bidi w:val="0"/>
      <w:spacing w:after="0" w:line="240" w:lineRule="auto"/>
    </w:pPr>
    <w:rPr>
      <w:rFonts w:ascii="Times New Roman" w:hAnsi="Times New Roman" w:cs="B Nazanin"/>
      <w:sz w:val="30"/>
      <w:szCs w:val="28"/>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5B06"/>
    <w:rPr>
      <w:b/>
      <w:bCs/>
    </w:rPr>
  </w:style>
  <w:style w:type="table" w:customStyle="1" w:styleId="TableGrid1">
    <w:name w:val="Table Grid1"/>
    <w:basedOn w:val="TableNormal"/>
    <w:next w:val="TableGrid"/>
    <w:uiPriority w:val="39"/>
    <w:rsid w:val="00065B06"/>
    <w:pPr>
      <w:bidi w:val="0"/>
      <w:spacing w:after="0" w:line="240" w:lineRule="auto"/>
    </w:pPr>
    <w:rPr>
      <w:rFonts w:ascii="Calibri" w:hAnsi="Calibri" w:cs="Arial"/>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5B06"/>
    <w:pPr>
      <w:bidi w:val="0"/>
      <w:spacing w:after="0" w:line="240" w:lineRule="auto"/>
    </w:pPr>
    <w:rPr>
      <w:rFonts w:ascii="Calibri" w:hAnsi="Calibri" w:cs="Arial"/>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5B06"/>
    <w:pPr>
      <w:widowControl w:val="0"/>
      <w:jc w:val="center"/>
    </w:pPr>
    <w:rPr>
      <w:rFonts w:eastAsia="Calibri" w:cs="B Nazanin"/>
      <w:sz w:val="20"/>
      <w14:ligatures w14:val="none"/>
    </w:rPr>
  </w:style>
  <w:style w:type="character" w:styleId="LineNumber">
    <w:name w:val="line number"/>
    <w:basedOn w:val="DefaultParagraphFont"/>
    <w:uiPriority w:val="99"/>
    <w:semiHidden/>
    <w:unhideWhenUsed/>
    <w:rsid w:val="00E91BDC"/>
  </w:style>
  <w:style w:type="table" w:customStyle="1" w:styleId="TableGrid3">
    <w:name w:val="Table Grid3"/>
    <w:basedOn w:val="TableNormal"/>
    <w:next w:val="TableGrid"/>
    <w:uiPriority w:val="59"/>
    <w:rsid w:val="00855F1F"/>
    <w:pPr>
      <w:bidi w:val="0"/>
      <w:spacing w:after="0" w:line="240" w:lineRule="auto"/>
    </w:pPr>
    <w:rPr>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33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6231">
      <w:bodyDiv w:val="1"/>
      <w:marLeft w:val="0"/>
      <w:marRight w:val="0"/>
      <w:marTop w:val="0"/>
      <w:marBottom w:val="0"/>
      <w:divBdr>
        <w:top w:val="none" w:sz="0" w:space="0" w:color="auto"/>
        <w:left w:val="none" w:sz="0" w:space="0" w:color="auto"/>
        <w:bottom w:val="none" w:sz="0" w:space="0" w:color="auto"/>
        <w:right w:val="none" w:sz="0" w:space="0" w:color="auto"/>
      </w:divBdr>
    </w:div>
    <w:div w:id="22288689">
      <w:bodyDiv w:val="1"/>
      <w:marLeft w:val="0"/>
      <w:marRight w:val="0"/>
      <w:marTop w:val="0"/>
      <w:marBottom w:val="0"/>
      <w:divBdr>
        <w:top w:val="none" w:sz="0" w:space="0" w:color="auto"/>
        <w:left w:val="none" w:sz="0" w:space="0" w:color="auto"/>
        <w:bottom w:val="none" w:sz="0" w:space="0" w:color="auto"/>
        <w:right w:val="none" w:sz="0" w:space="0" w:color="auto"/>
      </w:divBdr>
    </w:div>
    <w:div w:id="56786714">
      <w:bodyDiv w:val="1"/>
      <w:marLeft w:val="0"/>
      <w:marRight w:val="0"/>
      <w:marTop w:val="0"/>
      <w:marBottom w:val="0"/>
      <w:divBdr>
        <w:top w:val="none" w:sz="0" w:space="0" w:color="auto"/>
        <w:left w:val="none" w:sz="0" w:space="0" w:color="auto"/>
        <w:bottom w:val="none" w:sz="0" w:space="0" w:color="auto"/>
        <w:right w:val="none" w:sz="0" w:space="0" w:color="auto"/>
      </w:divBdr>
    </w:div>
    <w:div w:id="135538584">
      <w:bodyDiv w:val="1"/>
      <w:marLeft w:val="0"/>
      <w:marRight w:val="0"/>
      <w:marTop w:val="0"/>
      <w:marBottom w:val="0"/>
      <w:divBdr>
        <w:top w:val="none" w:sz="0" w:space="0" w:color="auto"/>
        <w:left w:val="none" w:sz="0" w:space="0" w:color="auto"/>
        <w:bottom w:val="none" w:sz="0" w:space="0" w:color="auto"/>
        <w:right w:val="none" w:sz="0" w:space="0" w:color="auto"/>
      </w:divBdr>
    </w:div>
    <w:div w:id="180432666">
      <w:bodyDiv w:val="1"/>
      <w:marLeft w:val="0"/>
      <w:marRight w:val="0"/>
      <w:marTop w:val="0"/>
      <w:marBottom w:val="0"/>
      <w:divBdr>
        <w:top w:val="none" w:sz="0" w:space="0" w:color="auto"/>
        <w:left w:val="none" w:sz="0" w:space="0" w:color="auto"/>
        <w:bottom w:val="none" w:sz="0" w:space="0" w:color="auto"/>
        <w:right w:val="none" w:sz="0" w:space="0" w:color="auto"/>
      </w:divBdr>
    </w:div>
    <w:div w:id="185606986">
      <w:bodyDiv w:val="1"/>
      <w:marLeft w:val="0"/>
      <w:marRight w:val="0"/>
      <w:marTop w:val="0"/>
      <w:marBottom w:val="0"/>
      <w:divBdr>
        <w:top w:val="none" w:sz="0" w:space="0" w:color="auto"/>
        <w:left w:val="none" w:sz="0" w:space="0" w:color="auto"/>
        <w:bottom w:val="none" w:sz="0" w:space="0" w:color="auto"/>
        <w:right w:val="none" w:sz="0" w:space="0" w:color="auto"/>
      </w:divBdr>
    </w:div>
    <w:div w:id="190611203">
      <w:bodyDiv w:val="1"/>
      <w:marLeft w:val="0"/>
      <w:marRight w:val="0"/>
      <w:marTop w:val="0"/>
      <w:marBottom w:val="0"/>
      <w:divBdr>
        <w:top w:val="none" w:sz="0" w:space="0" w:color="auto"/>
        <w:left w:val="none" w:sz="0" w:space="0" w:color="auto"/>
        <w:bottom w:val="none" w:sz="0" w:space="0" w:color="auto"/>
        <w:right w:val="none" w:sz="0" w:space="0" w:color="auto"/>
      </w:divBdr>
    </w:div>
    <w:div w:id="223639635">
      <w:bodyDiv w:val="1"/>
      <w:marLeft w:val="0"/>
      <w:marRight w:val="0"/>
      <w:marTop w:val="0"/>
      <w:marBottom w:val="0"/>
      <w:divBdr>
        <w:top w:val="none" w:sz="0" w:space="0" w:color="auto"/>
        <w:left w:val="none" w:sz="0" w:space="0" w:color="auto"/>
        <w:bottom w:val="none" w:sz="0" w:space="0" w:color="auto"/>
        <w:right w:val="none" w:sz="0" w:space="0" w:color="auto"/>
      </w:divBdr>
    </w:div>
    <w:div w:id="229272456">
      <w:bodyDiv w:val="1"/>
      <w:marLeft w:val="0"/>
      <w:marRight w:val="0"/>
      <w:marTop w:val="0"/>
      <w:marBottom w:val="0"/>
      <w:divBdr>
        <w:top w:val="none" w:sz="0" w:space="0" w:color="auto"/>
        <w:left w:val="none" w:sz="0" w:space="0" w:color="auto"/>
        <w:bottom w:val="none" w:sz="0" w:space="0" w:color="auto"/>
        <w:right w:val="none" w:sz="0" w:space="0" w:color="auto"/>
      </w:divBdr>
    </w:div>
    <w:div w:id="245304220">
      <w:bodyDiv w:val="1"/>
      <w:marLeft w:val="0"/>
      <w:marRight w:val="0"/>
      <w:marTop w:val="0"/>
      <w:marBottom w:val="0"/>
      <w:divBdr>
        <w:top w:val="none" w:sz="0" w:space="0" w:color="auto"/>
        <w:left w:val="none" w:sz="0" w:space="0" w:color="auto"/>
        <w:bottom w:val="none" w:sz="0" w:space="0" w:color="auto"/>
        <w:right w:val="none" w:sz="0" w:space="0" w:color="auto"/>
      </w:divBdr>
    </w:div>
    <w:div w:id="306203615">
      <w:bodyDiv w:val="1"/>
      <w:marLeft w:val="0"/>
      <w:marRight w:val="0"/>
      <w:marTop w:val="0"/>
      <w:marBottom w:val="0"/>
      <w:divBdr>
        <w:top w:val="none" w:sz="0" w:space="0" w:color="auto"/>
        <w:left w:val="none" w:sz="0" w:space="0" w:color="auto"/>
        <w:bottom w:val="none" w:sz="0" w:space="0" w:color="auto"/>
        <w:right w:val="none" w:sz="0" w:space="0" w:color="auto"/>
      </w:divBdr>
    </w:div>
    <w:div w:id="316037454">
      <w:bodyDiv w:val="1"/>
      <w:marLeft w:val="0"/>
      <w:marRight w:val="0"/>
      <w:marTop w:val="0"/>
      <w:marBottom w:val="0"/>
      <w:divBdr>
        <w:top w:val="none" w:sz="0" w:space="0" w:color="auto"/>
        <w:left w:val="none" w:sz="0" w:space="0" w:color="auto"/>
        <w:bottom w:val="none" w:sz="0" w:space="0" w:color="auto"/>
        <w:right w:val="none" w:sz="0" w:space="0" w:color="auto"/>
      </w:divBdr>
    </w:div>
    <w:div w:id="329256468">
      <w:bodyDiv w:val="1"/>
      <w:marLeft w:val="0"/>
      <w:marRight w:val="0"/>
      <w:marTop w:val="0"/>
      <w:marBottom w:val="0"/>
      <w:divBdr>
        <w:top w:val="none" w:sz="0" w:space="0" w:color="auto"/>
        <w:left w:val="none" w:sz="0" w:space="0" w:color="auto"/>
        <w:bottom w:val="none" w:sz="0" w:space="0" w:color="auto"/>
        <w:right w:val="none" w:sz="0" w:space="0" w:color="auto"/>
      </w:divBdr>
    </w:div>
    <w:div w:id="336154639">
      <w:bodyDiv w:val="1"/>
      <w:marLeft w:val="0"/>
      <w:marRight w:val="0"/>
      <w:marTop w:val="0"/>
      <w:marBottom w:val="0"/>
      <w:divBdr>
        <w:top w:val="none" w:sz="0" w:space="0" w:color="auto"/>
        <w:left w:val="none" w:sz="0" w:space="0" w:color="auto"/>
        <w:bottom w:val="none" w:sz="0" w:space="0" w:color="auto"/>
        <w:right w:val="none" w:sz="0" w:space="0" w:color="auto"/>
      </w:divBdr>
    </w:div>
    <w:div w:id="353187188">
      <w:bodyDiv w:val="1"/>
      <w:marLeft w:val="0"/>
      <w:marRight w:val="0"/>
      <w:marTop w:val="0"/>
      <w:marBottom w:val="0"/>
      <w:divBdr>
        <w:top w:val="none" w:sz="0" w:space="0" w:color="auto"/>
        <w:left w:val="none" w:sz="0" w:space="0" w:color="auto"/>
        <w:bottom w:val="none" w:sz="0" w:space="0" w:color="auto"/>
        <w:right w:val="none" w:sz="0" w:space="0" w:color="auto"/>
      </w:divBdr>
    </w:div>
    <w:div w:id="364017625">
      <w:bodyDiv w:val="1"/>
      <w:marLeft w:val="0"/>
      <w:marRight w:val="0"/>
      <w:marTop w:val="0"/>
      <w:marBottom w:val="0"/>
      <w:divBdr>
        <w:top w:val="none" w:sz="0" w:space="0" w:color="auto"/>
        <w:left w:val="none" w:sz="0" w:space="0" w:color="auto"/>
        <w:bottom w:val="none" w:sz="0" w:space="0" w:color="auto"/>
        <w:right w:val="none" w:sz="0" w:space="0" w:color="auto"/>
      </w:divBdr>
    </w:div>
    <w:div w:id="365525920">
      <w:bodyDiv w:val="1"/>
      <w:marLeft w:val="0"/>
      <w:marRight w:val="0"/>
      <w:marTop w:val="0"/>
      <w:marBottom w:val="0"/>
      <w:divBdr>
        <w:top w:val="none" w:sz="0" w:space="0" w:color="auto"/>
        <w:left w:val="none" w:sz="0" w:space="0" w:color="auto"/>
        <w:bottom w:val="none" w:sz="0" w:space="0" w:color="auto"/>
        <w:right w:val="none" w:sz="0" w:space="0" w:color="auto"/>
      </w:divBdr>
    </w:div>
    <w:div w:id="401176036">
      <w:bodyDiv w:val="1"/>
      <w:marLeft w:val="0"/>
      <w:marRight w:val="0"/>
      <w:marTop w:val="0"/>
      <w:marBottom w:val="0"/>
      <w:divBdr>
        <w:top w:val="none" w:sz="0" w:space="0" w:color="auto"/>
        <w:left w:val="none" w:sz="0" w:space="0" w:color="auto"/>
        <w:bottom w:val="none" w:sz="0" w:space="0" w:color="auto"/>
        <w:right w:val="none" w:sz="0" w:space="0" w:color="auto"/>
      </w:divBdr>
    </w:div>
    <w:div w:id="403067051">
      <w:bodyDiv w:val="1"/>
      <w:marLeft w:val="0"/>
      <w:marRight w:val="0"/>
      <w:marTop w:val="0"/>
      <w:marBottom w:val="0"/>
      <w:divBdr>
        <w:top w:val="none" w:sz="0" w:space="0" w:color="auto"/>
        <w:left w:val="none" w:sz="0" w:space="0" w:color="auto"/>
        <w:bottom w:val="none" w:sz="0" w:space="0" w:color="auto"/>
        <w:right w:val="none" w:sz="0" w:space="0" w:color="auto"/>
      </w:divBdr>
    </w:div>
    <w:div w:id="412898470">
      <w:bodyDiv w:val="1"/>
      <w:marLeft w:val="0"/>
      <w:marRight w:val="0"/>
      <w:marTop w:val="0"/>
      <w:marBottom w:val="0"/>
      <w:divBdr>
        <w:top w:val="none" w:sz="0" w:space="0" w:color="auto"/>
        <w:left w:val="none" w:sz="0" w:space="0" w:color="auto"/>
        <w:bottom w:val="none" w:sz="0" w:space="0" w:color="auto"/>
        <w:right w:val="none" w:sz="0" w:space="0" w:color="auto"/>
      </w:divBdr>
    </w:div>
    <w:div w:id="414789199">
      <w:bodyDiv w:val="1"/>
      <w:marLeft w:val="0"/>
      <w:marRight w:val="0"/>
      <w:marTop w:val="0"/>
      <w:marBottom w:val="0"/>
      <w:divBdr>
        <w:top w:val="none" w:sz="0" w:space="0" w:color="auto"/>
        <w:left w:val="none" w:sz="0" w:space="0" w:color="auto"/>
        <w:bottom w:val="none" w:sz="0" w:space="0" w:color="auto"/>
        <w:right w:val="none" w:sz="0" w:space="0" w:color="auto"/>
      </w:divBdr>
    </w:div>
    <w:div w:id="416219627">
      <w:bodyDiv w:val="1"/>
      <w:marLeft w:val="0"/>
      <w:marRight w:val="0"/>
      <w:marTop w:val="0"/>
      <w:marBottom w:val="0"/>
      <w:divBdr>
        <w:top w:val="none" w:sz="0" w:space="0" w:color="auto"/>
        <w:left w:val="none" w:sz="0" w:space="0" w:color="auto"/>
        <w:bottom w:val="none" w:sz="0" w:space="0" w:color="auto"/>
        <w:right w:val="none" w:sz="0" w:space="0" w:color="auto"/>
      </w:divBdr>
    </w:div>
    <w:div w:id="420374154">
      <w:bodyDiv w:val="1"/>
      <w:marLeft w:val="0"/>
      <w:marRight w:val="0"/>
      <w:marTop w:val="0"/>
      <w:marBottom w:val="0"/>
      <w:divBdr>
        <w:top w:val="none" w:sz="0" w:space="0" w:color="auto"/>
        <w:left w:val="none" w:sz="0" w:space="0" w:color="auto"/>
        <w:bottom w:val="none" w:sz="0" w:space="0" w:color="auto"/>
        <w:right w:val="none" w:sz="0" w:space="0" w:color="auto"/>
      </w:divBdr>
    </w:div>
    <w:div w:id="447237540">
      <w:bodyDiv w:val="1"/>
      <w:marLeft w:val="0"/>
      <w:marRight w:val="0"/>
      <w:marTop w:val="0"/>
      <w:marBottom w:val="0"/>
      <w:divBdr>
        <w:top w:val="none" w:sz="0" w:space="0" w:color="auto"/>
        <w:left w:val="none" w:sz="0" w:space="0" w:color="auto"/>
        <w:bottom w:val="none" w:sz="0" w:space="0" w:color="auto"/>
        <w:right w:val="none" w:sz="0" w:space="0" w:color="auto"/>
      </w:divBdr>
    </w:div>
    <w:div w:id="489178291">
      <w:bodyDiv w:val="1"/>
      <w:marLeft w:val="0"/>
      <w:marRight w:val="0"/>
      <w:marTop w:val="0"/>
      <w:marBottom w:val="0"/>
      <w:divBdr>
        <w:top w:val="none" w:sz="0" w:space="0" w:color="auto"/>
        <w:left w:val="none" w:sz="0" w:space="0" w:color="auto"/>
        <w:bottom w:val="none" w:sz="0" w:space="0" w:color="auto"/>
        <w:right w:val="none" w:sz="0" w:space="0" w:color="auto"/>
      </w:divBdr>
    </w:div>
    <w:div w:id="532380016">
      <w:bodyDiv w:val="1"/>
      <w:marLeft w:val="0"/>
      <w:marRight w:val="0"/>
      <w:marTop w:val="0"/>
      <w:marBottom w:val="0"/>
      <w:divBdr>
        <w:top w:val="none" w:sz="0" w:space="0" w:color="auto"/>
        <w:left w:val="none" w:sz="0" w:space="0" w:color="auto"/>
        <w:bottom w:val="none" w:sz="0" w:space="0" w:color="auto"/>
        <w:right w:val="none" w:sz="0" w:space="0" w:color="auto"/>
      </w:divBdr>
    </w:div>
    <w:div w:id="542987009">
      <w:bodyDiv w:val="1"/>
      <w:marLeft w:val="0"/>
      <w:marRight w:val="0"/>
      <w:marTop w:val="0"/>
      <w:marBottom w:val="0"/>
      <w:divBdr>
        <w:top w:val="none" w:sz="0" w:space="0" w:color="auto"/>
        <w:left w:val="none" w:sz="0" w:space="0" w:color="auto"/>
        <w:bottom w:val="none" w:sz="0" w:space="0" w:color="auto"/>
        <w:right w:val="none" w:sz="0" w:space="0" w:color="auto"/>
      </w:divBdr>
    </w:div>
    <w:div w:id="552738948">
      <w:bodyDiv w:val="1"/>
      <w:marLeft w:val="0"/>
      <w:marRight w:val="0"/>
      <w:marTop w:val="0"/>
      <w:marBottom w:val="0"/>
      <w:divBdr>
        <w:top w:val="none" w:sz="0" w:space="0" w:color="auto"/>
        <w:left w:val="none" w:sz="0" w:space="0" w:color="auto"/>
        <w:bottom w:val="none" w:sz="0" w:space="0" w:color="auto"/>
        <w:right w:val="none" w:sz="0" w:space="0" w:color="auto"/>
      </w:divBdr>
    </w:div>
    <w:div w:id="604388249">
      <w:bodyDiv w:val="1"/>
      <w:marLeft w:val="0"/>
      <w:marRight w:val="0"/>
      <w:marTop w:val="0"/>
      <w:marBottom w:val="0"/>
      <w:divBdr>
        <w:top w:val="none" w:sz="0" w:space="0" w:color="auto"/>
        <w:left w:val="none" w:sz="0" w:space="0" w:color="auto"/>
        <w:bottom w:val="none" w:sz="0" w:space="0" w:color="auto"/>
        <w:right w:val="none" w:sz="0" w:space="0" w:color="auto"/>
      </w:divBdr>
    </w:div>
    <w:div w:id="630936180">
      <w:bodyDiv w:val="1"/>
      <w:marLeft w:val="0"/>
      <w:marRight w:val="0"/>
      <w:marTop w:val="0"/>
      <w:marBottom w:val="0"/>
      <w:divBdr>
        <w:top w:val="none" w:sz="0" w:space="0" w:color="auto"/>
        <w:left w:val="none" w:sz="0" w:space="0" w:color="auto"/>
        <w:bottom w:val="none" w:sz="0" w:space="0" w:color="auto"/>
        <w:right w:val="none" w:sz="0" w:space="0" w:color="auto"/>
      </w:divBdr>
    </w:div>
    <w:div w:id="668823964">
      <w:bodyDiv w:val="1"/>
      <w:marLeft w:val="0"/>
      <w:marRight w:val="0"/>
      <w:marTop w:val="0"/>
      <w:marBottom w:val="0"/>
      <w:divBdr>
        <w:top w:val="none" w:sz="0" w:space="0" w:color="auto"/>
        <w:left w:val="none" w:sz="0" w:space="0" w:color="auto"/>
        <w:bottom w:val="none" w:sz="0" w:space="0" w:color="auto"/>
        <w:right w:val="none" w:sz="0" w:space="0" w:color="auto"/>
      </w:divBdr>
    </w:div>
    <w:div w:id="701898718">
      <w:bodyDiv w:val="1"/>
      <w:marLeft w:val="0"/>
      <w:marRight w:val="0"/>
      <w:marTop w:val="0"/>
      <w:marBottom w:val="0"/>
      <w:divBdr>
        <w:top w:val="none" w:sz="0" w:space="0" w:color="auto"/>
        <w:left w:val="none" w:sz="0" w:space="0" w:color="auto"/>
        <w:bottom w:val="none" w:sz="0" w:space="0" w:color="auto"/>
        <w:right w:val="none" w:sz="0" w:space="0" w:color="auto"/>
      </w:divBdr>
    </w:div>
    <w:div w:id="702362484">
      <w:bodyDiv w:val="1"/>
      <w:marLeft w:val="0"/>
      <w:marRight w:val="0"/>
      <w:marTop w:val="0"/>
      <w:marBottom w:val="0"/>
      <w:divBdr>
        <w:top w:val="none" w:sz="0" w:space="0" w:color="auto"/>
        <w:left w:val="none" w:sz="0" w:space="0" w:color="auto"/>
        <w:bottom w:val="none" w:sz="0" w:space="0" w:color="auto"/>
        <w:right w:val="none" w:sz="0" w:space="0" w:color="auto"/>
      </w:divBdr>
    </w:div>
    <w:div w:id="703477582">
      <w:bodyDiv w:val="1"/>
      <w:marLeft w:val="0"/>
      <w:marRight w:val="0"/>
      <w:marTop w:val="0"/>
      <w:marBottom w:val="0"/>
      <w:divBdr>
        <w:top w:val="none" w:sz="0" w:space="0" w:color="auto"/>
        <w:left w:val="none" w:sz="0" w:space="0" w:color="auto"/>
        <w:bottom w:val="none" w:sz="0" w:space="0" w:color="auto"/>
        <w:right w:val="none" w:sz="0" w:space="0" w:color="auto"/>
      </w:divBdr>
    </w:div>
    <w:div w:id="717556370">
      <w:bodyDiv w:val="1"/>
      <w:marLeft w:val="0"/>
      <w:marRight w:val="0"/>
      <w:marTop w:val="0"/>
      <w:marBottom w:val="0"/>
      <w:divBdr>
        <w:top w:val="none" w:sz="0" w:space="0" w:color="auto"/>
        <w:left w:val="none" w:sz="0" w:space="0" w:color="auto"/>
        <w:bottom w:val="none" w:sz="0" w:space="0" w:color="auto"/>
        <w:right w:val="none" w:sz="0" w:space="0" w:color="auto"/>
      </w:divBdr>
    </w:div>
    <w:div w:id="724528640">
      <w:bodyDiv w:val="1"/>
      <w:marLeft w:val="0"/>
      <w:marRight w:val="0"/>
      <w:marTop w:val="0"/>
      <w:marBottom w:val="0"/>
      <w:divBdr>
        <w:top w:val="none" w:sz="0" w:space="0" w:color="auto"/>
        <w:left w:val="none" w:sz="0" w:space="0" w:color="auto"/>
        <w:bottom w:val="none" w:sz="0" w:space="0" w:color="auto"/>
        <w:right w:val="none" w:sz="0" w:space="0" w:color="auto"/>
      </w:divBdr>
    </w:div>
    <w:div w:id="801381436">
      <w:bodyDiv w:val="1"/>
      <w:marLeft w:val="0"/>
      <w:marRight w:val="0"/>
      <w:marTop w:val="0"/>
      <w:marBottom w:val="0"/>
      <w:divBdr>
        <w:top w:val="none" w:sz="0" w:space="0" w:color="auto"/>
        <w:left w:val="none" w:sz="0" w:space="0" w:color="auto"/>
        <w:bottom w:val="none" w:sz="0" w:space="0" w:color="auto"/>
        <w:right w:val="none" w:sz="0" w:space="0" w:color="auto"/>
      </w:divBdr>
    </w:div>
    <w:div w:id="867448368">
      <w:bodyDiv w:val="1"/>
      <w:marLeft w:val="0"/>
      <w:marRight w:val="0"/>
      <w:marTop w:val="0"/>
      <w:marBottom w:val="0"/>
      <w:divBdr>
        <w:top w:val="none" w:sz="0" w:space="0" w:color="auto"/>
        <w:left w:val="none" w:sz="0" w:space="0" w:color="auto"/>
        <w:bottom w:val="none" w:sz="0" w:space="0" w:color="auto"/>
        <w:right w:val="none" w:sz="0" w:space="0" w:color="auto"/>
      </w:divBdr>
    </w:div>
    <w:div w:id="879587834">
      <w:bodyDiv w:val="1"/>
      <w:marLeft w:val="0"/>
      <w:marRight w:val="0"/>
      <w:marTop w:val="0"/>
      <w:marBottom w:val="0"/>
      <w:divBdr>
        <w:top w:val="none" w:sz="0" w:space="0" w:color="auto"/>
        <w:left w:val="none" w:sz="0" w:space="0" w:color="auto"/>
        <w:bottom w:val="none" w:sz="0" w:space="0" w:color="auto"/>
        <w:right w:val="none" w:sz="0" w:space="0" w:color="auto"/>
      </w:divBdr>
    </w:div>
    <w:div w:id="932393554">
      <w:bodyDiv w:val="1"/>
      <w:marLeft w:val="0"/>
      <w:marRight w:val="0"/>
      <w:marTop w:val="0"/>
      <w:marBottom w:val="0"/>
      <w:divBdr>
        <w:top w:val="none" w:sz="0" w:space="0" w:color="auto"/>
        <w:left w:val="none" w:sz="0" w:space="0" w:color="auto"/>
        <w:bottom w:val="none" w:sz="0" w:space="0" w:color="auto"/>
        <w:right w:val="none" w:sz="0" w:space="0" w:color="auto"/>
      </w:divBdr>
    </w:div>
    <w:div w:id="951397904">
      <w:bodyDiv w:val="1"/>
      <w:marLeft w:val="0"/>
      <w:marRight w:val="0"/>
      <w:marTop w:val="0"/>
      <w:marBottom w:val="0"/>
      <w:divBdr>
        <w:top w:val="none" w:sz="0" w:space="0" w:color="auto"/>
        <w:left w:val="none" w:sz="0" w:space="0" w:color="auto"/>
        <w:bottom w:val="none" w:sz="0" w:space="0" w:color="auto"/>
        <w:right w:val="none" w:sz="0" w:space="0" w:color="auto"/>
      </w:divBdr>
    </w:div>
    <w:div w:id="1014457681">
      <w:bodyDiv w:val="1"/>
      <w:marLeft w:val="0"/>
      <w:marRight w:val="0"/>
      <w:marTop w:val="0"/>
      <w:marBottom w:val="0"/>
      <w:divBdr>
        <w:top w:val="none" w:sz="0" w:space="0" w:color="auto"/>
        <w:left w:val="none" w:sz="0" w:space="0" w:color="auto"/>
        <w:bottom w:val="none" w:sz="0" w:space="0" w:color="auto"/>
        <w:right w:val="none" w:sz="0" w:space="0" w:color="auto"/>
      </w:divBdr>
    </w:div>
    <w:div w:id="1035886074">
      <w:bodyDiv w:val="1"/>
      <w:marLeft w:val="0"/>
      <w:marRight w:val="0"/>
      <w:marTop w:val="0"/>
      <w:marBottom w:val="0"/>
      <w:divBdr>
        <w:top w:val="none" w:sz="0" w:space="0" w:color="auto"/>
        <w:left w:val="none" w:sz="0" w:space="0" w:color="auto"/>
        <w:bottom w:val="none" w:sz="0" w:space="0" w:color="auto"/>
        <w:right w:val="none" w:sz="0" w:space="0" w:color="auto"/>
      </w:divBdr>
      <w:divsChild>
        <w:div w:id="372465981">
          <w:marLeft w:val="0"/>
          <w:marRight w:val="0"/>
          <w:marTop w:val="0"/>
          <w:marBottom w:val="0"/>
          <w:divBdr>
            <w:top w:val="single" w:sz="2" w:space="0" w:color="E5E7EB"/>
            <w:left w:val="single" w:sz="2" w:space="0" w:color="E5E7EB"/>
            <w:bottom w:val="single" w:sz="2" w:space="0" w:color="E5E7EB"/>
            <w:right w:val="single" w:sz="2" w:space="0" w:color="E5E7EB"/>
          </w:divBdr>
          <w:divsChild>
            <w:div w:id="337149755">
              <w:marLeft w:val="0"/>
              <w:marRight w:val="0"/>
              <w:marTop w:val="0"/>
              <w:marBottom w:val="0"/>
              <w:divBdr>
                <w:top w:val="single" w:sz="2" w:space="0" w:color="E5E7EB"/>
                <w:left w:val="single" w:sz="2" w:space="0" w:color="E5E7EB"/>
                <w:bottom w:val="single" w:sz="2" w:space="0" w:color="E5E7EB"/>
                <w:right w:val="single" w:sz="2" w:space="0" w:color="E5E7EB"/>
              </w:divBdr>
              <w:divsChild>
                <w:div w:id="1120958623">
                  <w:marLeft w:val="0"/>
                  <w:marRight w:val="0"/>
                  <w:marTop w:val="0"/>
                  <w:marBottom w:val="0"/>
                  <w:divBdr>
                    <w:top w:val="single" w:sz="2" w:space="0" w:color="E5E7EB"/>
                    <w:left w:val="single" w:sz="2" w:space="0" w:color="E5E7EB"/>
                    <w:bottom w:val="single" w:sz="2" w:space="0" w:color="E5E7EB"/>
                    <w:right w:val="single" w:sz="2" w:space="0" w:color="E5E7EB"/>
                  </w:divBdr>
                  <w:divsChild>
                    <w:div w:id="1606185160">
                      <w:marLeft w:val="0"/>
                      <w:marRight w:val="0"/>
                      <w:marTop w:val="0"/>
                      <w:marBottom w:val="0"/>
                      <w:divBdr>
                        <w:top w:val="single" w:sz="2" w:space="0" w:color="E5E7EB"/>
                        <w:left w:val="single" w:sz="2" w:space="0" w:color="E5E7EB"/>
                        <w:bottom w:val="single" w:sz="2" w:space="0" w:color="E5E7EB"/>
                        <w:right w:val="single" w:sz="2" w:space="0" w:color="E5E7EB"/>
                      </w:divBdr>
                      <w:divsChild>
                        <w:div w:id="961419368">
                          <w:marLeft w:val="0"/>
                          <w:marRight w:val="0"/>
                          <w:marTop w:val="100"/>
                          <w:marBottom w:val="100"/>
                          <w:divBdr>
                            <w:top w:val="single" w:sz="2" w:space="0" w:color="E5E7EB"/>
                            <w:left w:val="single" w:sz="2" w:space="0" w:color="E5E7EB"/>
                            <w:bottom w:val="single" w:sz="2" w:space="0" w:color="E5E7EB"/>
                            <w:right w:val="single" w:sz="2" w:space="0" w:color="E5E7EB"/>
                          </w:divBdr>
                          <w:divsChild>
                            <w:div w:id="1206715894">
                              <w:marLeft w:val="0"/>
                              <w:marRight w:val="0"/>
                              <w:marTop w:val="0"/>
                              <w:marBottom w:val="0"/>
                              <w:divBdr>
                                <w:top w:val="none" w:sz="0" w:space="0" w:color="auto"/>
                                <w:left w:val="none" w:sz="0" w:space="0" w:color="auto"/>
                                <w:bottom w:val="none" w:sz="0" w:space="0" w:color="auto"/>
                                <w:right w:val="none" w:sz="0" w:space="0" w:color="auto"/>
                              </w:divBdr>
                              <w:divsChild>
                                <w:div w:id="500242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36542418">
      <w:bodyDiv w:val="1"/>
      <w:marLeft w:val="0"/>
      <w:marRight w:val="0"/>
      <w:marTop w:val="0"/>
      <w:marBottom w:val="0"/>
      <w:divBdr>
        <w:top w:val="none" w:sz="0" w:space="0" w:color="auto"/>
        <w:left w:val="none" w:sz="0" w:space="0" w:color="auto"/>
        <w:bottom w:val="none" w:sz="0" w:space="0" w:color="auto"/>
        <w:right w:val="none" w:sz="0" w:space="0" w:color="auto"/>
      </w:divBdr>
    </w:div>
    <w:div w:id="1043210764">
      <w:bodyDiv w:val="1"/>
      <w:marLeft w:val="0"/>
      <w:marRight w:val="0"/>
      <w:marTop w:val="0"/>
      <w:marBottom w:val="0"/>
      <w:divBdr>
        <w:top w:val="none" w:sz="0" w:space="0" w:color="auto"/>
        <w:left w:val="none" w:sz="0" w:space="0" w:color="auto"/>
        <w:bottom w:val="none" w:sz="0" w:space="0" w:color="auto"/>
        <w:right w:val="none" w:sz="0" w:space="0" w:color="auto"/>
      </w:divBdr>
    </w:div>
    <w:div w:id="1055812162">
      <w:bodyDiv w:val="1"/>
      <w:marLeft w:val="0"/>
      <w:marRight w:val="0"/>
      <w:marTop w:val="0"/>
      <w:marBottom w:val="0"/>
      <w:divBdr>
        <w:top w:val="none" w:sz="0" w:space="0" w:color="auto"/>
        <w:left w:val="none" w:sz="0" w:space="0" w:color="auto"/>
        <w:bottom w:val="none" w:sz="0" w:space="0" w:color="auto"/>
        <w:right w:val="none" w:sz="0" w:space="0" w:color="auto"/>
      </w:divBdr>
    </w:div>
    <w:div w:id="1056510145">
      <w:bodyDiv w:val="1"/>
      <w:marLeft w:val="0"/>
      <w:marRight w:val="0"/>
      <w:marTop w:val="0"/>
      <w:marBottom w:val="0"/>
      <w:divBdr>
        <w:top w:val="none" w:sz="0" w:space="0" w:color="auto"/>
        <w:left w:val="none" w:sz="0" w:space="0" w:color="auto"/>
        <w:bottom w:val="none" w:sz="0" w:space="0" w:color="auto"/>
        <w:right w:val="none" w:sz="0" w:space="0" w:color="auto"/>
      </w:divBdr>
    </w:div>
    <w:div w:id="1064177671">
      <w:bodyDiv w:val="1"/>
      <w:marLeft w:val="0"/>
      <w:marRight w:val="0"/>
      <w:marTop w:val="0"/>
      <w:marBottom w:val="0"/>
      <w:divBdr>
        <w:top w:val="none" w:sz="0" w:space="0" w:color="auto"/>
        <w:left w:val="none" w:sz="0" w:space="0" w:color="auto"/>
        <w:bottom w:val="none" w:sz="0" w:space="0" w:color="auto"/>
        <w:right w:val="none" w:sz="0" w:space="0" w:color="auto"/>
      </w:divBdr>
    </w:div>
    <w:div w:id="1071579692">
      <w:bodyDiv w:val="1"/>
      <w:marLeft w:val="0"/>
      <w:marRight w:val="0"/>
      <w:marTop w:val="0"/>
      <w:marBottom w:val="0"/>
      <w:divBdr>
        <w:top w:val="none" w:sz="0" w:space="0" w:color="auto"/>
        <w:left w:val="none" w:sz="0" w:space="0" w:color="auto"/>
        <w:bottom w:val="none" w:sz="0" w:space="0" w:color="auto"/>
        <w:right w:val="none" w:sz="0" w:space="0" w:color="auto"/>
      </w:divBdr>
    </w:div>
    <w:div w:id="1080297480">
      <w:bodyDiv w:val="1"/>
      <w:marLeft w:val="0"/>
      <w:marRight w:val="0"/>
      <w:marTop w:val="0"/>
      <w:marBottom w:val="0"/>
      <w:divBdr>
        <w:top w:val="none" w:sz="0" w:space="0" w:color="auto"/>
        <w:left w:val="none" w:sz="0" w:space="0" w:color="auto"/>
        <w:bottom w:val="none" w:sz="0" w:space="0" w:color="auto"/>
        <w:right w:val="none" w:sz="0" w:space="0" w:color="auto"/>
      </w:divBdr>
    </w:div>
    <w:div w:id="1107505770">
      <w:bodyDiv w:val="1"/>
      <w:marLeft w:val="0"/>
      <w:marRight w:val="0"/>
      <w:marTop w:val="0"/>
      <w:marBottom w:val="0"/>
      <w:divBdr>
        <w:top w:val="none" w:sz="0" w:space="0" w:color="auto"/>
        <w:left w:val="none" w:sz="0" w:space="0" w:color="auto"/>
        <w:bottom w:val="none" w:sz="0" w:space="0" w:color="auto"/>
        <w:right w:val="none" w:sz="0" w:space="0" w:color="auto"/>
      </w:divBdr>
    </w:div>
    <w:div w:id="1275596809">
      <w:bodyDiv w:val="1"/>
      <w:marLeft w:val="0"/>
      <w:marRight w:val="0"/>
      <w:marTop w:val="0"/>
      <w:marBottom w:val="0"/>
      <w:divBdr>
        <w:top w:val="none" w:sz="0" w:space="0" w:color="auto"/>
        <w:left w:val="none" w:sz="0" w:space="0" w:color="auto"/>
        <w:bottom w:val="none" w:sz="0" w:space="0" w:color="auto"/>
        <w:right w:val="none" w:sz="0" w:space="0" w:color="auto"/>
      </w:divBdr>
    </w:div>
    <w:div w:id="1279140315">
      <w:bodyDiv w:val="1"/>
      <w:marLeft w:val="0"/>
      <w:marRight w:val="0"/>
      <w:marTop w:val="0"/>
      <w:marBottom w:val="0"/>
      <w:divBdr>
        <w:top w:val="none" w:sz="0" w:space="0" w:color="auto"/>
        <w:left w:val="none" w:sz="0" w:space="0" w:color="auto"/>
        <w:bottom w:val="none" w:sz="0" w:space="0" w:color="auto"/>
        <w:right w:val="none" w:sz="0" w:space="0" w:color="auto"/>
      </w:divBdr>
    </w:div>
    <w:div w:id="1279484665">
      <w:bodyDiv w:val="1"/>
      <w:marLeft w:val="0"/>
      <w:marRight w:val="0"/>
      <w:marTop w:val="0"/>
      <w:marBottom w:val="0"/>
      <w:divBdr>
        <w:top w:val="none" w:sz="0" w:space="0" w:color="auto"/>
        <w:left w:val="none" w:sz="0" w:space="0" w:color="auto"/>
        <w:bottom w:val="none" w:sz="0" w:space="0" w:color="auto"/>
        <w:right w:val="none" w:sz="0" w:space="0" w:color="auto"/>
      </w:divBdr>
    </w:div>
    <w:div w:id="1290359500">
      <w:bodyDiv w:val="1"/>
      <w:marLeft w:val="0"/>
      <w:marRight w:val="0"/>
      <w:marTop w:val="0"/>
      <w:marBottom w:val="0"/>
      <w:divBdr>
        <w:top w:val="none" w:sz="0" w:space="0" w:color="auto"/>
        <w:left w:val="none" w:sz="0" w:space="0" w:color="auto"/>
        <w:bottom w:val="none" w:sz="0" w:space="0" w:color="auto"/>
        <w:right w:val="none" w:sz="0" w:space="0" w:color="auto"/>
      </w:divBdr>
      <w:divsChild>
        <w:div w:id="142552917">
          <w:marLeft w:val="0"/>
          <w:marRight w:val="0"/>
          <w:marTop w:val="0"/>
          <w:marBottom w:val="0"/>
          <w:divBdr>
            <w:top w:val="single" w:sz="2" w:space="0" w:color="E5E7EB"/>
            <w:left w:val="single" w:sz="2" w:space="0" w:color="E5E7EB"/>
            <w:bottom w:val="single" w:sz="2" w:space="0" w:color="E5E7EB"/>
            <w:right w:val="single" w:sz="2" w:space="0" w:color="E5E7EB"/>
          </w:divBdr>
          <w:divsChild>
            <w:div w:id="161239883">
              <w:marLeft w:val="0"/>
              <w:marRight w:val="0"/>
              <w:marTop w:val="0"/>
              <w:marBottom w:val="0"/>
              <w:divBdr>
                <w:top w:val="single" w:sz="2" w:space="0" w:color="E5E7EB"/>
                <w:left w:val="single" w:sz="2" w:space="0" w:color="E5E7EB"/>
                <w:bottom w:val="single" w:sz="2" w:space="0" w:color="E5E7EB"/>
                <w:right w:val="single" w:sz="2" w:space="0" w:color="E5E7EB"/>
              </w:divBdr>
              <w:divsChild>
                <w:div w:id="336739733">
                  <w:marLeft w:val="0"/>
                  <w:marRight w:val="0"/>
                  <w:marTop w:val="0"/>
                  <w:marBottom w:val="0"/>
                  <w:divBdr>
                    <w:top w:val="single" w:sz="2" w:space="0" w:color="E5E7EB"/>
                    <w:left w:val="single" w:sz="2" w:space="0" w:color="E5E7EB"/>
                    <w:bottom w:val="single" w:sz="2" w:space="0" w:color="E5E7EB"/>
                    <w:right w:val="single" w:sz="2" w:space="0" w:color="E5E7EB"/>
                  </w:divBdr>
                  <w:divsChild>
                    <w:div w:id="1618101790">
                      <w:marLeft w:val="0"/>
                      <w:marRight w:val="0"/>
                      <w:marTop w:val="0"/>
                      <w:marBottom w:val="0"/>
                      <w:divBdr>
                        <w:top w:val="single" w:sz="2" w:space="0" w:color="E5E7EB"/>
                        <w:left w:val="single" w:sz="2" w:space="0" w:color="E5E7EB"/>
                        <w:bottom w:val="single" w:sz="2" w:space="0" w:color="E5E7EB"/>
                        <w:right w:val="single" w:sz="2" w:space="0" w:color="E5E7EB"/>
                      </w:divBdr>
                      <w:divsChild>
                        <w:div w:id="2054116490">
                          <w:marLeft w:val="0"/>
                          <w:marRight w:val="0"/>
                          <w:marTop w:val="100"/>
                          <w:marBottom w:val="100"/>
                          <w:divBdr>
                            <w:top w:val="single" w:sz="2" w:space="0" w:color="E5E7EB"/>
                            <w:left w:val="single" w:sz="2" w:space="0" w:color="E5E7EB"/>
                            <w:bottom w:val="single" w:sz="2" w:space="0" w:color="E5E7EB"/>
                            <w:right w:val="single" w:sz="2" w:space="0" w:color="E5E7EB"/>
                          </w:divBdr>
                          <w:divsChild>
                            <w:div w:id="323170874">
                              <w:marLeft w:val="0"/>
                              <w:marRight w:val="0"/>
                              <w:marTop w:val="0"/>
                              <w:marBottom w:val="0"/>
                              <w:divBdr>
                                <w:top w:val="none" w:sz="0" w:space="0" w:color="auto"/>
                                <w:left w:val="none" w:sz="0" w:space="0" w:color="auto"/>
                                <w:bottom w:val="none" w:sz="0" w:space="0" w:color="auto"/>
                                <w:right w:val="none" w:sz="0" w:space="0" w:color="auto"/>
                              </w:divBdr>
                              <w:divsChild>
                                <w:div w:id="2086685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25281183">
      <w:bodyDiv w:val="1"/>
      <w:marLeft w:val="0"/>
      <w:marRight w:val="0"/>
      <w:marTop w:val="0"/>
      <w:marBottom w:val="0"/>
      <w:divBdr>
        <w:top w:val="none" w:sz="0" w:space="0" w:color="auto"/>
        <w:left w:val="none" w:sz="0" w:space="0" w:color="auto"/>
        <w:bottom w:val="none" w:sz="0" w:space="0" w:color="auto"/>
        <w:right w:val="none" w:sz="0" w:space="0" w:color="auto"/>
      </w:divBdr>
    </w:div>
    <w:div w:id="1340888002">
      <w:bodyDiv w:val="1"/>
      <w:marLeft w:val="0"/>
      <w:marRight w:val="0"/>
      <w:marTop w:val="0"/>
      <w:marBottom w:val="0"/>
      <w:divBdr>
        <w:top w:val="none" w:sz="0" w:space="0" w:color="auto"/>
        <w:left w:val="none" w:sz="0" w:space="0" w:color="auto"/>
        <w:bottom w:val="none" w:sz="0" w:space="0" w:color="auto"/>
        <w:right w:val="none" w:sz="0" w:space="0" w:color="auto"/>
      </w:divBdr>
    </w:div>
    <w:div w:id="1369378048">
      <w:bodyDiv w:val="1"/>
      <w:marLeft w:val="0"/>
      <w:marRight w:val="0"/>
      <w:marTop w:val="0"/>
      <w:marBottom w:val="0"/>
      <w:divBdr>
        <w:top w:val="none" w:sz="0" w:space="0" w:color="auto"/>
        <w:left w:val="none" w:sz="0" w:space="0" w:color="auto"/>
        <w:bottom w:val="none" w:sz="0" w:space="0" w:color="auto"/>
        <w:right w:val="none" w:sz="0" w:space="0" w:color="auto"/>
      </w:divBdr>
    </w:div>
    <w:div w:id="1416626572">
      <w:bodyDiv w:val="1"/>
      <w:marLeft w:val="0"/>
      <w:marRight w:val="0"/>
      <w:marTop w:val="0"/>
      <w:marBottom w:val="0"/>
      <w:divBdr>
        <w:top w:val="none" w:sz="0" w:space="0" w:color="auto"/>
        <w:left w:val="none" w:sz="0" w:space="0" w:color="auto"/>
        <w:bottom w:val="none" w:sz="0" w:space="0" w:color="auto"/>
        <w:right w:val="none" w:sz="0" w:space="0" w:color="auto"/>
      </w:divBdr>
    </w:div>
    <w:div w:id="1417941025">
      <w:bodyDiv w:val="1"/>
      <w:marLeft w:val="0"/>
      <w:marRight w:val="0"/>
      <w:marTop w:val="0"/>
      <w:marBottom w:val="0"/>
      <w:divBdr>
        <w:top w:val="none" w:sz="0" w:space="0" w:color="auto"/>
        <w:left w:val="none" w:sz="0" w:space="0" w:color="auto"/>
        <w:bottom w:val="none" w:sz="0" w:space="0" w:color="auto"/>
        <w:right w:val="none" w:sz="0" w:space="0" w:color="auto"/>
      </w:divBdr>
    </w:div>
    <w:div w:id="1434471858">
      <w:bodyDiv w:val="1"/>
      <w:marLeft w:val="0"/>
      <w:marRight w:val="0"/>
      <w:marTop w:val="0"/>
      <w:marBottom w:val="0"/>
      <w:divBdr>
        <w:top w:val="none" w:sz="0" w:space="0" w:color="auto"/>
        <w:left w:val="none" w:sz="0" w:space="0" w:color="auto"/>
        <w:bottom w:val="none" w:sz="0" w:space="0" w:color="auto"/>
        <w:right w:val="none" w:sz="0" w:space="0" w:color="auto"/>
      </w:divBdr>
      <w:divsChild>
        <w:div w:id="578291291">
          <w:marLeft w:val="0"/>
          <w:marRight w:val="0"/>
          <w:marTop w:val="0"/>
          <w:marBottom w:val="0"/>
          <w:divBdr>
            <w:top w:val="single" w:sz="2" w:space="0" w:color="E5E7EB"/>
            <w:left w:val="single" w:sz="2" w:space="0" w:color="E5E7EB"/>
            <w:bottom w:val="single" w:sz="2" w:space="0" w:color="E5E7EB"/>
            <w:right w:val="single" w:sz="2" w:space="0" w:color="E5E7EB"/>
          </w:divBdr>
          <w:divsChild>
            <w:div w:id="951206167">
              <w:marLeft w:val="0"/>
              <w:marRight w:val="0"/>
              <w:marTop w:val="0"/>
              <w:marBottom w:val="0"/>
              <w:divBdr>
                <w:top w:val="single" w:sz="2" w:space="0" w:color="E5E7EB"/>
                <w:left w:val="single" w:sz="2" w:space="0" w:color="E5E7EB"/>
                <w:bottom w:val="single" w:sz="2" w:space="0" w:color="E5E7EB"/>
                <w:right w:val="single" w:sz="2" w:space="0" w:color="E5E7EB"/>
              </w:divBdr>
              <w:divsChild>
                <w:div w:id="2123723755">
                  <w:marLeft w:val="0"/>
                  <w:marRight w:val="0"/>
                  <w:marTop w:val="0"/>
                  <w:marBottom w:val="0"/>
                  <w:divBdr>
                    <w:top w:val="single" w:sz="2" w:space="0" w:color="E5E7EB"/>
                    <w:left w:val="single" w:sz="2" w:space="0" w:color="E5E7EB"/>
                    <w:bottom w:val="single" w:sz="2" w:space="0" w:color="E5E7EB"/>
                    <w:right w:val="single" w:sz="2" w:space="0" w:color="E5E7EB"/>
                  </w:divBdr>
                  <w:divsChild>
                    <w:div w:id="389161012">
                      <w:marLeft w:val="0"/>
                      <w:marRight w:val="0"/>
                      <w:marTop w:val="0"/>
                      <w:marBottom w:val="0"/>
                      <w:divBdr>
                        <w:top w:val="single" w:sz="2" w:space="0" w:color="E5E7EB"/>
                        <w:left w:val="single" w:sz="2" w:space="0" w:color="E5E7EB"/>
                        <w:bottom w:val="single" w:sz="2" w:space="0" w:color="E5E7EB"/>
                        <w:right w:val="single" w:sz="2" w:space="0" w:color="E5E7EB"/>
                      </w:divBdr>
                      <w:divsChild>
                        <w:div w:id="332684101">
                          <w:marLeft w:val="0"/>
                          <w:marRight w:val="0"/>
                          <w:marTop w:val="100"/>
                          <w:marBottom w:val="100"/>
                          <w:divBdr>
                            <w:top w:val="single" w:sz="2" w:space="0" w:color="E5E7EB"/>
                            <w:left w:val="single" w:sz="2" w:space="0" w:color="E5E7EB"/>
                            <w:bottom w:val="single" w:sz="2" w:space="0" w:color="E5E7EB"/>
                            <w:right w:val="single" w:sz="2" w:space="0" w:color="E5E7EB"/>
                          </w:divBdr>
                          <w:divsChild>
                            <w:div w:id="1097286354">
                              <w:marLeft w:val="0"/>
                              <w:marRight w:val="0"/>
                              <w:marTop w:val="0"/>
                              <w:marBottom w:val="0"/>
                              <w:divBdr>
                                <w:top w:val="none" w:sz="0" w:space="0" w:color="auto"/>
                                <w:left w:val="none" w:sz="0" w:space="0" w:color="auto"/>
                                <w:bottom w:val="none" w:sz="0" w:space="0" w:color="auto"/>
                                <w:right w:val="none" w:sz="0" w:space="0" w:color="auto"/>
                              </w:divBdr>
                              <w:divsChild>
                                <w:div w:id="1838499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77378227">
      <w:bodyDiv w:val="1"/>
      <w:marLeft w:val="0"/>
      <w:marRight w:val="0"/>
      <w:marTop w:val="0"/>
      <w:marBottom w:val="0"/>
      <w:divBdr>
        <w:top w:val="none" w:sz="0" w:space="0" w:color="auto"/>
        <w:left w:val="none" w:sz="0" w:space="0" w:color="auto"/>
        <w:bottom w:val="none" w:sz="0" w:space="0" w:color="auto"/>
        <w:right w:val="none" w:sz="0" w:space="0" w:color="auto"/>
      </w:divBdr>
    </w:div>
    <w:div w:id="1485313233">
      <w:bodyDiv w:val="1"/>
      <w:marLeft w:val="0"/>
      <w:marRight w:val="0"/>
      <w:marTop w:val="0"/>
      <w:marBottom w:val="0"/>
      <w:divBdr>
        <w:top w:val="none" w:sz="0" w:space="0" w:color="auto"/>
        <w:left w:val="none" w:sz="0" w:space="0" w:color="auto"/>
        <w:bottom w:val="none" w:sz="0" w:space="0" w:color="auto"/>
        <w:right w:val="none" w:sz="0" w:space="0" w:color="auto"/>
      </w:divBdr>
    </w:div>
    <w:div w:id="1502088830">
      <w:bodyDiv w:val="1"/>
      <w:marLeft w:val="0"/>
      <w:marRight w:val="0"/>
      <w:marTop w:val="0"/>
      <w:marBottom w:val="0"/>
      <w:divBdr>
        <w:top w:val="none" w:sz="0" w:space="0" w:color="auto"/>
        <w:left w:val="none" w:sz="0" w:space="0" w:color="auto"/>
        <w:bottom w:val="none" w:sz="0" w:space="0" w:color="auto"/>
        <w:right w:val="none" w:sz="0" w:space="0" w:color="auto"/>
      </w:divBdr>
    </w:div>
    <w:div w:id="1585919613">
      <w:bodyDiv w:val="1"/>
      <w:marLeft w:val="0"/>
      <w:marRight w:val="0"/>
      <w:marTop w:val="0"/>
      <w:marBottom w:val="0"/>
      <w:divBdr>
        <w:top w:val="none" w:sz="0" w:space="0" w:color="auto"/>
        <w:left w:val="none" w:sz="0" w:space="0" w:color="auto"/>
        <w:bottom w:val="none" w:sz="0" w:space="0" w:color="auto"/>
        <w:right w:val="none" w:sz="0" w:space="0" w:color="auto"/>
      </w:divBdr>
    </w:div>
    <w:div w:id="1596329861">
      <w:bodyDiv w:val="1"/>
      <w:marLeft w:val="0"/>
      <w:marRight w:val="0"/>
      <w:marTop w:val="0"/>
      <w:marBottom w:val="0"/>
      <w:divBdr>
        <w:top w:val="none" w:sz="0" w:space="0" w:color="auto"/>
        <w:left w:val="none" w:sz="0" w:space="0" w:color="auto"/>
        <w:bottom w:val="none" w:sz="0" w:space="0" w:color="auto"/>
        <w:right w:val="none" w:sz="0" w:space="0" w:color="auto"/>
      </w:divBdr>
    </w:div>
    <w:div w:id="1631133718">
      <w:bodyDiv w:val="1"/>
      <w:marLeft w:val="0"/>
      <w:marRight w:val="0"/>
      <w:marTop w:val="0"/>
      <w:marBottom w:val="0"/>
      <w:divBdr>
        <w:top w:val="none" w:sz="0" w:space="0" w:color="auto"/>
        <w:left w:val="none" w:sz="0" w:space="0" w:color="auto"/>
        <w:bottom w:val="none" w:sz="0" w:space="0" w:color="auto"/>
        <w:right w:val="none" w:sz="0" w:space="0" w:color="auto"/>
      </w:divBdr>
    </w:div>
    <w:div w:id="1701315946">
      <w:bodyDiv w:val="1"/>
      <w:marLeft w:val="0"/>
      <w:marRight w:val="0"/>
      <w:marTop w:val="0"/>
      <w:marBottom w:val="0"/>
      <w:divBdr>
        <w:top w:val="none" w:sz="0" w:space="0" w:color="auto"/>
        <w:left w:val="none" w:sz="0" w:space="0" w:color="auto"/>
        <w:bottom w:val="none" w:sz="0" w:space="0" w:color="auto"/>
        <w:right w:val="none" w:sz="0" w:space="0" w:color="auto"/>
      </w:divBdr>
      <w:divsChild>
        <w:div w:id="1475951988">
          <w:marLeft w:val="0"/>
          <w:marRight w:val="0"/>
          <w:marTop w:val="0"/>
          <w:marBottom w:val="0"/>
          <w:divBdr>
            <w:top w:val="single" w:sz="2" w:space="0" w:color="E5E7EB"/>
            <w:left w:val="single" w:sz="2" w:space="0" w:color="E5E7EB"/>
            <w:bottom w:val="single" w:sz="2" w:space="0" w:color="E5E7EB"/>
            <w:right w:val="single" w:sz="2" w:space="0" w:color="E5E7EB"/>
          </w:divBdr>
          <w:divsChild>
            <w:div w:id="919632356">
              <w:marLeft w:val="0"/>
              <w:marRight w:val="0"/>
              <w:marTop w:val="0"/>
              <w:marBottom w:val="0"/>
              <w:divBdr>
                <w:top w:val="single" w:sz="2" w:space="0" w:color="E5E7EB"/>
                <w:left w:val="single" w:sz="2" w:space="0" w:color="E5E7EB"/>
                <w:bottom w:val="single" w:sz="2" w:space="0" w:color="E5E7EB"/>
                <w:right w:val="single" w:sz="2" w:space="0" w:color="E5E7EB"/>
              </w:divBdr>
              <w:divsChild>
                <w:div w:id="2044859845">
                  <w:marLeft w:val="0"/>
                  <w:marRight w:val="0"/>
                  <w:marTop w:val="0"/>
                  <w:marBottom w:val="0"/>
                  <w:divBdr>
                    <w:top w:val="single" w:sz="2" w:space="0" w:color="E5E7EB"/>
                    <w:left w:val="single" w:sz="2" w:space="0" w:color="E5E7EB"/>
                    <w:bottom w:val="single" w:sz="2" w:space="0" w:color="E5E7EB"/>
                    <w:right w:val="single" w:sz="2" w:space="0" w:color="E5E7EB"/>
                  </w:divBdr>
                  <w:divsChild>
                    <w:div w:id="320892916">
                      <w:marLeft w:val="0"/>
                      <w:marRight w:val="0"/>
                      <w:marTop w:val="0"/>
                      <w:marBottom w:val="0"/>
                      <w:divBdr>
                        <w:top w:val="single" w:sz="2" w:space="0" w:color="E5E7EB"/>
                        <w:left w:val="single" w:sz="2" w:space="0" w:color="E5E7EB"/>
                        <w:bottom w:val="single" w:sz="2" w:space="0" w:color="E5E7EB"/>
                        <w:right w:val="single" w:sz="2" w:space="0" w:color="E5E7EB"/>
                      </w:divBdr>
                      <w:divsChild>
                        <w:div w:id="456141033">
                          <w:marLeft w:val="0"/>
                          <w:marRight w:val="0"/>
                          <w:marTop w:val="100"/>
                          <w:marBottom w:val="100"/>
                          <w:divBdr>
                            <w:top w:val="single" w:sz="2" w:space="0" w:color="E5E7EB"/>
                            <w:left w:val="single" w:sz="2" w:space="0" w:color="E5E7EB"/>
                            <w:bottom w:val="single" w:sz="2" w:space="0" w:color="E5E7EB"/>
                            <w:right w:val="single" w:sz="2" w:space="0" w:color="E5E7EB"/>
                          </w:divBdr>
                          <w:divsChild>
                            <w:div w:id="1060634885">
                              <w:marLeft w:val="0"/>
                              <w:marRight w:val="0"/>
                              <w:marTop w:val="0"/>
                              <w:marBottom w:val="0"/>
                              <w:divBdr>
                                <w:top w:val="none" w:sz="0" w:space="0" w:color="auto"/>
                                <w:left w:val="none" w:sz="0" w:space="0" w:color="auto"/>
                                <w:bottom w:val="none" w:sz="0" w:space="0" w:color="auto"/>
                                <w:right w:val="none" w:sz="0" w:space="0" w:color="auto"/>
                              </w:divBdr>
                              <w:divsChild>
                                <w:div w:id="1418865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24019929">
      <w:bodyDiv w:val="1"/>
      <w:marLeft w:val="0"/>
      <w:marRight w:val="0"/>
      <w:marTop w:val="0"/>
      <w:marBottom w:val="0"/>
      <w:divBdr>
        <w:top w:val="none" w:sz="0" w:space="0" w:color="auto"/>
        <w:left w:val="none" w:sz="0" w:space="0" w:color="auto"/>
        <w:bottom w:val="none" w:sz="0" w:space="0" w:color="auto"/>
        <w:right w:val="none" w:sz="0" w:space="0" w:color="auto"/>
      </w:divBdr>
    </w:div>
    <w:div w:id="1746804053">
      <w:bodyDiv w:val="1"/>
      <w:marLeft w:val="0"/>
      <w:marRight w:val="0"/>
      <w:marTop w:val="0"/>
      <w:marBottom w:val="0"/>
      <w:divBdr>
        <w:top w:val="none" w:sz="0" w:space="0" w:color="auto"/>
        <w:left w:val="none" w:sz="0" w:space="0" w:color="auto"/>
        <w:bottom w:val="none" w:sz="0" w:space="0" w:color="auto"/>
        <w:right w:val="none" w:sz="0" w:space="0" w:color="auto"/>
      </w:divBdr>
    </w:div>
    <w:div w:id="1790515236">
      <w:bodyDiv w:val="1"/>
      <w:marLeft w:val="0"/>
      <w:marRight w:val="0"/>
      <w:marTop w:val="0"/>
      <w:marBottom w:val="0"/>
      <w:divBdr>
        <w:top w:val="none" w:sz="0" w:space="0" w:color="auto"/>
        <w:left w:val="none" w:sz="0" w:space="0" w:color="auto"/>
        <w:bottom w:val="none" w:sz="0" w:space="0" w:color="auto"/>
        <w:right w:val="none" w:sz="0" w:space="0" w:color="auto"/>
      </w:divBdr>
      <w:divsChild>
        <w:div w:id="862860093">
          <w:marLeft w:val="0"/>
          <w:marRight w:val="0"/>
          <w:marTop w:val="0"/>
          <w:marBottom w:val="0"/>
          <w:divBdr>
            <w:top w:val="single" w:sz="2" w:space="0" w:color="E5E7EB"/>
            <w:left w:val="single" w:sz="2" w:space="0" w:color="E5E7EB"/>
            <w:bottom w:val="single" w:sz="2" w:space="0" w:color="E5E7EB"/>
            <w:right w:val="single" w:sz="2" w:space="0" w:color="E5E7EB"/>
          </w:divBdr>
          <w:divsChild>
            <w:div w:id="221789386">
              <w:marLeft w:val="0"/>
              <w:marRight w:val="0"/>
              <w:marTop w:val="0"/>
              <w:marBottom w:val="0"/>
              <w:divBdr>
                <w:top w:val="single" w:sz="2" w:space="0" w:color="E5E7EB"/>
                <w:left w:val="single" w:sz="2" w:space="0" w:color="E5E7EB"/>
                <w:bottom w:val="single" w:sz="2" w:space="0" w:color="E5E7EB"/>
                <w:right w:val="single" w:sz="2" w:space="0" w:color="E5E7EB"/>
              </w:divBdr>
              <w:divsChild>
                <w:div w:id="929199029">
                  <w:marLeft w:val="0"/>
                  <w:marRight w:val="0"/>
                  <w:marTop w:val="0"/>
                  <w:marBottom w:val="0"/>
                  <w:divBdr>
                    <w:top w:val="single" w:sz="2" w:space="0" w:color="E5E7EB"/>
                    <w:left w:val="single" w:sz="2" w:space="0" w:color="E5E7EB"/>
                    <w:bottom w:val="single" w:sz="2" w:space="0" w:color="E5E7EB"/>
                    <w:right w:val="single" w:sz="2" w:space="0" w:color="E5E7EB"/>
                  </w:divBdr>
                  <w:divsChild>
                    <w:div w:id="1310936594">
                      <w:marLeft w:val="0"/>
                      <w:marRight w:val="0"/>
                      <w:marTop w:val="0"/>
                      <w:marBottom w:val="0"/>
                      <w:divBdr>
                        <w:top w:val="single" w:sz="2" w:space="0" w:color="E5E7EB"/>
                        <w:left w:val="single" w:sz="2" w:space="0" w:color="E5E7EB"/>
                        <w:bottom w:val="single" w:sz="2" w:space="0" w:color="E5E7EB"/>
                        <w:right w:val="single" w:sz="2" w:space="0" w:color="E5E7EB"/>
                      </w:divBdr>
                      <w:divsChild>
                        <w:div w:id="539900917">
                          <w:marLeft w:val="0"/>
                          <w:marRight w:val="0"/>
                          <w:marTop w:val="100"/>
                          <w:marBottom w:val="100"/>
                          <w:divBdr>
                            <w:top w:val="single" w:sz="2" w:space="0" w:color="E5E7EB"/>
                            <w:left w:val="single" w:sz="2" w:space="0" w:color="E5E7EB"/>
                            <w:bottom w:val="single" w:sz="2" w:space="0" w:color="E5E7EB"/>
                            <w:right w:val="single" w:sz="2" w:space="0" w:color="E5E7EB"/>
                          </w:divBdr>
                          <w:divsChild>
                            <w:div w:id="440153666">
                              <w:marLeft w:val="0"/>
                              <w:marRight w:val="0"/>
                              <w:marTop w:val="0"/>
                              <w:marBottom w:val="0"/>
                              <w:divBdr>
                                <w:top w:val="none" w:sz="0" w:space="0" w:color="auto"/>
                                <w:left w:val="none" w:sz="0" w:space="0" w:color="auto"/>
                                <w:bottom w:val="none" w:sz="0" w:space="0" w:color="auto"/>
                                <w:right w:val="none" w:sz="0" w:space="0" w:color="auto"/>
                              </w:divBdr>
                              <w:divsChild>
                                <w:div w:id="1486974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97408773">
      <w:bodyDiv w:val="1"/>
      <w:marLeft w:val="0"/>
      <w:marRight w:val="0"/>
      <w:marTop w:val="0"/>
      <w:marBottom w:val="0"/>
      <w:divBdr>
        <w:top w:val="none" w:sz="0" w:space="0" w:color="auto"/>
        <w:left w:val="none" w:sz="0" w:space="0" w:color="auto"/>
        <w:bottom w:val="none" w:sz="0" w:space="0" w:color="auto"/>
        <w:right w:val="none" w:sz="0" w:space="0" w:color="auto"/>
      </w:divBdr>
    </w:div>
    <w:div w:id="1871332236">
      <w:bodyDiv w:val="1"/>
      <w:marLeft w:val="0"/>
      <w:marRight w:val="0"/>
      <w:marTop w:val="0"/>
      <w:marBottom w:val="0"/>
      <w:divBdr>
        <w:top w:val="none" w:sz="0" w:space="0" w:color="auto"/>
        <w:left w:val="none" w:sz="0" w:space="0" w:color="auto"/>
        <w:bottom w:val="none" w:sz="0" w:space="0" w:color="auto"/>
        <w:right w:val="none" w:sz="0" w:space="0" w:color="auto"/>
      </w:divBdr>
    </w:div>
    <w:div w:id="1912471683">
      <w:bodyDiv w:val="1"/>
      <w:marLeft w:val="0"/>
      <w:marRight w:val="0"/>
      <w:marTop w:val="0"/>
      <w:marBottom w:val="0"/>
      <w:divBdr>
        <w:top w:val="none" w:sz="0" w:space="0" w:color="auto"/>
        <w:left w:val="none" w:sz="0" w:space="0" w:color="auto"/>
        <w:bottom w:val="none" w:sz="0" w:space="0" w:color="auto"/>
        <w:right w:val="none" w:sz="0" w:space="0" w:color="auto"/>
      </w:divBdr>
    </w:div>
    <w:div w:id="1927761074">
      <w:bodyDiv w:val="1"/>
      <w:marLeft w:val="0"/>
      <w:marRight w:val="0"/>
      <w:marTop w:val="0"/>
      <w:marBottom w:val="0"/>
      <w:divBdr>
        <w:top w:val="none" w:sz="0" w:space="0" w:color="auto"/>
        <w:left w:val="none" w:sz="0" w:space="0" w:color="auto"/>
        <w:bottom w:val="none" w:sz="0" w:space="0" w:color="auto"/>
        <w:right w:val="none" w:sz="0" w:space="0" w:color="auto"/>
      </w:divBdr>
      <w:divsChild>
        <w:div w:id="131143330">
          <w:marLeft w:val="0"/>
          <w:marRight w:val="0"/>
          <w:marTop w:val="0"/>
          <w:marBottom w:val="0"/>
          <w:divBdr>
            <w:top w:val="single" w:sz="2" w:space="0" w:color="E5E7EB"/>
            <w:left w:val="single" w:sz="2" w:space="0" w:color="E5E7EB"/>
            <w:bottom w:val="single" w:sz="2" w:space="0" w:color="E5E7EB"/>
            <w:right w:val="single" w:sz="2" w:space="0" w:color="E5E7EB"/>
          </w:divBdr>
          <w:divsChild>
            <w:div w:id="1991598694">
              <w:marLeft w:val="0"/>
              <w:marRight w:val="0"/>
              <w:marTop w:val="0"/>
              <w:marBottom w:val="0"/>
              <w:divBdr>
                <w:top w:val="single" w:sz="2" w:space="0" w:color="E5E7EB"/>
                <w:left w:val="single" w:sz="2" w:space="0" w:color="E5E7EB"/>
                <w:bottom w:val="single" w:sz="2" w:space="0" w:color="E5E7EB"/>
                <w:right w:val="single" w:sz="2" w:space="0" w:color="E5E7EB"/>
              </w:divBdr>
              <w:divsChild>
                <w:div w:id="290208495">
                  <w:marLeft w:val="0"/>
                  <w:marRight w:val="0"/>
                  <w:marTop w:val="0"/>
                  <w:marBottom w:val="0"/>
                  <w:divBdr>
                    <w:top w:val="single" w:sz="2" w:space="0" w:color="E5E7EB"/>
                    <w:left w:val="single" w:sz="2" w:space="0" w:color="E5E7EB"/>
                    <w:bottom w:val="single" w:sz="2" w:space="0" w:color="E5E7EB"/>
                    <w:right w:val="single" w:sz="2" w:space="0" w:color="E5E7EB"/>
                  </w:divBdr>
                  <w:divsChild>
                    <w:div w:id="1155025105">
                      <w:marLeft w:val="0"/>
                      <w:marRight w:val="0"/>
                      <w:marTop w:val="0"/>
                      <w:marBottom w:val="0"/>
                      <w:divBdr>
                        <w:top w:val="single" w:sz="2" w:space="0" w:color="E5E7EB"/>
                        <w:left w:val="single" w:sz="2" w:space="0" w:color="E5E7EB"/>
                        <w:bottom w:val="single" w:sz="2" w:space="0" w:color="E5E7EB"/>
                        <w:right w:val="single" w:sz="2" w:space="0" w:color="E5E7EB"/>
                      </w:divBdr>
                      <w:divsChild>
                        <w:div w:id="1194919615">
                          <w:marLeft w:val="0"/>
                          <w:marRight w:val="0"/>
                          <w:marTop w:val="100"/>
                          <w:marBottom w:val="100"/>
                          <w:divBdr>
                            <w:top w:val="single" w:sz="2" w:space="0" w:color="E5E7EB"/>
                            <w:left w:val="single" w:sz="2" w:space="0" w:color="E5E7EB"/>
                            <w:bottom w:val="single" w:sz="2" w:space="0" w:color="E5E7EB"/>
                            <w:right w:val="single" w:sz="2" w:space="0" w:color="E5E7EB"/>
                          </w:divBdr>
                          <w:divsChild>
                            <w:div w:id="2067801593">
                              <w:marLeft w:val="0"/>
                              <w:marRight w:val="0"/>
                              <w:marTop w:val="0"/>
                              <w:marBottom w:val="0"/>
                              <w:divBdr>
                                <w:top w:val="none" w:sz="0" w:space="0" w:color="auto"/>
                                <w:left w:val="none" w:sz="0" w:space="0" w:color="auto"/>
                                <w:bottom w:val="none" w:sz="0" w:space="0" w:color="auto"/>
                                <w:right w:val="none" w:sz="0" w:space="0" w:color="auto"/>
                              </w:divBdr>
                              <w:divsChild>
                                <w:div w:id="1960603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30389732">
      <w:bodyDiv w:val="1"/>
      <w:marLeft w:val="0"/>
      <w:marRight w:val="0"/>
      <w:marTop w:val="0"/>
      <w:marBottom w:val="0"/>
      <w:divBdr>
        <w:top w:val="none" w:sz="0" w:space="0" w:color="auto"/>
        <w:left w:val="none" w:sz="0" w:space="0" w:color="auto"/>
        <w:bottom w:val="none" w:sz="0" w:space="0" w:color="auto"/>
        <w:right w:val="none" w:sz="0" w:space="0" w:color="auto"/>
      </w:divBdr>
    </w:div>
    <w:div w:id="1939751917">
      <w:bodyDiv w:val="1"/>
      <w:marLeft w:val="0"/>
      <w:marRight w:val="0"/>
      <w:marTop w:val="0"/>
      <w:marBottom w:val="0"/>
      <w:divBdr>
        <w:top w:val="none" w:sz="0" w:space="0" w:color="auto"/>
        <w:left w:val="none" w:sz="0" w:space="0" w:color="auto"/>
        <w:bottom w:val="none" w:sz="0" w:space="0" w:color="auto"/>
        <w:right w:val="none" w:sz="0" w:space="0" w:color="auto"/>
      </w:divBdr>
    </w:div>
    <w:div w:id="1944144895">
      <w:bodyDiv w:val="1"/>
      <w:marLeft w:val="0"/>
      <w:marRight w:val="0"/>
      <w:marTop w:val="0"/>
      <w:marBottom w:val="0"/>
      <w:divBdr>
        <w:top w:val="none" w:sz="0" w:space="0" w:color="auto"/>
        <w:left w:val="none" w:sz="0" w:space="0" w:color="auto"/>
        <w:bottom w:val="none" w:sz="0" w:space="0" w:color="auto"/>
        <w:right w:val="none" w:sz="0" w:space="0" w:color="auto"/>
      </w:divBdr>
    </w:div>
    <w:div w:id="1969240621">
      <w:bodyDiv w:val="1"/>
      <w:marLeft w:val="0"/>
      <w:marRight w:val="0"/>
      <w:marTop w:val="0"/>
      <w:marBottom w:val="0"/>
      <w:divBdr>
        <w:top w:val="none" w:sz="0" w:space="0" w:color="auto"/>
        <w:left w:val="none" w:sz="0" w:space="0" w:color="auto"/>
        <w:bottom w:val="none" w:sz="0" w:space="0" w:color="auto"/>
        <w:right w:val="none" w:sz="0" w:space="0" w:color="auto"/>
      </w:divBdr>
    </w:div>
    <w:div w:id="1980332190">
      <w:bodyDiv w:val="1"/>
      <w:marLeft w:val="0"/>
      <w:marRight w:val="0"/>
      <w:marTop w:val="0"/>
      <w:marBottom w:val="0"/>
      <w:divBdr>
        <w:top w:val="none" w:sz="0" w:space="0" w:color="auto"/>
        <w:left w:val="none" w:sz="0" w:space="0" w:color="auto"/>
        <w:bottom w:val="none" w:sz="0" w:space="0" w:color="auto"/>
        <w:right w:val="none" w:sz="0" w:space="0" w:color="auto"/>
      </w:divBdr>
    </w:div>
    <w:div w:id="1992831215">
      <w:bodyDiv w:val="1"/>
      <w:marLeft w:val="0"/>
      <w:marRight w:val="0"/>
      <w:marTop w:val="0"/>
      <w:marBottom w:val="0"/>
      <w:divBdr>
        <w:top w:val="none" w:sz="0" w:space="0" w:color="auto"/>
        <w:left w:val="none" w:sz="0" w:space="0" w:color="auto"/>
        <w:bottom w:val="none" w:sz="0" w:space="0" w:color="auto"/>
        <w:right w:val="none" w:sz="0" w:space="0" w:color="auto"/>
      </w:divBdr>
    </w:div>
    <w:div w:id="2037612238">
      <w:bodyDiv w:val="1"/>
      <w:marLeft w:val="0"/>
      <w:marRight w:val="0"/>
      <w:marTop w:val="0"/>
      <w:marBottom w:val="0"/>
      <w:divBdr>
        <w:top w:val="none" w:sz="0" w:space="0" w:color="auto"/>
        <w:left w:val="none" w:sz="0" w:space="0" w:color="auto"/>
        <w:bottom w:val="none" w:sz="0" w:space="0" w:color="auto"/>
        <w:right w:val="none" w:sz="0" w:space="0" w:color="auto"/>
      </w:divBdr>
    </w:div>
    <w:div w:id="2055544347">
      <w:bodyDiv w:val="1"/>
      <w:marLeft w:val="0"/>
      <w:marRight w:val="0"/>
      <w:marTop w:val="0"/>
      <w:marBottom w:val="0"/>
      <w:divBdr>
        <w:top w:val="none" w:sz="0" w:space="0" w:color="auto"/>
        <w:left w:val="none" w:sz="0" w:space="0" w:color="auto"/>
        <w:bottom w:val="none" w:sz="0" w:space="0" w:color="auto"/>
        <w:right w:val="none" w:sz="0" w:space="0" w:color="auto"/>
      </w:divBdr>
    </w:div>
    <w:div w:id="2061978596">
      <w:bodyDiv w:val="1"/>
      <w:marLeft w:val="0"/>
      <w:marRight w:val="0"/>
      <w:marTop w:val="0"/>
      <w:marBottom w:val="0"/>
      <w:divBdr>
        <w:top w:val="none" w:sz="0" w:space="0" w:color="auto"/>
        <w:left w:val="none" w:sz="0" w:space="0" w:color="auto"/>
        <w:bottom w:val="none" w:sz="0" w:space="0" w:color="auto"/>
        <w:right w:val="none" w:sz="0" w:space="0" w:color="auto"/>
      </w:divBdr>
    </w:div>
    <w:div w:id="2078360738">
      <w:bodyDiv w:val="1"/>
      <w:marLeft w:val="0"/>
      <w:marRight w:val="0"/>
      <w:marTop w:val="0"/>
      <w:marBottom w:val="0"/>
      <w:divBdr>
        <w:top w:val="none" w:sz="0" w:space="0" w:color="auto"/>
        <w:left w:val="none" w:sz="0" w:space="0" w:color="auto"/>
        <w:bottom w:val="none" w:sz="0" w:space="0" w:color="auto"/>
        <w:right w:val="none" w:sz="0" w:space="0" w:color="auto"/>
      </w:divBdr>
    </w:div>
    <w:div w:id="21062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41748-021-00235-4" TargetMode="External"/><Relationship Id="rId21" Type="http://schemas.openxmlformats.org/officeDocument/2006/relationships/hyperlink" Target="https://doi.org/10.22034/hyd.2025.64251.1762" TargetMode="External"/><Relationship Id="rId42" Type="http://schemas.openxmlformats.org/officeDocument/2006/relationships/hyperlink" Target="https://doi.org/10.1080/02626669909492237" TargetMode="External"/><Relationship Id="rId47" Type="http://schemas.openxmlformats.org/officeDocument/2006/relationships/hyperlink" Target="https://doi.org/10.3390/buildings15081335" TargetMode="External"/><Relationship Id="rId63" Type="http://schemas.openxmlformats.org/officeDocument/2006/relationships/hyperlink" Target="https://doi.org/10.22034/gmpj.2024.449586.1494" TargetMode="External"/><Relationship Id="rId68" Type="http://schemas.openxmlformats.org/officeDocument/2006/relationships/hyperlink" Target="https://doi.org/10.1007/s11269-022-03380-1" TargetMode="External"/><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doi.org/10.52547/sustainearth.1.2.43" TargetMode="External"/><Relationship Id="rId37" Type="http://schemas.openxmlformats.org/officeDocument/2006/relationships/hyperlink" Target="https://doi.org/10.3390/su15032514" TargetMode="External"/><Relationship Id="rId53" Type="http://schemas.openxmlformats.org/officeDocument/2006/relationships/hyperlink" Target="https://doi.org/10.22059/jurbangeo.2017.63213" TargetMode="External"/><Relationship Id="rId58" Type="http://schemas.openxmlformats.org/officeDocument/2006/relationships/hyperlink" Target="https://doi.org/10.3390/hydrology12010017" TargetMode="External"/><Relationship Id="rId74" Type="http://schemas.openxmlformats.org/officeDocument/2006/relationships/hyperlink" Target="https://doi.org/10.1016/j.geomorph.2025.110109" TargetMode="External"/><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hyperlink" Target="https://doi.org/10.22034/hyd.2025.63601.1758" TargetMode="External"/><Relationship Id="rId14" Type="http://schemas.openxmlformats.org/officeDocument/2006/relationships/image" Target="media/image7.jpeg"/><Relationship Id="rId22" Type="http://schemas.openxmlformats.org/officeDocument/2006/relationships/hyperlink" Target="https://doi.org/10.3390/w6092614" TargetMode="External"/><Relationship Id="rId27" Type="http://schemas.openxmlformats.org/officeDocument/2006/relationships/hyperlink" Target="https://doi.org/10.22034/hyd.2022.51769.1642" TargetMode="External"/><Relationship Id="rId30" Type="http://schemas.openxmlformats.org/officeDocument/2006/relationships/hyperlink" Target="https://doi.org/10.9734/ajgr/2025/v8i4333" TargetMode="External"/><Relationship Id="rId35" Type="http://schemas.openxmlformats.org/officeDocument/2006/relationships/hyperlink" Target="https://doi.org/10.3390/cli10050069" TargetMode="External"/><Relationship Id="rId43" Type="http://schemas.openxmlformats.org/officeDocument/2006/relationships/hyperlink" Target="https://doi.org/10.3390/su14010289" TargetMode="External"/><Relationship Id="rId48" Type="http://schemas.openxmlformats.org/officeDocument/2006/relationships/hyperlink" Target="https://doi.org/10.5194/nhess-10-1697-2010" TargetMode="External"/><Relationship Id="rId56" Type="http://schemas.openxmlformats.org/officeDocument/2006/relationships/hyperlink" Target="https://doi.org/10.22111/jneh.2018.21943.1317" TargetMode="External"/><Relationship Id="rId64" Type="http://schemas.openxmlformats.org/officeDocument/2006/relationships/hyperlink" Target="https://doi.org/10.22059/jhsci.2018.252694.341" TargetMode="External"/><Relationship Id="rId69" Type="http://schemas.openxmlformats.org/officeDocument/2006/relationships/hyperlink" Target="https://doi.org/10.3390/w15152802" TargetMode="External"/><Relationship Id="rId77" Type="http://schemas.openxmlformats.org/officeDocument/2006/relationships/hyperlink" Target="https://doi.org/10.3390/w17101447" TargetMode="External"/><Relationship Id="rId8" Type="http://schemas.openxmlformats.org/officeDocument/2006/relationships/image" Target="media/image1.jpeg"/><Relationship Id="rId51" Type="http://schemas.openxmlformats.org/officeDocument/2006/relationships/hyperlink" Target="https://doi.org/10.22069/ijerr.2020.14943.1237" TargetMode="External"/><Relationship Id="rId72" Type="http://schemas.openxmlformats.org/officeDocument/2006/relationships/hyperlink" Target="https://doi.org/10.1016/j.scitotenv.2017.04.218"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i.org/10.3390/ijerph182111597" TargetMode="External"/><Relationship Id="rId33" Type="http://schemas.openxmlformats.org/officeDocument/2006/relationships/hyperlink" Target="https://doi.org/10.3390/w12123442" TargetMode="External"/><Relationship Id="rId38" Type="http://schemas.openxmlformats.org/officeDocument/2006/relationships/hyperlink" Target="http://documents.worldbank.org/curated/en/325621468182673386" TargetMode="External"/><Relationship Id="rId46" Type="http://schemas.openxmlformats.org/officeDocument/2006/relationships/hyperlink" Target="https://doi.org/10.1007/s11069-011-9720-0" TargetMode="External"/><Relationship Id="rId59" Type="http://schemas.openxmlformats.org/officeDocument/2006/relationships/hyperlink" Target="https://doi.org/10.3390/w11050920" TargetMode="External"/><Relationship Id="rId67" Type="http://schemas.openxmlformats.org/officeDocument/2006/relationships/hyperlink" Target="https://doi.org/10.3390/su15064909" TargetMode="External"/><Relationship Id="rId20" Type="http://schemas.openxmlformats.org/officeDocument/2006/relationships/hyperlink" Target="https://doi.org/10.3390/w15050966" TargetMode="External"/><Relationship Id="rId41" Type="http://schemas.openxmlformats.org/officeDocument/2006/relationships/hyperlink" Target="https://doi.org/10.3390/su8020134" TargetMode="External"/><Relationship Id="rId54" Type="http://schemas.openxmlformats.org/officeDocument/2006/relationships/hyperlink" Target="https://doi.org/10.22059/jesphys.2019.275076.1007084" TargetMode="External"/><Relationship Id="rId62" Type="http://schemas.openxmlformats.org/officeDocument/2006/relationships/hyperlink" Target="https://doi.org/10.22034/hyd.2024.59641.1717" TargetMode="External"/><Relationship Id="rId70" Type="http://schemas.openxmlformats.org/officeDocument/2006/relationships/hyperlink" Target="https://doi.org/10.22124/jsmd.2020.4096" TargetMode="External"/><Relationship Id="rId75" Type="http://schemas.openxmlformats.org/officeDocument/2006/relationships/hyperlink" Target="https://doi.org/10.3390/s25103097"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3390/su11102734" TargetMode="External"/><Relationship Id="rId28" Type="http://schemas.openxmlformats.org/officeDocument/2006/relationships/hyperlink" Target="https://www.gisoom.com/book/11628118" TargetMode="External"/><Relationship Id="rId36" Type="http://schemas.openxmlformats.org/officeDocument/2006/relationships/hyperlink" Target="https://doi.org/10.22034/hyd.2023.52132.1646" TargetMode="External"/><Relationship Id="rId49" Type="http://schemas.openxmlformats.org/officeDocument/2006/relationships/hyperlink" Target="https://doi.org/10.3390/w13182563" TargetMode="External"/><Relationship Id="rId57" Type="http://schemas.openxmlformats.org/officeDocument/2006/relationships/hyperlink" Target="https://doi.org/10.22067/geoeh.2021.71728.1094" TargetMode="External"/><Relationship Id="rId10" Type="http://schemas.openxmlformats.org/officeDocument/2006/relationships/image" Target="media/image3.jpeg"/><Relationship Id="rId31" Type="http://schemas.openxmlformats.org/officeDocument/2006/relationships/hyperlink" Target="https://doi.org/10.22034/ermr.2024.63510" TargetMode="External"/><Relationship Id="rId44" Type="http://schemas.openxmlformats.org/officeDocument/2006/relationships/hyperlink" Target="https://doi.org/10.3390/w16172546" TargetMode="External"/><Relationship Id="rId52" Type="http://schemas.openxmlformats.org/officeDocument/2006/relationships/hyperlink" Target="https://doi.org/10.22103/JUSG.2018.1961" TargetMode="External"/><Relationship Id="rId60" Type="http://schemas.openxmlformats.org/officeDocument/2006/relationships/hyperlink" Target="https://www.routledge.com/Floods/Parker/p/book/9780415172387" TargetMode="External"/><Relationship Id="rId65" Type="http://schemas.openxmlformats.org/officeDocument/2006/relationships/hyperlink" Target="https://doi.org/10.22034/gmpj.2020.109536" TargetMode="External"/><Relationship Id="rId73" Type="http://schemas.openxmlformats.org/officeDocument/2006/relationships/hyperlink" Target="https://doi.org/10.3390/w16192742"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doi.org/10.3390/w12071986" TargetMode="External"/><Relationship Id="rId34" Type="http://schemas.openxmlformats.org/officeDocument/2006/relationships/hyperlink" Target="https://doi.org/10.3390/rs14030538" TargetMode="External"/><Relationship Id="rId50" Type="http://schemas.openxmlformats.org/officeDocument/2006/relationships/hyperlink" Target="https://doi.org/10.22131/sepehr.2019.36615" TargetMode="External"/><Relationship Id="rId55" Type="http://schemas.openxmlformats.org/officeDocument/2006/relationships/hyperlink" Target="https://doi.org/10.22108/gep.2024.142342.1659" TargetMode="External"/><Relationship Id="rId76" Type="http://schemas.openxmlformats.org/officeDocument/2006/relationships/hyperlink" Target="https://doi.org/10.3390/app15094781" TargetMode="External"/><Relationship Id="rId7" Type="http://schemas.openxmlformats.org/officeDocument/2006/relationships/endnotes" Target="endnotes.xml"/><Relationship Id="rId71" Type="http://schemas.openxmlformats.org/officeDocument/2006/relationships/hyperlink" Target="https://doi.org/10.3390/w17071047" TargetMode="External"/><Relationship Id="rId2" Type="http://schemas.openxmlformats.org/officeDocument/2006/relationships/numbering" Target="numbering.xml"/><Relationship Id="rId29" Type="http://schemas.openxmlformats.org/officeDocument/2006/relationships/hyperlink" Target="https://doi.org/10.9734/jgeesi/2025/v29i11977" TargetMode="External"/><Relationship Id="rId24" Type="http://schemas.openxmlformats.org/officeDocument/2006/relationships/hyperlink" Target="https://doi.org/10.1016/j.jhydrol.2022.128268" TargetMode="External"/><Relationship Id="rId40" Type="http://schemas.openxmlformats.org/officeDocument/2006/relationships/hyperlink" Target="https://doi.org/10.3390/w17172531" TargetMode="External"/><Relationship Id="rId45" Type="http://schemas.openxmlformats.org/officeDocument/2006/relationships/hyperlink" Target="https://doi.org/10.3390/rs17122009" TargetMode="External"/><Relationship Id="rId66" Type="http://schemas.openxmlformats.org/officeDocument/2006/relationships/hyperlink" Target="https://doi.org/10.3390/ijerph18147467" TargetMode="External"/><Relationship Id="rId61" Type="http://schemas.openxmlformats.org/officeDocument/2006/relationships/hyperlink" Target="https://doi.org/10.3390/su12208454" TargetMode="External"/><Relationship Id="rId8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46368-2305-4B08-9B0E-7AA2E3C6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16</Pages>
  <Words>6332</Words>
  <Characters>36097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sjavad hosseini</dc:creator>
  <cp:keywords/>
  <dc:description/>
  <cp:lastModifiedBy>Editor-1183</cp:lastModifiedBy>
  <cp:revision>751</cp:revision>
  <dcterms:created xsi:type="dcterms:W3CDTF">2025-03-07T14:45:00Z</dcterms:created>
  <dcterms:modified xsi:type="dcterms:W3CDTF">2025-12-19T12:24:00Z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17b443b6-625e-4ad3-b6e2-74cb2e8e353b</vt:lpwstr>
  </property>
</Properties>
</file>