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71A" w:rsidRDefault="006D46FE" w:rsidP="009F21F1">
      <w:pPr>
        <w:spacing w:line="240" w:lineRule="auto"/>
        <w:jc w:val="both"/>
        <w:rPr>
          <w:rFonts w:ascii="Times New Roman" w:hAnsi="Times New Roman" w:cs="Times New Roman"/>
          <w:b/>
          <w:sz w:val="24"/>
          <w:szCs w:val="24"/>
        </w:rPr>
      </w:pPr>
      <w:bookmarkStart w:id="0" w:name="_Hlk206582472"/>
      <w:r w:rsidRPr="006D46FE">
        <w:rPr>
          <w:rFonts w:ascii="Times New Roman" w:hAnsi="Times New Roman" w:cs="Times New Roman"/>
          <w:b/>
          <w:bCs/>
          <w:sz w:val="24"/>
          <w:szCs w:val="24"/>
        </w:rPr>
        <w:t>Spatial and Temporal Patterns of Wildlife-Induced Crop Raiding in Valmiki Tiger Reserve</w:t>
      </w:r>
    </w:p>
    <w:p w:rsidR="006E571A" w:rsidRDefault="006E571A" w:rsidP="009F21F1">
      <w:pPr>
        <w:spacing w:line="240" w:lineRule="auto"/>
        <w:jc w:val="both"/>
        <w:rPr>
          <w:rFonts w:ascii="Times New Roman" w:hAnsi="Times New Roman" w:cs="Times New Roman"/>
          <w:b/>
          <w:sz w:val="24"/>
          <w:szCs w:val="24"/>
        </w:rPr>
      </w:pPr>
    </w:p>
    <w:bookmarkEnd w:id="0"/>
    <w:p w:rsidR="004D5C75" w:rsidRPr="004D5C75" w:rsidRDefault="004D5C75" w:rsidP="004D5C75">
      <w:pPr>
        <w:spacing w:line="240" w:lineRule="auto"/>
        <w:jc w:val="both"/>
        <w:rPr>
          <w:rFonts w:ascii="Times New Roman" w:hAnsi="Times New Roman" w:cs="Times New Roman"/>
          <w:b/>
          <w:bCs/>
          <w:sz w:val="24"/>
          <w:szCs w:val="24"/>
        </w:rPr>
      </w:pPr>
      <w:r w:rsidRPr="004D5C75">
        <w:rPr>
          <w:rFonts w:ascii="Times New Roman" w:hAnsi="Times New Roman" w:cs="Times New Roman"/>
          <w:b/>
          <w:bCs/>
          <w:sz w:val="24"/>
          <w:szCs w:val="24"/>
        </w:rPr>
        <w:t>Abstract</w:t>
      </w:r>
    </w:p>
    <w:p w:rsidR="004D5C75" w:rsidRPr="004D5C75" w:rsidRDefault="004D5C75" w:rsidP="004D5C75">
      <w:pPr>
        <w:spacing w:line="240" w:lineRule="auto"/>
        <w:jc w:val="both"/>
        <w:rPr>
          <w:rFonts w:ascii="Times New Roman" w:hAnsi="Times New Roman" w:cs="Times New Roman"/>
          <w:sz w:val="24"/>
          <w:szCs w:val="24"/>
        </w:rPr>
      </w:pPr>
      <w:r w:rsidRPr="004D5C75">
        <w:rPr>
          <w:rFonts w:ascii="Times New Roman" w:hAnsi="Times New Roman" w:cs="Times New Roman"/>
          <w:sz w:val="24"/>
          <w:szCs w:val="24"/>
        </w:rPr>
        <w:t>Human-wildlife conflict (HWC) poses a major challenge for communities living around protected areas, particularly through crop raiding by wild animals. This study investigates the spatial and temporal dynamics of crop raiding in the eco-sensitive zone of Valmiki Tiger Reserve (VTR), India. A total of 428 households from 92 villages, stratified into three classes based on proximity to the reserve boundary, were surveyed using questionnaires, interviews, and field observations. Results show that crop depredation was most frequently caused by Nilgai (</w:t>
      </w:r>
      <w:proofErr w:type="spellStart"/>
      <w:r w:rsidRPr="004D5C75">
        <w:rPr>
          <w:rFonts w:ascii="Times New Roman" w:hAnsi="Times New Roman" w:cs="Times New Roman"/>
          <w:i/>
          <w:iCs/>
          <w:sz w:val="24"/>
          <w:szCs w:val="24"/>
        </w:rPr>
        <w:t>Boselaphustragocamelus</w:t>
      </w:r>
      <w:proofErr w:type="spellEnd"/>
      <w:r w:rsidRPr="004D5C75">
        <w:rPr>
          <w:rFonts w:ascii="Times New Roman" w:hAnsi="Times New Roman" w:cs="Times New Roman"/>
          <w:sz w:val="24"/>
          <w:szCs w:val="24"/>
        </w:rPr>
        <w:t>), Chital (</w:t>
      </w:r>
      <w:r w:rsidRPr="004D5C75">
        <w:rPr>
          <w:rFonts w:ascii="Times New Roman" w:hAnsi="Times New Roman" w:cs="Times New Roman"/>
          <w:i/>
          <w:iCs/>
          <w:sz w:val="24"/>
          <w:szCs w:val="24"/>
        </w:rPr>
        <w:t>Axis axis</w:t>
      </w:r>
      <w:r w:rsidRPr="004D5C75">
        <w:rPr>
          <w:rFonts w:ascii="Times New Roman" w:hAnsi="Times New Roman" w:cs="Times New Roman"/>
          <w:sz w:val="24"/>
          <w:szCs w:val="24"/>
        </w:rPr>
        <w:t>), and Gaur (</w:t>
      </w:r>
      <w:r w:rsidRPr="004D5C75">
        <w:rPr>
          <w:rFonts w:ascii="Times New Roman" w:hAnsi="Times New Roman" w:cs="Times New Roman"/>
          <w:i/>
          <w:iCs/>
          <w:sz w:val="24"/>
          <w:szCs w:val="24"/>
        </w:rPr>
        <w:t xml:space="preserve">Bos </w:t>
      </w:r>
      <w:proofErr w:type="spellStart"/>
      <w:r w:rsidRPr="004D5C75">
        <w:rPr>
          <w:rFonts w:ascii="Times New Roman" w:hAnsi="Times New Roman" w:cs="Times New Roman"/>
          <w:i/>
          <w:iCs/>
          <w:sz w:val="24"/>
          <w:szCs w:val="24"/>
        </w:rPr>
        <w:t>gaurus</w:t>
      </w:r>
      <w:proofErr w:type="spellEnd"/>
      <w:r w:rsidRPr="004D5C75">
        <w:rPr>
          <w:rFonts w:ascii="Times New Roman" w:hAnsi="Times New Roman" w:cs="Times New Roman"/>
          <w:sz w:val="24"/>
          <w:szCs w:val="24"/>
        </w:rPr>
        <w:t>), accounting for over 50% of reported incidents. Seasonal analysis revealed that winter and monsoon were the most vulnerable periods for crop raiding, collectively contributing to more than 70% of cases. Local communities primarily relied on fencing (65.27%), thorny bushes (58.87%), and watch towers (49.51%) as mitigation measures, though these strategies were only partially effective. Statistical analysis using the Mann-Whitney U test confirmed significant variation in conflict intensity across village classes. The findings highlight the urgent need for sustainable, community-based conflict mitigation strategies and improved land-use planning to balance conservation objectives with the livelihood security of local communities.</w:t>
      </w:r>
    </w:p>
    <w:p w:rsidR="004D5C75" w:rsidRPr="004D5C75" w:rsidRDefault="004D5C75" w:rsidP="009F21F1">
      <w:pPr>
        <w:spacing w:line="240" w:lineRule="auto"/>
        <w:jc w:val="both"/>
        <w:rPr>
          <w:rFonts w:ascii="Times New Roman" w:hAnsi="Times New Roman" w:cs="Times New Roman"/>
          <w:b/>
          <w:bCs/>
          <w:sz w:val="24"/>
          <w:szCs w:val="24"/>
        </w:rPr>
      </w:pPr>
      <w:r w:rsidRPr="004D5C75">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4D5C75">
        <w:rPr>
          <w:rFonts w:ascii="Times New Roman" w:hAnsi="Times New Roman" w:cs="Times New Roman"/>
          <w:sz w:val="24"/>
          <w:szCs w:val="24"/>
        </w:rPr>
        <w:t>Human-wildlife conflict, Crop raiding, Valmiki Tiger Reserve, Mitigation strategies, Conservation management</w:t>
      </w:r>
    </w:p>
    <w:p w:rsidR="003F00DE" w:rsidRPr="003F00DE" w:rsidRDefault="003F00DE" w:rsidP="009F21F1">
      <w:pPr>
        <w:spacing w:line="240" w:lineRule="auto"/>
        <w:jc w:val="both"/>
        <w:rPr>
          <w:rFonts w:ascii="Times New Roman" w:hAnsi="Times New Roman" w:cs="Times New Roman"/>
          <w:b/>
          <w:bCs/>
          <w:sz w:val="24"/>
          <w:szCs w:val="24"/>
        </w:rPr>
      </w:pPr>
      <w:r w:rsidRPr="003F00DE">
        <w:rPr>
          <w:rFonts w:ascii="Times New Roman" w:hAnsi="Times New Roman" w:cs="Times New Roman"/>
          <w:b/>
          <w:bCs/>
          <w:sz w:val="24"/>
          <w:szCs w:val="24"/>
        </w:rPr>
        <w:t>I</w:t>
      </w:r>
      <w:r w:rsidR="001C105B" w:rsidRPr="003F00DE">
        <w:rPr>
          <w:rFonts w:ascii="Times New Roman" w:hAnsi="Times New Roman" w:cs="Times New Roman"/>
          <w:b/>
          <w:bCs/>
          <w:sz w:val="24"/>
          <w:szCs w:val="24"/>
        </w:rPr>
        <w:t>NTRODUCTION</w:t>
      </w:r>
    </w:p>
    <w:p w:rsidR="003F00DE" w:rsidRPr="003F00DE" w:rsidRDefault="003F00DE" w:rsidP="009F21F1">
      <w:pPr>
        <w:spacing w:line="240" w:lineRule="auto"/>
        <w:jc w:val="both"/>
        <w:rPr>
          <w:rFonts w:ascii="Times New Roman" w:hAnsi="Times New Roman" w:cs="Times New Roman"/>
          <w:bCs/>
          <w:sz w:val="24"/>
          <w:szCs w:val="24"/>
        </w:rPr>
      </w:pPr>
      <w:r w:rsidRPr="003F00DE">
        <w:rPr>
          <w:rFonts w:ascii="Times New Roman" w:hAnsi="Times New Roman" w:cs="Times New Roman"/>
          <w:bCs/>
          <w:sz w:val="24"/>
          <w:szCs w:val="24"/>
        </w:rPr>
        <w:t xml:space="preserve">Human–wildlife conflict (HWC) has emerged as a critical conservation and livelihood challenge across tropical and subtropical landscapes, particularly in regions where dense human populations coexist with rich biodiversity (Distefano, 2005; Treves &amp; </w:t>
      </w:r>
      <w:proofErr w:type="spellStart"/>
      <w:r w:rsidRPr="003F00DE">
        <w:rPr>
          <w:rFonts w:ascii="Times New Roman" w:hAnsi="Times New Roman" w:cs="Times New Roman"/>
          <w:bCs/>
          <w:sz w:val="24"/>
          <w:szCs w:val="24"/>
        </w:rPr>
        <w:t>Karanth</w:t>
      </w:r>
      <w:proofErr w:type="spellEnd"/>
      <w:r w:rsidRPr="003F00DE">
        <w:rPr>
          <w:rFonts w:ascii="Times New Roman" w:hAnsi="Times New Roman" w:cs="Times New Roman"/>
          <w:bCs/>
          <w:sz w:val="24"/>
          <w:szCs w:val="24"/>
        </w:rPr>
        <w:t>, 2003</w:t>
      </w:r>
      <w:r w:rsidR="00401C75">
        <w:rPr>
          <w:rFonts w:ascii="Times New Roman" w:hAnsi="Times New Roman" w:cs="Times New Roman"/>
          <w:bCs/>
          <w:sz w:val="24"/>
          <w:szCs w:val="24"/>
        </w:rPr>
        <w:t xml:space="preserve">; </w:t>
      </w:r>
      <w:r w:rsidR="00401C75" w:rsidRPr="00401C75">
        <w:rPr>
          <w:rFonts w:ascii="Times New Roman" w:hAnsi="Times New Roman" w:cs="Times New Roman"/>
          <w:bCs/>
          <w:sz w:val="24"/>
          <w:szCs w:val="24"/>
        </w:rPr>
        <w:t>Masood</w:t>
      </w:r>
      <w:r w:rsidR="00401C75">
        <w:rPr>
          <w:rFonts w:ascii="Times New Roman" w:hAnsi="Times New Roman" w:cs="Times New Roman"/>
          <w:bCs/>
          <w:sz w:val="24"/>
          <w:szCs w:val="24"/>
        </w:rPr>
        <w:t xml:space="preserve"> et al., 2022</w:t>
      </w:r>
      <w:r w:rsidRPr="003F00DE">
        <w:rPr>
          <w:rFonts w:ascii="Times New Roman" w:hAnsi="Times New Roman" w:cs="Times New Roman"/>
          <w:bCs/>
          <w:sz w:val="24"/>
          <w:szCs w:val="24"/>
        </w:rPr>
        <w:t>). One of the most pressing manifestations of HWC is crop raiding by wild animals, which results in considerable economic losses for farming communities residing adjacent to protected areas (</w:t>
      </w:r>
      <w:proofErr w:type="spellStart"/>
      <w:r w:rsidRPr="003F00DE">
        <w:rPr>
          <w:rFonts w:ascii="Times New Roman" w:hAnsi="Times New Roman" w:cs="Times New Roman"/>
          <w:bCs/>
          <w:sz w:val="24"/>
          <w:szCs w:val="24"/>
        </w:rPr>
        <w:t>Fungo</w:t>
      </w:r>
      <w:proofErr w:type="spellEnd"/>
      <w:r w:rsidRPr="003F00DE">
        <w:rPr>
          <w:rFonts w:ascii="Times New Roman" w:hAnsi="Times New Roman" w:cs="Times New Roman"/>
          <w:bCs/>
          <w:sz w:val="24"/>
          <w:szCs w:val="24"/>
        </w:rPr>
        <w:t>, 2011). The destruction of crops and livestock not only reduces household income but also heightens food insecurity, thereby exerting direct pressure on rural livelihoods (Madhusudan, 2003</w:t>
      </w:r>
      <w:r w:rsidR="00401C75">
        <w:rPr>
          <w:rFonts w:ascii="Times New Roman" w:hAnsi="Times New Roman" w:cs="Times New Roman"/>
          <w:bCs/>
          <w:sz w:val="24"/>
          <w:szCs w:val="24"/>
        </w:rPr>
        <w:t xml:space="preserve">; </w:t>
      </w:r>
      <w:r w:rsidR="00401C75" w:rsidRPr="00401C75">
        <w:rPr>
          <w:rFonts w:ascii="Times New Roman" w:hAnsi="Times New Roman" w:cs="Times New Roman"/>
          <w:bCs/>
          <w:sz w:val="24"/>
          <w:szCs w:val="24"/>
        </w:rPr>
        <w:t>Nawal</w:t>
      </w:r>
      <w:r w:rsidR="00401C75">
        <w:rPr>
          <w:rFonts w:ascii="Times New Roman" w:hAnsi="Times New Roman" w:cs="Times New Roman"/>
          <w:bCs/>
          <w:sz w:val="24"/>
          <w:szCs w:val="24"/>
        </w:rPr>
        <w:t xml:space="preserve"> et al., 2025</w:t>
      </w:r>
      <w:r w:rsidRPr="003F00DE">
        <w:rPr>
          <w:rFonts w:ascii="Times New Roman" w:hAnsi="Times New Roman" w:cs="Times New Roman"/>
          <w:bCs/>
          <w:sz w:val="24"/>
          <w:szCs w:val="24"/>
        </w:rPr>
        <w:t>). In many cases, these losses foster resentment among local people toward wildlife conservation, creating significant barriers for long-term biodiversity protection (Woodroffe et al., 2005).</w:t>
      </w:r>
    </w:p>
    <w:p w:rsidR="003F00DE" w:rsidRPr="003F00DE" w:rsidRDefault="00514801" w:rsidP="009F21F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Protected areas are </w:t>
      </w:r>
      <w:r w:rsidR="003F00DE" w:rsidRPr="003F00DE">
        <w:rPr>
          <w:rFonts w:ascii="Times New Roman" w:hAnsi="Times New Roman" w:cs="Times New Roman"/>
          <w:bCs/>
          <w:sz w:val="24"/>
          <w:szCs w:val="24"/>
        </w:rPr>
        <w:t>essential for biodiversity con</w:t>
      </w:r>
      <w:r>
        <w:rPr>
          <w:rFonts w:ascii="Times New Roman" w:hAnsi="Times New Roman" w:cs="Times New Roman"/>
          <w:bCs/>
          <w:sz w:val="24"/>
          <w:szCs w:val="24"/>
        </w:rPr>
        <w:t>servation but most</w:t>
      </w:r>
      <w:r w:rsidR="003F00DE" w:rsidRPr="003F00DE">
        <w:rPr>
          <w:rFonts w:ascii="Times New Roman" w:hAnsi="Times New Roman" w:cs="Times New Roman"/>
          <w:bCs/>
          <w:sz w:val="24"/>
          <w:szCs w:val="24"/>
        </w:rPr>
        <w:t xml:space="preserve"> often </w:t>
      </w:r>
      <w:r>
        <w:rPr>
          <w:rFonts w:ascii="Times New Roman" w:hAnsi="Times New Roman" w:cs="Times New Roman"/>
          <w:bCs/>
          <w:sz w:val="24"/>
          <w:szCs w:val="24"/>
        </w:rPr>
        <w:t xml:space="preserve">these </w:t>
      </w:r>
      <w:r w:rsidR="003F00DE" w:rsidRPr="003F00DE">
        <w:rPr>
          <w:rFonts w:ascii="Times New Roman" w:hAnsi="Times New Roman" w:cs="Times New Roman"/>
          <w:bCs/>
          <w:sz w:val="24"/>
          <w:szCs w:val="24"/>
        </w:rPr>
        <w:t xml:space="preserve">become hotspots of conflict </w:t>
      </w:r>
      <w:r>
        <w:rPr>
          <w:rFonts w:ascii="Times New Roman" w:hAnsi="Times New Roman" w:cs="Times New Roman"/>
          <w:bCs/>
          <w:sz w:val="24"/>
          <w:szCs w:val="24"/>
        </w:rPr>
        <w:t>because</w:t>
      </w:r>
      <w:r w:rsidR="003F00DE" w:rsidRPr="003F00DE">
        <w:rPr>
          <w:rFonts w:ascii="Times New Roman" w:hAnsi="Times New Roman" w:cs="Times New Roman"/>
          <w:bCs/>
          <w:sz w:val="24"/>
          <w:szCs w:val="24"/>
        </w:rPr>
        <w:t xml:space="preserve"> the ecological goals of wildlife protection clash with the livelihood needs of surrounding human populations (</w:t>
      </w:r>
      <w:proofErr w:type="spellStart"/>
      <w:r w:rsidR="003F00DE" w:rsidRPr="003F00DE">
        <w:rPr>
          <w:rFonts w:ascii="Times New Roman" w:hAnsi="Times New Roman" w:cs="Times New Roman"/>
          <w:bCs/>
          <w:sz w:val="24"/>
          <w:szCs w:val="24"/>
        </w:rPr>
        <w:t>Gile</w:t>
      </w:r>
      <w:proofErr w:type="spellEnd"/>
      <w:r w:rsidR="003F00DE" w:rsidRPr="003F00DE">
        <w:rPr>
          <w:rFonts w:ascii="Times New Roman" w:hAnsi="Times New Roman" w:cs="Times New Roman"/>
          <w:bCs/>
          <w:sz w:val="24"/>
          <w:szCs w:val="24"/>
        </w:rPr>
        <w:t xml:space="preserve">, 1978; </w:t>
      </w:r>
      <w:proofErr w:type="spellStart"/>
      <w:r w:rsidR="003F00DE" w:rsidRPr="003F00DE">
        <w:rPr>
          <w:rFonts w:ascii="Times New Roman" w:hAnsi="Times New Roman" w:cs="Times New Roman"/>
          <w:bCs/>
          <w:sz w:val="24"/>
          <w:szCs w:val="24"/>
        </w:rPr>
        <w:t>Karanth</w:t>
      </w:r>
      <w:proofErr w:type="spellEnd"/>
      <w:r w:rsidR="003F00DE" w:rsidRPr="003F00DE">
        <w:rPr>
          <w:rFonts w:ascii="Times New Roman" w:hAnsi="Times New Roman" w:cs="Times New Roman"/>
          <w:bCs/>
          <w:sz w:val="24"/>
          <w:szCs w:val="24"/>
        </w:rPr>
        <w:t xml:space="preserve"> &amp; Nepal, 2012). This tension is particularly acute in landscapes where communities are highly dependent on agriculture and livestock rearing as their primary sources of subsistence (</w:t>
      </w:r>
      <w:proofErr w:type="spellStart"/>
      <w:r w:rsidR="003F00DE" w:rsidRPr="003F00DE">
        <w:rPr>
          <w:rFonts w:ascii="Times New Roman" w:hAnsi="Times New Roman" w:cs="Times New Roman"/>
          <w:bCs/>
          <w:sz w:val="24"/>
          <w:szCs w:val="24"/>
        </w:rPr>
        <w:t>Silwal</w:t>
      </w:r>
      <w:proofErr w:type="spellEnd"/>
      <w:r w:rsidR="003F00DE" w:rsidRPr="003F00DE">
        <w:rPr>
          <w:rFonts w:ascii="Times New Roman" w:hAnsi="Times New Roman" w:cs="Times New Roman"/>
          <w:bCs/>
          <w:sz w:val="24"/>
          <w:szCs w:val="24"/>
        </w:rPr>
        <w:t xml:space="preserve"> et al., 2017). Studies have consistently demonstrated that the intensity of human–wildlife interactions is highest near protected area boundaries, with conflict frequency generally declining with distance from these zones (</w:t>
      </w:r>
      <w:proofErr w:type="spellStart"/>
      <w:r w:rsidR="003F00DE" w:rsidRPr="003F00DE">
        <w:rPr>
          <w:rFonts w:ascii="Times New Roman" w:hAnsi="Times New Roman" w:cs="Times New Roman"/>
          <w:bCs/>
          <w:sz w:val="24"/>
          <w:szCs w:val="24"/>
        </w:rPr>
        <w:t>Kagoro-Rugunda</w:t>
      </w:r>
      <w:proofErr w:type="spellEnd"/>
      <w:r w:rsidR="003F00DE" w:rsidRPr="003F00DE">
        <w:rPr>
          <w:rFonts w:ascii="Times New Roman" w:hAnsi="Times New Roman" w:cs="Times New Roman"/>
          <w:bCs/>
          <w:sz w:val="24"/>
          <w:szCs w:val="24"/>
        </w:rPr>
        <w:t>, 2004; Graham et al., 2005).</w:t>
      </w:r>
    </w:p>
    <w:p w:rsidR="003F00DE" w:rsidRPr="003F00DE" w:rsidRDefault="002E60E2" w:rsidP="009F21F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India </w:t>
      </w:r>
      <w:proofErr w:type="spellStart"/>
      <w:r w:rsidR="003F00DE" w:rsidRPr="003F00DE">
        <w:rPr>
          <w:rFonts w:ascii="Times New Roman" w:hAnsi="Times New Roman" w:cs="Times New Roman"/>
          <w:bCs/>
          <w:sz w:val="24"/>
          <w:szCs w:val="24"/>
        </w:rPr>
        <w:t>harbors</w:t>
      </w:r>
      <w:proofErr w:type="spellEnd"/>
      <w:r w:rsidR="003F00DE" w:rsidRPr="003F00DE">
        <w:rPr>
          <w:rFonts w:ascii="Times New Roman" w:hAnsi="Times New Roman" w:cs="Times New Roman"/>
          <w:bCs/>
          <w:sz w:val="24"/>
          <w:szCs w:val="24"/>
        </w:rPr>
        <w:t xml:space="preserve"> nearly 18% of the world’s human population alongside globally significant populations of large mammals such as </w:t>
      </w:r>
      <w:r w:rsidR="00514801">
        <w:rPr>
          <w:rFonts w:ascii="Times New Roman" w:hAnsi="Times New Roman" w:cs="Times New Roman"/>
          <w:bCs/>
          <w:sz w:val="24"/>
          <w:szCs w:val="24"/>
        </w:rPr>
        <w:t>tigers, elephants, and leopards.</w:t>
      </w:r>
      <w:r w:rsidR="003F00DE" w:rsidRPr="003F00DE">
        <w:rPr>
          <w:rFonts w:ascii="Times New Roman" w:hAnsi="Times New Roman" w:cs="Times New Roman"/>
          <w:bCs/>
          <w:sz w:val="24"/>
          <w:szCs w:val="24"/>
        </w:rPr>
        <w:t xml:space="preserve"> HWC has become a widespread socio-ecological dilemma (Sukumar, 2003; </w:t>
      </w:r>
      <w:proofErr w:type="spellStart"/>
      <w:r w:rsidR="003F00DE" w:rsidRPr="003F00DE">
        <w:rPr>
          <w:rFonts w:ascii="Times New Roman" w:hAnsi="Times New Roman" w:cs="Times New Roman"/>
          <w:bCs/>
          <w:sz w:val="24"/>
          <w:szCs w:val="24"/>
        </w:rPr>
        <w:t>Karanth</w:t>
      </w:r>
      <w:proofErr w:type="spellEnd"/>
      <w:r w:rsidR="003F00DE" w:rsidRPr="003F00DE">
        <w:rPr>
          <w:rFonts w:ascii="Times New Roman" w:hAnsi="Times New Roman" w:cs="Times New Roman"/>
          <w:bCs/>
          <w:sz w:val="24"/>
          <w:szCs w:val="24"/>
        </w:rPr>
        <w:t xml:space="preserve"> &amp; Gopal, 2005). Crop raiding is particularly preval</w:t>
      </w:r>
      <w:r w:rsidR="00514801">
        <w:rPr>
          <w:rFonts w:ascii="Times New Roman" w:hAnsi="Times New Roman" w:cs="Times New Roman"/>
          <w:bCs/>
          <w:sz w:val="24"/>
          <w:szCs w:val="24"/>
        </w:rPr>
        <w:t xml:space="preserve">ent in the </w:t>
      </w:r>
      <w:proofErr w:type="spellStart"/>
      <w:r w:rsidR="00514801">
        <w:rPr>
          <w:rFonts w:ascii="Times New Roman" w:hAnsi="Times New Roman" w:cs="Times New Roman"/>
          <w:bCs/>
          <w:sz w:val="24"/>
          <w:szCs w:val="24"/>
        </w:rPr>
        <w:t>Terai</w:t>
      </w:r>
      <w:proofErr w:type="spellEnd"/>
      <w:r w:rsidR="00514801">
        <w:rPr>
          <w:rFonts w:ascii="Times New Roman" w:hAnsi="Times New Roman" w:cs="Times New Roman"/>
          <w:bCs/>
          <w:sz w:val="24"/>
          <w:szCs w:val="24"/>
        </w:rPr>
        <w:t xml:space="preserve"> Arc Landscape because the </w:t>
      </w:r>
      <w:r w:rsidR="003F00DE" w:rsidRPr="003F00DE">
        <w:rPr>
          <w:rFonts w:ascii="Times New Roman" w:hAnsi="Times New Roman" w:cs="Times New Roman"/>
          <w:bCs/>
          <w:sz w:val="24"/>
          <w:szCs w:val="24"/>
        </w:rPr>
        <w:t xml:space="preserve">fertile agricultural </w:t>
      </w:r>
      <w:r w:rsidR="003F00DE" w:rsidRPr="003F00DE">
        <w:rPr>
          <w:rFonts w:ascii="Times New Roman" w:hAnsi="Times New Roman" w:cs="Times New Roman"/>
          <w:bCs/>
          <w:sz w:val="24"/>
          <w:szCs w:val="24"/>
        </w:rPr>
        <w:lastRenderedPageBreak/>
        <w:t>lands directly adjoin protected for</w:t>
      </w:r>
      <w:r w:rsidR="00514801">
        <w:rPr>
          <w:rFonts w:ascii="Times New Roman" w:hAnsi="Times New Roman" w:cs="Times New Roman"/>
          <w:bCs/>
          <w:sz w:val="24"/>
          <w:szCs w:val="24"/>
        </w:rPr>
        <w:t>ests which creates</w:t>
      </w:r>
      <w:r w:rsidR="003F00DE" w:rsidRPr="003F00DE">
        <w:rPr>
          <w:rFonts w:ascii="Times New Roman" w:hAnsi="Times New Roman" w:cs="Times New Roman"/>
          <w:bCs/>
          <w:sz w:val="24"/>
          <w:szCs w:val="24"/>
        </w:rPr>
        <w:t xml:space="preserve"> a mosaic of competition between human and wildlife needs (</w:t>
      </w:r>
      <w:proofErr w:type="spellStart"/>
      <w:r w:rsidR="003F00DE" w:rsidRPr="003F00DE">
        <w:rPr>
          <w:rFonts w:ascii="Times New Roman" w:hAnsi="Times New Roman" w:cs="Times New Roman"/>
          <w:bCs/>
          <w:sz w:val="24"/>
          <w:szCs w:val="24"/>
        </w:rPr>
        <w:t>Chanchani</w:t>
      </w:r>
      <w:proofErr w:type="spellEnd"/>
      <w:r w:rsidR="003F00DE" w:rsidRPr="003F00DE">
        <w:rPr>
          <w:rFonts w:ascii="Times New Roman" w:hAnsi="Times New Roman" w:cs="Times New Roman"/>
          <w:bCs/>
          <w:sz w:val="24"/>
          <w:szCs w:val="24"/>
        </w:rPr>
        <w:t xml:space="preserve"> et al., 2014; </w:t>
      </w:r>
      <w:proofErr w:type="spellStart"/>
      <w:r w:rsidR="003F00DE" w:rsidRPr="003F00DE">
        <w:rPr>
          <w:rFonts w:ascii="Times New Roman" w:hAnsi="Times New Roman" w:cs="Times New Roman"/>
          <w:bCs/>
          <w:sz w:val="24"/>
          <w:szCs w:val="24"/>
        </w:rPr>
        <w:t>Lamichhane</w:t>
      </w:r>
      <w:proofErr w:type="spellEnd"/>
      <w:r w:rsidR="003F00DE" w:rsidRPr="003F00DE">
        <w:rPr>
          <w:rFonts w:ascii="Times New Roman" w:hAnsi="Times New Roman" w:cs="Times New Roman"/>
          <w:bCs/>
          <w:sz w:val="24"/>
          <w:szCs w:val="24"/>
        </w:rPr>
        <w:t xml:space="preserve"> et al., 2018). The Valmiki Tiger Reserve (VTR) in Bihar, located at the Indo–Nepal border, represents a critical case where communities dependent on rice, wheat, maize, and sugarcane cultivation face recurrent depredation from ungulates and primates. Wildlife species such as Nilgai (</w:t>
      </w:r>
      <w:proofErr w:type="spellStart"/>
      <w:r w:rsidR="003F00DE" w:rsidRPr="003F00DE">
        <w:rPr>
          <w:rFonts w:ascii="Times New Roman" w:hAnsi="Times New Roman" w:cs="Times New Roman"/>
          <w:bCs/>
          <w:i/>
          <w:iCs/>
          <w:sz w:val="24"/>
          <w:szCs w:val="24"/>
        </w:rPr>
        <w:t>Boselaphustragocamelus</w:t>
      </w:r>
      <w:proofErr w:type="spellEnd"/>
      <w:r w:rsidR="003F00DE" w:rsidRPr="003F00DE">
        <w:rPr>
          <w:rFonts w:ascii="Times New Roman" w:hAnsi="Times New Roman" w:cs="Times New Roman"/>
          <w:bCs/>
          <w:sz w:val="24"/>
          <w:szCs w:val="24"/>
        </w:rPr>
        <w:t>), Chital (</w:t>
      </w:r>
      <w:r w:rsidR="003F00DE" w:rsidRPr="003F00DE">
        <w:rPr>
          <w:rFonts w:ascii="Times New Roman" w:hAnsi="Times New Roman" w:cs="Times New Roman"/>
          <w:bCs/>
          <w:i/>
          <w:iCs/>
          <w:sz w:val="24"/>
          <w:szCs w:val="24"/>
        </w:rPr>
        <w:t>Axis axis</w:t>
      </w:r>
      <w:r w:rsidR="003F00DE" w:rsidRPr="003F00DE">
        <w:rPr>
          <w:rFonts w:ascii="Times New Roman" w:hAnsi="Times New Roman" w:cs="Times New Roman"/>
          <w:bCs/>
          <w:sz w:val="24"/>
          <w:szCs w:val="24"/>
        </w:rPr>
        <w:t>), Langur (</w:t>
      </w:r>
      <w:proofErr w:type="spellStart"/>
      <w:r w:rsidR="003F00DE" w:rsidRPr="003F00DE">
        <w:rPr>
          <w:rFonts w:ascii="Times New Roman" w:hAnsi="Times New Roman" w:cs="Times New Roman"/>
          <w:bCs/>
          <w:i/>
          <w:iCs/>
          <w:sz w:val="24"/>
          <w:szCs w:val="24"/>
        </w:rPr>
        <w:t>Semnopithecus</w:t>
      </w:r>
      <w:proofErr w:type="spellEnd"/>
      <w:r w:rsidR="003F00DE" w:rsidRPr="003F00DE">
        <w:rPr>
          <w:rFonts w:ascii="Times New Roman" w:hAnsi="Times New Roman" w:cs="Times New Roman"/>
          <w:bCs/>
          <w:i/>
          <w:iCs/>
          <w:sz w:val="24"/>
          <w:szCs w:val="24"/>
        </w:rPr>
        <w:t xml:space="preserve"> entellus</w:t>
      </w:r>
      <w:r w:rsidR="003F00DE" w:rsidRPr="003F00DE">
        <w:rPr>
          <w:rFonts w:ascii="Times New Roman" w:hAnsi="Times New Roman" w:cs="Times New Roman"/>
          <w:bCs/>
          <w:sz w:val="24"/>
          <w:szCs w:val="24"/>
        </w:rPr>
        <w:t>), and Gaur (</w:t>
      </w:r>
      <w:r w:rsidR="003F00DE" w:rsidRPr="003F00DE">
        <w:rPr>
          <w:rFonts w:ascii="Times New Roman" w:hAnsi="Times New Roman" w:cs="Times New Roman"/>
          <w:bCs/>
          <w:i/>
          <w:iCs/>
          <w:sz w:val="24"/>
          <w:szCs w:val="24"/>
        </w:rPr>
        <w:t xml:space="preserve">Bos </w:t>
      </w:r>
      <w:proofErr w:type="spellStart"/>
      <w:r w:rsidR="003F00DE" w:rsidRPr="003F00DE">
        <w:rPr>
          <w:rFonts w:ascii="Times New Roman" w:hAnsi="Times New Roman" w:cs="Times New Roman"/>
          <w:bCs/>
          <w:i/>
          <w:iCs/>
          <w:sz w:val="24"/>
          <w:szCs w:val="24"/>
        </w:rPr>
        <w:t>gaurus</w:t>
      </w:r>
      <w:proofErr w:type="spellEnd"/>
      <w:r w:rsidR="003F00DE" w:rsidRPr="003F00DE">
        <w:rPr>
          <w:rFonts w:ascii="Times New Roman" w:hAnsi="Times New Roman" w:cs="Times New Roman"/>
          <w:bCs/>
          <w:sz w:val="24"/>
          <w:szCs w:val="24"/>
        </w:rPr>
        <w:t>) are frequently impli</w:t>
      </w:r>
      <w:r w:rsidR="00514801">
        <w:rPr>
          <w:rFonts w:ascii="Times New Roman" w:hAnsi="Times New Roman" w:cs="Times New Roman"/>
          <w:bCs/>
          <w:sz w:val="24"/>
          <w:szCs w:val="24"/>
        </w:rPr>
        <w:t>cated in crop losses that often leads</w:t>
      </w:r>
      <w:r w:rsidR="003F00DE" w:rsidRPr="003F00DE">
        <w:rPr>
          <w:rFonts w:ascii="Times New Roman" w:hAnsi="Times New Roman" w:cs="Times New Roman"/>
          <w:bCs/>
          <w:sz w:val="24"/>
          <w:szCs w:val="24"/>
        </w:rPr>
        <w:t xml:space="preserve"> to serious livelihood challenges.</w:t>
      </w:r>
    </w:p>
    <w:p w:rsidR="003F00DE" w:rsidRPr="003F00DE" w:rsidRDefault="003F00DE" w:rsidP="009F21F1">
      <w:pPr>
        <w:spacing w:line="240" w:lineRule="auto"/>
        <w:jc w:val="both"/>
        <w:rPr>
          <w:rFonts w:ascii="Times New Roman" w:hAnsi="Times New Roman" w:cs="Times New Roman"/>
          <w:bCs/>
          <w:sz w:val="24"/>
          <w:szCs w:val="24"/>
        </w:rPr>
      </w:pPr>
      <w:r w:rsidRPr="003F00DE">
        <w:rPr>
          <w:rFonts w:ascii="Times New Roman" w:hAnsi="Times New Roman" w:cs="Times New Roman"/>
          <w:bCs/>
          <w:sz w:val="24"/>
          <w:szCs w:val="24"/>
        </w:rPr>
        <w:t>Given the ecological significance of VTR and its role within the trans</w:t>
      </w:r>
      <w:r w:rsidR="00514801">
        <w:rPr>
          <w:rFonts w:ascii="Times New Roman" w:hAnsi="Times New Roman" w:cs="Times New Roman"/>
          <w:bCs/>
          <w:sz w:val="24"/>
          <w:szCs w:val="24"/>
        </w:rPr>
        <w:t>-</w:t>
      </w:r>
      <w:r w:rsidRPr="003F00DE">
        <w:rPr>
          <w:rFonts w:ascii="Times New Roman" w:hAnsi="Times New Roman" w:cs="Times New Roman"/>
          <w:bCs/>
          <w:sz w:val="24"/>
          <w:szCs w:val="24"/>
        </w:rPr>
        <w:t xml:space="preserve">boundary </w:t>
      </w:r>
      <w:proofErr w:type="spellStart"/>
      <w:r w:rsidRPr="003F00DE">
        <w:rPr>
          <w:rFonts w:ascii="Times New Roman" w:hAnsi="Times New Roman" w:cs="Times New Roman"/>
          <w:bCs/>
          <w:sz w:val="24"/>
          <w:szCs w:val="24"/>
        </w:rPr>
        <w:t>Terai</w:t>
      </w:r>
      <w:proofErr w:type="spellEnd"/>
      <w:r w:rsidRPr="003F00DE">
        <w:rPr>
          <w:rFonts w:ascii="Times New Roman" w:hAnsi="Times New Roman" w:cs="Times New Roman"/>
          <w:bCs/>
          <w:sz w:val="24"/>
          <w:szCs w:val="24"/>
        </w:rPr>
        <w:t xml:space="preserve"> Arc Landscape, it is crucial to understand the patterns, drivers, and seasonal dimensions of crop raiding in order to develop effective mitigation strategies. While local communities employ traditional measures such as fencing,</w:t>
      </w:r>
      <w:r w:rsidR="00514801">
        <w:rPr>
          <w:rFonts w:ascii="Times New Roman" w:hAnsi="Times New Roman" w:cs="Times New Roman"/>
          <w:bCs/>
          <w:sz w:val="24"/>
          <w:szCs w:val="24"/>
        </w:rPr>
        <w:t xml:space="preserve"> watchtowers, and scare devices but</w:t>
      </w:r>
      <w:r w:rsidRPr="003F00DE">
        <w:rPr>
          <w:rFonts w:ascii="Times New Roman" w:hAnsi="Times New Roman" w:cs="Times New Roman"/>
          <w:bCs/>
          <w:sz w:val="24"/>
          <w:szCs w:val="24"/>
        </w:rPr>
        <w:t xml:space="preserve"> their effectiveness remains limited and conflicts persist (Malviya &amp; Ramesh, 2015). Documenting the nature and extent of crop raiding in VTR is therefore essential for formulating sustainable land-use policies that balance conservation objectives with the livelihood security of surrounding populations.</w:t>
      </w:r>
    </w:p>
    <w:p w:rsidR="003F00DE" w:rsidRPr="003F00DE" w:rsidRDefault="003F00DE" w:rsidP="009F21F1">
      <w:pPr>
        <w:spacing w:line="240" w:lineRule="auto"/>
        <w:jc w:val="both"/>
        <w:rPr>
          <w:rFonts w:ascii="Times New Roman" w:hAnsi="Times New Roman" w:cs="Times New Roman"/>
          <w:bCs/>
          <w:sz w:val="24"/>
          <w:szCs w:val="24"/>
        </w:rPr>
      </w:pPr>
      <w:r w:rsidRPr="003F00DE">
        <w:rPr>
          <w:rFonts w:ascii="Times New Roman" w:hAnsi="Times New Roman" w:cs="Times New Roman"/>
          <w:bCs/>
          <w:sz w:val="24"/>
          <w:szCs w:val="24"/>
        </w:rPr>
        <w:t>This study investigates the scale and seasonal variation of wildlife-induced crop damage in villages around Valmiki Tig</w:t>
      </w:r>
      <w:r w:rsidR="00514801">
        <w:rPr>
          <w:rFonts w:ascii="Times New Roman" w:hAnsi="Times New Roman" w:cs="Times New Roman"/>
          <w:bCs/>
          <w:sz w:val="24"/>
          <w:szCs w:val="24"/>
        </w:rPr>
        <w:t xml:space="preserve">er Reserve, India. </w:t>
      </w:r>
      <w:proofErr w:type="gramStart"/>
      <w:r w:rsidR="00514801">
        <w:rPr>
          <w:rFonts w:ascii="Times New Roman" w:hAnsi="Times New Roman" w:cs="Times New Roman"/>
          <w:bCs/>
          <w:sz w:val="24"/>
          <w:szCs w:val="24"/>
        </w:rPr>
        <w:t>Specifically</w:t>
      </w:r>
      <w:proofErr w:type="gramEnd"/>
      <w:r w:rsidR="00514801">
        <w:rPr>
          <w:rFonts w:ascii="Times New Roman" w:hAnsi="Times New Roman" w:cs="Times New Roman"/>
          <w:bCs/>
          <w:sz w:val="24"/>
          <w:szCs w:val="24"/>
        </w:rPr>
        <w:t xml:space="preserve"> present study</w:t>
      </w:r>
      <w:r w:rsidRPr="003F00DE">
        <w:rPr>
          <w:rFonts w:ascii="Times New Roman" w:hAnsi="Times New Roman" w:cs="Times New Roman"/>
          <w:bCs/>
          <w:sz w:val="24"/>
          <w:szCs w:val="24"/>
        </w:rPr>
        <w:t xml:space="preserve"> aims to identify the key wildlife spec</w:t>
      </w:r>
      <w:r w:rsidR="00514801">
        <w:rPr>
          <w:rFonts w:ascii="Times New Roman" w:hAnsi="Times New Roman" w:cs="Times New Roman"/>
          <w:bCs/>
          <w:sz w:val="24"/>
          <w:szCs w:val="24"/>
        </w:rPr>
        <w:t>ies responsible for crop losses and to</w:t>
      </w:r>
      <w:r w:rsidRPr="003F00DE">
        <w:rPr>
          <w:rFonts w:ascii="Times New Roman" w:hAnsi="Times New Roman" w:cs="Times New Roman"/>
          <w:bCs/>
          <w:sz w:val="24"/>
          <w:szCs w:val="24"/>
        </w:rPr>
        <w:t xml:space="preserve"> assess the socio-econo</w:t>
      </w:r>
      <w:r w:rsidR="00514801">
        <w:rPr>
          <w:rFonts w:ascii="Times New Roman" w:hAnsi="Times New Roman" w:cs="Times New Roman"/>
          <w:bCs/>
          <w:sz w:val="24"/>
          <w:szCs w:val="24"/>
        </w:rPr>
        <w:t>mic impacts on rural households</w:t>
      </w:r>
      <w:r w:rsidRPr="003F00DE">
        <w:rPr>
          <w:rFonts w:ascii="Times New Roman" w:hAnsi="Times New Roman" w:cs="Times New Roman"/>
          <w:bCs/>
          <w:sz w:val="24"/>
          <w:szCs w:val="24"/>
        </w:rPr>
        <w:t xml:space="preserve"> and evaluate the efficacy of locally adopted mitigation measures. By doing so, the research contributes to the broader discourse on human–wildlife coexistence in biodiversity-rich but livelihood-fragile landscapes.</w:t>
      </w:r>
    </w:p>
    <w:p w:rsidR="001D5DAA" w:rsidRPr="003045C1" w:rsidRDefault="001D5DAA" w:rsidP="009F21F1">
      <w:pPr>
        <w:spacing w:line="240" w:lineRule="auto"/>
        <w:jc w:val="both"/>
        <w:rPr>
          <w:rFonts w:ascii="Times New Roman" w:hAnsi="Times New Roman" w:cs="Times New Roman"/>
          <w:b/>
          <w:sz w:val="24"/>
          <w:szCs w:val="24"/>
          <w:lang w:val="en-US"/>
        </w:rPr>
      </w:pPr>
      <w:r w:rsidRPr="003045C1">
        <w:rPr>
          <w:rFonts w:ascii="Times New Roman" w:hAnsi="Times New Roman" w:cs="Times New Roman"/>
          <w:b/>
          <w:sz w:val="24"/>
          <w:szCs w:val="24"/>
          <w:lang w:val="en-US"/>
        </w:rPr>
        <w:t>MATERIAL</w:t>
      </w:r>
      <w:r w:rsidR="002E60E2">
        <w:rPr>
          <w:rFonts w:ascii="Times New Roman" w:hAnsi="Times New Roman" w:cs="Times New Roman"/>
          <w:b/>
          <w:sz w:val="24"/>
          <w:szCs w:val="24"/>
          <w:lang w:val="en-US"/>
        </w:rPr>
        <w:t>S</w:t>
      </w:r>
      <w:r w:rsidRPr="003045C1">
        <w:rPr>
          <w:rFonts w:ascii="Times New Roman" w:hAnsi="Times New Roman" w:cs="Times New Roman"/>
          <w:b/>
          <w:sz w:val="24"/>
          <w:szCs w:val="24"/>
          <w:lang w:val="en-US"/>
        </w:rPr>
        <w:t xml:space="preserve"> AND METHODS</w:t>
      </w:r>
    </w:p>
    <w:p w:rsidR="005D1B6C" w:rsidRPr="00D93AF6" w:rsidRDefault="005D1B6C" w:rsidP="009F21F1">
      <w:pPr>
        <w:spacing w:line="240" w:lineRule="auto"/>
        <w:jc w:val="both"/>
        <w:rPr>
          <w:rFonts w:ascii="Times New Roman" w:hAnsi="Times New Roman" w:cs="Times New Roman"/>
          <w:b/>
          <w:bCs/>
          <w:sz w:val="24"/>
          <w:szCs w:val="24"/>
        </w:rPr>
      </w:pPr>
      <w:r w:rsidRPr="00D93AF6">
        <w:rPr>
          <w:rFonts w:ascii="Times New Roman" w:hAnsi="Times New Roman" w:cs="Times New Roman"/>
          <w:b/>
          <w:bCs/>
          <w:sz w:val="24"/>
          <w:szCs w:val="24"/>
        </w:rPr>
        <w:t>Study area</w:t>
      </w:r>
    </w:p>
    <w:p w:rsidR="00D93AF6" w:rsidRPr="00D93AF6" w:rsidRDefault="00D93AF6" w:rsidP="009F21F1">
      <w:pPr>
        <w:spacing w:line="240" w:lineRule="auto"/>
        <w:jc w:val="both"/>
        <w:rPr>
          <w:rFonts w:ascii="Times New Roman" w:hAnsi="Times New Roman" w:cs="Times New Roman"/>
          <w:sz w:val="24"/>
          <w:szCs w:val="24"/>
        </w:rPr>
      </w:pPr>
      <w:r w:rsidRPr="00D93AF6">
        <w:rPr>
          <w:rFonts w:ascii="Times New Roman" w:hAnsi="Times New Roman" w:cs="Times New Roman"/>
          <w:sz w:val="24"/>
          <w:szCs w:val="24"/>
        </w:rPr>
        <w:t xml:space="preserve">The Valmiki Tiger Reserve (VTR) represents the sole tiger reserve of Bihar and forms a critical component of the </w:t>
      </w:r>
      <w:proofErr w:type="spellStart"/>
      <w:r w:rsidRPr="00D93AF6">
        <w:rPr>
          <w:rFonts w:ascii="Times New Roman" w:hAnsi="Times New Roman" w:cs="Times New Roman"/>
          <w:sz w:val="24"/>
          <w:szCs w:val="24"/>
        </w:rPr>
        <w:t>Terai</w:t>
      </w:r>
      <w:proofErr w:type="spellEnd"/>
      <w:r w:rsidRPr="00D93AF6">
        <w:rPr>
          <w:rFonts w:ascii="Times New Roman" w:hAnsi="Times New Roman" w:cs="Times New Roman"/>
          <w:sz w:val="24"/>
          <w:szCs w:val="24"/>
        </w:rPr>
        <w:t xml:space="preserve"> Arc Landscape at the Himalayan foothills. The reserve encompasses a mosaic of geomorphological units, most notably the </w:t>
      </w:r>
      <w:proofErr w:type="spellStart"/>
      <w:r w:rsidRPr="00D93AF6">
        <w:rPr>
          <w:rFonts w:ascii="Times New Roman" w:hAnsi="Times New Roman" w:cs="Times New Roman"/>
          <w:sz w:val="24"/>
          <w:szCs w:val="24"/>
        </w:rPr>
        <w:t>bhabar</w:t>
      </w:r>
      <w:proofErr w:type="spellEnd"/>
      <w:r w:rsidRPr="00D93AF6">
        <w:rPr>
          <w:rFonts w:ascii="Times New Roman" w:hAnsi="Times New Roman" w:cs="Times New Roman"/>
          <w:sz w:val="24"/>
          <w:szCs w:val="24"/>
        </w:rPr>
        <w:t xml:space="preserve"> zone, a porous belt of coarse alluvium where streams disappear underground, and the </w:t>
      </w:r>
      <w:proofErr w:type="spellStart"/>
      <w:r w:rsidRPr="00D93AF6">
        <w:rPr>
          <w:rFonts w:ascii="Times New Roman" w:hAnsi="Times New Roman" w:cs="Times New Roman"/>
          <w:sz w:val="24"/>
          <w:szCs w:val="24"/>
        </w:rPr>
        <w:t>terai</w:t>
      </w:r>
      <w:proofErr w:type="spellEnd"/>
      <w:r w:rsidRPr="00D93AF6">
        <w:rPr>
          <w:rFonts w:ascii="Times New Roman" w:hAnsi="Times New Roman" w:cs="Times New Roman"/>
          <w:sz w:val="24"/>
          <w:szCs w:val="24"/>
        </w:rPr>
        <w:t xml:space="preserve"> zone, characterized by fine alluvial soils that retain moisture and support highly fertile agricultural plains (Champion &amp; Seth, 1968).</w:t>
      </w:r>
    </w:p>
    <w:p w:rsidR="00D93AF6" w:rsidRPr="00D93AF6" w:rsidRDefault="00D93AF6" w:rsidP="009F21F1">
      <w:pPr>
        <w:spacing w:line="240" w:lineRule="auto"/>
        <w:jc w:val="both"/>
        <w:rPr>
          <w:rFonts w:ascii="Times New Roman" w:hAnsi="Times New Roman" w:cs="Times New Roman"/>
          <w:sz w:val="24"/>
          <w:szCs w:val="24"/>
        </w:rPr>
      </w:pPr>
      <w:r w:rsidRPr="00D93AF6">
        <w:rPr>
          <w:rFonts w:ascii="Times New Roman" w:hAnsi="Times New Roman" w:cs="Times New Roman"/>
          <w:sz w:val="24"/>
          <w:szCs w:val="24"/>
        </w:rPr>
        <w:t xml:space="preserve">Located in the </w:t>
      </w:r>
      <w:proofErr w:type="spellStart"/>
      <w:r w:rsidRPr="00D93AF6">
        <w:rPr>
          <w:rFonts w:ascii="Times New Roman" w:hAnsi="Times New Roman" w:cs="Times New Roman"/>
          <w:sz w:val="24"/>
          <w:szCs w:val="24"/>
        </w:rPr>
        <w:t>northwestern</w:t>
      </w:r>
      <w:proofErr w:type="spellEnd"/>
      <w:r w:rsidRPr="00D93AF6">
        <w:rPr>
          <w:rFonts w:ascii="Times New Roman" w:hAnsi="Times New Roman" w:cs="Times New Roman"/>
          <w:sz w:val="24"/>
          <w:szCs w:val="24"/>
        </w:rPr>
        <w:t xml:space="preserve"> part of West </w:t>
      </w:r>
      <w:proofErr w:type="spellStart"/>
      <w:r w:rsidRPr="00D93AF6">
        <w:rPr>
          <w:rFonts w:ascii="Times New Roman" w:hAnsi="Times New Roman" w:cs="Times New Roman"/>
          <w:sz w:val="24"/>
          <w:szCs w:val="24"/>
        </w:rPr>
        <w:t>Champaran</w:t>
      </w:r>
      <w:proofErr w:type="spellEnd"/>
      <w:r w:rsidRPr="00D93AF6">
        <w:rPr>
          <w:rFonts w:ascii="Times New Roman" w:hAnsi="Times New Roman" w:cs="Times New Roman"/>
          <w:sz w:val="24"/>
          <w:szCs w:val="24"/>
        </w:rPr>
        <w:t xml:space="preserve"> district, VTR occupies a strategic position along the Indo–Nepal frontier, extending from 27°10′N to 27°30′N latitude and 83°50′E to 84°10′E longitude</w:t>
      </w:r>
      <w:r w:rsidR="004545B6">
        <w:rPr>
          <w:rFonts w:ascii="Times New Roman" w:hAnsi="Times New Roman" w:cs="Times New Roman"/>
          <w:sz w:val="24"/>
          <w:szCs w:val="24"/>
        </w:rPr>
        <w:t xml:space="preserve"> (Fig.1)</w:t>
      </w:r>
      <w:r w:rsidRPr="00D93AF6">
        <w:rPr>
          <w:rFonts w:ascii="Times New Roman" w:hAnsi="Times New Roman" w:cs="Times New Roman"/>
          <w:sz w:val="24"/>
          <w:szCs w:val="24"/>
        </w:rPr>
        <w:t xml:space="preserve">. Its geographical placement ensures ecological connectivity with </w:t>
      </w:r>
      <w:proofErr w:type="spellStart"/>
      <w:r w:rsidRPr="00D93AF6">
        <w:rPr>
          <w:rFonts w:ascii="Times New Roman" w:hAnsi="Times New Roman" w:cs="Times New Roman"/>
          <w:sz w:val="24"/>
          <w:szCs w:val="24"/>
        </w:rPr>
        <w:t>Parsa</w:t>
      </w:r>
      <w:proofErr w:type="spellEnd"/>
      <w:r w:rsidRPr="00D93AF6">
        <w:rPr>
          <w:rFonts w:ascii="Times New Roman" w:hAnsi="Times New Roman" w:cs="Times New Roman"/>
          <w:sz w:val="24"/>
          <w:szCs w:val="24"/>
        </w:rPr>
        <w:t xml:space="preserve"> Wildlife Reserve and Chitwan National Park in Nepal, thereby forming a transboundary conservation complex of more than 3,000 km² (Maurya &amp; Borah, 2013). Covering an area of 901.70 km², the reserve is delimited by the India–Nepal border on the north and the Bihar–Uttar Pradesh boundary on the west. Because of its high conservation value and its role in maintaining viable tiger populations, VTR has been recognized by the World Wildlife Fund (WWF-US) as a Level I Tiger Conservation Unit, placing it among the most significant tiger-bearing habitats in South Asia (</w:t>
      </w:r>
      <w:proofErr w:type="spellStart"/>
      <w:r w:rsidRPr="00D93AF6">
        <w:rPr>
          <w:rFonts w:ascii="Times New Roman" w:hAnsi="Times New Roman" w:cs="Times New Roman"/>
          <w:sz w:val="24"/>
          <w:szCs w:val="24"/>
        </w:rPr>
        <w:t>Pattekar</w:t>
      </w:r>
      <w:proofErr w:type="spellEnd"/>
      <w:r w:rsidRPr="00D93AF6">
        <w:rPr>
          <w:rFonts w:ascii="Times New Roman" w:hAnsi="Times New Roman" w:cs="Times New Roman"/>
          <w:sz w:val="24"/>
          <w:szCs w:val="24"/>
        </w:rPr>
        <w:t xml:space="preserve"> et al., 2021).</w:t>
      </w:r>
    </w:p>
    <w:p w:rsidR="005D1B6C" w:rsidRDefault="005D1B6C" w:rsidP="009F21F1">
      <w:pPr>
        <w:tabs>
          <w:tab w:val="left" w:pos="5727"/>
        </w:tabs>
        <w:spacing w:after="0" w:line="240" w:lineRule="auto"/>
        <w:jc w:val="both"/>
        <w:rPr>
          <w:rFonts w:ascii="Times New Roman" w:hAnsi="Times New Roman" w:cs="Times New Roman"/>
          <w:b/>
          <w:bCs/>
          <w:sz w:val="24"/>
          <w:szCs w:val="24"/>
        </w:rPr>
      </w:pPr>
      <w:r w:rsidRPr="0074340A">
        <w:rPr>
          <w:rFonts w:ascii="Times New Roman" w:hAnsi="Times New Roman" w:cs="Times New Roman"/>
          <w:b/>
          <w:bCs/>
          <w:sz w:val="24"/>
          <w:szCs w:val="24"/>
        </w:rPr>
        <w:t>Primary Data Collection</w:t>
      </w:r>
    </w:p>
    <w:p w:rsidR="00D93AF6" w:rsidRDefault="004D03F0" w:rsidP="009F21F1">
      <w:pPr>
        <w:tabs>
          <w:tab w:val="left" w:pos="57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To</w:t>
      </w:r>
      <w:r w:rsidR="00D93AF6" w:rsidRPr="00D93AF6">
        <w:rPr>
          <w:rFonts w:ascii="Times New Roman" w:hAnsi="Times New Roman" w:cs="Times New Roman"/>
          <w:sz w:val="24"/>
          <w:szCs w:val="24"/>
        </w:rPr>
        <w:t xml:space="preserve"> understand the spatial and temporal dimensions of human–wildlife conflict (HWC) in the Valmiki Tiger Reserve (VTR) landscape, this study employed a mixed-method approach, integrating both primary and secondary data sources. Primary data were obtained through household questionnaire surveys, interviews, and direct field observations, while secondary </w:t>
      </w:r>
      <w:r w:rsidR="00D93AF6" w:rsidRPr="00D93AF6">
        <w:rPr>
          <w:rFonts w:ascii="Times New Roman" w:hAnsi="Times New Roman" w:cs="Times New Roman"/>
          <w:sz w:val="24"/>
          <w:szCs w:val="24"/>
        </w:rPr>
        <w:lastRenderedPageBreak/>
        <w:t>data consisted of census records, demographic reports, and local media documentation. This triangulation ensured a holistic analysis of the frequency, intensity and impacts of wildlife-induced challenges faced by rural communities.</w:t>
      </w:r>
    </w:p>
    <w:p w:rsidR="00A21AAE" w:rsidRPr="00D93AF6" w:rsidRDefault="00A21AAE" w:rsidP="009F21F1">
      <w:pPr>
        <w:tabs>
          <w:tab w:val="left" w:pos="5727"/>
        </w:tabs>
        <w:spacing w:after="0" w:line="240" w:lineRule="auto"/>
        <w:jc w:val="both"/>
        <w:rPr>
          <w:rFonts w:ascii="Times New Roman" w:hAnsi="Times New Roman" w:cs="Times New Roman"/>
          <w:sz w:val="24"/>
          <w:szCs w:val="24"/>
        </w:rPr>
      </w:pPr>
    </w:p>
    <w:p w:rsidR="00D93AF6" w:rsidRDefault="00D93AF6" w:rsidP="009F21F1">
      <w:pPr>
        <w:tabs>
          <w:tab w:val="left" w:pos="5727"/>
        </w:tabs>
        <w:spacing w:after="0" w:line="240" w:lineRule="auto"/>
        <w:jc w:val="both"/>
        <w:rPr>
          <w:rFonts w:ascii="Times New Roman" w:hAnsi="Times New Roman" w:cs="Times New Roman"/>
          <w:sz w:val="24"/>
          <w:szCs w:val="24"/>
        </w:rPr>
      </w:pPr>
      <w:r w:rsidRPr="00D93AF6">
        <w:rPr>
          <w:rFonts w:ascii="Times New Roman" w:hAnsi="Times New Roman" w:cs="Times New Roman"/>
          <w:sz w:val="24"/>
          <w:szCs w:val="24"/>
        </w:rPr>
        <w:t>The household questionnaire survey served as the core of primary data collection, designed to capture perceptions, experiences, and mitigation strategies of affected households. Villages were stratified into three spatial classes based on proximity to the reserve: (</w:t>
      </w:r>
      <w:proofErr w:type="spellStart"/>
      <w:r w:rsidRPr="00D93AF6">
        <w:rPr>
          <w:rFonts w:ascii="Times New Roman" w:hAnsi="Times New Roman" w:cs="Times New Roman"/>
          <w:sz w:val="24"/>
          <w:szCs w:val="24"/>
        </w:rPr>
        <w:t>i</w:t>
      </w:r>
      <w:proofErr w:type="spellEnd"/>
      <w:r w:rsidRPr="00D93AF6">
        <w:rPr>
          <w:rFonts w:ascii="Times New Roman" w:hAnsi="Times New Roman" w:cs="Times New Roman"/>
          <w:sz w:val="24"/>
          <w:szCs w:val="24"/>
        </w:rPr>
        <w:t>) Class 1 – villages situated inside or partially within the reserve boundary, (ii) Class 2 – villages sharing a boundary with the reserve, and (iii) Class 3 – villages located more than 5 km away but within the eco-sensitive zone. Using a simple random sampling method, 28 villages were selected from Class 1, 25 from Class 2, and 39 from Class 3, giving a tot</w:t>
      </w:r>
      <w:r w:rsidR="00514801">
        <w:rPr>
          <w:rFonts w:ascii="Times New Roman" w:hAnsi="Times New Roman" w:cs="Times New Roman"/>
          <w:sz w:val="24"/>
          <w:szCs w:val="24"/>
        </w:rPr>
        <w:t>al of 92 villages. Within these</w:t>
      </w:r>
      <w:r w:rsidRPr="00D93AF6">
        <w:rPr>
          <w:rFonts w:ascii="Times New Roman" w:hAnsi="Times New Roman" w:cs="Times New Roman"/>
          <w:sz w:val="24"/>
          <w:szCs w:val="24"/>
        </w:rPr>
        <w:t xml:space="preserve"> 428 households were surveyed, ensuring adequate representation across the gradient of human–wildlife interactions.</w:t>
      </w:r>
    </w:p>
    <w:p w:rsidR="00A21AAE" w:rsidRPr="00D93AF6" w:rsidRDefault="00A21AAE" w:rsidP="009F21F1">
      <w:pPr>
        <w:tabs>
          <w:tab w:val="left" w:pos="5727"/>
        </w:tabs>
        <w:spacing w:after="0" w:line="240" w:lineRule="auto"/>
        <w:jc w:val="both"/>
        <w:rPr>
          <w:rFonts w:ascii="Times New Roman" w:hAnsi="Times New Roman" w:cs="Times New Roman"/>
          <w:sz w:val="24"/>
          <w:szCs w:val="24"/>
        </w:rPr>
      </w:pPr>
    </w:p>
    <w:p w:rsidR="005D1B6C" w:rsidRDefault="00D93AF6" w:rsidP="009F21F1">
      <w:pPr>
        <w:tabs>
          <w:tab w:val="left" w:pos="5727"/>
        </w:tabs>
        <w:spacing w:after="0" w:line="240" w:lineRule="auto"/>
        <w:jc w:val="both"/>
        <w:rPr>
          <w:rFonts w:ascii="Times New Roman" w:hAnsi="Times New Roman" w:cs="Times New Roman"/>
          <w:sz w:val="24"/>
          <w:szCs w:val="24"/>
        </w:rPr>
      </w:pPr>
      <w:r w:rsidRPr="00D93AF6">
        <w:rPr>
          <w:rFonts w:ascii="Times New Roman" w:hAnsi="Times New Roman" w:cs="Times New Roman"/>
          <w:sz w:val="24"/>
          <w:szCs w:val="24"/>
        </w:rPr>
        <w:t xml:space="preserve">The survey included a combination of open- and closed-ended questions, addressing the type and frequency of conflicts, affected crops and livestock, seasonal variations, and local adaptation strategies (White et al., 2005). A trained field assistant from the local community facilitated the process. Initial contact was made with village headmen to explain the study’s objectives, after which oral consent was obtained from participants prior to interviews (McGuinness &amp; Taylor, 2014). Respondents ranged in age from 18 to 60 years, with 80.84% male (346 individuals) and 19.15% female (82 individuals). Interviews were conducted between December 2021 and February 2022, each lasting between 20 and 35 minutes, averaging 30 </w:t>
      </w:r>
      <w:proofErr w:type="spellStart"/>
      <w:proofErr w:type="gramStart"/>
      <w:r w:rsidRPr="00D93AF6">
        <w:rPr>
          <w:rFonts w:ascii="Times New Roman" w:hAnsi="Times New Roman" w:cs="Times New Roman"/>
          <w:sz w:val="24"/>
          <w:szCs w:val="24"/>
        </w:rPr>
        <w:t>minutes.Alongside</w:t>
      </w:r>
      <w:proofErr w:type="spellEnd"/>
      <w:proofErr w:type="gramEnd"/>
      <w:r w:rsidRPr="00D93AF6">
        <w:rPr>
          <w:rFonts w:ascii="Times New Roman" w:hAnsi="Times New Roman" w:cs="Times New Roman"/>
          <w:sz w:val="24"/>
          <w:szCs w:val="24"/>
        </w:rPr>
        <w:t xml:space="preserve"> the surveys, direct field observations and photography were undertaken to record evidence of wildlife-induced damages, including crop raiding, livestock depredation, property destruction, and human injuries. These observations not only validated survey responses but also provided visual documentation of conflict </w:t>
      </w:r>
      <w:proofErr w:type="spellStart"/>
      <w:proofErr w:type="gramStart"/>
      <w:r w:rsidRPr="00D93AF6">
        <w:rPr>
          <w:rFonts w:ascii="Times New Roman" w:hAnsi="Times New Roman" w:cs="Times New Roman"/>
          <w:sz w:val="24"/>
          <w:szCs w:val="24"/>
        </w:rPr>
        <w:t>intensity.For</w:t>
      </w:r>
      <w:proofErr w:type="spellEnd"/>
      <w:proofErr w:type="gramEnd"/>
      <w:r w:rsidRPr="00D93AF6">
        <w:rPr>
          <w:rFonts w:ascii="Times New Roman" w:hAnsi="Times New Roman" w:cs="Times New Roman"/>
          <w:sz w:val="24"/>
          <w:szCs w:val="24"/>
        </w:rPr>
        <w:t xml:space="preserve"> the analysis of long-term conflict patterns, secondary data were incorporated. Population growth, land-use changes, and forest cover alterations were examined using village-level demographic data from the Census of India (1991, 2001, 2011). These datasets offered insights into settlement expansion, increasing human density near the reserve, agricultural intensification, and forest cover changes—all factors contributing to heightened wildlife incursions into human-dominated areas. Local media reports and government records further supplemented the dataset by documenting conflict incidents and management responses.</w:t>
      </w:r>
    </w:p>
    <w:p w:rsidR="001D5DAA" w:rsidRPr="003045C1" w:rsidRDefault="00FA6FF5" w:rsidP="009F21F1">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en-IN"/>
        </w:rPr>
        <w:pict>
          <v:rect id="Rectangle 3" o:spid="_x0000_s1026" style="position:absolute;left:0;text-align:left;margin-left:183pt;margin-top:113.45pt;width:71.4pt;height:37.8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" filled="f" stroked="f" strokeweight="1pt">
            <v:textbox>
              <w:txbxContent>
                <w:p w:rsidR="006D46FE" w:rsidRPr="001C105B" w:rsidRDefault="006D46FE" w:rsidP="00B57CAB">
                  <w:pPr>
                    <w:jc w:val="center"/>
                    <w:rPr>
                      <w:lang w:val="en-US"/>
                    </w:rPr>
                  </w:pPr>
                  <w:r>
                    <w:rPr>
                      <w:lang w:val="en-US"/>
                    </w:rPr>
                    <w:t xml:space="preserve">West </w:t>
                  </w:r>
                  <w:proofErr w:type="spellStart"/>
                  <w:r>
                    <w:rPr>
                      <w:lang w:val="en-US"/>
                    </w:rPr>
                    <w:t>Champaran</w:t>
                  </w:r>
                  <w:proofErr w:type="spellEnd"/>
                </w:p>
              </w:txbxContent>
            </v:textbox>
          </v:rect>
        </w:pict>
      </w:r>
      <w:r>
        <w:rPr>
          <w:rFonts w:ascii="Times New Roman" w:hAnsi="Times New Roman" w:cs="Times New Roman"/>
          <w:noProof/>
          <w:sz w:val="20"/>
          <w:szCs w:val="20"/>
          <w:lang w:eastAsia="en-IN"/>
        </w:rPr>
        <w:pict>
          <v:rect id="_x0000_s1027" style="position:absolute;left:0;text-align:left;margin-left:182.15pt;margin-top:56.45pt;width:65.4pt;height:24pt;z-index:251663360;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" filled="f" stroked="f" strokeweight="1pt">
            <v:textbox>
              <w:txbxContent>
                <w:p w:rsidR="006D46FE" w:rsidRPr="001C105B" w:rsidRDefault="006D46FE" w:rsidP="00A21AAE">
                  <w:pPr>
                    <w:jc w:val="center"/>
                    <w:rPr>
                      <w:lang w:val="en-US"/>
                    </w:rPr>
                  </w:pPr>
                  <w:r>
                    <w:rPr>
                      <w:lang w:val="en-US"/>
                    </w:rPr>
                    <w:t>VTR</w:t>
                  </w:r>
                </w:p>
              </w:txbxContent>
            </v:textbox>
            <w10:wrap anchorx="margin"/>
          </v:rect>
        </w:pict>
      </w:r>
      <w:r>
        <w:rPr>
          <w:rFonts w:ascii="Times New Roman" w:hAnsi="Times New Roman" w:cs="Times New Roman"/>
          <w:noProof/>
          <w:sz w:val="20"/>
          <w:szCs w:val="20"/>
          <w:lang w:eastAsia="en-IN"/>
        </w:rPr>
        <w:pict>
          <v:rect id="_x0000_s1028" style="position:absolute;left:0;text-align:left;margin-left:58.2pt;margin-top:104.45pt;width:65.4pt;height:35.4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" filled="f" stroked="f" strokeweight="1pt">
            <v:textbox>
              <w:txbxContent>
                <w:p w:rsidR="006D46FE" w:rsidRPr="001C105B" w:rsidRDefault="006D46FE" w:rsidP="00A21AAE">
                  <w:pPr>
                    <w:jc w:val="center"/>
                    <w:rPr>
                      <w:lang w:val="en-US"/>
                    </w:rPr>
                  </w:pPr>
                  <w:r>
                    <w:rPr>
                      <w:lang w:val="en-US"/>
                    </w:rPr>
                    <w:t>UTTAR PRADESH</w:t>
                  </w:r>
                </w:p>
              </w:txbxContent>
            </v:textbox>
          </v:rect>
        </w:pict>
      </w:r>
      <w:r>
        <w:rPr>
          <w:rFonts w:ascii="Times New Roman" w:hAnsi="Times New Roman" w:cs="Times New Roman"/>
          <w:noProof/>
          <w:sz w:val="20"/>
          <w:szCs w:val="20"/>
          <w:lang w:eastAsia="en-IN"/>
        </w:rPr>
        <w:pict>
          <v:rect id="_x0000_s1029" style="position:absolute;left:0;text-align:left;margin-left:237.6pt;margin-top:36.05pt;width:65.4pt;height:24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" fillcolor="white [3201]" stroked="f" strokeweight="1pt">
            <v:textbox>
              <w:txbxContent>
                <w:p w:rsidR="006D46FE" w:rsidRPr="001C105B" w:rsidRDefault="006D46FE" w:rsidP="001C105B">
                  <w:pPr>
                    <w:jc w:val="center"/>
                    <w:rPr>
                      <w:lang w:val="en-US"/>
                    </w:rPr>
                  </w:pPr>
                  <w:r>
                    <w:rPr>
                      <w:lang w:val="en-US"/>
                    </w:rPr>
                    <w:t>NEPAL</w:t>
                  </w:r>
                </w:p>
              </w:txbxContent>
            </v:textbox>
          </v:rect>
        </w:pict>
      </w:r>
      <w:r w:rsidR="001D5DAA" w:rsidRPr="003045C1">
        <w:rPr>
          <w:rFonts w:ascii="Times New Roman" w:hAnsi="Times New Roman" w:cs="Times New Roman"/>
          <w:noProof/>
          <w:sz w:val="20"/>
          <w:szCs w:val="20"/>
          <w:lang w:val="en-US"/>
        </w:rPr>
        <w:drawing>
          <wp:inline distT="0" distB="0" distL="0" distR="0">
            <wp:extent cx="4297680" cy="2171700"/>
            <wp:effectExtent l="0" t="0" r="7620" b="0"/>
            <wp:docPr id="291" name="Picture 291" descr="C:\Users\ram prasad\Desktop\VTR-Maps\survey-vil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prasad\Desktop\VTR-Maps\survey-villa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0659" cy="2173205"/>
                    </a:xfrm>
                    <a:prstGeom prst="rect">
                      <a:avLst/>
                    </a:prstGeom>
                    <a:noFill/>
                    <a:ln>
                      <a:noFill/>
                    </a:ln>
                  </pic:spPr>
                </pic:pic>
              </a:graphicData>
            </a:graphic>
          </wp:inline>
        </w:drawing>
      </w:r>
    </w:p>
    <w:p w:rsidR="001D5DAA" w:rsidRPr="00A21AAE" w:rsidRDefault="001D5DAA" w:rsidP="009F21F1">
      <w:pPr>
        <w:spacing w:after="0" w:line="240" w:lineRule="auto"/>
        <w:jc w:val="both"/>
        <w:rPr>
          <w:rFonts w:ascii="Times New Roman" w:hAnsi="Times New Roman" w:cs="Times New Roman"/>
          <w:sz w:val="24"/>
          <w:szCs w:val="24"/>
          <w:lang w:val="en-US"/>
        </w:rPr>
      </w:pPr>
      <w:r w:rsidRPr="00A21AAE">
        <w:rPr>
          <w:rFonts w:ascii="Times New Roman" w:hAnsi="Times New Roman" w:cs="Times New Roman"/>
          <w:sz w:val="24"/>
          <w:szCs w:val="24"/>
          <w:lang w:val="en-US"/>
        </w:rPr>
        <w:t>Fig</w:t>
      </w:r>
      <w:r w:rsidR="00A21AAE">
        <w:rPr>
          <w:rFonts w:ascii="Times New Roman" w:hAnsi="Times New Roman" w:cs="Times New Roman"/>
          <w:sz w:val="24"/>
          <w:szCs w:val="24"/>
          <w:lang w:val="en-US"/>
        </w:rPr>
        <w:t xml:space="preserve"> 1</w:t>
      </w:r>
      <w:r w:rsidRPr="00A21AAE">
        <w:rPr>
          <w:rFonts w:ascii="Times New Roman" w:hAnsi="Times New Roman" w:cs="Times New Roman"/>
          <w:sz w:val="24"/>
          <w:szCs w:val="24"/>
          <w:lang w:val="en-US"/>
        </w:rPr>
        <w:t>. Survey villages situated in VTR boundary and Eco-sensitive zone.</w:t>
      </w:r>
    </w:p>
    <w:p w:rsidR="001D5DAA" w:rsidRDefault="001D5DAA" w:rsidP="009F21F1">
      <w:pPr>
        <w:spacing w:after="0" w:line="240" w:lineRule="auto"/>
        <w:jc w:val="both"/>
        <w:rPr>
          <w:rFonts w:ascii="Times New Roman" w:hAnsi="Times New Roman" w:cs="Times New Roman"/>
          <w:sz w:val="20"/>
          <w:szCs w:val="20"/>
          <w:lang w:val="en-US"/>
        </w:rPr>
      </w:pPr>
    </w:p>
    <w:p w:rsidR="004D03F0" w:rsidRDefault="004D03F0" w:rsidP="009F21F1">
      <w:pPr>
        <w:spacing w:after="0" w:line="240" w:lineRule="auto"/>
        <w:jc w:val="both"/>
        <w:rPr>
          <w:rFonts w:ascii="Times New Roman" w:hAnsi="Times New Roman" w:cs="Times New Roman"/>
          <w:sz w:val="24"/>
          <w:szCs w:val="24"/>
        </w:rPr>
      </w:pPr>
      <w:r w:rsidRPr="004D03F0">
        <w:rPr>
          <w:rFonts w:ascii="Times New Roman" w:hAnsi="Times New Roman" w:cs="Times New Roman"/>
          <w:sz w:val="24"/>
          <w:szCs w:val="24"/>
        </w:rPr>
        <w:t xml:space="preserve">To ensure validity and reliability, statistical tests were applied to compare human–wildlife conflict patterns across the three village classes. The Shapiro–Wilk test indicated that the </w:t>
      </w:r>
      <w:r w:rsidRPr="004D03F0">
        <w:rPr>
          <w:rFonts w:ascii="Times New Roman" w:hAnsi="Times New Roman" w:cs="Times New Roman"/>
          <w:sz w:val="24"/>
          <w:szCs w:val="24"/>
        </w:rPr>
        <w:lastRenderedPageBreak/>
        <w:t>dataset was not normally distributed, making parametric tests such as t-tests and ANOVA unsuitable. Consequently, non-parametric methods were adopted.</w:t>
      </w:r>
    </w:p>
    <w:p w:rsidR="00A21AAE" w:rsidRPr="004D03F0" w:rsidRDefault="00A21AAE" w:rsidP="009F21F1">
      <w:pPr>
        <w:spacing w:after="0" w:line="240" w:lineRule="auto"/>
        <w:jc w:val="both"/>
        <w:rPr>
          <w:rFonts w:ascii="Times New Roman" w:hAnsi="Times New Roman" w:cs="Times New Roman"/>
          <w:sz w:val="24"/>
          <w:szCs w:val="24"/>
        </w:rPr>
      </w:pPr>
    </w:p>
    <w:p w:rsidR="004D03F0" w:rsidRDefault="004D03F0" w:rsidP="009F21F1">
      <w:pPr>
        <w:spacing w:after="0" w:line="240" w:lineRule="auto"/>
        <w:jc w:val="both"/>
        <w:rPr>
          <w:rFonts w:ascii="Times New Roman" w:hAnsi="Times New Roman" w:cs="Times New Roman"/>
          <w:sz w:val="24"/>
          <w:szCs w:val="24"/>
        </w:rPr>
      </w:pPr>
      <w:r w:rsidRPr="004D03F0">
        <w:rPr>
          <w:rFonts w:ascii="Times New Roman" w:hAnsi="Times New Roman" w:cs="Times New Roman"/>
          <w:sz w:val="24"/>
          <w:szCs w:val="24"/>
        </w:rPr>
        <w:t>The Mann–Whitney U test, a non-parametric alternative to the t-test (Logan, 2010), was used to examine differences among village classes in terms of (</w:t>
      </w:r>
      <w:proofErr w:type="spellStart"/>
      <w:r w:rsidRPr="004D03F0">
        <w:rPr>
          <w:rFonts w:ascii="Times New Roman" w:hAnsi="Times New Roman" w:cs="Times New Roman"/>
          <w:sz w:val="24"/>
          <w:szCs w:val="24"/>
        </w:rPr>
        <w:t>i</w:t>
      </w:r>
      <w:proofErr w:type="spellEnd"/>
      <w:r w:rsidRPr="004D03F0">
        <w:rPr>
          <w:rFonts w:ascii="Times New Roman" w:hAnsi="Times New Roman" w:cs="Times New Roman"/>
          <w:sz w:val="24"/>
          <w:szCs w:val="24"/>
        </w:rPr>
        <w:t>) wildlife species responsible for crop and livestock depredation and (ii) the frequency and intensity of wildlife attacks. All analyses were performed using SPSS (version 20, IBM SPSS Inc., Chicago, USA), which facilitated efficient comparison of responses, identification of significant variations, and assessment of community mitigation strategies across different spatial classes.</w:t>
      </w:r>
    </w:p>
    <w:p w:rsidR="00A6330E" w:rsidRPr="004D03F0" w:rsidRDefault="00A6330E" w:rsidP="009F21F1">
      <w:pPr>
        <w:spacing w:after="0" w:line="240" w:lineRule="auto"/>
        <w:jc w:val="both"/>
        <w:rPr>
          <w:rFonts w:ascii="Times New Roman" w:hAnsi="Times New Roman" w:cs="Times New Roman"/>
          <w:sz w:val="24"/>
          <w:szCs w:val="24"/>
        </w:rPr>
      </w:pPr>
    </w:p>
    <w:p w:rsidR="001D5DAA" w:rsidRPr="003045C1" w:rsidRDefault="00A21AAE" w:rsidP="009F21F1">
      <w:pPr>
        <w:spacing w:line="240" w:lineRule="auto"/>
        <w:jc w:val="both"/>
        <w:rPr>
          <w:rFonts w:ascii="Times New Roman" w:hAnsi="Times New Roman" w:cs="Times New Roman"/>
          <w:b/>
          <w:sz w:val="24"/>
          <w:szCs w:val="24"/>
          <w:lang w:val="en-US"/>
        </w:rPr>
      </w:pPr>
      <w:bookmarkStart w:id="1" w:name="_GoBack"/>
      <w:r w:rsidRPr="003045C1">
        <w:rPr>
          <w:rFonts w:ascii="Times New Roman" w:hAnsi="Times New Roman" w:cs="Times New Roman"/>
          <w:b/>
          <w:sz w:val="24"/>
          <w:szCs w:val="24"/>
          <w:lang w:val="en-US"/>
        </w:rPr>
        <w:t>RESULT</w:t>
      </w:r>
      <w:bookmarkEnd w:id="1"/>
      <w:r w:rsidRPr="003045C1">
        <w:rPr>
          <w:rFonts w:ascii="Times New Roman" w:hAnsi="Times New Roman" w:cs="Times New Roman"/>
          <w:b/>
          <w:sz w:val="24"/>
          <w:szCs w:val="24"/>
          <w:lang w:val="en-US"/>
        </w:rPr>
        <w:t>S</w:t>
      </w:r>
      <w:r>
        <w:rPr>
          <w:rFonts w:ascii="Times New Roman" w:hAnsi="Times New Roman" w:cs="Times New Roman"/>
          <w:b/>
          <w:sz w:val="24"/>
          <w:szCs w:val="24"/>
          <w:lang w:val="en-US"/>
        </w:rPr>
        <w:t xml:space="preserve"> AND DISCUSSION</w:t>
      </w:r>
    </w:p>
    <w:p w:rsidR="004D03F0" w:rsidRDefault="001D5DAA" w:rsidP="009F21F1">
      <w:pPr>
        <w:spacing w:line="240" w:lineRule="auto"/>
        <w:jc w:val="both"/>
        <w:rPr>
          <w:rFonts w:ascii="Times New Roman" w:hAnsi="Times New Roman" w:cs="Times New Roman"/>
          <w:sz w:val="24"/>
          <w:szCs w:val="24"/>
        </w:rPr>
      </w:pPr>
      <w:r w:rsidRPr="00B85019">
        <w:rPr>
          <w:rFonts w:ascii="Times New Roman" w:hAnsi="Times New Roman" w:cs="Times New Roman"/>
          <w:sz w:val="24"/>
          <w:szCs w:val="24"/>
        </w:rPr>
        <w:t>The study highlights the widespread issue of human-wildlife conflict in the surveyed area, with 94.85% of respondents (n = 406) reporting encounters or observations of wildlife-induced challenges, while only 5.14% (n = 22) stated they had not experienced any conflicts. The majority of respondents (95.32%) relied on agriculture as their primary livelihood, supplementing their income with animal rearing</w:t>
      </w:r>
      <w:r w:rsidR="00A21AAE">
        <w:rPr>
          <w:rFonts w:ascii="Times New Roman" w:hAnsi="Times New Roman" w:cs="Times New Roman"/>
          <w:sz w:val="24"/>
          <w:szCs w:val="24"/>
        </w:rPr>
        <w:t xml:space="preserve"> (Table 1)</w:t>
      </w:r>
      <w:r w:rsidRPr="00B85019">
        <w:rPr>
          <w:rFonts w:ascii="Times New Roman" w:hAnsi="Times New Roman" w:cs="Times New Roman"/>
          <w:sz w:val="24"/>
          <w:szCs w:val="24"/>
        </w:rPr>
        <w:t xml:space="preserve">. </w:t>
      </w:r>
    </w:p>
    <w:tbl>
      <w:tblPr>
        <w:tblW w:w="9042" w:type="dxa"/>
        <w:tblInd w:w="108" w:type="dxa"/>
        <w:tblLook w:val="04A0" w:firstRow="1" w:lastRow="0" w:firstColumn="1" w:lastColumn="0" w:noHBand="0" w:noVBand="1"/>
      </w:tblPr>
      <w:tblGrid>
        <w:gridCol w:w="2887"/>
        <w:gridCol w:w="1478"/>
        <w:gridCol w:w="1531"/>
        <w:gridCol w:w="1530"/>
        <w:gridCol w:w="1616"/>
      </w:tblGrid>
      <w:tr w:rsidR="004D03F0" w:rsidRPr="003045C1" w:rsidTr="004D03F0">
        <w:trPr>
          <w:trHeight w:val="316"/>
        </w:trPr>
        <w:tc>
          <w:tcPr>
            <w:tcW w:w="2887" w:type="dxa"/>
            <w:tcBorders>
              <w:top w:val="single" w:sz="4" w:space="0" w:color="auto"/>
              <w:left w:val="single" w:sz="4" w:space="0" w:color="auto"/>
              <w:bottom w:val="single" w:sz="4" w:space="0" w:color="auto"/>
              <w:right w:val="nil"/>
            </w:tcBorders>
            <w:noWrap/>
            <w:vAlign w:val="bottom"/>
            <w:hideMark/>
          </w:tcPr>
          <w:p w:rsidR="004D03F0" w:rsidRPr="004D03F0" w:rsidRDefault="004D03F0" w:rsidP="009F21F1">
            <w:pPr>
              <w:spacing w:after="0" w:line="240" w:lineRule="auto"/>
              <w:rPr>
                <w:rFonts w:ascii="Times New Roman" w:eastAsia="Times New Roman" w:hAnsi="Times New Roman" w:cs="Times New Roman"/>
                <w:b/>
                <w:sz w:val="24"/>
                <w:szCs w:val="24"/>
                <w:lang w:eastAsia="en-IN"/>
              </w:rPr>
            </w:pPr>
            <w:r w:rsidRPr="004D03F0">
              <w:rPr>
                <w:rFonts w:ascii="Times New Roman" w:eastAsia="Times New Roman" w:hAnsi="Times New Roman" w:cs="Times New Roman"/>
                <w:b/>
                <w:sz w:val="24"/>
                <w:szCs w:val="24"/>
                <w:lang w:eastAsia="en-IN"/>
              </w:rPr>
              <w:t>Characteristics</w:t>
            </w:r>
          </w:p>
        </w:tc>
        <w:tc>
          <w:tcPr>
            <w:tcW w:w="1478" w:type="dxa"/>
            <w:tcBorders>
              <w:top w:val="single" w:sz="4" w:space="0" w:color="auto"/>
              <w:left w:val="nil"/>
              <w:bottom w:val="single" w:sz="4" w:space="0" w:color="auto"/>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b/>
                <w:sz w:val="24"/>
                <w:szCs w:val="24"/>
                <w:lang w:eastAsia="en-IN"/>
              </w:rPr>
            </w:pPr>
            <w:r w:rsidRPr="004D03F0">
              <w:rPr>
                <w:rFonts w:ascii="Times New Roman" w:eastAsia="Times New Roman" w:hAnsi="Times New Roman" w:cs="Times New Roman"/>
                <w:b/>
                <w:sz w:val="24"/>
                <w:szCs w:val="24"/>
                <w:lang w:eastAsia="en-IN"/>
              </w:rPr>
              <w:t xml:space="preserve">Village class 1 </w:t>
            </w:r>
            <w:proofErr w:type="gramStart"/>
            <w:r w:rsidRPr="004D03F0">
              <w:rPr>
                <w:rFonts w:ascii="Times New Roman" w:eastAsia="Times New Roman" w:hAnsi="Times New Roman" w:cs="Times New Roman"/>
                <w:b/>
                <w:sz w:val="24"/>
                <w:szCs w:val="24"/>
                <w:lang w:eastAsia="en-IN"/>
              </w:rPr>
              <w:t>n(</w:t>
            </w:r>
            <w:proofErr w:type="gramEnd"/>
            <w:r w:rsidRPr="004D03F0">
              <w:rPr>
                <w:rFonts w:ascii="Times New Roman" w:eastAsia="Times New Roman" w:hAnsi="Times New Roman" w:cs="Times New Roman"/>
                <w:b/>
                <w:sz w:val="24"/>
                <w:szCs w:val="24"/>
                <w:lang w:eastAsia="en-IN"/>
              </w:rPr>
              <w:t>%)</w:t>
            </w:r>
          </w:p>
        </w:tc>
        <w:tc>
          <w:tcPr>
            <w:tcW w:w="1531" w:type="dxa"/>
            <w:tcBorders>
              <w:top w:val="single" w:sz="4" w:space="0" w:color="auto"/>
              <w:left w:val="nil"/>
              <w:bottom w:val="single" w:sz="4" w:space="0" w:color="auto"/>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b/>
                <w:sz w:val="24"/>
                <w:szCs w:val="24"/>
                <w:lang w:eastAsia="en-IN"/>
              </w:rPr>
            </w:pPr>
            <w:r w:rsidRPr="004D03F0">
              <w:rPr>
                <w:rFonts w:ascii="Times New Roman" w:eastAsia="Times New Roman" w:hAnsi="Times New Roman" w:cs="Times New Roman"/>
                <w:b/>
                <w:sz w:val="24"/>
                <w:szCs w:val="24"/>
                <w:lang w:eastAsia="en-IN"/>
              </w:rPr>
              <w:t xml:space="preserve">Village class 2 </w:t>
            </w:r>
            <w:proofErr w:type="gramStart"/>
            <w:r w:rsidRPr="004D03F0">
              <w:rPr>
                <w:rFonts w:ascii="Times New Roman" w:eastAsia="Times New Roman" w:hAnsi="Times New Roman" w:cs="Times New Roman"/>
                <w:b/>
                <w:sz w:val="24"/>
                <w:szCs w:val="24"/>
                <w:lang w:eastAsia="en-IN"/>
              </w:rPr>
              <w:t>n(</w:t>
            </w:r>
            <w:proofErr w:type="gramEnd"/>
            <w:r w:rsidRPr="004D03F0">
              <w:rPr>
                <w:rFonts w:ascii="Times New Roman" w:eastAsia="Times New Roman" w:hAnsi="Times New Roman" w:cs="Times New Roman"/>
                <w:b/>
                <w:sz w:val="24"/>
                <w:szCs w:val="24"/>
                <w:lang w:eastAsia="en-IN"/>
              </w:rPr>
              <w:t>%)</w:t>
            </w:r>
          </w:p>
        </w:tc>
        <w:tc>
          <w:tcPr>
            <w:tcW w:w="1530" w:type="dxa"/>
            <w:tcBorders>
              <w:top w:val="single" w:sz="4" w:space="0" w:color="auto"/>
              <w:left w:val="nil"/>
              <w:bottom w:val="single" w:sz="4" w:space="0" w:color="auto"/>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b/>
                <w:sz w:val="24"/>
                <w:szCs w:val="24"/>
                <w:lang w:eastAsia="en-IN"/>
              </w:rPr>
            </w:pPr>
            <w:r w:rsidRPr="004D03F0">
              <w:rPr>
                <w:rFonts w:ascii="Times New Roman" w:eastAsia="Times New Roman" w:hAnsi="Times New Roman" w:cs="Times New Roman"/>
                <w:b/>
                <w:sz w:val="24"/>
                <w:szCs w:val="24"/>
                <w:lang w:eastAsia="en-IN"/>
              </w:rPr>
              <w:t xml:space="preserve">Village class 3 </w:t>
            </w:r>
            <w:proofErr w:type="gramStart"/>
            <w:r w:rsidRPr="004D03F0">
              <w:rPr>
                <w:rFonts w:ascii="Times New Roman" w:eastAsia="Times New Roman" w:hAnsi="Times New Roman" w:cs="Times New Roman"/>
                <w:b/>
                <w:sz w:val="24"/>
                <w:szCs w:val="24"/>
                <w:lang w:eastAsia="en-IN"/>
              </w:rPr>
              <w:t>n(</w:t>
            </w:r>
            <w:proofErr w:type="gramEnd"/>
            <w:r w:rsidRPr="004D03F0">
              <w:rPr>
                <w:rFonts w:ascii="Times New Roman" w:eastAsia="Times New Roman" w:hAnsi="Times New Roman" w:cs="Times New Roman"/>
                <w:b/>
                <w:sz w:val="24"/>
                <w:szCs w:val="24"/>
                <w:lang w:eastAsia="en-IN"/>
              </w:rPr>
              <w:t>%)</w:t>
            </w:r>
          </w:p>
        </w:tc>
        <w:tc>
          <w:tcPr>
            <w:tcW w:w="1616" w:type="dxa"/>
            <w:tcBorders>
              <w:top w:val="single" w:sz="4" w:space="0" w:color="auto"/>
              <w:left w:val="nil"/>
              <w:bottom w:val="single" w:sz="4" w:space="0" w:color="auto"/>
              <w:right w:val="single" w:sz="4" w:space="0" w:color="auto"/>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b/>
                <w:sz w:val="24"/>
                <w:szCs w:val="24"/>
                <w:lang w:eastAsia="en-IN"/>
              </w:rPr>
            </w:pPr>
            <w:r w:rsidRPr="004D03F0">
              <w:rPr>
                <w:rFonts w:ascii="Times New Roman" w:eastAsia="Times New Roman" w:hAnsi="Times New Roman" w:cs="Times New Roman"/>
                <w:b/>
                <w:sz w:val="24"/>
                <w:szCs w:val="24"/>
                <w:lang w:eastAsia="en-IN"/>
              </w:rPr>
              <w:t xml:space="preserve">Total </w:t>
            </w:r>
            <w:proofErr w:type="gramStart"/>
            <w:r w:rsidRPr="004D03F0">
              <w:rPr>
                <w:rFonts w:ascii="Times New Roman" w:eastAsia="Times New Roman" w:hAnsi="Times New Roman" w:cs="Times New Roman"/>
                <w:b/>
                <w:sz w:val="24"/>
                <w:szCs w:val="24"/>
                <w:lang w:eastAsia="en-IN"/>
              </w:rPr>
              <w:t>n(</w:t>
            </w:r>
            <w:proofErr w:type="gramEnd"/>
            <w:r w:rsidRPr="004D03F0">
              <w:rPr>
                <w:rFonts w:ascii="Times New Roman" w:eastAsia="Times New Roman" w:hAnsi="Times New Roman" w:cs="Times New Roman"/>
                <w:b/>
                <w:sz w:val="24"/>
                <w:szCs w:val="24"/>
                <w:lang w:eastAsia="en-IN"/>
              </w:rPr>
              <w:t>%)</w:t>
            </w:r>
          </w:p>
        </w:tc>
      </w:tr>
      <w:tr w:rsidR="004D03F0" w:rsidRPr="003045C1" w:rsidTr="004D03F0">
        <w:trPr>
          <w:trHeight w:val="301"/>
        </w:trPr>
        <w:tc>
          <w:tcPr>
            <w:tcW w:w="2887" w:type="dxa"/>
            <w:tcBorders>
              <w:top w:val="single" w:sz="4" w:space="0" w:color="auto"/>
              <w:left w:val="single" w:sz="4" w:space="0" w:color="auto"/>
              <w:bottom w:val="nil"/>
              <w:right w:val="nil"/>
            </w:tcBorders>
            <w:noWrap/>
            <w:vAlign w:val="bottom"/>
            <w:hideMark/>
          </w:tcPr>
          <w:p w:rsidR="004D03F0" w:rsidRPr="004D03F0" w:rsidRDefault="004D03F0" w:rsidP="009F21F1">
            <w:pPr>
              <w:spacing w:after="0" w:line="240" w:lineRule="auto"/>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No. of Villages</w:t>
            </w:r>
          </w:p>
        </w:tc>
        <w:tc>
          <w:tcPr>
            <w:tcW w:w="1478" w:type="dxa"/>
            <w:tcBorders>
              <w:top w:val="single" w:sz="4" w:space="0" w:color="auto"/>
              <w:left w:val="nil"/>
              <w:bottom w:val="nil"/>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28</w:t>
            </w:r>
          </w:p>
        </w:tc>
        <w:tc>
          <w:tcPr>
            <w:tcW w:w="1531" w:type="dxa"/>
            <w:tcBorders>
              <w:top w:val="single" w:sz="4" w:space="0" w:color="auto"/>
              <w:left w:val="nil"/>
              <w:bottom w:val="nil"/>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26</w:t>
            </w:r>
          </w:p>
        </w:tc>
        <w:tc>
          <w:tcPr>
            <w:tcW w:w="1530" w:type="dxa"/>
            <w:tcBorders>
              <w:top w:val="single" w:sz="4" w:space="0" w:color="auto"/>
              <w:left w:val="nil"/>
              <w:bottom w:val="nil"/>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34</w:t>
            </w:r>
          </w:p>
        </w:tc>
        <w:tc>
          <w:tcPr>
            <w:tcW w:w="1616" w:type="dxa"/>
            <w:tcBorders>
              <w:top w:val="single" w:sz="4" w:space="0" w:color="auto"/>
              <w:left w:val="nil"/>
              <w:bottom w:val="nil"/>
              <w:right w:val="single" w:sz="4" w:space="0" w:color="auto"/>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88</w:t>
            </w:r>
          </w:p>
        </w:tc>
      </w:tr>
      <w:tr w:rsidR="004D03F0" w:rsidRPr="003045C1" w:rsidTr="004D03F0">
        <w:trPr>
          <w:trHeight w:val="301"/>
        </w:trPr>
        <w:tc>
          <w:tcPr>
            <w:tcW w:w="2887" w:type="dxa"/>
            <w:tcBorders>
              <w:top w:val="nil"/>
              <w:left w:val="single" w:sz="4" w:space="0" w:color="auto"/>
              <w:bottom w:val="nil"/>
              <w:right w:val="nil"/>
            </w:tcBorders>
            <w:noWrap/>
            <w:vAlign w:val="bottom"/>
            <w:hideMark/>
          </w:tcPr>
          <w:p w:rsidR="004D03F0" w:rsidRPr="004D03F0" w:rsidRDefault="004D03F0" w:rsidP="009F21F1">
            <w:pPr>
              <w:spacing w:after="0" w:line="240" w:lineRule="auto"/>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No. of Respondents</w:t>
            </w:r>
          </w:p>
        </w:tc>
        <w:tc>
          <w:tcPr>
            <w:tcW w:w="1478" w:type="dxa"/>
            <w:tcBorders>
              <w:top w:val="nil"/>
              <w:left w:val="nil"/>
              <w:bottom w:val="nil"/>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128</w:t>
            </w:r>
          </w:p>
        </w:tc>
        <w:tc>
          <w:tcPr>
            <w:tcW w:w="1531" w:type="dxa"/>
            <w:tcBorders>
              <w:top w:val="nil"/>
              <w:left w:val="nil"/>
              <w:bottom w:val="nil"/>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108</w:t>
            </w:r>
          </w:p>
        </w:tc>
        <w:tc>
          <w:tcPr>
            <w:tcW w:w="1530" w:type="dxa"/>
            <w:tcBorders>
              <w:top w:val="nil"/>
              <w:left w:val="nil"/>
              <w:bottom w:val="nil"/>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170</w:t>
            </w:r>
          </w:p>
        </w:tc>
        <w:tc>
          <w:tcPr>
            <w:tcW w:w="1616" w:type="dxa"/>
            <w:tcBorders>
              <w:top w:val="nil"/>
              <w:left w:val="nil"/>
              <w:bottom w:val="nil"/>
              <w:right w:val="single" w:sz="4" w:space="0" w:color="auto"/>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406</w:t>
            </w:r>
          </w:p>
        </w:tc>
      </w:tr>
      <w:tr w:rsidR="004D03F0" w:rsidRPr="003045C1" w:rsidTr="004D03F0">
        <w:trPr>
          <w:trHeight w:val="301"/>
        </w:trPr>
        <w:tc>
          <w:tcPr>
            <w:tcW w:w="2887" w:type="dxa"/>
            <w:tcBorders>
              <w:top w:val="nil"/>
              <w:left w:val="single" w:sz="4" w:space="0" w:color="auto"/>
              <w:bottom w:val="nil"/>
              <w:right w:val="nil"/>
            </w:tcBorders>
            <w:noWrap/>
            <w:vAlign w:val="bottom"/>
            <w:hideMark/>
          </w:tcPr>
          <w:p w:rsidR="004D03F0" w:rsidRPr="004D03F0" w:rsidRDefault="004D03F0" w:rsidP="009F21F1">
            <w:pPr>
              <w:spacing w:after="0" w:line="240" w:lineRule="auto"/>
              <w:rPr>
                <w:rFonts w:ascii="Times New Roman" w:eastAsia="Times New Roman" w:hAnsi="Times New Roman" w:cs="Times New Roman"/>
                <w:sz w:val="24"/>
                <w:szCs w:val="24"/>
                <w:lang w:eastAsia="en-IN"/>
              </w:rPr>
            </w:pPr>
            <w:proofErr w:type="gramStart"/>
            <w:r w:rsidRPr="004D03F0">
              <w:rPr>
                <w:rFonts w:ascii="Times New Roman" w:eastAsia="Times New Roman" w:hAnsi="Times New Roman" w:cs="Times New Roman"/>
                <w:sz w:val="24"/>
                <w:szCs w:val="24"/>
                <w:lang w:eastAsia="en-IN"/>
              </w:rPr>
              <w:t>Occupation(</w:t>
            </w:r>
            <w:proofErr w:type="gramEnd"/>
            <w:r w:rsidRPr="004D03F0">
              <w:rPr>
                <w:rFonts w:ascii="Times New Roman" w:eastAsia="Times New Roman" w:hAnsi="Times New Roman" w:cs="Times New Roman"/>
                <w:sz w:val="24"/>
                <w:szCs w:val="24"/>
                <w:lang w:eastAsia="en-IN"/>
              </w:rPr>
              <w:t>Agriculture)</w:t>
            </w:r>
          </w:p>
        </w:tc>
        <w:tc>
          <w:tcPr>
            <w:tcW w:w="1478" w:type="dxa"/>
            <w:tcBorders>
              <w:top w:val="nil"/>
              <w:left w:val="nil"/>
              <w:bottom w:val="nil"/>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122(95.31)</w:t>
            </w:r>
          </w:p>
        </w:tc>
        <w:tc>
          <w:tcPr>
            <w:tcW w:w="1531" w:type="dxa"/>
            <w:tcBorders>
              <w:top w:val="nil"/>
              <w:left w:val="nil"/>
              <w:bottom w:val="nil"/>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104(96.29)</w:t>
            </w:r>
          </w:p>
        </w:tc>
        <w:tc>
          <w:tcPr>
            <w:tcW w:w="1530" w:type="dxa"/>
            <w:tcBorders>
              <w:top w:val="nil"/>
              <w:left w:val="nil"/>
              <w:bottom w:val="nil"/>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161(94.70)</w:t>
            </w:r>
          </w:p>
        </w:tc>
        <w:tc>
          <w:tcPr>
            <w:tcW w:w="1616" w:type="dxa"/>
            <w:tcBorders>
              <w:top w:val="nil"/>
              <w:left w:val="nil"/>
              <w:bottom w:val="nil"/>
              <w:right w:val="single" w:sz="4" w:space="0" w:color="auto"/>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387(95.32)</w:t>
            </w:r>
          </w:p>
        </w:tc>
      </w:tr>
      <w:tr w:rsidR="004D03F0" w:rsidRPr="003045C1" w:rsidTr="004D03F0">
        <w:trPr>
          <w:trHeight w:val="301"/>
        </w:trPr>
        <w:tc>
          <w:tcPr>
            <w:tcW w:w="2887" w:type="dxa"/>
            <w:tcBorders>
              <w:top w:val="nil"/>
              <w:left w:val="single" w:sz="4" w:space="0" w:color="auto"/>
              <w:bottom w:val="nil"/>
              <w:right w:val="nil"/>
            </w:tcBorders>
            <w:noWrap/>
            <w:vAlign w:val="bottom"/>
            <w:hideMark/>
          </w:tcPr>
          <w:p w:rsidR="004D03F0" w:rsidRPr="004D03F0" w:rsidRDefault="004D03F0" w:rsidP="009F21F1">
            <w:pPr>
              <w:spacing w:after="0" w:line="240" w:lineRule="auto"/>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Average livestock/HH</w:t>
            </w:r>
          </w:p>
        </w:tc>
        <w:tc>
          <w:tcPr>
            <w:tcW w:w="1478" w:type="dxa"/>
            <w:tcBorders>
              <w:top w:val="nil"/>
              <w:left w:val="nil"/>
              <w:bottom w:val="nil"/>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2</w:t>
            </w:r>
          </w:p>
        </w:tc>
        <w:tc>
          <w:tcPr>
            <w:tcW w:w="1531" w:type="dxa"/>
            <w:tcBorders>
              <w:top w:val="nil"/>
              <w:left w:val="nil"/>
              <w:bottom w:val="nil"/>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2</w:t>
            </w:r>
          </w:p>
        </w:tc>
        <w:tc>
          <w:tcPr>
            <w:tcW w:w="1530" w:type="dxa"/>
            <w:tcBorders>
              <w:top w:val="nil"/>
              <w:left w:val="nil"/>
              <w:bottom w:val="nil"/>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3</w:t>
            </w:r>
          </w:p>
        </w:tc>
        <w:tc>
          <w:tcPr>
            <w:tcW w:w="1616" w:type="dxa"/>
            <w:tcBorders>
              <w:top w:val="nil"/>
              <w:left w:val="nil"/>
              <w:bottom w:val="nil"/>
              <w:right w:val="single" w:sz="4" w:space="0" w:color="auto"/>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p>
        </w:tc>
      </w:tr>
      <w:tr w:rsidR="004D03F0" w:rsidRPr="003045C1" w:rsidTr="004D03F0">
        <w:trPr>
          <w:trHeight w:val="301"/>
        </w:trPr>
        <w:tc>
          <w:tcPr>
            <w:tcW w:w="2887" w:type="dxa"/>
            <w:tcBorders>
              <w:top w:val="nil"/>
              <w:left w:val="single" w:sz="4" w:space="0" w:color="auto"/>
              <w:bottom w:val="single" w:sz="4" w:space="0" w:color="auto"/>
              <w:right w:val="nil"/>
            </w:tcBorders>
            <w:noWrap/>
            <w:vAlign w:val="bottom"/>
            <w:hideMark/>
          </w:tcPr>
          <w:p w:rsidR="004D03F0" w:rsidRPr="004D03F0" w:rsidRDefault="004D03F0" w:rsidP="009F21F1">
            <w:pPr>
              <w:spacing w:after="0" w:line="240" w:lineRule="auto"/>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Crop Raiding</w:t>
            </w:r>
          </w:p>
        </w:tc>
        <w:tc>
          <w:tcPr>
            <w:tcW w:w="1478" w:type="dxa"/>
            <w:tcBorders>
              <w:top w:val="nil"/>
              <w:left w:val="nil"/>
              <w:bottom w:val="single" w:sz="4" w:space="0" w:color="auto"/>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117(91.41)</w:t>
            </w:r>
          </w:p>
        </w:tc>
        <w:tc>
          <w:tcPr>
            <w:tcW w:w="1531" w:type="dxa"/>
            <w:tcBorders>
              <w:top w:val="nil"/>
              <w:left w:val="nil"/>
              <w:bottom w:val="single" w:sz="4" w:space="0" w:color="auto"/>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101(93.52)</w:t>
            </w:r>
          </w:p>
        </w:tc>
        <w:tc>
          <w:tcPr>
            <w:tcW w:w="1530" w:type="dxa"/>
            <w:tcBorders>
              <w:top w:val="nil"/>
              <w:left w:val="nil"/>
              <w:bottom w:val="single" w:sz="4" w:space="0" w:color="auto"/>
              <w:right w:val="nil"/>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148(87.06)</w:t>
            </w:r>
          </w:p>
        </w:tc>
        <w:tc>
          <w:tcPr>
            <w:tcW w:w="1616" w:type="dxa"/>
            <w:tcBorders>
              <w:top w:val="nil"/>
              <w:left w:val="nil"/>
              <w:bottom w:val="single" w:sz="4" w:space="0" w:color="auto"/>
              <w:right w:val="single" w:sz="4" w:space="0" w:color="auto"/>
            </w:tcBorders>
            <w:noWrap/>
            <w:vAlign w:val="bottom"/>
            <w:hideMark/>
          </w:tcPr>
          <w:p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366(90.15)</w:t>
            </w:r>
          </w:p>
        </w:tc>
      </w:tr>
    </w:tbl>
    <w:p w:rsidR="004D03F0" w:rsidRPr="003045C1" w:rsidRDefault="004D03F0" w:rsidP="009F21F1">
      <w:pPr>
        <w:spacing w:after="0" w:line="240" w:lineRule="auto"/>
        <w:jc w:val="both"/>
        <w:rPr>
          <w:rFonts w:ascii="Times New Roman" w:hAnsi="Times New Roman" w:cs="Times New Roman"/>
          <w:sz w:val="20"/>
          <w:szCs w:val="20"/>
          <w:lang w:val="en-US"/>
        </w:rPr>
      </w:pPr>
    </w:p>
    <w:p w:rsidR="004D03F0" w:rsidRPr="004D03F0" w:rsidRDefault="004D03F0" w:rsidP="009F21F1">
      <w:pPr>
        <w:spacing w:after="0" w:line="240" w:lineRule="auto"/>
        <w:jc w:val="both"/>
        <w:rPr>
          <w:rFonts w:ascii="Times New Roman" w:hAnsi="Times New Roman" w:cs="Times New Roman"/>
          <w:b/>
          <w:bCs/>
          <w:sz w:val="24"/>
          <w:szCs w:val="24"/>
          <w:lang w:val="en-US"/>
        </w:rPr>
      </w:pPr>
      <w:r w:rsidRPr="004D03F0">
        <w:rPr>
          <w:rFonts w:ascii="Times New Roman" w:hAnsi="Times New Roman" w:cs="Times New Roman"/>
          <w:b/>
          <w:bCs/>
          <w:sz w:val="24"/>
          <w:szCs w:val="24"/>
        </w:rPr>
        <w:t>Table</w:t>
      </w:r>
      <w:r w:rsidR="00401C75">
        <w:rPr>
          <w:rFonts w:ascii="Times New Roman" w:hAnsi="Times New Roman" w:cs="Times New Roman"/>
          <w:b/>
          <w:bCs/>
          <w:sz w:val="24"/>
          <w:szCs w:val="24"/>
        </w:rPr>
        <w:t xml:space="preserve"> </w:t>
      </w:r>
      <w:r w:rsidRPr="004D03F0">
        <w:rPr>
          <w:rFonts w:ascii="Times New Roman" w:hAnsi="Times New Roman" w:cs="Times New Roman"/>
          <w:b/>
          <w:bCs/>
          <w:sz w:val="24"/>
          <w:szCs w:val="24"/>
        </w:rPr>
        <w:t>1. Household and human-wildlife characteristics of 406 surveyed households in and around VTR</w:t>
      </w:r>
    </w:p>
    <w:p w:rsidR="004D03F0" w:rsidRPr="004D03F0" w:rsidRDefault="004D03F0" w:rsidP="009F21F1">
      <w:pPr>
        <w:spacing w:after="0" w:line="240" w:lineRule="auto"/>
        <w:jc w:val="both"/>
        <w:rPr>
          <w:rFonts w:ascii="Times New Roman" w:hAnsi="Times New Roman" w:cs="Times New Roman"/>
          <w:b/>
          <w:bCs/>
          <w:sz w:val="24"/>
          <w:szCs w:val="24"/>
          <w:lang w:val="en-US"/>
        </w:rPr>
      </w:pPr>
    </w:p>
    <w:p w:rsidR="00023B24" w:rsidRPr="009F21F1" w:rsidRDefault="00023B24" w:rsidP="009F21F1">
      <w:pPr>
        <w:spacing w:line="240" w:lineRule="auto"/>
        <w:jc w:val="both"/>
        <w:rPr>
          <w:rFonts w:ascii="Times New Roman" w:hAnsi="Times New Roman" w:cs="Times New Roman"/>
          <w:sz w:val="24"/>
          <w:szCs w:val="24"/>
        </w:rPr>
      </w:pPr>
      <w:r w:rsidRPr="00023B24">
        <w:rPr>
          <w:rFonts w:ascii="Times New Roman" w:hAnsi="Times New Roman" w:cs="Times New Roman"/>
          <w:i/>
          <w:iCs/>
          <w:sz w:val="24"/>
          <w:szCs w:val="24"/>
        </w:rPr>
        <w:t>Nilgai</w:t>
      </w:r>
      <w:r w:rsidRPr="00023B24">
        <w:rPr>
          <w:rFonts w:ascii="Times New Roman" w:hAnsi="Times New Roman" w:cs="Times New Roman"/>
          <w:sz w:val="24"/>
          <w:szCs w:val="24"/>
        </w:rPr>
        <w:t xml:space="preserve"> (</w:t>
      </w:r>
      <w:proofErr w:type="spellStart"/>
      <w:r w:rsidRPr="00023B24">
        <w:rPr>
          <w:rFonts w:ascii="Times New Roman" w:hAnsi="Times New Roman" w:cs="Times New Roman"/>
          <w:i/>
          <w:iCs/>
          <w:sz w:val="24"/>
          <w:szCs w:val="24"/>
        </w:rPr>
        <w:t>Boselaphustragocamelus</w:t>
      </w:r>
      <w:proofErr w:type="spellEnd"/>
      <w:r w:rsidRPr="00023B24">
        <w:rPr>
          <w:rFonts w:ascii="Times New Roman" w:hAnsi="Times New Roman" w:cs="Times New Roman"/>
          <w:sz w:val="24"/>
          <w:szCs w:val="24"/>
        </w:rPr>
        <w:t xml:space="preserve">) emerged as the most prominent crop-raiding species, accounting for 19.87% of total incidents, with the highest proportion reported in Class 1 (22.13%) and Class 3 villages (22.01%). </w:t>
      </w:r>
      <w:r w:rsidRPr="00023B24">
        <w:rPr>
          <w:rFonts w:ascii="Times New Roman" w:hAnsi="Times New Roman" w:cs="Times New Roman"/>
          <w:i/>
          <w:iCs/>
          <w:sz w:val="24"/>
          <w:szCs w:val="24"/>
        </w:rPr>
        <w:t>Chital</w:t>
      </w:r>
      <w:r w:rsidRPr="00023B24">
        <w:rPr>
          <w:rFonts w:ascii="Times New Roman" w:hAnsi="Times New Roman" w:cs="Times New Roman"/>
          <w:sz w:val="24"/>
          <w:szCs w:val="24"/>
        </w:rPr>
        <w:t xml:space="preserve"> (</w:t>
      </w:r>
      <w:r w:rsidRPr="00023B24">
        <w:rPr>
          <w:rFonts w:ascii="Times New Roman" w:hAnsi="Times New Roman" w:cs="Times New Roman"/>
          <w:i/>
          <w:iCs/>
          <w:sz w:val="24"/>
          <w:szCs w:val="24"/>
        </w:rPr>
        <w:t>Axis axis</w:t>
      </w:r>
      <w:r w:rsidRPr="00023B24">
        <w:rPr>
          <w:rFonts w:ascii="Times New Roman" w:hAnsi="Times New Roman" w:cs="Times New Roman"/>
          <w:sz w:val="24"/>
          <w:szCs w:val="24"/>
        </w:rPr>
        <w:t xml:space="preserve">) was the second most frequent crop raider (16.42%), showing slightly higher incidences in Class 3 villages (17.65%). Similarly, </w:t>
      </w:r>
      <w:r w:rsidRPr="00023B24">
        <w:rPr>
          <w:rFonts w:ascii="Times New Roman" w:hAnsi="Times New Roman" w:cs="Times New Roman"/>
          <w:i/>
          <w:iCs/>
          <w:sz w:val="24"/>
          <w:szCs w:val="24"/>
        </w:rPr>
        <w:t>Langurs</w:t>
      </w:r>
      <w:r w:rsidRPr="00023B24">
        <w:rPr>
          <w:rFonts w:ascii="Times New Roman" w:hAnsi="Times New Roman" w:cs="Times New Roman"/>
          <w:sz w:val="24"/>
          <w:szCs w:val="24"/>
        </w:rPr>
        <w:t xml:space="preserve"> (</w:t>
      </w:r>
      <w:proofErr w:type="spellStart"/>
      <w:r w:rsidRPr="00023B24">
        <w:rPr>
          <w:rFonts w:ascii="Times New Roman" w:hAnsi="Times New Roman" w:cs="Times New Roman"/>
          <w:i/>
          <w:iCs/>
          <w:sz w:val="24"/>
          <w:szCs w:val="24"/>
        </w:rPr>
        <w:t>Semnopithecus</w:t>
      </w:r>
      <w:proofErr w:type="spellEnd"/>
      <w:r w:rsidRPr="00023B24">
        <w:rPr>
          <w:rFonts w:ascii="Times New Roman" w:hAnsi="Times New Roman" w:cs="Times New Roman"/>
          <w:sz w:val="24"/>
          <w:szCs w:val="24"/>
        </w:rPr>
        <w:t xml:space="preserve"> spp.) contributed to 14.79% of reported cases, being more active in Class 3 villages (16.32%).</w:t>
      </w:r>
    </w:p>
    <w:tbl>
      <w:tblPr>
        <w:tblW w:w="9027" w:type="dxa"/>
        <w:tblInd w:w="108" w:type="dxa"/>
        <w:tblLook w:val="04A0" w:firstRow="1" w:lastRow="0" w:firstColumn="1" w:lastColumn="0" w:noHBand="0" w:noVBand="1"/>
      </w:tblPr>
      <w:tblGrid>
        <w:gridCol w:w="1492"/>
        <w:gridCol w:w="3047"/>
        <w:gridCol w:w="1122"/>
        <w:gridCol w:w="1122"/>
        <w:gridCol w:w="1122"/>
        <w:gridCol w:w="1122"/>
      </w:tblGrid>
      <w:tr w:rsidR="00023B24" w:rsidRPr="00023B24" w:rsidTr="00480E07">
        <w:trPr>
          <w:trHeight w:val="226"/>
        </w:trPr>
        <w:tc>
          <w:tcPr>
            <w:tcW w:w="1492" w:type="dxa"/>
            <w:tcBorders>
              <w:top w:val="single" w:sz="4" w:space="0" w:color="auto"/>
              <w:left w:val="single" w:sz="4" w:space="0" w:color="auto"/>
              <w:bottom w:val="single" w:sz="4" w:space="0" w:color="auto"/>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Common Name</w:t>
            </w:r>
          </w:p>
        </w:tc>
        <w:tc>
          <w:tcPr>
            <w:tcW w:w="3047" w:type="dxa"/>
            <w:tcBorders>
              <w:top w:val="single" w:sz="4" w:space="0" w:color="auto"/>
              <w:left w:val="nil"/>
              <w:bottom w:val="single" w:sz="4" w:space="0" w:color="auto"/>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Scientific Name</w:t>
            </w:r>
          </w:p>
        </w:tc>
        <w:tc>
          <w:tcPr>
            <w:tcW w:w="1122" w:type="dxa"/>
            <w:tcBorders>
              <w:top w:val="single" w:sz="4" w:space="0" w:color="auto"/>
              <w:left w:val="nil"/>
              <w:bottom w:val="single" w:sz="4" w:space="0" w:color="auto"/>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Village class 1 (%)</w:t>
            </w:r>
          </w:p>
        </w:tc>
        <w:tc>
          <w:tcPr>
            <w:tcW w:w="1122" w:type="dxa"/>
            <w:tcBorders>
              <w:top w:val="single" w:sz="4" w:space="0" w:color="auto"/>
              <w:left w:val="nil"/>
              <w:bottom w:val="single" w:sz="4" w:space="0" w:color="auto"/>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Village class 2 (%)</w:t>
            </w:r>
          </w:p>
        </w:tc>
        <w:tc>
          <w:tcPr>
            <w:tcW w:w="1122" w:type="dxa"/>
            <w:tcBorders>
              <w:top w:val="single" w:sz="4" w:space="0" w:color="auto"/>
              <w:left w:val="nil"/>
              <w:bottom w:val="single" w:sz="4" w:space="0" w:color="auto"/>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Village class 3 (%)</w:t>
            </w:r>
          </w:p>
        </w:tc>
        <w:tc>
          <w:tcPr>
            <w:tcW w:w="1122" w:type="dxa"/>
            <w:tcBorders>
              <w:top w:val="single" w:sz="4" w:space="0" w:color="auto"/>
              <w:left w:val="nil"/>
              <w:bottom w:val="single" w:sz="4" w:space="0" w:color="auto"/>
              <w:right w:val="single" w:sz="4" w:space="0" w:color="auto"/>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Total (%)</w:t>
            </w:r>
          </w:p>
        </w:tc>
      </w:tr>
      <w:tr w:rsidR="00023B24" w:rsidRPr="00023B24" w:rsidTr="00480E07">
        <w:trPr>
          <w:trHeight w:val="226"/>
        </w:trPr>
        <w:tc>
          <w:tcPr>
            <w:tcW w:w="1492" w:type="dxa"/>
            <w:tcBorders>
              <w:top w:val="single" w:sz="4" w:space="0" w:color="auto"/>
              <w:left w:val="single" w:sz="4" w:space="0" w:color="auto"/>
              <w:bottom w:val="nil"/>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 xml:space="preserve">Wild Boar </w:t>
            </w:r>
          </w:p>
        </w:tc>
        <w:tc>
          <w:tcPr>
            <w:tcW w:w="3047" w:type="dxa"/>
            <w:tcBorders>
              <w:top w:val="single" w:sz="4" w:space="0" w:color="auto"/>
              <w:left w:val="nil"/>
              <w:bottom w:val="nil"/>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 xml:space="preserve">Sus </w:t>
            </w:r>
            <w:proofErr w:type="spellStart"/>
            <w:r w:rsidRPr="00023B24">
              <w:rPr>
                <w:rFonts w:ascii="Times New Roman" w:eastAsia="Times New Roman" w:hAnsi="Times New Roman" w:cs="Times New Roman"/>
                <w:sz w:val="24"/>
                <w:szCs w:val="24"/>
                <w:lang w:eastAsia="en-IN"/>
              </w:rPr>
              <w:t>scrofa</w:t>
            </w:r>
            <w:proofErr w:type="spellEnd"/>
          </w:p>
        </w:tc>
        <w:tc>
          <w:tcPr>
            <w:tcW w:w="1122" w:type="dxa"/>
            <w:tcBorders>
              <w:top w:val="single" w:sz="4" w:space="0" w:color="auto"/>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12.81</w:t>
            </w:r>
          </w:p>
        </w:tc>
        <w:tc>
          <w:tcPr>
            <w:tcW w:w="1122" w:type="dxa"/>
            <w:tcBorders>
              <w:top w:val="single" w:sz="4" w:space="0" w:color="auto"/>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12.50</w:t>
            </w:r>
          </w:p>
        </w:tc>
        <w:tc>
          <w:tcPr>
            <w:tcW w:w="1122" w:type="dxa"/>
            <w:tcBorders>
              <w:top w:val="single" w:sz="4" w:space="0" w:color="auto"/>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11.20</w:t>
            </w:r>
          </w:p>
        </w:tc>
        <w:tc>
          <w:tcPr>
            <w:tcW w:w="1122" w:type="dxa"/>
            <w:tcBorders>
              <w:top w:val="single" w:sz="4" w:space="0" w:color="auto"/>
              <w:left w:val="nil"/>
              <w:bottom w:val="nil"/>
              <w:right w:val="single" w:sz="4" w:space="0" w:color="auto"/>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12.17</w:t>
            </w:r>
          </w:p>
        </w:tc>
      </w:tr>
      <w:tr w:rsidR="00023B24" w:rsidRPr="00023B24" w:rsidTr="00480E07">
        <w:trPr>
          <w:trHeight w:val="226"/>
        </w:trPr>
        <w:tc>
          <w:tcPr>
            <w:tcW w:w="1492" w:type="dxa"/>
            <w:tcBorders>
              <w:top w:val="nil"/>
              <w:left w:val="single" w:sz="4" w:space="0" w:color="auto"/>
              <w:bottom w:val="nil"/>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Nilgai</w:t>
            </w:r>
          </w:p>
        </w:tc>
        <w:tc>
          <w:tcPr>
            <w:tcW w:w="3047" w:type="dxa"/>
            <w:tcBorders>
              <w:top w:val="nil"/>
              <w:left w:val="nil"/>
              <w:bottom w:val="nil"/>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proofErr w:type="spellStart"/>
            <w:r w:rsidRPr="00023B24">
              <w:rPr>
                <w:rFonts w:ascii="Times New Roman" w:eastAsia="Times New Roman" w:hAnsi="Times New Roman" w:cs="Times New Roman"/>
                <w:sz w:val="24"/>
                <w:szCs w:val="24"/>
                <w:lang w:eastAsia="en-IN"/>
              </w:rPr>
              <w:t>BoselephousTragocamelus</w:t>
            </w:r>
            <w:proofErr w:type="spellEnd"/>
          </w:p>
        </w:tc>
        <w:tc>
          <w:tcPr>
            <w:tcW w:w="1122"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22.13</w:t>
            </w:r>
          </w:p>
        </w:tc>
        <w:tc>
          <w:tcPr>
            <w:tcW w:w="1122"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15.46</w:t>
            </w:r>
          </w:p>
        </w:tc>
        <w:tc>
          <w:tcPr>
            <w:tcW w:w="1122"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22.01</w:t>
            </w:r>
          </w:p>
        </w:tc>
        <w:tc>
          <w:tcPr>
            <w:tcW w:w="1122" w:type="dxa"/>
            <w:tcBorders>
              <w:top w:val="nil"/>
              <w:left w:val="nil"/>
              <w:bottom w:val="nil"/>
              <w:right w:val="single" w:sz="4" w:space="0" w:color="auto"/>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19.87</w:t>
            </w:r>
          </w:p>
        </w:tc>
      </w:tr>
      <w:tr w:rsidR="00023B24" w:rsidRPr="00023B24" w:rsidTr="00480E07">
        <w:trPr>
          <w:trHeight w:val="226"/>
        </w:trPr>
        <w:tc>
          <w:tcPr>
            <w:tcW w:w="1492" w:type="dxa"/>
            <w:tcBorders>
              <w:top w:val="nil"/>
              <w:left w:val="single" w:sz="4" w:space="0" w:color="auto"/>
              <w:bottom w:val="nil"/>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Gaur</w:t>
            </w:r>
          </w:p>
        </w:tc>
        <w:tc>
          <w:tcPr>
            <w:tcW w:w="3047" w:type="dxa"/>
            <w:tcBorders>
              <w:top w:val="nil"/>
              <w:left w:val="nil"/>
              <w:bottom w:val="nil"/>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 xml:space="preserve">Bos </w:t>
            </w:r>
            <w:proofErr w:type="spellStart"/>
            <w:r w:rsidRPr="00023B24">
              <w:rPr>
                <w:rFonts w:ascii="Times New Roman" w:eastAsia="Times New Roman" w:hAnsi="Times New Roman" w:cs="Times New Roman"/>
                <w:sz w:val="24"/>
                <w:szCs w:val="24"/>
                <w:lang w:eastAsia="en-IN"/>
              </w:rPr>
              <w:t>gaurus</w:t>
            </w:r>
            <w:proofErr w:type="spellEnd"/>
          </w:p>
        </w:tc>
        <w:tc>
          <w:tcPr>
            <w:tcW w:w="1122"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13.59</w:t>
            </w:r>
          </w:p>
        </w:tc>
        <w:tc>
          <w:tcPr>
            <w:tcW w:w="1122"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15.30</w:t>
            </w:r>
          </w:p>
        </w:tc>
        <w:tc>
          <w:tcPr>
            <w:tcW w:w="1122"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13.66</w:t>
            </w:r>
          </w:p>
        </w:tc>
        <w:tc>
          <w:tcPr>
            <w:tcW w:w="1122" w:type="dxa"/>
            <w:tcBorders>
              <w:top w:val="nil"/>
              <w:left w:val="nil"/>
              <w:bottom w:val="nil"/>
              <w:right w:val="single" w:sz="4" w:space="0" w:color="auto"/>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14.18</w:t>
            </w:r>
          </w:p>
        </w:tc>
      </w:tr>
      <w:tr w:rsidR="00023B24" w:rsidRPr="00023B24" w:rsidTr="00480E07">
        <w:trPr>
          <w:trHeight w:val="226"/>
        </w:trPr>
        <w:tc>
          <w:tcPr>
            <w:tcW w:w="1492" w:type="dxa"/>
            <w:tcBorders>
              <w:top w:val="nil"/>
              <w:left w:val="single" w:sz="4" w:space="0" w:color="auto"/>
              <w:bottom w:val="nil"/>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Chital</w:t>
            </w:r>
          </w:p>
        </w:tc>
        <w:tc>
          <w:tcPr>
            <w:tcW w:w="3047" w:type="dxa"/>
            <w:tcBorders>
              <w:top w:val="nil"/>
              <w:left w:val="nil"/>
              <w:bottom w:val="nil"/>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 xml:space="preserve">Axis </w:t>
            </w:r>
            <w:proofErr w:type="spellStart"/>
            <w:r w:rsidRPr="00023B24">
              <w:rPr>
                <w:rFonts w:ascii="Times New Roman" w:eastAsia="Times New Roman" w:hAnsi="Times New Roman" w:cs="Times New Roman"/>
                <w:sz w:val="24"/>
                <w:szCs w:val="24"/>
                <w:lang w:eastAsia="en-IN"/>
              </w:rPr>
              <w:t>axis</w:t>
            </w:r>
            <w:proofErr w:type="spellEnd"/>
          </w:p>
        </w:tc>
        <w:tc>
          <w:tcPr>
            <w:tcW w:w="1122"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14.84</w:t>
            </w:r>
          </w:p>
        </w:tc>
        <w:tc>
          <w:tcPr>
            <w:tcW w:w="1122"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16.78</w:t>
            </w:r>
          </w:p>
        </w:tc>
        <w:tc>
          <w:tcPr>
            <w:tcW w:w="1122"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17.65</w:t>
            </w:r>
          </w:p>
        </w:tc>
        <w:tc>
          <w:tcPr>
            <w:tcW w:w="1122" w:type="dxa"/>
            <w:tcBorders>
              <w:top w:val="nil"/>
              <w:left w:val="nil"/>
              <w:bottom w:val="nil"/>
              <w:right w:val="single" w:sz="4" w:space="0" w:color="auto"/>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16.42</w:t>
            </w:r>
          </w:p>
        </w:tc>
      </w:tr>
      <w:tr w:rsidR="00023B24" w:rsidRPr="00023B24" w:rsidTr="00480E07">
        <w:trPr>
          <w:trHeight w:val="226"/>
        </w:trPr>
        <w:tc>
          <w:tcPr>
            <w:tcW w:w="1492" w:type="dxa"/>
            <w:tcBorders>
              <w:top w:val="nil"/>
              <w:left w:val="single" w:sz="4" w:space="0" w:color="auto"/>
              <w:bottom w:val="nil"/>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Sambhar</w:t>
            </w:r>
          </w:p>
        </w:tc>
        <w:tc>
          <w:tcPr>
            <w:tcW w:w="3047" w:type="dxa"/>
            <w:tcBorders>
              <w:top w:val="nil"/>
              <w:left w:val="nil"/>
              <w:bottom w:val="nil"/>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proofErr w:type="spellStart"/>
            <w:r w:rsidRPr="00023B24">
              <w:rPr>
                <w:rFonts w:ascii="Times New Roman" w:eastAsia="Times New Roman" w:hAnsi="Times New Roman" w:cs="Times New Roman"/>
                <w:sz w:val="24"/>
                <w:szCs w:val="24"/>
                <w:lang w:eastAsia="en-IN"/>
              </w:rPr>
              <w:t>Rusa</w:t>
            </w:r>
            <w:proofErr w:type="spellEnd"/>
            <w:r w:rsidRPr="00023B24">
              <w:rPr>
                <w:rFonts w:ascii="Times New Roman" w:eastAsia="Times New Roman" w:hAnsi="Times New Roman" w:cs="Times New Roman"/>
                <w:sz w:val="24"/>
                <w:szCs w:val="24"/>
                <w:lang w:eastAsia="en-IN"/>
              </w:rPr>
              <w:t xml:space="preserve"> unicolor</w:t>
            </w:r>
          </w:p>
        </w:tc>
        <w:tc>
          <w:tcPr>
            <w:tcW w:w="1122"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12.34</w:t>
            </w:r>
          </w:p>
        </w:tc>
        <w:tc>
          <w:tcPr>
            <w:tcW w:w="1122"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14.47</w:t>
            </w:r>
          </w:p>
        </w:tc>
        <w:tc>
          <w:tcPr>
            <w:tcW w:w="1122"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14.99</w:t>
            </w:r>
          </w:p>
        </w:tc>
        <w:tc>
          <w:tcPr>
            <w:tcW w:w="1122" w:type="dxa"/>
            <w:tcBorders>
              <w:top w:val="nil"/>
              <w:left w:val="nil"/>
              <w:bottom w:val="nil"/>
              <w:right w:val="single" w:sz="4" w:space="0" w:color="auto"/>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13.94</w:t>
            </w:r>
          </w:p>
        </w:tc>
      </w:tr>
      <w:tr w:rsidR="00023B24" w:rsidRPr="00023B24" w:rsidTr="00480E07">
        <w:trPr>
          <w:trHeight w:val="226"/>
        </w:trPr>
        <w:tc>
          <w:tcPr>
            <w:tcW w:w="1492" w:type="dxa"/>
            <w:tcBorders>
              <w:top w:val="nil"/>
              <w:left w:val="single" w:sz="4" w:space="0" w:color="auto"/>
              <w:bottom w:val="nil"/>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 xml:space="preserve">Sloth bear </w:t>
            </w:r>
          </w:p>
        </w:tc>
        <w:tc>
          <w:tcPr>
            <w:tcW w:w="3047" w:type="dxa"/>
            <w:tcBorders>
              <w:top w:val="nil"/>
              <w:left w:val="nil"/>
              <w:bottom w:val="nil"/>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 xml:space="preserve">Melursus </w:t>
            </w:r>
            <w:proofErr w:type="spellStart"/>
            <w:r w:rsidRPr="00023B24">
              <w:rPr>
                <w:rFonts w:ascii="Times New Roman" w:eastAsia="Times New Roman" w:hAnsi="Times New Roman" w:cs="Times New Roman"/>
                <w:sz w:val="24"/>
                <w:szCs w:val="24"/>
                <w:lang w:eastAsia="en-IN"/>
              </w:rPr>
              <w:t>ursinus</w:t>
            </w:r>
            <w:proofErr w:type="spellEnd"/>
          </w:p>
        </w:tc>
        <w:tc>
          <w:tcPr>
            <w:tcW w:w="1122"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9.22</w:t>
            </w:r>
          </w:p>
        </w:tc>
        <w:tc>
          <w:tcPr>
            <w:tcW w:w="1122"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12.50</w:t>
            </w:r>
          </w:p>
        </w:tc>
        <w:tc>
          <w:tcPr>
            <w:tcW w:w="1122"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4.17</w:t>
            </w:r>
          </w:p>
        </w:tc>
        <w:tc>
          <w:tcPr>
            <w:tcW w:w="1122" w:type="dxa"/>
            <w:tcBorders>
              <w:top w:val="nil"/>
              <w:left w:val="nil"/>
              <w:bottom w:val="nil"/>
              <w:right w:val="single" w:sz="4" w:space="0" w:color="auto"/>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8.63</w:t>
            </w:r>
          </w:p>
        </w:tc>
      </w:tr>
      <w:tr w:rsidR="00023B24" w:rsidRPr="00023B24" w:rsidTr="00480E07">
        <w:trPr>
          <w:trHeight w:val="216"/>
        </w:trPr>
        <w:tc>
          <w:tcPr>
            <w:tcW w:w="1492" w:type="dxa"/>
            <w:tcBorders>
              <w:top w:val="nil"/>
              <w:left w:val="single" w:sz="4" w:space="0" w:color="auto"/>
              <w:bottom w:val="single" w:sz="4" w:space="0" w:color="auto"/>
              <w:right w:val="nil"/>
            </w:tcBorders>
            <w:noWrap/>
            <w:vAlign w:val="bottom"/>
            <w:hideMark/>
          </w:tcPr>
          <w:p w:rsidR="00023B24" w:rsidRPr="00023B24" w:rsidRDefault="00023B24" w:rsidP="009F21F1">
            <w:pPr>
              <w:spacing w:after="0" w:line="240" w:lineRule="auto"/>
              <w:rPr>
                <w:rFonts w:ascii="Times New Roman" w:hAnsi="Times New Roman" w:cs="Times New Roman"/>
                <w:sz w:val="24"/>
                <w:szCs w:val="24"/>
              </w:rPr>
            </w:pPr>
            <w:r w:rsidRPr="00023B24">
              <w:rPr>
                <w:rFonts w:ascii="Times New Roman" w:hAnsi="Times New Roman" w:cs="Times New Roman"/>
                <w:sz w:val="24"/>
                <w:szCs w:val="24"/>
              </w:rPr>
              <w:t>Langur</w:t>
            </w:r>
          </w:p>
        </w:tc>
        <w:tc>
          <w:tcPr>
            <w:tcW w:w="3047" w:type="dxa"/>
            <w:tcBorders>
              <w:top w:val="nil"/>
              <w:left w:val="nil"/>
              <w:bottom w:val="single" w:sz="4" w:space="0" w:color="auto"/>
              <w:right w:val="nil"/>
            </w:tcBorders>
            <w:noWrap/>
            <w:vAlign w:val="bottom"/>
            <w:hideMark/>
          </w:tcPr>
          <w:p w:rsidR="00023B24" w:rsidRPr="00023B24" w:rsidRDefault="00023B24" w:rsidP="009F21F1">
            <w:pPr>
              <w:spacing w:after="0" w:line="240" w:lineRule="auto"/>
              <w:rPr>
                <w:rFonts w:ascii="Times New Roman" w:hAnsi="Times New Roman" w:cs="Times New Roman"/>
                <w:sz w:val="24"/>
                <w:szCs w:val="24"/>
              </w:rPr>
            </w:pPr>
            <w:proofErr w:type="spellStart"/>
            <w:r w:rsidRPr="00023B24">
              <w:rPr>
                <w:rFonts w:ascii="Times New Roman" w:hAnsi="Times New Roman" w:cs="Times New Roman"/>
                <w:sz w:val="24"/>
                <w:szCs w:val="24"/>
              </w:rPr>
              <w:t>Semnopithecus</w:t>
            </w:r>
            <w:proofErr w:type="spellEnd"/>
            <w:r w:rsidRPr="00023B24">
              <w:rPr>
                <w:rFonts w:ascii="Times New Roman" w:hAnsi="Times New Roman" w:cs="Times New Roman"/>
                <w:sz w:val="24"/>
                <w:szCs w:val="24"/>
              </w:rPr>
              <w:t xml:space="preserve"> spp.</w:t>
            </w:r>
          </w:p>
        </w:tc>
        <w:tc>
          <w:tcPr>
            <w:tcW w:w="1122" w:type="dxa"/>
            <w:tcBorders>
              <w:top w:val="nil"/>
              <w:left w:val="nil"/>
              <w:bottom w:val="single" w:sz="4" w:space="0" w:color="auto"/>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15.06</w:t>
            </w:r>
          </w:p>
        </w:tc>
        <w:tc>
          <w:tcPr>
            <w:tcW w:w="1122" w:type="dxa"/>
            <w:tcBorders>
              <w:top w:val="nil"/>
              <w:left w:val="nil"/>
              <w:bottom w:val="single" w:sz="4" w:space="0" w:color="auto"/>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12.99</w:t>
            </w:r>
          </w:p>
        </w:tc>
        <w:tc>
          <w:tcPr>
            <w:tcW w:w="1122" w:type="dxa"/>
            <w:tcBorders>
              <w:top w:val="nil"/>
              <w:left w:val="nil"/>
              <w:bottom w:val="single" w:sz="4" w:space="0" w:color="auto"/>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16.32</w:t>
            </w:r>
          </w:p>
        </w:tc>
        <w:tc>
          <w:tcPr>
            <w:tcW w:w="1122" w:type="dxa"/>
            <w:tcBorders>
              <w:top w:val="nil"/>
              <w:left w:val="nil"/>
              <w:bottom w:val="single" w:sz="4" w:space="0" w:color="auto"/>
              <w:right w:val="single" w:sz="4" w:space="0" w:color="auto"/>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14.79</w:t>
            </w:r>
          </w:p>
        </w:tc>
      </w:tr>
    </w:tbl>
    <w:p w:rsidR="00023B24" w:rsidRPr="00023B24" w:rsidRDefault="00023B24" w:rsidP="009F21F1">
      <w:pPr>
        <w:spacing w:after="0" w:line="240" w:lineRule="auto"/>
        <w:jc w:val="both"/>
        <w:rPr>
          <w:rFonts w:ascii="Times New Roman" w:hAnsi="Times New Roman" w:cs="Times New Roman"/>
          <w:sz w:val="24"/>
          <w:szCs w:val="24"/>
          <w:lang w:val="en-US"/>
        </w:rPr>
      </w:pPr>
    </w:p>
    <w:p w:rsidR="00023B24" w:rsidRPr="00023B24" w:rsidRDefault="00023B24" w:rsidP="009F21F1">
      <w:pPr>
        <w:spacing w:after="0" w:line="240" w:lineRule="auto"/>
        <w:jc w:val="both"/>
        <w:rPr>
          <w:rFonts w:ascii="Times New Roman" w:hAnsi="Times New Roman" w:cs="Times New Roman"/>
          <w:b/>
          <w:bCs/>
          <w:sz w:val="24"/>
          <w:szCs w:val="24"/>
          <w:lang w:val="en-US"/>
        </w:rPr>
      </w:pPr>
      <w:r w:rsidRPr="00023B24">
        <w:rPr>
          <w:rFonts w:ascii="Times New Roman" w:hAnsi="Times New Roman" w:cs="Times New Roman"/>
          <w:b/>
          <w:bCs/>
          <w:sz w:val="24"/>
          <w:szCs w:val="24"/>
          <w:lang w:val="en-US"/>
        </w:rPr>
        <w:t>Table</w:t>
      </w:r>
      <w:r w:rsidR="00401C75">
        <w:rPr>
          <w:rFonts w:ascii="Times New Roman" w:hAnsi="Times New Roman" w:cs="Times New Roman"/>
          <w:b/>
          <w:bCs/>
          <w:sz w:val="24"/>
          <w:szCs w:val="24"/>
          <w:lang w:val="en-US"/>
        </w:rPr>
        <w:t xml:space="preserve"> </w:t>
      </w:r>
      <w:r w:rsidRPr="00023B24">
        <w:rPr>
          <w:rFonts w:ascii="Times New Roman" w:hAnsi="Times New Roman" w:cs="Times New Roman"/>
          <w:b/>
          <w:bCs/>
          <w:sz w:val="24"/>
          <w:szCs w:val="24"/>
          <w:lang w:val="en-US"/>
        </w:rPr>
        <w:t>2. Percent of Crop raiding incidents by wildlife species that were recorded as being involved in HWC in various village classes</w:t>
      </w:r>
    </w:p>
    <w:p w:rsidR="00023B24" w:rsidRDefault="00023B24" w:rsidP="009F21F1">
      <w:pPr>
        <w:spacing w:after="0" w:line="240" w:lineRule="auto"/>
        <w:jc w:val="both"/>
        <w:rPr>
          <w:rFonts w:ascii="Times New Roman" w:hAnsi="Times New Roman" w:cs="Times New Roman"/>
          <w:b/>
          <w:bCs/>
          <w:sz w:val="20"/>
          <w:szCs w:val="20"/>
          <w:lang w:val="en-US"/>
        </w:rPr>
      </w:pPr>
    </w:p>
    <w:p w:rsidR="00A515BE" w:rsidRDefault="00480E07" w:rsidP="009F21F1">
      <w:pPr>
        <w:spacing w:after="0" w:line="240" w:lineRule="auto"/>
        <w:jc w:val="both"/>
        <w:rPr>
          <w:rFonts w:ascii="Times New Roman" w:hAnsi="Times New Roman" w:cs="Times New Roman"/>
          <w:sz w:val="24"/>
          <w:szCs w:val="24"/>
        </w:rPr>
      </w:pPr>
      <w:r w:rsidRPr="00023B24">
        <w:rPr>
          <w:rFonts w:ascii="Times New Roman" w:hAnsi="Times New Roman" w:cs="Times New Roman"/>
          <w:sz w:val="24"/>
          <w:szCs w:val="24"/>
        </w:rPr>
        <w:lastRenderedPageBreak/>
        <w:t xml:space="preserve">Large herbivores such as </w:t>
      </w:r>
      <w:r w:rsidRPr="00023B24">
        <w:rPr>
          <w:rFonts w:ascii="Times New Roman" w:hAnsi="Times New Roman" w:cs="Times New Roman"/>
          <w:i/>
          <w:iCs/>
          <w:sz w:val="24"/>
          <w:szCs w:val="24"/>
        </w:rPr>
        <w:t>Gaur</w:t>
      </w:r>
      <w:r w:rsidRPr="00023B24">
        <w:rPr>
          <w:rFonts w:ascii="Times New Roman" w:hAnsi="Times New Roman" w:cs="Times New Roman"/>
          <w:sz w:val="24"/>
          <w:szCs w:val="24"/>
        </w:rPr>
        <w:t xml:space="preserve"> (</w:t>
      </w:r>
      <w:r w:rsidRPr="00023B24">
        <w:rPr>
          <w:rFonts w:ascii="Times New Roman" w:hAnsi="Times New Roman" w:cs="Times New Roman"/>
          <w:i/>
          <w:iCs/>
          <w:sz w:val="24"/>
          <w:szCs w:val="24"/>
        </w:rPr>
        <w:t xml:space="preserve">Bos </w:t>
      </w:r>
      <w:proofErr w:type="spellStart"/>
      <w:r w:rsidRPr="00023B24">
        <w:rPr>
          <w:rFonts w:ascii="Times New Roman" w:hAnsi="Times New Roman" w:cs="Times New Roman"/>
          <w:i/>
          <w:iCs/>
          <w:sz w:val="24"/>
          <w:szCs w:val="24"/>
        </w:rPr>
        <w:t>gaurus</w:t>
      </w:r>
      <w:proofErr w:type="spellEnd"/>
      <w:r w:rsidRPr="00023B24">
        <w:rPr>
          <w:rFonts w:ascii="Times New Roman" w:hAnsi="Times New Roman" w:cs="Times New Roman"/>
          <w:sz w:val="24"/>
          <w:szCs w:val="24"/>
        </w:rPr>
        <w:t xml:space="preserve">) and </w:t>
      </w:r>
      <w:r w:rsidRPr="00023B24">
        <w:rPr>
          <w:rFonts w:ascii="Times New Roman" w:hAnsi="Times New Roman" w:cs="Times New Roman"/>
          <w:i/>
          <w:iCs/>
          <w:sz w:val="24"/>
          <w:szCs w:val="24"/>
        </w:rPr>
        <w:t>Sambar</w:t>
      </w:r>
      <w:r w:rsidRPr="00023B24">
        <w:rPr>
          <w:rFonts w:ascii="Times New Roman" w:hAnsi="Times New Roman" w:cs="Times New Roman"/>
          <w:sz w:val="24"/>
          <w:szCs w:val="24"/>
        </w:rPr>
        <w:t xml:space="preserve"> (</w:t>
      </w:r>
      <w:proofErr w:type="spellStart"/>
      <w:r w:rsidRPr="00023B24">
        <w:rPr>
          <w:rFonts w:ascii="Times New Roman" w:hAnsi="Times New Roman" w:cs="Times New Roman"/>
          <w:i/>
          <w:iCs/>
          <w:sz w:val="24"/>
          <w:szCs w:val="24"/>
        </w:rPr>
        <w:t>Rusa</w:t>
      </w:r>
      <w:proofErr w:type="spellEnd"/>
      <w:r w:rsidRPr="00023B24">
        <w:rPr>
          <w:rFonts w:ascii="Times New Roman" w:hAnsi="Times New Roman" w:cs="Times New Roman"/>
          <w:i/>
          <w:iCs/>
          <w:sz w:val="24"/>
          <w:szCs w:val="24"/>
        </w:rPr>
        <w:t xml:space="preserve"> unicolor</w:t>
      </w:r>
      <w:r w:rsidRPr="00023B24">
        <w:rPr>
          <w:rFonts w:ascii="Times New Roman" w:hAnsi="Times New Roman" w:cs="Times New Roman"/>
          <w:sz w:val="24"/>
          <w:szCs w:val="24"/>
        </w:rPr>
        <w:t xml:space="preserve">) were responsible for 14.18% and 13.94% of incidents, respectively, with slightly higher incidences in Class 2 villages adjoining the reserve boundary. </w:t>
      </w:r>
      <w:r w:rsidRPr="00023B24">
        <w:rPr>
          <w:rFonts w:ascii="Times New Roman" w:hAnsi="Times New Roman" w:cs="Times New Roman"/>
          <w:i/>
          <w:iCs/>
          <w:sz w:val="24"/>
          <w:szCs w:val="24"/>
        </w:rPr>
        <w:t>Wild Boar</w:t>
      </w:r>
      <w:r w:rsidRPr="00023B24">
        <w:rPr>
          <w:rFonts w:ascii="Times New Roman" w:hAnsi="Times New Roman" w:cs="Times New Roman"/>
          <w:sz w:val="24"/>
          <w:szCs w:val="24"/>
        </w:rPr>
        <w:t xml:space="preserve"> (</w:t>
      </w:r>
      <w:r w:rsidRPr="00023B24">
        <w:rPr>
          <w:rFonts w:ascii="Times New Roman" w:hAnsi="Times New Roman" w:cs="Times New Roman"/>
          <w:i/>
          <w:iCs/>
          <w:sz w:val="24"/>
          <w:szCs w:val="24"/>
        </w:rPr>
        <w:t xml:space="preserve">Sus </w:t>
      </w:r>
      <w:proofErr w:type="spellStart"/>
      <w:r w:rsidRPr="00023B24">
        <w:rPr>
          <w:rFonts w:ascii="Times New Roman" w:hAnsi="Times New Roman" w:cs="Times New Roman"/>
          <w:i/>
          <w:iCs/>
          <w:sz w:val="24"/>
          <w:szCs w:val="24"/>
        </w:rPr>
        <w:t>scrofa</w:t>
      </w:r>
      <w:proofErr w:type="spellEnd"/>
      <w:r w:rsidRPr="00023B24">
        <w:rPr>
          <w:rFonts w:ascii="Times New Roman" w:hAnsi="Times New Roman" w:cs="Times New Roman"/>
          <w:sz w:val="24"/>
          <w:szCs w:val="24"/>
        </w:rPr>
        <w:t xml:space="preserve">) accounted for 12.17%, relatively consistent across all </w:t>
      </w:r>
      <w:proofErr w:type="spellStart"/>
      <w:r w:rsidRPr="00023B24">
        <w:rPr>
          <w:rFonts w:ascii="Times New Roman" w:hAnsi="Times New Roman" w:cs="Times New Roman"/>
          <w:sz w:val="24"/>
          <w:szCs w:val="24"/>
        </w:rPr>
        <w:t>classes.Although</w:t>
      </w:r>
      <w:proofErr w:type="spellEnd"/>
      <w:r w:rsidRPr="00023B24">
        <w:rPr>
          <w:rFonts w:ascii="Times New Roman" w:hAnsi="Times New Roman" w:cs="Times New Roman"/>
          <w:sz w:val="24"/>
          <w:szCs w:val="24"/>
        </w:rPr>
        <w:t xml:space="preserve"> less frequent overall, </w:t>
      </w:r>
      <w:r w:rsidRPr="00023B24">
        <w:rPr>
          <w:rFonts w:ascii="Times New Roman" w:hAnsi="Times New Roman" w:cs="Times New Roman"/>
          <w:i/>
          <w:iCs/>
          <w:sz w:val="24"/>
          <w:szCs w:val="24"/>
        </w:rPr>
        <w:t>Sloth Bear</w:t>
      </w:r>
      <w:r w:rsidRPr="00023B24">
        <w:rPr>
          <w:rFonts w:ascii="Times New Roman" w:hAnsi="Times New Roman" w:cs="Times New Roman"/>
          <w:sz w:val="24"/>
          <w:szCs w:val="24"/>
        </w:rPr>
        <w:t xml:space="preserve"> (</w:t>
      </w:r>
      <w:r w:rsidRPr="00023B24">
        <w:rPr>
          <w:rFonts w:ascii="Times New Roman" w:hAnsi="Times New Roman" w:cs="Times New Roman"/>
          <w:i/>
          <w:iCs/>
          <w:sz w:val="24"/>
          <w:szCs w:val="24"/>
        </w:rPr>
        <w:t xml:space="preserve">Melursus </w:t>
      </w:r>
      <w:proofErr w:type="spellStart"/>
      <w:r w:rsidRPr="00023B24">
        <w:rPr>
          <w:rFonts w:ascii="Times New Roman" w:hAnsi="Times New Roman" w:cs="Times New Roman"/>
          <w:i/>
          <w:iCs/>
          <w:sz w:val="24"/>
          <w:szCs w:val="24"/>
        </w:rPr>
        <w:t>ursinus</w:t>
      </w:r>
      <w:proofErr w:type="spellEnd"/>
      <w:r w:rsidRPr="00023B24">
        <w:rPr>
          <w:rFonts w:ascii="Times New Roman" w:hAnsi="Times New Roman" w:cs="Times New Roman"/>
          <w:sz w:val="24"/>
          <w:szCs w:val="24"/>
        </w:rPr>
        <w:t>) raids were notable in Class 2 villages (12.50%), reflecting their tendency to forage along the forest edge</w:t>
      </w:r>
      <w:r w:rsidRPr="00A21AAE">
        <w:rPr>
          <w:rFonts w:ascii="Times New Roman" w:hAnsi="Times New Roman" w:cs="Times New Roman"/>
          <w:sz w:val="24"/>
          <w:szCs w:val="24"/>
        </w:rPr>
        <w:t xml:space="preserve"> (Table 2)</w:t>
      </w:r>
      <w:r w:rsidRPr="00023B24">
        <w:rPr>
          <w:rFonts w:ascii="Times New Roman" w:hAnsi="Times New Roman" w:cs="Times New Roman"/>
          <w:sz w:val="24"/>
          <w:szCs w:val="24"/>
        </w:rPr>
        <w:t>.</w:t>
      </w:r>
      <w:r w:rsidR="00A515BE" w:rsidRPr="00023B24">
        <w:rPr>
          <w:rFonts w:ascii="Times New Roman" w:hAnsi="Times New Roman" w:cs="Times New Roman"/>
          <w:sz w:val="24"/>
          <w:szCs w:val="24"/>
        </w:rPr>
        <w:t>Overall, the distribution pattern indicates that ungulates (Nilgai, Chital, Gaur, and Sambar) collectively accounted for the majority of crop-raiding events, whereas primates (</w:t>
      </w:r>
      <w:r w:rsidR="00A515BE" w:rsidRPr="00023B24">
        <w:rPr>
          <w:rFonts w:ascii="Times New Roman" w:hAnsi="Times New Roman" w:cs="Times New Roman"/>
          <w:i/>
          <w:iCs/>
          <w:sz w:val="24"/>
          <w:szCs w:val="24"/>
        </w:rPr>
        <w:t>Langurs</w:t>
      </w:r>
      <w:r w:rsidR="00A515BE" w:rsidRPr="00023B24">
        <w:rPr>
          <w:rFonts w:ascii="Times New Roman" w:hAnsi="Times New Roman" w:cs="Times New Roman"/>
          <w:sz w:val="24"/>
          <w:szCs w:val="24"/>
        </w:rPr>
        <w:t>) and omnivores (</w:t>
      </w:r>
      <w:r w:rsidR="00A515BE" w:rsidRPr="00023B24">
        <w:rPr>
          <w:rFonts w:ascii="Times New Roman" w:hAnsi="Times New Roman" w:cs="Times New Roman"/>
          <w:i/>
          <w:iCs/>
          <w:sz w:val="24"/>
          <w:szCs w:val="24"/>
        </w:rPr>
        <w:t>Wild Boar</w:t>
      </w:r>
      <w:r w:rsidR="00A515BE" w:rsidRPr="00023B24">
        <w:rPr>
          <w:rFonts w:ascii="Times New Roman" w:hAnsi="Times New Roman" w:cs="Times New Roman"/>
          <w:sz w:val="24"/>
          <w:szCs w:val="24"/>
        </w:rPr>
        <w:t xml:space="preserve"> and </w:t>
      </w:r>
      <w:r w:rsidR="00A515BE" w:rsidRPr="00023B24">
        <w:rPr>
          <w:rFonts w:ascii="Times New Roman" w:hAnsi="Times New Roman" w:cs="Times New Roman"/>
          <w:i/>
          <w:iCs/>
          <w:sz w:val="24"/>
          <w:szCs w:val="24"/>
        </w:rPr>
        <w:t>Sloth Bear</w:t>
      </w:r>
      <w:r w:rsidR="00A515BE" w:rsidRPr="00023B24">
        <w:rPr>
          <w:rFonts w:ascii="Times New Roman" w:hAnsi="Times New Roman" w:cs="Times New Roman"/>
          <w:sz w:val="24"/>
          <w:szCs w:val="24"/>
        </w:rPr>
        <w:t xml:space="preserve">) also </w:t>
      </w:r>
      <w:proofErr w:type="spellStart"/>
      <w:r w:rsidR="00A515BE" w:rsidRPr="00023B24">
        <w:rPr>
          <w:rFonts w:ascii="Times New Roman" w:hAnsi="Times New Roman" w:cs="Times New Roman"/>
          <w:sz w:val="24"/>
          <w:szCs w:val="24"/>
        </w:rPr>
        <w:t>posed</w:t>
      </w:r>
      <w:proofErr w:type="spellEnd"/>
      <w:r w:rsidR="00A515BE" w:rsidRPr="00023B24">
        <w:rPr>
          <w:rFonts w:ascii="Times New Roman" w:hAnsi="Times New Roman" w:cs="Times New Roman"/>
          <w:sz w:val="24"/>
          <w:szCs w:val="24"/>
        </w:rPr>
        <w:t xml:space="preserve"> significant but localized challenges. These findings underscore the multi-species nature of crop raiding in the Valmiki landscape and the spatial variation in conflict intensity across different village classes.</w:t>
      </w:r>
    </w:p>
    <w:p w:rsidR="00A515BE" w:rsidRDefault="00A515BE" w:rsidP="009F21F1">
      <w:pPr>
        <w:spacing w:after="0" w:line="240" w:lineRule="auto"/>
        <w:jc w:val="both"/>
        <w:rPr>
          <w:rFonts w:ascii="Times New Roman" w:hAnsi="Times New Roman" w:cs="Times New Roman"/>
          <w:sz w:val="24"/>
          <w:szCs w:val="24"/>
        </w:rPr>
      </w:pPr>
    </w:p>
    <w:p w:rsidR="00023B24" w:rsidRDefault="00023B24" w:rsidP="009F21F1">
      <w:pPr>
        <w:spacing w:after="0" w:line="240" w:lineRule="auto"/>
        <w:jc w:val="both"/>
        <w:rPr>
          <w:rFonts w:ascii="Times New Roman" w:hAnsi="Times New Roman" w:cs="Times New Roman"/>
          <w:sz w:val="24"/>
          <w:szCs w:val="24"/>
        </w:rPr>
      </w:pPr>
      <w:r w:rsidRPr="00023B24">
        <w:rPr>
          <w:rFonts w:ascii="Times New Roman" w:hAnsi="Times New Roman" w:cs="Times New Roman"/>
          <w:sz w:val="24"/>
          <w:szCs w:val="24"/>
        </w:rPr>
        <w:t>The highest proportion of raids occurred during winter (40.44%), followed by monsoon (33.88%). Spring and summer recorded comparatively fewer incidents, with 13.66% and 12.02%, respectively. Across all classes, winter and monsoon remained the peak seasons for crop damage, though Class 3 villages (located farther from the reserve) experienced relatively higher raids in summer (17.57%). This seasonal trend highlights that human-wildlife conflict is more intense during winter and monsoon, coinciding with peak agricultural activity and crop availability</w:t>
      </w:r>
      <w:r w:rsidR="00A21AAE">
        <w:rPr>
          <w:rFonts w:ascii="Times New Roman" w:hAnsi="Times New Roman" w:cs="Times New Roman"/>
          <w:sz w:val="24"/>
          <w:szCs w:val="24"/>
        </w:rPr>
        <w:t xml:space="preserve"> (Table 3)</w:t>
      </w:r>
      <w:r w:rsidRPr="00023B24">
        <w:rPr>
          <w:rFonts w:ascii="Times New Roman" w:hAnsi="Times New Roman" w:cs="Times New Roman"/>
          <w:sz w:val="24"/>
          <w:szCs w:val="24"/>
        </w:rPr>
        <w:t>.</w:t>
      </w:r>
    </w:p>
    <w:p w:rsidR="00A60388" w:rsidRDefault="00A60388" w:rsidP="009F21F1">
      <w:pPr>
        <w:spacing w:after="0" w:line="240" w:lineRule="auto"/>
        <w:jc w:val="both"/>
        <w:rPr>
          <w:rFonts w:ascii="Times New Roman" w:hAnsi="Times New Roman" w:cs="Times New Roman"/>
          <w:sz w:val="24"/>
          <w:szCs w:val="24"/>
        </w:rPr>
      </w:pPr>
    </w:p>
    <w:tbl>
      <w:tblPr>
        <w:tblW w:w="9035" w:type="dxa"/>
        <w:tblInd w:w="108" w:type="dxa"/>
        <w:tblLook w:val="04A0" w:firstRow="1" w:lastRow="0" w:firstColumn="1" w:lastColumn="0" w:noHBand="0" w:noVBand="1"/>
      </w:tblPr>
      <w:tblGrid>
        <w:gridCol w:w="2216"/>
        <w:gridCol w:w="1879"/>
        <w:gridCol w:w="67"/>
        <w:gridCol w:w="1792"/>
        <w:gridCol w:w="307"/>
        <w:gridCol w:w="1326"/>
        <w:gridCol w:w="298"/>
        <w:gridCol w:w="1150"/>
      </w:tblGrid>
      <w:tr w:rsidR="00023B24" w:rsidRPr="00023B24" w:rsidTr="00023B24">
        <w:trPr>
          <w:trHeight w:val="378"/>
        </w:trPr>
        <w:tc>
          <w:tcPr>
            <w:tcW w:w="2216" w:type="dxa"/>
            <w:tcBorders>
              <w:top w:val="single" w:sz="4" w:space="0" w:color="auto"/>
              <w:left w:val="single" w:sz="4" w:space="0" w:color="auto"/>
              <w:bottom w:val="single" w:sz="4" w:space="0" w:color="auto"/>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Season (Crop Raiding)</w:t>
            </w:r>
          </w:p>
        </w:tc>
        <w:tc>
          <w:tcPr>
            <w:tcW w:w="1879" w:type="dxa"/>
            <w:tcBorders>
              <w:top w:val="single" w:sz="4" w:space="0" w:color="auto"/>
              <w:left w:val="nil"/>
              <w:bottom w:val="single" w:sz="4" w:space="0" w:color="auto"/>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 xml:space="preserve">Village class 1 </w:t>
            </w:r>
            <w:proofErr w:type="gramStart"/>
            <w:r w:rsidRPr="00023B24">
              <w:rPr>
                <w:rFonts w:ascii="Times New Roman" w:eastAsia="Times New Roman" w:hAnsi="Times New Roman" w:cs="Times New Roman"/>
                <w:b/>
                <w:sz w:val="24"/>
                <w:szCs w:val="24"/>
                <w:lang w:eastAsia="en-IN"/>
              </w:rPr>
              <w:t>n(</w:t>
            </w:r>
            <w:proofErr w:type="gramEnd"/>
            <w:r w:rsidRPr="00023B24">
              <w:rPr>
                <w:rFonts w:ascii="Times New Roman" w:eastAsia="Times New Roman" w:hAnsi="Times New Roman" w:cs="Times New Roman"/>
                <w:b/>
                <w:sz w:val="24"/>
                <w:szCs w:val="24"/>
                <w:lang w:eastAsia="en-IN"/>
              </w:rPr>
              <w:t>%)</w:t>
            </w:r>
          </w:p>
        </w:tc>
        <w:tc>
          <w:tcPr>
            <w:tcW w:w="1859" w:type="dxa"/>
            <w:gridSpan w:val="2"/>
            <w:tcBorders>
              <w:top w:val="single" w:sz="4" w:space="0" w:color="auto"/>
              <w:left w:val="nil"/>
              <w:bottom w:val="single" w:sz="4" w:space="0" w:color="auto"/>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 xml:space="preserve">Village class 2 </w:t>
            </w:r>
            <w:proofErr w:type="gramStart"/>
            <w:r w:rsidRPr="00023B24">
              <w:rPr>
                <w:rFonts w:ascii="Times New Roman" w:eastAsia="Times New Roman" w:hAnsi="Times New Roman" w:cs="Times New Roman"/>
                <w:b/>
                <w:sz w:val="24"/>
                <w:szCs w:val="24"/>
                <w:lang w:eastAsia="en-IN"/>
              </w:rPr>
              <w:t>n(</w:t>
            </w:r>
            <w:proofErr w:type="gramEnd"/>
            <w:r w:rsidRPr="00023B24">
              <w:rPr>
                <w:rFonts w:ascii="Times New Roman" w:eastAsia="Times New Roman" w:hAnsi="Times New Roman" w:cs="Times New Roman"/>
                <w:b/>
                <w:sz w:val="24"/>
                <w:szCs w:val="24"/>
                <w:lang w:eastAsia="en-IN"/>
              </w:rPr>
              <w:t>%)</w:t>
            </w:r>
          </w:p>
        </w:tc>
        <w:tc>
          <w:tcPr>
            <w:tcW w:w="1931" w:type="dxa"/>
            <w:gridSpan w:val="3"/>
            <w:tcBorders>
              <w:top w:val="single" w:sz="4" w:space="0" w:color="auto"/>
              <w:left w:val="nil"/>
              <w:bottom w:val="single" w:sz="4" w:space="0" w:color="auto"/>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 xml:space="preserve">Village class 3 </w:t>
            </w:r>
            <w:proofErr w:type="gramStart"/>
            <w:r w:rsidRPr="00023B24">
              <w:rPr>
                <w:rFonts w:ascii="Times New Roman" w:eastAsia="Times New Roman" w:hAnsi="Times New Roman" w:cs="Times New Roman"/>
                <w:b/>
                <w:sz w:val="24"/>
                <w:szCs w:val="24"/>
                <w:lang w:eastAsia="en-IN"/>
              </w:rPr>
              <w:t>n(</w:t>
            </w:r>
            <w:proofErr w:type="gramEnd"/>
            <w:r w:rsidRPr="00023B24">
              <w:rPr>
                <w:rFonts w:ascii="Times New Roman" w:eastAsia="Times New Roman" w:hAnsi="Times New Roman" w:cs="Times New Roman"/>
                <w:b/>
                <w:sz w:val="24"/>
                <w:szCs w:val="24"/>
                <w:lang w:eastAsia="en-IN"/>
              </w:rPr>
              <w:t>%)</w:t>
            </w:r>
          </w:p>
        </w:tc>
        <w:tc>
          <w:tcPr>
            <w:tcW w:w="1149" w:type="dxa"/>
            <w:tcBorders>
              <w:top w:val="single" w:sz="4" w:space="0" w:color="auto"/>
              <w:left w:val="nil"/>
              <w:bottom w:val="single" w:sz="4" w:space="0" w:color="auto"/>
              <w:right w:val="single" w:sz="4" w:space="0" w:color="auto"/>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 xml:space="preserve">Total </w:t>
            </w:r>
            <w:proofErr w:type="gramStart"/>
            <w:r w:rsidRPr="00023B24">
              <w:rPr>
                <w:rFonts w:ascii="Times New Roman" w:eastAsia="Times New Roman" w:hAnsi="Times New Roman" w:cs="Times New Roman"/>
                <w:b/>
                <w:sz w:val="24"/>
                <w:szCs w:val="24"/>
                <w:lang w:eastAsia="en-IN"/>
              </w:rPr>
              <w:t>n(</w:t>
            </w:r>
            <w:proofErr w:type="gramEnd"/>
            <w:r w:rsidRPr="00023B24">
              <w:rPr>
                <w:rFonts w:ascii="Times New Roman" w:eastAsia="Times New Roman" w:hAnsi="Times New Roman" w:cs="Times New Roman"/>
                <w:b/>
                <w:sz w:val="24"/>
                <w:szCs w:val="24"/>
                <w:lang w:eastAsia="en-IN"/>
              </w:rPr>
              <w:t>%)</w:t>
            </w:r>
          </w:p>
        </w:tc>
      </w:tr>
      <w:tr w:rsidR="00023B24" w:rsidRPr="00023B24" w:rsidTr="00023B24">
        <w:trPr>
          <w:trHeight w:val="378"/>
        </w:trPr>
        <w:tc>
          <w:tcPr>
            <w:tcW w:w="2216" w:type="dxa"/>
            <w:tcBorders>
              <w:top w:val="single" w:sz="4" w:space="0" w:color="auto"/>
              <w:left w:val="single" w:sz="4" w:space="0" w:color="auto"/>
              <w:bottom w:val="nil"/>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Summer</w:t>
            </w:r>
          </w:p>
        </w:tc>
        <w:tc>
          <w:tcPr>
            <w:tcW w:w="1946" w:type="dxa"/>
            <w:gridSpan w:val="2"/>
            <w:tcBorders>
              <w:top w:val="single" w:sz="4" w:space="0" w:color="auto"/>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10(8.55)</w:t>
            </w:r>
          </w:p>
        </w:tc>
        <w:tc>
          <w:tcPr>
            <w:tcW w:w="2099" w:type="dxa"/>
            <w:gridSpan w:val="2"/>
            <w:tcBorders>
              <w:top w:val="single" w:sz="4" w:space="0" w:color="auto"/>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8(7.92)</w:t>
            </w:r>
          </w:p>
        </w:tc>
        <w:tc>
          <w:tcPr>
            <w:tcW w:w="1326" w:type="dxa"/>
            <w:tcBorders>
              <w:top w:val="single" w:sz="4" w:space="0" w:color="auto"/>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26(17.57)</w:t>
            </w:r>
          </w:p>
        </w:tc>
        <w:tc>
          <w:tcPr>
            <w:tcW w:w="1448" w:type="dxa"/>
            <w:gridSpan w:val="2"/>
            <w:tcBorders>
              <w:top w:val="single" w:sz="4" w:space="0" w:color="auto"/>
              <w:left w:val="nil"/>
              <w:bottom w:val="nil"/>
              <w:right w:val="single" w:sz="4" w:space="0" w:color="auto"/>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44(12.02)</w:t>
            </w:r>
          </w:p>
        </w:tc>
      </w:tr>
      <w:tr w:rsidR="00023B24" w:rsidRPr="00023B24" w:rsidTr="00023B24">
        <w:trPr>
          <w:trHeight w:val="357"/>
        </w:trPr>
        <w:tc>
          <w:tcPr>
            <w:tcW w:w="2216" w:type="dxa"/>
            <w:tcBorders>
              <w:top w:val="nil"/>
              <w:left w:val="single" w:sz="4" w:space="0" w:color="auto"/>
              <w:bottom w:val="nil"/>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Monsoon</w:t>
            </w:r>
          </w:p>
        </w:tc>
        <w:tc>
          <w:tcPr>
            <w:tcW w:w="1946" w:type="dxa"/>
            <w:gridSpan w:val="2"/>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37(31.62)</w:t>
            </w:r>
          </w:p>
        </w:tc>
        <w:tc>
          <w:tcPr>
            <w:tcW w:w="2099" w:type="dxa"/>
            <w:gridSpan w:val="2"/>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34(33.66)</w:t>
            </w:r>
          </w:p>
        </w:tc>
        <w:tc>
          <w:tcPr>
            <w:tcW w:w="1326"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53(35.81)</w:t>
            </w:r>
          </w:p>
        </w:tc>
        <w:tc>
          <w:tcPr>
            <w:tcW w:w="1448" w:type="dxa"/>
            <w:gridSpan w:val="2"/>
            <w:tcBorders>
              <w:top w:val="nil"/>
              <w:left w:val="nil"/>
              <w:bottom w:val="nil"/>
              <w:right w:val="single" w:sz="4" w:space="0" w:color="auto"/>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124(33.88)</w:t>
            </w:r>
          </w:p>
        </w:tc>
      </w:tr>
      <w:tr w:rsidR="00023B24" w:rsidRPr="00023B24" w:rsidTr="00023B24">
        <w:trPr>
          <w:trHeight w:val="357"/>
        </w:trPr>
        <w:tc>
          <w:tcPr>
            <w:tcW w:w="2216" w:type="dxa"/>
            <w:tcBorders>
              <w:top w:val="nil"/>
              <w:left w:val="single" w:sz="4" w:space="0" w:color="auto"/>
              <w:bottom w:val="nil"/>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Winter</w:t>
            </w:r>
          </w:p>
        </w:tc>
        <w:tc>
          <w:tcPr>
            <w:tcW w:w="1946" w:type="dxa"/>
            <w:gridSpan w:val="2"/>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56(47.86)</w:t>
            </w:r>
          </w:p>
        </w:tc>
        <w:tc>
          <w:tcPr>
            <w:tcW w:w="2099" w:type="dxa"/>
            <w:gridSpan w:val="2"/>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42(41.58)</w:t>
            </w:r>
          </w:p>
        </w:tc>
        <w:tc>
          <w:tcPr>
            <w:tcW w:w="1326"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50(33.78)</w:t>
            </w:r>
          </w:p>
        </w:tc>
        <w:tc>
          <w:tcPr>
            <w:tcW w:w="1448" w:type="dxa"/>
            <w:gridSpan w:val="2"/>
            <w:tcBorders>
              <w:top w:val="nil"/>
              <w:left w:val="nil"/>
              <w:bottom w:val="nil"/>
              <w:right w:val="single" w:sz="4" w:space="0" w:color="auto"/>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148(40.44)</w:t>
            </w:r>
          </w:p>
        </w:tc>
      </w:tr>
      <w:tr w:rsidR="00023B24" w:rsidRPr="00023B24" w:rsidTr="00023B24">
        <w:trPr>
          <w:trHeight w:val="357"/>
        </w:trPr>
        <w:tc>
          <w:tcPr>
            <w:tcW w:w="2216" w:type="dxa"/>
            <w:tcBorders>
              <w:top w:val="nil"/>
              <w:left w:val="single" w:sz="4" w:space="0" w:color="auto"/>
              <w:bottom w:val="nil"/>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Spring</w:t>
            </w:r>
          </w:p>
        </w:tc>
        <w:tc>
          <w:tcPr>
            <w:tcW w:w="1946" w:type="dxa"/>
            <w:gridSpan w:val="2"/>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14(11.97)</w:t>
            </w:r>
          </w:p>
        </w:tc>
        <w:tc>
          <w:tcPr>
            <w:tcW w:w="2099" w:type="dxa"/>
            <w:gridSpan w:val="2"/>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17(16.83)</w:t>
            </w:r>
          </w:p>
        </w:tc>
        <w:tc>
          <w:tcPr>
            <w:tcW w:w="1326" w:type="dxa"/>
            <w:tcBorders>
              <w:top w:val="nil"/>
              <w:left w:val="nil"/>
              <w:bottom w:val="nil"/>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19(12.84)</w:t>
            </w:r>
          </w:p>
        </w:tc>
        <w:tc>
          <w:tcPr>
            <w:tcW w:w="1448" w:type="dxa"/>
            <w:gridSpan w:val="2"/>
            <w:tcBorders>
              <w:top w:val="nil"/>
              <w:left w:val="nil"/>
              <w:bottom w:val="nil"/>
              <w:right w:val="single" w:sz="4" w:space="0" w:color="auto"/>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50(13.66)</w:t>
            </w:r>
          </w:p>
        </w:tc>
      </w:tr>
      <w:tr w:rsidR="00023B24" w:rsidRPr="00023B24" w:rsidTr="00023B24">
        <w:trPr>
          <w:trHeight w:val="357"/>
        </w:trPr>
        <w:tc>
          <w:tcPr>
            <w:tcW w:w="2216" w:type="dxa"/>
            <w:tcBorders>
              <w:top w:val="nil"/>
              <w:left w:val="single" w:sz="4" w:space="0" w:color="auto"/>
              <w:bottom w:val="single" w:sz="4" w:space="0" w:color="auto"/>
              <w:right w:val="nil"/>
            </w:tcBorders>
            <w:noWrap/>
            <w:vAlign w:val="bottom"/>
            <w:hideMark/>
          </w:tcPr>
          <w:p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Total</w:t>
            </w:r>
          </w:p>
        </w:tc>
        <w:tc>
          <w:tcPr>
            <w:tcW w:w="1946" w:type="dxa"/>
            <w:gridSpan w:val="2"/>
            <w:tcBorders>
              <w:top w:val="nil"/>
              <w:left w:val="nil"/>
              <w:bottom w:val="single" w:sz="4" w:space="0" w:color="auto"/>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117(100)</w:t>
            </w:r>
          </w:p>
        </w:tc>
        <w:tc>
          <w:tcPr>
            <w:tcW w:w="2099" w:type="dxa"/>
            <w:gridSpan w:val="2"/>
            <w:tcBorders>
              <w:top w:val="nil"/>
              <w:left w:val="nil"/>
              <w:bottom w:val="single" w:sz="4" w:space="0" w:color="auto"/>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101(100)</w:t>
            </w:r>
          </w:p>
        </w:tc>
        <w:tc>
          <w:tcPr>
            <w:tcW w:w="1326" w:type="dxa"/>
            <w:tcBorders>
              <w:top w:val="nil"/>
              <w:left w:val="nil"/>
              <w:bottom w:val="single" w:sz="4" w:space="0" w:color="auto"/>
              <w:right w:val="nil"/>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148(100)</w:t>
            </w:r>
          </w:p>
        </w:tc>
        <w:tc>
          <w:tcPr>
            <w:tcW w:w="1448" w:type="dxa"/>
            <w:gridSpan w:val="2"/>
            <w:tcBorders>
              <w:top w:val="nil"/>
              <w:left w:val="nil"/>
              <w:bottom w:val="single" w:sz="4" w:space="0" w:color="auto"/>
              <w:right w:val="single" w:sz="4" w:space="0" w:color="auto"/>
            </w:tcBorders>
            <w:noWrap/>
            <w:vAlign w:val="bottom"/>
            <w:hideMark/>
          </w:tcPr>
          <w:p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366(100)</w:t>
            </w:r>
          </w:p>
        </w:tc>
      </w:tr>
    </w:tbl>
    <w:p w:rsidR="00023B24" w:rsidRPr="00A21AAE" w:rsidRDefault="00023B24" w:rsidP="009F21F1">
      <w:pPr>
        <w:tabs>
          <w:tab w:val="left" w:pos="5727"/>
        </w:tabs>
        <w:spacing w:after="0" w:line="240" w:lineRule="auto"/>
        <w:jc w:val="both"/>
        <w:rPr>
          <w:rFonts w:ascii="Times New Roman" w:hAnsi="Times New Roman" w:cs="Times New Roman"/>
          <w:b/>
          <w:bCs/>
          <w:sz w:val="24"/>
          <w:szCs w:val="24"/>
          <w:lang w:val="en-US"/>
        </w:rPr>
      </w:pPr>
      <w:r w:rsidRPr="00A21AAE">
        <w:rPr>
          <w:rFonts w:ascii="Times New Roman" w:hAnsi="Times New Roman" w:cs="Times New Roman"/>
          <w:b/>
          <w:bCs/>
          <w:sz w:val="24"/>
          <w:szCs w:val="24"/>
          <w:lang w:val="en-US"/>
        </w:rPr>
        <w:t>Table</w:t>
      </w:r>
      <w:r w:rsidR="009F21F1" w:rsidRPr="00A21AAE">
        <w:rPr>
          <w:rFonts w:ascii="Times New Roman" w:hAnsi="Times New Roman" w:cs="Times New Roman"/>
          <w:b/>
          <w:bCs/>
          <w:sz w:val="24"/>
          <w:szCs w:val="24"/>
          <w:lang w:val="en-US"/>
        </w:rPr>
        <w:t xml:space="preserve"> 3</w:t>
      </w:r>
      <w:r w:rsidRPr="00A21AAE">
        <w:rPr>
          <w:rFonts w:ascii="Times New Roman" w:hAnsi="Times New Roman" w:cs="Times New Roman"/>
          <w:b/>
          <w:bCs/>
          <w:sz w:val="24"/>
          <w:szCs w:val="24"/>
          <w:lang w:val="en-US"/>
        </w:rPr>
        <w:t>. Crop raiding and livestock depredation in different seasons.</w:t>
      </w:r>
    </w:p>
    <w:p w:rsidR="00023B24" w:rsidRPr="00023B24" w:rsidRDefault="00023B24" w:rsidP="009F21F1">
      <w:pPr>
        <w:spacing w:after="0" w:line="240" w:lineRule="auto"/>
        <w:jc w:val="both"/>
        <w:rPr>
          <w:rFonts w:ascii="Times New Roman" w:hAnsi="Times New Roman" w:cs="Times New Roman"/>
          <w:sz w:val="24"/>
          <w:szCs w:val="24"/>
        </w:rPr>
      </w:pPr>
    </w:p>
    <w:p w:rsidR="009F21F1" w:rsidRDefault="009F21F1" w:rsidP="009F21F1">
      <w:pPr>
        <w:spacing w:after="0" w:line="240" w:lineRule="auto"/>
        <w:jc w:val="both"/>
        <w:rPr>
          <w:rFonts w:ascii="Times New Roman" w:hAnsi="Times New Roman" w:cs="Times New Roman"/>
          <w:sz w:val="24"/>
          <w:szCs w:val="24"/>
        </w:rPr>
      </w:pPr>
      <w:r w:rsidRPr="009F21F1">
        <w:rPr>
          <w:rFonts w:ascii="Times New Roman" w:hAnsi="Times New Roman" w:cs="Times New Roman"/>
          <w:sz w:val="24"/>
          <w:szCs w:val="24"/>
        </w:rPr>
        <w:t>The most widely used strategy was fencing (65.27%), followed by setting thorny bushes on field outskirts (58.87%), both of which served as physical barriers to restrict animal entry. Watch towers (49.51%) were also commonly employed, particularly in Class 2 villages (57.41%), where proximity to the forest boundary increases the risk of wildlife incursions</w:t>
      </w:r>
      <w:r w:rsidR="00A21AAE">
        <w:rPr>
          <w:rFonts w:ascii="Times New Roman" w:hAnsi="Times New Roman" w:cs="Times New Roman"/>
          <w:sz w:val="24"/>
          <w:szCs w:val="24"/>
        </w:rPr>
        <w:t xml:space="preserve"> (Table 4</w:t>
      </w:r>
      <w:proofErr w:type="gramStart"/>
      <w:r w:rsidR="00A21AAE">
        <w:rPr>
          <w:rFonts w:ascii="Times New Roman" w:hAnsi="Times New Roman" w:cs="Times New Roman"/>
          <w:sz w:val="24"/>
          <w:szCs w:val="24"/>
        </w:rPr>
        <w:t>)</w:t>
      </w:r>
      <w:r w:rsidRPr="009F21F1">
        <w:rPr>
          <w:rFonts w:ascii="Times New Roman" w:hAnsi="Times New Roman" w:cs="Times New Roman"/>
          <w:sz w:val="24"/>
          <w:szCs w:val="24"/>
        </w:rPr>
        <w:t>.Night</w:t>
      </w:r>
      <w:proofErr w:type="gramEnd"/>
      <w:r w:rsidRPr="009F21F1">
        <w:rPr>
          <w:rFonts w:ascii="Times New Roman" w:hAnsi="Times New Roman" w:cs="Times New Roman"/>
          <w:sz w:val="24"/>
          <w:szCs w:val="24"/>
        </w:rPr>
        <w:t xml:space="preserve"> watch (33.74%) was another preventive measure, with higher reliance in Class 1 and Class 2 villages, whereas Class 3 villages reported comparatively lower use (22.94%), possibly due to reduced frequency of wildlife encounters. Scare devices (18.47%) such as noise and light deterrents were the least adopted method overall, reflecting either limited effectiveness or high </w:t>
      </w:r>
      <w:r w:rsidR="00F633B0" w:rsidRPr="009F21F1">
        <w:rPr>
          <w:rFonts w:ascii="Times New Roman" w:hAnsi="Times New Roman" w:cs="Times New Roman"/>
          <w:sz w:val="24"/>
          <w:szCs w:val="24"/>
        </w:rPr>
        <w:t>labour</w:t>
      </w:r>
      <w:r w:rsidRPr="009F21F1">
        <w:rPr>
          <w:rFonts w:ascii="Times New Roman" w:hAnsi="Times New Roman" w:cs="Times New Roman"/>
          <w:sz w:val="24"/>
          <w:szCs w:val="24"/>
        </w:rPr>
        <w:t xml:space="preserve"> requirements.</w:t>
      </w:r>
      <w:r w:rsidR="00615CD3">
        <w:rPr>
          <w:rFonts w:ascii="Times New Roman" w:hAnsi="Times New Roman" w:cs="Times New Roman"/>
          <w:sz w:val="24"/>
          <w:szCs w:val="24"/>
        </w:rPr>
        <w:t xml:space="preserve"> T</w:t>
      </w:r>
      <w:r w:rsidRPr="009F21F1">
        <w:rPr>
          <w:rFonts w:ascii="Times New Roman" w:hAnsi="Times New Roman" w:cs="Times New Roman"/>
          <w:sz w:val="24"/>
          <w:szCs w:val="24"/>
        </w:rPr>
        <w:t>he results suggest that villagers rely more on physical barriers (fencing, thorny bushes, watch towers) than on active measures (night watch, scare devices), with some variation across distance-based village classes.</w:t>
      </w:r>
    </w:p>
    <w:p w:rsidR="00A60388" w:rsidRPr="009F21F1" w:rsidRDefault="00A60388" w:rsidP="009F21F1">
      <w:pPr>
        <w:spacing w:after="0" w:line="240" w:lineRule="auto"/>
        <w:jc w:val="both"/>
        <w:rPr>
          <w:rFonts w:ascii="Times New Roman" w:hAnsi="Times New Roman" w:cs="Times New Roman"/>
          <w:sz w:val="24"/>
          <w:szCs w:val="24"/>
        </w:rPr>
      </w:pPr>
    </w:p>
    <w:tbl>
      <w:tblPr>
        <w:tblW w:w="9071" w:type="dxa"/>
        <w:tblInd w:w="108" w:type="dxa"/>
        <w:tblLook w:val="04A0" w:firstRow="1" w:lastRow="0" w:firstColumn="1" w:lastColumn="0" w:noHBand="0" w:noVBand="1"/>
      </w:tblPr>
      <w:tblGrid>
        <w:gridCol w:w="2695"/>
        <w:gridCol w:w="1797"/>
        <w:gridCol w:w="1668"/>
        <w:gridCol w:w="1614"/>
        <w:gridCol w:w="1297"/>
      </w:tblGrid>
      <w:tr w:rsidR="009F21F1" w:rsidRPr="009F21F1" w:rsidTr="00A515BE">
        <w:trPr>
          <w:trHeight w:val="317"/>
        </w:trPr>
        <w:tc>
          <w:tcPr>
            <w:tcW w:w="2695" w:type="dxa"/>
            <w:tcBorders>
              <w:top w:val="single" w:sz="4" w:space="0" w:color="auto"/>
              <w:left w:val="single" w:sz="4" w:space="0" w:color="auto"/>
              <w:bottom w:val="single" w:sz="4" w:space="0" w:color="auto"/>
              <w:right w:val="nil"/>
            </w:tcBorders>
            <w:noWrap/>
            <w:vAlign w:val="bottom"/>
            <w:hideMark/>
          </w:tcPr>
          <w:p w:rsidR="009F21F1" w:rsidRPr="009F21F1" w:rsidRDefault="009F21F1" w:rsidP="009F21F1">
            <w:pPr>
              <w:spacing w:after="0" w:line="240" w:lineRule="auto"/>
              <w:rPr>
                <w:rFonts w:ascii="Times New Roman" w:eastAsia="Times New Roman" w:hAnsi="Times New Roman" w:cs="Times New Roman"/>
                <w:b/>
                <w:bCs/>
                <w:sz w:val="24"/>
                <w:szCs w:val="24"/>
                <w:lang w:eastAsia="en-IN"/>
              </w:rPr>
            </w:pPr>
            <w:r w:rsidRPr="009F21F1">
              <w:rPr>
                <w:rFonts w:ascii="Times New Roman" w:eastAsia="Times New Roman" w:hAnsi="Times New Roman" w:cs="Times New Roman"/>
                <w:b/>
                <w:bCs/>
                <w:sz w:val="24"/>
                <w:szCs w:val="24"/>
                <w:lang w:eastAsia="en-IN"/>
              </w:rPr>
              <w:t xml:space="preserve">Mitigation Methods </w:t>
            </w:r>
          </w:p>
        </w:tc>
        <w:tc>
          <w:tcPr>
            <w:tcW w:w="1797" w:type="dxa"/>
            <w:tcBorders>
              <w:top w:val="single" w:sz="4" w:space="0" w:color="auto"/>
              <w:left w:val="nil"/>
              <w:bottom w:val="single" w:sz="4" w:space="0" w:color="auto"/>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b/>
                <w:sz w:val="24"/>
                <w:szCs w:val="24"/>
                <w:lang w:eastAsia="en-IN"/>
              </w:rPr>
            </w:pPr>
            <w:r w:rsidRPr="009F21F1">
              <w:rPr>
                <w:rFonts w:ascii="Times New Roman" w:eastAsia="Times New Roman" w:hAnsi="Times New Roman" w:cs="Times New Roman"/>
                <w:b/>
                <w:sz w:val="24"/>
                <w:szCs w:val="24"/>
                <w:lang w:eastAsia="en-IN"/>
              </w:rPr>
              <w:t xml:space="preserve">Village class 1 </w:t>
            </w:r>
            <w:proofErr w:type="gramStart"/>
            <w:r w:rsidRPr="009F21F1">
              <w:rPr>
                <w:rFonts w:ascii="Times New Roman" w:eastAsia="Times New Roman" w:hAnsi="Times New Roman" w:cs="Times New Roman"/>
                <w:b/>
                <w:sz w:val="24"/>
                <w:szCs w:val="24"/>
                <w:lang w:eastAsia="en-IN"/>
              </w:rPr>
              <w:t>n(</w:t>
            </w:r>
            <w:proofErr w:type="gramEnd"/>
            <w:r w:rsidRPr="009F21F1">
              <w:rPr>
                <w:rFonts w:ascii="Times New Roman" w:eastAsia="Times New Roman" w:hAnsi="Times New Roman" w:cs="Times New Roman"/>
                <w:b/>
                <w:sz w:val="24"/>
                <w:szCs w:val="24"/>
                <w:lang w:eastAsia="en-IN"/>
              </w:rPr>
              <w:t>%)</w:t>
            </w:r>
          </w:p>
        </w:tc>
        <w:tc>
          <w:tcPr>
            <w:tcW w:w="1668" w:type="dxa"/>
            <w:tcBorders>
              <w:top w:val="single" w:sz="4" w:space="0" w:color="auto"/>
              <w:left w:val="nil"/>
              <w:bottom w:val="single" w:sz="4" w:space="0" w:color="auto"/>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b/>
                <w:sz w:val="24"/>
                <w:szCs w:val="24"/>
                <w:lang w:eastAsia="en-IN"/>
              </w:rPr>
            </w:pPr>
            <w:r w:rsidRPr="009F21F1">
              <w:rPr>
                <w:rFonts w:ascii="Times New Roman" w:eastAsia="Times New Roman" w:hAnsi="Times New Roman" w:cs="Times New Roman"/>
                <w:b/>
                <w:sz w:val="24"/>
                <w:szCs w:val="24"/>
                <w:lang w:eastAsia="en-IN"/>
              </w:rPr>
              <w:t xml:space="preserve">Village class 2 </w:t>
            </w:r>
            <w:proofErr w:type="gramStart"/>
            <w:r w:rsidRPr="009F21F1">
              <w:rPr>
                <w:rFonts w:ascii="Times New Roman" w:eastAsia="Times New Roman" w:hAnsi="Times New Roman" w:cs="Times New Roman"/>
                <w:b/>
                <w:sz w:val="24"/>
                <w:szCs w:val="24"/>
                <w:lang w:eastAsia="en-IN"/>
              </w:rPr>
              <w:t>n(</w:t>
            </w:r>
            <w:proofErr w:type="gramEnd"/>
            <w:r w:rsidRPr="009F21F1">
              <w:rPr>
                <w:rFonts w:ascii="Times New Roman" w:eastAsia="Times New Roman" w:hAnsi="Times New Roman" w:cs="Times New Roman"/>
                <w:b/>
                <w:sz w:val="24"/>
                <w:szCs w:val="24"/>
                <w:lang w:eastAsia="en-IN"/>
              </w:rPr>
              <w:t>%)</w:t>
            </w:r>
          </w:p>
        </w:tc>
        <w:tc>
          <w:tcPr>
            <w:tcW w:w="1614" w:type="dxa"/>
            <w:tcBorders>
              <w:top w:val="single" w:sz="4" w:space="0" w:color="auto"/>
              <w:left w:val="nil"/>
              <w:bottom w:val="single" w:sz="4" w:space="0" w:color="auto"/>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b/>
                <w:sz w:val="24"/>
                <w:szCs w:val="24"/>
                <w:lang w:eastAsia="en-IN"/>
              </w:rPr>
            </w:pPr>
            <w:r w:rsidRPr="009F21F1">
              <w:rPr>
                <w:rFonts w:ascii="Times New Roman" w:eastAsia="Times New Roman" w:hAnsi="Times New Roman" w:cs="Times New Roman"/>
                <w:b/>
                <w:sz w:val="24"/>
                <w:szCs w:val="24"/>
                <w:lang w:eastAsia="en-IN"/>
              </w:rPr>
              <w:t xml:space="preserve">Village class 3 </w:t>
            </w:r>
            <w:proofErr w:type="gramStart"/>
            <w:r w:rsidRPr="009F21F1">
              <w:rPr>
                <w:rFonts w:ascii="Times New Roman" w:eastAsia="Times New Roman" w:hAnsi="Times New Roman" w:cs="Times New Roman"/>
                <w:b/>
                <w:sz w:val="24"/>
                <w:szCs w:val="24"/>
                <w:lang w:eastAsia="en-IN"/>
              </w:rPr>
              <w:t>n(</w:t>
            </w:r>
            <w:proofErr w:type="gramEnd"/>
            <w:r w:rsidRPr="009F21F1">
              <w:rPr>
                <w:rFonts w:ascii="Times New Roman" w:eastAsia="Times New Roman" w:hAnsi="Times New Roman" w:cs="Times New Roman"/>
                <w:b/>
                <w:sz w:val="24"/>
                <w:szCs w:val="24"/>
                <w:lang w:eastAsia="en-IN"/>
              </w:rPr>
              <w:t>%)</w:t>
            </w:r>
          </w:p>
        </w:tc>
        <w:tc>
          <w:tcPr>
            <w:tcW w:w="1297" w:type="dxa"/>
            <w:tcBorders>
              <w:top w:val="single" w:sz="4" w:space="0" w:color="auto"/>
              <w:left w:val="nil"/>
              <w:bottom w:val="single" w:sz="4" w:space="0" w:color="auto"/>
              <w:right w:val="single" w:sz="4" w:space="0" w:color="auto"/>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b/>
                <w:sz w:val="24"/>
                <w:szCs w:val="24"/>
                <w:lang w:eastAsia="en-IN"/>
              </w:rPr>
            </w:pPr>
            <w:r w:rsidRPr="009F21F1">
              <w:rPr>
                <w:rFonts w:ascii="Times New Roman" w:eastAsia="Times New Roman" w:hAnsi="Times New Roman" w:cs="Times New Roman"/>
                <w:b/>
                <w:sz w:val="24"/>
                <w:szCs w:val="24"/>
                <w:lang w:eastAsia="en-IN"/>
              </w:rPr>
              <w:t xml:space="preserve">Total </w:t>
            </w:r>
            <w:proofErr w:type="gramStart"/>
            <w:r w:rsidRPr="009F21F1">
              <w:rPr>
                <w:rFonts w:ascii="Times New Roman" w:eastAsia="Times New Roman" w:hAnsi="Times New Roman" w:cs="Times New Roman"/>
                <w:b/>
                <w:sz w:val="24"/>
                <w:szCs w:val="24"/>
                <w:lang w:eastAsia="en-IN"/>
              </w:rPr>
              <w:t>n(</w:t>
            </w:r>
            <w:proofErr w:type="gramEnd"/>
            <w:r w:rsidRPr="009F21F1">
              <w:rPr>
                <w:rFonts w:ascii="Times New Roman" w:eastAsia="Times New Roman" w:hAnsi="Times New Roman" w:cs="Times New Roman"/>
                <w:b/>
                <w:sz w:val="24"/>
                <w:szCs w:val="24"/>
                <w:lang w:eastAsia="en-IN"/>
              </w:rPr>
              <w:t>%)</w:t>
            </w:r>
          </w:p>
        </w:tc>
      </w:tr>
      <w:tr w:rsidR="009F21F1" w:rsidRPr="009F21F1" w:rsidTr="00A515BE">
        <w:trPr>
          <w:trHeight w:val="303"/>
        </w:trPr>
        <w:tc>
          <w:tcPr>
            <w:tcW w:w="2695" w:type="dxa"/>
            <w:tcBorders>
              <w:top w:val="single" w:sz="4" w:space="0" w:color="auto"/>
              <w:left w:val="single" w:sz="4" w:space="0" w:color="auto"/>
              <w:bottom w:val="nil"/>
              <w:right w:val="nil"/>
            </w:tcBorders>
            <w:noWrap/>
            <w:vAlign w:val="bottom"/>
            <w:hideMark/>
          </w:tcPr>
          <w:p w:rsidR="009F21F1" w:rsidRPr="009F21F1" w:rsidRDefault="009F21F1" w:rsidP="009F21F1">
            <w:pPr>
              <w:spacing w:after="0" w:line="240" w:lineRule="auto"/>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Watch Tower</w:t>
            </w:r>
          </w:p>
        </w:tc>
        <w:tc>
          <w:tcPr>
            <w:tcW w:w="1797" w:type="dxa"/>
            <w:tcBorders>
              <w:top w:val="single" w:sz="4" w:space="0" w:color="auto"/>
              <w:left w:val="nil"/>
              <w:bottom w:val="nil"/>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58(45.31)</w:t>
            </w:r>
          </w:p>
        </w:tc>
        <w:tc>
          <w:tcPr>
            <w:tcW w:w="1668" w:type="dxa"/>
            <w:tcBorders>
              <w:top w:val="single" w:sz="4" w:space="0" w:color="auto"/>
              <w:left w:val="nil"/>
              <w:bottom w:val="nil"/>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62(57.41)</w:t>
            </w:r>
          </w:p>
        </w:tc>
        <w:tc>
          <w:tcPr>
            <w:tcW w:w="1614" w:type="dxa"/>
            <w:tcBorders>
              <w:top w:val="single" w:sz="4" w:space="0" w:color="auto"/>
              <w:left w:val="nil"/>
              <w:bottom w:val="nil"/>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81(47.65)</w:t>
            </w:r>
          </w:p>
        </w:tc>
        <w:tc>
          <w:tcPr>
            <w:tcW w:w="1297" w:type="dxa"/>
            <w:tcBorders>
              <w:top w:val="single" w:sz="4" w:space="0" w:color="auto"/>
              <w:left w:val="nil"/>
              <w:bottom w:val="nil"/>
              <w:right w:val="single" w:sz="4" w:space="0" w:color="auto"/>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201(49.51)</w:t>
            </w:r>
          </w:p>
        </w:tc>
      </w:tr>
      <w:tr w:rsidR="009F21F1" w:rsidRPr="009F21F1" w:rsidTr="00A515BE">
        <w:trPr>
          <w:trHeight w:val="317"/>
        </w:trPr>
        <w:tc>
          <w:tcPr>
            <w:tcW w:w="2695" w:type="dxa"/>
            <w:tcBorders>
              <w:top w:val="nil"/>
              <w:left w:val="single" w:sz="4" w:space="0" w:color="auto"/>
              <w:bottom w:val="nil"/>
              <w:right w:val="nil"/>
            </w:tcBorders>
            <w:noWrap/>
            <w:vAlign w:val="bottom"/>
            <w:hideMark/>
          </w:tcPr>
          <w:p w:rsidR="009F21F1" w:rsidRPr="009F21F1" w:rsidRDefault="009F21F1" w:rsidP="009F21F1">
            <w:pPr>
              <w:spacing w:after="0" w:line="240" w:lineRule="auto"/>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Fencing</w:t>
            </w:r>
          </w:p>
        </w:tc>
        <w:tc>
          <w:tcPr>
            <w:tcW w:w="1797" w:type="dxa"/>
            <w:tcBorders>
              <w:top w:val="nil"/>
              <w:left w:val="nil"/>
              <w:bottom w:val="nil"/>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83(64.84)</w:t>
            </w:r>
          </w:p>
        </w:tc>
        <w:tc>
          <w:tcPr>
            <w:tcW w:w="1668" w:type="dxa"/>
            <w:tcBorders>
              <w:top w:val="nil"/>
              <w:left w:val="nil"/>
              <w:bottom w:val="nil"/>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78(72.22)</w:t>
            </w:r>
          </w:p>
        </w:tc>
        <w:tc>
          <w:tcPr>
            <w:tcW w:w="1614" w:type="dxa"/>
            <w:tcBorders>
              <w:top w:val="nil"/>
              <w:left w:val="nil"/>
              <w:bottom w:val="nil"/>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104(61.18)</w:t>
            </w:r>
          </w:p>
        </w:tc>
        <w:tc>
          <w:tcPr>
            <w:tcW w:w="1297" w:type="dxa"/>
            <w:tcBorders>
              <w:top w:val="nil"/>
              <w:left w:val="nil"/>
              <w:bottom w:val="nil"/>
              <w:right w:val="single" w:sz="4" w:space="0" w:color="auto"/>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265(65.27)</w:t>
            </w:r>
          </w:p>
        </w:tc>
      </w:tr>
      <w:tr w:rsidR="009F21F1" w:rsidRPr="009F21F1" w:rsidTr="00A515BE">
        <w:trPr>
          <w:trHeight w:val="303"/>
        </w:trPr>
        <w:tc>
          <w:tcPr>
            <w:tcW w:w="2695" w:type="dxa"/>
            <w:tcBorders>
              <w:top w:val="nil"/>
              <w:left w:val="single" w:sz="4" w:space="0" w:color="auto"/>
              <w:bottom w:val="nil"/>
              <w:right w:val="nil"/>
            </w:tcBorders>
            <w:noWrap/>
            <w:vAlign w:val="bottom"/>
            <w:hideMark/>
          </w:tcPr>
          <w:p w:rsidR="009F21F1" w:rsidRPr="009F21F1" w:rsidRDefault="009F21F1" w:rsidP="009F21F1">
            <w:pPr>
              <w:spacing w:after="0" w:line="240" w:lineRule="auto"/>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Night Watch</w:t>
            </w:r>
          </w:p>
        </w:tc>
        <w:tc>
          <w:tcPr>
            <w:tcW w:w="1797" w:type="dxa"/>
            <w:tcBorders>
              <w:top w:val="nil"/>
              <w:left w:val="nil"/>
              <w:bottom w:val="nil"/>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52(40.63)</w:t>
            </w:r>
          </w:p>
        </w:tc>
        <w:tc>
          <w:tcPr>
            <w:tcW w:w="1668" w:type="dxa"/>
            <w:tcBorders>
              <w:top w:val="nil"/>
              <w:left w:val="nil"/>
              <w:bottom w:val="nil"/>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46(42.59)</w:t>
            </w:r>
          </w:p>
        </w:tc>
        <w:tc>
          <w:tcPr>
            <w:tcW w:w="1614" w:type="dxa"/>
            <w:tcBorders>
              <w:top w:val="nil"/>
              <w:left w:val="nil"/>
              <w:bottom w:val="nil"/>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39(22.94)</w:t>
            </w:r>
          </w:p>
        </w:tc>
        <w:tc>
          <w:tcPr>
            <w:tcW w:w="1297" w:type="dxa"/>
            <w:tcBorders>
              <w:top w:val="nil"/>
              <w:left w:val="nil"/>
              <w:bottom w:val="nil"/>
              <w:right w:val="single" w:sz="4" w:space="0" w:color="auto"/>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137(33.74)</w:t>
            </w:r>
          </w:p>
        </w:tc>
      </w:tr>
      <w:tr w:rsidR="009F21F1" w:rsidRPr="009F21F1" w:rsidTr="00A515BE">
        <w:trPr>
          <w:trHeight w:val="303"/>
        </w:trPr>
        <w:tc>
          <w:tcPr>
            <w:tcW w:w="2695" w:type="dxa"/>
            <w:tcBorders>
              <w:top w:val="nil"/>
              <w:left w:val="single" w:sz="4" w:space="0" w:color="auto"/>
              <w:bottom w:val="nil"/>
              <w:right w:val="nil"/>
            </w:tcBorders>
            <w:noWrap/>
            <w:vAlign w:val="bottom"/>
            <w:hideMark/>
          </w:tcPr>
          <w:p w:rsidR="009F21F1" w:rsidRPr="009F21F1" w:rsidRDefault="009F21F1" w:rsidP="009F21F1">
            <w:pPr>
              <w:spacing w:after="0" w:line="240" w:lineRule="auto"/>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Scare Devices</w:t>
            </w:r>
          </w:p>
        </w:tc>
        <w:tc>
          <w:tcPr>
            <w:tcW w:w="1797" w:type="dxa"/>
            <w:tcBorders>
              <w:top w:val="nil"/>
              <w:left w:val="nil"/>
              <w:bottom w:val="nil"/>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21(16.41)</w:t>
            </w:r>
          </w:p>
        </w:tc>
        <w:tc>
          <w:tcPr>
            <w:tcW w:w="1668" w:type="dxa"/>
            <w:tcBorders>
              <w:top w:val="nil"/>
              <w:left w:val="nil"/>
              <w:bottom w:val="nil"/>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20(18.52)</w:t>
            </w:r>
          </w:p>
        </w:tc>
        <w:tc>
          <w:tcPr>
            <w:tcW w:w="1614" w:type="dxa"/>
            <w:tcBorders>
              <w:top w:val="nil"/>
              <w:left w:val="nil"/>
              <w:bottom w:val="nil"/>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34(20.00)</w:t>
            </w:r>
          </w:p>
        </w:tc>
        <w:tc>
          <w:tcPr>
            <w:tcW w:w="1297" w:type="dxa"/>
            <w:tcBorders>
              <w:top w:val="nil"/>
              <w:left w:val="nil"/>
              <w:bottom w:val="nil"/>
              <w:right w:val="single" w:sz="4" w:space="0" w:color="auto"/>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75(18.47)</w:t>
            </w:r>
          </w:p>
        </w:tc>
      </w:tr>
      <w:tr w:rsidR="009F21F1" w:rsidRPr="009F21F1" w:rsidTr="00A515BE">
        <w:trPr>
          <w:trHeight w:val="303"/>
        </w:trPr>
        <w:tc>
          <w:tcPr>
            <w:tcW w:w="2695" w:type="dxa"/>
            <w:tcBorders>
              <w:top w:val="nil"/>
              <w:left w:val="single" w:sz="4" w:space="0" w:color="auto"/>
              <w:bottom w:val="single" w:sz="4" w:space="0" w:color="auto"/>
              <w:right w:val="nil"/>
            </w:tcBorders>
            <w:noWrap/>
            <w:vAlign w:val="bottom"/>
            <w:hideMark/>
          </w:tcPr>
          <w:p w:rsidR="009F21F1" w:rsidRPr="009F21F1" w:rsidRDefault="009F21F1" w:rsidP="009F21F1">
            <w:pPr>
              <w:spacing w:after="0" w:line="240" w:lineRule="auto"/>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 xml:space="preserve">Setting thorny bushes </w:t>
            </w:r>
          </w:p>
          <w:p w:rsidR="009F21F1" w:rsidRPr="009F21F1" w:rsidRDefault="009F21F1" w:rsidP="009F21F1">
            <w:pPr>
              <w:spacing w:after="0" w:line="240" w:lineRule="auto"/>
              <w:rPr>
                <w:rFonts w:ascii="Times New Roman" w:eastAsia="Times New Roman" w:hAnsi="Times New Roman" w:cs="Times New Roman"/>
                <w:sz w:val="24"/>
                <w:szCs w:val="24"/>
                <w:lang w:eastAsia="en-IN"/>
              </w:rPr>
            </w:pPr>
          </w:p>
        </w:tc>
        <w:tc>
          <w:tcPr>
            <w:tcW w:w="1797" w:type="dxa"/>
            <w:tcBorders>
              <w:top w:val="nil"/>
              <w:left w:val="nil"/>
              <w:bottom w:val="single" w:sz="4" w:space="0" w:color="auto"/>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84(65.63)</w:t>
            </w:r>
          </w:p>
        </w:tc>
        <w:tc>
          <w:tcPr>
            <w:tcW w:w="1668" w:type="dxa"/>
            <w:tcBorders>
              <w:top w:val="nil"/>
              <w:left w:val="nil"/>
              <w:bottom w:val="single" w:sz="4" w:space="0" w:color="auto"/>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74(68.52)</w:t>
            </w:r>
          </w:p>
        </w:tc>
        <w:tc>
          <w:tcPr>
            <w:tcW w:w="1614" w:type="dxa"/>
            <w:tcBorders>
              <w:top w:val="nil"/>
              <w:left w:val="nil"/>
              <w:bottom w:val="single" w:sz="4" w:space="0" w:color="auto"/>
              <w:right w:val="nil"/>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81(47.65)</w:t>
            </w:r>
          </w:p>
        </w:tc>
        <w:tc>
          <w:tcPr>
            <w:tcW w:w="1297" w:type="dxa"/>
            <w:tcBorders>
              <w:top w:val="nil"/>
              <w:left w:val="nil"/>
              <w:bottom w:val="single" w:sz="4" w:space="0" w:color="auto"/>
              <w:right w:val="single" w:sz="4" w:space="0" w:color="auto"/>
            </w:tcBorders>
            <w:noWrap/>
            <w:vAlign w:val="bottom"/>
            <w:hideMark/>
          </w:tcPr>
          <w:p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239(58.87)</w:t>
            </w:r>
          </w:p>
        </w:tc>
      </w:tr>
    </w:tbl>
    <w:p w:rsidR="009F21F1" w:rsidRPr="009F21F1" w:rsidRDefault="009F21F1" w:rsidP="009F21F1">
      <w:pPr>
        <w:tabs>
          <w:tab w:val="left" w:pos="5727"/>
        </w:tabs>
        <w:spacing w:after="0" w:line="240" w:lineRule="auto"/>
        <w:jc w:val="both"/>
        <w:rPr>
          <w:rFonts w:ascii="Times New Roman" w:hAnsi="Times New Roman" w:cs="Times New Roman"/>
          <w:sz w:val="24"/>
          <w:szCs w:val="24"/>
          <w:lang w:val="en-US"/>
        </w:rPr>
      </w:pPr>
    </w:p>
    <w:p w:rsidR="00A515BE" w:rsidRDefault="009F21F1" w:rsidP="00A515BE">
      <w:pPr>
        <w:tabs>
          <w:tab w:val="left" w:pos="5727"/>
        </w:tabs>
        <w:spacing w:after="0" w:line="240" w:lineRule="auto"/>
        <w:jc w:val="both"/>
        <w:rPr>
          <w:rFonts w:ascii="Times New Roman" w:hAnsi="Times New Roman" w:cs="Times New Roman"/>
          <w:b/>
          <w:bCs/>
          <w:sz w:val="24"/>
          <w:szCs w:val="24"/>
          <w:lang w:val="en-US"/>
        </w:rPr>
      </w:pPr>
      <w:r w:rsidRPr="009F21F1">
        <w:rPr>
          <w:rFonts w:ascii="Times New Roman" w:hAnsi="Times New Roman" w:cs="Times New Roman"/>
          <w:b/>
          <w:bCs/>
          <w:sz w:val="24"/>
          <w:szCs w:val="24"/>
          <w:lang w:val="en-US"/>
        </w:rPr>
        <w:t>Table</w:t>
      </w:r>
      <w:r>
        <w:rPr>
          <w:rFonts w:ascii="Times New Roman" w:hAnsi="Times New Roman" w:cs="Times New Roman"/>
          <w:b/>
          <w:bCs/>
          <w:sz w:val="24"/>
          <w:szCs w:val="24"/>
          <w:lang w:val="en-US"/>
        </w:rPr>
        <w:t xml:space="preserve"> 4</w:t>
      </w:r>
      <w:r w:rsidRPr="009F21F1">
        <w:rPr>
          <w:rFonts w:ascii="Times New Roman" w:hAnsi="Times New Roman" w:cs="Times New Roman"/>
          <w:b/>
          <w:bCs/>
          <w:sz w:val="24"/>
          <w:szCs w:val="24"/>
          <w:lang w:val="en-US"/>
        </w:rPr>
        <w:t>. Mitigation methods used by respondents to prevent crop raiding</w:t>
      </w:r>
    </w:p>
    <w:p w:rsidR="001D5DAA" w:rsidRPr="00A515BE" w:rsidRDefault="001D5DAA" w:rsidP="00A515BE">
      <w:pPr>
        <w:tabs>
          <w:tab w:val="left" w:pos="5727"/>
        </w:tabs>
        <w:spacing w:after="0" w:line="240" w:lineRule="auto"/>
        <w:jc w:val="both"/>
        <w:rPr>
          <w:rFonts w:ascii="Times New Roman" w:hAnsi="Times New Roman" w:cs="Times New Roman"/>
          <w:b/>
          <w:bCs/>
          <w:sz w:val="24"/>
          <w:szCs w:val="24"/>
          <w:lang w:val="en-US"/>
        </w:rPr>
      </w:pPr>
      <w:r w:rsidRPr="009F21F1">
        <w:rPr>
          <w:rFonts w:ascii="Times New Roman" w:hAnsi="Times New Roman" w:cs="Times New Roman"/>
          <w:sz w:val="24"/>
          <w:szCs w:val="24"/>
        </w:rPr>
        <w:t>Farmers employed various mitigation measures such as fencing, placing thorny bushes, watchtowers, night watch duties, and scare devices, but there was no significant difference in the mitigation strategies used across different village categories (Mann-Whitney U = 812.50, p = 0.54).</w:t>
      </w:r>
    </w:p>
    <w:p w:rsidR="009F21F1" w:rsidRDefault="009F21F1" w:rsidP="009F21F1">
      <w:pPr>
        <w:spacing w:line="240" w:lineRule="auto"/>
        <w:jc w:val="both"/>
        <w:rPr>
          <w:rFonts w:ascii="Times New Roman" w:hAnsi="Times New Roman" w:cs="Times New Roman"/>
          <w:sz w:val="24"/>
          <w:szCs w:val="24"/>
        </w:rPr>
      </w:pPr>
      <w:r w:rsidRPr="009F21F1">
        <w:rPr>
          <w:rFonts w:ascii="Times New Roman" w:hAnsi="Times New Roman" w:cs="Times New Roman"/>
          <w:sz w:val="24"/>
          <w:szCs w:val="24"/>
        </w:rPr>
        <w:t>Several studies have previously established a direct link between long cropping months and the frequency of crop raids. Sugarcane, rice, wheat, and maize, which have longer growing seasons, were more susceptible to wildlife damage (</w:t>
      </w:r>
      <w:proofErr w:type="spellStart"/>
      <w:r w:rsidRPr="009F21F1">
        <w:rPr>
          <w:rFonts w:ascii="Times New Roman" w:hAnsi="Times New Roman" w:cs="Times New Roman"/>
          <w:sz w:val="24"/>
          <w:szCs w:val="24"/>
        </w:rPr>
        <w:t>Karanth</w:t>
      </w:r>
      <w:proofErr w:type="spellEnd"/>
      <w:r w:rsidRPr="009F21F1">
        <w:rPr>
          <w:rFonts w:ascii="Times New Roman" w:hAnsi="Times New Roman" w:cs="Times New Roman"/>
          <w:sz w:val="24"/>
          <w:szCs w:val="24"/>
        </w:rPr>
        <w:t xml:space="preserve"> et al., 2012). Furthermore, proximity to protected areas played a significant role in determining crop loss, as villages situated closer to the reserve (village classes 1 and 2) reported higher instances of crop damage compared to villages farther away (village class 3). These findings are consistent with previous research in Royal </w:t>
      </w:r>
      <w:proofErr w:type="spellStart"/>
      <w:r w:rsidRPr="009F21F1">
        <w:rPr>
          <w:rFonts w:ascii="Times New Roman" w:hAnsi="Times New Roman" w:cs="Times New Roman"/>
          <w:sz w:val="24"/>
          <w:szCs w:val="24"/>
        </w:rPr>
        <w:t>Bardia</w:t>
      </w:r>
      <w:proofErr w:type="spellEnd"/>
      <w:r w:rsidRPr="009F21F1">
        <w:rPr>
          <w:rFonts w:ascii="Times New Roman" w:hAnsi="Times New Roman" w:cs="Times New Roman"/>
          <w:sz w:val="24"/>
          <w:szCs w:val="24"/>
        </w:rPr>
        <w:t xml:space="preserve"> National Park, Nepal, where Chital and Wild Boars were responsible for nearly 50% of total crop damage (</w:t>
      </w:r>
      <w:proofErr w:type="spellStart"/>
      <w:r w:rsidRPr="009F21F1">
        <w:rPr>
          <w:rFonts w:ascii="Times New Roman" w:hAnsi="Times New Roman" w:cs="Times New Roman"/>
          <w:sz w:val="24"/>
          <w:szCs w:val="24"/>
        </w:rPr>
        <w:t>Studsrød</w:t>
      </w:r>
      <w:proofErr w:type="spellEnd"/>
      <w:r w:rsidR="00615CD3">
        <w:rPr>
          <w:rFonts w:ascii="Times New Roman" w:hAnsi="Times New Roman" w:cs="Times New Roman"/>
          <w:sz w:val="24"/>
          <w:szCs w:val="24"/>
        </w:rPr>
        <w:t xml:space="preserve"> and </w:t>
      </w:r>
      <w:proofErr w:type="spellStart"/>
      <w:r w:rsidRPr="009F21F1">
        <w:rPr>
          <w:rFonts w:ascii="Times New Roman" w:hAnsi="Times New Roman" w:cs="Times New Roman"/>
          <w:sz w:val="24"/>
          <w:szCs w:val="24"/>
        </w:rPr>
        <w:t>Wegge</w:t>
      </w:r>
      <w:proofErr w:type="spellEnd"/>
      <w:r w:rsidRPr="009F21F1">
        <w:rPr>
          <w:rFonts w:ascii="Times New Roman" w:hAnsi="Times New Roman" w:cs="Times New Roman"/>
          <w:sz w:val="24"/>
          <w:szCs w:val="24"/>
        </w:rPr>
        <w:t>, 1995). Wild Boars, in particular, are known for their destructive foraging habits, often uprooting crops, while Nilgai and Chital graze extensively on standing crops.</w:t>
      </w:r>
    </w:p>
    <w:p w:rsidR="00A6330E" w:rsidRPr="00A6330E" w:rsidRDefault="00A21AAE" w:rsidP="00A6330E">
      <w:pPr>
        <w:spacing w:line="240" w:lineRule="auto"/>
        <w:jc w:val="both"/>
        <w:rPr>
          <w:rFonts w:ascii="Times New Roman" w:hAnsi="Times New Roman" w:cs="Times New Roman"/>
          <w:b/>
          <w:bCs/>
          <w:sz w:val="24"/>
          <w:szCs w:val="24"/>
        </w:rPr>
      </w:pPr>
      <w:r w:rsidRPr="00A6330E">
        <w:rPr>
          <w:rFonts w:ascii="Times New Roman" w:hAnsi="Times New Roman" w:cs="Times New Roman"/>
          <w:b/>
          <w:bCs/>
          <w:sz w:val="24"/>
          <w:szCs w:val="24"/>
        </w:rPr>
        <w:t>CONCLUSION</w:t>
      </w:r>
    </w:p>
    <w:p w:rsidR="00A6330E" w:rsidRDefault="00A6330E" w:rsidP="00A6330E">
      <w:pPr>
        <w:spacing w:line="240" w:lineRule="auto"/>
        <w:jc w:val="both"/>
        <w:rPr>
          <w:rFonts w:ascii="Times New Roman" w:hAnsi="Times New Roman" w:cs="Times New Roman"/>
          <w:sz w:val="24"/>
          <w:szCs w:val="24"/>
        </w:rPr>
      </w:pPr>
      <w:r w:rsidRPr="00A6330E">
        <w:rPr>
          <w:rFonts w:ascii="Times New Roman" w:hAnsi="Times New Roman" w:cs="Times New Roman"/>
          <w:sz w:val="24"/>
          <w:szCs w:val="24"/>
        </w:rPr>
        <w:t>This study highlights that crop raiding is one of the most significant forms of human–wildlife conflict in and around Valmiki Tiger Reserve, affecting local livelihoods and food security. The findings demonstrate that a wide range of species—including nilgai, chital, gaur, wild boar, sambhar, sloth bear, and langur—are responsible for crop depredation, with nilgai and chital being the most frequently reported. Seasonal patterns indicate that incidents are most common during the winter (40.44%) and monsoon (33.88%) seasons, coinciding with peak agricultural cycles.</w:t>
      </w:r>
      <w:r w:rsidR="00615CD3">
        <w:rPr>
          <w:rFonts w:ascii="Times New Roman" w:hAnsi="Times New Roman" w:cs="Times New Roman"/>
          <w:sz w:val="24"/>
          <w:szCs w:val="24"/>
        </w:rPr>
        <w:t xml:space="preserve"> </w:t>
      </w:r>
      <w:r w:rsidRPr="00A6330E">
        <w:rPr>
          <w:rFonts w:ascii="Times New Roman" w:hAnsi="Times New Roman" w:cs="Times New Roman"/>
          <w:sz w:val="24"/>
          <w:szCs w:val="24"/>
        </w:rPr>
        <w:t>Mitigation strategies adopted by local communities primarily rely on physical barriers such as fencing (65.27%) and thorny bushes (58.87%), alongside watch towers (49.51%) and night guarding (33.74%). However, the continued prevalence of crop raiding despite these measures suggests limited effectiveness of traditional methods, especially in villages closer to the protected boundary.</w:t>
      </w:r>
      <w:r w:rsidR="00615CD3">
        <w:rPr>
          <w:rFonts w:ascii="Times New Roman" w:hAnsi="Times New Roman" w:cs="Times New Roman"/>
          <w:sz w:val="24"/>
          <w:szCs w:val="24"/>
        </w:rPr>
        <w:t xml:space="preserve"> T</w:t>
      </w:r>
      <w:r w:rsidRPr="00A6330E">
        <w:rPr>
          <w:rFonts w:ascii="Times New Roman" w:hAnsi="Times New Roman" w:cs="Times New Roman"/>
          <w:sz w:val="24"/>
          <w:szCs w:val="24"/>
        </w:rPr>
        <w:t>he study underscores the need for integrated conflict mitigation strategies that combine community-based approaches with technological interventions, such as solar fencing, bio-fencing, and compensation schemes, while also strengthening awareness and coordination between forest officials and villagers. Long-term solutions should focus on balancing conservation priorities with local livelihood security to ensure coexistence between wildlife and people in the eco-sensitive zone of VTR.</w:t>
      </w:r>
    </w:p>
    <w:p w:rsidR="00722FF9" w:rsidRPr="00401C75" w:rsidRDefault="00722FF9" w:rsidP="00722FF9">
      <w:pPr>
        <w:rPr>
          <w:b/>
          <w:highlight w:val="yellow"/>
        </w:rPr>
      </w:pPr>
      <w:r w:rsidRPr="00401C75">
        <w:rPr>
          <w:b/>
          <w:highlight w:val="yellow"/>
        </w:rPr>
        <w:t>Disclaimer (Artificial intelligence)</w:t>
      </w:r>
    </w:p>
    <w:p w:rsidR="00722FF9" w:rsidRPr="00740879" w:rsidRDefault="00722FF9" w:rsidP="00722FF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722FF9" w:rsidRPr="00A6330E" w:rsidRDefault="00722FF9" w:rsidP="00A6330E">
      <w:pPr>
        <w:spacing w:line="240" w:lineRule="auto"/>
        <w:jc w:val="both"/>
        <w:rPr>
          <w:rFonts w:ascii="Times New Roman" w:hAnsi="Times New Roman" w:cs="Times New Roman"/>
          <w:sz w:val="24"/>
          <w:szCs w:val="24"/>
        </w:rPr>
      </w:pPr>
    </w:p>
    <w:p w:rsidR="00D93AF6" w:rsidRPr="00D93AF6" w:rsidRDefault="00D93AF6" w:rsidP="00A60388">
      <w:pPr>
        <w:spacing w:line="240" w:lineRule="auto"/>
        <w:jc w:val="both"/>
        <w:rPr>
          <w:rFonts w:ascii="Times New Roman" w:hAnsi="Times New Roman" w:cs="Times New Roman"/>
          <w:b/>
          <w:bCs/>
          <w:sz w:val="24"/>
          <w:szCs w:val="24"/>
        </w:rPr>
      </w:pPr>
      <w:r w:rsidRPr="00D93AF6">
        <w:rPr>
          <w:rFonts w:ascii="Times New Roman" w:hAnsi="Times New Roman" w:cs="Times New Roman"/>
          <w:b/>
          <w:bCs/>
          <w:sz w:val="24"/>
          <w:szCs w:val="24"/>
        </w:rPr>
        <w:t>References</w:t>
      </w:r>
    </w:p>
    <w:p w:rsidR="00065867" w:rsidRPr="00065867" w:rsidRDefault="00065867" w:rsidP="00ED75B9">
      <w:pPr>
        <w:numPr>
          <w:ilvl w:val="0"/>
          <w:numId w:val="6"/>
        </w:numPr>
        <w:spacing w:line="240" w:lineRule="auto"/>
        <w:jc w:val="both"/>
        <w:rPr>
          <w:rFonts w:ascii="Times New Roman" w:hAnsi="Times New Roman" w:cs="Times New Roman"/>
          <w:sz w:val="24"/>
          <w:szCs w:val="24"/>
        </w:rPr>
      </w:pPr>
      <w:r w:rsidRPr="00065867">
        <w:rPr>
          <w:rFonts w:ascii="Times New Roman" w:hAnsi="Times New Roman" w:cs="Times New Roman"/>
          <w:sz w:val="24"/>
          <w:szCs w:val="24"/>
        </w:rPr>
        <w:t xml:space="preserve">Ahmad, A., Rawat, J. S., &amp; Rai, S. C. (1990). An analysis of the Himalayan environment and guidelines for its management and ecologically sustainable development. </w:t>
      </w:r>
      <w:r w:rsidRPr="00065867">
        <w:rPr>
          <w:rFonts w:ascii="Times New Roman" w:hAnsi="Times New Roman" w:cs="Times New Roman"/>
          <w:i/>
          <w:iCs/>
          <w:sz w:val="24"/>
          <w:szCs w:val="24"/>
        </w:rPr>
        <w:t>The Environmentalist</w:t>
      </w:r>
      <w:r w:rsidRPr="00065867">
        <w:rPr>
          <w:rFonts w:ascii="Times New Roman" w:hAnsi="Times New Roman" w:cs="Times New Roman"/>
          <w:sz w:val="24"/>
          <w:szCs w:val="24"/>
        </w:rPr>
        <w:t xml:space="preserve">, 10(4), 281–298. </w:t>
      </w:r>
      <w:hyperlink r:id="rId8" w:tgtFrame="_new" w:history="1">
        <w:r w:rsidRPr="00065867">
          <w:rPr>
            <w:rStyle w:val="Hyperlink"/>
            <w:rFonts w:ascii="Times New Roman" w:hAnsi="Times New Roman" w:cs="Times New Roman"/>
            <w:color w:val="auto"/>
            <w:sz w:val="24"/>
            <w:szCs w:val="24"/>
            <w:u w:val="none"/>
          </w:rPr>
          <w:t>https://doi.org/10.1007/bf02239722</w:t>
        </w:r>
      </w:hyperlink>
    </w:p>
    <w:p w:rsidR="00065867" w:rsidRPr="00065867" w:rsidRDefault="00065867" w:rsidP="00ED75B9">
      <w:pPr>
        <w:numPr>
          <w:ilvl w:val="0"/>
          <w:numId w:val="6"/>
        </w:numPr>
        <w:spacing w:line="240" w:lineRule="auto"/>
        <w:jc w:val="both"/>
        <w:rPr>
          <w:rFonts w:ascii="Times New Roman" w:hAnsi="Times New Roman" w:cs="Times New Roman"/>
          <w:sz w:val="24"/>
          <w:szCs w:val="24"/>
        </w:rPr>
      </w:pPr>
      <w:r w:rsidRPr="00065867">
        <w:rPr>
          <w:rFonts w:ascii="Times New Roman" w:hAnsi="Times New Roman" w:cs="Times New Roman"/>
          <w:sz w:val="24"/>
          <w:szCs w:val="24"/>
        </w:rPr>
        <w:lastRenderedPageBreak/>
        <w:t xml:space="preserve">Champion, H. G., &amp; Seth, S. K. (1968). </w:t>
      </w:r>
      <w:r w:rsidRPr="00065867">
        <w:rPr>
          <w:rFonts w:ascii="Times New Roman" w:hAnsi="Times New Roman" w:cs="Times New Roman"/>
          <w:i/>
          <w:iCs/>
          <w:sz w:val="24"/>
          <w:szCs w:val="24"/>
        </w:rPr>
        <w:t>A revised survey of the forest types of India</w:t>
      </w:r>
      <w:r w:rsidRPr="00065867">
        <w:rPr>
          <w:rFonts w:ascii="Times New Roman" w:hAnsi="Times New Roman" w:cs="Times New Roman"/>
          <w:sz w:val="24"/>
          <w:szCs w:val="24"/>
        </w:rPr>
        <w:t>. Government of India, Manager of Publications, New Delhi, India, p. 34.</w:t>
      </w:r>
    </w:p>
    <w:p w:rsidR="00065867" w:rsidRPr="00065867" w:rsidRDefault="009D3F7C" w:rsidP="00ED75B9">
      <w:pPr>
        <w:numPr>
          <w:ilvl w:val="0"/>
          <w:numId w:val="6"/>
        </w:numPr>
        <w:spacing w:line="240" w:lineRule="auto"/>
        <w:jc w:val="both"/>
        <w:rPr>
          <w:rFonts w:ascii="Times New Roman" w:hAnsi="Times New Roman" w:cs="Times New Roman"/>
          <w:sz w:val="24"/>
          <w:szCs w:val="24"/>
        </w:rPr>
      </w:pPr>
      <w:proofErr w:type="spellStart"/>
      <w:r w:rsidRPr="009D3F7C">
        <w:rPr>
          <w:rFonts w:ascii="Times New Roman" w:hAnsi="Times New Roman" w:cs="Times New Roman"/>
          <w:sz w:val="24"/>
          <w:szCs w:val="24"/>
        </w:rPr>
        <w:t>Chanchani</w:t>
      </w:r>
      <w:proofErr w:type="spellEnd"/>
      <w:r w:rsidRPr="009D3F7C">
        <w:rPr>
          <w:rFonts w:ascii="Times New Roman" w:hAnsi="Times New Roman" w:cs="Times New Roman"/>
          <w:sz w:val="24"/>
          <w:szCs w:val="24"/>
        </w:rPr>
        <w:t xml:space="preserve">, P., Noon, B. R., </w:t>
      </w:r>
      <w:proofErr w:type="spellStart"/>
      <w:r w:rsidRPr="009D3F7C">
        <w:rPr>
          <w:rFonts w:ascii="Times New Roman" w:hAnsi="Times New Roman" w:cs="Times New Roman"/>
          <w:sz w:val="24"/>
          <w:szCs w:val="24"/>
        </w:rPr>
        <w:t>Bista</w:t>
      </w:r>
      <w:proofErr w:type="spellEnd"/>
      <w:r w:rsidRPr="009D3F7C">
        <w:rPr>
          <w:rFonts w:ascii="Times New Roman" w:hAnsi="Times New Roman" w:cs="Times New Roman"/>
          <w:sz w:val="24"/>
          <w:szCs w:val="24"/>
        </w:rPr>
        <w:t>, A., &amp;</w:t>
      </w:r>
      <w:proofErr w:type="spellStart"/>
      <w:r w:rsidRPr="009D3F7C">
        <w:rPr>
          <w:rFonts w:ascii="Times New Roman" w:hAnsi="Times New Roman" w:cs="Times New Roman"/>
          <w:sz w:val="24"/>
          <w:szCs w:val="24"/>
        </w:rPr>
        <w:t>Warrier</w:t>
      </w:r>
      <w:proofErr w:type="spellEnd"/>
      <w:r w:rsidRPr="009D3F7C">
        <w:rPr>
          <w:rFonts w:ascii="Times New Roman" w:hAnsi="Times New Roman" w:cs="Times New Roman"/>
          <w:sz w:val="24"/>
          <w:szCs w:val="24"/>
        </w:rPr>
        <w:t xml:space="preserve">, R. (2014). Influence of resource gradients and habitat edges on density variation in tiger populations in a multi-use landscape. Frontiers in Ecology and Evolution, 2, 30. </w:t>
      </w:r>
      <w:hyperlink r:id="rId9" w:history="1">
        <w:r w:rsidRPr="000D5FD9">
          <w:rPr>
            <w:rStyle w:val="Hyperlink"/>
            <w:rFonts w:ascii="Times New Roman" w:hAnsi="Times New Roman" w:cs="Times New Roman"/>
            <w:sz w:val="24"/>
            <w:szCs w:val="24"/>
          </w:rPr>
          <w:t>https://doi.org/10.3389/fevo.2014.00030</w:t>
        </w:r>
      </w:hyperlink>
    </w:p>
    <w:p w:rsidR="00065867" w:rsidRPr="00065867" w:rsidRDefault="00C52E9B" w:rsidP="00ED75B9">
      <w:pPr>
        <w:numPr>
          <w:ilvl w:val="0"/>
          <w:numId w:val="6"/>
        </w:numPr>
        <w:spacing w:line="240" w:lineRule="auto"/>
        <w:jc w:val="both"/>
        <w:rPr>
          <w:rFonts w:ascii="Times New Roman" w:hAnsi="Times New Roman" w:cs="Times New Roman"/>
          <w:sz w:val="24"/>
          <w:szCs w:val="24"/>
        </w:rPr>
      </w:pPr>
      <w:r w:rsidRPr="00C52E9B">
        <w:rPr>
          <w:rFonts w:ascii="Times New Roman" w:hAnsi="Times New Roman" w:cs="Times New Roman"/>
          <w:sz w:val="24"/>
          <w:szCs w:val="24"/>
        </w:rPr>
        <w:t xml:space="preserve">Distefano, E. (2005). Human-wildlife conflict worldwide: Collection of case studies, analysis of management strategies and good practices. FAO, Sustainable Agriculture and Rural Development Initiative. </w:t>
      </w:r>
      <w:hyperlink r:id="rId10" w:history="1">
        <w:r w:rsidRPr="000D5FD9">
          <w:rPr>
            <w:rStyle w:val="Hyperlink"/>
            <w:rFonts w:ascii="Times New Roman" w:hAnsi="Times New Roman" w:cs="Times New Roman"/>
            <w:sz w:val="24"/>
            <w:szCs w:val="24"/>
          </w:rPr>
          <w:t>https://www.fao.org/documents/card/en/c/a0000e/</w:t>
        </w:r>
      </w:hyperlink>
    </w:p>
    <w:p w:rsidR="00065867" w:rsidRPr="00065867" w:rsidRDefault="00A1114F" w:rsidP="00ED75B9">
      <w:pPr>
        <w:numPr>
          <w:ilvl w:val="0"/>
          <w:numId w:val="6"/>
        </w:numPr>
        <w:spacing w:line="240" w:lineRule="auto"/>
        <w:jc w:val="both"/>
        <w:rPr>
          <w:rFonts w:ascii="Times New Roman" w:hAnsi="Times New Roman" w:cs="Times New Roman"/>
          <w:sz w:val="24"/>
          <w:szCs w:val="24"/>
        </w:rPr>
      </w:pPr>
      <w:proofErr w:type="spellStart"/>
      <w:r w:rsidRPr="00A1114F">
        <w:rPr>
          <w:rFonts w:ascii="Times New Roman" w:hAnsi="Times New Roman" w:cs="Times New Roman"/>
          <w:sz w:val="24"/>
          <w:szCs w:val="24"/>
        </w:rPr>
        <w:t>Fungo</w:t>
      </w:r>
      <w:proofErr w:type="spellEnd"/>
      <w:r w:rsidRPr="00A1114F">
        <w:rPr>
          <w:rFonts w:ascii="Times New Roman" w:hAnsi="Times New Roman" w:cs="Times New Roman"/>
          <w:sz w:val="24"/>
          <w:szCs w:val="24"/>
        </w:rPr>
        <w:t xml:space="preserve">, B. (2011). A review of crop raiding around protected areas: Nature, control and research gaps. Environmental Research Journal, 5(2), 87–92. </w:t>
      </w:r>
      <w:hyperlink r:id="rId11" w:history="1">
        <w:r w:rsidRPr="000D5FD9">
          <w:rPr>
            <w:rStyle w:val="Hyperlink"/>
            <w:rFonts w:ascii="Times New Roman" w:hAnsi="Times New Roman" w:cs="Times New Roman"/>
            <w:sz w:val="24"/>
            <w:szCs w:val="24"/>
          </w:rPr>
          <w:t>https://doi.org/10.3923/erj.2011.87.92</w:t>
        </w:r>
      </w:hyperlink>
    </w:p>
    <w:p w:rsidR="00065867" w:rsidRPr="00065867" w:rsidRDefault="00065867" w:rsidP="00ED75B9">
      <w:pPr>
        <w:numPr>
          <w:ilvl w:val="0"/>
          <w:numId w:val="6"/>
        </w:numPr>
        <w:spacing w:line="240" w:lineRule="auto"/>
        <w:jc w:val="both"/>
        <w:rPr>
          <w:rFonts w:ascii="Times New Roman" w:hAnsi="Times New Roman" w:cs="Times New Roman"/>
          <w:sz w:val="24"/>
          <w:szCs w:val="24"/>
        </w:rPr>
      </w:pPr>
      <w:proofErr w:type="spellStart"/>
      <w:r w:rsidRPr="00065867">
        <w:rPr>
          <w:rFonts w:ascii="Times New Roman" w:hAnsi="Times New Roman" w:cs="Times New Roman"/>
          <w:sz w:val="24"/>
          <w:szCs w:val="24"/>
        </w:rPr>
        <w:t>Gile</w:t>
      </w:r>
      <w:proofErr w:type="spellEnd"/>
      <w:r w:rsidRPr="00065867">
        <w:rPr>
          <w:rFonts w:ascii="Times New Roman" w:hAnsi="Times New Roman" w:cs="Times New Roman"/>
          <w:sz w:val="24"/>
          <w:szCs w:val="24"/>
        </w:rPr>
        <w:t xml:space="preserve">, A. (1978). Protected areas and human conflict: Implications for conservation policy. </w:t>
      </w:r>
      <w:r w:rsidRPr="00065867">
        <w:rPr>
          <w:rFonts w:ascii="Times New Roman" w:hAnsi="Times New Roman" w:cs="Times New Roman"/>
          <w:i/>
          <w:iCs/>
          <w:sz w:val="24"/>
          <w:szCs w:val="24"/>
        </w:rPr>
        <w:t>Biological Conservation</w:t>
      </w:r>
      <w:r w:rsidRPr="00065867">
        <w:rPr>
          <w:rFonts w:ascii="Times New Roman" w:hAnsi="Times New Roman" w:cs="Times New Roman"/>
          <w:sz w:val="24"/>
          <w:szCs w:val="24"/>
        </w:rPr>
        <w:t>, 13(1), 17–34. https://doi.org/10.1016/0006-3207(78)90042-1</w:t>
      </w:r>
    </w:p>
    <w:p w:rsidR="00065867" w:rsidRPr="00065867" w:rsidRDefault="00177628" w:rsidP="00ED75B9">
      <w:pPr>
        <w:numPr>
          <w:ilvl w:val="0"/>
          <w:numId w:val="6"/>
        </w:numPr>
        <w:spacing w:line="240" w:lineRule="auto"/>
        <w:jc w:val="both"/>
        <w:rPr>
          <w:rFonts w:ascii="Times New Roman" w:hAnsi="Times New Roman" w:cs="Times New Roman"/>
          <w:sz w:val="24"/>
          <w:szCs w:val="24"/>
        </w:rPr>
      </w:pPr>
      <w:r w:rsidRPr="00177628">
        <w:rPr>
          <w:rFonts w:ascii="Times New Roman" w:hAnsi="Times New Roman" w:cs="Times New Roman"/>
          <w:sz w:val="24"/>
          <w:szCs w:val="24"/>
        </w:rPr>
        <w:t>Graham, K., Beckerman, A. P., &amp;</w:t>
      </w:r>
      <w:proofErr w:type="spellStart"/>
      <w:r w:rsidRPr="00177628">
        <w:rPr>
          <w:rFonts w:ascii="Times New Roman" w:hAnsi="Times New Roman" w:cs="Times New Roman"/>
          <w:sz w:val="24"/>
          <w:szCs w:val="24"/>
        </w:rPr>
        <w:t>Thirgood</w:t>
      </w:r>
      <w:proofErr w:type="spellEnd"/>
      <w:r w:rsidRPr="00177628">
        <w:rPr>
          <w:rFonts w:ascii="Times New Roman" w:hAnsi="Times New Roman" w:cs="Times New Roman"/>
          <w:sz w:val="24"/>
          <w:szCs w:val="24"/>
        </w:rPr>
        <w:t xml:space="preserve">, S. (2005). Human–predator–prey conflicts: Ecological correlates, prey losses and patterns of management. Biological Conservation, 122(2), 159–171. </w:t>
      </w:r>
      <w:hyperlink r:id="rId12" w:history="1">
        <w:r w:rsidRPr="000D5FD9">
          <w:rPr>
            <w:rStyle w:val="Hyperlink"/>
            <w:rFonts w:ascii="Times New Roman" w:hAnsi="Times New Roman" w:cs="Times New Roman"/>
            <w:sz w:val="24"/>
            <w:szCs w:val="24"/>
          </w:rPr>
          <w:t>https://doi.org/10.1016/j.biocon.2004.06.006</w:t>
        </w:r>
      </w:hyperlink>
      <w:r w:rsidR="00046B69">
        <w:rPr>
          <w:rFonts w:ascii="Times New Roman" w:hAnsi="Times New Roman" w:cs="Times New Roman"/>
          <w:sz w:val="24"/>
          <w:szCs w:val="24"/>
        </w:rPr>
        <w:tab/>
      </w:r>
    </w:p>
    <w:p w:rsidR="00065867" w:rsidRPr="00065867" w:rsidRDefault="00046B69" w:rsidP="00ED75B9">
      <w:pPr>
        <w:numPr>
          <w:ilvl w:val="0"/>
          <w:numId w:val="6"/>
        </w:numPr>
        <w:spacing w:line="240" w:lineRule="auto"/>
        <w:jc w:val="both"/>
        <w:rPr>
          <w:rFonts w:ascii="Times New Roman" w:hAnsi="Times New Roman" w:cs="Times New Roman"/>
          <w:sz w:val="24"/>
          <w:szCs w:val="24"/>
        </w:rPr>
      </w:pPr>
      <w:proofErr w:type="spellStart"/>
      <w:r w:rsidRPr="00046B69">
        <w:rPr>
          <w:rFonts w:ascii="Times New Roman" w:hAnsi="Times New Roman" w:cs="Times New Roman"/>
          <w:sz w:val="24"/>
          <w:szCs w:val="24"/>
        </w:rPr>
        <w:t>Kagoro-Rugunda</w:t>
      </w:r>
      <w:proofErr w:type="spellEnd"/>
      <w:r w:rsidRPr="00046B69">
        <w:rPr>
          <w:rFonts w:ascii="Times New Roman" w:hAnsi="Times New Roman" w:cs="Times New Roman"/>
          <w:sz w:val="24"/>
          <w:szCs w:val="24"/>
        </w:rPr>
        <w:t xml:space="preserve">, G. (2004). Crop raiding around Lake </w:t>
      </w:r>
      <w:proofErr w:type="spellStart"/>
      <w:r w:rsidRPr="00046B69">
        <w:rPr>
          <w:rFonts w:ascii="Times New Roman" w:hAnsi="Times New Roman" w:cs="Times New Roman"/>
          <w:sz w:val="24"/>
          <w:szCs w:val="24"/>
        </w:rPr>
        <w:t>Mburo</w:t>
      </w:r>
      <w:proofErr w:type="spellEnd"/>
      <w:r w:rsidRPr="00046B69">
        <w:rPr>
          <w:rFonts w:ascii="Times New Roman" w:hAnsi="Times New Roman" w:cs="Times New Roman"/>
          <w:sz w:val="24"/>
          <w:szCs w:val="24"/>
        </w:rPr>
        <w:t xml:space="preserve"> National Park, Uganda. African Journal of Ecology, 42(1), 32–41. </w:t>
      </w:r>
      <w:hyperlink r:id="rId13" w:history="1">
        <w:r w:rsidRPr="000D5FD9">
          <w:rPr>
            <w:rStyle w:val="Hyperlink"/>
            <w:rFonts w:ascii="Times New Roman" w:hAnsi="Times New Roman" w:cs="Times New Roman"/>
            <w:sz w:val="24"/>
            <w:szCs w:val="24"/>
          </w:rPr>
          <w:t>https://doi.org/10.1111/j.0141-6707.2004.00444.x</w:t>
        </w:r>
      </w:hyperlink>
    </w:p>
    <w:p w:rsidR="00065867" w:rsidRPr="00065867" w:rsidRDefault="00871FC0" w:rsidP="00ED75B9">
      <w:pPr>
        <w:numPr>
          <w:ilvl w:val="0"/>
          <w:numId w:val="6"/>
        </w:numPr>
        <w:spacing w:line="240" w:lineRule="auto"/>
        <w:jc w:val="both"/>
        <w:rPr>
          <w:rFonts w:ascii="Times New Roman" w:hAnsi="Times New Roman" w:cs="Times New Roman"/>
          <w:sz w:val="24"/>
          <w:szCs w:val="24"/>
        </w:rPr>
      </w:pPr>
      <w:proofErr w:type="spellStart"/>
      <w:r w:rsidRPr="00871FC0">
        <w:rPr>
          <w:rFonts w:ascii="Times New Roman" w:hAnsi="Times New Roman" w:cs="Times New Roman"/>
          <w:sz w:val="24"/>
          <w:szCs w:val="24"/>
        </w:rPr>
        <w:t>Karanth</w:t>
      </w:r>
      <w:proofErr w:type="spellEnd"/>
      <w:r w:rsidRPr="00871FC0">
        <w:rPr>
          <w:rFonts w:ascii="Times New Roman" w:hAnsi="Times New Roman" w:cs="Times New Roman"/>
          <w:sz w:val="24"/>
          <w:szCs w:val="24"/>
        </w:rPr>
        <w:t xml:space="preserve">, K. U., &amp; Gopal, R. (2005). An ecology-based policy framework for human–tiger coexistence in India. In R. Woodroffe, S. </w:t>
      </w:r>
      <w:proofErr w:type="spellStart"/>
      <w:r w:rsidRPr="00871FC0">
        <w:rPr>
          <w:rFonts w:ascii="Times New Roman" w:hAnsi="Times New Roman" w:cs="Times New Roman"/>
          <w:sz w:val="24"/>
          <w:szCs w:val="24"/>
        </w:rPr>
        <w:t>Thi</w:t>
      </w:r>
      <w:r w:rsidR="00615CD3">
        <w:rPr>
          <w:rFonts w:ascii="Times New Roman" w:hAnsi="Times New Roman" w:cs="Times New Roman"/>
          <w:sz w:val="24"/>
          <w:szCs w:val="24"/>
        </w:rPr>
        <w:t>rgood</w:t>
      </w:r>
      <w:proofErr w:type="spellEnd"/>
      <w:r w:rsidR="00615CD3">
        <w:rPr>
          <w:rFonts w:ascii="Times New Roman" w:hAnsi="Times New Roman" w:cs="Times New Roman"/>
          <w:sz w:val="24"/>
          <w:szCs w:val="24"/>
        </w:rPr>
        <w:t xml:space="preserve">, &amp; A. Rabinowitz (Eds.), </w:t>
      </w:r>
      <w:r w:rsidRPr="00871FC0">
        <w:rPr>
          <w:rFonts w:ascii="Times New Roman" w:hAnsi="Times New Roman" w:cs="Times New Roman"/>
          <w:sz w:val="24"/>
          <w:szCs w:val="24"/>
        </w:rPr>
        <w:t>People and wild</w:t>
      </w:r>
      <w:r w:rsidR="00615CD3">
        <w:rPr>
          <w:rFonts w:ascii="Times New Roman" w:hAnsi="Times New Roman" w:cs="Times New Roman"/>
          <w:sz w:val="24"/>
          <w:szCs w:val="24"/>
        </w:rPr>
        <w:t>life: Conflict or co-existence?</w:t>
      </w:r>
      <w:r w:rsidRPr="00871FC0">
        <w:rPr>
          <w:rFonts w:ascii="Times New Roman" w:hAnsi="Times New Roman" w:cs="Times New Roman"/>
          <w:sz w:val="24"/>
          <w:szCs w:val="24"/>
        </w:rPr>
        <w:t xml:space="preserve"> (pp. 373–387). Cambridge University Press. </w:t>
      </w:r>
      <w:hyperlink r:id="rId14" w:history="1">
        <w:r w:rsidRPr="000D5FD9">
          <w:rPr>
            <w:rStyle w:val="Hyperlink"/>
            <w:rFonts w:ascii="Times New Roman" w:hAnsi="Times New Roman" w:cs="Times New Roman"/>
            <w:sz w:val="24"/>
            <w:szCs w:val="24"/>
          </w:rPr>
          <w:t>https://doi.org/10.1017/CBO9780511614774</w:t>
        </w:r>
      </w:hyperlink>
    </w:p>
    <w:p w:rsidR="00065867" w:rsidRPr="00065867" w:rsidRDefault="003D65F2" w:rsidP="00ED75B9">
      <w:pPr>
        <w:numPr>
          <w:ilvl w:val="0"/>
          <w:numId w:val="6"/>
        </w:numPr>
        <w:spacing w:line="240" w:lineRule="auto"/>
        <w:jc w:val="both"/>
        <w:rPr>
          <w:rFonts w:ascii="Times New Roman" w:hAnsi="Times New Roman" w:cs="Times New Roman"/>
          <w:sz w:val="24"/>
          <w:szCs w:val="24"/>
        </w:rPr>
      </w:pPr>
      <w:proofErr w:type="spellStart"/>
      <w:r w:rsidRPr="003D65F2">
        <w:rPr>
          <w:rFonts w:ascii="Times New Roman" w:hAnsi="Times New Roman" w:cs="Times New Roman"/>
          <w:sz w:val="24"/>
          <w:szCs w:val="24"/>
        </w:rPr>
        <w:t>Karanth</w:t>
      </w:r>
      <w:proofErr w:type="spellEnd"/>
      <w:r w:rsidRPr="003D65F2">
        <w:rPr>
          <w:rFonts w:ascii="Times New Roman" w:hAnsi="Times New Roman" w:cs="Times New Roman"/>
          <w:sz w:val="24"/>
          <w:szCs w:val="24"/>
        </w:rPr>
        <w:t xml:space="preserve">, K. K., &amp; Nepal, S. K. (2012). Local residents’ perception of benefits and losses from protected areas in India and Nepal. Environmental Management, 49(2), 372–386. </w:t>
      </w:r>
      <w:hyperlink r:id="rId15" w:history="1">
        <w:r w:rsidRPr="000D5FD9">
          <w:rPr>
            <w:rStyle w:val="Hyperlink"/>
            <w:rFonts w:ascii="Times New Roman" w:hAnsi="Times New Roman" w:cs="Times New Roman"/>
            <w:sz w:val="24"/>
            <w:szCs w:val="24"/>
          </w:rPr>
          <w:t>https://doi.org/10.1007/s00267-011-9778-1</w:t>
        </w:r>
      </w:hyperlink>
    </w:p>
    <w:p w:rsidR="00065867" w:rsidRPr="00065867" w:rsidRDefault="00BB6B9B" w:rsidP="00ED75B9">
      <w:pPr>
        <w:numPr>
          <w:ilvl w:val="0"/>
          <w:numId w:val="6"/>
        </w:numPr>
        <w:spacing w:line="240" w:lineRule="auto"/>
        <w:jc w:val="both"/>
        <w:rPr>
          <w:rFonts w:ascii="Times New Roman" w:hAnsi="Times New Roman" w:cs="Times New Roman"/>
          <w:sz w:val="24"/>
          <w:szCs w:val="24"/>
        </w:rPr>
      </w:pPr>
      <w:proofErr w:type="spellStart"/>
      <w:r w:rsidRPr="00BB6B9B">
        <w:rPr>
          <w:rFonts w:ascii="Times New Roman" w:hAnsi="Times New Roman" w:cs="Times New Roman"/>
          <w:sz w:val="24"/>
          <w:szCs w:val="24"/>
        </w:rPr>
        <w:t>Karanth</w:t>
      </w:r>
      <w:proofErr w:type="spellEnd"/>
      <w:r w:rsidRPr="00BB6B9B">
        <w:rPr>
          <w:rFonts w:ascii="Times New Roman" w:hAnsi="Times New Roman" w:cs="Times New Roman"/>
          <w:sz w:val="24"/>
          <w:szCs w:val="24"/>
        </w:rPr>
        <w:t xml:space="preserve">, K. K., </w:t>
      </w:r>
      <w:proofErr w:type="spellStart"/>
      <w:r w:rsidRPr="00BB6B9B">
        <w:rPr>
          <w:rFonts w:ascii="Times New Roman" w:hAnsi="Times New Roman" w:cs="Times New Roman"/>
          <w:sz w:val="24"/>
          <w:szCs w:val="24"/>
        </w:rPr>
        <w:t>Gopalaswamy</w:t>
      </w:r>
      <w:proofErr w:type="spellEnd"/>
      <w:r w:rsidRPr="00BB6B9B">
        <w:rPr>
          <w:rFonts w:ascii="Times New Roman" w:hAnsi="Times New Roman" w:cs="Times New Roman"/>
          <w:sz w:val="24"/>
          <w:szCs w:val="24"/>
        </w:rPr>
        <w:t xml:space="preserve">, A. M., </w:t>
      </w:r>
      <w:proofErr w:type="spellStart"/>
      <w:r w:rsidRPr="00BB6B9B">
        <w:rPr>
          <w:rFonts w:ascii="Times New Roman" w:hAnsi="Times New Roman" w:cs="Times New Roman"/>
          <w:sz w:val="24"/>
          <w:szCs w:val="24"/>
        </w:rPr>
        <w:t>DeFries</w:t>
      </w:r>
      <w:proofErr w:type="spellEnd"/>
      <w:r w:rsidRPr="00BB6B9B">
        <w:rPr>
          <w:rFonts w:ascii="Times New Roman" w:hAnsi="Times New Roman" w:cs="Times New Roman"/>
          <w:sz w:val="24"/>
          <w:szCs w:val="24"/>
        </w:rPr>
        <w:t>, R., &amp;</w:t>
      </w:r>
      <w:proofErr w:type="spellStart"/>
      <w:r w:rsidRPr="00BB6B9B">
        <w:rPr>
          <w:rFonts w:ascii="Times New Roman" w:hAnsi="Times New Roman" w:cs="Times New Roman"/>
          <w:sz w:val="24"/>
          <w:szCs w:val="24"/>
        </w:rPr>
        <w:t>Ballal</w:t>
      </w:r>
      <w:proofErr w:type="spellEnd"/>
      <w:r w:rsidRPr="00BB6B9B">
        <w:rPr>
          <w:rFonts w:ascii="Times New Roman" w:hAnsi="Times New Roman" w:cs="Times New Roman"/>
          <w:sz w:val="24"/>
          <w:szCs w:val="24"/>
        </w:rPr>
        <w:t xml:space="preserve">, N. (2012). Assessing patterns of human–wildlife conflicts and compensation around a Central Indian protected area. PLOS ONE, 7(12), e50433. </w:t>
      </w:r>
      <w:hyperlink r:id="rId16" w:history="1">
        <w:r w:rsidRPr="000D5FD9">
          <w:rPr>
            <w:rStyle w:val="Hyperlink"/>
            <w:rFonts w:ascii="Times New Roman" w:hAnsi="Times New Roman" w:cs="Times New Roman"/>
            <w:sz w:val="24"/>
            <w:szCs w:val="24"/>
          </w:rPr>
          <w:t>https://doi.org/10.1371/journal.pone.0050433</w:t>
        </w:r>
      </w:hyperlink>
    </w:p>
    <w:p w:rsidR="00065867" w:rsidRPr="00065867" w:rsidRDefault="00E469E2" w:rsidP="00ED75B9">
      <w:pPr>
        <w:numPr>
          <w:ilvl w:val="0"/>
          <w:numId w:val="6"/>
        </w:numPr>
        <w:spacing w:line="240" w:lineRule="auto"/>
        <w:jc w:val="both"/>
        <w:rPr>
          <w:rFonts w:ascii="Times New Roman" w:hAnsi="Times New Roman" w:cs="Times New Roman"/>
          <w:sz w:val="24"/>
          <w:szCs w:val="24"/>
        </w:rPr>
      </w:pPr>
      <w:proofErr w:type="spellStart"/>
      <w:r w:rsidRPr="00E469E2">
        <w:rPr>
          <w:rFonts w:ascii="Times New Roman" w:hAnsi="Times New Roman" w:cs="Times New Roman"/>
          <w:sz w:val="24"/>
          <w:szCs w:val="24"/>
        </w:rPr>
        <w:t>Lamichhane</w:t>
      </w:r>
      <w:proofErr w:type="spellEnd"/>
      <w:r w:rsidRPr="00E469E2">
        <w:rPr>
          <w:rFonts w:ascii="Times New Roman" w:hAnsi="Times New Roman" w:cs="Times New Roman"/>
          <w:sz w:val="24"/>
          <w:szCs w:val="24"/>
        </w:rPr>
        <w:t xml:space="preserve">, B. R., </w:t>
      </w:r>
      <w:proofErr w:type="spellStart"/>
      <w:r w:rsidRPr="00E469E2">
        <w:rPr>
          <w:rFonts w:ascii="Times New Roman" w:hAnsi="Times New Roman" w:cs="Times New Roman"/>
          <w:sz w:val="24"/>
          <w:szCs w:val="24"/>
        </w:rPr>
        <w:t>Persoon</w:t>
      </w:r>
      <w:proofErr w:type="spellEnd"/>
      <w:r w:rsidRPr="00E469E2">
        <w:rPr>
          <w:rFonts w:ascii="Times New Roman" w:hAnsi="Times New Roman" w:cs="Times New Roman"/>
          <w:sz w:val="24"/>
          <w:szCs w:val="24"/>
        </w:rPr>
        <w:t xml:space="preserve">, G. A., </w:t>
      </w:r>
      <w:proofErr w:type="spellStart"/>
      <w:r w:rsidRPr="00E469E2">
        <w:rPr>
          <w:rFonts w:ascii="Times New Roman" w:hAnsi="Times New Roman" w:cs="Times New Roman"/>
          <w:sz w:val="24"/>
          <w:szCs w:val="24"/>
        </w:rPr>
        <w:t>Leirs</w:t>
      </w:r>
      <w:proofErr w:type="spellEnd"/>
      <w:r w:rsidRPr="00E469E2">
        <w:rPr>
          <w:rFonts w:ascii="Times New Roman" w:hAnsi="Times New Roman" w:cs="Times New Roman"/>
          <w:sz w:val="24"/>
          <w:szCs w:val="24"/>
        </w:rPr>
        <w:t xml:space="preserve">, H., Poudel, S., </w:t>
      </w:r>
      <w:proofErr w:type="spellStart"/>
      <w:r w:rsidRPr="00E469E2">
        <w:rPr>
          <w:rFonts w:ascii="Times New Roman" w:hAnsi="Times New Roman" w:cs="Times New Roman"/>
          <w:sz w:val="24"/>
          <w:szCs w:val="24"/>
        </w:rPr>
        <w:t>Subedi</w:t>
      </w:r>
      <w:proofErr w:type="spellEnd"/>
      <w:r w:rsidRPr="00E469E2">
        <w:rPr>
          <w:rFonts w:ascii="Times New Roman" w:hAnsi="Times New Roman" w:cs="Times New Roman"/>
          <w:sz w:val="24"/>
          <w:szCs w:val="24"/>
        </w:rPr>
        <w:t xml:space="preserve">, N., </w:t>
      </w:r>
      <w:proofErr w:type="spellStart"/>
      <w:r w:rsidRPr="00E469E2">
        <w:rPr>
          <w:rFonts w:ascii="Times New Roman" w:hAnsi="Times New Roman" w:cs="Times New Roman"/>
          <w:sz w:val="24"/>
          <w:szCs w:val="24"/>
        </w:rPr>
        <w:t>Pokheral</w:t>
      </w:r>
      <w:proofErr w:type="spellEnd"/>
      <w:r w:rsidRPr="00E469E2">
        <w:rPr>
          <w:rFonts w:ascii="Times New Roman" w:hAnsi="Times New Roman" w:cs="Times New Roman"/>
          <w:sz w:val="24"/>
          <w:szCs w:val="24"/>
        </w:rPr>
        <w:t xml:space="preserve">, C. P., Bhattarai, S., </w:t>
      </w:r>
      <w:proofErr w:type="spellStart"/>
      <w:r w:rsidRPr="00E469E2">
        <w:rPr>
          <w:rFonts w:ascii="Times New Roman" w:hAnsi="Times New Roman" w:cs="Times New Roman"/>
          <w:sz w:val="24"/>
          <w:szCs w:val="24"/>
        </w:rPr>
        <w:t>Thapaliya</w:t>
      </w:r>
      <w:proofErr w:type="spellEnd"/>
      <w:r w:rsidRPr="00E469E2">
        <w:rPr>
          <w:rFonts w:ascii="Times New Roman" w:hAnsi="Times New Roman" w:cs="Times New Roman"/>
          <w:sz w:val="24"/>
          <w:szCs w:val="24"/>
        </w:rPr>
        <w:t xml:space="preserve">, B. P., &amp; de </w:t>
      </w:r>
      <w:proofErr w:type="spellStart"/>
      <w:r w:rsidRPr="00E469E2">
        <w:rPr>
          <w:rFonts w:ascii="Times New Roman" w:hAnsi="Times New Roman" w:cs="Times New Roman"/>
          <w:sz w:val="24"/>
          <w:szCs w:val="24"/>
        </w:rPr>
        <w:t>Iongh</w:t>
      </w:r>
      <w:proofErr w:type="spellEnd"/>
      <w:r w:rsidRPr="00E469E2">
        <w:rPr>
          <w:rFonts w:ascii="Times New Roman" w:hAnsi="Times New Roman" w:cs="Times New Roman"/>
          <w:sz w:val="24"/>
          <w:szCs w:val="24"/>
        </w:rPr>
        <w:t xml:space="preserve">, H. H. (2018). </w:t>
      </w:r>
      <w:proofErr w:type="spellStart"/>
      <w:r w:rsidRPr="00E469E2">
        <w:rPr>
          <w:rFonts w:ascii="Times New Roman" w:hAnsi="Times New Roman" w:cs="Times New Roman"/>
          <w:sz w:val="24"/>
          <w:szCs w:val="24"/>
        </w:rPr>
        <w:t>Spatio</w:t>
      </w:r>
      <w:proofErr w:type="spellEnd"/>
      <w:r w:rsidRPr="00E469E2">
        <w:rPr>
          <w:rFonts w:ascii="Times New Roman" w:hAnsi="Times New Roman" w:cs="Times New Roman"/>
          <w:sz w:val="24"/>
          <w:szCs w:val="24"/>
        </w:rPr>
        <w:t xml:space="preserve">-temporal patterns of attacks on human and economic losses from wildlife in Chitwan National Park, Nepal. PLOS ONE. </w:t>
      </w:r>
      <w:hyperlink r:id="rId17" w:history="1">
        <w:r w:rsidRPr="000D5FD9">
          <w:rPr>
            <w:rStyle w:val="Hyperlink"/>
            <w:rFonts w:ascii="Times New Roman" w:hAnsi="Times New Roman" w:cs="Times New Roman"/>
            <w:sz w:val="24"/>
            <w:szCs w:val="24"/>
          </w:rPr>
          <w:t>https://doi.org/10.1371/journal.pone.0195373</w:t>
        </w:r>
      </w:hyperlink>
    </w:p>
    <w:p w:rsidR="00065867" w:rsidRPr="00065867" w:rsidRDefault="005254E1" w:rsidP="00ED75B9">
      <w:pPr>
        <w:numPr>
          <w:ilvl w:val="0"/>
          <w:numId w:val="6"/>
        </w:numPr>
        <w:spacing w:line="240" w:lineRule="auto"/>
        <w:jc w:val="both"/>
        <w:rPr>
          <w:rFonts w:ascii="Times New Roman" w:hAnsi="Times New Roman" w:cs="Times New Roman"/>
          <w:sz w:val="24"/>
          <w:szCs w:val="24"/>
        </w:rPr>
      </w:pPr>
      <w:r w:rsidRPr="005254E1">
        <w:rPr>
          <w:rFonts w:ascii="Times New Roman" w:hAnsi="Times New Roman" w:cs="Times New Roman"/>
          <w:sz w:val="24"/>
          <w:szCs w:val="24"/>
        </w:rPr>
        <w:t xml:space="preserve">Logan, M. (2010). Biostatistical design and analysis using R: A practical guide. John Wiley &amp; Sons. </w:t>
      </w:r>
      <w:hyperlink r:id="rId18" w:history="1">
        <w:r w:rsidRPr="000D5FD9">
          <w:rPr>
            <w:rStyle w:val="Hyperlink"/>
            <w:rFonts w:ascii="Times New Roman" w:hAnsi="Times New Roman" w:cs="Times New Roman"/>
            <w:sz w:val="24"/>
            <w:szCs w:val="24"/>
          </w:rPr>
          <w:t>https://doi.org/10.1002/9781444335248</w:t>
        </w:r>
      </w:hyperlink>
    </w:p>
    <w:p w:rsidR="00065867" w:rsidRPr="00065867" w:rsidRDefault="0026608F" w:rsidP="00ED75B9">
      <w:pPr>
        <w:numPr>
          <w:ilvl w:val="0"/>
          <w:numId w:val="6"/>
        </w:numPr>
        <w:spacing w:line="240" w:lineRule="auto"/>
        <w:jc w:val="both"/>
        <w:rPr>
          <w:rFonts w:ascii="Times New Roman" w:hAnsi="Times New Roman" w:cs="Times New Roman"/>
          <w:sz w:val="24"/>
          <w:szCs w:val="24"/>
        </w:rPr>
      </w:pPr>
      <w:r w:rsidRPr="0026608F">
        <w:rPr>
          <w:rFonts w:ascii="Times New Roman" w:hAnsi="Times New Roman" w:cs="Times New Roman"/>
          <w:sz w:val="24"/>
          <w:szCs w:val="24"/>
        </w:rPr>
        <w:t xml:space="preserve">Madhusudan, M. D. (2003). Living amidst large wildlife: Livestock and crop depredation by large mammals in the interior villages of Bhadra Tiger Reserve, South </w:t>
      </w:r>
      <w:r w:rsidRPr="0026608F">
        <w:rPr>
          <w:rFonts w:ascii="Times New Roman" w:hAnsi="Times New Roman" w:cs="Times New Roman"/>
          <w:sz w:val="24"/>
          <w:szCs w:val="24"/>
        </w:rPr>
        <w:lastRenderedPageBreak/>
        <w:t xml:space="preserve">India. Environmental Management, 31(4), 466–475. </w:t>
      </w:r>
      <w:hyperlink r:id="rId19" w:history="1">
        <w:r w:rsidRPr="000D5FD9">
          <w:rPr>
            <w:rStyle w:val="Hyperlink"/>
            <w:rFonts w:ascii="Times New Roman" w:hAnsi="Times New Roman" w:cs="Times New Roman"/>
            <w:sz w:val="24"/>
            <w:szCs w:val="24"/>
          </w:rPr>
          <w:t>https://doi.org/10.1007/s00267-002-2790-8</w:t>
        </w:r>
      </w:hyperlink>
    </w:p>
    <w:p w:rsidR="00065867" w:rsidRPr="00065867" w:rsidRDefault="005A5DC9" w:rsidP="00ED75B9">
      <w:pPr>
        <w:numPr>
          <w:ilvl w:val="0"/>
          <w:numId w:val="6"/>
        </w:numPr>
        <w:spacing w:line="240" w:lineRule="auto"/>
        <w:jc w:val="both"/>
        <w:rPr>
          <w:rFonts w:ascii="Times New Roman" w:hAnsi="Times New Roman" w:cs="Times New Roman"/>
          <w:sz w:val="24"/>
          <w:szCs w:val="24"/>
        </w:rPr>
      </w:pPr>
      <w:r w:rsidRPr="005A5DC9">
        <w:rPr>
          <w:rFonts w:ascii="Times New Roman" w:hAnsi="Times New Roman" w:cs="Times New Roman"/>
          <w:sz w:val="24"/>
          <w:szCs w:val="24"/>
        </w:rPr>
        <w:t xml:space="preserve">Malviya, M., &amp; Ramesh, K. (2015). Human–felid conflict in corridor habitats: Implications for tiger and leopard conservation in </w:t>
      </w:r>
      <w:proofErr w:type="spellStart"/>
      <w:r w:rsidRPr="005A5DC9">
        <w:rPr>
          <w:rFonts w:ascii="Times New Roman" w:hAnsi="Times New Roman" w:cs="Times New Roman"/>
          <w:sz w:val="24"/>
          <w:szCs w:val="24"/>
        </w:rPr>
        <w:t>Terai</w:t>
      </w:r>
      <w:proofErr w:type="spellEnd"/>
      <w:r w:rsidRPr="005A5DC9">
        <w:rPr>
          <w:rFonts w:ascii="Times New Roman" w:hAnsi="Times New Roman" w:cs="Times New Roman"/>
          <w:sz w:val="24"/>
          <w:szCs w:val="24"/>
        </w:rPr>
        <w:t xml:space="preserve"> Arc Landscape, India. Human–Wildlife Interactions, 9(1), 48–57. </w:t>
      </w:r>
      <w:hyperlink r:id="rId20" w:history="1">
        <w:r w:rsidRPr="000D5FD9">
          <w:rPr>
            <w:rStyle w:val="Hyperlink"/>
            <w:rFonts w:ascii="Times New Roman" w:hAnsi="Times New Roman" w:cs="Times New Roman"/>
            <w:sz w:val="24"/>
            <w:szCs w:val="24"/>
          </w:rPr>
          <w:t>https://doi.org/10.26077/8g9e-cc96</w:t>
        </w:r>
      </w:hyperlink>
    </w:p>
    <w:p w:rsidR="00065867" w:rsidRPr="00065867" w:rsidRDefault="008E5BF2" w:rsidP="00ED75B9">
      <w:pPr>
        <w:numPr>
          <w:ilvl w:val="0"/>
          <w:numId w:val="6"/>
        </w:numPr>
        <w:spacing w:line="240" w:lineRule="auto"/>
        <w:jc w:val="both"/>
        <w:rPr>
          <w:rFonts w:ascii="Times New Roman" w:hAnsi="Times New Roman" w:cs="Times New Roman"/>
          <w:sz w:val="24"/>
          <w:szCs w:val="24"/>
        </w:rPr>
      </w:pPr>
      <w:r w:rsidRPr="008E5BF2">
        <w:rPr>
          <w:rFonts w:ascii="Times New Roman" w:hAnsi="Times New Roman" w:cs="Times New Roman"/>
          <w:sz w:val="24"/>
          <w:szCs w:val="24"/>
        </w:rPr>
        <w:t xml:space="preserve">Maurya, K. K., &amp; Borah, J. (2013). Status of tigers in Valmiki Tiger Reserve, </w:t>
      </w:r>
      <w:proofErr w:type="spellStart"/>
      <w:r w:rsidRPr="008E5BF2">
        <w:rPr>
          <w:rFonts w:ascii="Times New Roman" w:hAnsi="Times New Roman" w:cs="Times New Roman"/>
          <w:sz w:val="24"/>
          <w:szCs w:val="24"/>
        </w:rPr>
        <w:t>Terai</w:t>
      </w:r>
      <w:proofErr w:type="spellEnd"/>
      <w:r w:rsidRPr="008E5BF2">
        <w:rPr>
          <w:rFonts w:ascii="Times New Roman" w:hAnsi="Times New Roman" w:cs="Times New Roman"/>
          <w:sz w:val="24"/>
          <w:szCs w:val="24"/>
        </w:rPr>
        <w:t xml:space="preserve"> Arc Landscape, Bihar, India. WWF-India. </w:t>
      </w:r>
      <w:hyperlink r:id="rId21" w:history="1">
        <w:r w:rsidRPr="000D5FD9">
          <w:rPr>
            <w:rStyle w:val="Hyperlink"/>
            <w:rFonts w:ascii="Times New Roman" w:hAnsi="Times New Roman" w:cs="Times New Roman"/>
            <w:sz w:val="24"/>
            <w:szCs w:val="24"/>
          </w:rPr>
          <w:t>https://www.wwfindia.org/news_facts/wwf_publications/?10821/Status-of-tigers-in-Valmiki-Tiger-Reserve</w:t>
        </w:r>
      </w:hyperlink>
    </w:p>
    <w:p w:rsidR="00065867" w:rsidRPr="00065867" w:rsidRDefault="006D2317" w:rsidP="00ED75B9">
      <w:pPr>
        <w:numPr>
          <w:ilvl w:val="0"/>
          <w:numId w:val="6"/>
        </w:numPr>
        <w:spacing w:line="240" w:lineRule="auto"/>
        <w:jc w:val="both"/>
        <w:rPr>
          <w:rFonts w:ascii="Times New Roman" w:hAnsi="Times New Roman" w:cs="Times New Roman"/>
          <w:sz w:val="24"/>
          <w:szCs w:val="24"/>
        </w:rPr>
      </w:pPr>
      <w:r w:rsidRPr="006D2317">
        <w:rPr>
          <w:rFonts w:ascii="Times New Roman" w:hAnsi="Times New Roman" w:cs="Times New Roman"/>
          <w:sz w:val="24"/>
          <w:szCs w:val="24"/>
        </w:rPr>
        <w:t xml:space="preserve">McGuinness, S., &amp; Taylor, D. (2014). Farmers’ perceptions and actions to decrease crop raiding by forest-dwelling primates around a Rwandan forest fragment. Human Dimensions of Wildlife, 19(2), 179–190. </w:t>
      </w:r>
      <w:hyperlink r:id="rId22" w:history="1">
        <w:r w:rsidRPr="000D5FD9">
          <w:rPr>
            <w:rStyle w:val="Hyperlink"/>
            <w:rFonts w:ascii="Times New Roman" w:hAnsi="Times New Roman" w:cs="Times New Roman"/>
            <w:sz w:val="24"/>
            <w:szCs w:val="24"/>
          </w:rPr>
          <w:t>https://doi.org/10.1080/10871209.2014.853330</w:t>
        </w:r>
      </w:hyperlink>
    </w:p>
    <w:p w:rsidR="00065867" w:rsidRPr="00065867" w:rsidRDefault="00065867" w:rsidP="00ED75B9">
      <w:pPr>
        <w:numPr>
          <w:ilvl w:val="0"/>
          <w:numId w:val="6"/>
        </w:numPr>
        <w:spacing w:line="240" w:lineRule="auto"/>
        <w:jc w:val="both"/>
        <w:rPr>
          <w:rFonts w:ascii="Times New Roman" w:hAnsi="Times New Roman" w:cs="Times New Roman"/>
          <w:sz w:val="24"/>
          <w:szCs w:val="24"/>
        </w:rPr>
      </w:pPr>
      <w:proofErr w:type="spellStart"/>
      <w:r w:rsidRPr="00065867">
        <w:rPr>
          <w:rFonts w:ascii="Times New Roman" w:hAnsi="Times New Roman" w:cs="Times New Roman"/>
          <w:sz w:val="24"/>
          <w:szCs w:val="24"/>
        </w:rPr>
        <w:t>Pattekar</w:t>
      </w:r>
      <w:proofErr w:type="spellEnd"/>
      <w:r w:rsidRPr="00065867">
        <w:rPr>
          <w:rFonts w:ascii="Times New Roman" w:hAnsi="Times New Roman" w:cs="Times New Roman"/>
          <w:sz w:val="24"/>
          <w:szCs w:val="24"/>
        </w:rPr>
        <w:t xml:space="preserve">, S., Verma, S., </w:t>
      </w:r>
      <w:proofErr w:type="spellStart"/>
      <w:r w:rsidRPr="00065867">
        <w:rPr>
          <w:rFonts w:ascii="Times New Roman" w:hAnsi="Times New Roman" w:cs="Times New Roman"/>
          <w:sz w:val="24"/>
          <w:szCs w:val="24"/>
        </w:rPr>
        <w:t>Arif</w:t>
      </w:r>
      <w:proofErr w:type="spellEnd"/>
      <w:r w:rsidRPr="00065867">
        <w:rPr>
          <w:rFonts w:ascii="Times New Roman" w:hAnsi="Times New Roman" w:cs="Times New Roman"/>
          <w:sz w:val="24"/>
          <w:szCs w:val="24"/>
        </w:rPr>
        <w:t xml:space="preserve">, </w:t>
      </w:r>
      <w:proofErr w:type="spellStart"/>
      <w:r w:rsidRPr="00065867">
        <w:rPr>
          <w:rFonts w:ascii="Times New Roman" w:hAnsi="Times New Roman" w:cs="Times New Roman"/>
          <w:sz w:val="24"/>
          <w:szCs w:val="24"/>
        </w:rPr>
        <w:t>Salaria</w:t>
      </w:r>
      <w:proofErr w:type="spellEnd"/>
      <w:r w:rsidRPr="00065867">
        <w:rPr>
          <w:rFonts w:ascii="Times New Roman" w:hAnsi="Times New Roman" w:cs="Times New Roman"/>
          <w:sz w:val="24"/>
          <w:szCs w:val="24"/>
        </w:rPr>
        <w:t xml:space="preserve">, S., </w:t>
      </w:r>
      <w:proofErr w:type="spellStart"/>
      <w:r w:rsidRPr="00065867">
        <w:rPr>
          <w:rFonts w:ascii="Times New Roman" w:hAnsi="Times New Roman" w:cs="Times New Roman"/>
          <w:sz w:val="24"/>
          <w:szCs w:val="24"/>
        </w:rPr>
        <w:t>Chanchani</w:t>
      </w:r>
      <w:proofErr w:type="spellEnd"/>
      <w:r w:rsidRPr="00065867">
        <w:rPr>
          <w:rFonts w:ascii="Times New Roman" w:hAnsi="Times New Roman" w:cs="Times New Roman"/>
          <w:sz w:val="24"/>
          <w:szCs w:val="24"/>
        </w:rPr>
        <w:t xml:space="preserve">, P., Maurya, K. K., Ojha, G., Mall, A., Narayan, N., &amp; Roy, H. K. (2021). </w:t>
      </w:r>
      <w:r w:rsidRPr="00065867">
        <w:rPr>
          <w:rFonts w:ascii="Times New Roman" w:hAnsi="Times New Roman" w:cs="Times New Roman"/>
          <w:i/>
          <w:iCs/>
          <w:sz w:val="24"/>
          <w:szCs w:val="24"/>
        </w:rPr>
        <w:t xml:space="preserve">Status of tigers and prey in Valmiki Tiger Reserve, </w:t>
      </w:r>
      <w:proofErr w:type="spellStart"/>
      <w:r w:rsidRPr="00065867">
        <w:rPr>
          <w:rFonts w:ascii="Times New Roman" w:hAnsi="Times New Roman" w:cs="Times New Roman"/>
          <w:i/>
          <w:iCs/>
          <w:sz w:val="24"/>
          <w:szCs w:val="24"/>
        </w:rPr>
        <w:t>Terai</w:t>
      </w:r>
      <w:proofErr w:type="spellEnd"/>
      <w:r w:rsidRPr="00065867">
        <w:rPr>
          <w:rFonts w:ascii="Times New Roman" w:hAnsi="Times New Roman" w:cs="Times New Roman"/>
          <w:i/>
          <w:iCs/>
          <w:sz w:val="24"/>
          <w:szCs w:val="24"/>
        </w:rPr>
        <w:t xml:space="preserve"> Arc Landscape, Bihar, India</w:t>
      </w:r>
      <w:r w:rsidRPr="00065867">
        <w:rPr>
          <w:rFonts w:ascii="Times New Roman" w:hAnsi="Times New Roman" w:cs="Times New Roman"/>
          <w:sz w:val="24"/>
          <w:szCs w:val="24"/>
        </w:rPr>
        <w:t>. WWF-India.</w:t>
      </w:r>
    </w:p>
    <w:p w:rsidR="00065867" w:rsidRPr="00065867" w:rsidRDefault="00DD0C78" w:rsidP="00ED75B9">
      <w:pPr>
        <w:numPr>
          <w:ilvl w:val="0"/>
          <w:numId w:val="6"/>
        </w:numPr>
        <w:spacing w:line="240" w:lineRule="auto"/>
        <w:jc w:val="both"/>
        <w:rPr>
          <w:rFonts w:ascii="Times New Roman" w:hAnsi="Times New Roman" w:cs="Times New Roman"/>
          <w:sz w:val="24"/>
          <w:szCs w:val="24"/>
        </w:rPr>
      </w:pPr>
      <w:proofErr w:type="spellStart"/>
      <w:r w:rsidRPr="00DD0C78">
        <w:rPr>
          <w:rFonts w:ascii="Times New Roman" w:hAnsi="Times New Roman" w:cs="Times New Roman"/>
          <w:sz w:val="24"/>
          <w:szCs w:val="24"/>
        </w:rPr>
        <w:t>Silwal</w:t>
      </w:r>
      <w:proofErr w:type="spellEnd"/>
      <w:r w:rsidRPr="00DD0C78">
        <w:rPr>
          <w:rFonts w:ascii="Times New Roman" w:hAnsi="Times New Roman" w:cs="Times New Roman"/>
          <w:sz w:val="24"/>
          <w:szCs w:val="24"/>
        </w:rPr>
        <w:t xml:space="preserve">, T., </w:t>
      </w:r>
      <w:proofErr w:type="spellStart"/>
      <w:r w:rsidRPr="00DD0C78">
        <w:rPr>
          <w:rFonts w:ascii="Times New Roman" w:hAnsi="Times New Roman" w:cs="Times New Roman"/>
          <w:sz w:val="24"/>
          <w:szCs w:val="24"/>
        </w:rPr>
        <w:t>Kolejka</w:t>
      </w:r>
      <w:proofErr w:type="spellEnd"/>
      <w:r w:rsidRPr="00DD0C78">
        <w:rPr>
          <w:rFonts w:ascii="Times New Roman" w:hAnsi="Times New Roman" w:cs="Times New Roman"/>
          <w:sz w:val="24"/>
          <w:szCs w:val="24"/>
        </w:rPr>
        <w:t xml:space="preserve">, J., Bhatta, B. P., </w:t>
      </w:r>
      <w:proofErr w:type="spellStart"/>
      <w:r w:rsidRPr="00DD0C78">
        <w:rPr>
          <w:rFonts w:ascii="Times New Roman" w:hAnsi="Times New Roman" w:cs="Times New Roman"/>
          <w:sz w:val="24"/>
          <w:szCs w:val="24"/>
        </w:rPr>
        <w:t>Rayamajhi</w:t>
      </w:r>
      <w:proofErr w:type="spellEnd"/>
      <w:r w:rsidRPr="00DD0C78">
        <w:rPr>
          <w:rFonts w:ascii="Times New Roman" w:hAnsi="Times New Roman" w:cs="Times New Roman"/>
          <w:sz w:val="24"/>
          <w:szCs w:val="24"/>
        </w:rPr>
        <w:t xml:space="preserve">, S., Sharma, R. P., &amp; Poudel, B. S. (2017). When, where and whom: Assessing wildlife attacks on people in Chitwan National Park, Nepal. Oryx, 51(2), 370–377. </w:t>
      </w:r>
      <w:hyperlink r:id="rId23" w:history="1">
        <w:r w:rsidRPr="000D5FD9">
          <w:rPr>
            <w:rStyle w:val="Hyperlink"/>
            <w:rFonts w:ascii="Times New Roman" w:hAnsi="Times New Roman" w:cs="Times New Roman"/>
            <w:sz w:val="24"/>
            <w:szCs w:val="24"/>
          </w:rPr>
          <w:t>https://doi.org/10.1017/S0030605315001489</w:t>
        </w:r>
      </w:hyperlink>
    </w:p>
    <w:p w:rsidR="00065867" w:rsidRPr="00065867" w:rsidRDefault="0033536F" w:rsidP="00ED75B9">
      <w:pPr>
        <w:numPr>
          <w:ilvl w:val="0"/>
          <w:numId w:val="6"/>
        </w:numPr>
        <w:spacing w:line="240" w:lineRule="auto"/>
        <w:jc w:val="both"/>
        <w:rPr>
          <w:rFonts w:ascii="Times New Roman" w:hAnsi="Times New Roman" w:cs="Times New Roman"/>
          <w:sz w:val="24"/>
          <w:szCs w:val="24"/>
        </w:rPr>
      </w:pPr>
      <w:proofErr w:type="spellStart"/>
      <w:r w:rsidRPr="0033536F">
        <w:rPr>
          <w:rFonts w:ascii="Times New Roman" w:hAnsi="Times New Roman" w:cs="Times New Roman"/>
          <w:sz w:val="24"/>
          <w:szCs w:val="24"/>
        </w:rPr>
        <w:t>Studsrød</w:t>
      </w:r>
      <w:proofErr w:type="spellEnd"/>
      <w:r w:rsidRPr="0033536F">
        <w:rPr>
          <w:rFonts w:ascii="Times New Roman" w:hAnsi="Times New Roman" w:cs="Times New Roman"/>
          <w:sz w:val="24"/>
          <w:szCs w:val="24"/>
        </w:rPr>
        <w:t>, J. E., &amp;</w:t>
      </w:r>
      <w:proofErr w:type="spellStart"/>
      <w:r w:rsidRPr="0033536F">
        <w:rPr>
          <w:rFonts w:ascii="Times New Roman" w:hAnsi="Times New Roman" w:cs="Times New Roman"/>
          <w:sz w:val="24"/>
          <w:szCs w:val="24"/>
        </w:rPr>
        <w:t>Wegge</w:t>
      </w:r>
      <w:proofErr w:type="spellEnd"/>
      <w:r w:rsidRPr="0033536F">
        <w:rPr>
          <w:rFonts w:ascii="Times New Roman" w:hAnsi="Times New Roman" w:cs="Times New Roman"/>
          <w:sz w:val="24"/>
          <w:szCs w:val="24"/>
        </w:rPr>
        <w:t xml:space="preserve">, P. (1995). Park-people relationships: The case of damage caused by park animals around the Royal </w:t>
      </w:r>
      <w:proofErr w:type="spellStart"/>
      <w:r w:rsidRPr="0033536F">
        <w:rPr>
          <w:rFonts w:ascii="Times New Roman" w:hAnsi="Times New Roman" w:cs="Times New Roman"/>
          <w:sz w:val="24"/>
          <w:szCs w:val="24"/>
        </w:rPr>
        <w:t>Bardia</w:t>
      </w:r>
      <w:proofErr w:type="spellEnd"/>
      <w:r w:rsidRPr="0033536F">
        <w:rPr>
          <w:rFonts w:ascii="Times New Roman" w:hAnsi="Times New Roman" w:cs="Times New Roman"/>
          <w:sz w:val="24"/>
          <w:szCs w:val="24"/>
        </w:rPr>
        <w:t xml:space="preserve"> National Park, Nepal. Environmental Conservation, 22(2), 133–142. </w:t>
      </w:r>
      <w:hyperlink r:id="rId24" w:history="1">
        <w:r w:rsidRPr="000D5FD9">
          <w:rPr>
            <w:rStyle w:val="Hyperlink"/>
            <w:rFonts w:ascii="Times New Roman" w:hAnsi="Times New Roman" w:cs="Times New Roman"/>
            <w:sz w:val="24"/>
            <w:szCs w:val="24"/>
          </w:rPr>
          <w:t>https://doi.org/10.1017/S0376892900010183</w:t>
        </w:r>
      </w:hyperlink>
    </w:p>
    <w:p w:rsidR="00065867" w:rsidRPr="00065867" w:rsidRDefault="005660F9" w:rsidP="00ED75B9">
      <w:pPr>
        <w:numPr>
          <w:ilvl w:val="0"/>
          <w:numId w:val="6"/>
        </w:numPr>
        <w:spacing w:line="240" w:lineRule="auto"/>
        <w:jc w:val="both"/>
        <w:rPr>
          <w:rFonts w:ascii="Times New Roman" w:hAnsi="Times New Roman" w:cs="Times New Roman"/>
          <w:sz w:val="24"/>
          <w:szCs w:val="24"/>
        </w:rPr>
      </w:pPr>
      <w:r w:rsidRPr="005660F9">
        <w:rPr>
          <w:rFonts w:ascii="Times New Roman" w:hAnsi="Times New Roman" w:cs="Times New Roman"/>
          <w:sz w:val="24"/>
          <w:szCs w:val="24"/>
        </w:rPr>
        <w:t xml:space="preserve">Sukumar, R. (2003). The living elephants: Evolutionary ecology, </w:t>
      </w:r>
      <w:proofErr w:type="spellStart"/>
      <w:r w:rsidRPr="005660F9">
        <w:rPr>
          <w:rFonts w:ascii="Times New Roman" w:hAnsi="Times New Roman" w:cs="Times New Roman"/>
          <w:sz w:val="24"/>
          <w:szCs w:val="24"/>
        </w:rPr>
        <w:t>behavior</w:t>
      </w:r>
      <w:proofErr w:type="spellEnd"/>
      <w:r w:rsidRPr="005660F9">
        <w:rPr>
          <w:rFonts w:ascii="Times New Roman" w:hAnsi="Times New Roman" w:cs="Times New Roman"/>
          <w:sz w:val="24"/>
          <w:szCs w:val="24"/>
        </w:rPr>
        <w:t xml:space="preserve">, and conservation. Oxford University Press. </w:t>
      </w:r>
      <w:hyperlink r:id="rId25" w:history="1">
        <w:r w:rsidRPr="000D5FD9">
          <w:rPr>
            <w:rStyle w:val="Hyperlink"/>
            <w:rFonts w:ascii="Times New Roman" w:hAnsi="Times New Roman" w:cs="Times New Roman"/>
            <w:sz w:val="24"/>
            <w:szCs w:val="24"/>
          </w:rPr>
          <w:t>https://global.oup.com/academic/product/the-living-elephants-9780195107784</w:t>
        </w:r>
      </w:hyperlink>
    </w:p>
    <w:p w:rsidR="00065867" w:rsidRPr="00065867" w:rsidRDefault="004A5520" w:rsidP="00ED75B9">
      <w:pPr>
        <w:numPr>
          <w:ilvl w:val="0"/>
          <w:numId w:val="6"/>
        </w:numPr>
        <w:spacing w:line="240" w:lineRule="auto"/>
        <w:jc w:val="both"/>
        <w:rPr>
          <w:rFonts w:ascii="Times New Roman" w:hAnsi="Times New Roman" w:cs="Times New Roman"/>
          <w:sz w:val="24"/>
          <w:szCs w:val="24"/>
        </w:rPr>
      </w:pPr>
      <w:r w:rsidRPr="004A5520">
        <w:rPr>
          <w:rFonts w:ascii="Times New Roman" w:hAnsi="Times New Roman" w:cs="Times New Roman"/>
          <w:sz w:val="24"/>
          <w:szCs w:val="24"/>
        </w:rPr>
        <w:t>Treves, A., &amp;</w:t>
      </w:r>
      <w:proofErr w:type="spellStart"/>
      <w:r w:rsidRPr="004A5520">
        <w:rPr>
          <w:rFonts w:ascii="Times New Roman" w:hAnsi="Times New Roman" w:cs="Times New Roman"/>
          <w:sz w:val="24"/>
          <w:szCs w:val="24"/>
        </w:rPr>
        <w:t>Karanth</w:t>
      </w:r>
      <w:proofErr w:type="spellEnd"/>
      <w:r w:rsidRPr="004A5520">
        <w:rPr>
          <w:rFonts w:ascii="Times New Roman" w:hAnsi="Times New Roman" w:cs="Times New Roman"/>
          <w:sz w:val="24"/>
          <w:szCs w:val="24"/>
        </w:rPr>
        <w:t xml:space="preserve">, K. U. (2003). Human–carnivore conflict and perspectives on carnivore management worldwide. Conservation Biology, 17(6), 1491–1499. </w:t>
      </w:r>
      <w:hyperlink r:id="rId26" w:history="1">
        <w:r w:rsidRPr="000D5FD9">
          <w:rPr>
            <w:rStyle w:val="Hyperlink"/>
            <w:rFonts w:ascii="Times New Roman" w:hAnsi="Times New Roman" w:cs="Times New Roman"/>
            <w:sz w:val="24"/>
            <w:szCs w:val="24"/>
          </w:rPr>
          <w:t>https://doi.org/10.1111/j.1523-1739.2003.00059.x</w:t>
        </w:r>
      </w:hyperlink>
    </w:p>
    <w:p w:rsidR="00065867" w:rsidRPr="00065867" w:rsidRDefault="00804691" w:rsidP="00ED75B9">
      <w:pPr>
        <w:numPr>
          <w:ilvl w:val="0"/>
          <w:numId w:val="6"/>
        </w:numPr>
        <w:spacing w:line="240" w:lineRule="auto"/>
        <w:jc w:val="both"/>
        <w:rPr>
          <w:rFonts w:ascii="Times New Roman" w:hAnsi="Times New Roman" w:cs="Times New Roman"/>
          <w:sz w:val="24"/>
          <w:szCs w:val="24"/>
        </w:rPr>
      </w:pPr>
      <w:r w:rsidRPr="00804691">
        <w:rPr>
          <w:rFonts w:ascii="Times New Roman" w:hAnsi="Times New Roman" w:cs="Times New Roman"/>
          <w:sz w:val="24"/>
          <w:szCs w:val="24"/>
        </w:rPr>
        <w:t xml:space="preserve">White, P. C. L., Jennings, N. V., Renwick, A. R., &amp; Barker, N. H. L. (2005). Questionnaires in ecology: A review of past use and recommendations for best practice. Journal of Applied Ecology, 42(3), 421–430. </w:t>
      </w:r>
      <w:hyperlink r:id="rId27" w:history="1">
        <w:r w:rsidRPr="000D5FD9">
          <w:rPr>
            <w:rStyle w:val="Hyperlink"/>
            <w:rFonts w:ascii="Times New Roman" w:hAnsi="Times New Roman" w:cs="Times New Roman"/>
            <w:sz w:val="24"/>
            <w:szCs w:val="24"/>
          </w:rPr>
          <w:t>https://doi.org/10.1111/j.1365-2664.2005.01032.x</w:t>
        </w:r>
      </w:hyperlink>
    </w:p>
    <w:p w:rsidR="00065867" w:rsidRPr="00401C75" w:rsidRDefault="00804691" w:rsidP="00ED75B9">
      <w:pPr>
        <w:numPr>
          <w:ilvl w:val="0"/>
          <w:numId w:val="6"/>
        </w:numPr>
        <w:spacing w:line="240" w:lineRule="auto"/>
        <w:jc w:val="both"/>
        <w:rPr>
          <w:rStyle w:val="Hyperlink"/>
          <w:rFonts w:ascii="Times New Roman" w:hAnsi="Times New Roman" w:cs="Times New Roman"/>
          <w:color w:val="auto"/>
          <w:sz w:val="24"/>
          <w:szCs w:val="24"/>
          <w:u w:val="none"/>
        </w:rPr>
      </w:pPr>
      <w:r w:rsidRPr="00804691">
        <w:rPr>
          <w:rFonts w:ascii="Times New Roman" w:hAnsi="Times New Roman" w:cs="Times New Roman"/>
          <w:sz w:val="24"/>
          <w:szCs w:val="24"/>
        </w:rPr>
        <w:t xml:space="preserve">Woodroffe, R., </w:t>
      </w:r>
      <w:proofErr w:type="spellStart"/>
      <w:r w:rsidRPr="00804691">
        <w:rPr>
          <w:rFonts w:ascii="Times New Roman" w:hAnsi="Times New Roman" w:cs="Times New Roman"/>
          <w:sz w:val="24"/>
          <w:szCs w:val="24"/>
        </w:rPr>
        <w:t>Thirgood</w:t>
      </w:r>
      <w:proofErr w:type="spellEnd"/>
      <w:r w:rsidRPr="00804691">
        <w:rPr>
          <w:rFonts w:ascii="Times New Roman" w:hAnsi="Times New Roman" w:cs="Times New Roman"/>
          <w:sz w:val="24"/>
          <w:szCs w:val="24"/>
        </w:rPr>
        <w:t xml:space="preserve">, S., &amp; Rabinowitz, A. (2005). People and wildlife: Conflict or coexistence? Cambridge University Press. </w:t>
      </w:r>
      <w:hyperlink r:id="rId28" w:history="1">
        <w:r w:rsidRPr="000D5FD9">
          <w:rPr>
            <w:rStyle w:val="Hyperlink"/>
            <w:rFonts w:ascii="Times New Roman" w:hAnsi="Times New Roman" w:cs="Times New Roman"/>
            <w:sz w:val="24"/>
            <w:szCs w:val="24"/>
          </w:rPr>
          <w:t>https://doi.org/10.1017/CBO9780511614774</w:t>
        </w:r>
      </w:hyperlink>
    </w:p>
    <w:p w:rsidR="00401C75" w:rsidRDefault="00401C75" w:rsidP="00ED75B9">
      <w:pPr>
        <w:numPr>
          <w:ilvl w:val="0"/>
          <w:numId w:val="6"/>
        </w:numPr>
        <w:spacing w:line="240" w:lineRule="auto"/>
        <w:jc w:val="both"/>
        <w:rPr>
          <w:rFonts w:ascii="Times New Roman" w:hAnsi="Times New Roman" w:cs="Times New Roman"/>
          <w:sz w:val="24"/>
          <w:szCs w:val="24"/>
        </w:rPr>
      </w:pPr>
      <w:r w:rsidRPr="00401C75">
        <w:rPr>
          <w:rFonts w:ascii="Times New Roman" w:hAnsi="Times New Roman" w:cs="Times New Roman"/>
          <w:sz w:val="24"/>
          <w:szCs w:val="24"/>
        </w:rPr>
        <w:t xml:space="preserve">Masood Ahmad Dar, T. A. Rather, M. A. Islam &amp; </w:t>
      </w:r>
      <w:proofErr w:type="spellStart"/>
      <w:r w:rsidRPr="00401C75">
        <w:rPr>
          <w:rFonts w:ascii="Times New Roman" w:hAnsi="Times New Roman" w:cs="Times New Roman"/>
          <w:sz w:val="24"/>
          <w:szCs w:val="24"/>
        </w:rPr>
        <w:t>Shazia</w:t>
      </w:r>
      <w:proofErr w:type="spellEnd"/>
      <w:r w:rsidRPr="00401C75">
        <w:rPr>
          <w:rFonts w:ascii="Times New Roman" w:hAnsi="Times New Roman" w:cs="Times New Roman"/>
          <w:sz w:val="24"/>
          <w:szCs w:val="24"/>
        </w:rPr>
        <w:t xml:space="preserve"> Tariq. (2022). Human–Wildlife Conflict and Attitude of Local People to Wildlife Conservation around </w:t>
      </w:r>
      <w:proofErr w:type="spellStart"/>
      <w:r w:rsidRPr="00401C75">
        <w:rPr>
          <w:rFonts w:ascii="Times New Roman" w:hAnsi="Times New Roman" w:cs="Times New Roman"/>
          <w:sz w:val="24"/>
          <w:szCs w:val="24"/>
        </w:rPr>
        <w:t>Dachigam</w:t>
      </w:r>
      <w:proofErr w:type="spellEnd"/>
      <w:r w:rsidRPr="00401C75">
        <w:rPr>
          <w:rFonts w:ascii="Times New Roman" w:hAnsi="Times New Roman" w:cs="Times New Roman"/>
          <w:sz w:val="24"/>
          <w:szCs w:val="24"/>
        </w:rPr>
        <w:t xml:space="preserve"> National Park, Kashmir (India). International Journal of Environment and Climate Change, 12(12), 57–68. </w:t>
      </w:r>
      <w:hyperlink r:id="rId29" w:history="1">
        <w:r w:rsidRPr="00810204">
          <w:rPr>
            <w:rStyle w:val="Hyperlink"/>
            <w:rFonts w:ascii="Times New Roman" w:hAnsi="Times New Roman" w:cs="Times New Roman"/>
            <w:sz w:val="24"/>
            <w:szCs w:val="24"/>
          </w:rPr>
          <w:t>https://doi.org/10.9734/ijecc/2022/v12i121438</w:t>
        </w:r>
      </w:hyperlink>
    </w:p>
    <w:p w:rsidR="00401C75" w:rsidRPr="00065867" w:rsidRDefault="00401C75" w:rsidP="00ED75B9">
      <w:pPr>
        <w:numPr>
          <w:ilvl w:val="0"/>
          <w:numId w:val="6"/>
        </w:numPr>
        <w:spacing w:line="240" w:lineRule="auto"/>
        <w:jc w:val="both"/>
        <w:rPr>
          <w:rFonts w:ascii="Times New Roman" w:hAnsi="Times New Roman" w:cs="Times New Roman"/>
          <w:sz w:val="24"/>
          <w:szCs w:val="24"/>
        </w:rPr>
      </w:pPr>
      <w:r w:rsidRPr="00401C75">
        <w:rPr>
          <w:rFonts w:ascii="Times New Roman" w:hAnsi="Times New Roman" w:cs="Times New Roman"/>
          <w:sz w:val="24"/>
          <w:szCs w:val="24"/>
        </w:rPr>
        <w:lastRenderedPageBreak/>
        <w:t xml:space="preserve">Nawal Kishor Singh, Prachi </w:t>
      </w:r>
      <w:proofErr w:type="spellStart"/>
      <w:r w:rsidRPr="00401C75">
        <w:rPr>
          <w:rFonts w:ascii="Times New Roman" w:hAnsi="Times New Roman" w:cs="Times New Roman"/>
          <w:sz w:val="24"/>
          <w:szCs w:val="24"/>
        </w:rPr>
        <w:t>Chandrakar</w:t>
      </w:r>
      <w:proofErr w:type="spellEnd"/>
      <w:r w:rsidRPr="00401C75">
        <w:rPr>
          <w:rFonts w:ascii="Times New Roman" w:hAnsi="Times New Roman" w:cs="Times New Roman"/>
          <w:sz w:val="24"/>
          <w:szCs w:val="24"/>
        </w:rPr>
        <w:t xml:space="preserve">, </w:t>
      </w:r>
      <w:proofErr w:type="spellStart"/>
      <w:r w:rsidRPr="00401C75">
        <w:rPr>
          <w:rFonts w:ascii="Times New Roman" w:hAnsi="Times New Roman" w:cs="Times New Roman"/>
          <w:sz w:val="24"/>
          <w:szCs w:val="24"/>
        </w:rPr>
        <w:t>Mahanthesh</w:t>
      </w:r>
      <w:proofErr w:type="spellEnd"/>
      <w:r w:rsidRPr="00401C75">
        <w:rPr>
          <w:rFonts w:ascii="Times New Roman" w:hAnsi="Times New Roman" w:cs="Times New Roman"/>
          <w:sz w:val="24"/>
          <w:szCs w:val="24"/>
        </w:rPr>
        <w:t xml:space="preserve"> M.T, Thomas Taye, Indra Pratap Singh, Vivek Pratap Singh, </w:t>
      </w:r>
      <w:proofErr w:type="spellStart"/>
      <w:r w:rsidRPr="00401C75">
        <w:rPr>
          <w:rFonts w:ascii="Times New Roman" w:hAnsi="Times New Roman" w:cs="Times New Roman"/>
          <w:sz w:val="24"/>
          <w:szCs w:val="24"/>
        </w:rPr>
        <w:t>Swarnalata</w:t>
      </w:r>
      <w:proofErr w:type="spellEnd"/>
      <w:r w:rsidRPr="00401C75">
        <w:rPr>
          <w:rFonts w:ascii="Times New Roman" w:hAnsi="Times New Roman" w:cs="Times New Roman"/>
          <w:sz w:val="24"/>
          <w:szCs w:val="24"/>
        </w:rPr>
        <w:t xml:space="preserve"> Bara &amp; </w:t>
      </w:r>
      <w:proofErr w:type="spellStart"/>
      <w:r w:rsidRPr="00401C75">
        <w:rPr>
          <w:rFonts w:ascii="Times New Roman" w:hAnsi="Times New Roman" w:cs="Times New Roman"/>
          <w:sz w:val="24"/>
          <w:szCs w:val="24"/>
        </w:rPr>
        <w:t>Udharwar</w:t>
      </w:r>
      <w:proofErr w:type="spellEnd"/>
      <w:r w:rsidRPr="00401C75">
        <w:rPr>
          <w:rFonts w:ascii="Times New Roman" w:hAnsi="Times New Roman" w:cs="Times New Roman"/>
          <w:sz w:val="24"/>
          <w:szCs w:val="24"/>
        </w:rPr>
        <w:t xml:space="preserve"> </w:t>
      </w:r>
      <w:proofErr w:type="spellStart"/>
      <w:r w:rsidRPr="00401C75">
        <w:rPr>
          <w:rFonts w:ascii="Times New Roman" w:hAnsi="Times New Roman" w:cs="Times New Roman"/>
          <w:sz w:val="24"/>
          <w:szCs w:val="24"/>
        </w:rPr>
        <w:t>Sanjaykumar</w:t>
      </w:r>
      <w:proofErr w:type="spellEnd"/>
      <w:r w:rsidRPr="00401C75">
        <w:rPr>
          <w:rFonts w:ascii="Times New Roman" w:hAnsi="Times New Roman" w:cs="Times New Roman"/>
          <w:sz w:val="24"/>
          <w:szCs w:val="24"/>
        </w:rPr>
        <w:t xml:space="preserve"> </w:t>
      </w:r>
      <w:proofErr w:type="spellStart"/>
      <w:r w:rsidRPr="00401C75">
        <w:rPr>
          <w:rFonts w:ascii="Times New Roman" w:hAnsi="Times New Roman" w:cs="Times New Roman"/>
          <w:sz w:val="24"/>
          <w:szCs w:val="24"/>
        </w:rPr>
        <w:t>Vithalrao</w:t>
      </w:r>
      <w:proofErr w:type="spellEnd"/>
      <w:r w:rsidRPr="00401C75">
        <w:rPr>
          <w:rFonts w:ascii="Times New Roman" w:hAnsi="Times New Roman" w:cs="Times New Roman"/>
          <w:sz w:val="24"/>
          <w:szCs w:val="24"/>
        </w:rPr>
        <w:t>. (2025). Environmental Impact and Mitigation Approaches in Livestock Production Systems: A Review. Archives of Current Research International, 25(8), 351–364. https://doi.org/10.9734/acri/2025/v25i81423</w:t>
      </w:r>
    </w:p>
    <w:p w:rsidR="00D93AF6" w:rsidRPr="009F21F1" w:rsidRDefault="00D93AF6" w:rsidP="00065867">
      <w:pPr>
        <w:spacing w:line="240" w:lineRule="auto"/>
        <w:ind w:left="360"/>
        <w:jc w:val="both"/>
        <w:rPr>
          <w:rFonts w:ascii="Times New Roman" w:hAnsi="Times New Roman" w:cs="Times New Roman"/>
          <w:sz w:val="24"/>
          <w:szCs w:val="24"/>
        </w:rPr>
      </w:pPr>
    </w:p>
    <w:sectPr w:rsidR="00D93AF6" w:rsidRPr="009F21F1" w:rsidSect="001F201E">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FF5" w:rsidRDefault="00FA6FF5" w:rsidP="00685BCB">
      <w:pPr>
        <w:spacing w:after="0" w:line="240" w:lineRule="auto"/>
      </w:pPr>
      <w:r>
        <w:separator/>
      </w:r>
    </w:p>
  </w:endnote>
  <w:endnote w:type="continuationSeparator" w:id="0">
    <w:p w:rsidR="00FA6FF5" w:rsidRDefault="00FA6FF5" w:rsidP="00685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6FE" w:rsidRDefault="006D4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6FE" w:rsidRDefault="006D4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6FE" w:rsidRDefault="006D4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FF5" w:rsidRDefault="00FA6FF5" w:rsidP="00685BCB">
      <w:pPr>
        <w:spacing w:after="0" w:line="240" w:lineRule="auto"/>
      </w:pPr>
      <w:r>
        <w:separator/>
      </w:r>
    </w:p>
  </w:footnote>
  <w:footnote w:type="continuationSeparator" w:id="0">
    <w:p w:rsidR="00FA6FF5" w:rsidRDefault="00FA6FF5" w:rsidP="00685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6FE" w:rsidRDefault="00FA6F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76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6FE" w:rsidRDefault="00FA6F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76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6FE" w:rsidRDefault="00FA6F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76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26CA6"/>
    <w:multiLevelType w:val="multilevel"/>
    <w:tmpl w:val="CFB25A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26FFD"/>
    <w:multiLevelType w:val="multilevel"/>
    <w:tmpl w:val="27D0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33708"/>
    <w:multiLevelType w:val="multilevel"/>
    <w:tmpl w:val="D288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E0B3B"/>
    <w:multiLevelType w:val="multilevel"/>
    <w:tmpl w:val="CFB25A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F708A"/>
    <w:multiLevelType w:val="multilevel"/>
    <w:tmpl w:val="38A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B16DD"/>
    <w:multiLevelType w:val="multilevel"/>
    <w:tmpl w:val="BC76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328A"/>
    <w:rsid w:val="00023B24"/>
    <w:rsid w:val="00046B69"/>
    <w:rsid w:val="00065867"/>
    <w:rsid w:val="000D0FA4"/>
    <w:rsid w:val="00177628"/>
    <w:rsid w:val="001C105B"/>
    <w:rsid w:val="001D5DAA"/>
    <w:rsid w:val="001F201E"/>
    <w:rsid w:val="002038D0"/>
    <w:rsid w:val="0026608F"/>
    <w:rsid w:val="002E60E2"/>
    <w:rsid w:val="002F45E9"/>
    <w:rsid w:val="0033536F"/>
    <w:rsid w:val="0034328A"/>
    <w:rsid w:val="003B4D54"/>
    <w:rsid w:val="003D65F2"/>
    <w:rsid w:val="003F00DE"/>
    <w:rsid w:val="003F2C93"/>
    <w:rsid w:val="00401C75"/>
    <w:rsid w:val="0040727A"/>
    <w:rsid w:val="004475ED"/>
    <w:rsid w:val="004545B6"/>
    <w:rsid w:val="00480E07"/>
    <w:rsid w:val="004A5520"/>
    <w:rsid w:val="004D03F0"/>
    <w:rsid w:val="004D5C75"/>
    <w:rsid w:val="00506C5F"/>
    <w:rsid w:val="00514801"/>
    <w:rsid w:val="005254E1"/>
    <w:rsid w:val="00544F23"/>
    <w:rsid w:val="00550A3D"/>
    <w:rsid w:val="005660F9"/>
    <w:rsid w:val="005A5DC9"/>
    <w:rsid w:val="005D1B6C"/>
    <w:rsid w:val="00615CD3"/>
    <w:rsid w:val="00627DA0"/>
    <w:rsid w:val="00674B15"/>
    <w:rsid w:val="00685BCB"/>
    <w:rsid w:val="006B35DD"/>
    <w:rsid w:val="006D2317"/>
    <w:rsid w:val="006D46FE"/>
    <w:rsid w:val="006E571A"/>
    <w:rsid w:val="00722FF9"/>
    <w:rsid w:val="00752F86"/>
    <w:rsid w:val="007C25C5"/>
    <w:rsid w:val="007D74E9"/>
    <w:rsid w:val="00804691"/>
    <w:rsid w:val="00871FC0"/>
    <w:rsid w:val="008E5BF2"/>
    <w:rsid w:val="00980028"/>
    <w:rsid w:val="00986760"/>
    <w:rsid w:val="009D3F7C"/>
    <w:rsid w:val="009F21F1"/>
    <w:rsid w:val="00A1114F"/>
    <w:rsid w:val="00A21AAE"/>
    <w:rsid w:val="00A515BE"/>
    <w:rsid w:val="00A60388"/>
    <w:rsid w:val="00A6330E"/>
    <w:rsid w:val="00A91363"/>
    <w:rsid w:val="00AC4597"/>
    <w:rsid w:val="00B57CAB"/>
    <w:rsid w:val="00B65C84"/>
    <w:rsid w:val="00BB6B9B"/>
    <w:rsid w:val="00C52E9B"/>
    <w:rsid w:val="00CB2195"/>
    <w:rsid w:val="00D93AF6"/>
    <w:rsid w:val="00DD0C78"/>
    <w:rsid w:val="00E469E2"/>
    <w:rsid w:val="00EB7454"/>
    <w:rsid w:val="00ED75B9"/>
    <w:rsid w:val="00F56EC6"/>
    <w:rsid w:val="00F633B0"/>
    <w:rsid w:val="00FA6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89C252"/>
  <w15:docId w15:val="{35BAAA8E-B8B4-4D46-9F9A-ED48E192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DAA"/>
    <w:pPr>
      <w:spacing w:after="200" w:line="276" w:lineRule="auto"/>
    </w:pPr>
    <w:rPr>
      <w:kern w:val="0"/>
      <w:sz w:val="22"/>
      <w:szCs w:val="22"/>
    </w:rPr>
  </w:style>
  <w:style w:type="paragraph" w:styleId="Heading1">
    <w:name w:val="heading 1"/>
    <w:basedOn w:val="Normal"/>
    <w:next w:val="Normal"/>
    <w:link w:val="Heading1Char"/>
    <w:uiPriority w:val="9"/>
    <w:qFormat/>
    <w:rsid w:val="00343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3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32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3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3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28A"/>
    <w:rPr>
      <w:rFonts w:eastAsiaTheme="majorEastAsia" w:cstheme="majorBidi"/>
      <w:color w:val="272727" w:themeColor="text1" w:themeTint="D8"/>
    </w:rPr>
  </w:style>
  <w:style w:type="paragraph" w:styleId="Title">
    <w:name w:val="Title"/>
    <w:basedOn w:val="Normal"/>
    <w:next w:val="Normal"/>
    <w:link w:val="TitleChar"/>
    <w:uiPriority w:val="10"/>
    <w:qFormat/>
    <w:rsid w:val="00343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28A"/>
    <w:pPr>
      <w:spacing w:before="160"/>
      <w:jc w:val="center"/>
    </w:pPr>
    <w:rPr>
      <w:i/>
      <w:iCs/>
      <w:color w:val="404040" w:themeColor="text1" w:themeTint="BF"/>
    </w:rPr>
  </w:style>
  <w:style w:type="character" w:customStyle="1" w:styleId="QuoteChar">
    <w:name w:val="Quote Char"/>
    <w:basedOn w:val="DefaultParagraphFont"/>
    <w:link w:val="Quote"/>
    <w:uiPriority w:val="29"/>
    <w:rsid w:val="0034328A"/>
    <w:rPr>
      <w:i/>
      <w:iCs/>
      <w:color w:val="404040" w:themeColor="text1" w:themeTint="BF"/>
    </w:rPr>
  </w:style>
  <w:style w:type="paragraph" w:styleId="ListParagraph">
    <w:name w:val="List Paragraph"/>
    <w:basedOn w:val="Normal"/>
    <w:uiPriority w:val="34"/>
    <w:qFormat/>
    <w:rsid w:val="0034328A"/>
    <w:pPr>
      <w:ind w:left="720"/>
      <w:contextualSpacing/>
    </w:pPr>
  </w:style>
  <w:style w:type="character" w:styleId="IntenseEmphasis">
    <w:name w:val="Intense Emphasis"/>
    <w:basedOn w:val="DefaultParagraphFont"/>
    <w:uiPriority w:val="21"/>
    <w:qFormat/>
    <w:rsid w:val="0034328A"/>
    <w:rPr>
      <w:i/>
      <w:iCs/>
      <w:color w:val="2F5496" w:themeColor="accent1" w:themeShade="BF"/>
    </w:rPr>
  </w:style>
  <w:style w:type="paragraph" w:styleId="IntenseQuote">
    <w:name w:val="Intense Quote"/>
    <w:basedOn w:val="Normal"/>
    <w:next w:val="Normal"/>
    <w:link w:val="IntenseQuoteChar"/>
    <w:uiPriority w:val="30"/>
    <w:qFormat/>
    <w:rsid w:val="00343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28A"/>
    <w:rPr>
      <w:i/>
      <w:iCs/>
      <w:color w:val="2F5496" w:themeColor="accent1" w:themeShade="BF"/>
    </w:rPr>
  </w:style>
  <w:style w:type="character" w:styleId="IntenseReference">
    <w:name w:val="Intense Reference"/>
    <w:basedOn w:val="DefaultParagraphFont"/>
    <w:uiPriority w:val="32"/>
    <w:qFormat/>
    <w:rsid w:val="0034328A"/>
    <w:rPr>
      <w:b/>
      <w:bCs/>
      <w:smallCaps/>
      <w:color w:val="2F5496" w:themeColor="accent1" w:themeShade="BF"/>
      <w:spacing w:val="5"/>
    </w:rPr>
  </w:style>
  <w:style w:type="character" w:styleId="Hyperlink">
    <w:name w:val="Hyperlink"/>
    <w:basedOn w:val="DefaultParagraphFont"/>
    <w:uiPriority w:val="99"/>
    <w:unhideWhenUsed/>
    <w:rsid w:val="00065867"/>
    <w:rPr>
      <w:color w:val="0563C1" w:themeColor="hyperlink"/>
      <w:u w:val="single"/>
    </w:rPr>
  </w:style>
  <w:style w:type="character" w:customStyle="1" w:styleId="UnresolvedMention1">
    <w:name w:val="Unresolved Mention1"/>
    <w:basedOn w:val="DefaultParagraphFont"/>
    <w:uiPriority w:val="99"/>
    <w:semiHidden/>
    <w:unhideWhenUsed/>
    <w:rsid w:val="00065867"/>
    <w:rPr>
      <w:color w:val="605E5C"/>
      <w:shd w:val="clear" w:color="auto" w:fill="E1DFDD"/>
    </w:rPr>
  </w:style>
  <w:style w:type="paragraph" w:styleId="Header">
    <w:name w:val="header"/>
    <w:basedOn w:val="Normal"/>
    <w:link w:val="HeaderChar"/>
    <w:uiPriority w:val="99"/>
    <w:unhideWhenUsed/>
    <w:rsid w:val="00685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BCB"/>
    <w:rPr>
      <w:kern w:val="0"/>
      <w:sz w:val="22"/>
      <w:szCs w:val="22"/>
    </w:rPr>
  </w:style>
  <w:style w:type="paragraph" w:styleId="Footer">
    <w:name w:val="footer"/>
    <w:basedOn w:val="Normal"/>
    <w:link w:val="FooterChar"/>
    <w:uiPriority w:val="99"/>
    <w:unhideWhenUsed/>
    <w:rsid w:val="00685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BCB"/>
    <w:rPr>
      <w:kern w:val="0"/>
      <w:sz w:val="22"/>
      <w:szCs w:val="22"/>
    </w:rPr>
  </w:style>
  <w:style w:type="paragraph" w:styleId="BalloonText">
    <w:name w:val="Balloon Text"/>
    <w:basedOn w:val="Normal"/>
    <w:link w:val="BalloonTextChar"/>
    <w:uiPriority w:val="99"/>
    <w:semiHidden/>
    <w:unhideWhenUsed/>
    <w:rsid w:val="00615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CD3"/>
    <w:rPr>
      <w:rFonts w:ascii="Tahoma" w:hAnsi="Tahoma" w:cs="Tahoma"/>
      <w:kern w:val="0"/>
      <w:sz w:val="16"/>
      <w:szCs w:val="16"/>
    </w:rPr>
  </w:style>
  <w:style w:type="character" w:styleId="UnresolvedMention">
    <w:name w:val="Unresolved Mention"/>
    <w:basedOn w:val="DefaultParagraphFont"/>
    <w:uiPriority w:val="99"/>
    <w:semiHidden/>
    <w:unhideWhenUsed/>
    <w:rsid w:val="00401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499616">
      <w:bodyDiv w:val="1"/>
      <w:marLeft w:val="0"/>
      <w:marRight w:val="0"/>
      <w:marTop w:val="0"/>
      <w:marBottom w:val="0"/>
      <w:divBdr>
        <w:top w:val="none" w:sz="0" w:space="0" w:color="auto"/>
        <w:left w:val="none" w:sz="0" w:space="0" w:color="auto"/>
        <w:bottom w:val="none" w:sz="0" w:space="0" w:color="auto"/>
        <w:right w:val="none" w:sz="0" w:space="0" w:color="auto"/>
      </w:divBdr>
      <w:divsChild>
        <w:div w:id="619146171">
          <w:marLeft w:val="0"/>
          <w:marRight w:val="0"/>
          <w:marTop w:val="0"/>
          <w:marBottom w:val="0"/>
          <w:divBdr>
            <w:top w:val="none" w:sz="0" w:space="0" w:color="auto"/>
            <w:left w:val="none" w:sz="0" w:space="0" w:color="auto"/>
            <w:bottom w:val="none" w:sz="0" w:space="0" w:color="auto"/>
            <w:right w:val="none" w:sz="0" w:space="0" w:color="auto"/>
          </w:divBdr>
          <w:divsChild>
            <w:div w:id="470171066">
              <w:marLeft w:val="0"/>
              <w:marRight w:val="0"/>
              <w:marTop w:val="0"/>
              <w:marBottom w:val="0"/>
              <w:divBdr>
                <w:top w:val="none" w:sz="0" w:space="0" w:color="auto"/>
                <w:left w:val="none" w:sz="0" w:space="0" w:color="auto"/>
                <w:bottom w:val="none" w:sz="0" w:space="0" w:color="auto"/>
                <w:right w:val="none" w:sz="0" w:space="0" w:color="auto"/>
              </w:divBdr>
              <w:divsChild>
                <w:div w:id="5793920">
                  <w:marLeft w:val="0"/>
                  <w:marRight w:val="0"/>
                  <w:marTop w:val="0"/>
                  <w:marBottom w:val="0"/>
                  <w:divBdr>
                    <w:top w:val="none" w:sz="0" w:space="0" w:color="auto"/>
                    <w:left w:val="none" w:sz="0" w:space="0" w:color="auto"/>
                    <w:bottom w:val="none" w:sz="0" w:space="0" w:color="auto"/>
                    <w:right w:val="none" w:sz="0" w:space="0" w:color="auto"/>
                  </w:divBdr>
                  <w:divsChild>
                    <w:div w:id="17055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26981">
      <w:bodyDiv w:val="1"/>
      <w:marLeft w:val="0"/>
      <w:marRight w:val="0"/>
      <w:marTop w:val="0"/>
      <w:marBottom w:val="0"/>
      <w:divBdr>
        <w:top w:val="none" w:sz="0" w:space="0" w:color="auto"/>
        <w:left w:val="none" w:sz="0" w:space="0" w:color="auto"/>
        <w:bottom w:val="none" w:sz="0" w:space="0" w:color="auto"/>
        <w:right w:val="none" w:sz="0" w:space="0" w:color="auto"/>
      </w:divBdr>
      <w:divsChild>
        <w:div w:id="43676365">
          <w:marLeft w:val="0"/>
          <w:marRight w:val="0"/>
          <w:marTop w:val="0"/>
          <w:marBottom w:val="0"/>
          <w:divBdr>
            <w:top w:val="none" w:sz="0" w:space="0" w:color="auto"/>
            <w:left w:val="none" w:sz="0" w:space="0" w:color="auto"/>
            <w:bottom w:val="none" w:sz="0" w:space="0" w:color="auto"/>
            <w:right w:val="none" w:sz="0" w:space="0" w:color="auto"/>
          </w:divBdr>
          <w:divsChild>
            <w:div w:id="1540389940">
              <w:marLeft w:val="0"/>
              <w:marRight w:val="0"/>
              <w:marTop w:val="0"/>
              <w:marBottom w:val="0"/>
              <w:divBdr>
                <w:top w:val="none" w:sz="0" w:space="0" w:color="auto"/>
                <w:left w:val="none" w:sz="0" w:space="0" w:color="auto"/>
                <w:bottom w:val="none" w:sz="0" w:space="0" w:color="auto"/>
                <w:right w:val="none" w:sz="0" w:space="0" w:color="auto"/>
              </w:divBdr>
              <w:divsChild>
                <w:div w:id="270092963">
                  <w:marLeft w:val="0"/>
                  <w:marRight w:val="0"/>
                  <w:marTop w:val="0"/>
                  <w:marBottom w:val="0"/>
                  <w:divBdr>
                    <w:top w:val="none" w:sz="0" w:space="0" w:color="auto"/>
                    <w:left w:val="none" w:sz="0" w:space="0" w:color="auto"/>
                    <w:bottom w:val="none" w:sz="0" w:space="0" w:color="auto"/>
                    <w:right w:val="none" w:sz="0" w:space="0" w:color="auto"/>
                  </w:divBdr>
                  <w:divsChild>
                    <w:div w:id="13813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70474">
      <w:bodyDiv w:val="1"/>
      <w:marLeft w:val="0"/>
      <w:marRight w:val="0"/>
      <w:marTop w:val="0"/>
      <w:marBottom w:val="0"/>
      <w:divBdr>
        <w:top w:val="none" w:sz="0" w:space="0" w:color="auto"/>
        <w:left w:val="none" w:sz="0" w:space="0" w:color="auto"/>
        <w:bottom w:val="none" w:sz="0" w:space="0" w:color="auto"/>
        <w:right w:val="none" w:sz="0" w:space="0" w:color="auto"/>
      </w:divBdr>
      <w:divsChild>
        <w:div w:id="1735352293">
          <w:marLeft w:val="0"/>
          <w:marRight w:val="0"/>
          <w:marTop w:val="0"/>
          <w:marBottom w:val="0"/>
          <w:divBdr>
            <w:top w:val="none" w:sz="0" w:space="0" w:color="auto"/>
            <w:left w:val="none" w:sz="0" w:space="0" w:color="auto"/>
            <w:bottom w:val="none" w:sz="0" w:space="0" w:color="auto"/>
            <w:right w:val="none" w:sz="0" w:space="0" w:color="auto"/>
          </w:divBdr>
          <w:divsChild>
            <w:div w:id="1561744196">
              <w:marLeft w:val="0"/>
              <w:marRight w:val="0"/>
              <w:marTop w:val="0"/>
              <w:marBottom w:val="0"/>
              <w:divBdr>
                <w:top w:val="none" w:sz="0" w:space="0" w:color="auto"/>
                <w:left w:val="none" w:sz="0" w:space="0" w:color="auto"/>
                <w:bottom w:val="none" w:sz="0" w:space="0" w:color="auto"/>
                <w:right w:val="none" w:sz="0" w:space="0" w:color="auto"/>
              </w:divBdr>
              <w:divsChild>
                <w:div w:id="186334331">
                  <w:marLeft w:val="0"/>
                  <w:marRight w:val="0"/>
                  <w:marTop w:val="0"/>
                  <w:marBottom w:val="0"/>
                  <w:divBdr>
                    <w:top w:val="none" w:sz="0" w:space="0" w:color="auto"/>
                    <w:left w:val="none" w:sz="0" w:space="0" w:color="auto"/>
                    <w:bottom w:val="none" w:sz="0" w:space="0" w:color="auto"/>
                    <w:right w:val="none" w:sz="0" w:space="0" w:color="auto"/>
                  </w:divBdr>
                  <w:divsChild>
                    <w:div w:id="139238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0141-6707.2004.00444.x" TargetMode="External"/><Relationship Id="rId18" Type="http://schemas.openxmlformats.org/officeDocument/2006/relationships/hyperlink" Target="https://doi.org/10.1002/9781444335248" TargetMode="External"/><Relationship Id="rId26" Type="http://schemas.openxmlformats.org/officeDocument/2006/relationships/hyperlink" Target="https://doi.org/10.1111/j.1523-1739.2003.00059.x" TargetMode="External"/><Relationship Id="rId21" Type="http://schemas.openxmlformats.org/officeDocument/2006/relationships/hyperlink" Target="https://www.wwfindia.org/news_facts/wwf_publications/?10821/Status-of-tigers-in-Valmiki-Tiger-Reserve"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oi.org/10.1016/j.biocon.2004.06.006" TargetMode="External"/><Relationship Id="rId17" Type="http://schemas.openxmlformats.org/officeDocument/2006/relationships/hyperlink" Target="https://doi.org/10.1371/journal.pone.0195373" TargetMode="External"/><Relationship Id="rId25" Type="http://schemas.openxmlformats.org/officeDocument/2006/relationships/hyperlink" Target="https://global.oup.com/academic/product/the-living-elephants-9780195107784"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371/journal.pone.0050433" TargetMode="External"/><Relationship Id="rId20" Type="http://schemas.openxmlformats.org/officeDocument/2006/relationships/hyperlink" Target="https://doi.org/10.26077/8g9e-cc96" TargetMode="External"/><Relationship Id="rId29" Type="http://schemas.openxmlformats.org/officeDocument/2006/relationships/hyperlink" Target="https://doi.org/10.9734/ijecc/2022/v12i1214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23/erj.2011.87.92" TargetMode="External"/><Relationship Id="rId24" Type="http://schemas.openxmlformats.org/officeDocument/2006/relationships/hyperlink" Target="https://doi.org/10.1017/S0376892900010183"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00267-011-9778-1" TargetMode="External"/><Relationship Id="rId23" Type="http://schemas.openxmlformats.org/officeDocument/2006/relationships/hyperlink" Target="https://doi.org/10.1017/S0030605315001489" TargetMode="External"/><Relationship Id="rId28" Type="http://schemas.openxmlformats.org/officeDocument/2006/relationships/hyperlink" Target="https://doi.org/10.1017/CBO9780511614774" TargetMode="External"/><Relationship Id="rId36" Type="http://schemas.openxmlformats.org/officeDocument/2006/relationships/fontTable" Target="fontTable.xml"/><Relationship Id="rId10" Type="http://schemas.openxmlformats.org/officeDocument/2006/relationships/hyperlink" Target="https://www.fao.org/documents/card/en/c/a0000e/" TargetMode="External"/><Relationship Id="rId19" Type="http://schemas.openxmlformats.org/officeDocument/2006/relationships/hyperlink" Target="https://doi.org/10.1007/s00267-002-2790-8"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3389/fevo.2014.00030" TargetMode="External"/><Relationship Id="rId14" Type="http://schemas.openxmlformats.org/officeDocument/2006/relationships/hyperlink" Target="https://doi.org/10.1017/CBO9780511614774" TargetMode="External"/><Relationship Id="rId22" Type="http://schemas.openxmlformats.org/officeDocument/2006/relationships/hyperlink" Target="https://doi.org/10.1080/10871209.2014.853330" TargetMode="External"/><Relationship Id="rId27" Type="http://schemas.openxmlformats.org/officeDocument/2006/relationships/hyperlink" Target="https://doi.org/10.1111/j.1365-2664.2005.01032.x"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07/bf0223972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2102</TotalTime>
  <Pages>9</Pages>
  <Words>3920</Words>
  <Characters>22345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ramnageshbth@outlook.com</dc:creator>
  <cp:keywords/>
  <dc:description/>
  <cp:lastModifiedBy>Editor-1183</cp:lastModifiedBy>
  <cp:revision>49</cp:revision>
  <dcterms:created xsi:type="dcterms:W3CDTF">2025-08-13T10:12:00Z</dcterms:created>
  <dcterms:modified xsi:type="dcterms:W3CDTF">2025-12-20T06:37:00Z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3c62ae97-1b9c-4062-b0e7-34846889c3ce</vt:lpwstr>
  </property>
</Properties>
</file>