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793F6" w14:textId="230A6636" w:rsidR="00FC1A30" w:rsidRPr="00FC1A30" w:rsidRDefault="00FC1A30" w:rsidP="0075600F">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 xml:space="preserve">Review of Nutrient Dynamics, </w:t>
      </w:r>
      <w:proofErr w:type="spellStart"/>
      <w:r w:rsidRPr="00FC1A30">
        <w:rPr>
          <w:rFonts w:ascii="Times New Roman" w:eastAsia="Times New Roman" w:hAnsi="Times New Roman" w:cs="Times New Roman"/>
          <w:b/>
          <w:bCs/>
          <w:sz w:val="36"/>
          <w:szCs w:val="36"/>
          <w:lang w:val="en-US"/>
        </w:rPr>
        <w:t>Physico</w:t>
      </w:r>
      <w:proofErr w:type="spellEnd"/>
      <w:r w:rsidRPr="00FC1A30">
        <w:rPr>
          <w:rFonts w:ascii="Times New Roman" w:eastAsia="Times New Roman" w:hAnsi="Times New Roman" w:cs="Times New Roman"/>
          <w:b/>
          <w:bCs/>
          <w:sz w:val="36"/>
          <w:szCs w:val="36"/>
          <w:lang w:val="en-US"/>
        </w:rPr>
        <w:t>-Chemical Controls</w:t>
      </w:r>
      <w:r w:rsidR="00BA1AFD">
        <w:rPr>
          <w:rFonts w:ascii="Times New Roman" w:eastAsia="Times New Roman" w:hAnsi="Times New Roman" w:cs="Times New Roman"/>
          <w:b/>
          <w:bCs/>
          <w:sz w:val="36"/>
          <w:szCs w:val="36"/>
          <w:lang w:val="en-US"/>
        </w:rPr>
        <w:t xml:space="preserve"> </w:t>
      </w:r>
      <w:r w:rsidRPr="00FC1A30">
        <w:rPr>
          <w:rFonts w:ascii="Times New Roman" w:eastAsia="Times New Roman" w:hAnsi="Times New Roman" w:cs="Times New Roman"/>
          <w:b/>
          <w:bCs/>
          <w:sz w:val="36"/>
          <w:szCs w:val="36"/>
          <w:lang w:val="en-US"/>
        </w:rPr>
        <w:t>and Cyanobacterial Risk in Indian Lakes</w:t>
      </w:r>
    </w:p>
    <w:p w14:paraId="20A3EAA8" w14:textId="77777777" w:rsidR="00FC1A30" w:rsidRPr="00FC1A30" w:rsidRDefault="00FC1A30" w:rsidP="0075600F">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Abstract</w:t>
      </w:r>
    </w:p>
    <w:p w14:paraId="4B6E01E7" w14:textId="77777777" w:rsidR="00EF4D40" w:rsidRDefault="00EF4D40" w:rsidP="0075600F">
      <w:pPr>
        <w:pStyle w:val="NormalWeb"/>
        <w:jc w:val="both"/>
      </w:pPr>
      <w:r>
        <w:t xml:space="preserve">Indian lakes—ranging from Himalayan basins and floodplain wetlands to coastal backwaters and dense urban waterbodies—are increasingly exposed to nutrient enrichment, altered hydrology, and warming, creating conditions that favor recurrent cyanobacterial blooms and associated health risks. This review synthesizes how external nutrient inputs from wastewater, agriculture, and land-use change interact with internal nutrient recycling and </w:t>
      </w:r>
      <w:proofErr w:type="spellStart"/>
      <w:r>
        <w:t>physico</w:t>
      </w:r>
      <w:proofErr w:type="spellEnd"/>
      <w:r>
        <w:t>-chemical controls to shape bloom hazard across diverse Indian lake types. We highlight three coupled mechanisms: (</w:t>
      </w:r>
      <w:proofErr w:type="spellStart"/>
      <w:r>
        <w:t>i</w:t>
      </w:r>
      <w:proofErr w:type="spellEnd"/>
      <w:r>
        <w:t>) monsoon-driven variability in flushing and residence time that governs nutrient retention and seasonal accumulation; (ii) sediment–water exchanges that regenerate bioavailable phosphorus and sustain eutrophication under warm, low-oxygen conditions even when external loads fluctuate; and (iii) physical habitat filtering by temperature, stratification, light climate, alkalinity, and episodic mixing that promotes buoyant, bloom-forming cyanobacteria and surface scum formation. We further discuss how nutrient form and stoichiometry influence community composition, including shifts between nitrogen-fixing and non-fixing taxa under seasonally changing limitation patterns. Evidence across representative Indian systems indicates that cyanobacterial risk is an emergent outcome of nutrient loads, nutrient speciation, oxygen regime, and seasonal hydrodynamics rather than a simple function of total nutrient concentrations. The review concludes by outlining a risk-focused framework linking catchment management, in-lake feedback control, and tiered monitoring (including early-warning indicators) to reduce bloom frequency, toxin exposure potential, and ecological degradation in Indian lakes.</w:t>
      </w:r>
    </w:p>
    <w:p w14:paraId="564BDF19" w14:textId="77777777" w:rsidR="00FC1A30" w:rsidRPr="00FC1A30" w:rsidRDefault="00FC1A30" w:rsidP="0075600F">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Keywords</w:t>
      </w:r>
    </w:p>
    <w:p w14:paraId="37BA964D"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Cyanobacterial blooms; eutrophication; internal loading; monsoon hydrology; sediment phosphorus; nitrogen limitation; Microcystis; Indian lakes; water quality; lake restoration</w:t>
      </w:r>
    </w:p>
    <w:p w14:paraId="0C24E81C" w14:textId="77777777" w:rsidR="00FC1A30" w:rsidRPr="00FC1A30" w:rsidRDefault="00FC1A30" w:rsidP="0075600F">
      <w:pPr>
        <w:spacing w:after="0" w:line="240" w:lineRule="auto"/>
        <w:jc w:val="both"/>
        <w:rPr>
          <w:rFonts w:ascii="Times New Roman" w:eastAsia="Times New Roman" w:hAnsi="Times New Roman" w:cs="Times New Roman"/>
          <w:sz w:val="24"/>
          <w:szCs w:val="24"/>
          <w:lang w:val="en-US"/>
        </w:rPr>
      </w:pPr>
    </w:p>
    <w:p w14:paraId="7EE92F5E" w14:textId="77777777" w:rsidR="00FC1A30" w:rsidRPr="00FC1A30" w:rsidRDefault="00FC1A30" w:rsidP="0075600F">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1. Introduction</w:t>
      </w:r>
    </w:p>
    <w:p w14:paraId="52CB2800" w14:textId="280A7024" w:rsidR="00FC1A30" w:rsidRPr="00FC1A30" w:rsidRDefault="0075600F"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4D1A76">
        <w:rPr>
          <w:rFonts w:ascii="Georgia" w:hAnsi="Georgia"/>
          <w:color w:val="1F1F1F"/>
          <w:highlight w:val="yellow"/>
        </w:rPr>
        <w:t>Cyanobacteria (blue-green algae) are </w:t>
      </w:r>
      <w:hyperlink r:id="rId8" w:tooltip="Learn more about photosynthetic bacteria from ScienceDirect's AI-generated Topic Pages" w:history="1">
        <w:r w:rsidRPr="004D1A76">
          <w:rPr>
            <w:rStyle w:val="Hyperlink"/>
            <w:rFonts w:ascii="Georgia" w:hAnsi="Georgia"/>
            <w:color w:val="1F1F1F"/>
            <w:highlight w:val="yellow"/>
          </w:rPr>
          <w:t>photosynthetic bacteria</w:t>
        </w:r>
      </w:hyperlink>
      <w:r w:rsidRPr="004D1A76">
        <w:rPr>
          <w:rFonts w:ascii="Georgia" w:hAnsi="Georgia"/>
          <w:color w:val="1F1F1F"/>
          <w:highlight w:val="yellow"/>
        </w:rPr>
        <w:t xml:space="preserve"> that under </w:t>
      </w:r>
      <w:proofErr w:type="spellStart"/>
      <w:r w:rsidRPr="004D1A76">
        <w:rPr>
          <w:rFonts w:ascii="Georgia" w:hAnsi="Georgia"/>
          <w:color w:val="1F1F1F"/>
          <w:highlight w:val="yellow"/>
        </w:rPr>
        <w:t>favorable</w:t>
      </w:r>
      <w:proofErr w:type="spellEnd"/>
      <w:r w:rsidRPr="004D1A76">
        <w:rPr>
          <w:rFonts w:ascii="Georgia" w:hAnsi="Georgia"/>
          <w:color w:val="1F1F1F"/>
          <w:highlight w:val="yellow"/>
        </w:rPr>
        <w:t xml:space="preserve"> environmental conditions produce </w:t>
      </w:r>
      <w:hyperlink r:id="rId9" w:tooltip="Learn more about secondary metabolites from ScienceDirect's AI-generated Topic Pages" w:history="1">
        <w:r w:rsidRPr="004D1A76">
          <w:rPr>
            <w:rStyle w:val="Hyperlink"/>
            <w:rFonts w:ascii="Georgia" w:hAnsi="Georgia"/>
            <w:color w:val="1F1F1F"/>
            <w:highlight w:val="yellow"/>
          </w:rPr>
          <w:t>secondary metabolites</w:t>
        </w:r>
      </w:hyperlink>
      <w:r w:rsidRPr="004D1A76">
        <w:rPr>
          <w:rFonts w:ascii="Georgia" w:hAnsi="Georgia"/>
          <w:color w:val="1F1F1F"/>
          <w:highlight w:val="yellow"/>
        </w:rPr>
        <w:t xml:space="preserve"> (cyanotoxins) which are harmful to the environment, including humans. The mass proliferation of harmful cyanobacteria is termed </w:t>
      </w:r>
      <w:proofErr w:type="spellStart"/>
      <w:r w:rsidRPr="004D1A76">
        <w:rPr>
          <w:rFonts w:ascii="Georgia" w:hAnsi="Georgia"/>
          <w:color w:val="1F1F1F"/>
          <w:highlight w:val="yellow"/>
        </w:rPr>
        <w:t>CyanoHABs</w:t>
      </w:r>
      <w:proofErr w:type="spellEnd"/>
      <w:r w:rsidRPr="004D1A76">
        <w:rPr>
          <w:rFonts w:ascii="Georgia" w:hAnsi="Georgia"/>
          <w:color w:val="1F1F1F"/>
          <w:highlight w:val="yellow"/>
        </w:rPr>
        <w:t xml:space="preserve">. </w:t>
      </w:r>
      <w:proofErr w:type="spellStart"/>
      <w:r w:rsidRPr="004D1A76">
        <w:rPr>
          <w:rFonts w:ascii="Georgia" w:hAnsi="Georgia"/>
          <w:color w:val="1F1F1F"/>
          <w:highlight w:val="yellow"/>
        </w:rPr>
        <w:t>CyanoHABs</w:t>
      </w:r>
      <w:proofErr w:type="spellEnd"/>
      <w:r w:rsidRPr="004D1A76">
        <w:rPr>
          <w:rFonts w:ascii="Georgia" w:hAnsi="Georgia"/>
          <w:color w:val="1F1F1F"/>
          <w:highlight w:val="yellow"/>
        </w:rPr>
        <w:t xml:space="preserve"> can adapt to different climatic fluctuations, therefore, understanding their dynamics in freshwater systems is crucial.</w:t>
      </w:r>
      <w:r w:rsidRPr="004D1A76">
        <w:rPr>
          <w:rFonts w:ascii="Times New Roman" w:eastAsia="Times New Roman" w:hAnsi="Times New Roman" w:cs="Times New Roman"/>
          <w:sz w:val="24"/>
          <w:szCs w:val="24"/>
          <w:highlight w:val="yellow"/>
          <w:lang w:val="en-US"/>
        </w:rPr>
        <w:t xml:space="preserve"> </w:t>
      </w:r>
      <w:r w:rsidRPr="004D1A76">
        <w:rPr>
          <w:rFonts w:ascii="Georgia" w:hAnsi="Georgia"/>
          <w:color w:val="1F1F1F"/>
          <w:highlight w:val="yellow"/>
        </w:rPr>
        <w:t>The multiple environmental and health impacts of cyanobacteria have attracted researchers from different fields</w:t>
      </w:r>
      <w:r w:rsidR="005678C2">
        <w:rPr>
          <w:rFonts w:ascii="Georgia" w:hAnsi="Georgia"/>
          <w:color w:val="1F1F1F"/>
          <w:highlight w:val="yellow"/>
        </w:rPr>
        <w:t xml:space="preserve"> (</w:t>
      </w:r>
      <w:proofErr w:type="spellStart"/>
      <w:proofErr w:type="gramStart"/>
      <w:r w:rsidR="005678C2" w:rsidRPr="000A3498">
        <w:rPr>
          <w:rFonts w:ascii="Arial" w:hAnsi="Arial" w:cs="Arial"/>
          <w:color w:val="222222"/>
          <w:sz w:val="20"/>
          <w:szCs w:val="20"/>
          <w:highlight w:val="yellow"/>
          <w:shd w:val="clear" w:color="auto" w:fill="FFFFFF"/>
        </w:rPr>
        <w:t>Kimambo</w:t>
      </w:r>
      <w:proofErr w:type="spellEnd"/>
      <w:r w:rsidR="005678C2" w:rsidRPr="000A3498">
        <w:rPr>
          <w:rFonts w:ascii="inherit" w:eastAsia="Times New Roman" w:hAnsi="inherit" w:cs="Helvetica"/>
          <w:color w:val="222222"/>
          <w:sz w:val="18"/>
          <w:szCs w:val="18"/>
          <w:highlight w:val="yellow"/>
          <w:lang w:val="en-US"/>
        </w:rPr>
        <w:t xml:space="preserve"> </w:t>
      </w:r>
      <w:r w:rsidR="005678C2">
        <w:rPr>
          <w:rFonts w:ascii="inherit" w:eastAsia="Times New Roman" w:hAnsi="inherit" w:cs="Helvetica"/>
          <w:color w:val="222222"/>
          <w:sz w:val="18"/>
          <w:szCs w:val="18"/>
          <w:highlight w:val="yellow"/>
          <w:lang w:val="en-US"/>
        </w:rPr>
        <w:t xml:space="preserve"> </w:t>
      </w:r>
      <w:r w:rsidR="005678C2" w:rsidRPr="004D1A76">
        <w:rPr>
          <w:rFonts w:ascii="inherit" w:eastAsia="Times New Roman" w:hAnsi="inherit" w:cs="Helvetica"/>
          <w:color w:val="222222"/>
          <w:sz w:val="20"/>
          <w:szCs w:val="18"/>
          <w:highlight w:val="yellow"/>
          <w:lang w:val="en-US"/>
        </w:rPr>
        <w:t>et al.</w:t>
      </w:r>
      <w:proofErr w:type="gramEnd"/>
      <w:r w:rsidR="005678C2" w:rsidRPr="004D1A76">
        <w:rPr>
          <w:rFonts w:ascii="inherit" w:eastAsia="Times New Roman" w:hAnsi="inherit" w:cs="Helvetica"/>
          <w:color w:val="222222"/>
          <w:sz w:val="20"/>
          <w:szCs w:val="18"/>
          <w:highlight w:val="yellow"/>
          <w:lang w:val="en-US"/>
        </w:rPr>
        <w:t xml:space="preserve">, 2019; </w:t>
      </w:r>
      <w:proofErr w:type="spellStart"/>
      <w:r w:rsidR="005678C2" w:rsidRPr="004D1A76">
        <w:rPr>
          <w:rFonts w:ascii="inherit" w:eastAsia="Times New Roman" w:hAnsi="inherit" w:cs="Helvetica"/>
          <w:color w:val="222222"/>
          <w:sz w:val="20"/>
          <w:szCs w:val="18"/>
          <w:highlight w:val="yellow"/>
          <w:lang w:val="en-US"/>
        </w:rPr>
        <w:t>Thawabteh</w:t>
      </w:r>
      <w:proofErr w:type="spellEnd"/>
      <w:r w:rsidR="005678C2" w:rsidRPr="004D1A76">
        <w:rPr>
          <w:rFonts w:ascii="inherit" w:eastAsia="Times New Roman" w:hAnsi="inherit" w:cs="Helvetica"/>
          <w:color w:val="222222"/>
          <w:sz w:val="20"/>
          <w:szCs w:val="18"/>
          <w:highlight w:val="yellow"/>
          <w:lang w:val="en-US"/>
        </w:rPr>
        <w:t xml:space="preserve"> et al., 2023</w:t>
      </w:r>
      <w:r w:rsidR="005678C2">
        <w:rPr>
          <w:rFonts w:ascii="Georgia" w:hAnsi="Georgia"/>
          <w:color w:val="1F1F1F"/>
          <w:highlight w:val="yellow"/>
        </w:rPr>
        <w:t>)</w:t>
      </w:r>
      <w:r w:rsidRPr="004D1A76">
        <w:rPr>
          <w:rFonts w:ascii="Times New Roman" w:eastAsia="Times New Roman" w:hAnsi="Times New Roman" w:cs="Times New Roman"/>
          <w:sz w:val="24"/>
          <w:szCs w:val="24"/>
          <w:highlight w:val="yellow"/>
          <w:lang w:val="en-US"/>
        </w:rPr>
        <w:t>.</w:t>
      </w:r>
      <w:r>
        <w:rPr>
          <w:rFonts w:ascii="Times New Roman" w:eastAsia="Times New Roman" w:hAnsi="Times New Roman" w:cs="Times New Roman"/>
          <w:sz w:val="24"/>
          <w:szCs w:val="24"/>
          <w:lang w:val="en-US"/>
        </w:rPr>
        <w:t xml:space="preserve"> </w:t>
      </w:r>
      <w:r w:rsidR="00FC1A30" w:rsidRPr="00FC1A30">
        <w:rPr>
          <w:rFonts w:ascii="Times New Roman" w:eastAsia="Times New Roman" w:hAnsi="Times New Roman" w:cs="Times New Roman"/>
          <w:sz w:val="24"/>
          <w:szCs w:val="24"/>
          <w:lang w:val="en-US"/>
        </w:rPr>
        <w:t xml:space="preserve">Lakes are among the most sensitive components of freshwater landscapes because their ecological condition integrates signals from catchment land use, hydrology, and in-lake biogeochemical cycling over timescales that can be short (storm pulses) or long (decadal sediment accumulation). Across India, pressures from expanding urbanization, intensifying agriculture, shoreline encroachment, and altered hydrologic connectivity have amplified the delivery of reactive nitrogen (N) and phosphorus (P) to lakes, accelerating eutrophication and increasing the probability of cyanobacterial dominance. Contemporary understanding recognizes eutrophication as a dynamic state maintained by </w:t>
      </w:r>
      <w:r w:rsidR="00FC1A30" w:rsidRPr="00FC1A30">
        <w:rPr>
          <w:rFonts w:ascii="Times New Roman" w:eastAsia="Times New Roman" w:hAnsi="Times New Roman" w:cs="Times New Roman"/>
          <w:sz w:val="24"/>
          <w:szCs w:val="24"/>
          <w:lang w:val="en-US"/>
        </w:rPr>
        <w:lastRenderedPageBreak/>
        <w:t>external nutrient loading, internal recycling, and physical structure (mixing, stratification, and light climate), rather than as a simple response to total nutrient concentrations alone (</w:t>
      </w:r>
      <w:proofErr w:type="spellStart"/>
      <w:r w:rsidR="00FC1A30" w:rsidRPr="00FC1A30">
        <w:rPr>
          <w:rFonts w:ascii="Times New Roman" w:eastAsia="Times New Roman" w:hAnsi="Times New Roman" w:cs="Times New Roman"/>
          <w:sz w:val="24"/>
          <w:szCs w:val="24"/>
          <w:lang w:val="en-US"/>
        </w:rPr>
        <w:t>Bhagowati</w:t>
      </w:r>
      <w:proofErr w:type="spellEnd"/>
      <w:r w:rsidR="00FC1A30" w:rsidRPr="00FC1A30">
        <w:rPr>
          <w:rFonts w:ascii="Times New Roman" w:eastAsia="Times New Roman" w:hAnsi="Times New Roman" w:cs="Times New Roman"/>
          <w:sz w:val="24"/>
          <w:szCs w:val="24"/>
          <w:lang w:val="en-US"/>
        </w:rPr>
        <w:t xml:space="preserve"> &amp; </w:t>
      </w:r>
      <w:proofErr w:type="spellStart"/>
      <w:r w:rsidR="00FC1A30" w:rsidRPr="00FC1A30">
        <w:rPr>
          <w:rFonts w:ascii="Times New Roman" w:eastAsia="Times New Roman" w:hAnsi="Times New Roman" w:cs="Times New Roman"/>
          <w:sz w:val="24"/>
          <w:szCs w:val="24"/>
          <w:lang w:val="en-US"/>
        </w:rPr>
        <w:t>Ahamad</w:t>
      </w:r>
      <w:proofErr w:type="spellEnd"/>
      <w:r w:rsidR="00FC1A30" w:rsidRPr="00FC1A30">
        <w:rPr>
          <w:rFonts w:ascii="Times New Roman" w:eastAsia="Times New Roman" w:hAnsi="Times New Roman" w:cs="Times New Roman"/>
          <w:sz w:val="24"/>
          <w:szCs w:val="24"/>
          <w:lang w:val="en-US"/>
        </w:rPr>
        <w:t xml:space="preserve">, 2019; </w:t>
      </w:r>
      <w:proofErr w:type="spellStart"/>
      <w:r w:rsidR="00FC1A30" w:rsidRPr="00FC1A30">
        <w:rPr>
          <w:rFonts w:ascii="Times New Roman" w:eastAsia="Times New Roman" w:hAnsi="Times New Roman" w:cs="Times New Roman"/>
          <w:sz w:val="24"/>
          <w:szCs w:val="24"/>
          <w:lang w:val="en-US"/>
        </w:rPr>
        <w:t>Vinçon-Leite</w:t>
      </w:r>
      <w:proofErr w:type="spellEnd"/>
      <w:r w:rsidR="00FC1A30" w:rsidRPr="00FC1A30">
        <w:rPr>
          <w:rFonts w:ascii="Times New Roman" w:eastAsia="Times New Roman" w:hAnsi="Times New Roman" w:cs="Times New Roman"/>
          <w:sz w:val="24"/>
          <w:szCs w:val="24"/>
          <w:lang w:val="en-US"/>
        </w:rPr>
        <w:t xml:space="preserve"> &amp; </w:t>
      </w:r>
      <w:proofErr w:type="spellStart"/>
      <w:r w:rsidR="00FC1A30" w:rsidRPr="00FC1A30">
        <w:rPr>
          <w:rFonts w:ascii="Times New Roman" w:eastAsia="Times New Roman" w:hAnsi="Times New Roman" w:cs="Times New Roman"/>
          <w:sz w:val="24"/>
          <w:szCs w:val="24"/>
          <w:lang w:val="en-US"/>
        </w:rPr>
        <w:t>Casenave</w:t>
      </w:r>
      <w:proofErr w:type="spellEnd"/>
      <w:r w:rsidR="00FC1A30" w:rsidRPr="00FC1A30">
        <w:rPr>
          <w:rFonts w:ascii="Times New Roman" w:eastAsia="Times New Roman" w:hAnsi="Times New Roman" w:cs="Times New Roman"/>
          <w:sz w:val="24"/>
          <w:szCs w:val="24"/>
          <w:lang w:val="en-US"/>
        </w:rPr>
        <w:t>, 2019).</w:t>
      </w:r>
    </w:p>
    <w:p w14:paraId="56CA75C5" w14:textId="1791DCC4"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 xml:space="preserve">Cyanobacterial blooms, particularly those dominated by buoyant and toxin-capable genera such as </w:t>
      </w:r>
      <w:r w:rsidRPr="00FC1A30">
        <w:rPr>
          <w:rFonts w:ascii="Times New Roman" w:eastAsia="Times New Roman" w:hAnsi="Times New Roman" w:cs="Times New Roman"/>
          <w:i/>
          <w:iCs/>
          <w:sz w:val="24"/>
          <w:szCs w:val="24"/>
          <w:lang w:val="en-US"/>
        </w:rPr>
        <w:t>Microcystis</w:t>
      </w:r>
      <w:r w:rsidRPr="00FC1A30">
        <w:rPr>
          <w:rFonts w:ascii="Times New Roman" w:eastAsia="Times New Roman" w:hAnsi="Times New Roman" w:cs="Times New Roman"/>
          <w:sz w:val="24"/>
          <w:szCs w:val="24"/>
          <w:lang w:val="en-US"/>
        </w:rPr>
        <w:t xml:space="preserve">, </w:t>
      </w:r>
      <w:proofErr w:type="spellStart"/>
      <w:r w:rsidRPr="00FC1A30">
        <w:rPr>
          <w:rFonts w:ascii="Times New Roman" w:eastAsia="Times New Roman" w:hAnsi="Times New Roman" w:cs="Times New Roman"/>
          <w:i/>
          <w:iCs/>
          <w:sz w:val="24"/>
          <w:szCs w:val="24"/>
          <w:lang w:val="en-US"/>
        </w:rPr>
        <w:t>Dolichospermum</w:t>
      </w:r>
      <w:proofErr w:type="spellEnd"/>
      <w:r w:rsidRPr="00FC1A30">
        <w:rPr>
          <w:rFonts w:ascii="Times New Roman" w:eastAsia="Times New Roman" w:hAnsi="Times New Roman" w:cs="Times New Roman"/>
          <w:sz w:val="24"/>
          <w:szCs w:val="24"/>
          <w:lang w:val="en-US"/>
        </w:rPr>
        <w:t xml:space="preserve"> (formerly </w:t>
      </w:r>
      <w:r w:rsidRPr="00FC1A30">
        <w:rPr>
          <w:rFonts w:ascii="Times New Roman" w:eastAsia="Times New Roman" w:hAnsi="Times New Roman" w:cs="Times New Roman"/>
          <w:i/>
          <w:iCs/>
          <w:sz w:val="24"/>
          <w:szCs w:val="24"/>
          <w:lang w:val="en-US"/>
        </w:rPr>
        <w:t>Anabaena</w:t>
      </w:r>
      <w:r w:rsidRPr="00FC1A30">
        <w:rPr>
          <w:rFonts w:ascii="Times New Roman" w:eastAsia="Times New Roman" w:hAnsi="Times New Roman" w:cs="Times New Roman"/>
          <w:sz w:val="24"/>
          <w:szCs w:val="24"/>
          <w:lang w:val="en-US"/>
        </w:rPr>
        <w:t xml:space="preserve">), and </w:t>
      </w:r>
      <w:proofErr w:type="spellStart"/>
      <w:r w:rsidRPr="00FC1A30">
        <w:rPr>
          <w:rFonts w:ascii="Times New Roman" w:eastAsia="Times New Roman" w:hAnsi="Times New Roman" w:cs="Times New Roman"/>
          <w:i/>
          <w:iCs/>
          <w:sz w:val="24"/>
          <w:szCs w:val="24"/>
          <w:lang w:val="en-US"/>
        </w:rPr>
        <w:t>Planktothrix</w:t>
      </w:r>
      <w:proofErr w:type="spellEnd"/>
      <w:r w:rsidRPr="00FC1A30">
        <w:rPr>
          <w:rFonts w:ascii="Times New Roman" w:eastAsia="Times New Roman" w:hAnsi="Times New Roman" w:cs="Times New Roman"/>
          <w:sz w:val="24"/>
          <w:szCs w:val="24"/>
          <w:lang w:val="en-US"/>
        </w:rPr>
        <w:t xml:space="preserve">, represent a major water-quality hazard because they can impair aesthetics and recreation, destabilize food webs, and produce cyanotoxins that threaten drinking-water safety. Bloom formation is increasingly interpreted as a multi-stressor phenomenon in which eutrophication interacts with climate warming, hydrologic extremes, and oxygen loss; warming can lengthen stratified periods, increase metabolic rates, and favor cyanobacteria with traits suited to high temperatures and variable nutrients (Griffith &amp; </w:t>
      </w:r>
      <w:proofErr w:type="spellStart"/>
      <w:r w:rsidRPr="00FC1A30">
        <w:rPr>
          <w:rFonts w:ascii="Times New Roman" w:eastAsia="Times New Roman" w:hAnsi="Times New Roman" w:cs="Times New Roman"/>
          <w:sz w:val="24"/>
          <w:szCs w:val="24"/>
          <w:lang w:val="en-US"/>
        </w:rPr>
        <w:t>Gobler</w:t>
      </w:r>
      <w:proofErr w:type="spellEnd"/>
      <w:r w:rsidRPr="00FC1A30">
        <w:rPr>
          <w:rFonts w:ascii="Times New Roman" w:eastAsia="Times New Roman" w:hAnsi="Times New Roman" w:cs="Times New Roman"/>
          <w:sz w:val="24"/>
          <w:szCs w:val="24"/>
          <w:lang w:val="en-US"/>
        </w:rPr>
        <w:t>, 2020; Huisman et al., 2018). For India, these mechanisms are plausibly intensified by monsoon seasonality: strong wet-season inflows can import nutrients and suspended solids, whereas dry-season low inflows and high evaporation can increase residence time, concentrate solutes, and enhance the likelihood of stable stratification or persistent surface scums in appropriate morphometric settings.</w:t>
      </w:r>
      <w:r w:rsidR="005B6CC9">
        <w:rPr>
          <w:rFonts w:ascii="Times New Roman" w:eastAsia="Times New Roman" w:hAnsi="Times New Roman" w:cs="Times New Roman"/>
          <w:sz w:val="24"/>
          <w:szCs w:val="24"/>
          <w:lang w:val="en-US"/>
        </w:rPr>
        <w:t xml:space="preserve"> </w:t>
      </w:r>
      <w:r w:rsidR="005B6CC9" w:rsidRPr="004D1A76">
        <w:rPr>
          <w:rFonts w:ascii="Georgia" w:hAnsi="Georgia"/>
          <w:color w:val="1F1F1F"/>
          <w:highlight w:val="yellow"/>
        </w:rPr>
        <w:t>The occurrence of cyanobacterial blooms is usually affected by environmental conditions, especially water quality. Algal proliferation depends on nutrient availability. Slow flow rates in lakes and reservoirs and insufficient water self-purification capacities, with a long renewal period, can lead to nutrient accumulation, and consequently, conditions conducive to cyanobacterial blooms. Under sufficient nutrient conditions, cyanobacterial blooms are also affected by various factors, such as water temperature</w:t>
      </w:r>
      <w:r w:rsidR="005B6CC9">
        <w:rPr>
          <w:rFonts w:ascii="Georgia" w:hAnsi="Georgia"/>
          <w:color w:val="1F1F1F"/>
          <w:highlight w:val="yellow"/>
        </w:rPr>
        <w:t xml:space="preserve"> (</w:t>
      </w:r>
      <w:r w:rsidR="008F2A0E" w:rsidRPr="000A3498">
        <w:rPr>
          <w:rFonts w:ascii="Arial" w:eastAsia="Times New Roman" w:hAnsi="Arial" w:cs="Arial"/>
          <w:color w:val="333333"/>
          <w:szCs w:val="27"/>
          <w:highlight w:val="yellow"/>
          <w:lang w:val="en-US"/>
        </w:rPr>
        <w:t>Dubey</w:t>
      </w:r>
      <w:r w:rsidR="008F2A0E" w:rsidRPr="000A3498">
        <w:rPr>
          <w:rFonts w:ascii="Arial" w:hAnsi="Arial" w:cs="Arial"/>
          <w:color w:val="222222"/>
          <w:sz w:val="20"/>
          <w:szCs w:val="20"/>
          <w:highlight w:val="yellow"/>
          <w:shd w:val="clear" w:color="auto" w:fill="FFFFFF"/>
        </w:rPr>
        <w:t xml:space="preserve"> </w:t>
      </w:r>
      <w:r w:rsidR="008F2A0E">
        <w:rPr>
          <w:rFonts w:ascii="Arial" w:hAnsi="Arial" w:cs="Arial"/>
          <w:color w:val="222222"/>
          <w:sz w:val="20"/>
          <w:szCs w:val="20"/>
          <w:highlight w:val="yellow"/>
          <w:shd w:val="clear" w:color="auto" w:fill="FFFFFF"/>
        </w:rPr>
        <w:t xml:space="preserve">et al., 2019; </w:t>
      </w:r>
      <w:r w:rsidR="005B6CC9" w:rsidRPr="000A3498">
        <w:rPr>
          <w:rFonts w:ascii="Arial" w:hAnsi="Arial" w:cs="Arial"/>
          <w:color w:val="222222"/>
          <w:sz w:val="20"/>
          <w:szCs w:val="20"/>
          <w:highlight w:val="yellow"/>
          <w:shd w:val="clear" w:color="auto" w:fill="FFFFFF"/>
        </w:rPr>
        <w:t>Zhao</w:t>
      </w:r>
      <w:r w:rsidR="005B6CC9">
        <w:rPr>
          <w:rFonts w:ascii="Arial" w:hAnsi="Arial" w:cs="Arial"/>
          <w:color w:val="222222"/>
          <w:sz w:val="20"/>
          <w:szCs w:val="20"/>
          <w:highlight w:val="yellow"/>
          <w:shd w:val="clear" w:color="auto" w:fill="FFFFFF"/>
        </w:rPr>
        <w:t xml:space="preserve"> et al., 2019</w:t>
      </w:r>
      <w:r w:rsidR="00923E4E">
        <w:rPr>
          <w:rFonts w:ascii="Arial" w:hAnsi="Arial" w:cs="Arial"/>
          <w:color w:val="222222"/>
          <w:sz w:val="20"/>
          <w:szCs w:val="20"/>
          <w:highlight w:val="yellow"/>
          <w:shd w:val="clear" w:color="auto" w:fill="FFFFFF"/>
        </w:rPr>
        <w:t xml:space="preserve">; </w:t>
      </w:r>
      <w:proofErr w:type="spellStart"/>
      <w:r w:rsidR="00923E4E" w:rsidRPr="000A3498">
        <w:rPr>
          <w:rFonts w:ascii="Arial" w:eastAsia="Times New Roman" w:hAnsi="Arial" w:cs="Arial"/>
          <w:color w:val="333333"/>
          <w:szCs w:val="27"/>
          <w:highlight w:val="yellow"/>
          <w:lang w:val="en-US"/>
        </w:rPr>
        <w:t>Bagul</w:t>
      </w:r>
      <w:proofErr w:type="spellEnd"/>
      <w:r w:rsidR="00923E4E">
        <w:rPr>
          <w:rFonts w:ascii="Arial" w:eastAsia="Times New Roman" w:hAnsi="Arial" w:cs="Arial"/>
          <w:color w:val="333333"/>
          <w:szCs w:val="27"/>
          <w:highlight w:val="yellow"/>
          <w:lang w:val="en-US"/>
        </w:rPr>
        <w:t xml:space="preserve"> et al., 2022</w:t>
      </w:r>
      <w:r w:rsidR="005B6CC9">
        <w:rPr>
          <w:rFonts w:ascii="Georgia" w:hAnsi="Georgia"/>
          <w:color w:val="1F1F1F"/>
          <w:highlight w:val="yellow"/>
        </w:rPr>
        <w:t>)</w:t>
      </w:r>
      <w:r w:rsidR="005B6CC9" w:rsidRPr="004D1A76">
        <w:rPr>
          <w:rFonts w:ascii="Georgia" w:hAnsi="Georgia"/>
          <w:color w:val="1F1F1F"/>
          <w:highlight w:val="yellow"/>
        </w:rPr>
        <w:t>.</w:t>
      </w:r>
    </w:p>
    <w:p w14:paraId="3014E461" w14:textId="384E5668" w:rsid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Within India’s diverse lake landscapes, several patterns recur. First, urban and peri-urban lakes commonly receive high loads of ammonium, phosphate, and labile organic matter from sewage and mixed drainage, pushing systems toward hypereutrophic states and recurrent bloom risk (</w:t>
      </w:r>
      <w:proofErr w:type="spellStart"/>
      <w:r w:rsidRPr="00FC1A30">
        <w:rPr>
          <w:rFonts w:ascii="Times New Roman" w:eastAsia="Times New Roman" w:hAnsi="Times New Roman" w:cs="Times New Roman"/>
          <w:sz w:val="24"/>
          <w:szCs w:val="24"/>
          <w:lang w:val="en-US"/>
        </w:rPr>
        <w:t>Birawat</w:t>
      </w:r>
      <w:proofErr w:type="spellEnd"/>
      <w:r w:rsidRPr="00FC1A30">
        <w:rPr>
          <w:rFonts w:ascii="Times New Roman" w:eastAsia="Times New Roman" w:hAnsi="Times New Roman" w:cs="Times New Roman"/>
          <w:sz w:val="24"/>
          <w:szCs w:val="24"/>
          <w:lang w:val="en-US"/>
        </w:rPr>
        <w:t xml:space="preserve"> et al., 2021; </w:t>
      </w:r>
      <w:proofErr w:type="spellStart"/>
      <w:r w:rsidRPr="00FC1A30">
        <w:rPr>
          <w:rFonts w:ascii="Times New Roman" w:eastAsia="Times New Roman" w:hAnsi="Times New Roman" w:cs="Times New Roman"/>
          <w:sz w:val="24"/>
          <w:szCs w:val="24"/>
          <w:lang w:val="en-US"/>
        </w:rPr>
        <w:t>Jamwal</w:t>
      </w:r>
      <w:proofErr w:type="spellEnd"/>
      <w:r w:rsidRPr="00FC1A30">
        <w:rPr>
          <w:rFonts w:ascii="Times New Roman" w:eastAsia="Times New Roman" w:hAnsi="Times New Roman" w:cs="Times New Roman"/>
          <w:sz w:val="24"/>
          <w:szCs w:val="24"/>
          <w:lang w:val="en-US"/>
        </w:rPr>
        <w:t xml:space="preserve"> et al., 2023; Kora et al., 2017). Second, floodplain and wetland lakes often exhibit strong internal feedbacks: shallow depths, organic-rich sediments, and macrophyte–sediment interactions can drive substantial internal nutrient release under warm and low-oxygen conditions, sustaining high productivity even when external inputs vary seasonally (</w:t>
      </w:r>
      <w:proofErr w:type="spellStart"/>
      <w:r w:rsidRPr="00FC1A30">
        <w:rPr>
          <w:rFonts w:ascii="Times New Roman" w:eastAsia="Times New Roman" w:hAnsi="Times New Roman" w:cs="Times New Roman"/>
          <w:sz w:val="24"/>
          <w:szCs w:val="24"/>
          <w:lang w:val="en-US"/>
        </w:rPr>
        <w:t>Søndergaard</w:t>
      </w:r>
      <w:proofErr w:type="spellEnd"/>
      <w:r w:rsidRPr="00FC1A30">
        <w:rPr>
          <w:rFonts w:ascii="Times New Roman" w:eastAsia="Times New Roman" w:hAnsi="Times New Roman" w:cs="Times New Roman"/>
          <w:sz w:val="24"/>
          <w:szCs w:val="24"/>
          <w:lang w:val="en-US"/>
        </w:rPr>
        <w:t xml:space="preserve"> et al., 2013; </w:t>
      </w:r>
      <w:proofErr w:type="spellStart"/>
      <w:r w:rsidRPr="00FC1A30">
        <w:rPr>
          <w:rFonts w:ascii="Times New Roman" w:eastAsia="Times New Roman" w:hAnsi="Times New Roman" w:cs="Times New Roman"/>
          <w:sz w:val="24"/>
          <w:szCs w:val="24"/>
          <w:lang w:val="en-US"/>
        </w:rPr>
        <w:t>Tuboi</w:t>
      </w:r>
      <w:proofErr w:type="spellEnd"/>
      <w:r w:rsidRPr="00FC1A30">
        <w:rPr>
          <w:rFonts w:ascii="Times New Roman" w:eastAsia="Times New Roman" w:hAnsi="Times New Roman" w:cs="Times New Roman"/>
          <w:sz w:val="24"/>
          <w:szCs w:val="24"/>
          <w:lang w:val="en-US"/>
        </w:rPr>
        <w:t xml:space="preserve"> et al., 2018). Third, Himalayan and sub-Himalayan lakes increasingly show signatures of catchment disturbance and tourism-related nutrient enrichment, with trophic status shifting upward alongside altered clarity and seasonal oxygen dynamics (Kumar </w:t>
      </w:r>
      <w:r w:rsidR="004D1A76">
        <w:rPr>
          <w:rFonts w:ascii="Times New Roman" w:eastAsia="Times New Roman" w:hAnsi="Times New Roman" w:cs="Times New Roman"/>
          <w:sz w:val="24"/>
          <w:szCs w:val="24"/>
          <w:lang w:val="en-US"/>
        </w:rPr>
        <w:t>et al.</w:t>
      </w:r>
      <w:r w:rsidRPr="00FC1A30">
        <w:rPr>
          <w:rFonts w:ascii="Times New Roman" w:eastAsia="Times New Roman" w:hAnsi="Times New Roman" w:cs="Times New Roman"/>
          <w:sz w:val="24"/>
          <w:szCs w:val="24"/>
          <w:lang w:val="en-US"/>
        </w:rPr>
        <w:t xml:space="preserve">, 2019; Kumar et al., 2022). Finally, coastal </w:t>
      </w:r>
      <w:proofErr w:type="spellStart"/>
      <w:r w:rsidRPr="00FC1A30">
        <w:rPr>
          <w:rFonts w:ascii="Times New Roman" w:eastAsia="Times New Roman" w:hAnsi="Times New Roman" w:cs="Times New Roman"/>
          <w:sz w:val="24"/>
          <w:szCs w:val="24"/>
          <w:lang w:val="en-US"/>
        </w:rPr>
        <w:t>lagoonal</w:t>
      </w:r>
      <w:proofErr w:type="spellEnd"/>
      <w:r w:rsidRPr="00FC1A30">
        <w:rPr>
          <w:rFonts w:ascii="Times New Roman" w:eastAsia="Times New Roman" w:hAnsi="Times New Roman" w:cs="Times New Roman"/>
          <w:sz w:val="24"/>
          <w:szCs w:val="24"/>
          <w:lang w:val="en-US"/>
        </w:rPr>
        <w:t xml:space="preserve"> systems with periodic salinity intrusion, intense fisheries/aquaculture activity, and altered flushing can exhibit complex nutrient limitation patterns and microbial hazards that intersect with bloom dynamics (Padua et al., 2023).</w:t>
      </w:r>
    </w:p>
    <w:p w14:paraId="2D9A3EE8" w14:textId="77777777" w:rsidR="006C1EC2" w:rsidRPr="00FC1A30" w:rsidRDefault="006C1EC2" w:rsidP="0075600F">
      <w:pPr>
        <w:spacing w:before="100" w:beforeAutospacing="1" w:after="100" w:afterAutospacing="1" w:line="240" w:lineRule="auto"/>
        <w:jc w:val="both"/>
        <w:rPr>
          <w:rFonts w:ascii="Times New Roman" w:eastAsia="Times New Roman" w:hAnsi="Times New Roman" w:cs="Times New Roman"/>
          <w:sz w:val="24"/>
          <w:szCs w:val="24"/>
          <w:lang w:val="en-US"/>
        </w:rPr>
      </w:pPr>
    </w:p>
    <w:p w14:paraId="2C8A209A" w14:textId="30559EB6" w:rsidR="00FC1A30" w:rsidRPr="00FC1A30" w:rsidRDefault="00FC1A30" w:rsidP="0075600F">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 xml:space="preserve">1.1 Scope and objective </w:t>
      </w:r>
    </w:p>
    <w:p w14:paraId="4A1172BC"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 xml:space="preserve">This review evaluates how nutrient dynamics (external loading, internal recycling, and N–P stoichiometry) and </w:t>
      </w:r>
      <w:proofErr w:type="spellStart"/>
      <w:r w:rsidRPr="00FC1A30">
        <w:rPr>
          <w:rFonts w:ascii="Times New Roman" w:eastAsia="Times New Roman" w:hAnsi="Times New Roman" w:cs="Times New Roman"/>
          <w:sz w:val="24"/>
          <w:szCs w:val="24"/>
          <w:lang w:val="en-US"/>
        </w:rPr>
        <w:t>physico</w:t>
      </w:r>
      <w:proofErr w:type="spellEnd"/>
      <w:r w:rsidRPr="00FC1A30">
        <w:rPr>
          <w:rFonts w:ascii="Times New Roman" w:eastAsia="Times New Roman" w:hAnsi="Times New Roman" w:cs="Times New Roman"/>
          <w:sz w:val="24"/>
          <w:szCs w:val="24"/>
          <w:lang w:val="en-US"/>
        </w:rPr>
        <w:t>-chemical controls (temperature, stratification, light climate, oxygen regime, salinity/alkalinity, and mixing) shape cyanobacterial bloom and toxin risk in Indian lakes. We aim to (</w:t>
      </w:r>
      <w:proofErr w:type="spellStart"/>
      <w:r w:rsidRPr="00FC1A30">
        <w:rPr>
          <w:rFonts w:ascii="Times New Roman" w:eastAsia="Times New Roman" w:hAnsi="Times New Roman" w:cs="Times New Roman"/>
          <w:sz w:val="24"/>
          <w:szCs w:val="24"/>
          <w:lang w:val="en-US"/>
        </w:rPr>
        <w:t>i</w:t>
      </w:r>
      <w:proofErr w:type="spellEnd"/>
      <w:r w:rsidRPr="00FC1A30">
        <w:rPr>
          <w:rFonts w:ascii="Times New Roman" w:eastAsia="Times New Roman" w:hAnsi="Times New Roman" w:cs="Times New Roman"/>
          <w:sz w:val="24"/>
          <w:szCs w:val="24"/>
          <w:lang w:val="en-US"/>
        </w:rPr>
        <w:t>) synthesize mechanistic pathways linking monsoon hydrology and catchment pressures to nutrient forms and availability, (ii) identify in-lake feedbacks that stabilize eutrophic states and elevate cyanobacterial hazard, (iii) integrate evidence from representative Indian lake types to illustrate context-dependent risk, and (iv) outline monitoring and management implications emphasizing prevention and risk reduction.</w:t>
      </w:r>
    </w:p>
    <w:p w14:paraId="1A6B7861" w14:textId="77777777" w:rsidR="00FC1A30" w:rsidRPr="00FC1A30" w:rsidRDefault="00FC1A30" w:rsidP="0075600F">
      <w:pPr>
        <w:spacing w:after="0" w:line="240" w:lineRule="auto"/>
        <w:jc w:val="both"/>
        <w:rPr>
          <w:rFonts w:ascii="Times New Roman" w:eastAsia="Times New Roman" w:hAnsi="Times New Roman" w:cs="Times New Roman"/>
          <w:sz w:val="24"/>
          <w:szCs w:val="24"/>
          <w:lang w:val="en-US"/>
        </w:rPr>
      </w:pPr>
    </w:p>
    <w:p w14:paraId="27F5F22A" w14:textId="77777777" w:rsidR="00FC1A30" w:rsidRPr="00FC1A30" w:rsidRDefault="00FC1A30" w:rsidP="0075600F">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2. Methods for literature selection</w:t>
      </w:r>
    </w:p>
    <w:p w14:paraId="2157EF54"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For this narrative review</w:t>
      </w:r>
      <w:r w:rsidR="00AA4B3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a</w:t>
      </w:r>
      <w:r w:rsidRPr="00FC1A30">
        <w:rPr>
          <w:rFonts w:ascii="Times New Roman" w:eastAsia="Times New Roman" w:hAnsi="Times New Roman" w:cs="Times New Roman"/>
          <w:sz w:val="24"/>
          <w:szCs w:val="24"/>
          <w:lang w:val="en-US"/>
        </w:rPr>
        <w:t xml:space="preserve"> structured literature search was conducted in Scopus, Web of Science Core Collection, PubMed (for cyanobacteria/toxin-focused studies), and Google Scholar to capture interdisciplinary coverage of limnology, biogeochemistry, remote sensing, and public-health risk. Searches were performed for publications primarily from January 2013 through December 2025 to ensure emphasis on recent advances while retaining a small number of foundational studies necessary to interpret longer-term nutrient feedbacks. Search strings combined geographic and process terms, for example: “India” AND “lake” AND (“eutrophication” OR “nutrient dynamics” OR “internal loading” OR “sediment phosphorus”), and “India” AND (“cyanobacteria” OR “Microcystis” OR “cyanotoxin” OR “microcystin” OR “</w:t>
      </w:r>
      <w:proofErr w:type="spellStart"/>
      <w:r w:rsidRPr="00FC1A30">
        <w:rPr>
          <w:rFonts w:ascii="Times New Roman" w:eastAsia="Times New Roman" w:hAnsi="Times New Roman" w:cs="Times New Roman"/>
          <w:sz w:val="24"/>
          <w:szCs w:val="24"/>
          <w:lang w:val="en-US"/>
        </w:rPr>
        <w:t>mcy</w:t>
      </w:r>
      <w:proofErr w:type="spellEnd"/>
      <w:r w:rsidRPr="00FC1A30">
        <w:rPr>
          <w:rFonts w:ascii="Times New Roman" w:eastAsia="Times New Roman" w:hAnsi="Times New Roman" w:cs="Times New Roman"/>
          <w:sz w:val="24"/>
          <w:szCs w:val="24"/>
          <w:lang w:val="en-US"/>
        </w:rPr>
        <w:t xml:space="preserve"> gene”), supplemented by lake-specific terms (e.g., “</w:t>
      </w:r>
      <w:proofErr w:type="spellStart"/>
      <w:r w:rsidRPr="00FC1A30">
        <w:rPr>
          <w:rFonts w:ascii="Times New Roman" w:eastAsia="Times New Roman" w:hAnsi="Times New Roman" w:cs="Times New Roman"/>
          <w:sz w:val="24"/>
          <w:szCs w:val="24"/>
          <w:lang w:val="en-US"/>
        </w:rPr>
        <w:t>Loktak</w:t>
      </w:r>
      <w:proofErr w:type="spellEnd"/>
      <w:r w:rsidRPr="00FC1A30">
        <w:rPr>
          <w:rFonts w:ascii="Times New Roman" w:eastAsia="Times New Roman" w:hAnsi="Times New Roman" w:cs="Times New Roman"/>
          <w:sz w:val="24"/>
          <w:szCs w:val="24"/>
          <w:lang w:val="en-US"/>
        </w:rPr>
        <w:t>,” “Renuka,” “Dal,” “</w:t>
      </w:r>
      <w:proofErr w:type="spellStart"/>
      <w:r w:rsidRPr="00FC1A30">
        <w:rPr>
          <w:rFonts w:ascii="Times New Roman" w:eastAsia="Times New Roman" w:hAnsi="Times New Roman" w:cs="Times New Roman"/>
          <w:sz w:val="24"/>
          <w:szCs w:val="24"/>
          <w:lang w:val="en-US"/>
        </w:rPr>
        <w:t>Vembanad</w:t>
      </w:r>
      <w:proofErr w:type="spellEnd"/>
      <w:r w:rsidRPr="00FC1A30">
        <w:rPr>
          <w:rFonts w:ascii="Times New Roman" w:eastAsia="Times New Roman" w:hAnsi="Times New Roman" w:cs="Times New Roman"/>
          <w:sz w:val="24"/>
          <w:szCs w:val="24"/>
          <w:lang w:val="en-US"/>
        </w:rPr>
        <w:t>,” “Bengaluru,” “Hussain Sagar”).</w:t>
      </w:r>
    </w:p>
    <w:p w14:paraId="45853A97"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Inclusion criteria prioritized peer-reviewed journal articles and authoritative reviews addressing (</w:t>
      </w:r>
      <w:proofErr w:type="spellStart"/>
      <w:r w:rsidRPr="00FC1A30">
        <w:rPr>
          <w:rFonts w:ascii="Times New Roman" w:eastAsia="Times New Roman" w:hAnsi="Times New Roman" w:cs="Times New Roman"/>
          <w:sz w:val="24"/>
          <w:szCs w:val="24"/>
          <w:lang w:val="en-US"/>
        </w:rPr>
        <w:t>i</w:t>
      </w:r>
      <w:proofErr w:type="spellEnd"/>
      <w:r w:rsidRPr="00FC1A30">
        <w:rPr>
          <w:rFonts w:ascii="Times New Roman" w:eastAsia="Times New Roman" w:hAnsi="Times New Roman" w:cs="Times New Roman"/>
          <w:sz w:val="24"/>
          <w:szCs w:val="24"/>
          <w:lang w:val="en-US"/>
        </w:rPr>
        <w:t xml:space="preserve">) nutrient loading and cycling in Indian lakes or comparable tropical lake settings with mechanistic relevance, (ii) </w:t>
      </w:r>
      <w:proofErr w:type="spellStart"/>
      <w:r w:rsidRPr="00FC1A30">
        <w:rPr>
          <w:rFonts w:ascii="Times New Roman" w:eastAsia="Times New Roman" w:hAnsi="Times New Roman" w:cs="Times New Roman"/>
          <w:sz w:val="24"/>
          <w:szCs w:val="24"/>
          <w:lang w:val="en-US"/>
        </w:rPr>
        <w:t>physico</w:t>
      </w:r>
      <w:proofErr w:type="spellEnd"/>
      <w:r w:rsidRPr="00FC1A30">
        <w:rPr>
          <w:rFonts w:ascii="Times New Roman" w:eastAsia="Times New Roman" w:hAnsi="Times New Roman" w:cs="Times New Roman"/>
          <w:sz w:val="24"/>
          <w:szCs w:val="24"/>
          <w:lang w:val="en-US"/>
        </w:rPr>
        <w:t>-chemical drivers of cyanobacterial bloom formation, and (iii) cyanobacterial toxin occurrence, toxic potential, or monitoring approaches applicable to Indian freshwaters. Exclusion criteria removed non-peer-reviewed reports, papers lacking verifiable bibliographic metadata, and studies focused solely on rivers or estuaries without lake-relevant process inference. Evidence was synthesized narratively with emphasis on causal mechanisms and cross-system transferability rather than on meta-analysis, consistent with heterogeneity in methods and reporting across lake studies.</w:t>
      </w:r>
    </w:p>
    <w:p w14:paraId="23257ADD" w14:textId="77777777" w:rsidR="00FC1A30" w:rsidRPr="00FC1A30" w:rsidRDefault="00FC1A30" w:rsidP="0075600F">
      <w:pPr>
        <w:spacing w:after="0" w:line="240" w:lineRule="auto"/>
        <w:jc w:val="both"/>
        <w:rPr>
          <w:rFonts w:ascii="Times New Roman" w:eastAsia="Times New Roman" w:hAnsi="Times New Roman" w:cs="Times New Roman"/>
          <w:sz w:val="24"/>
          <w:szCs w:val="24"/>
          <w:lang w:val="en-US"/>
        </w:rPr>
      </w:pPr>
    </w:p>
    <w:p w14:paraId="6FE7391D" w14:textId="43A6D497" w:rsidR="00FC1A30" w:rsidRPr="00FC1A30" w:rsidRDefault="00FC1A30" w:rsidP="0075600F">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3. Nutrient sources, cycling and stoichiometric controls in Indian lakes</w:t>
      </w:r>
    </w:p>
    <w:p w14:paraId="1486FCA8" w14:textId="77777777" w:rsidR="00FC1A30" w:rsidRPr="00FC1A30" w:rsidRDefault="00FC1A30" w:rsidP="0075600F">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3.1 External loading under monsoon-seasonal catchments</w:t>
      </w:r>
    </w:p>
    <w:p w14:paraId="19977AE5"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External nutrient loading to Indian lakes is shaped by the intersection of land use and monsoon hydrology. Wet-season stormflows can rapidly mobilize particulate phosphorus from eroding soils and road surfaces and deliver dissolved inorganic and organic nutrient forms from wastewater-impacted drains. In urban lake networks, inflow channels often function as continuous nutrient conveyors because baseflows may be dominated by untreated or partially treated sewage, maintaining elevated ammonium and phosphate even outside rainfall events (</w:t>
      </w:r>
      <w:proofErr w:type="spellStart"/>
      <w:r w:rsidRPr="00FC1A30">
        <w:rPr>
          <w:rFonts w:ascii="Times New Roman" w:eastAsia="Times New Roman" w:hAnsi="Times New Roman" w:cs="Times New Roman"/>
          <w:sz w:val="24"/>
          <w:szCs w:val="24"/>
          <w:lang w:val="en-US"/>
        </w:rPr>
        <w:t>Birawat</w:t>
      </w:r>
      <w:proofErr w:type="spellEnd"/>
      <w:r w:rsidRPr="00FC1A30">
        <w:rPr>
          <w:rFonts w:ascii="Times New Roman" w:eastAsia="Times New Roman" w:hAnsi="Times New Roman" w:cs="Times New Roman"/>
          <w:sz w:val="24"/>
          <w:szCs w:val="24"/>
          <w:lang w:val="en-US"/>
        </w:rPr>
        <w:t xml:space="preserve"> et al., 2021; Kora et al., 2017). In peri-urban and agricultural catchments, fertilizer-derived nitrate and phosphate pulses can coincide with early monsoon runoff, while subsequent high flows may dilute concentrations but increase total loads through volume effects. Such pulsed loading is especially consequential in lakes with moderate-to-long residence time, where nutrients are retained and transformed rather than exported.</w:t>
      </w:r>
    </w:p>
    <w:p w14:paraId="63527011"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 xml:space="preserve">The form of nutrient loading matters for bloom risk because cyanobacteria exploit different pools through distinct uptake strategies. Dissolved inorganic phosphorus can be rapidly assimilated, whereas particulate and organic phosphorus must be mineralized or released from </w:t>
      </w:r>
      <w:r w:rsidRPr="00FC1A30">
        <w:rPr>
          <w:rFonts w:ascii="Times New Roman" w:eastAsia="Times New Roman" w:hAnsi="Times New Roman" w:cs="Times New Roman"/>
          <w:sz w:val="24"/>
          <w:szCs w:val="24"/>
          <w:lang w:val="en-US"/>
        </w:rPr>
        <w:lastRenderedPageBreak/>
        <w:t>sediments to become bioavailable. Similarly, ammonium can be favored over nitrate by many phytoplankton due to lower energetic cost of assimilation, potentially accelerating growth during warm periods when oxygen demand and nitrification constraints also intensify. For lakes where wastewater inputs dominate, high ammonium and labile organic carbon can strengthen hypoxia development, which in turn promotes internal phosphorus release (</w:t>
      </w:r>
      <w:proofErr w:type="spellStart"/>
      <w:r w:rsidRPr="00FC1A30">
        <w:rPr>
          <w:rFonts w:ascii="Times New Roman" w:eastAsia="Times New Roman" w:hAnsi="Times New Roman" w:cs="Times New Roman"/>
          <w:sz w:val="24"/>
          <w:szCs w:val="24"/>
          <w:lang w:val="en-US"/>
        </w:rPr>
        <w:t>Søndergaard</w:t>
      </w:r>
      <w:proofErr w:type="spellEnd"/>
      <w:r w:rsidRPr="00FC1A30">
        <w:rPr>
          <w:rFonts w:ascii="Times New Roman" w:eastAsia="Times New Roman" w:hAnsi="Times New Roman" w:cs="Times New Roman"/>
          <w:sz w:val="24"/>
          <w:szCs w:val="24"/>
          <w:lang w:val="en-US"/>
        </w:rPr>
        <w:t xml:space="preserve"> et al., 2013).</w:t>
      </w:r>
    </w:p>
    <w:p w14:paraId="6CA223F3" w14:textId="77777777" w:rsidR="00FC1A30" w:rsidRPr="00FC1A30" w:rsidRDefault="00FC1A30" w:rsidP="0075600F">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3.2 Internal loading and sediment–water nutrient exchanges</w:t>
      </w:r>
    </w:p>
    <w:p w14:paraId="234A1113"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Internal loading is a central reason why eutrophication often persists even after partial reductions in external inputs. Shallow eutrophic lakes can exhibit strong summertime internal phosphorus loading when warm temperatures and oxygen depletion at the sediment–water interface enhance the release of iron-bound phosphorus and accelerate organic matter mineralization (</w:t>
      </w:r>
      <w:proofErr w:type="spellStart"/>
      <w:r w:rsidRPr="00FC1A30">
        <w:rPr>
          <w:rFonts w:ascii="Times New Roman" w:eastAsia="Times New Roman" w:hAnsi="Times New Roman" w:cs="Times New Roman"/>
          <w:sz w:val="24"/>
          <w:szCs w:val="24"/>
          <w:lang w:val="en-US"/>
        </w:rPr>
        <w:t>Søndergaard</w:t>
      </w:r>
      <w:proofErr w:type="spellEnd"/>
      <w:r w:rsidRPr="00FC1A30">
        <w:rPr>
          <w:rFonts w:ascii="Times New Roman" w:eastAsia="Times New Roman" w:hAnsi="Times New Roman" w:cs="Times New Roman"/>
          <w:sz w:val="24"/>
          <w:szCs w:val="24"/>
          <w:lang w:val="en-US"/>
        </w:rPr>
        <w:t xml:space="preserve"> et al., 2013). Although this framework is widely established in temperate shallow lakes, it is especially relevant for many Indian lakes because high temperatures can extend the season favorable for internal release, while high organic inputs from sewage and macrophyte detritus can intensify sediment oxygen demand.</w:t>
      </w:r>
    </w:p>
    <w:p w14:paraId="6B7DB9AD" w14:textId="5FB6782B"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 xml:space="preserve">Evidence from Indian lake studies aligns with this mechanistic pathway. In </w:t>
      </w:r>
      <w:proofErr w:type="spellStart"/>
      <w:r w:rsidRPr="00FC1A30">
        <w:rPr>
          <w:rFonts w:ascii="Times New Roman" w:eastAsia="Times New Roman" w:hAnsi="Times New Roman" w:cs="Times New Roman"/>
          <w:sz w:val="24"/>
          <w:szCs w:val="24"/>
          <w:lang w:val="en-US"/>
        </w:rPr>
        <w:t>Loktak</w:t>
      </w:r>
      <w:proofErr w:type="spellEnd"/>
      <w:r w:rsidRPr="00FC1A30">
        <w:rPr>
          <w:rFonts w:ascii="Times New Roman" w:eastAsia="Times New Roman" w:hAnsi="Times New Roman" w:cs="Times New Roman"/>
          <w:sz w:val="24"/>
          <w:szCs w:val="24"/>
          <w:lang w:val="en-US"/>
        </w:rPr>
        <w:t xml:space="preserve"> Lake, a shallow wetland-lake system with floating meadows and high organic matter influence, seasonal water-quality patterns and trophic conditions reflect strong coupling between hydrology, organic load, and in-lake nutrient transformations (</w:t>
      </w:r>
      <w:proofErr w:type="spellStart"/>
      <w:r w:rsidRPr="00FC1A30">
        <w:rPr>
          <w:rFonts w:ascii="Times New Roman" w:eastAsia="Times New Roman" w:hAnsi="Times New Roman" w:cs="Times New Roman"/>
          <w:sz w:val="24"/>
          <w:szCs w:val="24"/>
          <w:lang w:val="en-US"/>
        </w:rPr>
        <w:t>Tuboi</w:t>
      </w:r>
      <w:proofErr w:type="spellEnd"/>
      <w:r w:rsidRPr="00FC1A30">
        <w:rPr>
          <w:rFonts w:ascii="Times New Roman" w:eastAsia="Times New Roman" w:hAnsi="Times New Roman" w:cs="Times New Roman"/>
          <w:sz w:val="24"/>
          <w:szCs w:val="24"/>
          <w:lang w:val="en-US"/>
        </w:rPr>
        <w:t xml:space="preserve"> et al., 2018). Sediment contamination and nutrient enrichment in such systems indicate that sediments function not only as sinks but also as potential sources sustaining water-column productivity under favorable conditions (</w:t>
      </w:r>
      <w:proofErr w:type="spellStart"/>
      <w:r w:rsidRPr="00FC1A30">
        <w:rPr>
          <w:rFonts w:ascii="Times New Roman" w:eastAsia="Times New Roman" w:hAnsi="Times New Roman" w:cs="Times New Roman"/>
          <w:sz w:val="24"/>
          <w:szCs w:val="24"/>
          <w:lang w:val="en-US"/>
        </w:rPr>
        <w:t>Laishram</w:t>
      </w:r>
      <w:proofErr w:type="spellEnd"/>
      <w:r w:rsidRPr="00FC1A30">
        <w:rPr>
          <w:rFonts w:ascii="Times New Roman" w:eastAsia="Times New Roman" w:hAnsi="Times New Roman" w:cs="Times New Roman"/>
          <w:sz w:val="24"/>
          <w:szCs w:val="24"/>
          <w:lang w:val="en-US"/>
        </w:rPr>
        <w:t xml:space="preserve"> et al., 2025). In sub-Himalayan lakes such as Renuka, trophic state assessments point to persistent nutrient enrichment and relationships between chlorophyll, dissolved solids, and nitrogen species that are consistent with anthropogenic loading interacting with in-lake processing (Kumar </w:t>
      </w:r>
      <w:r w:rsidR="004D1A76">
        <w:rPr>
          <w:rFonts w:ascii="Times New Roman" w:eastAsia="Times New Roman" w:hAnsi="Times New Roman" w:cs="Times New Roman"/>
          <w:sz w:val="24"/>
          <w:szCs w:val="24"/>
          <w:lang w:val="en-US"/>
        </w:rPr>
        <w:t>et al.</w:t>
      </w:r>
      <w:r w:rsidRPr="00FC1A30">
        <w:rPr>
          <w:rFonts w:ascii="Times New Roman" w:eastAsia="Times New Roman" w:hAnsi="Times New Roman" w:cs="Times New Roman"/>
          <w:sz w:val="24"/>
          <w:szCs w:val="24"/>
          <w:lang w:val="en-US"/>
        </w:rPr>
        <w:t>, 2019).</w:t>
      </w:r>
    </w:p>
    <w:p w14:paraId="51490F64"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Internal loading is also supported by nutrient accumulation over long periods. Phosphorus tends to accumulate in sediments because it is less efficiently removed from lake ecosystems than nitrogen; nitrogen can be lost via denitrification, especially under low-oxygen conditions, which may progressively shift systems toward nitrogen limitation while leaving phosphorus available through sediment recycling (</w:t>
      </w:r>
      <w:proofErr w:type="spellStart"/>
      <w:r w:rsidRPr="00FC1A30">
        <w:rPr>
          <w:rFonts w:ascii="Times New Roman" w:eastAsia="Times New Roman" w:hAnsi="Times New Roman" w:cs="Times New Roman"/>
          <w:sz w:val="24"/>
          <w:szCs w:val="24"/>
          <w:lang w:val="en-US"/>
        </w:rPr>
        <w:t>Paerl</w:t>
      </w:r>
      <w:proofErr w:type="spellEnd"/>
      <w:r w:rsidRPr="00FC1A30">
        <w:rPr>
          <w:rFonts w:ascii="Times New Roman" w:eastAsia="Times New Roman" w:hAnsi="Times New Roman" w:cs="Times New Roman"/>
          <w:sz w:val="24"/>
          <w:szCs w:val="24"/>
          <w:lang w:val="en-US"/>
        </w:rPr>
        <w:t xml:space="preserve"> et al., 2016). This asymmetry has direct implications for cyanobacterial communities, as nitrogen-fixing taxa can exploit low dissolved inorganic nitrogen when phosphorus remains available, while non-diazotrophic but buoyant taxa can persist when recycled nitrogen or ammonium inputs remain high.</w:t>
      </w:r>
    </w:p>
    <w:p w14:paraId="7AE05EBE" w14:textId="77777777" w:rsidR="00FC1A30" w:rsidRPr="00FC1A30" w:rsidRDefault="00FC1A30" w:rsidP="0075600F">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3.3 Nutrient stoichiometry and functional limitation</w:t>
      </w:r>
    </w:p>
    <w:p w14:paraId="0C9FA30D"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Lake management historically emphasized phosphorus control, yet contemporary evidence indicates that harmful bloom prevention often requires coordinated reductions in both nitrogen and phosphorus, depending on lake type, downstream connectivity, and internal feedbacks (</w:t>
      </w:r>
      <w:proofErr w:type="spellStart"/>
      <w:r w:rsidRPr="00FC1A30">
        <w:rPr>
          <w:rFonts w:ascii="Times New Roman" w:eastAsia="Times New Roman" w:hAnsi="Times New Roman" w:cs="Times New Roman"/>
          <w:sz w:val="24"/>
          <w:szCs w:val="24"/>
          <w:lang w:val="en-US"/>
        </w:rPr>
        <w:t>Paerl</w:t>
      </w:r>
      <w:proofErr w:type="spellEnd"/>
      <w:r w:rsidRPr="00FC1A30">
        <w:rPr>
          <w:rFonts w:ascii="Times New Roman" w:eastAsia="Times New Roman" w:hAnsi="Times New Roman" w:cs="Times New Roman"/>
          <w:sz w:val="24"/>
          <w:szCs w:val="24"/>
          <w:lang w:val="en-US"/>
        </w:rPr>
        <w:t xml:space="preserve"> et al., 2016). For Indian lakes, this dual-control framing is particularly relevant because many systems experience mixed nutrient sources and variable limitation across seasons: wet-season inflows can raise nitrogen and phosphorus simultaneously, while dry-season conditions and internal cycling can create episodic nitrogen deficits, especially in systems with strong denitrification and persistent phosphorus recycling.</w:t>
      </w:r>
    </w:p>
    <w:p w14:paraId="633EDF4B"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lastRenderedPageBreak/>
        <w:t xml:space="preserve">Stoichiometric conditions interact with cyanobacterial traits. Diazotrophic cyanobacteria can compensate for low dissolved inorganic nitrogen, but they still require phosphorus and key micronutrients and are sensitive to mixing and light climate. Conversely, </w:t>
      </w:r>
      <w:r w:rsidRPr="00FC1A30">
        <w:rPr>
          <w:rFonts w:ascii="Times New Roman" w:eastAsia="Times New Roman" w:hAnsi="Times New Roman" w:cs="Times New Roman"/>
          <w:i/>
          <w:iCs/>
          <w:sz w:val="24"/>
          <w:szCs w:val="24"/>
          <w:lang w:val="en-US"/>
        </w:rPr>
        <w:t>Microcystis</w:t>
      </w:r>
      <w:r w:rsidRPr="00FC1A30">
        <w:rPr>
          <w:rFonts w:ascii="Times New Roman" w:eastAsia="Times New Roman" w:hAnsi="Times New Roman" w:cs="Times New Roman"/>
          <w:sz w:val="24"/>
          <w:szCs w:val="24"/>
          <w:lang w:val="en-US"/>
        </w:rPr>
        <w:t xml:space="preserve"> dominance is often promoted by high phosphorus availability and warm, stable conditions with sufficient nitrogen supply, commonly associated with wastewater enrichment and high internal recycling. Therefore, nutrient ratios should be treated as indicators of dynamic constraint rather than fixed thresholds; risk emerges when physical structure and nutrient form align with the competitive strategies of bloom-formers.</w:t>
      </w:r>
    </w:p>
    <w:p w14:paraId="7E093B93" w14:textId="77777777" w:rsidR="00FC1A30" w:rsidRPr="00FC1A30" w:rsidRDefault="00FC1A30" w:rsidP="0075600F">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 xml:space="preserve">4. </w:t>
      </w:r>
      <w:proofErr w:type="spellStart"/>
      <w:r w:rsidRPr="00FC1A30">
        <w:rPr>
          <w:rFonts w:ascii="Times New Roman" w:eastAsia="Times New Roman" w:hAnsi="Times New Roman" w:cs="Times New Roman"/>
          <w:b/>
          <w:bCs/>
          <w:sz w:val="36"/>
          <w:szCs w:val="36"/>
          <w:lang w:val="en-US"/>
        </w:rPr>
        <w:t>Physico</w:t>
      </w:r>
      <w:proofErr w:type="spellEnd"/>
      <w:r w:rsidRPr="00FC1A30">
        <w:rPr>
          <w:rFonts w:ascii="Times New Roman" w:eastAsia="Times New Roman" w:hAnsi="Times New Roman" w:cs="Times New Roman"/>
          <w:b/>
          <w:bCs/>
          <w:sz w:val="36"/>
          <w:szCs w:val="36"/>
          <w:lang w:val="en-US"/>
        </w:rPr>
        <w:t>-chemical controls on cyanobacterial dominance</w:t>
      </w:r>
    </w:p>
    <w:p w14:paraId="433F75DB" w14:textId="77777777" w:rsidR="00FC1A30" w:rsidRPr="00FC1A30" w:rsidRDefault="00FC1A30" w:rsidP="0075600F">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4.1 Temperature, stratification, and seasonal stability</w:t>
      </w:r>
    </w:p>
    <w:p w14:paraId="74992B59"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Temperature is a first-order regulator of cyanobacterial bloom risk because many bloom-forming taxa have growth optima at relatively high temperatures and can outcompete eukaryotic algae under warm conditions, particularly when combined with stable stratification and high light availability at the surface (Huisman et al., 2018). Warming also increases respiration and oxygen depletion, indirectly favoring internal phosphorus release and reinforcing eutrophic feedbacks (</w:t>
      </w:r>
      <w:proofErr w:type="spellStart"/>
      <w:r w:rsidRPr="00FC1A30">
        <w:rPr>
          <w:rFonts w:ascii="Times New Roman" w:eastAsia="Times New Roman" w:hAnsi="Times New Roman" w:cs="Times New Roman"/>
          <w:sz w:val="24"/>
          <w:szCs w:val="24"/>
          <w:lang w:val="en-US"/>
        </w:rPr>
        <w:t>Søndergaard</w:t>
      </w:r>
      <w:proofErr w:type="spellEnd"/>
      <w:r w:rsidRPr="00FC1A30">
        <w:rPr>
          <w:rFonts w:ascii="Times New Roman" w:eastAsia="Times New Roman" w:hAnsi="Times New Roman" w:cs="Times New Roman"/>
          <w:sz w:val="24"/>
          <w:szCs w:val="24"/>
          <w:lang w:val="en-US"/>
        </w:rPr>
        <w:t xml:space="preserve"> et al., 2013). In India, long warm seasons can extend the window for bloom development, while heatwaves can accelerate rapid transitions from moderate biomass to surface scum events.</w:t>
      </w:r>
    </w:p>
    <w:p w14:paraId="3320D88A"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Stratification intensity and duration depend on depth, wind exposure, and inflow patterns. Even shallow lakes can develop diel or episodic stratification under calm, hot conditions, creating near-sediment hypoxia that promotes phosphorus release. Deeper basins can exhibit longer stratified periods in the dry season when inflows are reduced and wind mixing may be insufficient to erode thermal gradients. These stability patterns intersect with buoyancy regulation: cyanobacteria can adjust buoyancy to remain in optimal light conditions, exploit nutrient gradients, and form surface accumulations that further shade competitors.</w:t>
      </w:r>
    </w:p>
    <w:p w14:paraId="0E1FEC7E" w14:textId="77777777" w:rsidR="00FC1A30" w:rsidRPr="00FC1A30" w:rsidRDefault="00FC1A30" w:rsidP="0075600F">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4.2 Light climate, turbidity, and surface accumulation</w:t>
      </w:r>
    </w:p>
    <w:p w14:paraId="79C066C0"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Light availability is shaped by suspended sediments, colored dissolved organic matter, and phytoplankton self-shading. Monsoon inflows can elevate turbidity and reduce euphotic depth, potentially suppressing some algae; however, bloom-forming cyanobacteria often tolerate low average light by exploiting surface layers through buoyancy, particularly during calm intervals. Furthermore, turbid, nutrient-rich conditions can reduce grazing pressure by altering food-web structure and can favor taxa resilient to fluctuating light. The capacity for surface scum formation is a critical hazard pathway because it concentrates toxins and increases human and animal exposure at shorelines and intake points.</w:t>
      </w:r>
    </w:p>
    <w:p w14:paraId="6532D0CE"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 xml:space="preserve">Evidence from hyperspectral remote sensing and bloom monitoring studies demonstrates that </w:t>
      </w:r>
      <w:proofErr w:type="spellStart"/>
      <w:r w:rsidRPr="00FC1A30">
        <w:rPr>
          <w:rFonts w:ascii="Times New Roman" w:eastAsia="Times New Roman" w:hAnsi="Times New Roman" w:cs="Times New Roman"/>
          <w:sz w:val="24"/>
          <w:szCs w:val="24"/>
          <w:lang w:val="en-US"/>
        </w:rPr>
        <w:t>physico</w:t>
      </w:r>
      <w:proofErr w:type="spellEnd"/>
      <w:r w:rsidRPr="00FC1A30">
        <w:rPr>
          <w:rFonts w:ascii="Times New Roman" w:eastAsia="Times New Roman" w:hAnsi="Times New Roman" w:cs="Times New Roman"/>
          <w:sz w:val="24"/>
          <w:szCs w:val="24"/>
          <w:lang w:val="en-US"/>
        </w:rPr>
        <w:t>-chemical conditions can be diagnostic of bloom development, especially when combined with optical indicators of pigment composition and surface accumulation (Park et al., 2017). For Indian lakes, this suggests that low-cost remote sensing—ground-based, drone, or satellite—can complement routine sampling by identifying spatial hotspots of surface biomass that may be missed by point monitoring.</w:t>
      </w:r>
    </w:p>
    <w:p w14:paraId="69814ED1" w14:textId="77777777" w:rsidR="00FC1A30" w:rsidRPr="00FC1A30" w:rsidRDefault="00FC1A30" w:rsidP="0075600F">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4.3 Oxygen regime and redox-sensitive nutrient release</w:t>
      </w:r>
    </w:p>
    <w:p w14:paraId="20B99BEB"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lastRenderedPageBreak/>
        <w:t>Oxygen depletion is both a symptom and driver of eutrophication. High organic loading from sewage and bloom-derived biomass increases sediment oxygen demand, and when oxygen is depleted at the sediment–water interface, redox-sensitive phosphorus bound to iron minerals can be released, elevating dissolved phosphorus and sustaining high productivity (</w:t>
      </w:r>
      <w:proofErr w:type="spellStart"/>
      <w:r w:rsidRPr="00FC1A30">
        <w:rPr>
          <w:rFonts w:ascii="Times New Roman" w:eastAsia="Times New Roman" w:hAnsi="Times New Roman" w:cs="Times New Roman"/>
          <w:sz w:val="24"/>
          <w:szCs w:val="24"/>
          <w:lang w:val="en-US"/>
        </w:rPr>
        <w:t>Søndergaard</w:t>
      </w:r>
      <w:proofErr w:type="spellEnd"/>
      <w:r w:rsidRPr="00FC1A30">
        <w:rPr>
          <w:rFonts w:ascii="Times New Roman" w:eastAsia="Times New Roman" w:hAnsi="Times New Roman" w:cs="Times New Roman"/>
          <w:sz w:val="24"/>
          <w:szCs w:val="24"/>
          <w:lang w:val="en-US"/>
        </w:rPr>
        <w:t xml:space="preserve"> et al., 2013). Oxygen depletion also alters nitrogen cycling by promoting denitrification, which removes nitrate and can contribute to nitrogen deficits that favor nitrogen-fixers or select for taxa adapted to ammonium-rich niches.</w:t>
      </w:r>
    </w:p>
    <w:p w14:paraId="0B9F40BE"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In urban lakes with continuous organic inputs, oxygen depletion can become chronic, creating persistent internal loading and a high likelihood of bloom recurrence even if external loads fluctuate. This coupling is consistent with observations from heavily impacted urban systems such as Hussain Sagar, where water quality reflects combined chemical oxygen demand, microbial contamination, and nutrient enrichment characteristic of sustained anthropogenic pressure (Kora et al., 2017).</w:t>
      </w:r>
    </w:p>
    <w:p w14:paraId="77837F9A" w14:textId="77777777" w:rsidR="00FC1A30" w:rsidRPr="00FC1A30" w:rsidRDefault="00FC1A30" w:rsidP="0075600F">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4.4 Ionic strength, alkalinity, and salinity gradients</w:t>
      </w:r>
    </w:p>
    <w:p w14:paraId="0AC33B33"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 xml:space="preserve">Many Indian lakes exhibit moderate-to-high alkalinity and conductivity due to geology, evaporation, and anthropogenic inputs. Carbon chemistry matters because cyanobacteria possess efficient carbon-concentrating mechanisms that can exploit high bicarbonate conditions, potentially conferring advantage under high pH regimes typical of productive waters. In coastal </w:t>
      </w:r>
      <w:proofErr w:type="spellStart"/>
      <w:r w:rsidRPr="00FC1A30">
        <w:rPr>
          <w:rFonts w:ascii="Times New Roman" w:eastAsia="Times New Roman" w:hAnsi="Times New Roman" w:cs="Times New Roman"/>
          <w:sz w:val="24"/>
          <w:szCs w:val="24"/>
          <w:lang w:val="en-US"/>
        </w:rPr>
        <w:t>lagoonal</w:t>
      </w:r>
      <w:proofErr w:type="spellEnd"/>
      <w:r w:rsidRPr="00FC1A30">
        <w:rPr>
          <w:rFonts w:ascii="Times New Roman" w:eastAsia="Times New Roman" w:hAnsi="Times New Roman" w:cs="Times New Roman"/>
          <w:sz w:val="24"/>
          <w:szCs w:val="24"/>
          <w:lang w:val="en-US"/>
        </w:rPr>
        <w:t xml:space="preserve"> lakes and backwaters, periodic salinity intrusion and strong gradients in residence time create shifting habitat constraints that can influence phytoplankton composition, microbial hazards, and nutrient limitation patterns. In </w:t>
      </w:r>
      <w:proofErr w:type="spellStart"/>
      <w:r w:rsidRPr="00FC1A30">
        <w:rPr>
          <w:rFonts w:ascii="Times New Roman" w:eastAsia="Times New Roman" w:hAnsi="Times New Roman" w:cs="Times New Roman"/>
          <w:sz w:val="24"/>
          <w:szCs w:val="24"/>
          <w:lang w:val="en-US"/>
        </w:rPr>
        <w:t>Vembanad</w:t>
      </w:r>
      <w:proofErr w:type="spellEnd"/>
      <w:r w:rsidRPr="00FC1A30">
        <w:rPr>
          <w:rFonts w:ascii="Times New Roman" w:eastAsia="Times New Roman" w:hAnsi="Times New Roman" w:cs="Times New Roman"/>
          <w:sz w:val="24"/>
          <w:szCs w:val="24"/>
          <w:lang w:val="en-US"/>
        </w:rPr>
        <w:t xml:space="preserve"> Lake, ecosystem health assessments highlight the need to integrate water-quality stressors and microbial risk, reflecting the complexity of coastal-lake systems subject to hydrologic and anthropogenic variability (Padua et al., 2023).</w:t>
      </w:r>
    </w:p>
    <w:p w14:paraId="7EC2B790" w14:textId="77777777" w:rsidR="00FC1A30" w:rsidRPr="00FC1A30" w:rsidRDefault="00FC1A30" w:rsidP="0075600F">
      <w:pPr>
        <w:spacing w:after="0" w:line="240" w:lineRule="auto"/>
        <w:jc w:val="both"/>
        <w:rPr>
          <w:rFonts w:ascii="Times New Roman" w:eastAsia="Times New Roman" w:hAnsi="Times New Roman" w:cs="Times New Roman"/>
          <w:sz w:val="24"/>
          <w:szCs w:val="24"/>
          <w:lang w:val="en-US"/>
        </w:rPr>
      </w:pPr>
    </w:p>
    <w:p w14:paraId="0F091DAE" w14:textId="77777777" w:rsidR="00FC1A30" w:rsidRPr="00FC1A30" w:rsidRDefault="00FC1A30" w:rsidP="0075600F">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5. Cyanobacterial risk in Indian lakes: hazard pathways and monitoring</w:t>
      </w:r>
    </w:p>
    <w:p w14:paraId="6BC4542E" w14:textId="77777777" w:rsidR="00FC1A30" w:rsidRPr="00FC1A30" w:rsidRDefault="00FC1A30" w:rsidP="0075600F">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5.1 From bloom presence to toxin risk</w:t>
      </w:r>
    </w:p>
    <w:p w14:paraId="65DE5CD9"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Cyanobacterial risk is not equivalent to bloom biomass because toxin production depends on species/strain composition, environmental conditions, and bloom phase. However, bloom recurrence increases the probability that toxigenic strains are present and that toxin concentrations will episodically exceed safe thresholds. Indian evidence increasingly includes molecular and toxicological screening, indicating that blooms can carry microcystin biosynthesis potential and measurable toxicity. For example, work on Indian freshwater blooms has used microcystin synthetase (</w:t>
      </w:r>
      <w:proofErr w:type="spellStart"/>
      <w:r w:rsidRPr="00FC1A30">
        <w:rPr>
          <w:rFonts w:ascii="Times New Roman" w:eastAsia="Times New Roman" w:hAnsi="Times New Roman" w:cs="Times New Roman"/>
          <w:sz w:val="24"/>
          <w:szCs w:val="24"/>
          <w:lang w:val="en-US"/>
        </w:rPr>
        <w:t>mcy</w:t>
      </w:r>
      <w:proofErr w:type="spellEnd"/>
      <w:r w:rsidRPr="00FC1A30">
        <w:rPr>
          <w:rFonts w:ascii="Times New Roman" w:eastAsia="Times New Roman" w:hAnsi="Times New Roman" w:cs="Times New Roman"/>
          <w:sz w:val="24"/>
          <w:szCs w:val="24"/>
          <w:lang w:val="en-US"/>
        </w:rPr>
        <w:t xml:space="preserve">) gene detection alongside toxicological assessment to evaluate the toxigenic potential of </w:t>
      </w:r>
      <w:r w:rsidRPr="00FC1A30">
        <w:rPr>
          <w:rFonts w:ascii="Times New Roman" w:eastAsia="Times New Roman" w:hAnsi="Times New Roman" w:cs="Times New Roman"/>
          <w:i/>
          <w:iCs/>
          <w:sz w:val="24"/>
          <w:szCs w:val="24"/>
          <w:lang w:val="en-US"/>
        </w:rPr>
        <w:t>Microcystis aeruginosa</w:t>
      </w:r>
      <w:r w:rsidRPr="00FC1A30">
        <w:rPr>
          <w:rFonts w:ascii="Times New Roman" w:eastAsia="Times New Roman" w:hAnsi="Times New Roman" w:cs="Times New Roman"/>
          <w:sz w:val="24"/>
          <w:szCs w:val="24"/>
          <w:lang w:val="en-US"/>
        </w:rPr>
        <w:t>–dominated blooms (Rajendran et al., 2026). Such approaches are particularly valuable in regions where routine toxin monitoring is not yet standardized, because they enable risk-informed screening even when analytical chemistry capacity is limited</w:t>
      </w:r>
      <w:r w:rsidR="00CB0EDD">
        <w:rPr>
          <w:rFonts w:ascii="Times New Roman" w:eastAsia="Times New Roman" w:hAnsi="Times New Roman" w:cs="Times New Roman"/>
          <w:sz w:val="24"/>
          <w:szCs w:val="24"/>
          <w:lang w:val="en-US"/>
        </w:rPr>
        <w:t xml:space="preserve"> </w:t>
      </w:r>
      <w:r w:rsidR="00CB0EDD" w:rsidRPr="00CB0EDD">
        <w:rPr>
          <w:rFonts w:ascii="Times New Roman" w:eastAsia="Times New Roman" w:hAnsi="Times New Roman" w:cs="Times New Roman"/>
          <w:sz w:val="24"/>
          <w:szCs w:val="24"/>
          <w:lang w:val="en-US"/>
        </w:rPr>
        <w:t>(</w:t>
      </w:r>
      <w:r w:rsidR="00CB0EDD" w:rsidRPr="00CB0EDD">
        <w:rPr>
          <w:rFonts w:ascii="Times New Roman" w:hAnsi="Times New Roman" w:cs="Times New Roman"/>
          <w:color w:val="222222"/>
          <w:sz w:val="24"/>
          <w:szCs w:val="24"/>
          <w:shd w:val="clear" w:color="auto" w:fill="FFFFFF"/>
        </w:rPr>
        <w:t xml:space="preserve">Mohan et al., 2023; </w:t>
      </w:r>
      <w:proofErr w:type="spellStart"/>
      <w:r w:rsidR="00CB0EDD" w:rsidRPr="00CB0EDD">
        <w:rPr>
          <w:rFonts w:ascii="Times New Roman" w:hAnsi="Times New Roman" w:cs="Times New Roman"/>
          <w:color w:val="222222"/>
          <w:sz w:val="24"/>
          <w:szCs w:val="24"/>
          <w:shd w:val="clear" w:color="auto" w:fill="FFFFFF"/>
        </w:rPr>
        <w:t>Maniyar</w:t>
      </w:r>
      <w:proofErr w:type="spellEnd"/>
      <w:r w:rsidR="00CB0EDD" w:rsidRPr="00CB0EDD">
        <w:rPr>
          <w:rFonts w:ascii="Times New Roman" w:hAnsi="Times New Roman" w:cs="Times New Roman"/>
          <w:color w:val="222222"/>
          <w:sz w:val="24"/>
          <w:szCs w:val="24"/>
          <w:shd w:val="clear" w:color="auto" w:fill="FFFFFF"/>
        </w:rPr>
        <w:t xml:space="preserve"> et al., 2022; </w:t>
      </w:r>
      <w:proofErr w:type="spellStart"/>
      <w:r w:rsidR="00CB0EDD" w:rsidRPr="00CB0EDD">
        <w:rPr>
          <w:rFonts w:ascii="Times New Roman" w:hAnsi="Times New Roman" w:cs="Times New Roman"/>
          <w:color w:val="222222"/>
          <w:sz w:val="24"/>
          <w:szCs w:val="24"/>
          <w:shd w:val="clear" w:color="auto" w:fill="FFFFFF"/>
        </w:rPr>
        <w:t>Maske</w:t>
      </w:r>
      <w:proofErr w:type="spellEnd"/>
      <w:r w:rsidR="00CB0EDD" w:rsidRPr="00CB0EDD">
        <w:rPr>
          <w:rFonts w:ascii="Times New Roman" w:hAnsi="Times New Roman" w:cs="Times New Roman"/>
          <w:color w:val="222222"/>
          <w:sz w:val="24"/>
          <w:szCs w:val="24"/>
          <w:shd w:val="clear" w:color="auto" w:fill="FFFFFF"/>
        </w:rPr>
        <w:t xml:space="preserve"> et al., 2010</w:t>
      </w:r>
      <w:r w:rsidR="00CB0EDD" w:rsidRPr="00CB0EDD">
        <w:rPr>
          <w:rFonts w:ascii="Times New Roman" w:eastAsia="Times New Roman" w:hAnsi="Times New Roman" w:cs="Times New Roman"/>
          <w:sz w:val="24"/>
          <w:szCs w:val="24"/>
          <w:lang w:val="en-US"/>
        </w:rPr>
        <w:t>)</w:t>
      </w:r>
      <w:r w:rsidRPr="00FC1A30">
        <w:rPr>
          <w:rFonts w:ascii="Times New Roman" w:eastAsia="Times New Roman" w:hAnsi="Times New Roman" w:cs="Times New Roman"/>
          <w:sz w:val="24"/>
          <w:szCs w:val="24"/>
          <w:lang w:val="en-US"/>
        </w:rPr>
        <w:t>.</w:t>
      </w:r>
    </w:p>
    <w:p w14:paraId="1E9CDFA7"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lastRenderedPageBreak/>
        <w:t>Exposure pathways in Indian contexts include accidental ingestion during recreation, occupational exposure for fishers and lakefront workers, and ingestion through drinking-water abstraction where treatment barriers are inadequate or intakes coincide with bloom hotspots. Livestock and companion animals are also at risk because shoreline scums concentrate toxins. The hazard is amplified where lakes serve as emergency or supplemental water sources during droughts, or where urban communities rely on informal water collection.</w:t>
      </w:r>
    </w:p>
    <w:p w14:paraId="033CD5F3" w14:textId="77777777" w:rsidR="00FC1A30" w:rsidRPr="00FC1A30" w:rsidRDefault="00FC1A30" w:rsidP="0075600F">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5.2 Early-warning indicators and multi-tier monitoring</w:t>
      </w:r>
    </w:p>
    <w:p w14:paraId="4FE87B4E"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 xml:space="preserve">A practical monitoring framework for Indian lakes should combine process-relevant </w:t>
      </w:r>
      <w:proofErr w:type="spellStart"/>
      <w:r w:rsidRPr="00FC1A30">
        <w:rPr>
          <w:rFonts w:ascii="Times New Roman" w:eastAsia="Times New Roman" w:hAnsi="Times New Roman" w:cs="Times New Roman"/>
          <w:sz w:val="24"/>
          <w:szCs w:val="24"/>
          <w:lang w:val="en-US"/>
        </w:rPr>
        <w:t>physico</w:t>
      </w:r>
      <w:proofErr w:type="spellEnd"/>
      <w:r w:rsidRPr="00FC1A30">
        <w:rPr>
          <w:rFonts w:ascii="Times New Roman" w:eastAsia="Times New Roman" w:hAnsi="Times New Roman" w:cs="Times New Roman"/>
          <w:sz w:val="24"/>
          <w:szCs w:val="24"/>
          <w:lang w:val="en-US"/>
        </w:rPr>
        <w:t xml:space="preserve">-chemical indicators with bloom-specific measurements. </w:t>
      </w:r>
      <w:proofErr w:type="spellStart"/>
      <w:r w:rsidRPr="00FC1A30">
        <w:rPr>
          <w:rFonts w:ascii="Times New Roman" w:eastAsia="Times New Roman" w:hAnsi="Times New Roman" w:cs="Times New Roman"/>
          <w:sz w:val="24"/>
          <w:szCs w:val="24"/>
          <w:lang w:val="en-US"/>
        </w:rPr>
        <w:t>Physico</w:t>
      </w:r>
      <w:proofErr w:type="spellEnd"/>
      <w:r w:rsidRPr="00FC1A30">
        <w:rPr>
          <w:rFonts w:ascii="Times New Roman" w:eastAsia="Times New Roman" w:hAnsi="Times New Roman" w:cs="Times New Roman"/>
          <w:sz w:val="24"/>
          <w:szCs w:val="24"/>
          <w:lang w:val="en-US"/>
        </w:rPr>
        <w:t>-chemical indicators include temperature profiles, dissolved oxygen, conductivity, pH, turbidity, and nutrient speciation (dissolved inorganic nitrogen forms, soluble reactive phosphorus, and total nutrients). Bloom-specific measurements include chlorophyll-a, phycocyanin fluorescence, microscopy for taxa identification, and, where feasible, toxin assays and molecular markers. Remote sensing can provide spatial context by mapping surface biomass and detecting bloom accumulation zones, particularly valuable in heterogeneous lakes with localized inflows and wind-driven surface convergence (Park et al., 2017).</w:t>
      </w:r>
    </w:p>
    <w:p w14:paraId="24CF49BD"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 xml:space="preserve">The key conceptual advance is to treat monitoring as risk forecasting rather than as retrospective documentation. Warm, stable conditions with elevated phosphorus availability and high residence time constitute a “bloom-favorable window,” while hypoxia indicates a high likelihood of internal nutrient release that can sustain blooms even after external loads decline. Climate change further strengthens the rationale for early warning because warming and extremes can increase bloom frequency and expand the seasonal window for blooms (Griffith &amp; </w:t>
      </w:r>
      <w:proofErr w:type="spellStart"/>
      <w:r w:rsidRPr="00FC1A30">
        <w:rPr>
          <w:rFonts w:ascii="Times New Roman" w:eastAsia="Times New Roman" w:hAnsi="Times New Roman" w:cs="Times New Roman"/>
          <w:sz w:val="24"/>
          <w:szCs w:val="24"/>
          <w:lang w:val="en-US"/>
        </w:rPr>
        <w:t>Gobler</w:t>
      </w:r>
      <w:proofErr w:type="spellEnd"/>
      <w:r w:rsidRPr="00FC1A30">
        <w:rPr>
          <w:rFonts w:ascii="Times New Roman" w:eastAsia="Times New Roman" w:hAnsi="Times New Roman" w:cs="Times New Roman"/>
          <w:sz w:val="24"/>
          <w:szCs w:val="24"/>
          <w:lang w:val="en-US"/>
        </w:rPr>
        <w:t>, 2020; Huisman et al., 2018).</w:t>
      </w:r>
    </w:p>
    <w:p w14:paraId="3F4C9F71" w14:textId="77777777" w:rsidR="00FC1A30" w:rsidRPr="00FC1A30" w:rsidRDefault="00FC1A30" w:rsidP="0075600F">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6. Evidence synthesis across representative Indian lake types</w:t>
      </w:r>
    </w:p>
    <w:p w14:paraId="798D8C56" w14:textId="77777777" w:rsidR="00FC1A30" w:rsidRPr="00FC1A30" w:rsidRDefault="00FC1A30" w:rsidP="0075600F">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6.1 Himalayan and sub-Himalayan lakes: enrichment, clarity loss, and shifting seasonal structure</w:t>
      </w:r>
    </w:p>
    <w:p w14:paraId="464DBAB9" w14:textId="762CF178"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 xml:space="preserve">Sub-Himalayan lakes often occupy basins that are sensitive to land-use change, tourism, and shoreline modification. Renuka Lake has been characterized as hyper-eutrophic with trophic state metrics linked to nutrient enrichment and spatial variability associated with anthropogenic impacts, underscoring the vulnerability of culturally and ecologically important lakes to persistent loading (Kumar </w:t>
      </w:r>
      <w:r w:rsidR="004D1A76">
        <w:rPr>
          <w:rFonts w:ascii="Times New Roman" w:eastAsia="Times New Roman" w:hAnsi="Times New Roman" w:cs="Times New Roman"/>
          <w:sz w:val="24"/>
          <w:szCs w:val="24"/>
          <w:lang w:val="en-US"/>
        </w:rPr>
        <w:t>et al.</w:t>
      </w:r>
      <w:r w:rsidRPr="00FC1A30">
        <w:rPr>
          <w:rFonts w:ascii="Times New Roman" w:eastAsia="Times New Roman" w:hAnsi="Times New Roman" w:cs="Times New Roman"/>
          <w:sz w:val="24"/>
          <w:szCs w:val="24"/>
          <w:lang w:val="en-US"/>
        </w:rPr>
        <w:t>, 2019). In such systems, seasonal stratification and oxygen dynamics can interact with nutrient inputs to favor cyanobacteria during warm, calm periods, while wet-season turbidity and flushing can reorganize nutrient availability and community composition.</w:t>
      </w:r>
    </w:p>
    <w:p w14:paraId="2F01323C" w14:textId="77777777" w:rsidR="00FC1A30" w:rsidRPr="00FC1A30" w:rsidRDefault="00FC1A30" w:rsidP="0075600F">
      <w:pPr>
        <w:jc w:val="both"/>
        <w:rPr>
          <w:rFonts w:ascii="Times New Roman" w:hAnsi="Times New Roman" w:cs="Times New Roman"/>
          <w:color w:val="222222"/>
          <w:sz w:val="24"/>
          <w:szCs w:val="24"/>
          <w:shd w:val="clear" w:color="auto" w:fill="FFFFFF"/>
        </w:rPr>
      </w:pPr>
      <w:r w:rsidRPr="00FC1A30">
        <w:rPr>
          <w:rFonts w:ascii="Times New Roman" w:eastAsia="Times New Roman" w:hAnsi="Times New Roman" w:cs="Times New Roman"/>
          <w:sz w:val="24"/>
          <w:szCs w:val="24"/>
          <w:lang w:val="en-US"/>
        </w:rPr>
        <w:t>Dal Lake provides another important example of a high-value Himalayan lake under sustained anthropogenic pressure. Water-quality studies highlight deterioration consistent with eutrophication processes and emphasize the need for integrated management that addresses catchment sources and in-lake conditions (Kumar et al., 2022</w:t>
      </w:r>
      <w:r w:rsidR="00A8506E">
        <w:rPr>
          <w:rFonts w:ascii="Times New Roman" w:eastAsia="Times New Roman" w:hAnsi="Times New Roman" w:cs="Times New Roman"/>
          <w:sz w:val="24"/>
          <w:szCs w:val="24"/>
          <w:lang w:val="en-US"/>
        </w:rPr>
        <w:t xml:space="preserve">; </w:t>
      </w:r>
      <w:r w:rsidR="00A8506E" w:rsidRPr="00917534">
        <w:rPr>
          <w:rFonts w:ascii="Times New Roman" w:eastAsia="Times New Roman" w:hAnsi="Times New Roman" w:cs="Times New Roman"/>
          <w:sz w:val="24"/>
          <w:szCs w:val="24"/>
          <w:lang w:val="en-US"/>
        </w:rPr>
        <w:t>Ahmad et al., 2020;</w:t>
      </w:r>
      <w:r w:rsidR="00A8506E" w:rsidRPr="00917534">
        <w:rPr>
          <w:rFonts w:ascii="Times New Roman" w:hAnsi="Times New Roman" w:cs="Times New Roman"/>
          <w:color w:val="222222"/>
          <w:sz w:val="24"/>
          <w:szCs w:val="24"/>
          <w:shd w:val="clear" w:color="auto" w:fill="FFFFFF"/>
        </w:rPr>
        <w:t xml:space="preserve"> Rather &amp; Dar, 2020; Rashid et al., 2017</w:t>
      </w:r>
      <w:r w:rsidRPr="00FC1A30">
        <w:rPr>
          <w:rFonts w:ascii="Times New Roman" w:eastAsia="Times New Roman" w:hAnsi="Times New Roman" w:cs="Times New Roman"/>
          <w:sz w:val="24"/>
          <w:szCs w:val="24"/>
          <w:lang w:val="en-US"/>
        </w:rPr>
        <w:t xml:space="preserve">). While cyanobacterial hazard varies by basin morphology and mixing, the broader lesson is that upland lakes are not protected from bloom risk; their </w:t>
      </w:r>
      <w:r w:rsidRPr="00FC1A30">
        <w:rPr>
          <w:rFonts w:ascii="Times New Roman" w:eastAsia="Times New Roman" w:hAnsi="Times New Roman" w:cs="Times New Roman"/>
          <w:sz w:val="24"/>
          <w:szCs w:val="24"/>
          <w:lang w:val="en-US"/>
        </w:rPr>
        <w:lastRenderedPageBreak/>
        <w:t>susceptibility can increase when sewage inputs, tourism-related waste, and watershed disturbance overwhelm natural buffering capacity.</w:t>
      </w:r>
    </w:p>
    <w:p w14:paraId="5BF0F845" w14:textId="77777777" w:rsidR="00FC1A30" w:rsidRPr="00FC1A30" w:rsidRDefault="00FC1A30" w:rsidP="0075600F">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6.2 Floodplain and wetland lakes: internal cycling and macrophyte–sediment feedbacks</w:t>
      </w:r>
    </w:p>
    <w:p w14:paraId="46714C0D"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 xml:space="preserve">Floodplain and wetland lakes can display strong feedbacks between macrophytes, sediments, and nutrient cycling. </w:t>
      </w:r>
      <w:proofErr w:type="spellStart"/>
      <w:r w:rsidRPr="00FC1A30">
        <w:rPr>
          <w:rFonts w:ascii="Times New Roman" w:eastAsia="Times New Roman" w:hAnsi="Times New Roman" w:cs="Times New Roman"/>
          <w:sz w:val="24"/>
          <w:szCs w:val="24"/>
          <w:lang w:val="en-US"/>
        </w:rPr>
        <w:t>Loktak</w:t>
      </w:r>
      <w:proofErr w:type="spellEnd"/>
      <w:r w:rsidRPr="00FC1A30">
        <w:rPr>
          <w:rFonts w:ascii="Times New Roman" w:eastAsia="Times New Roman" w:hAnsi="Times New Roman" w:cs="Times New Roman"/>
          <w:sz w:val="24"/>
          <w:szCs w:val="24"/>
          <w:lang w:val="en-US"/>
        </w:rPr>
        <w:t xml:space="preserve"> Lake, dominated by floating meadows and wetland processes, illustrates how seasonal water-quality changes relate to conservation challenges in Ramsar-designated systems (</w:t>
      </w:r>
      <w:proofErr w:type="spellStart"/>
      <w:r w:rsidRPr="00FC1A30">
        <w:rPr>
          <w:rFonts w:ascii="Times New Roman" w:eastAsia="Times New Roman" w:hAnsi="Times New Roman" w:cs="Times New Roman"/>
          <w:sz w:val="24"/>
          <w:szCs w:val="24"/>
          <w:lang w:val="en-US"/>
        </w:rPr>
        <w:t>Tuboi</w:t>
      </w:r>
      <w:proofErr w:type="spellEnd"/>
      <w:r w:rsidRPr="00FC1A30">
        <w:rPr>
          <w:rFonts w:ascii="Times New Roman" w:eastAsia="Times New Roman" w:hAnsi="Times New Roman" w:cs="Times New Roman"/>
          <w:sz w:val="24"/>
          <w:szCs w:val="24"/>
          <w:lang w:val="en-US"/>
        </w:rPr>
        <w:t xml:space="preserve"> et al., 2018). The coexistence of high organic matter, shallow depths, and variable hydrology can create conditions where internal nutrient release becomes substantial during warm and low-oxygen periods, sustaining high productivity even when external loading is seasonally diluted. Evidence of sediment nutrient and metal contamination reinforces the role of sediments as long-term reservoirs that can influence water-column conditions (</w:t>
      </w:r>
      <w:proofErr w:type="spellStart"/>
      <w:r w:rsidRPr="00FC1A30">
        <w:rPr>
          <w:rFonts w:ascii="Times New Roman" w:eastAsia="Times New Roman" w:hAnsi="Times New Roman" w:cs="Times New Roman"/>
          <w:sz w:val="24"/>
          <w:szCs w:val="24"/>
          <w:lang w:val="en-US"/>
        </w:rPr>
        <w:t>Laishram</w:t>
      </w:r>
      <w:proofErr w:type="spellEnd"/>
      <w:r w:rsidRPr="00FC1A30">
        <w:rPr>
          <w:rFonts w:ascii="Times New Roman" w:eastAsia="Times New Roman" w:hAnsi="Times New Roman" w:cs="Times New Roman"/>
          <w:sz w:val="24"/>
          <w:szCs w:val="24"/>
          <w:lang w:val="en-US"/>
        </w:rPr>
        <w:t xml:space="preserve"> et al., 2025).</w:t>
      </w:r>
    </w:p>
    <w:p w14:paraId="037F7887"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In these systems, cyanobacterial risk can be spatially patchy and closely tied to hydrologic connectivity, wind-driven transport of surface biomass, and the distribution of macrophyte mats that modify mixing and light. Management strategies therefore require both catchment controls and in-lake interventions that account for the ecological functions of macrophytes while preventing excessive organic accumulation and persistent anoxia.</w:t>
      </w:r>
    </w:p>
    <w:p w14:paraId="4C3F7270" w14:textId="77777777" w:rsidR="00FC1A30" w:rsidRPr="00FC1A30" w:rsidRDefault="00FC1A30" w:rsidP="0075600F">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 xml:space="preserve">6.3 Coastal </w:t>
      </w:r>
      <w:proofErr w:type="spellStart"/>
      <w:r w:rsidRPr="00FC1A30">
        <w:rPr>
          <w:rFonts w:ascii="Times New Roman" w:eastAsia="Times New Roman" w:hAnsi="Times New Roman" w:cs="Times New Roman"/>
          <w:b/>
          <w:bCs/>
          <w:sz w:val="27"/>
          <w:szCs w:val="27"/>
          <w:lang w:val="en-US"/>
        </w:rPr>
        <w:t>lagoonal</w:t>
      </w:r>
      <w:proofErr w:type="spellEnd"/>
      <w:r w:rsidRPr="00FC1A30">
        <w:rPr>
          <w:rFonts w:ascii="Times New Roman" w:eastAsia="Times New Roman" w:hAnsi="Times New Roman" w:cs="Times New Roman"/>
          <w:b/>
          <w:bCs/>
          <w:sz w:val="27"/>
          <w:szCs w:val="27"/>
          <w:lang w:val="en-US"/>
        </w:rPr>
        <w:t xml:space="preserve"> lakes: nutrient enrichment under complex flushing and microbial risk co-stressors</w:t>
      </w:r>
    </w:p>
    <w:p w14:paraId="391610A6"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 xml:space="preserve">Coastal </w:t>
      </w:r>
      <w:proofErr w:type="spellStart"/>
      <w:r w:rsidRPr="00FC1A30">
        <w:rPr>
          <w:rFonts w:ascii="Times New Roman" w:eastAsia="Times New Roman" w:hAnsi="Times New Roman" w:cs="Times New Roman"/>
          <w:sz w:val="24"/>
          <w:szCs w:val="24"/>
          <w:lang w:val="en-US"/>
        </w:rPr>
        <w:t>lagoonal</w:t>
      </w:r>
      <w:proofErr w:type="spellEnd"/>
      <w:r w:rsidRPr="00FC1A30">
        <w:rPr>
          <w:rFonts w:ascii="Times New Roman" w:eastAsia="Times New Roman" w:hAnsi="Times New Roman" w:cs="Times New Roman"/>
          <w:sz w:val="24"/>
          <w:szCs w:val="24"/>
          <w:lang w:val="en-US"/>
        </w:rPr>
        <w:t xml:space="preserve"> lakes and backwaters experience shifting salinity, tidal influence, and often intense human use. </w:t>
      </w:r>
      <w:proofErr w:type="spellStart"/>
      <w:r w:rsidRPr="00FC1A30">
        <w:rPr>
          <w:rFonts w:ascii="Times New Roman" w:eastAsia="Times New Roman" w:hAnsi="Times New Roman" w:cs="Times New Roman"/>
          <w:sz w:val="24"/>
          <w:szCs w:val="24"/>
          <w:lang w:val="en-US"/>
        </w:rPr>
        <w:t>Vembanad</w:t>
      </w:r>
      <w:proofErr w:type="spellEnd"/>
      <w:r w:rsidRPr="00FC1A30">
        <w:rPr>
          <w:rFonts w:ascii="Times New Roman" w:eastAsia="Times New Roman" w:hAnsi="Times New Roman" w:cs="Times New Roman"/>
          <w:sz w:val="24"/>
          <w:szCs w:val="24"/>
          <w:lang w:val="en-US"/>
        </w:rPr>
        <w:t xml:space="preserve"> Lake, a Ramsar site with major socio-economic importance, exemplifies the need to integrate water-quality and microbial hazards when assessing ecosystem health (Padua et al., 2023). Nutrient enrichment in such systems can interact with variable residence time and stratification (including salinity-driven stratification) to create episodic bloom risk. Although cyanobacterial composition may differ from inland freshwaters due to brackish conditions, cyanobacteria can still proliferate in low-salinity zones or during periods of reduced exchange, and toxin risk assessment remains relevant where freshwater conditions dominate seasonally or locally.</w:t>
      </w:r>
    </w:p>
    <w:p w14:paraId="1E89819B"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A key implication for Indian coastal lakes is that bloom risk management must consider not only nutrient reduction but also hydrologic restoration that improves flushing and reduces stagnation, alongside interventions that address sewage and aquaculture-derived nutrient inputs.</w:t>
      </w:r>
    </w:p>
    <w:p w14:paraId="1C3DCDDC" w14:textId="77777777" w:rsidR="00FC1A30" w:rsidRPr="00FC1A30" w:rsidRDefault="00FC1A30" w:rsidP="0075600F">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r w:rsidRPr="00FC1A30">
        <w:rPr>
          <w:rFonts w:ascii="Times New Roman" w:eastAsia="Times New Roman" w:hAnsi="Times New Roman" w:cs="Times New Roman"/>
          <w:b/>
          <w:bCs/>
          <w:sz w:val="27"/>
          <w:szCs w:val="27"/>
          <w:lang w:val="en-US"/>
        </w:rPr>
        <w:t>6.4 Urban lakes: continuous nutrient loading, oxygen loss, and recurrent bloom hazards</w:t>
      </w:r>
    </w:p>
    <w:p w14:paraId="0A0F2D65"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 xml:space="preserve">Urban lakes are often the highest-risk systems for cyanobacterial proliferation because they combine high external nutrient inputs with physical modifications that reduce resilience. In Bengaluru, assessments across multiple lakes using water-quality indices reflect severe degradation in urban </w:t>
      </w:r>
      <w:proofErr w:type="spellStart"/>
      <w:r w:rsidRPr="00FC1A30">
        <w:rPr>
          <w:rFonts w:ascii="Times New Roman" w:eastAsia="Times New Roman" w:hAnsi="Times New Roman" w:cs="Times New Roman"/>
          <w:sz w:val="24"/>
          <w:szCs w:val="24"/>
          <w:lang w:val="en-US"/>
        </w:rPr>
        <w:t>subwatersheds</w:t>
      </w:r>
      <w:proofErr w:type="spellEnd"/>
      <w:r w:rsidRPr="00FC1A30">
        <w:rPr>
          <w:rFonts w:ascii="Times New Roman" w:eastAsia="Times New Roman" w:hAnsi="Times New Roman" w:cs="Times New Roman"/>
          <w:sz w:val="24"/>
          <w:szCs w:val="24"/>
          <w:lang w:val="en-US"/>
        </w:rPr>
        <w:t xml:space="preserve"> and identify a need for urgent action to prevent further deterioration (</w:t>
      </w:r>
      <w:proofErr w:type="spellStart"/>
      <w:r w:rsidRPr="00FC1A30">
        <w:rPr>
          <w:rFonts w:ascii="Times New Roman" w:eastAsia="Times New Roman" w:hAnsi="Times New Roman" w:cs="Times New Roman"/>
          <w:sz w:val="24"/>
          <w:szCs w:val="24"/>
          <w:lang w:val="en-US"/>
        </w:rPr>
        <w:t>Birawat</w:t>
      </w:r>
      <w:proofErr w:type="spellEnd"/>
      <w:r w:rsidRPr="00FC1A30">
        <w:rPr>
          <w:rFonts w:ascii="Times New Roman" w:eastAsia="Times New Roman" w:hAnsi="Times New Roman" w:cs="Times New Roman"/>
          <w:sz w:val="24"/>
          <w:szCs w:val="24"/>
          <w:lang w:val="en-US"/>
        </w:rPr>
        <w:t xml:space="preserve"> et al., 2021</w:t>
      </w:r>
      <w:r w:rsidR="00A8506E">
        <w:rPr>
          <w:rFonts w:ascii="Times New Roman" w:eastAsia="Times New Roman" w:hAnsi="Times New Roman" w:cs="Times New Roman"/>
          <w:sz w:val="24"/>
          <w:szCs w:val="24"/>
          <w:lang w:val="en-US"/>
        </w:rPr>
        <w:t xml:space="preserve">; </w:t>
      </w:r>
      <w:proofErr w:type="spellStart"/>
      <w:r w:rsidR="00A8506E" w:rsidRPr="00917534">
        <w:rPr>
          <w:rFonts w:ascii="Times New Roman" w:hAnsi="Times New Roman" w:cs="Times New Roman"/>
          <w:color w:val="222222"/>
          <w:sz w:val="24"/>
          <w:szCs w:val="24"/>
          <w:shd w:val="clear" w:color="auto" w:fill="FFFFFF"/>
        </w:rPr>
        <w:t>Ayyanar</w:t>
      </w:r>
      <w:proofErr w:type="spellEnd"/>
      <w:r w:rsidR="00A8506E" w:rsidRPr="00917534">
        <w:rPr>
          <w:rFonts w:ascii="Times New Roman" w:hAnsi="Times New Roman" w:cs="Times New Roman"/>
          <w:color w:val="222222"/>
          <w:sz w:val="24"/>
          <w:szCs w:val="24"/>
          <w:shd w:val="clear" w:color="auto" w:fill="FFFFFF"/>
        </w:rPr>
        <w:t xml:space="preserve"> &amp; </w:t>
      </w:r>
      <w:proofErr w:type="spellStart"/>
      <w:r w:rsidR="00A8506E" w:rsidRPr="00917534">
        <w:rPr>
          <w:rFonts w:ascii="Times New Roman" w:hAnsi="Times New Roman" w:cs="Times New Roman"/>
          <w:color w:val="222222"/>
          <w:sz w:val="24"/>
          <w:szCs w:val="24"/>
          <w:shd w:val="clear" w:color="auto" w:fill="FFFFFF"/>
        </w:rPr>
        <w:t>Thatikonda</w:t>
      </w:r>
      <w:proofErr w:type="spellEnd"/>
      <w:r w:rsidR="00A8506E" w:rsidRPr="00917534">
        <w:rPr>
          <w:rFonts w:ascii="Times New Roman" w:hAnsi="Times New Roman" w:cs="Times New Roman"/>
          <w:color w:val="222222"/>
          <w:sz w:val="24"/>
          <w:szCs w:val="24"/>
          <w:shd w:val="clear" w:color="auto" w:fill="FFFFFF"/>
        </w:rPr>
        <w:t>, 2020</w:t>
      </w:r>
      <w:r w:rsidRPr="00FC1A30">
        <w:rPr>
          <w:rFonts w:ascii="Times New Roman" w:eastAsia="Times New Roman" w:hAnsi="Times New Roman" w:cs="Times New Roman"/>
          <w:sz w:val="24"/>
          <w:szCs w:val="24"/>
          <w:lang w:val="en-US"/>
        </w:rPr>
        <w:t xml:space="preserve">). Urban restoration evidence indicates that rehabilitating lakes in tropical cities can yield multiple benefits, including </w:t>
      </w:r>
      <w:r w:rsidRPr="00FC1A30">
        <w:rPr>
          <w:rFonts w:ascii="Times New Roman" w:eastAsia="Times New Roman" w:hAnsi="Times New Roman" w:cs="Times New Roman"/>
          <w:sz w:val="24"/>
          <w:szCs w:val="24"/>
          <w:lang w:val="en-US"/>
        </w:rPr>
        <w:lastRenderedPageBreak/>
        <w:t>improved water quality and ecosystem services, but outcomes depend on sustained control of pollutant inflows and appropriate in-lake design (</w:t>
      </w:r>
      <w:proofErr w:type="spellStart"/>
      <w:r w:rsidRPr="00FC1A30">
        <w:rPr>
          <w:rFonts w:ascii="Times New Roman" w:eastAsia="Times New Roman" w:hAnsi="Times New Roman" w:cs="Times New Roman"/>
          <w:sz w:val="24"/>
          <w:szCs w:val="24"/>
          <w:lang w:val="en-US"/>
        </w:rPr>
        <w:t>Jamwal</w:t>
      </w:r>
      <w:proofErr w:type="spellEnd"/>
      <w:r w:rsidRPr="00FC1A30">
        <w:rPr>
          <w:rFonts w:ascii="Times New Roman" w:eastAsia="Times New Roman" w:hAnsi="Times New Roman" w:cs="Times New Roman"/>
          <w:sz w:val="24"/>
          <w:szCs w:val="24"/>
          <w:lang w:val="en-US"/>
        </w:rPr>
        <w:t xml:space="preserve"> et al., 2023).</w:t>
      </w:r>
    </w:p>
    <w:p w14:paraId="034D1F36"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 xml:space="preserve">Hussain Sagar, a prominent urban lake, illustrates how </w:t>
      </w:r>
      <w:proofErr w:type="spellStart"/>
      <w:r w:rsidRPr="00FC1A30">
        <w:rPr>
          <w:rFonts w:ascii="Times New Roman" w:eastAsia="Times New Roman" w:hAnsi="Times New Roman" w:cs="Times New Roman"/>
          <w:sz w:val="24"/>
          <w:szCs w:val="24"/>
          <w:lang w:val="en-US"/>
        </w:rPr>
        <w:t>physico</w:t>
      </w:r>
      <w:proofErr w:type="spellEnd"/>
      <w:r w:rsidRPr="00FC1A30">
        <w:rPr>
          <w:rFonts w:ascii="Times New Roman" w:eastAsia="Times New Roman" w:hAnsi="Times New Roman" w:cs="Times New Roman"/>
          <w:sz w:val="24"/>
          <w:szCs w:val="24"/>
          <w:lang w:val="en-US"/>
        </w:rPr>
        <w:t>-chemical degradation and microbial contamination co-occur in wastewater-impacted systems (Kora et al., 2017). In such lakes, cyanobacterial bloom risk is reinforced by warm temperatures, high nutrient availability, and oxygen depletion that promotes internal nutrient recycling. Management must therefore prioritize source control (sewage interception and treatment), because in-lake interventions alone rarely overcome continuous external loading.</w:t>
      </w:r>
    </w:p>
    <w:p w14:paraId="40B311D7" w14:textId="77777777" w:rsidR="00FC1A30" w:rsidRPr="00FC1A30" w:rsidRDefault="00FC1A30" w:rsidP="0075600F">
      <w:pPr>
        <w:spacing w:after="0" w:line="240" w:lineRule="auto"/>
        <w:jc w:val="both"/>
        <w:rPr>
          <w:rFonts w:ascii="Times New Roman" w:eastAsia="Times New Roman" w:hAnsi="Times New Roman" w:cs="Times New Roman"/>
          <w:sz w:val="24"/>
          <w:szCs w:val="24"/>
          <w:lang w:val="en-US"/>
        </w:rPr>
      </w:pPr>
    </w:p>
    <w:p w14:paraId="30C039EE" w14:textId="77777777" w:rsidR="00FC1A30" w:rsidRPr="00FC1A30" w:rsidRDefault="00FC1A30" w:rsidP="0075600F">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7. Management and restoration pathways: linking nutrient control to bloom-risk reduction</w:t>
      </w:r>
    </w:p>
    <w:p w14:paraId="597B1B41"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A central message from modern eutrophication science is that effective bloom prevention frequently requires reductions in both nitrogen and phosphorus, with the appropriate balance determined by lake type, internal loading strength, and downstream sensitivity (</w:t>
      </w:r>
      <w:proofErr w:type="spellStart"/>
      <w:r w:rsidRPr="00FC1A30">
        <w:rPr>
          <w:rFonts w:ascii="Times New Roman" w:eastAsia="Times New Roman" w:hAnsi="Times New Roman" w:cs="Times New Roman"/>
          <w:sz w:val="24"/>
          <w:szCs w:val="24"/>
          <w:lang w:val="en-US"/>
        </w:rPr>
        <w:t>Paerl</w:t>
      </w:r>
      <w:proofErr w:type="spellEnd"/>
      <w:r w:rsidRPr="00FC1A30">
        <w:rPr>
          <w:rFonts w:ascii="Times New Roman" w:eastAsia="Times New Roman" w:hAnsi="Times New Roman" w:cs="Times New Roman"/>
          <w:sz w:val="24"/>
          <w:szCs w:val="24"/>
          <w:lang w:val="en-US"/>
        </w:rPr>
        <w:t xml:space="preserve"> et al., 2016). For Indian lakes, dual nutrient control is especially relevant where sewage inputs deliver both N and P and where nitrogen losses through denitrification can create seasonal nitrogen limitation that favors nitrogen-fixers while phosphorus remains available through sediments.</w:t>
      </w:r>
    </w:p>
    <w:p w14:paraId="62D16481"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Management actions can be organized around three interacting levers: reducing external loads, weakening internal feedbacks, and modifying physical conditions that favor blooms. External-load reduction includes sewage interception, improving treatment performance, separating stormwater from sewage to reduce first-flush pulses, and implementing catchment nutrient management in agricultural areas. Internal feedback weakening may require strategies such as reducing organic matter inputs (which drive hypoxia), targeted sediment management where feasible, and restoring macrophyte communities that stabilize sediments and reduce resuspension, while carefully avoiding conditions that trap organic matter and promote anoxia. Physical modification includes improving hydrologic flushing where feasible, designing urban-lake restoration with flow-through and wetland polishing zones, and managing water levels to reduce prolonged stagnation. Evidence from urban restoration in the tropics underscores that benefits are achievable but depend on persistent governance and inflow control, not just one-time engineering works (</w:t>
      </w:r>
      <w:proofErr w:type="spellStart"/>
      <w:r w:rsidRPr="00FC1A30">
        <w:rPr>
          <w:rFonts w:ascii="Times New Roman" w:eastAsia="Times New Roman" w:hAnsi="Times New Roman" w:cs="Times New Roman"/>
          <w:sz w:val="24"/>
          <w:szCs w:val="24"/>
          <w:lang w:val="en-US"/>
        </w:rPr>
        <w:t>Jamwal</w:t>
      </w:r>
      <w:proofErr w:type="spellEnd"/>
      <w:r w:rsidRPr="00FC1A30">
        <w:rPr>
          <w:rFonts w:ascii="Times New Roman" w:eastAsia="Times New Roman" w:hAnsi="Times New Roman" w:cs="Times New Roman"/>
          <w:sz w:val="24"/>
          <w:szCs w:val="24"/>
          <w:lang w:val="en-US"/>
        </w:rPr>
        <w:t xml:space="preserve"> et al., 2023).</w:t>
      </w:r>
    </w:p>
    <w:p w14:paraId="1609852E"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Because toxin risk is the most acute public-health concern, management should explicitly incorporate hazard reduction. This includes protecting and managing drinking-water intakes, establishing response triggers based on bloom indicators (e.g., phycocyanin and surface scums), and applying tiered monitoring that escalates to toxin testing during high-risk periods. Molecular screening for toxigenic potential, as demonstrated for Indian bloom samples, can support prioritization and rapid risk assessment when analytical capacity is constrained (Rajendran et al., 2026).</w:t>
      </w:r>
    </w:p>
    <w:p w14:paraId="0646E0CC"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Finally, restoration planning should be supported by modeling and scenario evaluation. Reviews of eutrophication modeling highlight how coupled hydrodynamic–biogeochemical models and simpler mass-balance approaches can inform nutrient reduction targets and test the sensitivity of recovery to internal loading and residence time (</w:t>
      </w:r>
      <w:proofErr w:type="spellStart"/>
      <w:r w:rsidRPr="00FC1A30">
        <w:rPr>
          <w:rFonts w:ascii="Times New Roman" w:eastAsia="Times New Roman" w:hAnsi="Times New Roman" w:cs="Times New Roman"/>
          <w:sz w:val="24"/>
          <w:szCs w:val="24"/>
          <w:lang w:val="en-US"/>
        </w:rPr>
        <w:t>Vinçon-Leite</w:t>
      </w:r>
      <w:proofErr w:type="spellEnd"/>
      <w:r w:rsidRPr="00FC1A30">
        <w:rPr>
          <w:rFonts w:ascii="Times New Roman" w:eastAsia="Times New Roman" w:hAnsi="Times New Roman" w:cs="Times New Roman"/>
          <w:sz w:val="24"/>
          <w:szCs w:val="24"/>
          <w:lang w:val="en-US"/>
        </w:rPr>
        <w:t xml:space="preserve"> &amp; </w:t>
      </w:r>
      <w:proofErr w:type="spellStart"/>
      <w:r w:rsidRPr="00FC1A30">
        <w:rPr>
          <w:rFonts w:ascii="Times New Roman" w:eastAsia="Times New Roman" w:hAnsi="Times New Roman" w:cs="Times New Roman"/>
          <w:sz w:val="24"/>
          <w:szCs w:val="24"/>
          <w:lang w:val="en-US"/>
        </w:rPr>
        <w:t>Casenave</w:t>
      </w:r>
      <w:proofErr w:type="spellEnd"/>
      <w:r w:rsidRPr="00FC1A30">
        <w:rPr>
          <w:rFonts w:ascii="Times New Roman" w:eastAsia="Times New Roman" w:hAnsi="Times New Roman" w:cs="Times New Roman"/>
          <w:sz w:val="24"/>
          <w:szCs w:val="24"/>
          <w:lang w:val="en-US"/>
        </w:rPr>
        <w:t xml:space="preserve">, 2019). For India, the most practical near-term application is likely a hybrid approach in which </w:t>
      </w:r>
      <w:r w:rsidRPr="00FC1A30">
        <w:rPr>
          <w:rFonts w:ascii="Times New Roman" w:eastAsia="Times New Roman" w:hAnsi="Times New Roman" w:cs="Times New Roman"/>
          <w:sz w:val="24"/>
          <w:szCs w:val="24"/>
          <w:lang w:val="en-US"/>
        </w:rPr>
        <w:lastRenderedPageBreak/>
        <w:t xml:space="preserve">monitoring-derived nutrient budgets and seasonal hydrology are used to identify controllable sources and to forecast when </w:t>
      </w:r>
      <w:proofErr w:type="spellStart"/>
      <w:r w:rsidRPr="00FC1A30">
        <w:rPr>
          <w:rFonts w:ascii="Times New Roman" w:eastAsia="Times New Roman" w:hAnsi="Times New Roman" w:cs="Times New Roman"/>
          <w:sz w:val="24"/>
          <w:szCs w:val="24"/>
          <w:lang w:val="en-US"/>
        </w:rPr>
        <w:t>physico</w:t>
      </w:r>
      <w:proofErr w:type="spellEnd"/>
      <w:r w:rsidRPr="00FC1A30">
        <w:rPr>
          <w:rFonts w:ascii="Times New Roman" w:eastAsia="Times New Roman" w:hAnsi="Times New Roman" w:cs="Times New Roman"/>
          <w:sz w:val="24"/>
          <w:szCs w:val="24"/>
          <w:lang w:val="en-US"/>
        </w:rPr>
        <w:t>-chemical conditions approach bloom-favorable regimes.</w:t>
      </w:r>
    </w:p>
    <w:p w14:paraId="682AB697" w14:textId="77777777" w:rsidR="00FC1A30" w:rsidRPr="00FC1A30" w:rsidRDefault="00FC1A30" w:rsidP="0075600F">
      <w:pPr>
        <w:spacing w:after="0" w:line="240" w:lineRule="auto"/>
        <w:jc w:val="both"/>
        <w:rPr>
          <w:rFonts w:ascii="Times New Roman" w:eastAsia="Times New Roman" w:hAnsi="Times New Roman" w:cs="Times New Roman"/>
          <w:sz w:val="24"/>
          <w:szCs w:val="24"/>
          <w:lang w:val="en-US"/>
        </w:rPr>
      </w:pPr>
    </w:p>
    <w:p w14:paraId="49ABBFCF" w14:textId="77777777" w:rsidR="00FC1A30" w:rsidRPr="00FC1A30" w:rsidRDefault="00FC1A30" w:rsidP="0075600F">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8. Research gaps and future directions</w:t>
      </w:r>
    </w:p>
    <w:p w14:paraId="5CEA32D4"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Several research needs stand out for advancing bloom-risk management in Indian lakes. First, nutrient speciation and bioavailability remain under-characterized in many systems; routine reporting still often emphasizes total nitrogen and total phosphorus without resolving ammonium, nitrate, dissolved organic nitrogen, and soluble reactive phosphorus. Because cyanobacterial competition can be strongly influenced by nutrient forms, improved speciation data would sharpen mechanistic inference and management targeting. Second, internal loading quantification is sparse. Many Indian lakes likely experience strong sediment feedbacks under warm, low-oxygen conditions, yet few studies quantify sediment nutrient fluxes across seasons or evaluate how fluxes respond to oxygen management and organic-load reduction, despite the clear importance of internal phosphorus loading in shallow eutrophic systems (</w:t>
      </w:r>
      <w:proofErr w:type="spellStart"/>
      <w:r w:rsidRPr="00FC1A30">
        <w:rPr>
          <w:rFonts w:ascii="Times New Roman" w:eastAsia="Times New Roman" w:hAnsi="Times New Roman" w:cs="Times New Roman"/>
          <w:sz w:val="24"/>
          <w:szCs w:val="24"/>
          <w:lang w:val="en-US"/>
        </w:rPr>
        <w:t>Søndergaard</w:t>
      </w:r>
      <w:proofErr w:type="spellEnd"/>
      <w:r w:rsidRPr="00FC1A30">
        <w:rPr>
          <w:rFonts w:ascii="Times New Roman" w:eastAsia="Times New Roman" w:hAnsi="Times New Roman" w:cs="Times New Roman"/>
          <w:sz w:val="24"/>
          <w:szCs w:val="24"/>
          <w:lang w:val="en-US"/>
        </w:rPr>
        <w:t xml:space="preserve"> et al., 2013). Third, standardized toxin surveillance is limited. The move toward integrating molecular markers with toxicity assessment in Indian blooms is promising (Rajendran et al., 2026), but broader application requires harmonized protocols, inter-laboratory comparability, and risk communication pathways that translate results into actionable advisories.</w:t>
      </w:r>
    </w:p>
    <w:p w14:paraId="1FACC58F"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Fourth, the monsoon creates distinctive hydrologic regimes that deserve explicit modeling and monitoring attention. Seasonal shifts in residence time, turbidity, and stratification likely control the timing and spatial pattern of blooms, suggesting that the most effective monitoring will be seasonally adaptive rather than uniform through the year. Fifth, restoration studies should more frequently report pre–post designs with comparable metrics and sufficient duration to detect the lagged effects of sediment nutrient stores, given that eutrophic legacy can delay recovery and complicate attribution (</w:t>
      </w:r>
      <w:proofErr w:type="spellStart"/>
      <w:r w:rsidRPr="00FC1A30">
        <w:rPr>
          <w:rFonts w:ascii="Times New Roman" w:eastAsia="Times New Roman" w:hAnsi="Times New Roman" w:cs="Times New Roman"/>
          <w:sz w:val="24"/>
          <w:szCs w:val="24"/>
          <w:lang w:val="en-US"/>
        </w:rPr>
        <w:t>Vinçon-Leite</w:t>
      </w:r>
      <w:proofErr w:type="spellEnd"/>
      <w:r w:rsidRPr="00FC1A30">
        <w:rPr>
          <w:rFonts w:ascii="Times New Roman" w:eastAsia="Times New Roman" w:hAnsi="Times New Roman" w:cs="Times New Roman"/>
          <w:sz w:val="24"/>
          <w:szCs w:val="24"/>
          <w:lang w:val="en-US"/>
        </w:rPr>
        <w:t xml:space="preserve"> &amp; </w:t>
      </w:r>
      <w:proofErr w:type="spellStart"/>
      <w:r w:rsidRPr="00FC1A30">
        <w:rPr>
          <w:rFonts w:ascii="Times New Roman" w:eastAsia="Times New Roman" w:hAnsi="Times New Roman" w:cs="Times New Roman"/>
          <w:sz w:val="24"/>
          <w:szCs w:val="24"/>
          <w:lang w:val="en-US"/>
        </w:rPr>
        <w:t>Casenave</w:t>
      </w:r>
      <w:proofErr w:type="spellEnd"/>
      <w:r w:rsidRPr="00FC1A30">
        <w:rPr>
          <w:rFonts w:ascii="Times New Roman" w:eastAsia="Times New Roman" w:hAnsi="Times New Roman" w:cs="Times New Roman"/>
          <w:sz w:val="24"/>
          <w:szCs w:val="24"/>
          <w:lang w:val="en-US"/>
        </w:rPr>
        <w:t>, 2019). Finally, governance and institutional capacity are limiting factors; even technically sound interventions fail without sustained inflow control and coordinated lake-basin management, a pattern highlighted in urban lake assessments and restoration syntheses (</w:t>
      </w:r>
      <w:proofErr w:type="spellStart"/>
      <w:r w:rsidRPr="00FC1A30">
        <w:rPr>
          <w:rFonts w:ascii="Times New Roman" w:eastAsia="Times New Roman" w:hAnsi="Times New Roman" w:cs="Times New Roman"/>
          <w:sz w:val="24"/>
          <w:szCs w:val="24"/>
          <w:lang w:val="en-US"/>
        </w:rPr>
        <w:t>Birawat</w:t>
      </w:r>
      <w:proofErr w:type="spellEnd"/>
      <w:r w:rsidRPr="00FC1A30">
        <w:rPr>
          <w:rFonts w:ascii="Times New Roman" w:eastAsia="Times New Roman" w:hAnsi="Times New Roman" w:cs="Times New Roman"/>
          <w:sz w:val="24"/>
          <w:szCs w:val="24"/>
          <w:lang w:val="en-US"/>
        </w:rPr>
        <w:t xml:space="preserve"> et al., 2021; </w:t>
      </w:r>
      <w:proofErr w:type="spellStart"/>
      <w:r w:rsidRPr="00FC1A30">
        <w:rPr>
          <w:rFonts w:ascii="Times New Roman" w:eastAsia="Times New Roman" w:hAnsi="Times New Roman" w:cs="Times New Roman"/>
          <w:sz w:val="24"/>
          <w:szCs w:val="24"/>
          <w:lang w:val="en-US"/>
        </w:rPr>
        <w:t>Jamwal</w:t>
      </w:r>
      <w:proofErr w:type="spellEnd"/>
      <w:r w:rsidRPr="00FC1A30">
        <w:rPr>
          <w:rFonts w:ascii="Times New Roman" w:eastAsia="Times New Roman" w:hAnsi="Times New Roman" w:cs="Times New Roman"/>
          <w:sz w:val="24"/>
          <w:szCs w:val="24"/>
          <w:lang w:val="en-US"/>
        </w:rPr>
        <w:t xml:space="preserve"> et al., 2023).</w:t>
      </w:r>
    </w:p>
    <w:p w14:paraId="4223D0EC" w14:textId="77777777" w:rsidR="00FC1A30" w:rsidRPr="00FC1A30" w:rsidRDefault="00FC1A30" w:rsidP="0075600F">
      <w:pPr>
        <w:spacing w:before="100" w:beforeAutospacing="1" w:after="100" w:afterAutospacing="1" w:line="240" w:lineRule="auto"/>
        <w:jc w:val="both"/>
        <w:rPr>
          <w:rFonts w:ascii="Times New Roman" w:eastAsia="Times New Roman" w:hAnsi="Times New Roman" w:cs="Times New Roman"/>
          <w:sz w:val="24"/>
          <w:szCs w:val="24"/>
          <w:lang w:val="en-US"/>
        </w:rPr>
      </w:pPr>
      <w:r w:rsidRPr="00FC1A30">
        <w:rPr>
          <w:rFonts w:ascii="Times New Roman" w:eastAsia="Times New Roman" w:hAnsi="Times New Roman" w:cs="Times New Roman"/>
          <w:sz w:val="24"/>
          <w:szCs w:val="24"/>
          <w:lang w:val="en-US"/>
        </w:rPr>
        <w:t xml:space="preserve">A practical future direction is to develop lake-specific “risk calendars” that couple seasonal hydroclimate (heat, wind, rainfall) with nutrient monitoring to identify high-risk windows and prioritize rapid response. This framing aligns with global evidence that climate change acts as a co-stressor for harmful blooms and will likely intensify risks unless nutrient pressures are reduced (Griffith &amp; </w:t>
      </w:r>
      <w:proofErr w:type="spellStart"/>
      <w:r w:rsidRPr="00FC1A30">
        <w:rPr>
          <w:rFonts w:ascii="Times New Roman" w:eastAsia="Times New Roman" w:hAnsi="Times New Roman" w:cs="Times New Roman"/>
          <w:sz w:val="24"/>
          <w:szCs w:val="24"/>
          <w:lang w:val="en-US"/>
        </w:rPr>
        <w:t>Gobler</w:t>
      </w:r>
      <w:proofErr w:type="spellEnd"/>
      <w:r w:rsidRPr="00FC1A30">
        <w:rPr>
          <w:rFonts w:ascii="Times New Roman" w:eastAsia="Times New Roman" w:hAnsi="Times New Roman" w:cs="Times New Roman"/>
          <w:sz w:val="24"/>
          <w:szCs w:val="24"/>
          <w:lang w:val="en-US"/>
        </w:rPr>
        <w:t>, 2020; Huisman et al., 2018).</w:t>
      </w:r>
    </w:p>
    <w:p w14:paraId="7312BCA2" w14:textId="77777777" w:rsidR="00FC1A30" w:rsidRPr="00FC1A30" w:rsidRDefault="00FC1A30" w:rsidP="0075600F">
      <w:pPr>
        <w:spacing w:after="0" w:line="240" w:lineRule="auto"/>
        <w:jc w:val="both"/>
        <w:rPr>
          <w:rFonts w:ascii="Times New Roman" w:eastAsia="Times New Roman" w:hAnsi="Times New Roman" w:cs="Times New Roman"/>
          <w:sz w:val="24"/>
          <w:szCs w:val="24"/>
          <w:lang w:val="en-US"/>
        </w:rPr>
      </w:pPr>
    </w:p>
    <w:p w14:paraId="30DB76F5" w14:textId="77777777" w:rsidR="00FC1A30" w:rsidRPr="00FC1A30" w:rsidRDefault="00FC1A30" w:rsidP="0075600F">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9. Conclusions</w:t>
      </w:r>
    </w:p>
    <w:p w14:paraId="6E6F6241" w14:textId="77777777" w:rsidR="00CB0EDD" w:rsidRDefault="00CB0EDD" w:rsidP="0075600F">
      <w:pPr>
        <w:pStyle w:val="NormalWeb"/>
        <w:numPr>
          <w:ilvl w:val="0"/>
          <w:numId w:val="19"/>
        </w:numPr>
        <w:jc w:val="both"/>
      </w:pPr>
      <w:r>
        <w:t>Indian lakes are experiencing heightened cyanobacterial bloom risk because nutrient enrichment now coincides with longer warm seasons, altered hydrologic connectivity, and extended low-flow periods that increase water residence time.</w:t>
      </w:r>
    </w:p>
    <w:p w14:paraId="42193BDE" w14:textId="77777777" w:rsidR="00CB0EDD" w:rsidRDefault="00CB0EDD" w:rsidP="0075600F">
      <w:pPr>
        <w:pStyle w:val="NormalWeb"/>
        <w:numPr>
          <w:ilvl w:val="0"/>
          <w:numId w:val="19"/>
        </w:numPr>
        <w:jc w:val="both"/>
      </w:pPr>
      <w:r>
        <w:lastRenderedPageBreak/>
        <w:t>Bloom hazard is driven not only by the magnitude of nutrient loads but also by nutrient form and timing. Continuous inputs of bioavailable nitrogen and phosphorus, especially from wastewater, create persistent high-risk conditions.</w:t>
      </w:r>
    </w:p>
    <w:p w14:paraId="5D1A8EFC" w14:textId="77777777" w:rsidR="00CB0EDD" w:rsidRDefault="00CB0EDD" w:rsidP="0075600F">
      <w:pPr>
        <w:pStyle w:val="NormalWeb"/>
        <w:numPr>
          <w:ilvl w:val="0"/>
          <w:numId w:val="19"/>
        </w:numPr>
        <w:jc w:val="both"/>
      </w:pPr>
      <w:r>
        <w:t>Internal nutrient recycling—particularly sediment phosphorus release under warm, low-oxygen conditions—can sustain eutrophication and bloom recurrence even when external loading is partially reduced.</w:t>
      </w:r>
    </w:p>
    <w:p w14:paraId="5EEC437E" w14:textId="77777777" w:rsidR="00CB0EDD" w:rsidRDefault="00CB0EDD" w:rsidP="0075600F">
      <w:pPr>
        <w:pStyle w:val="NormalWeb"/>
        <w:numPr>
          <w:ilvl w:val="0"/>
          <w:numId w:val="19"/>
        </w:numPr>
        <w:jc w:val="both"/>
      </w:pPr>
      <w:r>
        <w:t>Monsoon seasonality is a defining control on bloom dynamics: wet-season inflows can deliver large nutrient and sediment pulses, while dry-season stability and concentration effects can favor cyanobacterial dominance and surface scums.</w:t>
      </w:r>
    </w:p>
    <w:p w14:paraId="28E632D5" w14:textId="77777777" w:rsidR="00CB0EDD" w:rsidRDefault="00CB0EDD" w:rsidP="0075600F">
      <w:pPr>
        <w:pStyle w:val="NormalWeb"/>
        <w:numPr>
          <w:ilvl w:val="0"/>
          <w:numId w:val="19"/>
        </w:numPr>
        <w:jc w:val="both"/>
      </w:pPr>
      <w:proofErr w:type="spellStart"/>
      <w:r>
        <w:t>Physico</w:t>
      </w:r>
      <w:proofErr w:type="spellEnd"/>
      <w:r>
        <w:t>-chemical conditions shape competitive outcomes. High temperature, stable stratification (even if episodic), elevated alkalinity, and reduced mixing tend to advantage buoyant bloom-forming cyanobacteria.</w:t>
      </w:r>
    </w:p>
    <w:p w14:paraId="2238EB19" w14:textId="77777777" w:rsidR="00CB0EDD" w:rsidRDefault="00CB0EDD" w:rsidP="0075600F">
      <w:pPr>
        <w:pStyle w:val="NormalWeb"/>
        <w:numPr>
          <w:ilvl w:val="0"/>
          <w:numId w:val="19"/>
        </w:numPr>
        <w:jc w:val="both"/>
      </w:pPr>
      <w:r>
        <w:t>Oxygen depletion is both an indicator and amplifier of risk because it accelerates internal nutrient release, alters nitrogen cycling, and reinforces feedback loops that stabilize eutrophic states.</w:t>
      </w:r>
    </w:p>
    <w:p w14:paraId="7C9FF020" w14:textId="77777777" w:rsidR="00CB0EDD" w:rsidRDefault="00CB0EDD" w:rsidP="0075600F">
      <w:pPr>
        <w:pStyle w:val="NormalWeb"/>
        <w:numPr>
          <w:ilvl w:val="0"/>
          <w:numId w:val="19"/>
        </w:numPr>
        <w:jc w:val="both"/>
      </w:pPr>
      <w:r>
        <w:t>Cyanobacterial hazard should be treated as a public-health and water-supply risk, not only an ecological problem, because shoreline scums and intake-zone accumulations can disproportionately elevate exposure.</w:t>
      </w:r>
    </w:p>
    <w:p w14:paraId="1ECBF7DC" w14:textId="77777777" w:rsidR="00CB0EDD" w:rsidRDefault="00CB0EDD" w:rsidP="0075600F">
      <w:pPr>
        <w:pStyle w:val="NormalWeb"/>
        <w:numPr>
          <w:ilvl w:val="0"/>
          <w:numId w:val="19"/>
        </w:numPr>
        <w:jc w:val="both"/>
      </w:pPr>
      <w:r>
        <w:t>Effective risk reduction requires integrated catchment-to-lake management: sustained control of sewage and diffuse nutrient sources, protection of lake buffers, and restoration designs that improve flushing and reduce stagnation.</w:t>
      </w:r>
    </w:p>
    <w:p w14:paraId="11F06CB2" w14:textId="77777777" w:rsidR="00CB0EDD" w:rsidRDefault="00CB0EDD" w:rsidP="0075600F">
      <w:pPr>
        <w:pStyle w:val="NormalWeb"/>
        <w:numPr>
          <w:ilvl w:val="0"/>
          <w:numId w:val="19"/>
        </w:numPr>
        <w:jc w:val="both"/>
      </w:pPr>
      <w:r>
        <w:t xml:space="preserve">Monitoring must shift from periodic reporting to early warning, combining seasonal </w:t>
      </w:r>
      <w:proofErr w:type="spellStart"/>
      <w:r>
        <w:t>physico</w:t>
      </w:r>
      <w:proofErr w:type="spellEnd"/>
      <w:r>
        <w:t>-chemical indicators, bloom metrics, and targeted toxin screening during high-risk windows.</w:t>
      </w:r>
    </w:p>
    <w:p w14:paraId="4F869DDD" w14:textId="77777777" w:rsidR="00CB0EDD" w:rsidRDefault="00CB0EDD" w:rsidP="0075600F">
      <w:pPr>
        <w:pStyle w:val="NormalWeb"/>
        <w:numPr>
          <w:ilvl w:val="0"/>
          <w:numId w:val="19"/>
        </w:numPr>
        <w:jc w:val="both"/>
      </w:pPr>
      <w:r>
        <w:t>A risk-based approach that links nutrient budgets, hydrodynamic seasonality, and internal loading assessment offers the most practical pathway to reduce bloom frequency and improve long-term lake resilience in India.</w:t>
      </w:r>
    </w:p>
    <w:p w14:paraId="7A62FFC6" w14:textId="77777777" w:rsidR="00FC1A30" w:rsidRPr="00FC1A30" w:rsidRDefault="00FC1A30" w:rsidP="0075600F">
      <w:pPr>
        <w:spacing w:after="0" w:line="240" w:lineRule="auto"/>
        <w:jc w:val="both"/>
        <w:rPr>
          <w:rFonts w:ascii="Times New Roman" w:eastAsia="Times New Roman" w:hAnsi="Times New Roman" w:cs="Times New Roman"/>
          <w:sz w:val="24"/>
          <w:szCs w:val="24"/>
          <w:lang w:val="en-US"/>
        </w:rPr>
      </w:pPr>
    </w:p>
    <w:p w14:paraId="42FB3CA0" w14:textId="77777777" w:rsidR="00FC1A30" w:rsidRPr="00FC1A30" w:rsidRDefault="00FC1A30" w:rsidP="0075600F">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10. Limitations</w:t>
      </w:r>
    </w:p>
    <w:p w14:paraId="3B519CF8" w14:textId="77777777" w:rsidR="00CB0EDD" w:rsidRPr="00CB0EDD" w:rsidRDefault="00CB0EDD" w:rsidP="0075600F">
      <w:pPr>
        <w:pStyle w:val="ListParagraph"/>
        <w:numPr>
          <w:ilvl w:val="0"/>
          <w:numId w:val="20"/>
        </w:numPr>
        <w:spacing w:after="0" w:line="240" w:lineRule="auto"/>
        <w:jc w:val="both"/>
        <w:rPr>
          <w:rFonts w:ascii="Times New Roman" w:eastAsia="Times New Roman" w:hAnsi="Times New Roman" w:cs="Times New Roman"/>
          <w:sz w:val="24"/>
          <w:szCs w:val="24"/>
          <w:lang w:val="en-US"/>
        </w:rPr>
      </w:pPr>
      <w:r w:rsidRPr="00CB0EDD">
        <w:rPr>
          <w:rFonts w:ascii="Times New Roman" w:eastAsia="Times New Roman" w:hAnsi="Times New Roman" w:cs="Times New Roman"/>
          <w:sz w:val="24"/>
          <w:szCs w:val="24"/>
          <w:lang w:val="en-US"/>
        </w:rPr>
        <w:t>This narrative review synthesizes evidence across diverse Indian lake types, but strong heterogeneity in lake morphology, catchment pressures, and monitoring intensity limits the ability to generalize uniform nutrient or bloom thresholds.</w:t>
      </w:r>
    </w:p>
    <w:p w14:paraId="44FF9D93" w14:textId="77777777" w:rsidR="00CB0EDD" w:rsidRPr="00CB0EDD" w:rsidRDefault="00CB0EDD" w:rsidP="0075600F">
      <w:pPr>
        <w:spacing w:after="0" w:line="240" w:lineRule="auto"/>
        <w:jc w:val="both"/>
        <w:rPr>
          <w:rFonts w:ascii="Times New Roman" w:eastAsia="Times New Roman" w:hAnsi="Times New Roman" w:cs="Times New Roman"/>
          <w:sz w:val="24"/>
          <w:szCs w:val="24"/>
          <w:lang w:val="en-US"/>
        </w:rPr>
      </w:pPr>
    </w:p>
    <w:p w14:paraId="1D4CF52F" w14:textId="77777777" w:rsidR="00CB0EDD" w:rsidRPr="00CB0EDD" w:rsidRDefault="00CB0EDD" w:rsidP="0075600F">
      <w:pPr>
        <w:pStyle w:val="ListParagraph"/>
        <w:numPr>
          <w:ilvl w:val="0"/>
          <w:numId w:val="20"/>
        </w:numPr>
        <w:spacing w:after="0" w:line="240" w:lineRule="auto"/>
        <w:jc w:val="both"/>
        <w:rPr>
          <w:rFonts w:ascii="Times New Roman" w:eastAsia="Times New Roman" w:hAnsi="Times New Roman" w:cs="Times New Roman"/>
          <w:sz w:val="24"/>
          <w:szCs w:val="24"/>
          <w:lang w:val="en-US"/>
        </w:rPr>
      </w:pPr>
      <w:r w:rsidRPr="00CB0EDD">
        <w:rPr>
          <w:rFonts w:ascii="Times New Roman" w:eastAsia="Times New Roman" w:hAnsi="Times New Roman" w:cs="Times New Roman"/>
          <w:sz w:val="24"/>
          <w:szCs w:val="24"/>
          <w:lang w:val="en-US"/>
        </w:rPr>
        <w:t>Many available studies are based on short-term or seasonal sampling rather than continuous, multi-year records, which constrains inference about interannual variability, long-term trends, and the influence of extreme events.</w:t>
      </w:r>
    </w:p>
    <w:p w14:paraId="2C66CB51" w14:textId="77777777" w:rsidR="00CB0EDD" w:rsidRPr="00CB0EDD" w:rsidRDefault="00CB0EDD" w:rsidP="0075600F">
      <w:pPr>
        <w:spacing w:after="0" w:line="240" w:lineRule="auto"/>
        <w:jc w:val="both"/>
        <w:rPr>
          <w:rFonts w:ascii="Times New Roman" w:eastAsia="Times New Roman" w:hAnsi="Times New Roman" w:cs="Times New Roman"/>
          <w:sz w:val="24"/>
          <w:szCs w:val="24"/>
          <w:lang w:val="en-US"/>
        </w:rPr>
      </w:pPr>
    </w:p>
    <w:p w14:paraId="7E92A196" w14:textId="77777777" w:rsidR="00CB0EDD" w:rsidRPr="00CB0EDD" w:rsidRDefault="00CB0EDD" w:rsidP="0075600F">
      <w:pPr>
        <w:pStyle w:val="ListParagraph"/>
        <w:numPr>
          <w:ilvl w:val="0"/>
          <w:numId w:val="20"/>
        </w:numPr>
        <w:spacing w:after="0" w:line="240" w:lineRule="auto"/>
        <w:jc w:val="both"/>
        <w:rPr>
          <w:rFonts w:ascii="Times New Roman" w:eastAsia="Times New Roman" w:hAnsi="Times New Roman" w:cs="Times New Roman"/>
          <w:sz w:val="24"/>
          <w:szCs w:val="24"/>
          <w:lang w:val="en-US"/>
        </w:rPr>
      </w:pPr>
      <w:r w:rsidRPr="00CB0EDD">
        <w:rPr>
          <w:rFonts w:ascii="Times New Roman" w:eastAsia="Times New Roman" w:hAnsi="Times New Roman" w:cs="Times New Roman"/>
          <w:sz w:val="24"/>
          <w:szCs w:val="24"/>
          <w:lang w:val="en-US"/>
        </w:rPr>
        <w:t>Comparable datasets on nutrient speciation (e.g., dissolved inorganic forms versus organic fractions) are limited for many lakes, reducing confidence in diagnosing true limitation patterns and explaining shifts in cyanobacterial community structure.</w:t>
      </w:r>
    </w:p>
    <w:p w14:paraId="5A4DFC6A" w14:textId="77777777" w:rsidR="00CB0EDD" w:rsidRPr="00CB0EDD" w:rsidRDefault="00CB0EDD" w:rsidP="0075600F">
      <w:pPr>
        <w:spacing w:after="0" w:line="240" w:lineRule="auto"/>
        <w:jc w:val="both"/>
        <w:rPr>
          <w:rFonts w:ascii="Times New Roman" w:eastAsia="Times New Roman" w:hAnsi="Times New Roman" w:cs="Times New Roman"/>
          <w:sz w:val="24"/>
          <w:szCs w:val="24"/>
          <w:lang w:val="en-US"/>
        </w:rPr>
      </w:pPr>
    </w:p>
    <w:p w14:paraId="7CD95156" w14:textId="77777777" w:rsidR="00CB0EDD" w:rsidRPr="00CB0EDD" w:rsidRDefault="00CB0EDD" w:rsidP="0075600F">
      <w:pPr>
        <w:pStyle w:val="ListParagraph"/>
        <w:numPr>
          <w:ilvl w:val="0"/>
          <w:numId w:val="20"/>
        </w:numPr>
        <w:spacing w:after="0" w:line="240" w:lineRule="auto"/>
        <w:jc w:val="both"/>
        <w:rPr>
          <w:rFonts w:ascii="Times New Roman" w:eastAsia="Times New Roman" w:hAnsi="Times New Roman" w:cs="Times New Roman"/>
          <w:sz w:val="24"/>
          <w:szCs w:val="24"/>
          <w:lang w:val="en-US"/>
        </w:rPr>
      </w:pPr>
      <w:r w:rsidRPr="00CB0EDD">
        <w:rPr>
          <w:rFonts w:ascii="Times New Roman" w:eastAsia="Times New Roman" w:hAnsi="Times New Roman" w:cs="Times New Roman"/>
          <w:sz w:val="24"/>
          <w:szCs w:val="24"/>
          <w:lang w:val="en-US"/>
        </w:rPr>
        <w:t>Direct measurements of internal nutrient loading (sediment–water fluxes) and oxygen-driven release processes remain sparse, so the magnitude and seasonal timing of internal recycling are often inferred indirectly.</w:t>
      </w:r>
    </w:p>
    <w:p w14:paraId="3812407C" w14:textId="77777777" w:rsidR="00CB0EDD" w:rsidRPr="00CB0EDD" w:rsidRDefault="00CB0EDD" w:rsidP="0075600F">
      <w:pPr>
        <w:spacing w:after="0" w:line="240" w:lineRule="auto"/>
        <w:jc w:val="both"/>
        <w:rPr>
          <w:rFonts w:ascii="Times New Roman" w:eastAsia="Times New Roman" w:hAnsi="Times New Roman" w:cs="Times New Roman"/>
          <w:sz w:val="24"/>
          <w:szCs w:val="24"/>
          <w:lang w:val="en-US"/>
        </w:rPr>
      </w:pPr>
    </w:p>
    <w:p w14:paraId="2F40B2C9" w14:textId="77777777" w:rsidR="00CB0EDD" w:rsidRPr="00CB0EDD" w:rsidRDefault="00CB0EDD" w:rsidP="0075600F">
      <w:pPr>
        <w:pStyle w:val="ListParagraph"/>
        <w:numPr>
          <w:ilvl w:val="0"/>
          <w:numId w:val="20"/>
        </w:numPr>
        <w:spacing w:after="0" w:line="240" w:lineRule="auto"/>
        <w:jc w:val="both"/>
        <w:rPr>
          <w:rFonts w:ascii="Times New Roman" w:eastAsia="Times New Roman" w:hAnsi="Times New Roman" w:cs="Times New Roman"/>
          <w:sz w:val="24"/>
          <w:szCs w:val="24"/>
          <w:lang w:val="en-US"/>
        </w:rPr>
      </w:pPr>
      <w:r w:rsidRPr="00CB0EDD">
        <w:rPr>
          <w:rFonts w:ascii="Times New Roman" w:eastAsia="Times New Roman" w:hAnsi="Times New Roman" w:cs="Times New Roman"/>
          <w:sz w:val="24"/>
          <w:szCs w:val="24"/>
          <w:lang w:val="en-US"/>
        </w:rPr>
        <w:lastRenderedPageBreak/>
        <w:t>Cyanotoxin surveillance is uneven across regions and lake categories, with many studies focusing on bloom presence or general water quality rather than quantifying toxin concentrations and exposure pathways.</w:t>
      </w:r>
    </w:p>
    <w:p w14:paraId="60178569" w14:textId="77777777" w:rsidR="00CB0EDD" w:rsidRPr="00CB0EDD" w:rsidRDefault="00CB0EDD" w:rsidP="0075600F">
      <w:pPr>
        <w:spacing w:after="0" w:line="240" w:lineRule="auto"/>
        <w:jc w:val="both"/>
        <w:rPr>
          <w:rFonts w:ascii="Times New Roman" w:eastAsia="Times New Roman" w:hAnsi="Times New Roman" w:cs="Times New Roman"/>
          <w:sz w:val="24"/>
          <w:szCs w:val="24"/>
          <w:lang w:val="en-US"/>
        </w:rPr>
      </w:pPr>
    </w:p>
    <w:p w14:paraId="0165F66C" w14:textId="77777777" w:rsidR="00CB0EDD" w:rsidRPr="00CB0EDD" w:rsidRDefault="00CB0EDD" w:rsidP="0075600F">
      <w:pPr>
        <w:pStyle w:val="ListParagraph"/>
        <w:numPr>
          <w:ilvl w:val="0"/>
          <w:numId w:val="20"/>
        </w:numPr>
        <w:spacing w:after="0" w:line="240" w:lineRule="auto"/>
        <w:jc w:val="both"/>
        <w:rPr>
          <w:rFonts w:ascii="Times New Roman" w:eastAsia="Times New Roman" w:hAnsi="Times New Roman" w:cs="Times New Roman"/>
          <w:sz w:val="24"/>
          <w:szCs w:val="24"/>
          <w:lang w:val="en-US"/>
        </w:rPr>
      </w:pPr>
      <w:r w:rsidRPr="00CB0EDD">
        <w:rPr>
          <w:rFonts w:ascii="Times New Roman" w:eastAsia="Times New Roman" w:hAnsi="Times New Roman" w:cs="Times New Roman"/>
          <w:sz w:val="24"/>
          <w:szCs w:val="24"/>
          <w:lang w:val="en-US"/>
        </w:rPr>
        <w:t>Remote sensing and sensor-based approaches show promise for early warning, but differences in spatial resolution, cloud cover during monsoon, algorithm transferability, and ground-truth availability can limit operational use.</w:t>
      </w:r>
    </w:p>
    <w:p w14:paraId="3FAB4894" w14:textId="77777777" w:rsidR="00CB0EDD" w:rsidRPr="00CB0EDD" w:rsidRDefault="00CB0EDD" w:rsidP="0075600F">
      <w:pPr>
        <w:spacing w:after="0" w:line="240" w:lineRule="auto"/>
        <w:jc w:val="both"/>
        <w:rPr>
          <w:rFonts w:ascii="Times New Roman" w:eastAsia="Times New Roman" w:hAnsi="Times New Roman" w:cs="Times New Roman"/>
          <w:sz w:val="24"/>
          <w:szCs w:val="24"/>
          <w:lang w:val="en-US"/>
        </w:rPr>
      </w:pPr>
    </w:p>
    <w:p w14:paraId="290C2A36" w14:textId="77777777" w:rsidR="00CB0EDD" w:rsidRPr="00CB0EDD" w:rsidRDefault="00CB0EDD" w:rsidP="0075600F">
      <w:pPr>
        <w:pStyle w:val="ListParagraph"/>
        <w:numPr>
          <w:ilvl w:val="0"/>
          <w:numId w:val="20"/>
        </w:numPr>
        <w:spacing w:after="0" w:line="240" w:lineRule="auto"/>
        <w:jc w:val="both"/>
        <w:rPr>
          <w:rFonts w:ascii="Times New Roman" w:eastAsia="Times New Roman" w:hAnsi="Times New Roman" w:cs="Times New Roman"/>
          <w:sz w:val="24"/>
          <w:szCs w:val="24"/>
          <w:lang w:val="en-US"/>
        </w:rPr>
      </w:pPr>
      <w:r w:rsidRPr="00CB0EDD">
        <w:rPr>
          <w:rFonts w:ascii="Times New Roman" w:eastAsia="Times New Roman" w:hAnsi="Times New Roman" w:cs="Times New Roman"/>
          <w:sz w:val="24"/>
          <w:szCs w:val="24"/>
          <w:lang w:val="en-US"/>
        </w:rPr>
        <w:t>Restoration outcomes are difficult to compare because interventions vary widely in design and governance, and post-restoration evaluations often lack consistent baselines, adequate duration, or standardized performance metrics.</w:t>
      </w:r>
    </w:p>
    <w:p w14:paraId="52BC33C1" w14:textId="77777777" w:rsidR="00CB0EDD" w:rsidRPr="00CB0EDD" w:rsidRDefault="00CB0EDD" w:rsidP="0075600F">
      <w:pPr>
        <w:spacing w:after="0" w:line="240" w:lineRule="auto"/>
        <w:jc w:val="both"/>
        <w:rPr>
          <w:rFonts w:ascii="Times New Roman" w:eastAsia="Times New Roman" w:hAnsi="Times New Roman" w:cs="Times New Roman"/>
          <w:sz w:val="24"/>
          <w:szCs w:val="24"/>
          <w:lang w:val="en-US"/>
        </w:rPr>
      </w:pPr>
    </w:p>
    <w:p w14:paraId="191A60A9" w14:textId="0AD9CF0C" w:rsidR="00FC1A30" w:rsidRDefault="00CB0EDD" w:rsidP="0075600F">
      <w:pPr>
        <w:pStyle w:val="ListParagraph"/>
        <w:numPr>
          <w:ilvl w:val="0"/>
          <w:numId w:val="20"/>
        </w:numPr>
        <w:spacing w:after="0" w:line="240" w:lineRule="auto"/>
        <w:jc w:val="both"/>
        <w:rPr>
          <w:rFonts w:ascii="Times New Roman" w:eastAsia="Times New Roman" w:hAnsi="Times New Roman" w:cs="Times New Roman"/>
          <w:sz w:val="24"/>
          <w:szCs w:val="24"/>
          <w:lang w:val="en-US"/>
        </w:rPr>
      </w:pPr>
      <w:r w:rsidRPr="00CB0EDD">
        <w:rPr>
          <w:rFonts w:ascii="Times New Roman" w:eastAsia="Times New Roman" w:hAnsi="Times New Roman" w:cs="Times New Roman"/>
          <w:sz w:val="24"/>
          <w:szCs w:val="24"/>
          <w:lang w:val="en-US"/>
        </w:rPr>
        <w:t>The review emphasizes mechanistic pathways, but lake-specific management targets still require site-calibrated nutrient budgets, hydrodynamic context, and stakeholder feasibility assessments that cannot be fully resolved in a narrative synthesis.</w:t>
      </w:r>
    </w:p>
    <w:p w14:paraId="5ADF44E1" w14:textId="77777777" w:rsidR="00907FD5" w:rsidRPr="00907FD5" w:rsidRDefault="00907FD5" w:rsidP="00907FD5">
      <w:pPr>
        <w:pStyle w:val="ListParagraph"/>
        <w:rPr>
          <w:rFonts w:ascii="Times New Roman" w:eastAsia="Times New Roman" w:hAnsi="Times New Roman" w:cs="Times New Roman"/>
          <w:b/>
          <w:sz w:val="24"/>
          <w:szCs w:val="24"/>
          <w:lang w:val="en-US"/>
        </w:rPr>
      </w:pPr>
    </w:p>
    <w:p w14:paraId="046F3C39" w14:textId="77777777" w:rsidR="00907FD5" w:rsidRPr="00907FD5" w:rsidRDefault="00907FD5" w:rsidP="00907FD5">
      <w:pPr>
        <w:rPr>
          <w:b/>
          <w:highlight w:val="yellow"/>
        </w:rPr>
      </w:pPr>
      <w:r w:rsidRPr="00907FD5">
        <w:rPr>
          <w:b/>
          <w:highlight w:val="yellow"/>
        </w:rPr>
        <w:t>Disclaimer (Artificial intelligence)</w:t>
      </w:r>
    </w:p>
    <w:p w14:paraId="3A66193E" w14:textId="77777777" w:rsidR="00907FD5" w:rsidRPr="00907FD5" w:rsidRDefault="00907FD5" w:rsidP="00907FD5">
      <w:pPr>
        <w:rPr>
          <w:highlight w:val="yellow"/>
        </w:rPr>
      </w:pPr>
      <w:r w:rsidRPr="00907FD5">
        <w:rPr>
          <w:highlight w:val="yellow"/>
        </w:rPr>
        <w:t xml:space="preserve">Option 1: </w:t>
      </w:r>
    </w:p>
    <w:p w14:paraId="79E344C0" w14:textId="77777777" w:rsidR="00907FD5" w:rsidRPr="00907FD5" w:rsidRDefault="00907FD5" w:rsidP="00907FD5">
      <w:pPr>
        <w:rPr>
          <w:highlight w:val="yellow"/>
        </w:rPr>
      </w:pPr>
      <w:r w:rsidRPr="00907FD5">
        <w:rPr>
          <w:highlight w:val="yellow"/>
        </w:rPr>
        <w:t>Author(s) hereby declare that NO generative AI technologies such as Large Language Models (</w:t>
      </w:r>
      <w:proofErr w:type="spellStart"/>
      <w:r w:rsidRPr="00907FD5">
        <w:rPr>
          <w:highlight w:val="yellow"/>
        </w:rPr>
        <w:t>ChatGPT</w:t>
      </w:r>
      <w:proofErr w:type="spellEnd"/>
      <w:r w:rsidRPr="00907FD5">
        <w:rPr>
          <w:highlight w:val="yellow"/>
        </w:rPr>
        <w:t xml:space="preserve">, COPILOT, etc.) and text-to-image generators have been used during the writing or editing of this manuscript. </w:t>
      </w:r>
    </w:p>
    <w:p w14:paraId="1ED162CD" w14:textId="77777777" w:rsidR="00907FD5" w:rsidRPr="00907FD5" w:rsidRDefault="00907FD5" w:rsidP="00907FD5">
      <w:pPr>
        <w:rPr>
          <w:highlight w:val="yellow"/>
        </w:rPr>
      </w:pPr>
      <w:r w:rsidRPr="00907FD5">
        <w:rPr>
          <w:highlight w:val="yellow"/>
        </w:rPr>
        <w:t xml:space="preserve">Option 2: </w:t>
      </w:r>
    </w:p>
    <w:p w14:paraId="61C81F6C" w14:textId="77777777" w:rsidR="00907FD5" w:rsidRPr="00907FD5" w:rsidRDefault="00907FD5" w:rsidP="00907FD5">
      <w:pPr>
        <w:rPr>
          <w:highlight w:val="yellow"/>
        </w:rPr>
      </w:pPr>
      <w:r w:rsidRPr="00907FD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56A60FA" w14:textId="77777777" w:rsidR="00907FD5" w:rsidRPr="00907FD5" w:rsidRDefault="00907FD5" w:rsidP="00907FD5">
      <w:pPr>
        <w:rPr>
          <w:highlight w:val="yellow"/>
        </w:rPr>
      </w:pPr>
      <w:r w:rsidRPr="00907FD5">
        <w:rPr>
          <w:highlight w:val="yellow"/>
        </w:rPr>
        <w:t>Details of the AI usage are given below:</w:t>
      </w:r>
    </w:p>
    <w:p w14:paraId="6D17427D" w14:textId="77777777" w:rsidR="00907FD5" w:rsidRPr="00907FD5" w:rsidRDefault="00907FD5" w:rsidP="00907FD5">
      <w:pPr>
        <w:rPr>
          <w:highlight w:val="yellow"/>
        </w:rPr>
      </w:pPr>
      <w:r w:rsidRPr="00907FD5">
        <w:rPr>
          <w:highlight w:val="yellow"/>
        </w:rPr>
        <w:t>1.</w:t>
      </w:r>
    </w:p>
    <w:p w14:paraId="305EB64A" w14:textId="77777777" w:rsidR="00907FD5" w:rsidRPr="00907FD5" w:rsidRDefault="00907FD5" w:rsidP="00907FD5">
      <w:pPr>
        <w:rPr>
          <w:highlight w:val="yellow"/>
        </w:rPr>
      </w:pPr>
      <w:r w:rsidRPr="00907FD5">
        <w:rPr>
          <w:highlight w:val="yellow"/>
        </w:rPr>
        <w:t>2.</w:t>
      </w:r>
    </w:p>
    <w:p w14:paraId="3C83F88B" w14:textId="77777777" w:rsidR="00907FD5" w:rsidRPr="00D047BB" w:rsidRDefault="00907FD5" w:rsidP="00907FD5">
      <w:r w:rsidRPr="00907FD5">
        <w:rPr>
          <w:highlight w:val="yellow"/>
        </w:rPr>
        <w:t>3.</w:t>
      </w:r>
    </w:p>
    <w:p w14:paraId="60E8B7C7" w14:textId="77777777" w:rsidR="00907FD5" w:rsidRPr="00907FD5" w:rsidRDefault="00907FD5" w:rsidP="00907FD5">
      <w:pPr>
        <w:spacing w:after="0" w:line="240" w:lineRule="auto"/>
        <w:jc w:val="both"/>
        <w:rPr>
          <w:rFonts w:ascii="Times New Roman" w:eastAsia="Times New Roman" w:hAnsi="Times New Roman" w:cs="Times New Roman"/>
          <w:sz w:val="24"/>
          <w:szCs w:val="24"/>
          <w:lang w:val="en-US"/>
        </w:rPr>
      </w:pPr>
    </w:p>
    <w:p w14:paraId="23FAFC4D" w14:textId="77777777" w:rsidR="00FC1A30" w:rsidRPr="00FC1A30" w:rsidRDefault="00FC1A30" w:rsidP="0075600F">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r w:rsidRPr="00FC1A30">
        <w:rPr>
          <w:rFonts w:ascii="Times New Roman" w:eastAsia="Times New Roman" w:hAnsi="Times New Roman" w:cs="Times New Roman"/>
          <w:b/>
          <w:bCs/>
          <w:sz w:val="36"/>
          <w:szCs w:val="36"/>
          <w:lang w:val="en-US"/>
        </w:rPr>
        <w:t xml:space="preserve">References </w:t>
      </w:r>
    </w:p>
    <w:p w14:paraId="2ADE74E7" w14:textId="77777777" w:rsidR="00A5320E" w:rsidRPr="00BA1AFD" w:rsidRDefault="00A5320E" w:rsidP="00BA1AFD">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BA1AFD">
        <w:rPr>
          <w:rFonts w:ascii="Times New Roman" w:eastAsia="Times New Roman" w:hAnsi="Times New Roman" w:cs="Times New Roman"/>
          <w:sz w:val="24"/>
          <w:szCs w:val="24"/>
          <w:lang w:val="en-US"/>
        </w:rPr>
        <w:t xml:space="preserve">Ahmad, T., Gupta, G., Sharma, A., Kaur, B., </w:t>
      </w:r>
      <w:proofErr w:type="spellStart"/>
      <w:r w:rsidRPr="00BA1AFD">
        <w:rPr>
          <w:rFonts w:ascii="Times New Roman" w:eastAsia="Times New Roman" w:hAnsi="Times New Roman" w:cs="Times New Roman"/>
          <w:sz w:val="24"/>
          <w:szCs w:val="24"/>
          <w:lang w:val="en-US"/>
        </w:rPr>
        <w:t>Alsahli</w:t>
      </w:r>
      <w:proofErr w:type="spellEnd"/>
      <w:r w:rsidRPr="00BA1AFD">
        <w:rPr>
          <w:rFonts w:ascii="Times New Roman" w:eastAsia="Times New Roman" w:hAnsi="Times New Roman" w:cs="Times New Roman"/>
          <w:sz w:val="24"/>
          <w:szCs w:val="24"/>
          <w:lang w:val="en-US"/>
        </w:rPr>
        <w:t xml:space="preserve">, A. A., &amp; Ahmad, P. (2020). Multivariate Statistical Approach to Study Spatiotemporal Variations in Water Quality of a Himalayan Urban Fresh Water Lake. Water, 12(9), 2365. </w:t>
      </w:r>
      <w:hyperlink r:id="rId10" w:history="1">
        <w:r w:rsidRPr="00BA1AFD">
          <w:rPr>
            <w:rStyle w:val="Hyperlink"/>
            <w:rFonts w:ascii="Times New Roman" w:eastAsia="Times New Roman" w:hAnsi="Times New Roman" w:cs="Times New Roman"/>
            <w:sz w:val="24"/>
            <w:szCs w:val="24"/>
            <w:lang w:val="en-US"/>
          </w:rPr>
          <w:t>https://doi.org/10.3390/w12092365</w:t>
        </w:r>
      </w:hyperlink>
      <w:r w:rsidRPr="00BA1AFD">
        <w:rPr>
          <w:rFonts w:ascii="Times New Roman" w:eastAsia="Times New Roman" w:hAnsi="Times New Roman" w:cs="Times New Roman"/>
          <w:sz w:val="24"/>
          <w:szCs w:val="24"/>
          <w:lang w:val="en-US"/>
        </w:rPr>
        <w:t xml:space="preserve"> </w:t>
      </w:r>
    </w:p>
    <w:p w14:paraId="33378EDF" w14:textId="77777777" w:rsidR="00A5320E" w:rsidRPr="00BA1AFD" w:rsidRDefault="00A5320E" w:rsidP="00BA1AFD">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BA1AFD">
        <w:rPr>
          <w:rFonts w:ascii="Times New Roman" w:hAnsi="Times New Roman" w:cs="Times New Roman"/>
          <w:color w:val="222222"/>
          <w:sz w:val="24"/>
          <w:szCs w:val="24"/>
          <w:shd w:val="clear" w:color="auto" w:fill="FFFFFF"/>
        </w:rPr>
        <w:t>Ayyanar</w:t>
      </w:r>
      <w:proofErr w:type="spellEnd"/>
      <w:r w:rsidRPr="00BA1AFD">
        <w:rPr>
          <w:rFonts w:ascii="Times New Roman" w:hAnsi="Times New Roman" w:cs="Times New Roman"/>
          <w:color w:val="222222"/>
          <w:sz w:val="24"/>
          <w:szCs w:val="24"/>
          <w:shd w:val="clear" w:color="auto" w:fill="FFFFFF"/>
        </w:rPr>
        <w:t xml:space="preserve">, A., &amp; </w:t>
      </w:r>
      <w:proofErr w:type="spellStart"/>
      <w:r w:rsidRPr="00BA1AFD">
        <w:rPr>
          <w:rFonts w:ascii="Times New Roman" w:hAnsi="Times New Roman" w:cs="Times New Roman"/>
          <w:color w:val="222222"/>
          <w:sz w:val="24"/>
          <w:szCs w:val="24"/>
          <w:shd w:val="clear" w:color="auto" w:fill="FFFFFF"/>
        </w:rPr>
        <w:t>Thatikonda</w:t>
      </w:r>
      <w:proofErr w:type="spellEnd"/>
      <w:r w:rsidRPr="00BA1AFD">
        <w:rPr>
          <w:rFonts w:ascii="Times New Roman" w:hAnsi="Times New Roman" w:cs="Times New Roman"/>
          <w:color w:val="222222"/>
          <w:sz w:val="24"/>
          <w:szCs w:val="24"/>
          <w:shd w:val="clear" w:color="auto" w:fill="FFFFFF"/>
        </w:rPr>
        <w:t>, S. (2020). Distribution and ecological risks of heavy metals in Lake Hussain Sagar, India. </w:t>
      </w:r>
      <w:r w:rsidRPr="00BA1AFD">
        <w:rPr>
          <w:rFonts w:ascii="Times New Roman" w:hAnsi="Times New Roman" w:cs="Times New Roman"/>
          <w:i/>
          <w:iCs/>
          <w:color w:val="222222"/>
          <w:sz w:val="24"/>
          <w:szCs w:val="24"/>
          <w:shd w:val="clear" w:color="auto" w:fill="FFFFFF"/>
        </w:rPr>
        <w:t xml:space="preserve">Acta </w:t>
      </w:r>
      <w:proofErr w:type="spellStart"/>
      <w:r w:rsidRPr="00BA1AFD">
        <w:rPr>
          <w:rFonts w:ascii="Times New Roman" w:hAnsi="Times New Roman" w:cs="Times New Roman"/>
          <w:i/>
          <w:iCs/>
          <w:color w:val="222222"/>
          <w:sz w:val="24"/>
          <w:szCs w:val="24"/>
          <w:shd w:val="clear" w:color="auto" w:fill="FFFFFF"/>
        </w:rPr>
        <w:t>Geochimica</w:t>
      </w:r>
      <w:proofErr w:type="spellEnd"/>
      <w:r w:rsidRPr="00BA1AFD">
        <w:rPr>
          <w:rFonts w:ascii="Times New Roman" w:hAnsi="Times New Roman" w:cs="Times New Roman"/>
          <w:color w:val="222222"/>
          <w:sz w:val="24"/>
          <w:szCs w:val="24"/>
          <w:shd w:val="clear" w:color="auto" w:fill="FFFFFF"/>
        </w:rPr>
        <w:t>, </w:t>
      </w:r>
      <w:r w:rsidRPr="00BA1AFD">
        <w:rPr>
          <w:rFonts w:ascii="Times New Roman" w:hAnsi="Times New Roman" w:cs="Times New Roman"/>
          <w:i/>
          <w:iCs/>
          <w:color w:val="222222"/>
          <w:sz w:val="24"/>
          <w:szCs w:val="24"/>
          <w:shd w:val="clear" w:color="auto" w:fill="FFFFFF"/>
        </w:rPr>
        <w:t>39</w:t>
      </w:r>
      <w:r w:rsidRPr="00BA1AFD">
        <w:rPr>
          <w:rFonts w:ascii="Times New Roman" w:hAnsi="Times New Roman" w:cs="Times New Roman"/>
          <w:color w:val="222222"/>
          <w:sz w:val="24"/>
          <w:szCs w:val="24"/>
          <w:shd w:val="clear" w:color="auto" w:fill="FFFFFF"/>
        </w:rPr>
        <w:t xml:space="preserve">(2), 255-270. </w:t>
      </w:r>
      <w:hyperlink r:id="rId11" w:history="1">
        <w:r w:rsidRPr="00BA1AFD">
          <w:rPr>
            <w:rStyle w:val="Hyperlink"/>
            <w:rFonts w:ascii="Times New Roman" w:hAnsi="Times New Roman" w:cs="Times New Roman"/>
            <w:sz w:val="24"/>
            <w:szCs w:val="24"/>
            <w:shd w:val="clear" w:color="auto" w:fill="FFFFFF"/>
          </w:rPr>
          <w:t>https://doi.org/10.1007/s11631-019-00360-y</w:t>
        </w:r>
      </w:hyperlink>
      <w:r w:rsidRPr="00BA1AFD">
        <w:rPr>
          <w:rFonts w:ascii="Times New Roman" w:hAnsi="Times New Roman" w:cs="Times New Roman"/>
          <w:color w:val="222222"/>
          <w:sz w:val="24"/>
          <w:szCs w:val="24"/>
          <w:shd w:val="clear" w:color="auto" w:fill="FFFFFF"/>
        </w:rPr>
        <w:t xml:space="preserve"> </w:t>
      </w:r>
    </w:p>
    <w:p w14:paraId="7570C964" w14:textId="77777777" w:rsidR="00A5320E" w:rsidRPr="00BA1AFD" w:rsidRDefault="00A5320E" w:rsidP="00BA1AFD">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BA1AFD">
        <w:rPr>
          <w:rFonts w:ascii="Times New Roman" w:hAnsi="Times New Roman" w:cs="Times New Roman"/>
          <w:color w:val="222222"/>
          <w:sz w:val="24"/>
          <w:szCs w:val="24"/>
          <w:shd w:val="clear" w:color="auto" w:fill="FFFFFF"/>
        </w:rPr>
        <w:lastRenderedPageBreak/>
        <w:t>Bhagowati</w:t>
      </w:r>
      <w:proofErr w:type="spellEnd"/>
      <w:r w:rsidRPr="00BA1AFD">
        <w:rPr>
          <w:rFonts w:ascii="Times New Roman" w:hAnsi="Times New Roman" w:cs="Times New Roman"/>
          <w:color w:val="222222"/>
          <w:sz w:val="24"/>
          <w:szCs w:val="24"/>
          <w:shd w:val="clear" w:color="auto" w:fill="FFFFFF"/>
        </w:rPr>
        <w:t xml:space="preserve">, B., &amp; </w:t>
      </w:r>
      <w:proofErr w:type="spellStart"/>
      <w:r w:rsidRPr="00BA1AFD">
        <w:rPr>
          <w:rFonts w:ascii="Times New Roman" w:hAnsi="Times New Roman" w:cs="Times New Roman"/>
          <w:color w:val="222222"/>
          <w:sz w:val="24"/>
          <w:szCs w:val="24"/>
          <w:shd w:val="clear" w:color="auto" w:fill="FFFFFF"/>
        </w:rPr>
        <w:t>Ahamad</w:t>
      </w:r>
      <w:proofErr w:type="spellEnd"/>
      <w:r w:rsidRPr="00BA1AFD">
        <w:rPr>
          <w:rFonts w:ascii="Times New Roman" w:hAnsi="Times New Roman" w:cs="Times New Roman"/>
          <w:color w:val="222222"/>
          <w:sz w:val="24"/>
          <w:szCs w:val="24"/>
          <w:shd w:val="clear" w:color="auto" w:fill="FFFFFF"/>
        </w:rPr>
        <w:t xml:space="preserve">, K. U. (2019). A review on lake eutrophication dynamics and recent developments in lake </w:t>
      </w:r>
      <w:proofErr w:type="spellStart"/>
      <w:r w:rsidRPr="00BA1AFD">
        <w:rPr>
          <w:rFonts w:ascii="Times New Roman" w:hAnsi="Times New Roman" w:cs="Times New Roman"/>
          <w:color w:val="222222"/>
          <w:sz w:val="24"/>
          <w:szCs w:val="24"/>
          <w:shd w:val="clear" w:color="auto" w:fill="FFFFFF"/>
        </w:rPr>
        <w:t>modeling</w:t>
      </w:r>
      <w:proofErr w:type="spellEnd"/>
      <w:r w:rsidRPr="00BA1AFD">
        <w:rPr>
          <w:rFonts w:ascii="Times New Roman" w:hAnsi="Times New Roman" w:cs="Times New Roman"/>
          <w:color w:val="222222"/>
          <w:sz w:val="24"/>
          <w:szCs w:val="24"/>
          <w:shd w:val="clear" w:color="auto" w:fill="FFFFFF"/>
        </w:rPr>
        <w:t>. </w:t>
      </w:r>
      <w:r w:rsidRPr="00BA1AFD">
        <w:rPr>
          <w:rFonts w:ascii="Times New Roman" w:hAnsi="Times New Roman" w:cs="Times New Roman"/>
          <w:i/>
          <w:iCs/>
          <w:color w:val="222222"/>
          <w:sz w:val="24"/>
          <w:szCs w:val="24"/>
          <w:shd w:val="clear" w:color="auto" w:fill="FFFFFF"/>
        </w:rPr>
        <w:t>Ecohydrology &amp; Hydrobiology</w:t>
      </w:r>
      <w:r w:rsidRPr="00BA1AFD">
        <w:rPr>
          <w:rFonts w:ascii="Times New Roman" w:hAnsi="Times New Roman" w:cs="Times New Roman"/>
          <w:color w:val="222222"/>
          <w:sz w:val="24"/>
          <w:szCs w:val="24"/>
          <w:shd w:val="clear" w:color="auto" w:fill="FFFFFF"/>
        </w:rPr>
        <w:t>, </w:t>
      </w:r>
      <w:r w:rsidRPr="00BA1AFD">
        <w:rPr>
          <w:rFonts w:ascii="Times New Roman" w:hAnsi="Times New Roman" w:cs="Times New Roman"/>
          <w:i/>
          <w:iCs/>
          <w:color w:val="222222"/>
          <w:sz w:val="24"/>
          <w:szCs w:val="24"/>
          <w:shd w:val="clear" w:color="auto" w:fill="FFFFFF"/>
        </w:rPr>
        <w:t>19</w:t>
      </w:r>
      <w:r w:rsidRPr="00BA1AFD">
        <w:rPr>
          <w:rFonts w:ascii="Times New Roman" w:hAnsi="Times New Roman" w:cs="Times New Roman"/>
          <w:color w:val="222222"/>
          <w:sz w:val="24"/>
          <w:szCs w:val="24"/>
          <w:shd w:val="clear" w:color="auto" w:fill="FFFFFF"/>
        </w:rPr>
        <w:t>(1), 155-</w:t>
      </w:r>
      <w:proofErr w:type="gramStart"/>
      <w:r w:rsidRPr="00BA1AFD">
        <w:rPr>
          <w:rFonts w:ascii="Times New Roman" w:hAnsi="Times New Roman" w:cs="Times New Roman"/>
          <w:color w:val="222222"/>
          <w:sz w:val="24"/>
          <w:szCs w:val="24"/>
          <w:shd w:val="clear" w:color="auto" w:fill="FFFFFF"/>
        </w:rPr>
        <w:t>166.</w:t>
      </w:r>
      <w:r w:rsidRPr="00BA1AFD">
        <w:rPr>
          <w:rFonts w:ascii="Times New Roman" w:eastAsia="Times New Roman" w:hAnsi="Times New Roman" w:cs="Times New Roman"/>
          <w:sz w:val="24"/>
          <w:szCs w:val="24"/>
          <w:lang w:val="en-US"/>
        </w:rPr>
        <w:t>.</w:t>
      </w:r>
      <w:proofErr w:type="gramEnd"/>
      <w:r w:rsidRPr="00BA1AFD">
        <w:rPr>
          <w:rFonts w:ascii="Times New Roman" w:eastAsia="Times New Roman" w:hAnsi="Times New Roman" w:cs="Times New Roman"/>
          <w:sz w:val="24"/>
          <w:szCs w:val="24"/>
          <w:lang w:val="en-US"/>
        </w:rPr>
        <w:t xml:space="preserve"> </w:t>
      </w:r>
      <w:hyperlink r:id="rId12" w:history="1">
        <w:r w:rsidRPr="00BA1AFD">
          <w:rPr>
            <w:rStyle w:val="Hyperlink"/>
            <w:rFonts w:ascii="Times New Roman" w:eastAsia="Times New Roman" w:hAnsi="Times New Roman" w:cs="Times New Roman"/>
            <w:sz w:val="24"/>
            <w:szCs w:val="24"/>
            <w:lang w:val="en-US"/>
          </w:rPr>
          <w:t>https://doi.org/10.1016/j.ecohyd.2018.03.002</w:t>
        </w:r>
      </w:hyperlink>
      <w:r w:rsidRPr="00BA1AFD">
        <w:rPr>
          <w:rFonts w:ascii="Times New Roman" w:eastAsia="Times New Roman" w:hAnsi="Times New Roman" w:cs="Times New Roman"/>
          <w:sz w:val="24"/>
          <w:szCs w:val="24"/>
          <w:lang w:val="en-US"/>
        </w:rPr>
        <w:t xml:space="preserve">  </w:t>
      </w:r>
    </w:p>
    <w:p w14:paraId="02EAED01" w14:textId="77777777" w:rsidR="00A5320E" w:rsidRPr="00BA1AFD" w:rsidRDefault="00A5320E" w:rsidP="00BA1AFD">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BA1AFD">
        <w:rPr>
          <w:rFonts w:ascii="Times New Roman" w:hAnsi="Times New Roman" w:cs="Times New Roman"/>
          <w:color w:val="222222"/>
          <w:sz w:val="24"/>
          <w:szCs w:val="24"/>
          <w:shd w:val="clear" w:color="auto" w:fill="FFFFFF"/>
        </w:rPr>
        <w:t>Birawat</w:t>
      </w:r>
      <w:proofErr w:type="spellEnd"/>
      <w:r w:rsidRPr="00BA1AFD">
        <w:rPr>
          <w:rFonts w:ascii="Times New Roman" w:hAnsi="Times New Roman" w:cs="Times New Roman"/>
          <w:color w:val="222222"/>
          <w:sz w:val="24"/>
          <w:szCs w:val="24"/>
          <w:shd w:val="clear" w:color="auto" w:fill="FFFFFF"/>
        </w:rPr>
        <w:t xml:space="preserve">, K. K., T, H., C. </w:t>
      </w:r>
      <w:proofErr w:type="spellStart"/>
      <w:r w:rsidRPr="00BA1AFD">
        <w:rPr>
          <w:rFonts w:ascii="Times New Roman" w:hAnsi="Times New Roman" w:cs="Times New Roman"/>
          <w:color w:val="222222"/>
          <w:sz w:val="24"/>
          <w:szCs w:val="24"/>
          <w:shd w:val="clear" w:color="auto" w:fill="FFFFFF"/>
        </w:rPr>
        <w:t>Nachiyar</w:t>
      </w:r>
      <w:proofErr w:type="spellEnd"/>
      <w:r w:rsidRPr="00BA1AFD">
        <w:rPr>
          <w:rFonts w:ascii="Times New Roman" w:hAnsi="Times New Roman" w:cs="Times New Roman"/>
          <w:color w:val="222222"/>
          <w:sz w:val="24"/>
          <w:szCs w:val="24"/>
          <w:shd w:val="clear" w:color="auto" w:fill="FFFFFF"/>
        </w:rPr>
        <w:t>, M., NA, M., &amp; CV, S. (2021). Impact of urbanisation on lakes—a study of Bengaluru lakes through water quality index (WQI) and overall index of pollution (OIP). </w:t>
      </w:r>
      <w:r w:rsidRPr="00BA1AFD">
        <w:rPr>
          <w:rFonts w:ascii="Times New Roman" w:hAnsi="Times New Roman" w:cs="Times New Roman"/>
          <w:i/>
          <w:iCs/>
          <w:color w:val="222222"/>
          <w:sz w:val="24"/>
          <w:szCs w:val="24"/>
          <w:shd w:val="clear" w:color="auto" w:fill="FFFFFF"/>
        </w:rPr>
        <w:t>Environmental Monitoring and Assessment</w:t>
      </w:r>
      <w:r w:rsidRPr="00BA1AFD">
        <w:rPr>
          <w:rFonts w:ascii="Times New Roman" w:hAnsi="Times New Roman" w:cs="Times New Roman"/>
          <w:color w:val="222222"/>
          <w:sz w:val="24"/>
          <w:szCs w:val="24"/>
          <w:shd w:val="clear" w:color="auto" w:fill="FFFFFF"/>
        </w:rPr>
        <w:t>, </w:t>
      </w:r>
      <w:r w:rsidRPr="00BA1AFD">
        <w:rPr>
          <w:rFonts w:ascii="Times New Roman" w:hAnsi="Times New Roman" w:cs="Times New Roman"/>
          <w:i/>
          <w:iCs/>
          <w:color w:val="222222"/>
          <w:sz w:val="24"/>
          <w:szCs w:val="24"/>
          <w:shd w:val="clear" w:color="auto" w:fill="FFFFFF"/>
        </w:rPr>
        <w:t>193</w:t>
      </w:r>
      <w:r w:rsidRPr="00BA1AFD">
        <w:rPr>
          <w:rFonts w:ascii="Times New Roman" w:hAnsi="Times New Roman" w:cs="Times New Roman"/>
          <w:color w:val="222222"/>
          <w:sz w:val="24"/>
          <w:szCs w:val="24"/>
          <w:shd w:val="clear" w:color="auto" w:fill="FFFFFF"/>
        </w:rPr>
        <w:t xml:space="preserve">(7), </w:t>
      </w:r>
      <w:proofErr w:type="gramStart"/>
      <w:r w:rsidRPr="00BA1AFD">
        <w:rPr>
          <w:rFonts w:ascii="Times New Roman" w:hAnsi="Times New Roman" w:cs="Times New Roman"/>
          <w:color w:val="222222"/>
          <w:sz w:val="24"/>
          <w:szCs w:val="24"/>
          <w:shd w:val="clear" w:color="auto" w:fill="FFFFFF"/>
        </w:rPr>
        <w:t>408.</w:t>
      </w:r>
      <w:r w:rsidRPr="00BA1AFD">
        <w:rPr>
          <w:rFonts w:ascii="Times New Roman" w:eastAsia="Times New Roman" w:hAnsi="Times New Roman" w:cs="Times New Roman"/>
          <w:sz w:val="24"/>
          <w:szCs w:val="24"/>
          <w:lang w:val="en-US"/>
        </w:rPr>
        <w:t>.</w:t>
      </w:r>
      <w:proofErr w:type="gramEnd"/>
      <w:r w:rsidRPr="00BA1AFD">
        <w:rPr>
          <w:rFonts w:ascii="Times New Roman" w:eastAsia="Times New Roman" w:hAnsi="Times New Roman" w:cs="Times New Roman"/>
          <w:sz w:val="24"/>
          <w:szCs w:val="24"/>
          <w:lang w:val="en-US"/>
        </w:rPr>
        <w:t xml:space="preserve"> </w:t>
      </w:r>
      <w:hyperlink r:id="rId13" w:history="1">
        <w:r w:rsidRPr="00BA1AFD">
          <w:rPr>
            <w:rStyle w:val="Hyperlink"/>
            <w:rFonts w:ascii="Times New Roman" w:eastAsia="Times New Roman" w:hAnsi="Times New Roman" w:cs="Times New Roman"/>
            <w:sz w:val="24"/>
            <w:szCs w:val="24"/>
            <w:lang w:val="en-US"/>
          </w:rPr>
          <w:t>https://doi.org/10.1007/s10661-021-09131-w</w:t>
        </w:r>
      </w:hyperlink>
      <w:r w:rsidRPr="00BA1AFD">
        <w:rPr>
          <w:rFonts w:ascii="Times New Roman" w:eastAsia="Times New Roman" w:hAnsi="Times New Roman" w:cs="Times New Roman"/>
          <w:sz w:val="24"/>
          <w:szCs w:val="24"/>
          <w:lang w:val="en-US"/>
        </w:rPr>
        <w:t xml:space="preserve">  </w:t>
      </w:r>
    </w:p>
    <w:p w14:paraId="0992F398" w14:textId="77777777" w:rsidR="00A5320E" w:rsidRPr="00BA1AFD" w:rsidRDefault="00A5320E" w:rsidP="00BA1AFD">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BA1AFD">
        <w:rPr>
          <w:rFonts w:ascii="Times New Roman" w:hAnsi="Times New Roman" w:cs="Times New Roman"/>
          <w:color w:val="222222"/>
          <w:sz w:val="24"/>
          <w:szCs w:val="24"/>
          <w:shd w:val="clear" w:color="auto" w:fill="FFFFFF"/>
        </w:rPr>
        <w:t xml:space="preserve">Griffith, A. W., &amp; </w:t>
      </w:r>
      <w:proofErr w:type="spellStart"/>
      <w:r w:rsidRPr="00BA1AFD">
        <w:rPr>
          <w:rFonts w:ascii="Times New Roman" w:hAnsi="Times New Roman" w:cs="Times New Roman"/>
          <w:color w:val="222222"/>
          <w:sz w:val="24"/>
          <w:szCs w:val="24"/>
          <w:shd w:val="clear" w:color="auto" w:fill="FFFFFF"/>
        </w:rPr>
        <w:t>Gobler</w:t>
      </w:r>
      <w:proofErr w:type="spellEnd"/>
      <w:r w:rsidRPr="00BA1AFD">
        <w:rPr>
          <w:rFonts w:ascii="Times New Roman" w:hAnsi="Times New Roman" w:cs="Times New Roman"/>
          <w:color w:val="222222"/>
          <w:sz w:val="24"/>
          <w:szCs w:val="24"/>
          <w:shd w:val="clear" w:color="auto" w:fill="FFFFFF"/>
        </w:rPr>
        <w:t>, C. J. (2020). Harmful algal blooms: A climate change co-stressor in marine and freshwater ecosystems. </w:t>
      </w:r>
      <w:r w:rsidRPr="00BA1AFD">
        <w:rPr>
          <w:rFonts w:ascii="Times New Roman" w:hAnsi="Times New Roman" w:cs="Times New Roman"/>
          <w:i/>
          <w:iCs/>
          <w:color w:val="222222"/>
          <w:sz w:val="24"/>
          <w:szCs w:val="24"/>
          <w:shd w:val="clear" w:color="auto" w:fill="FFFFFF"/>
        </w:rPr>
        <w:t>Harmful Algae</w:t>
      </w:r>
      <w:r w:rsidRPr="00BA1AFD">
        <w:rPr>
          <w:rFonts w:ascii="Times New Roman" w:hAnsi="Times New Roman" w:cs="Times New Roman"/>
          <w:color w:val="222222"/>
          <w:sz w:val="24"/>
          <w:szCs w:val="24"/>
          <w:shd w:val="clear" w:color="auto" w:fill="FFFFFF"/>
        </w:rPr>
        <w:t>, </w:t>
      </w:r>
      <w:r w:rsidRPr="00BA1AFD">
        <w:rPr>
          <w:rFonts w:ascii="Times New Roman" w:hAnsi="Times New Roman" w:cs="Times New Roman"/>
          <w:i/>
          <w:iCs/>
          <w:color w:val="222222"/>
          <w:sz w:val="24"/>
          <w:szCs w:val="24"/>
          <w:shd w:val="clear" w:color="auto" w:fill="FFFFFF"/>
        </w:rPr>
        <w:t>91</w:t>
      </w:r>
      <w:r w:rsidRPr="00BA1AFD">
        <w:rPr>
          <w:rFonts w:ascii="Times New Roman" w:hAnsi="Times New Roman" w:cs="Times New Roman"/>
          <w:color w:val="222222"/>
          <w:sz w:val="24"/>
          <w:szCs w:val="24"/>
          <w:shd w:val="clear" w:color="auto" w:fill="FFFFFF"/>
        </w:rPr>
        <w:t xml:space="preserve">, </w:t>
      </w:r>
      <w:proofErr w:type="gramStart"/>
      <w:r w:rsidRPr="00BA1AFD">
        <w:rPr>
          <w:rFonts w:ascii="Times New Roman" w:hAnsi="Times New Roman" w:cs="Times New Roman"/>
          <w:color w:val="222222"/>
          <w:sz w:val="24"/>
          <w:szCs w:val="24"/>
          <w:shd w:val="clear" w:color="auto" w:fill="FFFFFF"/>
        </w:rPr>
        <w:t>101590.</w:t>
      </w:r>
      <w:r w:rsidRPr="00BA1AFD">
        <w:rPr>
          <w:rFonts w:ascii="Times New Roman" w:eastAsia="Times New Roman" w:hAnsi="Times New Roman" w:cs="Times New Roman"/>
          <w:sz w:val="24"/>
          <w:szCs w:val="24"/>
          <w:lang w:val="en-US"/>
        </w:rPr>
        <w:t>.</w:t>
      </w:r>
      <w:proofErr w:type="gramEnd"/>
      <w:r w:rsidRPr="00BA1AFD">
        <w:rPr>
          <w:rFonts w:ascii="Times New Roman" w:eastAsia="Times New Roman" w:hAnsi="Times New Roman" w:cs="Times New Roman"/>
          <w:sz w:val="24"/>
          <w:szCs w:val="24"/>
          <w:lang w:val="en-US"/>
        </w:rPr>
        <w:t xml:space="preserve"> </w:t>
      </w:r>
      <w:hyperlink r:id="rId14" w:history="1">
        <w:r w:rsidRPr="00BA1AFD">
          <w:rPr>
            <w:rStyle w:val="Hyperlink"/>
            <w:rFonts w:ascii="Times New Roman" w:eastAsia="Times New Roman" w:hAnsi="Times New Roman" w:cs="Times New Roman"/>
            <w:sz w:val="24"/>
            <w:szCs w:val="24"/>
            <w:lang w:val="en-US"/>
          </w:rPr>
          <w:t>https://doi.org/10.1016/j.hal.2019.03.008</w:t>
        </w:r>
      </w:hyperlink>
      <w:r w:rsidRPr="00BA1AFD">
        <w:rPr>
          <w:rFonts w:ascii="Times New Roman" w:eastAsia="Times New Roman" w:hAnsi="Times New Roman" w:cs="Times New Roman"/>
          <w:sz w:val="24"/>
          <w:szCs w:val="24"/>
          <w:lang w:val="en-US"/>
        </w:rPr>
        <w:t xml:space="preserve"> </w:t>
      </w:r>
    </w:p>
    <w:p w14:paraId="6597B27C" w14:textId="77777777" w:rsidR="00A5320E" w:rsidRPr="00BA1AFD" w:rsidRDefault="00A5320E" w:rsidP="00BA1AFD">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BA1AFD">
        <w:rPr>
          <w:rFonts w:ascii="Times New Roman" w:hAnsi="Times New Roman" w:cs="Times New Roman"/>
          <w:color w:val="222222"/>
          <w:sz w:val="24"/>
          <w:szCs w:val="24"/>
          <w:shd w:val="clear" w:color="auto" w:fill="FFFFFF"/>
        </w:rPr>
        <w:t xml:space="preserve">Huisman, J., Codd, G. A., </w:t>
      </w:r>
      <w:proofErr w:type="spellStart"/>
      <w:r w:rsidRPr="00BA1AFD">
        <w:rPr>
          <w:rFonts w:ascii="Times New Roman" w:hAnsi="Times New Roman" w:cs="Times New Roman"/>
          <w:color w:val="222222"/>
          <w:sz w:val="24"/>
          <w:szCs w:val="24"/>
          <w:shd w:val="clear" w:color="auto" w:fill="FFFFFF"/>
        </w:rPr>
        <w:t>Paerl</w:t>
      </w:r>
      <w:proofErr w:type="spellEnd"/>
      <w:r w:rsidRPr="00BA1AFD">
        <w:rPr>
          <w:rFonts w:ascii="Times New Roman" w:hAnsi="Times New Roman" w:cs="Times New Roman"/>
          <w:color w:val="222222"/>
          <w:sz w:val="24"/>
          <w:szCs w:val="24"/>
          <w:shd w:val="clear" w:color="auto" w:fill="FFFFFF"/>
        </w:rPr>
        <w:t xml:space="preserve">, H. W., </w:t>
      </w:r>
      <w:proofErr w:type="spellStart"/>
      <w:r w:rsidRPr="00BA1AFD">
        <w:rPr>
          <w:rFonts w:ascii="Times New Roman" w:hAnsi="Times New Roman" w:cs="Times New Roman"/>
          <w:color w:val="222222"/>
          <w:sz w:val="24"/>
          <w:szCs w:val="24"/>
          <w:shd w:val="clear" w:color="auto" w:fill="FFFFFF"/>
        </w:rPr>
        <w:t>Ibelings</w:t>
      </w:r>
      <w:proofErr w:type="spellEnd"/>
      <w:r w:rsidRPr="00BA1AFD">
        <w:rPr>
          <w:rFonts w:ascii="Times New Roman" w:hAnsi="Times New Roman" w:cs="Times New Roman"/>
          <w:color w:val="222222"/>
          <w:sz w:val="24"/>
          <w:szCs w:val="24"/>
          <w:shd w:val="clear" w:color="auto" w:fill="FFFFFF"/>
        </w:rPr>
        <w:t xml:space="preserve">, B. W., </w:t>
      </w:r>
      <w:proofErr w:type="spellStart"/>
      <w:r w:rsidRPr="00BA1AFD">
        <w:rPr>
          <w:rFonts w:ascii="Times New Roman" w:hAnsi="Times New Roman" w:cs="Times New Roman"/>
          <w:color w:val="222222"/>
          <w:sz w:val="24"/>
          <w:szCs w:val="24"/>
          <w:shd w:val="clear" w:color="auto" w:fill="FFFFFF"/>
        </w:rPr>
        <w:t>Verspagen</w:t>
      </w:r>
      <w:proofErr w:type="spellEnd"/>
      <w:r w:rsidRPr="00BA1AFD">
        <w:rPr>
          <w:rFonts w:ascii="Times New Roman" w:hAnsi="Times New Roman" w:cs="Times New Roman"/>
          <w:color w:val="222222"/>
          <w:sz w:val="24"/>
          <w:szCs w:val="24"/>
          <w:shd w:val="clear" w:color="auto" w:fill="FFFFFF"/>
        </w:rPr>
        <w:t>, J. M., &amp; Visser, P. M. (2018). Cyanobacterial blooms. </w:t>
      </w:r>
      <w:r w:rsidRPr="00BA1AFD">
        <w:rPr>
          <w:rFonts w:ascii="Times New Roman" w:hAnsi="Times New Roman" w:cs="Times New Roman"/>
          <w:i/>
          <w:iCs/>
          <w:color w:val="222222"/>
          <w:sz w:val="24"/>
          <w:szCs w:val="24"/>
          <w:shd w:val="clear" w:color="auto" w:fill="FFFFFF"/>
        </w:rPr>
        <w:t>Nature Reviews Microbiology</w:t>
      </w:r>
      <w:r w:rsidRPr="00BA1AFD">
        <w:rPr>
          <w:rFonts w:ascii="Times New Roman" w:hAnsi="Times New Roman" w:cs="Times New Roman"/>
          <w:color w:val="222222"/>
          <w:sz w:val="24"/>
          <w:szCs w:val="24"/>
          <w:shd w:val="clear" w:color="auto" w:fill="FFFFFF"/>
        </w:rPr>
        <w:t>, </w:t>
      </w:r>
      <w:r w:rsidRPr="00BA1AFD">
        <w:rPr>
          <w:rFonts w:ascii="Times New Roman" w:hAnsi="Times New Roman" w:cs="Times New Roman"/>
          <w:i/>
          <w:iCs/>
          <w:color w:val="222222"/>
          <w:sz w:val="24"/>
          <w:szCs w:val="24"/>
          <w:shd w:val="clear" w:color="auto" w:fill="FFFFFF"/>
        </w:rPr>
        <w:t>16</w:t>
      </w:r>
      <w:r w:rsidRPr="00BA1AFD">
        <w:rPr>
          <w:rFonts w:ascii="Times New Roman" w:hAnsi="Times New Roman" w:cs="Times New Roman"/>
          <w:color w:val="222222"/>
          <w:sz w:val="24"/>
          <w:szCs w:val="24"/>
          <w:shd w:val="clear" w:color="auto" w:fill="FFFFFF"/>
        </w:rPr>
        <w:t>(8), 471-</w:t>
      </w:r>
      <w:proofErr w:type="gramStart"/>
      <w:r w:rsidRPr="00BA1AFD">
        <w:rPr>
          <w:rFonts w:ascii="Times New Roman" w:hAnsi="Times New Roman" w:cs="Times New Roman"/>
          <w:color w:val="222222"/>
          <w:sz w:val="24"/>
          <w:szCs w:val="24"/>
          <w:shd w:val="clear" w:color="auto" w:fill="FFFFFF"/>
        </w:rPr>
        <w:t>483.</w:t>
      </w:r>
      <w:r w:rsidRPr="00BA1AFD">
        <w:rPr>
          <w:rFonts w:ascii="Times New Roman" w:eastAsia="Times New Roman" w:hAnsi="Times New Roman" w:cs="Times New Roman"/>
          <w:sz w:val="24"/>
          <w:szCs w:val="24"/>
          <w:lang w:val="en-US"/>
        </w:rPr>
        <w:t>.</w:t>
      </w:r>
      <w:proofErr w:type="gramEnd"/>
      <w:r w:rsidRPr="00BA1AFD">
        <w:rPr>
          <w:rFonts w:ascii="Times New Roman" w:eastAsia="Times New Roman" w:hAnsi="Times New Roman" w:cs="Times New Roman"/>
          <w:sz w:val="24"/>
          <w:szCs w:val="24"/>
          <w:lang w:val="en-US"/>
        </w:rPr>
        <w:t xml:space="preserve"> </w:t>
      </w:r>
      <w:hyperlink r:id="rId15" w:history="1">
        <w:r w:rsidRPr="00BA1AFD">
          <w:rPr>
            <w:rStyle w:val="Hyperlink"/>
            <w:rFonts w:ascii="Times New Roman" w:eastAsia="Times New Roman" w:hAnsi="Times New Roman" w:cs="Times New Roman"/>
            <w:sz w:val="24"/>
            <w:szCs w:val="24"/>
            <w:lang w:val="en-US"/>
          </w:rPr>
          <w:t>https://doi.org/10.1038/s41579-018-0040-1</w:t>
        </w:r>
      </w:hyperlink>
      <w:r w:rsidRPr="00BA1AFD">
        <w:rPr>
          <w:rFonts w:ascii="Times New Roman" w:eastAsia="Times New Roman" w:hAnsi="Times New Roman" w:cs="Times New Roman"/>
          <w:sz w:val="24"/>
          <w:szCs w:val="24"/>
          <w:lang w:val="en-US"/>
        </w:rPr>
        <w:t xml:space="preserve">  </w:t>
      </w:r>
    </w:p>
    <w:p w14:paraId="07A72C96" w14:textId="77777777" w:rsidR="00A5320E" w:rsidRPr="00BA1AFD" w:rsidRDefault="00A5320E" w:rsidP="00BA1AFD">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BA1AFD">
        <w:rPr>
          <w:rFonts w:ascii="Times New Roman" w:hAnsi="Times New Roman" w:cs="Times New Roman"/>
          <w:color w:val="222222"/>
          <w:sz w:val="24"/>
          <w:szCs w:val="24"/>
          <w:shd w:val="clear" w:color="auto" w:fill="FFFFFF"/>
        </w:rPr>
        <w:t>Jamwal</w:t>
      </w:r>
      <w:proofErr w:type="spellEnd"/>
      <w:r w:rsidRPr="00BA1AFD">
        <w:rPr>
          <w:rFonts w:ascii="Times New Roman" w:hAnsi="Times New Roman" w:cs="Times New Roman"/>
          <w:color w:val="222222"/>
          <w:sz w:val="24"/>
          <w:szCs w:val="24"/>
          <w:shd w:val="clear" w:color="auto" w:fill="FFFFFF"/>
        </w:rPr>
        <w:t xml:space="preserve">, P., Carvalho, L., Bhattacharyya, S., &amp; </w:t>
      </w:r>
      <w:proofErr w:type="spellStart"/>
      <w:r w:rsidRPr="00BA1AFD">
        <w:rPr>
          <w:rFonts w:ascii="Times New Roman" w:hAnsi="Times New Roman" w:cs="Times New Roman"/>
          <w:color w:val="222222"/>
          <w:sz w:val="24"/>
          <w:szCs w:val="24"/>
          <w:shd w:val="clear" w:color="auto" w:fill="FFFFFF"/>
        </w:rPr>
        <w:t>Muttepawar</w:t>
      </w:r>
      <w:proofErr w:type="spellEnd"/>
      <w:r w:rsidRPr="00BA1AFD">
        <w:rPr>
          <w:rFonts w:ascii="Times New Roman" w:hAnsi="Times New Roman" w:cs="Times New Roman"/>
          <w:color w:val="222222"/>
          <w:sz w:val="24"/>
          <w:szCs w:val="24"/>
          <w:shd w:val="clear" w:color="auto" w:fill="FFFFFF"/>
        </w:rPr>
        <w:t>, P. (2023). The benefits of restoring urban lakes in the tropics. </w:t>
      </w:r>
      <w:r w:rsidRPr="00BA1AFD">
        <w:rPr>
          <w:rFonts w:ascii="Times New Roman" w:hAnsi="Times New Roman" w:cs="Times New Roman"/>
          <w:i/>
          <w:iCs/>
          <w:color w:val="222222"/>
          <w:sz w:val="24"/>
          <w:szCs w:val="24"/>
          <w:shd w:val="clear" w:color="auto" w:fill="FFFFFF"/>
        </w:rPr>
        <w:t>Environmental Monitoring and Assessment</w:t>
      </w:r>
      <w:r w:rsidRPr="00BA1AFD">
        <w:rPr>
          <w:rFonts w:ascii="Times New Roman" w:hAnsi="Times New Roman" w:cs="Times New Roman"/>
          <w:color w:val="222222"/>
          <w:sz w:val="24"/>
          <w:szCs w:val="24"/>
          <w:shd w:val="clear" w:color="auto" w:fill="FFFFFF"/>
        </w:rPr>
        <w:t>, </w:t>
      </w:r>
      <w:r w:rsidRPr="00BA1AFD">
        <w:rPr>
          <w:rFonts w:ascii="Times New Roman" w:hAnsi="Times New Roman" w:cs="Times New Roman"/>
          <w:i/>
          <w:iCs/>
          <w:color w:val="222222"/>
          <w:sz w:val="24"/>
          <w:szCs w:val="24"/>
          <w:shd w:val="clear" w:color="auto" w:fill="FFFFFF"/>
        </w:rPr>
        <w:t>195</w:t>
      </w:r>
      <w:r w:rsidRPr="00BA1AFD">
        <w:rPr>
          <w:rFonts w:ascii="Times New Roman" w:hAnsi="Times New Roman" w:cs="Times New Roman"/>
          <w:color w:val="222222"/>
          <w:sz w:val="24"/>
          <w:szCs w:val="24"/>
          <w:shd w:val="clear" w:color="auto" w:fill="FFFFFF"/>
        </w:rPr>
        <w:t xml:space="preserve">(11), </w:t>
      </w:r>
      <w:proofErr w:type="gramStart"/>
      <w:r w:rsidRPr="00BA1AFD">
        <w:rPr>
          <w:rFonts w:ascii="Times New Roman" w:hAnsi="Times New Roman" w:cs="Times New Roman"/>
          <w:color w:val="222222"/>
          <w:sz w:val="24"/>
          <w:szCs w:val="24"/>
          <w:shd w:val="clear" w:color="auto" w:fill="FFFFFF"/>
        </w:rPr>
        <w:t>1294.</w:t>
      </w:r>
      <w:r w:rsidRPr="00BA1AFD">
        <w:rPr>
          <w:rFonts w:ascii="Times New Roman" w:eastAsia="Times New Roman" w:hAnsi="Times New Roman" w:cs="Times New Roman"/>
          <w:sz w:val="24"/>
          <w:szCs w:val="24"/>
          <w:lang w:val="en-US"/>
        </w:rPr>
        <w:t>.</w:t>
      </w:r>
      <w:proofErr w:type="gramEnd"/>
      <w:r w:rsidRPr="00BA1AFD">
        <w:rPr>
          <w:rFonts w:ascii="Times New Roman" w:eastAsia="Times New Roman" w:hAnsi="Times New Roman" w:cs="Times New Roman"/>
          <w:sz w:val="24"/>
          <w:szCs w:val="24"/>
          <w:lang w:val="en-US"/>
        </w:rPr>
        <w:t xml:space="preserve"> </w:t>
      </w:r>
      <w:hyperlink r:id="rId16" w:history="1">
        <w:r w:rsidRPr="00BA1AFD">
          <w:rPr>
            <w:rStyle w:val="Hyperlink"/>
            <w:rFonts w:ascii="Times New Roman" w:eastAsia="Times New Roman" w:hAnsi="Times New Roman" w:cs="Times New Roman"/>
            <w:sz w:val="24"/>
            <w:szCs w:val="24"/>
            <w:lang w:val="en-US"/>
          </w:rPr>
          <w:t>https://doi.org/10.1007/s10661-023-11888-1</w:t>
        </w:r>
      </w:hyperlink>
      <w:r w:rsidRPr="00BA1AFD">
        <w:rPr>
          <w:rFonts w:ascii="Times New Roman" w:eastAsia="Times New Roman" w:hAnsi="Times New Roman" w:cs="Times New Roman"/>
          <w:sz w:val="24"/>
          <w:szCs w:val="24"/>
          <w:lang w:val="en-US"/>
        </w:rPr>
        <w:t xml:space="preserve">  </w:t>
      </w:r>
    </w:p>
    <w:p w14:paraId="3366301D" w14:textId="77777777" w:rsidR="00A5320E" w:rsidRPr="00BA1AFD" w:rsidRDefault="00A5320E" w:rsidP="00BA1AFD">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BA1AFD">
        <w:rPr>
          <w:rFonts w:ascii="Times New Roman" w:hAnsi="Times New Roman" w:cs="Times New Roman"/>
          <w:color w:val="222222"/>
          <w:sz w:val="24"/>
          <w:szCs w:val="24"/>
          <w:shd w:val="clear" w:color="auto" w:fill="FFFFFF"/>
        </w:rPr>
        <w:t xml:space="preserve">Kora, A. J., Rastogi, L., Kumar, S. J., &amp; </w:t>
      </w:r>
      <w:proofErr w:type="spellStart"/>
      <w:r w:rsidRPr="00BA1AFD">
        <w:rPr>
          <w:rFonts w:ascii="Times New Roman" w:hAnsi="Times New Roman" w:cs="Times New Roman"/>
          <w:color w:val="222222"/>
          <w:sz w:val="24"/>
          <w:szCs w:val="24"/>
          <w:shd w:val="clear" w:color="auto" w:fill="FFFFFF"/>
        </w:rPr>
        <w:t>Jagatap</w:t>
      </w:r>
      <w:proofErr w:type="spellEnd"/>
      <w:r w:rsidRPr="00BA1AFD">
        <w:rPr>
          <w:rFonts w:ascii="Times New Roman" w:hAnsi="Times New Roman" w:cs="Times New Roman"/>
          <w:color w:val="222222"/>
          <w:sz w:val="24"/>
          <w:szCs w:val="24"/>
          <w:shd w:val="clear" w:color="auto" w:fill="FFFFFF"/>
        </w:rPr>
        <w:t xml:space="preserve">, B. N. (2017). </w:t>
      </w:r>
      <w:proofErr w:type="spellStart"/>
      <w:r w:rsidRPr="00BA1AFD">
        <w:rPr>
          <w:rFonts w:ascii="Times New Roman" w:hAnsi="Times New Roman" w:cs="Times New Roman"/>
          <w:color w:val="222222"/>
          <w:sz w:val="24"/>
          <w:szCs w:val="24"/>
          <w:shd w:val="clear" w:color="auto" w:fill="FFFFFF"/>
        </w:rPr>
        <w:t>Physico</w:t>
      </w:r>
      <w:proofErr w:type="spellEnd"/>
      <w:r w:rsidRPr="00BA1AFD">
        <w:rPr>
          <w:rFonts w:ascii="Times New Roman" w:hAnsi="Times New Roman" w:cs="Times New Roman"/>
          <w:color w:val="222222"/>
          <w:sz w:val="24"/>
          <w:szCs w:val="24"/>
          <w:shd w:val="clear" w:color="auto" w:fill="FFFFFF"/>
        </w:rPr>
        <w:t>-chemical and bacteriological screening of Hussain Sagar lake: An urban wetland. </w:t>
      </w:r>
      <w:r w:rsidRPr="00BA1AFD">
        <w:rPr>
          <w:rFonts w:ascii="Times New Roman" w:hAnsi="Times New Roman" w:cs="Times New Roman"/>
          <w:i/>
          <w:iCs/>
          <w:color w:val="222222"/>
          <w:sz w:val="24"/>
          <w:szCs w:val="24"/>
          <w:shd w:val="clear" w:color="auto" w:fill="FFFFFF"/>
        </w:rPr>
        <w:t>Water Science</w:t>
      </w:r>
      <w:r w:rsidRPr="00BA1AFD">
        <w:rPr>
          <w:rFonts w:ascii="Times New Roman" w:hAnsi="Times New Roman" w:cs="Times New Roman"/>
          <w:color w:val="222222"/>
          <w:sz w:val="24"/>
          <w:szCs w:val="24"/>
          <w:shd w:val="clear" w:color="auto" w:fill="FFFFFF"/>
        </w:rPr>
        <w:t>, </w:t>
      </w:r>
      <w:r w:rsidRPr="00BA1AFD">
        <w:rPr>
          <w:rFonts w:ascii="Times New Roman" w:hAnsi="Times New Roman" w:cs="Times New Roman"/>
          <w:i/>
          <w:iCs/>
          <w:color w:val="222222"/>
          <w:sz w:val="24"/>
          <w:szCs w:val="24"/>
          <w:shd w:val="clear" w:color="auto" w:fill="FFFFFF"/>
        </w:rPr>
        <w:t>31</w:t>
      </w:r>
      <w:r w:rsidRPr="00BA1AFD">
        <w:rPr>
          <w:rFonts w:ascii="Times New Roman" w:hAnsi="Times New Roman" w:cs="Times New Roman"/>
          <w:color w:val="222222"/>
          <w:sz w:val="24"/>
          <w:szCs w:val="24"/>
          <w:shd w:val="clear" w:color="auto" w:fill="FFFFFF"/>
        </w:rPr>
        <w:t>(1), 24-</w:t>
      </w:r>
      <w:proofErr w:type="gramStart"/>
      <w:r w:rsidRPr="00BA1AFD">
        <w:rPr>
          <w:rFonts w:ascii="Times New Roman" w:hAnsi="Times New Roman" w:cs="Times New Roman"/>
          <w:color w:val="222222"/>
          <w:sz w:val="24"/>
          <w:szCs w:val="24"/>
          <w:shd w:val="clear" w:color="auto" w:fill="FFFFFF"/>
        </w:rPr>
        <w:t>33.</w:t>
      </w:r>
      <w:r w:rsidRPr="00BA1AFD">
        <w:rPr>
          <w:rFonts w:ascii="Times New Roman" w:eastAsia="Times New Roman" w:hAnsi="Times New Roman" w:cs="Times New Roman"/>
          <w:sz w:val="24"/>
          <w:szCs w:val="24"/>
          <w:lang w:val="en-US"/>
        </w:rPr>
        <w:t>.</w:t>
      </w:r>
      <w:proofErr w:type="gramEnd"/>
      <w:r w:rsidRPr="00BA1AFD">
        <w:rPr>
          <w:rFonts w:ascii="Times New Roman" w:eastAsia="Times New Roman" w:hAnsi="Times New Roman" w:cs="Times New Roman"/>
          <w:sz w:val="24"/>
          <w:szCs w:val="24"/>
          <w:lang w:val="en-US"/>
        </w:rPr>
        <w:t xml:space="preserve"> </w:t>
      </w:r>
      <w:hyperlink r:id="rId17" w:history="1">
        <w:r w:rsidRPr="00BA1AFD">
          <w:rPr>
            <w:rStyle w:val="Hyperlink"/>
            <w:rFonts w:ascii="Times New Roman" w:eastAsia="Times New Roman" w:hAnsi="Times New Roman" w:cs="Times New Roman"/>
            <w:sz w:val="24"/>
            <w:szCs w:val="24"/>
            <w:lang w:val="en-US"/>
          </w:rPr>
          <w:t>https://doi.org/10.1016/j.wsj.2017.03.003</w:t>
        </w:r>
      </w:hyperlink>
      <w:r w:rsidRPr="00BA1AFD">
        <w:rPr>
          <w:rFonts w:ascii="Times New Roman" w:eastAsia="Times New Roman" w:hAnsi="Times New Roman" w:cs="Times New Roman"/>
          <w:sz w:val="24"/>
          <w:szCs w:val="24"/>
          <w:lang w:val="en-US"/>
        </w:rPr>
        <w:t xml:space="preserve">  </w:t>
      </w:r>
    </w:p>
    <w:p w14:paraId="72509628" w14:textId="77777777" w:rsidR="00A5320E" w:rsidRPr="00BA1AFD" w:rsidRDefault="00A5320E" w:rsidP="00BA1AFD">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BA1AFD">
        <w:rPr>
          <w:rFonts w:ascii="Times New Roman" w:hAnsi="Times New Roman" w:cs="Times New Roman"/>
          <w:color w:val="222222"/>
          <w:sz w:val="24"/>
          <w:szCs w:val="24"/>
          <w:shd w:val="clear" w:color="auto" w:fill="FFFFFF"/>
        </w:rPr>
        <w:t xml:space="preserve">Kumar, P., Mahajan, A. K., &amp; Meena, N. K. (2019). Evaluation of trophic </w:t>
      </w:r>
      <w:r w:rsidRPr="00BA1AFD">
        <w:rPr>
          <w:rFonts w:ascii="Times New Roman" w:hAnsi="Times New Roman" w:cs="Times New Roman"/>
          <w:color w:val="222222"/>
          <w:sz w:val="24"/>
          <w:szCs w:val="24"/>
          <w:highlight w:val="yellow"/>
          <w:shd w:val="clear" w:color="auto" w:fill="FFFFFF"/>
        </w:rPr>
        <w:t>status and its limiting factors in the Renuka Lake of Lesser Himalaya, India. </w:t>
      </w:r>
      <w:r w:rsidRPr="00BA1AFD">
        <w:rPr>
          <w:rFonts w:ascii="Times New Roman" w:hAnsi="Times New Roman" w:cs="Times New Roman"/>
          <w:i/>
          <w:iCs/>
          <w:color w:val="222222"/>
          <w:sz w:val="24"/>
          <w:szCs w:val="24"/>
          <w:highlight w:val="yellow"/>
          <w:shd w:val="clear" w:color="auto" w:fill="FFFFFF"/>
        </w:rPr>
        <w:t>Environmental monitoring and assessment</w:t>
      </w:r>
      <w:r w:rsidRPr="00BA1AFD">
        <w:rPr>
          <w:rFonts w:ascii="Times New Roman" w:hAnsi="Times New Roman" w:cs="Times New Roman"/>
          <w:color w:val="222222"/>
          <w:sz w:val="24"/>
          <w:szCs w:val="24"/>
          <w:highlight w:val="yellow"/>
          <w:shd w:val="clear" w:color="auto" w:fill="FFFFFF"/>
        </w:rPr>
        <w:t>, </w:t>
      </w:r>
      <w:r w:rsidRPr="00BA1AFD">
        <w:rPr>
          <w:rFonts w:ascii="Times New Roman" w:hAnsi="Times New Roman" w:cs="Times New Roman"/>
          <w:i/>
          <w:iCs/>
          <w:color w:val="222222"/>
          <w:sz w:val="24"/>
          <w:szCs w:val="24"/>
          <w:highlight w:val="yellow"/>
          <w:shd w:val="clear" w:color="auto" w:fill="FFFFFF"/>
        </w:rPr>
        <w:t>191</w:t>
      </w:r>
      <w:r w:rsidRPr="00BA1AFD">
        <w:rPr>
          <w:rFonts w:ascii="Times New Roman" w:hAnsi="Times New Roman" w:cs="Times New Roman"/>
          <w:color w:val="222222"/>
          <w:sz w:val="24"/>
          <w:szCs w:val="24"/>
          <w:highlight w:val="yellow"/>
          <w:shd w:val="clear" w:color="auto" w:fill="FFFFFF"/>
        </w:rPr>
        <w:t xml:space="preserve">(2), </w:t>
      </w:r>
      <w:proofErr w:type="gramStart"/>
      <w:r w:rsidRPr="00BA1AFD">
        <w:rPr>
          <w:rFonts w:ascii="Times New Roman" w:hAnsi="Times New Roman" w:cs="Times New Roman"/>
          <w:color w:val="222222"/>
          <w:sz w:val="24"/>
          <w:szCs w:val="24"/>
          <w:highlight w:val="yellow"/>
          <w:shd w:val="clear" w:color="auto" w:fill="FFFFFF"/>
        </w:rPr>
        <w:t>105.</w:t>
      </w:r>
      <w:r w:rsidRPr="00BA1AFD">
        <w:rPr>
          <w:rFonts w:ascii="Times New Roman" w:eastAsia="Times New Roman" w:hAnsi="Times New Roman" w:cs="Times New Roman"/>
          <w:sz w:val="24"/>
          <w:szCs w:val="24"/>
          <w:highlight w:val="yellow"/>
          <w:lang w:val="en-US"/>
        </w:rPr>
        <w:t>.</w:t>
      </w:r>
      <w:proofErr w:type="gramEnd"/>
      <w:r w:rsidRPr="00BA1AFD">
        <w:rPr>
          <w:rFonts w:ascii="Times New Roman" w:eastAsia="Times New Roman" w:hAnsi="Times New Roman" w:cs="Times New Roman"/>
          <w:sz w:val="24"/>
          <w:szCs w:val="24"/>
          <w:highlight w:val="yellow"/>
          <w:lang w:val="en-US"/>
        </w:rPr>
        <w:t xml:space="preserve"> </w:t>
      </w:r>
      <w:hyperlink r:id="rId18" w:history="1">
        <w:r w:rsidRPr="00BA1AFD">
          <w:rPr>
            <w:rStyle w:val="Hyperlink"/>
            <w:rFonts w:ascii="Times New Roman" w:eastAsia="Times New Roman" w:hAnsi="Times New Roman" w:cs="Times New Roman"/>
            <w:sz w:val="24"/>
            <w:szCs w:val="24"/>
            <w:highlight w:val="yellow"/>
            <w:lang w:val="en-US"/>
          </w:rPr>
          <w:t>https://doi.org/10.1007/s10661-019-7247-0</w:t>
        </w:r>
      </w:hyperlink>
      <w:r w:rsidRPr="00BA1AFD">
        <w:rPr>
          <w:rFonts w:ascii="Times New Roman" w:eastAsia="Times New Roman" w:hAnsi="Times New Roman" w:cs="Times New Roman"/>
          <w:sz w:val="24"/>
          <w:szCs w:val="24"/>
          <w:lang w:val="en-US"/>
        </w:rPr>
        <w:t xml:space="preserve">   </w:t>
      </w:r>
    </w:p>
    <w:p w14:paraId="189D83A1" w14:textId="77777777" w:rsidR="00A5320E" w:rsidRPr="00BA1AFD" w:rsidRDefault="00A5320E" w:rsidP="00BA1AFD">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BA1AFD">
        <w:rPr>
          <w:rFonts w:ascii="Times New Roman" w:hAnsi="Times New Roman" w:cs="Times New Roman"/>
          <w:color w:val="222222"/>
          <w:sz w:val="24"/>
          <w:szCs w:val="24"/>
          <w:shd w:val="clear" w:color="auto" w:fill="FFFFFF"/>
        </w:rPr>
        <w:t xml:space="preserve">Kumar, R., </w:t>
      </w:r>
      <w:proofErr w:type="spellStart"/>
      <w:r w:rsidRPr="00BA1AFD">
        <w:rPr>
          <w:rFonts w:ascii="Times New Roman" w:hAnsi="Times New Roman" w:cs="Times New Roman"/>
          <w:color w:val="222222"/>
          <w:sz w:val="24"/>
          <w:szCs w:val="24"/>
          <w:shd w:val="clear" w:color="auto" w:fill="FFFFFF"/>
        </w:rPr>
        <w:t>Parvaze</w:t>
      </w:r>
      <w:proofErr w:type="spellEnd"/>
      <w:r w:rsidRPr="00BA1AFD">
        <w:rPr>
          <w:rFonts w:ascii="Times New Roman" w:hAnsi="Times New Roman" w:cs="Times New Roman"/>
          <w:color w:val="222222"/>
          <w:sz w:val="24"/>
          <w:szCs w:val="24"/>
          <w:shd w:val="clear" w:color="auto" w:fill="FFFFFF"/>
        </w:rPr>
        <w:t xml:space="preserve">, S., Huda, M. B., &amp; </w:t>
      </w:r>
      <w:proofErr w:type="spellStart"/>
      <w:r w:rsidRPr="00BA1AFD">
        <w:rPr>
          <w:rFonts w:ascii="Times New Roman" w:hAnsi="Times New Roman" w:cs="Times New Roman"/>
          <w:color w:val="222222"/>
          <w:sz w:val="24"/>
          <w:szCs w:val="24"/>
          <w:shd w:val="clear" w:color="auto" w:fill="FFFFFF"/>
        </w:rPr>
        <w:t>Allaie</w:t>
      </w:r>
      <w:proofErr w:type="spellEnd"/>
      <w:r w:rsidRPr="00BA1AFD">
        <w:rPr>
          <w:rFonts w:ascii="Times New Roman" w:hAnsi="Times New Roman" w:cs="Times New Roman"/>
          <w:color w:val="222222"/>
          <w:sz w:val="24"/>
          <w:szCs w:val="24"/>
          <w:shd w:val="clear" w:color="auto" w:fill="FFFFFF"/>
        </w:rPr>
        <w:t>, S. P. (2022). The changing water quality of lakes—a case study of Dal Lake, Kashmir Valley. </w:t>
      </w:r>
      <w:r w:rsidRPr="00BA1AFD">
        <w:rPr>
          <w:rFonts w:ascii="Times New Roman" w:hAnsi="Times New Roman" w:cs="Times New Roman"/>
          <w:i/>
          <w:iCs/>
          <w:color w:val="222222"/>
          <w:sz w:val="24"/>
          <w:szCs w:val="24"/>
          <w:shd w:val="clear" w:color="auto" w:fill="FFFFFF"/>
        </w:rPr>
        <w:t>Environmental monitoring and assessment</w:t>
      </w:r>
      <w:r w:rsidRPr="00BA1AFD">
        <w:rPr>
          <w:rFonts w:ascii="Times New Roman" w:hAnsi="Times New Roman" w:cs="Times New Roman"/>
          <w:color w:val="222222"/>
          <w:sz w:val="24"/>
          <w:szCs w:val="24"/>
          <w:shd w:val="clear" w:color="auto" w:fill="FFFFFF"/>
        </w:rPr>
        <w:t>, </w:t>
      </w:r>
      <w:r w:rsidRPr="00BA1AFD">
        <w:rPr>
          <w:rFonts w:ascii="Times New Roman" w:hAnsi="Times New Roman" w:cs="Times New Roman"/>
          <w:i/>
          <w:iCs/>
          <w:color w:val="222222"/>
          <w:sz w:val="24"/>
          <w:szCs w:val="24"/>
          <w:shd w:val="clear" w:color="auto" w:fill="FFFFFF"/>
        </w:rPr>
        <w:t>194</w:t>
      </w:r>
      <w:r w:rsidRPr="00BA1AFD">
        <w:rPr>
          <w:rFonts w:ascii="Times New Roman" w:hAnsi="Times New Roman" w:cs="Times New Roman"/>
          <w:color w:val="222222"/>
          <w:sz w:val="24"/>
          <w:szCs w:val="24"/>
          <w:shd w:val="clear" w:color="auto" w:fill="FFFFFF"/>
        </w:rPr>
        <w:t xml:space="preserve">(3), </w:t>
      </w:r>
      <w:proofErr w:type="gramStart"/>
      <w:r w:rsidRPr="00BA1AFD">
        <w:rPr>
          <w:rFonts w:ascii="Times New Roman" w:hAnsi="Times New Roman" w:cs="Times New Roman"/>
          <w:color w:val="222222"/>
          <w:sz w:val="24"/>
          <w:szCs w:val="24"/>
          <w:shd w:val="clear" w:color="auto" w:fill="FFFFFF"/>
        </w:rPr>
        <w:t>228.</w:t>
      </w:r>
      <w:r w:rsidRPr="00BA1AFD">
        <w:rPr>
          <w:rFonts w:ascii="Times New Roman" w:eastAsia="Times New Roman" w:hAnsi="Times New Roman" w:cs="Times New Roman"/>
          <w:sz w:val="24"/>
          <w:szCs w:val="24"/>
          <w:lang w:val="en-US"/>
        </w:rPr>
        <w:t>.</w:t>
      </w:r>
      <w:proofErr w:type="gramEnd"/>
      <w:r w:rsidRPr="00BA1AFD">
        <w:rPr>
          <w:rFonts w:ascii="Times New Roman" w:eastAsia="Times New Roman" w:hAnsi="Times New Roman" w:cs="Times New Roman"/>
          <w:sz w:val="24"/>
          <w:szCs w:val="24"/>
          <w:lang w:val="en-US"/>
        </w:rPr>
        <w:t xml:space="preserve"> </w:t>
      </w:r>
      <w:hyperlink r:id="rId19" w:history="1">
        <w:r w:rsidRPr="00BA1AFD">
          <w:rPr>
            <w:rStyle w:val="Hyperlink"/>
            <w:rFonts w:ascii="Times New Roman" w:eastAsia="Times New Roman" w:hAnsi="Times New Roman" w:cs="Times New Roman"/>
            <w:sz w:val="24"/>
            <w:szCs w:val="24"/>
            <w:lang w:val="en-US"/>
          </w:rPr>
          <w:t>https://doi.org/10.1007/s10661-022-09869-x</w:t>
        </w:r>
      </w:hyperlink>
      <w:r w:rsidRPr="00BA1AFD">
        <w:rPr>
          <w:rFonts w:ascii="Times New Roman" w:eastAsia="Times New Roman" w:hAnsi="Times New Roman" w:cs="Times New Roman"/>
          <w:sz w:val="24"/>
          <w:szCs w:val="24"/>
          <w:lang w:val="en-US"/>
        </w:rPr>
        <w:t xml:space="preserve">  </w:t>
      </w:r>
    </w:p>
    <w:p w14:paraId="6DCF7E25" w14:textId="77777777" w:rsidR="00A5320E" w:rsidRPr="00BA1AFD" w:rsidRDefault="00A5320E" w:rsidP="00BA1AFD">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BA1AFD">
        <w:rPr>
          <w:rFonts w:ascii="Times New Roman" w:hAnsi="Times New Roman" w:cs="Times New Roman"/>
          <w:color w:val="222222"/>
          <w:sz w:val="24"/>
          <w:szCs w:val="24"/>
          <w:shd w:val="clear" w:color="auto" w:fill="FFFFFF"/>
        </w:rPr>
        <w:t>Laishram</w:t>
      </w:r>
      <w:proofErr w:type="spellEnd"/>
      <w:r w:rsidRPr="00BA1AFD">
        <w:rPr>
          <w:rFonts w:ascii="Times New Roman" w:hAnsi="Times New Roman" w:cs="Times New Roman"/>
          <w:color w:val="222222"/>
          <w:sz w:val="24"/>
          <w:szCs w:val="24"/>
          <w:shd w:val="clear" w:color="auto" w:fill="FFFFFF"/>
        </w:rPr>
        <w:t xml:space="preserve">, R. J., </w:t>
      </w:r>
      <w:proofErr w:type="spellStart"/>
      <w:r w:rsidRPr="00BA1AFD">
        <w:rPr>
          <w:rFonts w:ascii="Times New Roman" w:hAnsi="Times New Roman" w:cs="Times New Roman"/>
          <w:color w:val="222222"/>
          <w:sz w:val="24"/>
          <w:szCs w:val="24"/>
          <w:shd w:val="clear" w:color="auto" w:fill="FFFFFF"/>
        </w:rPr>
        <w:t>Yumnam</w:t>
      </w:r>
      <w:proofErr w:type="spellEnd"/>
      <w:r w:rsidRPr="00BA1AFD">
        <w:rPr>
          <w:rFonts w:ascii="Times New Roman" w:hAnsi="Times New Roman" w:cs="Times New Roman"/>
          <w:color w:val="222222"/>
          <w:sz w:val="24"/>
          <w:szCs w:val="24"/>
          <w:shd w:val="clear" w:color="auto" w:fill="FFFFFF"/>
        </w:rPr>
        <w:t xml:space="preserve">, G., Singh, T. B., &amp; </w:t>
      </w:r>
      <w:proofErr w:type="spellStart"/>
      <w:r w:rsidRPr="00BA1AFD">
        <w:rPr>
          <w:rFonts w:ascii="Times New Roman" w:hAnsi="Times New Roman" w:cs="Times New Roman"/>
          <w:color w:val="222222"/>
          <w:sz w:val="24"/>
          <w:szCs w:val="24"/>
          <w:shd w:val="clear" w:color="auto" w:fill="FFFFFF"/>
        </w:rPr>
        <w:t>Alam</w:t>
      </w:r>
      <w:proofErr w:type="spellEnd"/>
      <w:r w:rsidRPr="00BA1AFD">
        <w:rPr>
          <w:rFonts w:ascii="Times New Roman" w:hAnsi="Times New Roman" w:cs="Times New Roman"/>
          <w:color w:val="222222"/>
          <w:sz w:val="24"/>
          <w:szCs w:val="24"/>
          <w:shd w:val="clear" w:color="auto" w:fill="FFFFFF"/>
        </w:rPr>
        <w:t xml:space="preserve">, W. (2025). Distribution and Pollution Assessment of Critical Nutrients and Heavy Metals in the Sediments of </w:t>
      </w:r>
      <w:proofErr w:type="spellStart"/>
      <w:r w:rsidRPr="00BA1AFD">
        <w:rPr>
          <w:rFonts w:ascii="Times New Roman" w:hAnsi="Times New Roman" w:cs="Times New Roman"/>
          <w:color w:val="222222"/>
          <w:sz w:val="24"/>
          <w:szCs w:val="24"/>
          <w:shd w:val="clear" w:color="auto" w:fill="FFFFFF"/>
        </w:rPr>
        <w:t>Loktak</w:t>
      </w:r>
      <w:proofErr w:type="spellEnd"/>
      <w:r w:rsidRPr="00BA1AFD">
        <w:rPr>
          <w:rFonts w:ascii="Times New Roman" w:hAnsi="Times New Roman" w:cs="Times New Roman"/>
          <w:color w:val="222222"/>
          <w:sz w:val="24"/>
          <w:szCs w:val="24"/>
          <w:shd w:val="clear" w:color="auto" w:fill="FFFFFF"/>
        </w:rPr>
        <w:t xml:space="preserve"> Lake, a Ramsar Site in the Indo‐Myanmar Hotspot Region of Manipur Valley (India). </w:t>
      </w:r>
      <w:r w:rsidRPr="00BA1AFD">
        <w:rPr>
          <w:rFonts w:ascii="Times New Roman" w:hAnsi="Times New Roman" w:cs="Times New Roman"/>
          <w:i/>
          <w:iCs/>
          <w:color w:val="222222"/>
          <w:sz w:val="24"/>
          <w:szCs w:val="24"/>
          <w:shd w:val="clear" w:color="auto" w:fill="FFFFFF"/>
        </w:rPr>
        <w:t>Lakes &amp; Reservoirs: Research &amp; Management</w:t>
      </w:r>
      <w:r w:rsidRPr="00BA1AFD">
        <w:rPr>
          <w:rFonts w:ascii="Times New Roman" w:hAnsi="Times New Roman" w:cs="Times New Roman"/>
          <w:color w:val="222222"/>
          <w:sz w:val="24"/>
          <w:szCs w:val="24"/>
          <w:shd w:val="clear" w:color="auto" w:fill="FFFFFF"/>
        </w:rPr>
        <w:t>, </w:t>
      </w:r>
      <w:r w:rsidRPr="00BA1AFD">
        <w:rPr>
          <w:rFonts w:ascii="Times New Roman" w:hAnsi="Times New Roman" w:cs="Times New Roman"/>
          <w:i/>
          <w:iCs/>
          <w:color w:val="222222"/>
          <w:sz w:val="24"/>
          <w:szCs w:val="24"/>
          <w:shd w:val="clear" w:color="auto" w:fill="FFFFFF"/>
        </w:rPr>
        <w:t>30</w:t>
      </w:r>
      <w:r w:rsidRPr="00BA1AFD">
        <w:rPr>
          <w:rFonts w:ascii="Times New Roman" w:hAnsi="Times New Roman" w:cs="Times New Roman"/>
          <w:color w:val="222222"/>
          <w:sz w:val="24"/>
          <w:szCs w:val="24"/>
          <w:shd w:val="clear" w:color="auto" w:fill="FFFFFF"/>
        </w:rPr>
        <w:t>(1), e70010</w:t>
      </w:r>
      <w:r w:rsidRPr="00BA1AFD">
        <w:rPr>
          <w:rFonts w:ascii="Times New Roman" w:eastAsia="Times New Roman" w:hAnsi="Times New Roman" w:cs="Times New Roman"/>
          <w:sz w:val="24"/>
          <w:szCs w:val="24"/>
          <w:lang w:val="en-US"/>
        </w:rPr>
        <w:t xml:space="preserve">. </w:t>
      </w:r>
      <w:hyperlink r:id="rId20" w:history="1">
        <w:r w:rsidRPr="00BA1AFD">
          <w:rPr>
            <w:rStyle w:val="Hyperlink"/>
            <w:rFonts w:ascii="Times New Roman" w:eastAsia="Times New Roman" w:hAnsi="Times New Roman" w:cs="Times New Roman"/>
            <w:sz w:val="24"/>
            <w:szCs w:val="24"/>
            <w:lang w:val="en-US"/>
          </w:rPr>
          <w:t>https://doi.org/10.1111/lre.70010</w:t>
        </w:r>
      </w:hyperlink>
      <w:r w:rsidRPr="00BA1AFD">
        <w:rPr>
          <w:rFonts w:ascii="Times New Roman" w:eastAsia="Times New Roman" w:hAnsi="Times New Roman" w:cs="Times New Roman"/>
          <w:sz w:val="24"/>
          <w:szCs w:val="24"/>
          <w:lang w:val="en-US"/>
        </w:rPr>
        <w:t xml:space="preserve">  </w:t>
      </w:r>
    </w:p>
    <w:p w14:paraId="4C27364B" w14:textId="35387F5B" w:rsidR="00A5320E" w:rsidRPr="00BA1AFD" w:rsidRDefault="00A5320E" w:rsidP="00BA1AFD">
      <w:pPr>
        <w:pStyle w:val="ListParagraph"/>
        <w:numPr>
          <w:ilvl w:val="0"/>
          <w:numId w:val="22"/>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BA1AFD">
        <w:rPr>
          <w:rFonts w:ascii="Times New Roman" w:hAnsi="Times New Roman" w:cs="Times New Roman"/>
          <w:color w:val="222222"/>
          <w:sz w:val="24"/>
          <w:szCs w:val="24"/>
          <w:shd w:val="clear" w:color="auto" w:fill="FFFFFF"/>
        </w:rPr>
        <w:t xml:space="preserve">Mohan, R., </w:t>
      </w:r>
      <w:proofErr w:type="spellStart"/>
      <w:r w:rsidRPr="00BA1AFD">
        <w:rPr>
          <w:rFonts w:ascii="Times New Roman" w:hAnsi="Times New Roman" w:cs="Times New Roman"/>
          <w:color w:val="222222"/>
          <w:sz w:val="24"/>
          <w:szCs w:val="24"/>
          <w:shd w:val="clear" w:color="auto" w:fill="FFFFFF"/>
        </w:rPr>
        <w:t>Anjaly</w:t>
      </w:r>
      <w:proofErr w:type="spellEnd"/>
      <w:r w:rsidRPr="00BA1AFD">
        <w:rPr>
          <w:rFonts w:ascii="Times New Roman" w:hAnsi="Times New Roman" w:cs="Times New Roman"/>
          <w:color w:val="222222"/>
          <w:sz w:val="24"/>
          <w:szCs w:val="24"/>
          <w:shd w:val="clear" w:color="auto" w:fill="FFFFFF"/>
        </w:rPr>
        <w:t xml:space="preserve">, M. A., Thomas, L. C., &amp; </w:t>
      </w:r>
      <w:proofErr w:type="spellStart"/>
      <w:r w:rsidRPr="00BA1AFD">
        <w:rPr>
          <w:rFonts w:ascii="Times New Roman" w:hAnsi="Times New Roman" w:cs="Times New Roman"/>
          <w:color w:val="222222"/>
          <w:sz w:val="24"/>
          <w:szCs w:val="24"/>
          <w:shd w:val="clear" w:color="auto" w:fill="FFFFFF"/>
        </w:rPr>
        <w:t>Padmakumar</w:t>
      </w:r>
      <w:proofErr w:type="spellEnd"/>
      <w:r w:rsidRPr="00BA1AFD">
        <w:rPr>
          <w:rFonts w:ascii="Times New Roman" w:hAnsi="Times New Roman" w:cs="Times New Roman"/>
          <w:color w:val="222222"/>
          <w:sz w:val="24"/>
          <w:szCs w:val="24"/>
          <w:shd w:val="clear" w:color="auto" w:fill="FFFFFF"/>
        </w:rPr>
        <w:t xml:space="preserve">, K. B. (2023). Occurrence and toxicity </w:t>
      </w:r>
      <w:r w:rsidRPr="00BA1AFD">
        <w:rPr>
          <w:rFonts w:ascii="Times New Roman" w:hAnsi="Times New Roman" w:cs="Times New Roman"/>
          <w:color w:val="222222"/>
          <w:sz w:val="24"/>
          <w:szCs w:val="24"/>
          <w:highlight w:val="yellow"/>
          <w:shd w:val="clear" w:color="auto" w:fill="FFFFFF"/>
        </w:rPr>
        <w:t xml:space="preserve">of </w:t>
      </w:r>
      <w:r w:rsidR="004D1A76" w:rsidRPr="00BA1AFD">
        <w:rPr>
          <w:rFonts w:ascii="Times New Roman" w:hAnsi="Times New Roman" w:cs="Times New Roman"/>
          <w:i/>
          <w:color w:val="222222"/>
          <w:sz w:val="24"/>
          <w:szCs w:val="24"/>
          <w:highlight w:val="yellow"/>
          <w:shd w:val="clear" w:color="auto" w:fill="FFFFFF"/>
        </w:rPr>
        <w:t>C</w:t>
      </w:r>
      <w:r w:rsidRPr="00BA1AFD">
        <w:rPr>
          <w:rFonts w:ascii="Times New Roman" w:hAnsi="Times New Roman" w:cs="Times New Roman"/>
          <w:i/>
          <w:color w:val="222222"/>
          <w:sz w:val="24"/>
          <w:szCs w:val="24"/>
          <w:highlight w:val="yellow"/>
          <w:shd w:val="clear" w:color="auto" w:fill="FFFFFF"/>
        </w:rPr>
        <w:t>yanobacterium Microcystis aeruginosa</w:t>
      </w:r>
      <w:r w:rsidRPr="00BA1AFD">
        <w:rPr>
          <w:rFonts w:ascii="Times New Roman" w:hAnsi="Times New Roman" w:cs="Times New Roman"/>
          <w:color w:val="222222"/>
          <w:sz w:val="24"/>
          <w:szCs w:val="24"/>
          <w:highlight w:val="yellow"/>
          <w:shd w:val="clear" w:color="auto" w:fill="FFFFFF"/>
        </w:rPr>
        <w:t xml:space="preserve"> in freshwater ecosystems</w:t>
      </w:r>
      <w:r w:rsidRPr="00BA1AFD">
        <w:rPr>
          <w:rFonts w:ascii="Times New Roman" w:hAnsi="Times New Roman" w:cs="Times New Roman"/>
          <w:color w:val="222222"/>
          <w:sz w:val="24"/>
          <w:szCs w:val="24"/>
          <w:shd w:val="clear" w:color="auto" w:fill="FFFFFF"/>
        </w:rPr>
        <w:t xml:space="preserve"> of the Indian subcontinent: a review. </w:t>
      </w:r>
      <w:r w:rsidRPr="00BA1AFD">
        <w:rPr>
          <w:rFonts w:ascii="Times New Roman" w:hAnsi="Times New Roman" w:cs="Times New Roman"/>
          <w:i/>
          <w:iCs/>
          <w:color w:val="222222"/>
          <w:sz w:val="24"/>
          <w:szCs w:val="24"/>
          <w:shd w:val="clear" w:color="auto" w:fill="FFFFFF"/>
        </w:rPr>
        <w:t>Energy, Ecology and Environment</w:t>
      </w:r>
      <w:r w:rsidRPr="00BA1AFD">
        <w:rPr>
          <w:rFonts w:ascii="Times New Roman" w:hAnsi="Times New Roman" w:cs="Times New Roman"/>
          <w:color w:val="222222"/>
          <w:sz w:val="24"/>
          <w:szCs w:val="24"/>
          <w:shd w:val="clear" w:color="auto" w:fill="FFFFFF"/>
        </w:rPr>
        <w:t>, </w:t>
      </w:r>
      <w:r w:rsidRPr="00BA1AFD">
        <w:rPr>
          <w:rFonts w:ascii="Times New Roman" w:hAnsi="Times New Roman" w:cs="Times New Roman"/>
          <w:i/>
          <w:iCs/>
          <w:color w:val="222222"/>
          <w:sz w:val="24"/>
          <w:szCs w:val="24"/>
          <w:shd w:val="clear" w:color="auto" w:fill="FFFFFF"/>
        </w:rPr>
        <w:t>8</w:t>
      </w:r>
      <w:r w:rsidRPr="00BA1AFD">
        <w:rPr>
          <w:rFonts w:ascii="Times New Roman" w:hAnsi="Times New Roman" w:cs="Times New Roman"/>
          <w:color w:val="222222"/>
          <w:sz w:val="24"/>
          <w:szCs w:val="24"/>
          <w:shd w:val="clear" w:color="auto" w:fill="FFFFFF"/>
        </w:rPr>
        <w:t xml:space="preserve">(4), 332-343. </w:t>
      </w:r>
      <w:hyperlink r:id="rId21" w:history="1">
        <w:r w:rsidRPr="00BA1AFD">
          <w:rPr>
            <w:rStyle w:val="Hyperlink"/>
            <w:rFonts w:ascii="Times New Roman" w:hAnsi="Times New Roman" w:cs="Times New Roman"/>
            <w:sz w:val="24"/>
            <w:szCs w:val="24"/>
            <w:shd w:val="clear" w:color="auto" w:fill="FFFFFF"/>
          </w:rPr>
          <w:t>https://doi.org/10.1007/s40974-023-00277-6</w:t>
        </w:r>
      </w:hyperlink>
      <w:r w:rsidRPr="00BA1AFD">
        <w:rPr>
          <w:rFonts w:ascii="Times New Roman" w:hAnsi="Times New Roman" w:cs="Times New Roman"/>
          <w:color w:val="222222"/>
          <w:sz w:val="24"/>
          <w:szCs w:val="24"/>
          <w:shd w:val="clear" w:color="auto" w:fill="FFFFFF"/>
        </w:rPr>
        <w:t xml:space="preserve"> </w:t>
      </w:r>
    </w:p>
    <w:p w14:paraId="175AC7F8" w14:textId="77777777" w:rsidR="00A5320E" w:rsidRPr="00BA1AFD" w:rsidRDefault="00A5320E" w:rsidP="00BA1AFD">
      <w:pPr>
        <w:pStyle w:val="ListParagraph"/>
        <w:numPr>
          <w:ilvl w:val="0"/>
          <w:numId w:val="22"/>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proofErr w:type="spellStart"/>
      <w:r w:rsidRPr="00BA1AFD">
        <w:rPr>
          <w:rFonts w:ascii="Times New Roman" w:hAnsi="Times New Roman" w:cs="Times New Roman"/>
          <w:color w:val="222222"/>
          <w:sz w:val="24"/>
          <w:szCs w:val="24"/>
          <w:shd w:val="clear" w:color="auto" w:fill="FFFFFF"/>
        </w:rPr>
        <w:t>Maniyar</w:t>
      </w:r>
      <w:proofErr w:type="spellEnd"/>
      <w:r w:rsidRPr="00BA1AFD">
        <w:rPr>
          <w:rFonts w:ascii="Times New Roman" w:hAnsi="Times New Roman" w:cs="Times New Roman"/>
          <w:color w:val="222222"/>
          <w:sz w:val="24"/>
          <w:szCs w:val="24"/>
          <w:shd w:val="clear" w:color="auto" w:fill="FFFFFF"/>
        </w:rPr>
        <w:t>, C. B., Kumar, A., &amp; Mishra, D. R. (2022). Continuous and synoptic assessment of Indian inland waters for harmful algae blooms. </w:t>
      </w:r>
      <w:r w:rsidRPr="00BA1AFD">
        <w:rPr>
          <w:rFonts w:ascii="Times New Roman" w:hAnsi="Times New Roman" w:cs="Times New Roman"/>
          <w:i/>
          <w:iCs/>
          <w:color w:val="222222"/>
          <w:sz w:val="24"/>
          <w:szCs w:val="24"/>
          <w:shd w:val="clear" w:color="auto" w:fill="FFFFFF"/>
        </w:rPr>
        <w:t>Harmful Algae</w:t>
      </w:r>
      <w:r w:rsidRPr="00BA1AFD">
        <w:rPr>
          <w:rFonts w:ascii="Times New Roman" w:hAnsi="Times New Roman" w:cs="Times New Roman"/>
          <w:color w:val="222222"/>
          <w:sz w:val="24"/>
          <w:szCs w:val="24"/>
          <w:shd w:val="clear" w:color="auto" w:fill="FFFFFF"/>
        </w:rPr>
        <w:t>, </w:t>
      </w:r>
      <w:r w:rsidRPr="00BA1AFD">
        <w:rPr>
          <w:rFonts w:ascii="Times New Roman" w:hAnsi="Times New Roman" w:cs="Times New Roman"/>
          <w:i/>
          <w:iCs/>
          <w:color w:val="222222"/>
          <w:sz w:val="24"/>
          <w:szCs w:val="24"/>
          <w:shd w:val="clear" w:color="auto" w:fill="FFFFFF"/>
        </w:rPr>
        <w:t>111</w:t>
      </w:r>
      <w:r w:rsidRPr="00BA1AFD">
        <w:rPr>
          <w:rFonts w:ascii="Times New Roman" w:hAnsi="Times New Roman" w:cs="Times New Roman"/>
          <w:color w:val="222222"/>
          <w:sz w:val="24"/>
          <w:szCs w:val="24"/>
          <w:shd w:val="clear" w:color="auto" w:fill="FFFFFF"/>
        </w:rPr>
        <w:t xml:space="preserve">, 102160. </w:t>
      </w:r>
      <w:hyperlink r:id="rId22" w:history="1">
        <w:r w:rsidRPr="00BA1AFD">
          <w:rPr>
            <w:rStyle w:val="Hyperlink"/>
            <w:rFonts w:ascii="Times New Roman" w:hAnsi="Times New Roman" w:cs="Times New Roman"/>
            <w:sz w:val="24"/>
            <w:szCs w:val="24"/>
            <w:shd w:val="clear" w:color="auto" w:fill="FFFFFF"/>
          </w:rPr>
          <w:t>https://doi.org/10.1016/j.hal.2021.102160</w:t>
        </w:r>
      </w:hyperlink>
      <w:r w:rsidRPr="00BA1AFD">
        <w:rPr>
          <w:rFonts w:ascii="Times New Roman" w:hAnsi="Times New Roman" w:cs="Times New Roman"/>
          <w:color w:val="222222"/>
          <w:sz w:val="24"/>
          <w:szCs w:val="24"/>
          <w:shd w:val="clear" w:color="auto" w:fill="FFFFFF"/>
        </w:rPr>
        <w:t xml:space="preserve"> </w:t>
      </w:r>
    </w:p>
    <w:p w14:paraId="10B63E14" w14:textId="77777777" w:rsidR="00A5320E" w:rsidRPr="00BA1AFD" w:rsidRDefault="00A5320E" w:rsidP="00BA1AFD">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BA1AFD">
        <w:rPr>
          <w:rFonts w:ascii="Times New Roman" w:hAnsi="Times New Roman" w:cs="Times New Roman"/>
          <w:color w:val="222222"/>
          <w:sz w:val="24"/>
          <w:szCs w:val="24"/>
          <w:shd w:val="clear" w:color="auto" w:fill="FFFFFF"/>
        </w:rPr>
        <w:t>Maske</w:t>
      </w:r>
      <w:proofErr w:type="spellEnd"/>
      <w:r w:rsidRPr="00BA1AFD">
        <w:rPr>
          <w:rFonts w:ascii="Times New Roman" w:hAnsi="Times New Roman" w:cs="Times New Roman"/>
          <w:color w:val="222222"/>
          <w:sz w:val="24"/>
          <w:szCs w:val="24"/>
          <w:shd w:val="clear" w:color="auto" w:fill="FFFFFF"/>
        </w:rPr>
        <w:t xml:space="preserve">, S. S., </w:t>
      </w:r>
      <w:proofErr w:type="spellStart"/>
      <w:r w:rsidRPr="00BA1AFD">
        <w:rPr>
          <w:rFonts w:ascii="Times New Roman" w:hAnsi="Times New Roman" w:cs="Times New Roman"/>
          <w:color w:val="222222"/>
          <w:sz w:val="24"/>
          <w:szCs w:val="24"/>
          <w:shd w:val="clear" w:color="auto" w:fill="FFFFFF"/>
        </w:rPr>
        <w:t>Sangolkar</w:t>
      </w:r>
      <w:proofErr w:type="spellEnd"/>
      <w:r w:rsidRPr="00BA1AFD">
        <w:rPr>
          <w:rFonts w:ascii="Times New Roman" w:hAnsi="Times New Roman" w:cs="Times New Roman"/>
          <w:color w:val="222222"/>
          <w:sz w:val="24"/>
          <w:szCs w:val="24"/>
          <w:shd w:val="clear" w:color="auto" w:fill="FFFFFF"/>
        </w:rPr>
        <w:t>, L. N., &amp; Chakrabarti, T. (2010). Temporal variation in density and diversity of cyanobacteria and cyanotoxins in lakes at Nagpur (Maharashtra State), India. </w:t>
      </w:r>
      <w:r w:rsidRPr="00BA1AFD">
        <w:rPr>
          <w:rFonts w:ascii="Times New Roman" w:hAnsi="Times New Roman" w:cs="Times New Roman"/>
          <w:i/>
          <w:iCs/>
          <w:color w:val="222222"/>
          <w:sz w:val="24"/>
          <w:szCs w:val="24"/>
          <w:shd w:val="clear" w:color="auto" w:fill="FFFFFF"/>
        </w:rPr>
        <w:t>Environmental monitoring and assessment</w:t>
      </w:r>
      <w:r w:rsidRPr="00BA1AFD">
        <w:rPr>
          <w:rFonts w:ascii="Times New Roman" w:hAnsi="Times New Roman" w:cs="Times New Roman"/>
          <w:color w:val="222222"/>
          <w:sz w:val="24"/>
          <w:szCs w:val="24"/>
          <w:shd w:val="clear" w:color="auto" w:fill="FFFFFF"/>
        </w:rPr>
        <w:t>, </w:t>
      </w:r>
      <w:r w:rsidRPr="00BA1AFD">
        <w:rPr>
          <w:rFonts w:ascii="Times New Roman" w:hAnsi="Times New Roman" w:cs="Times New Roman"/>
          <w:i/>
          <w:iCs/>
          <w:color w:val="222222"/>
          <w:sz w:val="24"/>
          <w:szCs w:val="24"/>
          <w:shd w:val="clear" w:color="auto" w:fill="FFFFFF"/>
        </w:rPr>
        <w:t>169</w:t>
      </w:r>
      <w:r w:rsidRPr="00BA1AFD">
        <w:rPr>
          <w:rFonts w:ascii="Times New Roman" w:hAnsi="Times New Roman" w:cs="Times New Roman"/>
          <w:color w:val="222222"/>
          <w:sz w:val="24"/>
          <w:szCs w:val="24"/>
          <w:shd w:val="clear" w:color="auto" w:fill="FFFFFF"/>
        </w:rPr>
        <w:t xml:space="preserve">(1), 299-308. </w:t>
      </w:r>
      <w:hyperlink r:id="rId23" w:history="1">
        <w:r w:rsidRPr="00BA1AFD">
          <w:rPr>
            <w:rStyle w:val="Hyperlink"/>
            <w:rFonts w:ascii="Times New Roman" w:hAnsi="Times New Roman" w:cs="Times New Roman"/>
            <w:sz w:val="24"/>
            <w:szCs w:val="24"/>
            <w:shd w:val="clear" w:color="auto" w:fill="FFFFFF"/>
          </w:rPr>
          <w:t>https://doi.org/10.1007/s10661-009-1171-7</w:t>
        </w:r>
      </w:hyperlink>
      <w:r w:rsidRPr="00BA1AFD">
        <w:rPr>
          <w:rFonts w:ascii="Times New Roman" w:hAnsi="Times New Roman" w:cs="Times New Roman"/>
          <w:color w:val="222222"/>
          <w:sz w:val="24"/>
          <w:szCs w:val="24"/>
          <w:shd w:val="clear" w:color="auto" w:fill="FFFFFF"/>
        </w:rPr>
        <w:t xml:space="preserve"> </w:t>
      </w:r>
    </w:p>
    <w:p w14:paraId="3A783598" w14:textId="77777777" w:rsidR="00A5320E" w:rsidRPr="00BA1AFD" w:rsidRDefault="00A5320E" w:rsidP="00BA1AFD">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BA1AFD">
        <w:rPr>
          <w:rFonts w:ascii="Times New Roman" w:hAnsi="Times New Roman" w:cs="Times New Roman"/>
          <w:color w:val="222222"/>
          <w:sz w:val="24"/>
          <w:szCs w:val="24"/>
          <w:shd w:val="clear" w:color="auto" w:fill="FFFFFF"/>
        </w:rPr>
        <w:t xml:space="preserve">Padua, S., Kripa, V., </w:t>
      </w:r>
      <w:proofErr w:type="spellStart"/>
      <w:r w:rsidRPr="00BA1AFD">
        <w:rPr>
          <w:rFonts w:ascii="Times New Roman" w:hAnsi="Times New Roman" w:cs="Times New Roman"/>
          <w:color w:val="222222"/>
          <w:sz w:val="24"/>
          <w:szCs w:val="24"/>
          <w:shd w:val="clear" w:color="auto" w:fill="FFFFFF"/>
        </w:rPr>
        <w:t>Prema</w:t>
      </w:r>
      <w:proofErr w:type="spellEnd"/>
      <w:r w:rsidRPr="00BA1AFD">
        <w:rPr>
          <w:rFonts w:ascii="Times New Roman" w:hAnsi="Times New Roman" w:cs="Times New Roman"/>
          <w:color w:val="222222"/>
          <w:sz w:val="24"/>
          <w:szCs w:val="24"/>
          <w:shd w:val="clear" w:color="auto" w:fill="FFFFFF"/>
        </w:rPr>
        <w:t xml:space="preserve">, D., Mohamed, K. S., </w:t>
      </w:r>
      <w:proofErr w:type="spellStart"/>
      <w:r w:rsidRPr="00BA1AFD">
        <w:rPr>
          <w:rFonts w:ascii="Times New Roman" w:hAnsi="Times New Roman" w:cs="Times New Roman"/>
          <w:color w:val="222222"/>
          <w:sz w:val="24"/>
          <w:szCs w:val="24"/>
          <w:shd w:val="clear" w:color="auto" w:fill="FFFFFF"/>
        </w:rPr>
        <w:t>Jeyabaskaran</w:t>
      </w:r>
      <w:proofErr w:type="spellEnd"/>
      <w:r w:rsidRPr="00BA1AFD">
        <w:rPr>
          <w:rFonts w:ascii="Times New Roman" w:hAnsi="Times New Roman" w:cs="Times New Roman"/>
          <w:color w:val="222222"/>
          <w:sz w:val="24"/>
          <w:szCs w:val="24"/>
          <w:shd w:val="clear" w:color="auto" w:fill="FFFFFF"/>
        </w:rPr>
        <w:t xml:space="preserve">, R., </w:t>
      </w:r>
      <w:proofErr w:type="spellStart"/>
      <w:r w:rsidRPr="00BA1AFD">
        <w:rPr>
          <w:rFonts w:ascii="Times New Roman" w:hAnsi="Times New Roman" w:cs="Times New Roman"/>
          <w:color w:val="222222"/>
          <w:sz w:val="24"/>
          <w:szCs w:val="24"/>
          <w:shd w:val="clear" w:color="auto" w:fill="FFFFFF"/>
        </w:rPr>
        <w:t>Kaladharan</w:t>
      </w:r>
      <w:proofErr w:type="spellEnd"/>
      <w:r w:rsidRPr="00BA1AFD">
        <w:rPr>
          <w:rFonts w:ascii="Times New Roman" w:hAnsi="Times New Roman" w:cs="Times New Roman"/>
          <w:color w:val="222222"/>
          <w:sz w:val="24"/>
          <w:szCs w:val="24"/>
          <w:shd w:val="clear" w:color="auto" w:fill="FFFFFF"/>
        </w:rPr>
        <w:t xml:space="preserve">, P., ... &amp; </w:t>
      </w:r>
      <w:proofErr w:type="spellStart"/>
      <w:r w:rsidRPr="00BA1AFD">
        <w:rPr>
          <w:rFonts w:ascii="Times New Roman" w:hAnsi="Times New Roman" w:cs="Times New Roman"/>
          <w:color w:val="222222"/>
          <w:sz w:val="24"/>
          <w:szCs w:val="24"/>
          <w:shd w:val="clear" w:color="auto" w:fill="FFFFFF"/>
        </w:rPr>
        <w:t>Babu</w:t>
      </w:r>
      <w:proofErr w:type="spellEnd"/>
      <w:r w:rsidRPr="00BA1AFD">
        <w:rPr>
          <w:rFonts w:ascii="Times New Roman" w:hAnsi="Times New Roman" w:cs="Times New Roman"/>
          <w:color w:val="222222"/>
          <w:sz w:val="24"/>
          <w:szCs w:val="24"/>
          <w:shd w:val="clear" w:color="auto" w:fill="FFFFFF"/>
        </w:rPr>
        <w:t xml:space="preserve">, A. (2023). Assessment of ecosystem health of a micro-level Ramsar coastal zone in the </w:t>
      </w:r>
      <w:proofErr w:type="spellStart"/>
      <w:r w:rsidRPr="00BA1AFD">
        <w:rPr>
          <w:rFonts w:ascii="Times New Roman" w:hAnsi="Times New Roman" w:cs="Times New Roman"/>
          <w:color w:val="222222"/>
          <w:sz w:val="24"/>
          <w:szCs w:val="24"/>
          <w:shd w:val="clear" w:color="auto" w:fill="FFFFFF"/>
        </w:rPr>
        <w:t>Vembanad</w:t>
      </w:r>
      <w:proofErr w:type="spellEnd"/>
      <w:r w:rsidRPr="00BA1AFD">
        <w:rPr>
          <w:rFonts w:ascii="Times New Roman" w:hAnsi="Times New Roman" w:cs="Times New Roman"/>
          <w:color w:val="222222"/>
          <w:sz w:val="24"/>
          <w:szCs w:val="24"/>
          <w:shd w:val="clear" w:color="auto" w:fill="FFFFFF"/>
        </w:rPr>
        <w:t xml:space="preserve"> Lake, Kerala, India. </w:t>
      </w:r>
      <w:r w:rsidRPr="00BA1AFD">
        <w:rPr>
          <w:rFonts w:ascii="Times New Roman" w:hAnsi="Times New Roman" w:cs="Times New Roman"/>
          <w:i/>
          <w:iCs/>
          <w:color w:val="222222"/>
          <w:sz w:val="24"/>
          <w:szCs w:val="24"/>
          <w:shd w:val="clear" w:color="auto" w:fill="FFFFFF"/>
        </w:rPr>
        <w:t>Environmental Monitoring and Assessment</w:t>
      </w:r>
      <w:r w:rsidRPr="00BA1AFD">
        <w:rPr>
          <w:rFonts w:ascii="Times New Roman" w:hAnsi="Times New Roman" w:cs="Times New Roman"/>
          <w:color w:val="222222"/>
          <w:sz w:val="24"/>
          <w:szCs w:val="24"/>
          <w:shd w:val="clear" w:color="auto" w:fill="FFFFFF"/>
        </w:rPr>
        <w:t>, </w:t>
      </w:r>
      <w:r w:rsidRPr="00BA1AFD">
        <w:rPr>
          <w:rFonts w:ascii="Times New Roman" w:hAnsi="Times New Roman" w:cs="Times New Roman"/>
          <w:i/>
          <w:iCs/>
          <w:color w:val="222222"/>
          <w:sz w:val="24"/>
          <w:szCs w:val="24"/>
          <w:shd w:val="clear" w:color="auto" w:fill="FFFFFF"/>
        </w:rPr>
        <w:t>195</w:t>
      </w:r>
      <w:r w:rsidRPr="00BA1AFD">
        <w:rPr>
          <w:rFonts w:ascii="Times New Roman" w:hAnsi="Times New Roman" w:cs="Times New Roman"/>
          <w:color w:val="222222"/>
          <w:sz w:val="24"/>
          <w:szCs w:val="24"/>
          <w:shd w:val="clear" w:color="auto" w:fill="FFFFFF"/>
        </w:rPr>
        <w:t xml:space="preserve">(1), </w:t>
      </w:r>
      <w:proofErr w:type="gramStart"/>
      <w:r w:rsidRPr="00BA1AFD">
        <w:rPr>
          <w:rFonts w:ascii="Times New Roman" w:hAnsi="Times New Roman" w:cs="Times New Roman"/>
          <w:color w:val="222222"/>
          <w:sz w:val="24"/>
          <w:szCs w:val="24"/>
          <w:shd w:val="clear" w:color="auto" w:fill="FFFFFF"/>
        </w:rPr>
        <w:t>95.</w:t>
      </w:r>
      <w:r w:rsidRPr="00BA1AFD">
        <w:rPr>
          <w:rFonts w:ascii="Times New Roman" w:eastAsia="Times New Roman" w:hAnsi="Times New Roman" w:cs="Times New Roman"/>
          <w:sz w:val="24"/>
          <w:szCs w:val="24"/>
          <w:lang w:val="en-US"/>
        </w:rPr>
        <w:t>.</w:t>
      </w:r>
      <w:proofErr w:type="gramEnd"/>
      <w:r w:rsidRPr="00BA1AFD">
        <w:rPr>
          <w:rFonts w:ascii="Times New Roman" w:eastAsia="Times New Roman" w:hAnsi="Times New Roman" w:cs="Times New Roman"/>
          <w:sz w:val="24"/>
          <w:szCs w:val="24"/>
          <w:lang w:val="en-US"/>
        </w:rPr>
        <w:t xml:space="preserve"> </w:t>
      </w:r>
      <w:hyperlink r:id="rId24" w:history="1">
        <w:r w:rsidRPr="00BA1AFD">
          <w:rPr>
            <w:rStyle w:val="Hyperlink"/>
            <w:rFonts w:ascii="Times New Roman" w:eastAsia="Times New Roman" w:hAnsi="Times New Roman" w:cs="Times New Roman"/>
            <w:sz w:val="24"/>
            <w:szCs w:val="24"/>
            <w:lang w:val="en-US"/>
          </w:rPr>
          <w:t>https://doi.org/10.1007/s10661-022-10692-7</w:t>
        </w:r>
      </w:hyperlink>
      <w:r w:rsidRPr="00BA1AFD">
        <w:rPr>
          <w:rFonts w:ascii="Times New Roman" w:eastAsia="Times New Roman" w:hAnsi="Times New Roman" w:cs="Times New Roman"/>
          <w:sz w:val="24"/>
          <w:szCs w:val="24"/>
          <w:lang w:val="en-US"/>
        </w:rPr>
        <w:t xml:space="preserve">  </w:t>
      </w:r>
    </w:p>
    <w:p w14:paraId="30ACE821" w14:textId="77777777" w:rsidR="00A5320E" w:rsidRPr="00BA1AFD" w:rsidRDefault="00A5320E" w:rsidP="00BA1AFD">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BA1AFD">
        <w:rPr>
          <w:rFonts w:ascii="Times New Roman" w:hAnsi="Times New Roman" w:cs="Times New Roman"/>
          <w:color w:val="222222"/>
          <w:sz w:val="24"/>
          <w:szCs w:val="24"/>
          <w:shd w:val="clear" w:color="auto" w:fill="FFFFFF"/>
        </w:rPr>
        <w:t>Paerl</w:t>
      </w:r>
      <w:proofErr w:type="spellEnd"/>
      <w:r w:rsidRPr="00BA1AFD">
        <w:rPr>
          <w:rFonts w:ascii="Times New Roman" w:hAnsi="Times New Roman" w:cs="Times New Roman"/>
          <w:color w:val="222222"/>
          <w:sz w:val="24"/>
          <w:szCs w:val="24"/>
          <w:shd w:val="clear" w:color="auto" w:fill="FFFFFF"/>
        </w:rPr>
        <w:t xml:space="preserve">, H. W., Scott, J. T., McCarthy, M. J., Newell, S. E., Gardner, W. S., Havens, K. E., ... &amp; </w:t>
      </w:r>
      <w:proofErr w:type="spellStart"/>
      <w:r w:rsidRPr="00BA1AFD">
        <w:rPr>
          <w:rFonts w:ascii="Times New Roman" w:hAnsi="Times New Roman" w:cs="Times New Roman"/>
          <w:color w:val="222222"/>
          <w:sz w:val="24"/>
          <w:szCs w:val="24"/>
          <w:shd w:val="clear" w:color="auto" w:fill="FFFFFF"/>
        </w:rPr>
        <w:t>Wurtsbaugh</w:t>
      </w:r>
      <w:proofErr w:type="spellEnd"/>
      <w:r w:rsidRPr="00BA1AFD">
        <w:rPr>
          <w:rFonts w:ascii="Times New Roman" w:hAnsi="Times New Roman" w:cs="Times New Roman"/>
          <w:color w:val="222222"/>
          <w:sz w:val="24"/>
          <w:szCs w:val="24"/>
          <w:shd w:val="clear" w:color="auto" w:fill="FFFFFF"/>
        </w:rPr>
        <w:t>, W. A. (2016). It takes two to tango: when and where dual nutrient (N &amp; P) reductions are needed to protect lakes and downstream ecosystems. </w:t>
      </w:r>
      <w:r w:rsidRPr="00BA1AFD">
        <w:rPr>
          <w:rFonts w:ascii="Times New Roman" w:hAnsi="Times New Roman" w:cs="Times New Roman"/>
          <w:i/>
          <w:iCs/>
          <w:color w:val="222222"/>
          <w:sz w:val="24"/>
          <w:szCs w:val="24"/>
          <w:shd w:val="clear" w:color="auto" w:fill="FFFFFF"/>
        </w:rPr>
        <w:t>Environmental science &amp; technology</w:t>
      </w:r>
      <w:r w:rsidRPr="00BA1AFD">
        <w:rPr>
          <w:rFonts w:ascii="Times New Roman" w:hAnsi="Times New Roman" w:cs="Times New Roman"/>
          <w:color w:val="222222"/>
          <w:sz w:val="24"/>
          <w:szCs w:val="24"/>
          <w:shd w:val="clear" w:color="auto" w:fill="FFFFFF"/>
        </w:rPr>
        <w:t>, </w:t>
      </w:r>
      <w:r w:rsidRPr="00BA1AFD">
        <w:rPr>
          <w:rFonts w:ascii="Times New Roman" w:hAnsi="Times New Roman" w:cs="Times New Roman"/>
          <w:i/>
          <w:iCs/>
          <w:color w:val="222222"/>
          <w:sz w:val="24"/>
          <w:szCs w:val="24"/>
          <w:shd w:val="clear" w:color="auto" w:fill="FFFFFF"/>
        </w:rPr>
        <w:t>50</w:t>
      </w:r>
      <w:r w:rsidRPr="00BA1AFD">
        <w:rPr>
          <w:rFonts w:ascii="Times New Roman" w:hAnsi="Times New Roman" w:cs="Times New Roman"/>
          <w:color w:val="222222"/>
          <w:sz w:val="24"/>
          <w:szCs w:val="24"/>
          <w:shd w:val="clear" w:color="auto" w:fill="FFFFFF"/>
        </w:rPr>
        <w:t>(20), 10805-</w:t>
      </w:r>
      <w:proofErr w:type="gramStart"/>
      <w:r w:rsidRPr="00BA1AFD">
        <w:rPr>
          <w:rFonts w:ascii="Times New Roman" w:hAnsi="Times New Roman" w:cs="Times New Roman"/>
          <w:color w:val="222222"/>
          <w:sz w:val="24"/>
          <w:szCs w:val="24"/>
          <w:shd w:val="clear" w:color="auto" w:fill="FFFFFF"/>
        </w:rPr>
        <w:t>10813.</w:t>
      </w:r>
      <w:r w:rsidRPr="00BA1AFD">
        <w:rPr>
          <w:rFonts w:ascii="Times New Roman" w:eastAsia="Times New Roman" w:hAnsi="Times New Roman" w:cs="Times New Roman"/>
          <w:sz w:val="24"/>
          <w:szCs w:val="24"/>
          <w:lang w:val="en-US"/>
        </w:rPr>
        <w:t>.</w:t>
      </w:r>
      <w:proofErr w:type="gramEnd"/>
      <w:r w:rsidRPr="00BA1AFD">
        <w:rPr>
          <w:rFonts w:ascii="Times New Roman" w:eastAsia="Times New Roman" w:hAnsi="Times New Roman" w:cs="Times New Roman"/>
          <w:sz w:val="24"/>
          <w:szCs w:val="24"/>
          <w:lang w:val="en-US"/>
        </w:rPr>
        <w:t xml:space="preserve"> </w:t>
      </w:r>
      <w:hyperlink r:id="rId25" w:history="1">
        <w:r w:rsidRPr="00BA1AFD">
          <w:rPr>
            <w:rStyle w:val="Hyperlink"/>
            <w:rFonts w:ascii="Times New Roman" w:eastAsia="Times New Roman" w:hAnsi="Times New Roman" w:cs="Times New Roman"/>
            <w:sz w:val="24"/>
            <w:szCs w:val="24"/>
            <w:lang w:val="en-US"/>
          </w:rPr>
          <w:t>https://doi.org/10.1021/acs.est.6b02575</w:t>
        </w:r>
      </w:hyperlink>
      <w:r w:rsidRPr="00BA1AFD">
        <w:rPr>
          <w:rFonts w:ascii="Times New Roman" w:eastAsia="Times New Roman" w:hAnsi="Times New Roman" w:cs="Times New Roman"/>
          <w:sz w:val="24"/>
          <w:szCs w:val="24"/>
          <w:lang w:val="en-US"/>
        </w:rPr>
        <w:t xml:space="preserve">  </w:t>
      </w:r>
    </w:p>
    <w:p w14:paraId="745200A5" w14:textId="77777777" w:rsidR="00A5320E" w:rsidRPr="00BA1AFD" w:rsidRDefault="00A5320E" w:rsidP="00BA1AFD">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BA1AFD">
        <w:rPr>
          <w:rFonts w:ascii="Times New Roman" w:hAnsi="Times New Roman" w:cs="Times New Roman"/>
          <w:color w:val="222222"/>
          <w:sz w:val="24"/>
          <w:szCs w:val="24"/>
          <w:shd w:val="clear" w:color="auto" w:fill="FFFFFF"/>
        </w:rPr>
        <w:lastRenderedPageBreak/>
        <w:t xml:space="preserve">Park, Y., </w:t>
      </w:r>
      <w:proofErr w:type="spellStart"/>
      <w:r w:rsidRPr="00BA1AFD">
        <w:rPr>
          <w:rFonts w:ascii="Times New Roman" w:hAnsi="Times New Roman" w:cs="Times New Roman"/>
          <w:color w:val="222222"/>
          <w:sz w:val="24"/>
          <w:szCs w:val="24"/>
          <w:shd w:val="clear" w:color="auto" w:fill="FFFFFF"/>
        </w:rPr>
        <w:t>Pyo</w:t>
      </w:r>
      <w:proofErr w:type="spellEnd"/>
      <w:r w:rsidRPr="00BA1AFD">
        <w:rPr>
          <w:rFonts w:ascii="Times New Roman" w:hAnsi="Times New Roman" w:cs="Times New Roman"/>
          <w:color w:val="222222"/>
          <w:sz w:val="24"/>
          <w:szCs w:val="24"/>
          <w:shd w:val="clear" w:color="auto" w:fill="FFFFFF"/>
        </w:rPr>
        <w:t xml:space="preserve">, J., Kwon, Y. S., Cha, Y., Lee, H., Kang, T., &amp; Cho, K. H. (2017). Evaluating </w:t>
      </w:r>
      <w:proofErr w:type="spellStart"/>
      <w:r w:rsidRPr="00BA1AFD">
        <w:rPr>
          <w:rFonts w:ascii="Times New Roman" w:hAnsi="Times New Roman" w:cs="Times New Roman"/>
          <w:color w:val="222222"/>
          <w:sz w:val="24"/>
          <w:szCs w:val="24"/>
          <w:shd w:val="clear" w:color="auto" w:fill="FFFFFF"/>
        </w:rPr>
        <w:t>physico</w:t>
      </w:r>
      <w:proofErr w:type="spellEnd"/>
      <w:r w:rsidRPr="00BA1AFD">
        <w:rPr>
          <w:rFonts w:ascii="Times New Roman" w:hAnsi="Times New Roman" w:cs="Times New Roman"/>
          <w:color w:val="222222"/>
          <w:sz w:val="24"/>
          <w:szCs w:val="24"/>
          <w:shd w:val="clear" w:color="auto" w:fill="FFFFFF"/>
        </w:rPr>
        <w:t>-chemical influences on cyanobacterial blooms using hyperspectral images in inland water, Korea. </w:t>
      </w:r>
      <w:r w:rsidRPr="00BA1AFD">
        <w:rPr>
          <w:rFonts w:ascii="Times New Roman" w:hAnsi="Times New Roman" w:cs="Times New Roman"/>
          <w:i/>
          <w:iCs/>
          <w:color w:val="222222"/>
          <w:sz w:val="24"/>
          <w:szCs w:val="24"/>
          <w:shd w:val="clear" w:color="auto" w:fill="FFFFFF"/>
        </w:rPr>
        <w:t>Water research</w:t>
      </w:r>
      <w:r w:rsidRPr="00BA1AFD">
        <w:rPr>
          <w:rFonts w:ascii="Times New Roman" w:hAnsi="Times New Roman" w:cs="Times New Roman"/>
          <w:color w:val="222222"/>
          <w:sz w:val="24"/>
          <w:szCs w:val="24"/>
          <w:shd w:val="clear" w:color="auto" w:fill="FFFFFF"/>
        </w:rPr>
        <w:t>, </w:t>
      </w:r>
      <w:r w:rsidRPr="00BA1AFD">
        <w:rPr>
          <w:rFonts w:ascii="Times New Roman" w:hAnsi="Times New Roman" w:cs="Times New Roman"/>
          <w:i/>
          <w:iCs/>
          <w:color w:val="222222"/>
          <w:sz w:val="24"/>
          <w:szCs w:val="24"/>
          <w:shd w:val="clear" w:color="auto" w:fill="FFFFFF"/>
        </w:rPr>
        <w:t>126</w:t>
      </w:r>
      <w:r w:rsidRPr="00BA1AFD">
        <w:rPr>
          <w:rFonts w:ascii="Times New Roman" w:hAnsi="Times New Roman" w:cs="Times New Roman"/>
          <w:color w:val="222222"/>
          <w:sz w:val="24"/>
          <w:szCs w:val="24"/>
          <w:shd w:val="clear" w:color="auto" w:fill="FFFFFF"/>
        </w:rPr>
        <w:t>, 319-</w:t>
      </w:r>
      <w:proofErr w:type="gramStart"/>
      <w:r w:rsidRPr="00BA1AFD">
        <w:rPr>
          <w:rFonts w:ascii="Times New Roman" w:hAnsi="Times New Roman" w:cs="Times New Roman"/>
          <w:color w:val="222222"/>
          <w:sz w:val="24"/>
          <w:szCs w:val="24"/>
          <w:shd w:val="clear" w:color="auto" w:fill="FFFFFF"/>
        </w:rPr>
        <w:t>328.</w:t>
      </w:r>
      <w:r w:rsidRPr="00BA1AFD">
        <w:rPr>
          <w:rFonts w:ascii="Times New Roman" w:eastAsia="Times New Roman" w:hAnsi="Times New Roman" w:cs="Times New Roman"/>
          <w:sz w:val="24"/>
          <w:szCs w:val="24"/>
          <w:lang w:val="en-US"/>
        </w:rPr>
        <w:t>.</w:t>
      </w:r>
      <w:proofErr w:type="gramEnd"/>
      <w:r w:rsidRPr="00BA1AFD">
        <w:rPr>
          <w:rFonts w:ascii="Times New Roman" w:eastAsia="Times New Roman" w:hAnsi="Times New Roman" w:cs="Times New Roman"/>
          <w:sz w:val="24"/>
          <w:szCs w:val="24"/>
          <w:lang w:val="en-US"/>
        </w:rPr>
        <w:t xml:space="preserve"> </w:t>
      </w:r>
      <w:hyperlink r:id="rId26" w:history="1">
        <w:r w:rsidRPr="00BA1AFD">
          <w:rPr>
            <w:rStyle w:val="Hyperlink"/>
            <w:rFonts w:ascii="Times New Roman" w:eastAsia="Times New Roman" w:hAnsi="Times New Roman" w:cs="Times New Roman"/>
            <w:sz w:val="24"/>
            <w:szCs w:val="24"/>
            <w:lang w:val="en-US"/>
          </w:rPr>
          <w:t>https://doi.org/10.1016/j.watres.2017.09.026</w:t>
        </w:r>
      </w:hyperlink>
      <w:r w:rsidRPr="00BA1AFD">
        <w:rPr>
          <w:rFonts w:ascii="Times New Roman" w:eastAsia="Times New Roman" w:hAnsi="Times New Roman" w:cs="Times New Roman"/>
          <w:sz w:val="24"/>
          <w:szCs w:val="24"/>
          <w:lang w:val="en-US"/>
        </w:rPr>
        <w:t xml:space="preserve"> </w:t>
      </w:r>
    </w:p>
    <w:p w14:paraId="08EF9ECC" w14:textId="77777777" w:rsidR="00A5320E" w:rsidRPr="00BA1AFD" w:rsidRDefault="00A5320E" w:rsidP="00BA1AFD">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BA1AFD">
        <w:rPr>
          <w:rFonts w:ascii="Times New Roman" w:hAnsi="Times New Roman" w:cs="Times New Roman"/>
          <w:color w:val="222222"/>
          <w:sz w:val="24"/>
          <w:szCs w:val="24"/>
          <w:shd w:val="clear" w:color="auto" w:fill="FFFFFF"/>
        </w:rPr>
        <w:t xml:space="preserve">Rajendran, P. J., </w:t>
      </w:r>
      <w:proofErr w:type="spellStart"/>
      <w:r w:rsidRPr="00BA1AFD">
        <w:rPr>
          <w:rFonts w:ascii="Times New Roman" w:hAnsi="Times New Roman" w:cs="Times New Roman"/>
          <w:color w:val="222222"/>
          <w:sz w:val="24"/>
          <w:szCs w:val="24"/>
          <w:shd w:val="clear" w:color="auto" w:fill="FFFFFF"/>
        </w:rPr>
        <w:t>Shunmugam</w:t>
      </w:r>
      <w:proofErr w:type="spellEnd"/>
      <w:r w:rsidRPr="00BA1AFD">
        <w:rPr>
          <w:rFonts w:ascii="Times New Roman" w:hAnsi="Times New Roman" w:cs="Times New Roman"/>
          <w:color w:val="222222"/>
          <w:sz w:val="24"/>
          <w:szCs w:val="24"/>
          <w:shd w:val="clear" w:color="auto" w:fill="FFFFFF"/>
        </w:rPr>
        <w:t xml:space="preserve">, S., Saravanan, C., Nooruddin, T., &amp; </w:t>
      </w:r>
      <w:proofErr w:type="spellStart"/>
      <w:r w:rsidRPr="00BA1AFD">
        <w:rPr>
          <w:rFonts w:ascii="Times New Roman" w:hAnsi="Times New Roman" w:cs="Times New Roman"/>
          <w:color w:val="222222"/>
          <w:sz w:val="24"/>
          <w:szCs w:val="24"/>
          <w:shd w:val="clear" w:color="auto" w:fill="FFFFFF"/>
        </w:rPr>
        <w:t>Dharumadurai</w:t>
      </w:r>
      <w:proofErr w:type="spellEnd"/>
      <w:r w:rsidRPr="00BA1AFD">
        <w:rPr>
          <w:rFonts w:ascii="Times New Roman" w:hAnsi="Times New Roman" w:cs="Times New Roman"/>
          <w:color w:val="222222"/>
          <w:sz w:val="24"/>
          <w:szCs w:val="24"/>
          <w:shd w:val="clear" w:color="auto" w:fill="FFFFFF"/>
        </w:rPr>
        <w:t>, D. (2025). Molecular monitoring, identification of the microcystin synthetase (</w:t>
      </w:r>
      <w:proofErr w:type="spellStart"/>
      <w:r w:rsidRPr="00BA1AFD">
        <w:rPr>
          <w:rFonts w:ascii="Times New Roman" w:hAnsi="Times New Roman" w:cs="Times New Roman"/>
          <w:color w:val="222222"/>
          <w:sz w:val="24"/>
          <w:szCs w:val="24"/>
          <w:shd w:val="clear" w:color="auto" w:fill="FFFFFF"/>
        </w:rPr>
        <w:t>mcy</w:t>
      </w:r>
      <w:proofErr w:type="spellEnd"/>
      <w:r w:rsidRPr="00BA1AFD">
        <w:rPr>
          <w:rFonts w:ascii="Times New Roman" w:hAnsi="Times New Roman" w:cs="Times New Roman"/>
          <w:color w:val="222222"/>
          <w:sz w:val="24"/>
          <w:szCs w:val="24"/>
          <w:shd w:val="clear" w:color="auto" w:fill="FFFFFF"/>
        </w:rPr>
        <w:t>) gene and toxic potential of Microcystis aeruginosa in Indian freshwater blooms. </w:t>
      </w:r>
      <w:proofErr w:type="spellStart"/>
      <w:r w:rsidRPr="00BA1AFD">
        <w:rPr>
          <w:rFonts w:ascii="Times New Roman" w:hAnsi="Times New Roman" w:cs="Times New Roman"/>
          <w:i/>
          <w:iCs/>
          <w:color w:val="222222"/>
          <w:sz w:val="24"/>
          <w:szCs w:val="24"/>
          <w:shd w:val="clear" w:color="auto" w:fill="FFFFFF"/>
        </w:rPr>
        <w:t>Toxicon</w:t>
      </w:r>
      <w:proofErr w:type="spellEnd"/>
      <w:r w:rsidRPr="00BA1AFD">
        <w:rPr>
          <w:rFonts w:ascii="Times New Roman" w:hAnsi="Times New Roman" w:cs="Times New Roman"/>
          <w:color w:val="222222"/>
          <w:sz w:val="24"/>
          <w:szCs w:val="24"/>
          <w:shd w:val="clear" w:color="auto" w:fill="FFFFFF"/>
        </w:rPr>
        <w:t xml:space="preserve">, </w:t>
      </w:r>
      <w:proofErr w:type="gramStart"/>
      <w:r w:rsidRPr="00BA1AFD">
        <w:rPr>
          <w:rFonts w:ascii="Times New Roman" w:hAnsi="Times New Roman" w:cs="Times New Roman"/>
          <w:color w:val="222222"/>
          <w:sz w:val="24"/>
          <w:szCs w:val="24"/>
          <w:shd w:val="clear" w:color="auto" w:fill="FFFFFF"/>
        </w:rPr>
        <w:t>108631.</w:t>
      </w:r>
      <w:r w:rsidRPr="00BA1AFD">
        <w:rPr>
          <w:rFonts w:ascii="Times New Roman" w:eastAsia="Times New Roman" w:hAnsi="Times New Roman" w:cs="Times New Roman"/>
          <w:sz w:val="24"/>
          <w:szCs w:val="24"/>
          <w:lang w:val="en-US"/>
        </w:rPr>
        <w:t>.</w:t>
      </w:r>
      <w:proofErr w:type="gramEnd"/>
      <w:r w:rsidRPr="00BA1AFD">
        <w:rPr>
          <w:rFonts w:ascii="Times New Roman" w:eastAsia="Times New Roman" w:hAnsi="Times New Roman" w:cs="Times New Roman"/>
          <w:sz w:val="24"/>
          <w:szCs w:val="24"/>
          <w:lang w:val="en-US"/>
        </w:rPr>
        <w:t xml:space="preserve"> </w:t>
      </w:r>
      <w:hyperlink r:id="rId27" w:history="1">
        <w:r w:rsidRPr="00BA1AFD">
          <w:rPr>
            <w:rStyle w:val="Hyperlink"/>
            <w:rFonts w:ascii="Times New Roman" w:eastAsia="Times New Roman" w:hAnsi="Times New Roman" w:cs="Times New Roman"/>
            <w:sz w:val="24"/>
            <w:szCs w:val="24"/>
            <w:lang w:val="en-US"/>
          </w:rPr>
          <w:t>https://doi.org/10.1016/j.toxicon.2025.108631</w:t>
        </w:r>
      </w:hyperlink>
      <w:r w:rsidRPr="00BA1AFD">
        <w:rPr>
          <w:rFonts w:ascii="Times New Roman" w:eastAsia="Times New Roman" w:hAnsi="Times New Roman" w:cs="Times New Roman"/>
          <w:sz w:val="24"/>
          <w:szCs w:val="24"/>
          <w:lang w:val="en-US"/>
        </w:rPr>
        <w:t xml:space="preserve">  </w:t>
      </w:r>
    </w:p>
    <w:p w14:paraId="6BABBE77" w14:textId="77777777" w:rsidR="00A5320E" w:rsidRPr="00BA1AFD" w:rsidRDefault="00A5320E" w:rsidP="00BA1AFD">
      <w:pPr>
        <w:pStyle w:val="ListParagraph"/>
        <w:numPr>
          <w:ilvl w:val="0"/>
          <w:numId w:val="22"/>
        </w:numPr>
        <w:spacing w:before="100" w:beforeAutospacing="1" w:after="100" w:afterAutospacing="1" w:line="240" w:lineRule="auto"/>
        <w:jc w:val="both"/>
        <w:rPr>
          <w:rFonts w:ascii="Times New Roman" w:hAnsi="Times New Roman" w:cs="Times New Roman"/>
          <w:color w:val="222222"/>
          <w:sz w:val="24"/>
          <w:szCs w:val="24"/>
          <w:shd w:val="clear" w:color="auto" w:fill="FFFFFF"/>
        </w:rPr>
      </w:pPr>
      <w:r w:rsidRPr="00BA1AFD">
        <w:rPr>
          <w:rFonts w:ascii="Times New Roman" w:hAnsi="Times New Roman" w:cs="Times New Roman"/>
          <w:color w:val="222222"/>
          <w:sz w:val="24"/>
          <w:szCs w:val="24"/>
          <w:shd w:val="clear" w:color="auto" w:fill="FFFFFF"/>
        </w:rPr>
        <w:t xml:space="preserve">Rather, I. A., &amp; Dar, A. Q. (2020). </w:t>
      </w:r>
      <w:proofErr w:type="spellStart"/>
      <w:r w:rsidRPr="00BA1AFD">
        <w:rPr>
          <w:rFonts w:ascii="Times New Roman" w:hAnsi="Times New Roman" w:cs="Times New Roman"/>
          <w:color w:val="222222"/>
          <w:sz w:val="24"/>
          <w:szCs w:val="24"/>
          <w:shd w:val="clear" w:color="auto" w:fill="FFFFFF"/>
        </w:rPr>
        <w:t>Spatio</w:t>
      </w:r>
      <w:proofErr w:type="spellEnd"/>
      <w:r w:rsidRPr="00BA1AFD">
        <w:rPr>
          <w:rFonts w:ascii="Times New Roman" w:hAnsi="Times New Roman" w:cs="Times New Roman"/>
          <w:color w:val="222222"/>
          <w:sz w:val="24"/>
          <w:szCs w:val="24"/>
          <w:shd w:val="clear" w:color="auto" w:fill="FFFFFF"/>
        </w:rPr>
        <w:t>-temporal variation in physio-chemical parameters over a 20-year period, potential future strategies for management: a case study of Dal Lake, NW Himalaya India. </w:t>
      </w:r>
      <w:r w:rsidRPr="00BA1AFD">
        <w:rPr>
          <w:rFonts w:ascii="Times New Roman" w:hAnsi="Times New Roman" w:cs="Times New Roman"/>
          <w:i/>
          <w:iCs/>
          <w:color w:val="222222"/>
          <w:sz w:val="24"/>
          <w:szCs w:val="24"/>
          <w:shd w:val="clear" w:color="auto" w:fill="FFFFFF"/>
        </w:rPr>
        <w:t>Environmental Technology &amp; Innovation</w:t>
      </w:r>
      <w:r w:rsidRPr="00BA1AFD">
        <w:rPr>
          <w:rFonts w:ascii="Times New Roman" w:hAnsi="Times New Roman" w:cs="Times New Roman"/>
          <w:color w:val="222222"/>
          <w:sz w:val="24"/>
          <w:szCs w:val="24"/>
          <w:shd w:val="clear" w:color="auto" w:fill="FFFFFF"/>
        </w:rPr>
        <w:t>, </w:t>
      </w:r>
      <w:r w:rsidRPr="00BA1AFD">
        <w:rPr>
          <w:rFonts w:ascii="Times New Roman" w:hAnsi="Times New Roman" w:cs="Times New Roman"/>
          <w:i/>
          <w:iCs/>
          <w:color w:val="222222"/>
          <w:sz w:val="24"/>
          <w:szCs w:val="24"/>
          <w:shd w:val="clear" w:color="auto" w:fill="FFFFFF"/>
        </w:rPr>
        <w:t>20</w:t>
      </w:r>
      <w:r w:rsidRPr="00BA1AFD">
        <w:rPr>
          <w:rFonts w:ascii="Times New Roman" w:hAnsi="Times New Roman" w:cs="Times New Roman"/>
          <w:color w:val="222222"/>
          <w:sz w:val="24"/>
          <w:szCs w:val="24"/>
          <w:shd w:val="clear" w:color="auto" w:fill="FFFFFF"/>
        </w:rPr>
        <w:t xml:space="preserve">, 101102. </w:t>
      </w:r>
      <w:hyperlink r:id="rId28" w:history="1">
        <w:r w:rsidRPr="00BA1AFD">
          <w:rPr>
            <w:rStyle w:val="Hyperlink"/>
            <w:rFonts w:ascii="Times New Roman" w:hAnsi="Times New Roman" w:cs="Times New Roman"/>
            <w:sz w:val="24"/>
            <w:szCs w:val="24"/>
            <w:shd w:val="clear" w:color="auto" w:fill="FFFFFF"/>
          </w:rPr>
          <w:t>https://doi.org/10.1016/j.eti.2020.101102</w:t>
        </w:r>
      </w:hyperlink>
    </w:p>
    <w:p w14:paraId="36B6CA93" w14:textId="77777777" w:rsidR="00A5320E" w:rsidRPr="00BA1AFD" w:rsidRDefault="00A5320E" w:rsidP="00BA1AFD">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BA1AFD">
        <w:rPr>
          <w:rFonts w:ascii="Times New Roman" w:hAnsi="Times New Roman" w:cs="Times New Roman"/>
          <w:color w:val="222222"/>
          <w:sz w:val="24"/>
          <w:szCs w:val="24"/>
          <w:shd w:val="clear" w:color="auto" w:fill="FFFFFF"/>
        </w:rPr>
        <w:t xml:space="preserve">Rashid, I., </w:t>
      </w:r>
      <w:proofErr w:type="spellStart"/>
      <w:r w:rsidRPr="00BA1AFD">
        <w:rPr>
          <w:rFonts w:ascii="Times New Roman" w:hAnsi="Times New Roman" w:cs="Times New Roman"/>
          <w:color w:val="222222"/>
          <w:sz w:val="24"/>
          <w:szCs w:val="24"/>
          <w:shd w:val="clear" w:color="auto" w:fill="FFFFFF"/>
        </w:rPr>
        <w:t>Romshoo</w:t>
      </w:r>
      <w:proofErr w:type="spellEnd"/>
      <w:r w:rsidRPr="00BA1AFD">
        <w:rPr>
          <w:rFonts w:ascii="Times New Roman" w:hAnsi="Times New Roman" w:cs="Times New Roman"/>
          <w:color w:val="222222"/>
          <w:sz w:val="24"/>
          <w:szCs w:val="24"/>
          <w:shd w:val="clear" w:color="auto" w:fill="FFFFFF"/>
        </w:rPr>
        <w:t xml:space="preserve">, S. A., Amin, M., </w:t>
      </w:r>
      <w:proofErr w:type="spellStart"/>
      <w:r w:rsidRPr="00BA1AFD">
        <w:rPr>
          <w:rFonts w:ascii="Times New Roman" w:hAnsi="Times New Roman" w:cs="Times New Roman"/>
          <w:color w:val="222222"/>
          <w:sz w:val="24"/>
          <w:szCs w:val="24"/>
          <w:shd w:val="clear" w:color="auto" w:fill="FFFFFF"/>
        </w:rPr>
        <w:t>Khanday</w:t>
      </w:r>
      <w:proofErr w:type="spellEnd"/>
      <w:r w:rsidRPr="00BA1AFD">
        <w:rPr>
          <w:rFonts w:ascii="Times New Roman" w:hAnsi="Times New Roman" w:cs="Times New Roman"/>
          <w:color w:val="222222"/>
          <w:sz w:val="24"/>
          <w:szCs w:val="24"/>
          <w:shd w:val="clear" w:color="auto" w:fill="FFFFFF"/>
        </w:rPr>
        <w:t>, S. A., &amp; Chauhan, P. (2017). Linking human-biophysical interactions with the trophic status of Dal Lake, Kashmir Himalaya, India. </w:t>
      </w:r>
      <w:proofErr w:type="spellStart"/>
      <w:r w:rsidRPr="00BA1AFD">
        <w:rPr>
          <w:rFonts w:ascii="Times New Roman" w:hAnsi="Times New Roman" w:cs="Times New Roman"/>
          <w:i/>
          <w:iCs/>
          <w:color w:val="222222"/>
          <w:sz w:val="24"/>
          <w:szCs w:val="24"/>
          <w:shd w:val="clear" w:color="auto" w:fill="FFFFFF"/>
        </w:rPr>
        <w:t>Limnologica</w:t>
      </w:r>
      <w:proofErr w:type="spellEnd"/>
      <w:r w:rsidRPr="00BA1AFD">
        <w:rPr>
          <w:rFonts w:ascii="Times New Roman" w:hAnsi="Times New Roman" w:cs="Times New Roman"/>
          <w:color w:val="222222"/>
          <w:sz w:val="24"/>
          <w:szCs w:val="24"/>
          <w:shd w:val="clear" w:color="auto" w:fill="FFFFFF"/>
        </w:rPr>
        <w:t>, </w:t>
      </w:r>
      <w:r w:rsidRPr="00BA1AFD">
        <w:rPr>
          <w:rFonts w:ascii="Times New Roman" w:hAnsi="Times New Roman" w:cs="Times New Roman"/>
          <w:i/>
          <w:iCs/>
          <w:color w:val="222222"/>
          <w:sz w:val="24"/>
          <w:szCs w:val="24"/>
          <w:shd w:val="clear" w:color="auto" w:fill="FFFFFF"/>
        </w:rPr>
        <w:t>62</w:t>
      </w:r>
      <w:r w:rsidRPr="00BA1AFD">
        <w:rPr>
          <w:rFonts w:ascii="Times New Roman" w:hAnsi="Times New Roman" w:cs="Times New Roman"/>
          <w:color w:val="222222"/>
          <w:sz w:val="24"/>
          <w:szCs w:val="24"/>
          <w:shd w:val="clear" w:color="auto" w:fill="FFFFFF"/>
        </w:rPr>
        <w:t>, 84-96.</w:t>
      </w:r>
      <w:r w:rsidRPr="00BA1AFD">
        <w:rPr>
          <w:rFonts w:ascii="Times New Roman" w:hAnsi="Times New Roman" w:cs="Times New Roman"/>
          <w:sz w:val="24"/>
          <w:szCs w:val="24"/>
        </w:rPr>
        <w:t xml:space="preserve"> </w:t>
      </w:r>
      <w:hyperlink r:id="rId29" w:history="1">
        <w:r w:rsidRPr="00BA1AFD">
          <w:rPr>
            <w:rStyle w:val="Hyperlink"/>
            <w:rFonts w:ascii="Times New Roman" w:hAnsi="Times New Roman" w:cs="Times New Roman"/>
            <w:sz w:val="24"/>
            <w:szCs w:val="24"/>
            <w:shd w:val="clear" w:color="auto" w:fill="FFFFFF"/>
          </w:rPr>
          <w:t>https://doi.org/10.1016/j.limno.2016.11.008</w:t>
        </w:r>
      </w:hyperlink>
      <w:r w:rsidRPr="00BA1AFD">
        <w:rPr>
          <w:rFonts w:ascii="Times New Roman" w:hAnsi="Times New Roman" w:cs="Times New Roman"/>
          <w:color w:val="222222"/>
          <w:sz w:val="24"/>
          <w:szCs w:val="24"/>
          <w:shd w:val="clear" w:color="auto" w:fill="FFFFFF"/>
        </w:rPr>
        <w:t xml:space="preserve"> </w:t>
      </w:r>
    </w:p>
    <w:p w14:paraId="1D86403F" w14:textId="77777777" w:rsidR="00A5320E" w:rsidRPr="00BA1AFD" w:rsidRDefault="00A5320E" w:rsidP="00BA1AFD">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BA1AFD">
        <w:rPr>
          <w:rFonts w:ascii="Times New Roman" w:hAnsi="Times New Roman" w:cs="Times New Roman"/>
          <w:color w:val="222222"/>
          <w:sz w:val="24"/>
          <w:szCs w:val="24"/>
          <w:shd w:val="clear" w:color="auto" w:fill="FFFFFF"/>
        </w:rPr>
        <w:t>Søndergaard</w:t>
      </w:r>
      <w:proofErr w:type="spellEnd"/>
      <w:r w:rsidRPr="00BA1AFD">
        <w:rPr>
          <w:rFonts w:ascii="Times New Roman" w:hAnsi="Times New Roman" w:cs="Times New Roman"/>
          <w:color w:val="222222"/>
          <w:sz w:val="24"/>
          <w:szCs w:val="24"/>
          <w:shd w:val="clear" w:color="auto" w:fill="FFFFFF"/>
        </w:rPr>
        <w:t>, M., Bjerring, R., &amp; Jeppesen, E. (2013). Persistent internal phosphorus loading during summer in shallow eutrophic lakes. </w:t>
      </w:r>
      <w:proofErr w:type="spellStart"/>
      <w:r w:rsidRPr="00BA1AFD">
        <w:rPr>
          <w:rFonts w:ascii="Times New Roman" w:hAnsi="Times New Roman" w:cs="Times New Roman"/>
          <w:i/>
          <w:iCs/>
          <w:color w:val="222222"/>
          <w:sz w:val="24"/>
          <w:szCs w:val="24"/>
          <w:shd w:val="clear" w:color="auto" w:fill="FFFFFF"/>
        </w:rPr>
        <w:t>Hydrobiologia</w:t>
      </w:r>
      <w:proofErr w:type="spellEnd"/>
      <w:r w:rsidRPr="00BA1AFD">
        <w:rPr>
          <w:rFonts w:ascii="Times New Roman" w:hAnsi="Times New Roman" w:cs="Times New Roman"/>
          <w:color w:val="222222"/>
          <w:sz w:val="24"/>
          <w:szCs w:val="24"/>
          <w:shd w:val="clear" w:color="auto" w:fill="FFFFFF"/>
        </w:rPr>
        <w:t>, </w:t>
      </w:r>
      <w:r w:rsidRPr="00BA1AFD">
        <w:rPr>
          <w:rFonts w:ascii="Times New Roman" w:hAnsi="Times New Roman" w:cs="Times New Roman"/>
          <w:i/>
          <w:iCs/>
          <w:color w:val="222222"/>
          <w:sz w:val="24"/>
          <w:szCs w:val="24"/>
          <w:shd w:val="clear" w:color="auto" w:fill="FFFFFF"/>
        </w:rPr>
        <w:t>710</w:t>
      </w:r>
      <w:r w:rsidRPr="00BA1AFD">
        <w:rPr>
          <w:rFonts w:ascii="Times New Roman" w:hAnsi="Times New Roman" w:cs="Times New Roman"/>
          <w:color w:val="222222"/>
          <w:sz w:val="24"/>
          <w:szCs w:val="24"/>
          <w:shd w:val="clear" w:color="auto" w:fill="FFFFFF"/>
        </w:rPr>
        <w:t>(1), 95-</w:t>
      </w:r>
      <w:proofErr w:type="gramStart"/>
      <w:r w:rsidRPr="00BA1AFD">
        <w:rPr>
          <w:rFonts w:ascii="Times New Roman" w:hAnsi="Times New Roman" w:cs="Times New Roman"/>
          <w:color w:val="222222"/>
          <w:sz w:val="24"/>
          <w:szCs w:val="24"/>
          <w:shd w:val="clear" w:color="auto" w:fill="FFFFFF"/>
        </w:rPr>
        <w:t>107.</w:t>
      </w:r>
      <w:r w:rsidRPr="00BA1AFD">
        <w:rPr>
          <w:rFonts w:ascii="Times New Roman" w:eastAsia="Times New Roman" w:hAnsi="Times New Roman" w:cs="Times New Roman"/>
          <w:sz w:val="24"/>
          <w:szCs w:val="24"/>
          <w:lang w:val="en-US"/>
        </w:rPr>
        <w:t>.</w:t>
      </w:r>
      <w:proofErr w:type="gramEnd"/>
      <w:r w:rsidRPr="00BA1AFD">
        <w:rPr>
          <w:rFonts w:ascii="Times New Roman" w:eastAsia="Times New Roman" w:hAnsi="Times New Roman" w:cs="Times New Roman"/>
          <w:sz w:val="24"/>
          <w:szCs w:val="24"/>
          <w:lang w:val="en-US"/>
        </w:rPr>
        <w:t xml:space="preserve"> </w:t>
      </w:r>
      <w:hyperlink r:id="rId30" w:history="1">
        <w:r w:rsidRPr="00BA1AFD">
          <w:rPr>
            <w:rStyle w:val="Hyperlink"/>
            <w:rFonts w:ascii="Times New Roman" w:eastAsia="Times New Roman" w:hAnsi="Times New Roman" w:cs="Times New Roman"/>
            <w:sz w:val="24"/>
            <w:szCs w:val="24"/>
            <w:lang w:val="en-US"/>
          </w:rPr>
          <w:t>https://doi.org/10.1007/s10750-012-1091-3</w:t>
        </w:r>
      </w:hyperlink>
      <w:r w:rsidRPr="00BA1AFD">
        <w:rPr>
          <w:rFonts w:ascii="Times New Roman" w:eastAsia="Times New Roman" w:hAnsi="Times New Roman" w:cs="Times New Roman"/>
          <w:sz w:val="24"/>
          <w:szCs w:val="24"/>
          <w:lang w:val="en-US"/>
        </w:rPr>
        <w:t xml:space="preserve">  </w:t>
      </w:r>
    </w:p>
    <w:p w14:paraId="425B785E" w14:textId="77777777" w:rsidR="00A5320E" w:rsidRPr="00BA1AFD" w:rsidRDefault="00A5320E" w:rsidP="00BA1AFD">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BA1AFD">
        <w:rPr>
          <w:rFonts w:ascii="Times New Roman" w:hAnsi="Times New Roman" w:cs="Times New Roman"/>
          <w:color w:val="222222"/>
          <w:sz w:val="24"/>
          <w:szCs w:val="24"/>
          <w:shd w:val="clear" w:color="auto" w:fill="FFFFFF"/>
        </w:rPr>
        <w:t>Tuboi</w:t>
      </w:r>
      <w:proofErr w:type="spellEnd"/>
      <w:r w:rsidRPr="00BA1AFD">
        <w:rPr>
          <w:rFonts w:ascii="Times New Roman" w:hAnsi="Times New Roman" w:cs="Times New Roman"/>
          <w:color w:val="222222"/>
          <w:sz w:val="24"/>
          <w:szCs w:val="24"/>
          <w:shd w:val="clear" w:color="auto" w:fill="FFFFFF"/>
        </w:rPr>
        <w:t xml:space="preserve">, C., </w:t>
      </w:r>
      <w:proofErr w:type="spellStart"/>
      <w:r w:rsidRPr="00BA1AFD">
        <w:rPr>
          <w:rFonts w:ascii="Times New Roman" w:hAnsi="Times New Roman" w:cs="Times New Roman"/>
          <w:color w:val="222222"/>
          <w:sz w:val="24"/>
          <w:szCs w:val="24"/>
          <w:shd w:val="clear" w:color="auto" w:fill="FFFFFF"/>
        </w:rPr>
        <w:t>Irengbam</w:t>
      </w:r>
      <w:proofErr w:type="spellEnd"/>
      <w:r w:rsidRPr="00BA1AFD">
        <w:rPr>
          <w:rFonts w:ascii="Times New Roman" w:hAnsi="Times New Roman" w:cs="Times New Roman"/>
          <w:color w:val="222222"/>
          <w:sz w:val="24"/>
          <w:szCs w:val="24"/>
          <w:shd w:val="clear" w:color="auto" w:fill="FFFFFF"/>
        </w:rPr>
        <w:t>, M., &amp; Hussain, S. A. (2018). Seasonal variations in the water quality of a tropical wetland dominated by floating meadows and its implication for conservation of Ramsar wetlands. </w:t>
      </w:r>
      <w:r w:rsidRPr="00BA1AFD">
        <w:rPr>
          <w:rFonts w:ascii="Times New Roman" w:hAnsi="Times New Roman" w:cs="Times New Roman"/>
          <w:i/>
          <w:iCs/>
          <w:color w:val="222222"/>
          <w:sz w:val="24"/>
          <w:szCs w:val="24"/>
          <w:shd w:val="clear" w:color="auto" w:fill="FFFFFF"/>
        </w:rPr>
        <w:t>Physics and Chemistry of the Earth, Parts A/B/C</w:t>
      </w:r>
      <w:r w:rsidRPr="00BA1AFD">
        <w:rPr>
          <w:rFonts w:ascii="Times New Roman" w:hAnsi="Times New Roman" w:cs="Times New Roman"/>
          <w:color w:val="222222"/>
          <w:sz w:val="24"/>
          <w:szCs w:val="24"/>
          <w:shd w:val="clear" w:color="auto" w:fill="FFFFFF"/>
        </w:rPr>
        <w:t>, </w:t>
      </w:r>
      <w:r w:rsidRPr="00BA1AFD">
        <w:rPr>
          <w:rFonts w:ascii="Times New Roman" w:hAnsi="Times New Roman" w:cs="Times New Roman"/>
          <w:i/>
          <w:iCs/>
          <w:color w:val="222222"/>
          <w:sz w:val="24"/>
          <w:szCs w:val="24"/>
          <w:shd w:val="clear" w:color="auto" w:fill="FFFFFF"/>
        </w:rPr>
        <w:t>103</w:t>
      </w:r>
      <w:r w:rsidRPr="00BA1AFD">
        <w:rPr>
          <w:rFonts w:ascii="Times New Roman" w:hAnsi="Times New Roman" w:cs="Times New Roman"/>
          <w:color w:val="222222"/>
          <w:sz w:val="24"/>
          <w:szCs w:val="24"/>
          <w:shd w:val="clear" w:color="auto" w:fill="FFFFFF"/>
        </w:rPr>
        <w:t>, 107-</w:t>
      </w:r>
      <w:proofErr w:type="gramStart"/>
      <w:r w:rsidRPr="00BA1AFD">
        <w:rPr>
          <w:rFonts w:ascii="Times New Roman" w:hAnsi="Times New Roman" w:cs="Times New Roman"/>
          <w:color w:val="222222"/>
          <w:sz w:val="24"/>
          <w:szCs w:val="24"/>
          <w:shd w:val="clear" w:color="auto" w:fill="FFFFFF"/>
        </w:rPr>
        <w:t>114.</w:t>
      </w:r>
      <w:r w:rsidRPr="00BA1AFD">
        <w:rPr>
          <w:rFonts w:ascii="Times New Roman" w:eastAsia="Times New Roman" w:hAnsi="Times New Roman" w:cs="Times New Roman"/>
          <w:sz w:val="24"/>
          <w:szCs w:val="24"/>
          <w:lang w:val="en-US"/>
        </w:rPr>
        <w:t>.</w:t>
      </w:r>
      <w:proofErr w:type="gramEnd"/>
      <w:r w:rsidRPr="00BA1AFD">
        <w:rPr>
          <w:rFonts w:ascii="Times New Roman" w:eastAsia="Times New Roman" w:hAnsi="Times New Roman" w:cs="Times New Roman"/>
          <w:sz w:val="24"/>
          <w:szCs w:val="24"/>
          <w:lang w:val="en-US"/>
        </w:rPr>
        <w:t xml:space="preserve"> </w:t>
      </w:r>
      <w:hyperlink r:id="rId31" w:history="1">
        <w:r w:rsidRPr="00BA1AFD">
          <w:rPr>
            <w:rStyle w:val="Hyperlink"/>
            <w:rFonts w:ascii="Times New Roman" w:eastAsia="Times New Roman" w:hAnsi="Times New Roman" w:cs="Times New Roman"/>
            <w:sz w:val="24"/>
            <w:szCs w:val="24"/>
            <w:lang w:val="en-US"/>
          </w:rPr>
          <w:t>https://doi.org/10.1016/j.pce.2017.09.001</w:t>
        </w:r>
      </w:hyperlink>
      <w:r w:rsidRPr="00BA1AFD">
        <w:rPr>
          <w:rFonts w:ascii="Times New Roman" w:eastAsia="Times New Roman" w:hAnsi="Times New Roman" w:cs="Times New Roman"/>
          <w:sz w:val="24"/>
          <w:szCs w:val="24"/>
          <w:lang w:val="en-US"/>
        </w:rPr>
        <w:t xml:space="preserve"> </w:t>
      </w:r>
    </w:p>
    <w:p w14:paraId="4A2592ED" w14:textId="77777777" w:rsidR="00A5320E" w:rsidRPr="00BA1AFD" w:rsidRDefault="00A5320E" w:rsidP="00BA1AFD">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BA1AFD">
        <w:rPr>
          <w:rFonts w:ascii="Times New Roman" w:hAnsi="Times New Roman" w:cs="Times New Roman"/>
          <w:color w:val="222222"/>
          <w:sz w:val="24"/>
          <w:szCs w:val="24"/>
          <w:shd w:val="clear" w:color="auto" w:fill="FFFFFF"/>
        </w:rPr>
        <w:t xml:space="preserve">Upadhyay, R., Pandey, A. K., Upadhyay, S. K., </w:t>
      </w:r>
      <w:proofErr w:type="spellStart"/>
      <w:r w:rsidRPr="00BA1AFD">
        <w:rPr>
          <w:rFonts w:ascii="Times New Roman" w:hAnsi="Times New Roman" w:cs="Times New Roman"/>
          <w:color w:val="222222"/>
          <w:sz w:val="24"/>
          <w:szCs w:val="24"/>
          <w:shd w:val="clear" w:color="auto" w:fill="FFFFFF"/>
        </w:rPr>
        <w:t>Bassin</w:t>
      </w:r>
      <w:proofErr w:type="spellEnd"/>
      <w:r w:rsidRPr="00BA1AFD">
        <w:rPr>
          <w:rFonts w:ascii="Times New Roman" w:hAnsi="Times New Roman" w:cs="Times New Roman"/>
          <w:color w:val="222222"/>
          <w:sz w:val="24"/>
          <w:szCs w:val="24"/>
          <w:shd w:val="clear" w:color="auto" w:fill="FFFFFF"/>
        </w:rPr>
        <w:t xml:space="preserve">, J. K., &amp; </w:t>
      </w:r>
      <w:proofErr w:type="spellStart"/>
      <w:r w:rsidRPr="00BA1AFD">
        <w:rPr>
          <w:rFonts w:ascii="Times New Roman" w:hAnsi="Times New Roman" w:cs="Times New Roman"/>
          <w:color w:val="222222"/>
          <w:sz w:val="24"/>
          <w:szCs w:val="24"/>
          <w:shd w:val="clear" w:color="auto" w:fill="FFFFFF"/>
        </w:rPr>
        <w:t>Misra</w:t>
      </w:r>
      <w:proofErr w:type="spellEnd"/>
      <w:r w:rsidRPr="00BA1AFD">
        <w:rPr>
          <w:rFonts w:ascii="Times New Roman" w:hAnsi="Times New Roman" w:cs="Times New Roman"/>
          <w:color w:val="222222"/>
          <w:sz w:val="24"/>
          <w:szCs w:val="24"/>
          <w:shd w:val="clear" w:color="auto" w:fill="FFFFFF"/>
        </w:rPr>
        <w:t xml:space="preserve">, S. M. (2012). </w:t>
      </w:r>
      <w:proofErr w:type="spellStart"/>
      <w:r w:rsidRPr="00BA1AFD">
        <w:rPr>
          <w:rFonts w:ascii="Times New Roman" w:hAnsi="Times New Roman" w:cs="Times New Roman"/>
          <w:color w:val="222222"/>
          <w:sz w:val="24"/>
          <w:szCs w:val="24"/>
          <w:shd w:val="clear" w:color="auto" w:fill="FFFFFF"/>
        </w:rPr>
        <w:t>Limnochemistry</w:t>
      </w:r>
      <w:proofErr w:type="spellEnd"/>
      <w:r w:rsidRPr="00BA1AFD">
        <w:rPr>
          <w:rFonts w:ascii="Times New Roman" w:hAnsi="Times New Roman" w:cs="Times New Roman"/>
          <w:color w:val="222222"/>
          <w:sz w:val="24"/>
          <w:szCs w:val="24"/>
          <w:shd w:val="clear" w:color="auto" w:fill="FFFFFF"/>
        </w:rPr>
        <w:t xml:space="preserve"> and nutrient dynamics in Upper Lake, Bhopal, India. </w:t>
      </w:r>
      <w:r w:rsidRPr="00BA1AFD">
        <w:rPr>
          <w:rFonts w:ascii="Times New Roman" w:hAnsi="Times New Roman" w:cs="Times New Roman"/>
          <w:i/>
          <w:iCs/>
          <w:color w:val="222222"/>
          <w:sz w:val="24"/>
          <w:szCs w:val="24"/>
          <w:shd w:val="clear" w:color="auto" w:fill="FFFFFF"/>
        </w:rPr>
        <w:t>Environmental Monitoring and Assessment</w:t>
      </w:r>
      <w:r w:rsidRPr="00BA1AFD">
        <w:rPr>
          <w:rFonts w:ascii="Times New Roman" w:hAnsi="Times New Roman" w:cs="Times New Roman"/>
          <w:color w:val="222222"/>
          <w:sz w:val="24"/>
          <w:szCs w:val="24"/>
          <w:shd w:val="clear" w:color="auto" w:fill="FFFFFF"/>
        </w:rPr>
        <w:t>, </w:t>
      </w:r>
      <w:r w:rsidRPr="00BA1AFD">
        <w:rPr>
          <w:rFonts w:ascii="Times New Roman" w:hAnsi="Times New Roman" w:cs="Times New Roman"/>
          <w:i/>
          <w:iCs/>
          <w:color w:val="222222"/>
          <w:sz w:val="24"/>
          <w:szCs w:val="24"/>
          <w:shd w:val="clear" w:color="auto" w:fill="FFFFFF"/>
        </w:rPr>
        <w:t>184</w:t>
      </w:r>
      <w:r w:rsidRPr="00BA1AFD">
        <w:rPr>
          <w:rFonts w:ascii="Times New Roman" w:hAnsi="Times New Roman" w:cs="Times New Roman"/>
          <w:color w:val="222222"/>
          <w:sz w:val="24"/>
          <w:szCs w:val="24"/>
          <w:shd w:val="clear" w:color="auto" w:fill="FFFFFF"/>
        </w:rPr>
        <w:t>(11), 7065-7077</w:t>
      </w:r>
      <w:r w:rsidRPr="00BA1AFD">
        <w:rPr>
          <w:rFonts w:ascii="Times New Roman" w:eastAsia="Times New Roman" w:hAnsi="Times New Roman" w:cs="Times New Roman"/>
          <w:sz w:val="24"/>
          <w:szCs w:val="24"/>
          <w:lang w:val="en-US"/>
        </w:rPr>
        <w:t xml:space="preserve">. </w:t>
      </w:r>
      <w:hyperlink r:id="rId32" w:history="1">
        <w:r w:rsidRPr="00BA1AFD">
          <w:rPr>
            <w:rStyle w:val="Hyperlink"/>
            <w:rFonts w:ascii="Times New Roman" w:eastAsia="Times New Roman" w:hAnsi="Times New Roman" w:cs="Times New Roman"/>
            <w:sz w:val="24"/>
            <w:szCs w:val="24"/>
            <w:lang w:val="en-US"/>
          </w:rPr>
          <w:t>https://doi.org/10.1007/s10661-011-2480-1</w:t>
        </w:r>
      </w:hyperlink>
      <w:r w:rsidRPr="00BA1AFD">
        <w:rPr>
          <w:rFonts w:ascii="Times New Roman" w:eastAsia="Times New Roman" w:hAnsi="Times New Roman" w:cs="Times New Roman"/>
          <w:sz w:val="24"/>
          <w:szCs w:val="24"/>
          <w:lang w:val="en-US"/>
        </w:rPr>
        <w:t xml:space="preserve">  </w:t>
      </w:r>
    </w:p>
    <w:p w14:paraId="1E8273B4" w14:textId="7EF7DBC6" w:rsidR="00A5320E" w:rsidRPr="00BA1AFD" w:rsidRDefault="00A5320E" w:rsidP="00BA1AFD">
      <w:pPr>
        <w:pStyle w:val="ListParagraph"/>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BA1AFD">
        <w:rPr>
          <w:rFonts w:ascii="Times New Roman" w:hAnsi="Times New Roman" w:cs="Times New Roman"/>
          <w:color w:val="222222"/>
          <w:sz w:val="24"/>
          <w:szCs w:val="24"/>
          <w:shd w:val="clear" w:color="auto" w:fill="FFFFFF"/>
        </w:rPr>
        <w:t>Vinçon-Leite</w:t>
      </w:r>
      <w:proofErr w:type="spellEnd"/>
      <w:r w:rsidRPr="00BA1AFD">
        <w:rPr>
          <w:rFonts w:ascii="Times New Roman" w:hAnsi="Times New Roman" w:cs="Times New Roman"/>
          <w:color w:val="222222"/>
          <w:sz w:val="24"/>
          <w:szCs w:val="24"/>
          <w:shd w:val="clear" w:color="auto" w:fill="FFFFFF"/>
        </w:rPr>
        <w:t xml:space="preserve">, B., &amp; </w:t>
      </w:r>
      <w:proofErr w:type="spellStart"/>
      <w:r w:rsidRPr="00BA1AFD">
        <w:rPr>
          <w:rFonts w:ascii="Times New Roman" w:hAnsi="Times New Roman" w:cs="Times New Roman"/>
          <w:color w:val="222222"/>
          <w:sz w:val="24"/>
          <w:szCs w:val="24"/>
          <w:shd w:val="clear" w:color="auto" w:fill="FFFFFF"/>
        </w:rPr>
        <w:t>Casenave</w:t>
      </w:r>
      <w:proofErr w:type="spellEnd"/>
      <w:r w:rsidRPr="00BA1AFD">
        <w:rPr>
          <w:rFonts w:ascii="Times New Roman" w:hAnsi="Times New Roman" w:cs="Times New Roman"/>
          <w:color w:val="222222"/>
          <w:sz w:val="24"/>
          <w:szCs w:val="24"/>
          <w:shd w:val="clear" w:color="auto" w:fill="FFFFFF"/>
        </w:rPr>
        <w:t>, C. (2019). Modelling eutrophication in lake ecosystems: a review. </w:t>
      </w:r>
      <w:r w:rsidRPr="00BA1AFD">
        <w:rPr>
          <w:rFonts w:ascii="Times New Roman" w:hAnsi="Times New Roman" w:cs="Times New Roman"/>
          <w:i/>
          <w:iCs/>
          <w:color w:val="222222"/>
          <w:sz w:val="24"/>
          <w:szCs w:val="24"/>
          <w:shd w:val="clear" w:color="auto" w:fill="FFFFFF"/>
        </w:rPr>
        <w:t>Science of the Total Environment</w:t>
      </w:r>
      <w:r w:rsidRPr="00BA1AFD">
        <w:rPr>
          <w:rFonts w:ascii="Times New Roman" w:hAnsi="Times New Roman" w:cs="Times New Roman"/>
          <w:color w:val="222222"/>
          <w:sz w:val="24"/>
          <w:szCs w:val="24"/>
          <w:shd w:val="clear" w:color="auto" w:fill="FFFFFF"/>
        </w:rPr>
        <w:t>, </w:t>
      </w:r>
      <w:r w:rsidRPr="00BA1AFD">
        <w:rPr>
          <w:rFonts w:ascii="Times New Roman" w:hAnsi="Times New Roman" w:cs="Times New Roman"/>
          <w:i/>
          <w:iCs/>
          <w:color w:val="222222"/>
          <w:sz w:val="24"/>
          <w:szCs w:val="24"/>
          <w:shd w:val="clear" w:color="auto" w:fill="FFFFFF"/>
        </w:rPr>
        <w:t>651</w:t>
      </w:r>
      <w:r w:rsidRPr="00BA1AFD">
        <w:rPr>
          <w:rFonts w:ascii="Times New Roman" w:hAnsi="Times New Roman" w:cs="Times New Roman"/>
          <w:color w:val="222222"/>
          <w:sz w:val="24"/>
          <w:szCs w:val="24"/>
          <w:shd w:val="clear" w:color="auto" w:fill="FFFFFF"/>
        </w:rPr>
        <w:t>, 2985-3001.</w:t>
      </w:r>
      <w:hyperlink r:id="rId33" w:history="1">
        <w:r w:rsidRPr="00BA1AFD">
          <w:rPr>
            <w:rStyle w:val="Hyperlink"/>
            <w:rFonts w:ascii="Times New Roman" w:eastAsia="Times New Roman" w:hAnsi="Times New Roman" w:cs="Times New Roman"/>
            <w:sz w:val="24"/>
            <w:szCs w:val="24"/>
            <w:lang w:val="en-US"/>
          </w:rPr>
          <w:t>https://doi.org/10.1016/j.scitotenv.2018.09.320</w:t>
        </w:r>
      </w:hyperlink>
      <w:r w:rsidRPr="00BA1AFD">
        <w:rPr>
          <w:rFonts w:ascii="Times New Roman" w:eastAsia="Times New Roman" w:hAnsi="Times New Roman" w:cs="Times New Roman"/>
          <w:sz w:val="24"/>
          <w:szCs w:val="24"/>
          <w:lang w:val="en-US"/>
        </w:rPr>
        <w:t xml:space="preserve"> </w:t>
      </w:r>
    </w:p>
    <w:p w14:paraId="05B732BE" w14:textId="48BE3B0B" w:rsidR="0075600F" w:rsidRPr="005F1FE6" w:rsidRDefault="0075600F" w:rsidP="00BA1AFD">
      <w:pPr>
        <w:pStyle w:val="ListParagraph"/>
        <w:numPr>
          <w:ilvl w:val="0"/>
          <w:numId w:val="22"/>
        </w:numPr>
        <w:spacing w:before="100" w:beforeAutospacing="1" w:after="100" w:afterAutospacing="1" w:line="240" w:lineRule="auto"/>
        <w:jc w:val="both"/>
      </w:pPr>
      <w:proofErr w:type="spellStart"/>
      <w:r w:rsidRPr="00BA1AFD">
        <w:rPr>
          <w:rFonts w:ascii="Arial" w:hAnsi="Arial" w:cs="Arial"/>
          <w:color w:val="222222"/>
          <w:sz w:val="20"/>
          <w:szCs w:val="20"/>
          <w:highlight w:val="yellow"/>
          <w:shd w:val="clear" w:color="auto" w:fill="FFFFFF"/>
        </w:rPr>
        <w:t>Kimambo</w:t>
      </w:r>
      <w:proofErr w:type="spellEnd"/>
      <w:r w:rsidRPr="00BA1AFD">
        <w:rPr>
          <w:rFonts w:ascii="Arial" w:hAnsi="Arial" w:cs="Arial"/>
          <w:color w:val="222222"/>
          <w:sz w:val="20"/>
          <w:szCs w:val="20"/>
          <w:highlight w:val="yellow"/>
          <w:shd w:val="clear" w:color="auto" w:fill="FFFFFF"/>
        </w:rPr>
        <w:t xml:space="preserve">, O. N., Gumbo, J. R., &amp; </w:t>
      </w:r>
      <w:proofErr w:type="spellStart"/>
      <w:r w:rsidRPr="00BA1AFD">
        <w:rPr>
          <w:rFonts w:ascii="Arial" w:hAnsi="Arial" w:cs="Arial"/>
          <w:color w:val="222222"/>
          <w:sz w:val="20"/>
          <w:szCs w:val="20"/>
          <w:highlight w:val="yellow"/>
          <w:shd w:val="clear" w:color="auto" w:fill="FFFFFF"/>
        </w:rPr>
        <w:t>Chikoore</w:t>
      </w:r>
      <w:proofErr w:type="spellEnd"/>
      <w:r w:rsidRPr="00BA1AFD">
        <w:rPr>
          <w:rFonts w:ascii="Arial" w:hAnsi="Arial" w:cs="Arial"/>
          <w:color w:val="222222"/>
          <w:sz w:val="20"/>
          <w:szCs w:val="20"/>
          <w:highlight w:val="yellow"/>
          <w:shd w:val="clear" w:color="auto" w:fill="FFFFFF"/>
        </w:rPr>
        <w:t>, H. (2019). The occurrence of cyanobacteria blooms in freshwater ecosystems and their link with hydro-meteorological and environmental variations in Tanzania. </w:t>
      </w:r>
      <w:proofErr w:type="spellStart"/>
      <w:r w:rsidRPr="00BA1AFD">
        <w:rPr>
          <w:rFonts w:ascii="Arial" w:hAnsi="Arial" w:cs="Arial"/>
          <w:i/>
          <w:iCs/>
          <w:color w:val="222222"/>
          <w:sz w:val="20"/>
          <w:szCs w:val="20"/>
          <w:highlight w:val="yellow"/>
          <w:shd w:val="clear" w:color="auto" w:fill="FFFFFF"/>
        </w:rPr>
        <w:t>Heliyon</w:t>
      </w:r>
      <w:proofErr w:type="spellEnd"/>
      <w:r w:rsidRPr="00BA1AFD">
        <w:rPr>
          <w:rFonts w:ascii="Arial" w:hAnsi="Arial" w:cs="Arial"/>
          <w:color w:val="222222"/>
          <w:sz w:val="20"/>
          <w:szCs w:val="20"/>
          <w:highlight w:val="yellow"/>
          <w:shd w:val="clear" w:color="auto" w:fill="FFFFFF"/>
        </w:rPr>
        <w:t>, </w:t>
      </w:r>
      <w:r w:rsidRPr="00BA1AFD">
        <w:rPr>
          <w:rFonts w:ascii="Arial" w:hAnsi="Arial" w:cs="Arial"/>
          <w:i/>
          <w:iCs/>
          <w:color w:val="222222"/>
          <w:sz w:val="20"/>
          <w:szCs w:val="20"/>
          <w:highlight w:val="yellow"/>
          <w:shd w:val="clear" w:color="auto" w:fill="FFFFFF"/>
        </w:rPr>
        <w:t>5</w:t>
      </w:r>
      <w:r w:rsidRPr="00BA1AFD">
        <w:rPr>
          <w:rFonts w:ascii="Arial" w:hAnsi="Arial" w:cs="Arial"/>
          <w:color w:val="222222"/>
          <w:sz w:val="20"/>
          <w:szCs w:val="20"/>
          <w:highlight w:val="yellow"/>
          <w:shd w:val="clear" w:color="auto" w:fill="FFFFFF"/>
        </w:rPr>
        <w:t xml:space="preserve">(3). </w:t>
      </w:r>
      <w:hyperlink r:id="rId34" w:tgtFrame="_blank" w:tooltip="Persistent link using digital object identifier" w:history="1">
        <w:r w:rsidRPr="00BA1AFD">
          <w:rPr>
            <w:rStyle w:val="anchor-text"/>
            <w:rFonts w:ascii="Arial" w:hAnsi="Arial" w:cs="Arial"/>
            <w:color w:val="0272B1"/>
            <w:sz w:val="21"/>
            <w:szCs w:val="21"/>
            <w:highlight w:val="yellow"/>
          </w:rPr>
          <w:t>https://doi.org/10.1016/j.heliyon.2019.e01312</w:t>
        </w:r>
      </w:hyperlink>
      <w:r>
        <w:t xml:space="preserve"> </w:t>
      </w:r>
    </w:p>
    <w:p w14:paraId="7AE5385F" w14:textId="77777777" w:rsidR="005678C2" w:rsidRPr="00BA1AFD" w:rsidRDefault="005678C2" w:rsidP="00BA1AFD">
      <w:pPr>
        <w:pStyle w:val="ListParagraph"/>
        <w:numPr>
          <w:ilvl w:val="0"/>
          <w:numId w:val="22"/>
        </w:numPr>
        <w:shd w:val="clear" w:color="auto" w:fill="FFFFFF"/>
        <w:spacing w:after="150" w:line="240" w:lineRule="auto"/>
        <w:rPr>
          <w:rFonts w:ascii="inherit" w:eastAsia="Times New Roman" w:hAnsi="inherit" w:cs="Helvetica"/>
          <w:color w:val="222222"/>
          <w:sz w:val="18"/>
          <w:szCs w:val="18"/>
          <w:lang w:val="en-US"/>
        </w:rPr>
      </w:pPr>
      <w:proofErr w:type="spellStart"/>
      <w:r w:rsidRPr="00BA1AFD">
        <w:rPr>
          <w:rFonts w:ascii="inherit" w:eastAsia="Times New Roman" w:hAnsi="inherit" w:cs="Helvetica"/>
          <w:color w:val="222222"/>
          <w:sz w:val="18"/>
          <w:szCs w:val="18"/>
          <w:highlight w:val="yellow"/>
          <w:lang w:val="en-US"/>
        </w:rPr>
        <w:t>Thawabteh</w:t>
      </w:r>
      <w:proofErr w:type="spellEnd"/>
      <w:r w:rsidRPr="00BA1AFD">
        <w:rPr>
          <w:rFonts w:ascii="inherit" w:eastAsia="Times New Roman" w:hAnsi="inherit" w:cs="Helvetica"/>
          <w:color w:val="222222"/>
          <w:sz w:val="18"/>
          <w:szCs w:val="18"/>
          <w:highlight w:val="yellow"/>
          <w:lang w:val="en-US"/>
        </w:rPr>
        <w:t xml:space="preserve">, A. M., </w:t>
      </w:r>
      <w:proofErr w:type="spellStart"/>
      <w:r w:rsidRPr="00BA1AFD">
        <w:rPr>
          <w:rFonts w:ascii="inherit" w:eastAsia="Times New Roman" w:hAnsi="inherit" w:cs="Helvetica"/>
          <w:color w:val="222222"/>
          <w:sz w:val="18"/>
          <w:szCs w:val="18"/>
          <w:highlight w:val="yellow"/>
          <w:lang w:val="en-US"/>
        </w:rPr>
        <w:t>Naseef</w:t>
      </w:r>
      <w:proofErr w:type="spellEnd"/>
      <w:r w:rsidRPr="00BA1AFD">
        <w:rPr>
          <w:rFonts w:ascii="inherit" w:eastAsia="Times New Roman" w:hAnsi="inherit" w:cs="Helvetica"/>
          <w:color w:val="222222"/>
          <w:sz w:val="18"/>
          <w:szCs w:val="18"/>
          <w:highlight w:val="yellow"/>
          <w:lang w:val="en-US"/>
        </w:rPr>
        <w:t xml:space="preserve">, H. A., </w:t>
      </w:r>
      <w:proofErr w:type="spellStart"/>
      <w:r w:rsidRPr="00BA1AFD">
        <w:rPr>
          <w:rFonts w:ascii="inherit" w:eastAsia="Times New Roman" w:hAnsi="inherit" w:cs="Helvetica"/>
          <w:color w:val="222222"/>
          <w:sz w:val="18"/>
          <w:szCs w:val="18"/>
          <w:highlight w:val="yellow"/>
          <w:lang w:val="en-US"/>
        </w:rPr>
        <w:t>Karaman</w:t>
      </w:r>
      <w:proofErr w:type="spellEnd"/>
      <w:r w:rsidRPr="00BA1AFD">
        <w:rPr>
          <w:rFonts w:ascii="inherit" w:eastAsia="Times New Roman" w:hAnsi="inherit" w:cs="Helvetica"/>
          <w:color w:val="222222"/>
          <w:sz w:val="18"/>
          <w:szCs w:val="18"/>
          <w:highlight w:val="yellow"/>
          <w:lang w:val="en-US"/>
        </w:rPr>
        <w:t xml:space="preserve">, D., </w:t>
      </w:r>
      <w:proofErr w:type="spellStart"/>
      <w:r w:rsidRPr="00BA1AFD">
        <w:rPr>
          <w:rFonts w:ascii="inherit" w:eastAsia="Times New Roman" w:hAnsi="inherit" w:cs="Helvetica"/>
          <w:color w:val="222222"/>
          <w:sz w:val="18"/>
          <w:szCs w:val="18"/>
          <w:highlight w:val="yellow"/>
          <w:lang w:val="en-US"/>
        </w:rPr>
        <w:t>Bufo</w:t>
      </w:r>
      <w:proofErr w:type="spellEnd"/>
      <w:r w:rsidRPr="00BA1AFD">
        <w:rPr>
          <w:rFonts w:ascii="inherit" w:eastAsia="Times New Roman" w:hAnsi="inherit" w:cs="Helvetica"/>
          <w:color w:val="222222"/>
          <w:sz w:val="18"/>
          <w:szCs w:val="18"/>
          <w:highlight w:val="yellow"/>
          <w:lang w:val="en-US"/>
        </w:rPr>
        <w:t xml:space="preserve">, S. A., </w:t>
      </w:r>
      <w:proofErr w:type="spellStart"/>
      <w:r w:rsidRPr="00BA1AFD">
        <w:rPr>
          <w:rFonts w:ascii="inherit" w:eastAsia="Times New Roman" w:hAnsi="inherit" w:cs="Helvetica"/>
          <w:color w:val="222222"/>
          <w:sz w:val="18"/>
          <w:szCs w:val="18"/>
          <w:highlight w:val="yellow"/>
          <w:lang w:val="en-US"/>
        </w:rPr>
        <w:t>Scrano</w:t>
      </w:r>
      <w:proofErr w:type="spellEnd"/>
      <w:r w:rsidRPr="00BA1AFD">
        <w:rPr>
          <w:rFonts w:ascii="inherit" w:eastAsia="Times New Roman" w:hAnsi="inherit" w:cs="Helvetica"/>
          <w:color w:val="222222"/>
          <w:sz w:val="18"/>
          <w:szCs w:val="18"/>
          <w:highlight w:val="yellow"/>
          <w:lang w:val="en-US"/>
        </w:rPr>
        <w:t xml:space="preserve">, L., &amp; </w:t>
      </w:r>
      <w:proofErr w:type="spellStart"/>
      <w:r w:rsidRPr="00BA1AFD">
        <w:rPr>
          <w:rFonts w:ascii="inherit" w:eastAsia="Times New Roman" w:hAnsi="inherit" w:cs="Helvetica"/>
          <w:color w:val="222222"/>
          <w:sz w:val="18"/>
          <w:szCs w:val="18"/>
          <w:highlight w:val="yellow"/>
          <w:lang w:val="en-US"/>
        </w:rPr>
        <w:t>Karaman</w:t>
      </w:r>
      <w:proofErr w:type="spellEnd"/>
      <w:r w:rsidRPr="00BA1AFD">
        <w:rPr>
          <w:rFonts w:ascii="inherit" w:eastAsia="Times New Roman" w:hAnsi="inherit" w:cs="Helvetica"/>
          <w:color w:val="222222"/>
          <w:sz w:val="18"/>
          <w:szCs w:val="18"/>
          <w:highlight w:val="yellow"/>
          <w:lang w:val="en-US"/>
        </w:rPr>
        <w:t>, R. (2023). Understanding the Risks of Diffusion of Cyanobacteria Toxins in Rivers, Lakes, and Potable Water. </w:t>
      </w:r>
      <w:r w:rsidRPr="00BA1AFD">
        <w:rPr>
          <w:rFonts w:ascii="inherit" w:eastAsia="Times New Roman" w:hAnsi="inherit" w:cs="Helvetica"/>
          <w:i/>
          <w:iCs/>
          <w:color w:val="222222"/>
          <w:sz w:val="18"/>
          <w:szCs w:val="18"/>
          <w:highlight w:val="yellow"/>
          <w:lang w:val="en-US"/>
        </w:rPr>
        <w:t>Toxins</w:t>
      </w:r>
      <w:r w:rsidRPr="00BA1AFD">
        <w:rPr>
          <w:rFonts w:ascii="inherit" w:eastAsia="Times New Roman" w:hAnsi="inherit" w:cs="Helvetica"/>
          <w:color w:val="222222"/>
          <w:sz w:val="18"/>
          <w:szCs w:val="18"/>
          <w:highlight w:val="yellow"/>
          <w:lang w:val="en-US"/>
        </w:rPr>
        <w:t>, </w:t>
      </w:r>
      <w:r w:rsidRPr="00BA1AFD">
        <w:rPr>
          <w:rFonts w:ascii="inherit" w:eastAsia="Times New Roman" w:hAnsi="inherit" w:cs="Helvetica"/>
          <w:i/>
          <w:iCs/>
          <w:color w:val="222222"/>
          <w:sz w:val="18"/>
          <w:szCs w:val="18"/>
          <w:highlight w:val="yellow"/>
          <w:lang w:val="en-US"/>
        </w:rPr>
        <w:t>15</w:t>
      </w:r>
      <w:r w:rsidRPr="00BA1AFD">
        <w:rPr>
          <w:rFonts w:ascii="inherit" w:eastAsia="Times New Roman" w:hAnsi="inherit" w:cs="Helvetica"/>
          <w:color w:val="222222"/>
          <w:sz w:val="18"/>
          <w:szCs w:val="18"/>
          <w:highlight w:val="yellow"/>
          <w:lang w:val="en-US"/>
        </w:rPr>
        <w:t>(9), 582. https://doi.org/10.3390/toxins15090582</w:t>
      </w:r>
    </w:p>
    <w:p w14:paraId="0D9D7F8F" w14:textId="6FA66D03" w:rsidR="00A5320E" w:rsidRDefault="005B6CC9" w:rsidP="00BA1AFD">
      <w:pPr>
        <w:pStyle w:val="ListParagraph"/>
        <w:numPr>
          <w:ilvl w:val="0"/>
          <w:numId w:val="22"/>
        </w:numPr>
        <w:jc w:val="both"/>
      </w:pPr>
      <w:r w:rsidRPr="00BA1AFD">
        <w:rPr>
          <w:rFonts w:ascii="Arial" w:hAnsi="Arial" w:cs="Arial"/>
          <w:color w:val="222222"/>
          <w:sz w:val="20"/>
          <w:szCs w:val="20"/>
          <w:highlight w:val="yellow"/>
          <w:shd w:val="clear" w:color="auto" w:fill="FFFFFF"/>
        </w:rPr>
        <w:t>Zhao, C. S., Shao, N. F., Yang, S. T., Ren, H., Ge, Y. R., Feng, P., ... &amp; Zhao, Y. (2019). Predicting cyanobacteria bloom occurrence in lakes and reservoirs before blooms occur. </w:t>
      </w:r>
      <w:r w:rsidRPr="00BA1AFD">
        <w:rPr>
          <w:rFonts w:ascii="Arial" w:hAnsi="Arial" w:cs="Arial"/>
          <w:i/>
          <w:iCs/>
          <w:color w:val="222222"/>
          <w:sz w:val="20"/>
          <w:szCs w:val="20"/>
          <w:highlight w:val="yellow"/>
          <w:shd w:val="clear" w:color="auto" w:fill="FFFFFF"/>
        </w:rPr>
        <w:t>Science of the total environment</w:t>
      </w:r>
      <w:r w:rsidRPr="00BA1AFD">
        <w:rPr>
          <w:rFonts w:ascii="Arial" w:hAnsi="Arial" w:cs="Arial"/>
          <w:color w:val="222222"/>
          <w:sz w:val="20"/>
          <w:szCs w:val="20"/>
          <w:highlight w:val="yellow"/>
          <w:shd w:val="clear" w:color="auto" w:fill="FFFFFF"/>
        </w:rPr>
        <w:t>, </w:t>
      </w:r>
      <w:r w:rsidRPr="00BA1AFD">
        <w:rPr>
          <w:rFonts w:ascii="Arial" w:hAnsi="Arial" w:cs="Arial"/>
          <w:i/>
          <w:iCs/>
          <w:color w:val="222222"/>
          <w:sz w:val="20"/>
          <w:szCs w:val="20"/>
          <w:highlight w:val="yellow"/>
          <w:shd w:val="clear" w:color="auto" w:fill="FFFFFF"/>
        </w:rPr>
        <w:t>670</w:t>
      </w:r>
      <w:r w:rsidRPr="00BA1AFD">
        <w:rPr>
          <w:rFonts w:ascii="Arial" w:hAnsi="Arial" w:cs="Arial"/>
          <w:color w:val="222222"/>
          <w:sz w:val="20"/>
          <w:szCs w:val="20"/>
          <w:highlight w:val="yellow"/>
          <w:shd w:val="clear" w:color="auto" w:fill="FFFFFF"/>
        </w:rPr>
        <w:t xml:space="preserve">, 837-848. </w:t>
      </w:r>
      <w:hyperlink r:id="rId35" w:tgtFrame="_blank" w:tooltip="Persistent link using digital object identifier" w:history="1">
        <w:r w:rsidRPr="00BA1AFD">
          <w:rPr>
            <w:rStyle w:val="anchor-text"/>
            <w:rFonts w:ascii="Arial" w:hAnsi="Arial" w:cs="Arial"/>
            <w:color w:val="0272B1"/>
            <w:sz w:val="21"/>
            <w:szCs w:val="21"/>
            <w:highlight w:val="yellow"/>
          </w:rPr>
          <w:t>https://doi.org/10.1016/j.scitotenv.2019.03.161</w:t>
        </w:r>
      </w:hyperlink>
    </w:p>
    <w:p w14:paraId="7CBA2AF9" w14:textId="41FE8FAA" w:rsidR="00923E4E" w:rsidRPr="00BA1AFD" w:rsidRDefault="00923E4E" w:rsidP="00BA1AFD">
      <w:pPr>
        <w:pStyle w:val="ListParagraph"/>
        <w:numPr>
          <w:ilvl w:val="0"/>
          <w:numId w:val="22"/>
        </w:numPr>
        <w:shd w:val="clear" w:color="auto" w:fill="FFFFFF"/>
        <w:spacing w:after="0" w:line="240" w:lineRule="auto"/>
        <w:rPr>
          <w:rFonts w:ascii="Arial" w:eastAsia="Times New Roman" w:hAnsi="Arial" w:cs="Arial"/>
          <w:color w:val="333333"/>
          <w:szCs w:val="27"/>
          <w:highlight w:val="yellow"/>
          <w:lang w:val="en-US"/>
        </w:rPr>
      </w:pPr>
      <w:proofErr w:type="spellStart"/>
      <w:r w:rsidRPr="00BA1AFD">
        <w:rPr>
          <w:rFonts w:ascii="Arial" w:eastAsia="Times New Roman" w:hAnsi="Arial" w:cs="Arial"/>
          <w:color w:val="333333"/>
          <w:szCs w:val="27"/>
          <w:highlight w:val="yellow"/>
          <w:lang w:val="en-US"/>
        </w:rPr>
        <w:t>Samadhan</w:t>
      </w:r>
      <w:proofErr w:type="spellEnd"/>
      <w:r w:rsidRPr="00BA1AFD">
        <w:rPr>
          <w:rFonts w:ascii="Arial" w:eastAsia="Times New Roman" w:hAnsi="Arial" w:cs="Arial"/>
          <w:color w:val="333333"/>
          <w:szCs w:val="27"/>
          <w:highlight w:val="yellow"/>
          <w:lang w:val="en-US"/>
        </w:rPr>
        <w:t xml:space="preserve"> Yuvraj </w:t>
      </w:r>
      <w:proofErr w:type="spellStart"/>
      <w:r w:rsidRPr="00BA1AFD">
        <w:rPr>
          <w:rFonts w:ascii="Arial" w:eastAsia="Times New Roman" w:hAnsi="Arial" w:cs="Arial"/>
          <w:color w:val="333333"/>
          <w:szCs w:val="27"/>
          <w:highlight w:val="yellow"/>
          <w:lang w:val="en-US"/>
        </w:rPr>
        <w:t>Bagul</w:t>
      </w:r>
      <w:proofErr w:type="spellEnd"/>
      <w:r w:rsidRPr="00BA1AFD">
        <w:rPr>
          <w:rFonts w:ascii="Arial" w:eastAsia="Times New Roman" w:hAnsi="Arial" w:cs="Arial"/>
          <w:color w:val="333333"/>
          <w:szCs w:val="27"/>
          <w:highlight w:val="yellow"/>
          <w:lang w:val="en-US"/>
        </w:rPr>
        <w:t xml:space="preserve">, </w:t>
      </w:r>
      <w:proofErr w:type="spellStart"/>
      <w:r w:rsidRPr="00BA1AFD">
        <w:rPr>
          <w:rFonts w:ascii="Arial" w:eastAsia="Times New Roman" w:hAnsi="Arial" w:cs="Arial"/>
          <w:color w:val="333333"/>
          <w:szCs w:val="27"/>
          <w:highlight w:val="yellow"/>
          <w:lang w:val="en-US"/>
        </w:rPr>
        <w:t>Ritu</w:t>
      </w:r>
      <w:proofErr w:type="spellEnd"/>
      <w:r w:rsidRPr="00BA1AFD">
        <w:rPr>
          <w:rFonts w:ascii="Arial" w:eastAsia="Times New Roman" w:hAnsi="Arial" w:cs="Arial"/>
          <w:color w:val="333333"/>
          <w:szCs w:val="27"/>
          <w:highlight w:val="yellow"/>
          <w:lang w:val="en-US"/>
        </w:rPr>
        <w:t xml:space="preserve"> Vishwakarma, </w:t>
      </w:r>
      <w:proofErr w:type="spellStart"/>
      <w:r w:rsidRPr="00BA1AFD">
        <w:rPr>
          <w:rFonts w:ascii="Arial" w:eastAsia="Times New Roman" w:hAnsi="Arial" w:cs="Arial"/>
          <w:color w:val="333333"/>
          <w:szCs w:val="27"/>
          <w:highlight w:val="yellow"/>
          <w:lang w:val="en-US"/>
        </w:rPr>
        <w:t>Hillol</w:t>
      </w:r>
      <w:proofErr w:type="spellEnd"/>
      <w:r w:rsidRPr="00BA1AFD">
        <w:rPr>
          <w:rFonts w:ascii="Arial" w:eastAsia="Times New Roman" w:hAnsi="Arial" w:cs="Arial"/>
          <w:color w:val="333333"/>
          <w:szCs w:val="27"/>
          <w:highlight w:val="yellow"/>
          <w:lang w:val="en-US"/>
        </w:rPr>
        <w:t xml:space="preserve"> </w:t>
      </w:r>
      <w:proofErr w:type="spellStart"/>
      <w:r w:rsidRPr="00BA1AFD">
        <w:rPr>
          <w:rFonts w:ascii="Arial" w:eastAsia="Times New Roman" w:hAnsi="Arial" w:cs="Arial"/>
          <w:color w:val="333333"/>
          <w:szCs w:val="27"/>
          <w:highlight w:val="yellow"/>
          <w:lang w:val="en-US"/>
        </w:rPr>
        <w:t>Chakdar</w:t>
      </w:r>
      <w:proofErr w:type="spellEnd"/>
      <w:r w:rsidRPr="00BA1AFD">
        <w:rPr>
          <w:rFonts w:ascii="Arial" w:eastAsia="Times New Roman" w:hAnsi="Arial" w:cs="Arial"/>
          <w:color w:val="333333"/>
          <w:szCs w:val="27"/>
          <w:highlight w:val="yellow"/>
          <w:lang w:val="en-US"/>
        </w:rPr>
        <w:t xml:space="preserve">, K. </w:t>
      </w:r>
      <w:proofErr w:type="spellStart"/>
      <w:r w:rsidRPr="00BA1AFD">
        <w:rPr>
          <w:rFonts w:ascii="Arial" w:eastAsia="Times New Roman" w:hAnsi="Arial" w:cs="Arial"/>
          <w:color w:val="333333"/>
          <w:szCs w:val="27"/>
          <w:highlight w:val="yellow"/>
          <w:lang w:val="en-US"/>
        </w:rPr>
        <w:t>Pandiyan</w:t>
      </w:r>
      <w:proofErr w:type="spellEnd"/>
      <w:r w:rsidRPr="00BA1AFD">
        <w:rPr>
          <w:rFonts w:ascii="Arial" w:eastAsia="Times New Roman" w:hAnsi="Arial" w:cs="Arial"/>
          <w:color w:val="333333"/>
          <w:szCs w:val="27"/>
          <w:highlight w:val="yellow"/>
          <w:lang w:val="en-US"/>
        </w:rPr>
        <w:t xml:space="preserve">, and S. </w:t>
      </w:r>
      <w:proofErr w:type="spellStart"/>
      <w:r w:rsidRPr="00BA1AFD">
        <w:rPr>
          <w:rFonts w:ascii="Arial" w:eastAsia="Times New Roman" w:hAnsi="Arial" w:cs="Arial"/>
          <w:color w:val="333333"/>
          <w:szCs w:val="27"/>
          <w:highlight w:val="yellow"/>
          <w:lang w:val="en-US"/>
        </w:rPr>
        <w:t>Bandeppa</w:t>
      </w:r>
      <w:proofErr w:type="spellEnd"/>
      <w:r w:rsidRPr="00BA1AFD">
        <w:rPr>
          <w:rFonts w:ascii="Arial" w:eastAsia="Times New Roman" w:hAnsi="Arial" w:cs="Arial"/>
          <w:color w:val="333333"/>
          <w:szCs w:val="27"/>
          <w:highlight w:val="yellow"/>
          <w:lang w:val="en-US"/>
        </w:rPr>
        <w:t>. 2022. “Plant Growth-Promoting and Biocontrol Potential of Selected Cyanobacteria from Stress Environment”. </w:t>
      </w:r>
      <w:r w:rsidRPr="00BA1AFD">
        <w:rPr>
          <w:rFonts w:ascii="Arial" w:eastAsia="Times New Roman" w:hAnsi="Arial" w:cs="Arial"/>
          <w:i/>
          <w:iCs/>
          <w:color w:val="333333"/>
          <w:szCs w:val="27"/>
          <w:highlight w:val="yellow"/>
          <w:lang w:val="en-US"/>
        </w:rPr>
        <w:t>International Journal of Plant &amp; Soil Science</w:t>
      </w:r>
      <w:r w:rsidRPr="00BA1AFD">
        <w:rPr>
          <w:rFonts w:ascii="Arial" w:eastAsia="Times New Roman" w:hAnsi="Arial" w:cs="Arial"/>
          <w:color w:val="333333"/>
          <w:szCs w:val="27"/>
          <w:highlight w:val="yellow"/>
          <w:lang w:val="en-US"/>
        </w:rPr>
        <w:t xml:space="preserve"> 34 (22):485–494. </w:t>
      </w:r>
      <w:hyperlink r:id="rId36" w:history="1">
        <w:r w:rsidRPr="00BA1AFD">
          <w:rPr>
            <w:rStyle w:val="Hyperlink"/>
            <w:rFonts w:ascii="Arial" w:eastAsia="Times New Roman" w:hAnsi="Arial" w:cs="Arial"/>
            <w:szCs w:val="27"/>
            <w:highlight w:val="yellow"/>
            <w:lang w:val="en-US"/>
          </w:rPr>
          <w:t>https://doi.org/10.9734/ijpss/2022/v34i2231400</w:t>
        </w:r>
      </w:hyperlink>
      <w:r w:rsidRPr="00BA1AFD">
        <w:rPr>
          <w:rFonts w:ascii="Arial" w:eastAsia="Times New Roman" w:hAnsi="Arial" w:cs="Arial"/>
          <w:color w:val="333333"/>
          <w:szCs w:val="27"/>
          <w:highlight w:val="yellow"/>
          <w:lang w:val="en-US"/>
        </w:rPr>
        <w:t>.</w:t>
      </w:r>
    </w:p>
    <w:p w14:paraId="5424E67B" w14:textId="77777777" w:rsidR="00923E4E" w:rsidRPr="004D1A76" w:rsidRDefault="00923E4E" w:rsidP="00923E4E">
      <w:pPr>
        <w:shd w:val="clear" w:color="auto" w:fill="FFFFFF"/>
        <w:spacing w:after="0" w:line="240" w:lineRule="auto"/>
        <w:rPr>
          <w:rFonts w:ascii="Arial" w:eastAsia="Times New Roman" w:hAnsi="Arial" w:cs="Arial"/>
          <w:color w:val="333333"/>
          <w:szCs w:val="27"/>
          <w:lang w:val="en-US"/>
        </w:rPr>
      </w:pPr>
    </w:p>
    <w:p w14:paraId="34EED5D1" w14:textId="77777777" w:rsidR="00923E4E" w:rsidRPr="00BA1AFD" w:rsidRDefault="00923E4E" w:rsidP="00BA1AFD">
      <w:pPr>
        <w:pStyle w:val="ListParagraph"/>
        <w:numPr>
          <w:ilvl w:val="0"/>
          <w:numId w:val="22"/>
        </w:numPr>
        <w:shd w:val="clear" w:color="auto" w:fill="FFFFFF"/>
        <w:spacing w:after="0" w:line="240" w:lineRule="auto"/>
        <w:rPr>
          <w:rFonts w:ascii="Arial" w:eastAsia="Times New Roman" w:hAnsi="Arial" w:cs="Arial"/>
          <w:color w:val="333333"/>
          <w:szCs w:val="27"/>
          <w:lang w:val="en-US"/>
        </w:rPr>
      </w:pPr>
      <w:r w:rsidRPr="00BA1AFD">
        <w:rPr>
          <w:rFonts w:ascii="Arial" w:eastAsia="Times New Roman" w:hAnsi="Arial" w:cs="Arial"/>
          <w:color w:val="333333"/>
          <w:szCs w:val="27"/>
          <w:highlight w:val="yellow"/>
          <w:lang w:val="en-US"/>
        </w:rPr>
        <w:t xml:space="preserve">Sanjay Kumar Dubey, </w:t>
      </w:r>
      <w:proofErr w:type="spellStart"/>
      <w:r w:rsidRPr="00BA1AFD">
        <w:rPr>
          <w:rFonts w:ascii="Arial" w:eastAsia="Times New Roman" w:hAnsi="Arial" w:cs="Arial"/>
          <w:color w:val="333333"/>
          <w:szCs w:val="27"/>
          <w:highlight w:val="yellow"/>
          <w:lang w:val="en-US"/>
        </w:rPr>
        <w:t>Preeti</w:t>
      </w:r>
      <w:proofErr w:type="spellEnd"/>
      <w:r w:rsidRPr="00BA1AFD">
        <w:rPr>
          <w:rFonts w:ascii="Arial" w:eastAsia="Times New Roman" w:hAnsi="Arial" w:cs="Arial"/>
          <w:color w:val="333333"/>
          <w:szCs w:val="27"/>
          <w:highlight w:val="yellow"/>
          <w:lang w:val="en-US"/>
        </w:rPr>
        <w:t xml:space="preserve"> Vyas, Pradeep Tiwari, Amit J. </w:t>
      </w:r>
      <w:proofErr w:type="spellStart"/>
      <w:r w:rsidRPr="00BA1AFD">
        <w:rPr>
          <w:rFonts w:ascii="Arial" w:eastAsia="Times New Roman" w:hAnsi="Arial" w:cs="Arial"/>
          <w:color w:val="333333"/>
          <w:szCs w:val="27"/>
          <w:highlight w:val="yellow"/>
          <w:lang w:val="en-US"/>
        </w:rPr>
        <w:t>Viswas</w:t>
      </w:r>
      <w:proofErr w:type="spellEnd"/>
      <w:r w:rsidRPr="00BA1AFD">
        <w:rPr>
          <w:rFonts w:ascii="Arial" w:eastAsia="Times New Roman" w:hAnsi="Arial" w:cs="Arial"/>
          <w:color w:val="333333"/>
          <w:szCs w:val="27"/>
          <w:highlight w:val="yellow"/>
          <w:lang w:val="en-US"/>
        </w:rPr>
        <w:t xml:space="preserve">, and S. P. Bajpai. 2019. “Bioremediation of Industrial Effluent Using Cyanobacterial Species: </w:t>
      </w:r>
      <w:proofErr w:type="spellStart"/>
      <w:r w:rsidRPr="00BA1AFD">
        <w:rPr>
          <w:rFonts w:ascii="Arial" w:eastAsia="Times New Roman" w:hAnsi="Arial" w:cs="Arial"/>
          <w:color w:val="333333"/>
          <w:szCs w:val="27"/>
          <w:highlight w:val="yellow"/>
          <w:lang w:val="en-US"/>
        </w:rPr>
        <w:t>Phormidium</w:t>
      </w:r>
      <w:proofErr w:type="spellEnd"/>
      <w:r w:rsidRPr="00BA1AFD">
        <w:rPr>
          <w:rFonts w:ascii="Arial" w:eastAsia="Times New Roman" w:hAnsi="Arial" w:cs="Arial"/>
          <w:color w:val="333333"/>
          <w:szCs w:val="27"/>
          <w:highlight w:val="yellow"/>
          <w:lang w:val="en-US"/>
        </w:rPr>
        <w:t xml:space="preserve"> </w:t>
      </w:r>
      <w:proofErr w:type="spellStart"/>
      <w:r w:rsidRPr="00BA1AFD">
        <w:rPr>
          <w:rFonts w:ascii="Arial" w:eastAsia="Times New Roman" w:hAnsi="Arial" w:cs="Arial"/>
          <w:color w:val="333333"/>
          <w:szCs w:val="27"/>
          <w:highlight w:val="yellow"/>
          <w:lang w:val="en-US"/>
        </w:rPr>
        <w:t>Mucicola</w:t>
      </w:r>
      <w:proofErr w:type="spellEnd"/>
      <w:r w:rsidRPr="00BA1AFD">
        <w:rPr>
          <w:rFonts w:ascii="Arial" w:eastAsia="Times New Roman" w:hAnsi="Arial" w:cs="Arial"/>
          <w:color w:val="333333"/>
          <w:szCs w:val="27"/>
          <w:highlight w:val="yellow"/>
          <w:lang w:val="en-US"/>
        </w:rPr>
        <w:t xml:space="preserve"> and Anabaena </w:t>
      </w:r>
      <w:proofErr w:type="spellStart"/>
      <w:r w:rsidRPr="00BA1AFD">
        <w:rPr>
          <w:rFonts w:ascii="Arial" w:eastAsia="Times New Roman" w:hAnsi="Arial" w:cs="Arial"/>
          <w:color w:val="333333"/>
          <w:szCs w:val="27"/>
          <w:highlight w:val="yellow"/>
          <w:lang w:val="en-US"/>
        </w:rPr>
        <w:t>Aequalis</w:t>
      </w:r>
      <w:proofErr w:type="spellEnd"/>
      <w:r w:rsidRPr="00BA1AFD">
        <w:rPr>
          <w:rFonts w:ascii="Arial" w:eastAsia="Times New Roman" w:hAnsi="Arial" w:cs="Arial"/>
          <w:color w:val="333333"/>
          <w:szCs w:val="27"/>
          <w:highlight w:val="yellow"/>
          <w:lang w:val="en-US"/>
        </w:rPr>
        <w:t>”. </w:t>
      </w:r>
      <w:r w:rsidRPr="00BA1AFD">
        <w:rPr>
          <w:rFonts w:ascii="Arial" w:eastAsia="Times New Roman" w:hAnsi="Arial" w:cs="Arial"/>
          <w:i/>
          <w:iCs/>
          <w:color w:val="333333"/>
          <w:szCs w:val="27"/>
          <w:highlight w:val="yellow"/>
          <w:lang w:val="en-US"/>
        </w:rPr>
        <w:t>Annual Research &amp; Review in Biology</w:t>
      </w:r>
      <w:r w:rsidRPr="00BA1AFD">
        <w:rPr>
          <w:rFonts w:ascii="Arial" w:eastAsia="Times New Roman" w:hAnsi="Arial" w:cs="Arial"/>
          <w:color w:val="333333"/>
          <w:szCs w:val="27"/>
          <w:highlight w:val="yellow"/>
          <w:lang w:val="en-US"/>
        </w:rPr>
        <w:t> 31 (1):1–8. https://doi.org/10.9734/arrb/2019/v31i130037.</w:t>
      </w:r>
    </w:p>
    <w:p w14:paraId="5DDF840B" w14:textId="2548C74D" w:rsidR="005F1FE6" w:rsidRPr="005F1FE6" w:rsidRDefault="005F1FE6" w:rsidP="0075600F">
      <w:pPr>
        <w:spacing w:before="100" w:beforeAutospacing="1" w:after="100" w:afterAutospacing="1" w:line="240" w:lineRule="auto"/>
        <w:jc w:val="both"/>
      </w:pPr>
      <w:bookmarkStart w:id="0" w:name="_GoBack"/>
      <w:bookmarkEnd w:id="0"/>
    </w:p>
    <w:sectPr w:rsidR="005F1FE6" w:rsidRPr="005F1FE6" w:rsidSect="00CB6EB6">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332A2" w14:textId="77777777" w:rsidR="005D2B9C" w:rsidRDefault="005D2B9C" w:rsidP="00893026">
      <w:pPr>
        <w:spacing w:after="0" w:line="240" w:lineRule="auto"/>
      </w:pPr>
      <w:r>
        <w:separator/>
      </w:r>
    </w:p>
  </w:endnote>
  <w:endnote w:type="continuationSeparator" w:id="0">
    <w:p w14:paraId="4B9888B7" w14:textId="77777777" w:rsidR="005D2B9C" w:rsidRDefault="005D2B9C" w:rsidP="0089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BED40" w14:textId="77777777" w:rsidR="00893026" w:rsidRDefault="00893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1537A" w14:textId="77777777" w:rsidR="00893026" w:rsidRDefault="008930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22A32" w14:textId="77777777" w:rsidR="00893026" w:rsidRDefault="00893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93581" w14:textId="77777777" w:rsidR="005D2B9C" w:rsidRDefault="005D2B9C" w:rsidP="00893026">
      <w:pPr>
        <w:spacing w:after="0" w:line="240" w:lineRule="auto"/>
      </w:pPr>
      <w:r>
        <w:separator/>
      </w:r>
    </w:p>
  </w:footnote>
  <w:footnote w:type="continuationSeparator" w:id="0">
    <w:p w14:paraId="5590D8A1" w14:textId="77777777" w:rsidR="005D2B9C" w:rsidRDefault="005D2B9C" w:rsidP="00893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D97A8" w14:textId="77777777" w:rsidR="00893026" w:rsidRDefault="005D2B9C">
    <w:pPr>
      <w:pStyle w:val="Header"/>
    </w:pPr>
    <w:r>
      <w:rPr>
        <w:noProof/>
      </w:rPr>
      <w:pict w14:anchorId="744DF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43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B4679" w14:textId="77777777" w:rsidR="00893026" w:rsidRDefault="005D2B9C">
    <w:pPr>
      <w:pStyle w:val="Header"/>
    </w:pPr>
    <w:r>
      <w:rPr>
        <w:noProof/>
      </w:rPr>
      <w:pict w14:anchorId="6DB15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43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76D24" w14:textId="77777777" w:rsidR="00893026" w:rsidRDefault="005D2B9C">
    <w:pPr>
      <w:pStyle w:val="Header"/>
    </w:pPr>
    <w:r>
      <w:rPr>
        <w:noProof/>
      </w:rPr>
      <w:pict w14:anchorId="46F6A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943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352EA1"/>
    <w:multiLevelType w:val="hybridMultilevel"/>
    <w:tmpl w:val="17DA7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5"/>
  </w:num>
  <w:num w:numId="4">
    <w:abstractNumId w:val="3"/>
  </w:num>
  <w:num w:numId="5">
    <w:abstractNumId w:val="14"/>
  </w:num>
  <w:num w:numId="6">
    <w:abstractNumId w:val="5"/>
  </w:num>
  <w:num w:numId="7">
    <w:abstractNumId w:val="1"/>
  </w:num>
  <w:num w:numId="8">
    <w:abstractNumId w:val="21"/>
  </w:num>
  <w:num w:numId="9">
    <w:abstractNumId w:val="6"/>
  </w:num>
  <w:num w:numId="10">
    <w:abstractNumId w:val="7"/>
  </w:num>
  <w:num w:numId="11">
    <w:abstractNumId w:val="11"/>
  </w:num>
  <w:num w:numId="12">
    <w:abstractNumId w:val="10"/>
  </w:num>
  <w:num w:numId="13">
    <w:abstractNumId w:val="12"/>
  </w:num>
  <w:num w:numId="14">
    <w:abstractNumId w:val="4"/>
  </w:num>
  <w:num w:numId="15">
    <w:abstractNumId w:val="0"/>
  </w:num>
  <w:num w:numId="16">
    <w:abstractNumId w:val="13"/>
  </w:num>
  <w:num w:numId="17">
    <w:abstractNumId w:val="19"/>
  </w:num>
  <w:num w:numId="18">
    <w:abstractNumId w:val="18"/>
  </w:num>
  <w:num w:numId="19">
    <w:abstractNumId w:val="17"/>
  </w:num>
  <w:num w:numId="20">
    <w:abstractNumId w:val="9"/>
  </w:num>
  <w:num w:numId="21">
    <w:abstractNumId w:val="16"/>
  </w:num>
  <w:num w:numId="22">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ysjC2NDYxMTe1MDdR0lEKTi0uzszPAykwrAUA86izESwAAAA="/>
  </w:docVars>
  <w:rsids>
    <w:rsidRoot w:val="00761CB6"/>
    <w:rsid w:val="00007AAB"/>
    <w:rsid w:val="000425DD"/>
    <w:rsid w:val="00053D7A"/>
    <w:rsid w:val="0006037D"/>
    <w:rsid w:val="0006413B"/>
    <w:rsid w:val="000643E7"/>
    <w:rsid w:val="0006527C"/>
    <w:rsid w:val="000A0EB4"/>
    <w:rsid w:val="000C4F0E"/>
    <w:rsid w:val="000D461E"/>
    <w:rsid w:val="000E67D1"/>
    <w:rsid w:val="000E709D"/>
    <w:rsid w:val="000F27AA"/>
    <w:rsid w:val="00114147"/>
    <w:rsid w:val="001261CC"/>
    <w:rsid w:val="00126ADF"/>
    <w:rsid w:val="00131E50"/>
    <w:rsid w:val="00135191"/>
    <w:rsid w:val="00142919"/>
    <w:rsid w:val="001514E1"/>
    <w:rsid w:val="001560E3"/>
    <w:rsid w:val="00186E2A"/>
    <w:rsid w:val="0019059D"/>
    <w:rsid w:val="001A165A"/>
    <w:rsid w:val="001A3703"/>
    <w:rsid w:val="001A7A4E"/>
    <w:rsid w:val="001B5753"/>
    <w:rsid w:val="001E6EC5"/>
    <w:rsid w:val="00202F35"/>
    <w:rsid w:val="0022042D"/>
    <w:rsid w:val="002312EA"/>
    <w:rsid w:val="0024324D"/>
    <w:rsid w:val="00260455"/>
    <w:rsid w:val="00267B17"/>
    <w:rsid w:val="00271A26"/>
    <w:rsid w:val="002778DD"/>
    <w:rsid w:val="00284F1F"/>
    <w:rsid w:val="002A4C47"/>
    <w:rsid w:val="002B76E6"/>
    <w:rsid w:val="002C0DF9"/>
    <w:rsid w:val="002C48BB"/>
    <w:rsid w:val="002D6FFA"/>
    <w:rsid w:val="002E0776"/>
    <w:rsid w:val="002F4C0C"/>
    <w:rsid w:val="00307595"/>
    <w:rsid w:val="0031286E"/>
    <w:rsid w:val="00324701"/>
    <w:rsid w:val="00332243"/>
    <w:rsid w:val="0035701C"/>
    <w:rsid w:val="00361EE0"/>
    <w:rsid w:val="003664CE"/>
    <w:rsid w:val="00391BB6"/>
    <w:rsid w:val="00392C96"/>
    <w:rsid w:val="003975AE"/>
    <w:rsid w:val="003A104D"/>
    <w:rsid w:val="003A4787"/>
    <w:rsid w:val="003B035B"/>
    <w:rsid w:val="003B3553"/>
    <w:rsid w:val="003B400E"/>
    <w:rsid w:val="003B6CCD"/>
    <w:rsid w:val="003C31E9"/>
    <w:rsid w:val="003C4000"/>
    <w:rsid w:val="003E35A3"/>
    <w:rsid w:val="003F02C5"/>
    <w:rsid w:val="003F6E91"/>
    <w:rsid w:val="00405181"/>
    <w:rsid w:val="004132B1"/>
    <w:rsid w:val="004148C1"/>
    <w:rsid w:val="004148F5"/>
    <w:rsid w:val="00416C8C"/>
    <w:rsid w:val="00456E20"/>
    <w:rsid w:val="004615AF"/>
    <w:rsid w:val="004711B7"/>
    <w:rsid w:val="004A16BD"/>
    <w:rsid w:val="004A508F"/>
    <w:rsid w:val="004A5427"/>
    <w:rsid w:val="004A586B"/>
    <w:rsid w:val="004C1A63"/>
    <w:rsid w:val="004C6306"/>
    <w:rsid w:val="004C7547"/>
    <w:rsid w:val="004D1A76"/>
    <w:rsid w:val="004E7311"/>
    <w:rsid w:val="00516AA1"/>
    <w:rsid w:val="00523936"/>
    <w:rsid w:val="0052448D"/>
    <w:rsid w:val="0054487D"/>
    <w:rsid w:val="0056389E"/>
    <w:rsid w:val="00564FB4"/>
    <w:rsid w:val="005678C2"/>
    <w:rsid w:val="00571246"/>
    <w:rsid w:val="005B4ADB"/>
    <w:rsid w:val="005B6CC9"/>
    <w:rsid w:val="005D2267"/>
    <w:rsid w:val="005D2B9C"/>
    <w:rsid w:val="005F1FE6"/>
    <w:rsid w:val="0061521F"/>
    <w:rsid w:val="00622C65"/>
    <w:rsid w:val="00626F6E"/>
    <w:rsid w:val="00632906"/>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B66BC"/>
    <w:rsid w:val="006C1EC2"/>
    <w:rsid w:val="006D455D"/>
    <w:rsid w:val="006E4B0A"/>
    <w:rsid w:val="006F708E"/>
    <w:rsid w:val="00711B14"/>
    <w:rsid w:val="00713825"/>
    <w:rsid w:val="00720F41"/>
    <w:rsid w:val="00737A32"/>
    <w:rsid w:val="00755BDC"/>
    <w:rsid w:val="0075600F"/>
    <w:rsid w:val="00761CB6"/>
    <w:rsid w:val="00773599"/>
    <w:rsid w:val="0078275D"/>
    <w:rsid w:val="00783E9E"/>
    <w:rsid w:val="00786C67"/>
    <w:rsid w:val="007B0E74"/>
    <w:rsid w:val="007B437D"/>
    <w:rsid w:val="007C5F8A"/>
    <w:rsid w:val="007C7951"/>
    <w:rsid w:val="007D03BC"/>
    <w:rsid w:val="007D38FC"/>
    <w:rsid w:val="007E249F"/>
    <w:rsid w:val="007F1928"/>
    <w:rsid w:val="008017C0"/>
    <w:rsid w:val="00804929"/>
    <w:rsid w:val="008107F6"/>
    <w:rsid w:val="00812006"/>
    <w:rsid w:val="0083179B"/>
    <w:rsid w:val="008374C4"/>
    <w:rsid w:val="00855A4C"/>
    <w:rsid w:val="00856AFD"/>
    <w:rsid w:val="0087023A"/>
    <w:rsid w:val="00870945"/>
    <w:rsid w:val="00876190"/>
    <w:rsid w:val="008811F8"/>
    <w:rsid w:val="00883166"/>
    <w:rsid w:val="00893026"/>
    <w:rsid w:val="008A4BFC"/>
    <w:rsid w:val="008A7416"/>
    <w:rsid w:val="008E71C6"/>
    <w:rsid w:val="008F2A0E"/>
    <w:rsid w:val="008F3850"/>
    <w:rsid w:val="00907FD5"/>
    <w:rsid w:val="00921557"/>
    <w:rsid w:val="00923E4E"/>
    <w:rsid w:val="00925CAF"/>
    <w:rsid w:val="00951A3D"/>
    <w:rsid w:val="009536DC"/>
    <w:rsid w:val="009929A7"/>
    <w:rsid w:val="00992B92"/>
    <w:rsid w:val="00994A4A"/>
    <w:rsid w:val="009B3A8A"/>
    <w:rsid w:val="009B55DE"/>
    <w:rsid w:val="009C2B0E"/>
    <w:rsid w:val="009D0B9D"/>
    <w:rsid w:val="009D5BA5"/>
    <w:rsid w:val="009E5244"/>
    <w:rsid w:val="009F0120"/>
    <w:rsid w:val="00A029C3"/>
    <w:rsid w:val="00A2270F"/>
    <w:rsid w:val="00A27BF4"/>
    <w:rsid w:val="00A478B2"/>
    <w:rsid w:val="00A50845"/>
    <w:rsid w:val="00A5299F"/>
    <w:rsid w:val="00A5320E"/>
    <w:rsid w:val="00A54719"/>
    <w:rsid w:val="00A57A87"/>
    <w:rsid w:val="00A62C46"/>
    <w:rsid w:val="00A7055A"/>
    <w:rsid w:val="00A8506E"/>
    <w:rsid w:val="00AA2B64"/>
    <w:rsid w:val="00AA4644"/>
    <w:rsid w:val="00AA4B35"/>
    <w:rsid w:val="00AB0C7A"/>
    <w:rsid w:val="00AB1103"/>
    <w:rsid w:val="00AE651D"/>
    <w:rsid w:val="00AE79C2"/>
    <w:rsid w:val="00AF7425"/>
    <w:rsid w:val="00B06888"/>
    <w:rsid w:val="00B1065D"/>
    <w:rsid w:val="00B451DB"/>
    <w:rsid w:val="00B84C19"/>
    <w:rsid w:val="00BA1AFD"/>
    <w:rsid w:val="00BB6828"/>
    <w:rsid w:val="00BC43AE"/>
    <w:rsid w:val="00BD22E5"/>
    <w:rsid w:val="00BE38D4"/>
    <w:rsid w:val="00BF0896"/>
    <w:rsid w:val="00BF26BF"/>
    <w:rsid w:val="00BF31D8"/>
    <w:rsid w:val="00C0295E"/>
    <w:rsid w:val="00C033E1"/>
    <w:rsid w:val="00C04B81"/>
    <w:rsid w:val="00C077F0"/>
    <w:rsid w:val="00C1225B"/>
    <w:rsid w:val="00C13468"/>
    <w:rsid w:val="00C3420C"/>
    <w:rsid w:val="00C40318"/>
    <w:rsid w:val="00C404E0"/>
    <w:rsid w:val="00C41BA6"/>
    <w:rsid w:val="00C524EC"/>
    <w:rsid w:val="00C5683C"/>
    <w:rsid w:val="00C57B8F"/>
    <w:rsid w:val="00C6694F"/>
    <w:rsid w:val="00C7136B"/>
    <w:rsid w:val="00C93A8A"/>
    <w:rsid w:val="00C955E0"/>
    <w:rsid w:val="00CB0EDD"/>
    <w:rsid w:val="00CB6EB6"/>
    <w:rsid w:val="00CB75A8"/>
    <w:rsid w:val="00CE051F"/>
    <w:rsid w:val="00CE0C42"/>
    <w:rsid w:val="00CE5BFA"/>
    <w:rsid w:val="00D07932"/>
    <w:rsid w:val="00D2322A"/>
    <w:rsid w:val="00D370EF"/>
    <w:rsid w:val="00D40796"/>
    <w:rsid w:val="00D63323"/>
    <w:rsid w:val="00D71250"/>
    <w:rsid w:val="00D75C9D"/>
    <w:rsid w:val="00D9293B"/>
    <w:rsid w:val="00D95D20"/>
    <w:rsid w:val="00DA3203"/>
    <w:rsid w:val="00DC6BC2"/>
    <w:rsid w:val="00DC74C9"/>
    <w:rsid w:val="00DD62DF"/>
    <w:rsid w:val="00DF20BB"/>
    <w:rsid w:val="00DF5AB4"/>
    <w:rsid w:val="00E125DA"/>
    <w:rsid w:val="00E20962"/>
    <w:rsid w:val="00E22310"/>
    <w:rsid w:val="00E306A2"/>
    <w:rsid w:val="00E643E8"/>
    <w:rsid w:val="00E7044C"/>
    <w:rsid w:val="00E76785"/>
    <w:rsid w:val="00E97F4E"/>
    <w:rsid w:val="00EA45FD"/>
    <w:rsid w:val="00EC266D"/>
    <w:rsid w:val="00EC4D6C"/>
    <w:rsid w:val="00ED22CD"/>
    <w:rsid w:val="00EE2E7D"/>
    <w:rsid w:val="00EF4D40"/>
    <w:rsid w:val="00F13040"/>
    <w:rsid w:val="00F36C5B"/>
    <w:rsid w:val="00F43CC2"/>
    <w:rsid w:val="00F6047F"/>
    <w:rsid w:val="00F658FD"/>
    <w:rsid w:val="00F754E8"/>
    <w:rsid w:val="00FA03AB"/>
    <w:rsid w:val="00FA7321"/>
    <w:rsid w:val="00FB6475"/>
    <w:rsid w:val="00FC1A30"/>
    <w:rsid w:val="00FC3FB3"/>
    <w:rsid w:val="00FD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32529F"/>
  <w15:docId w15:val="{0C1EF1DF-66B0-461C-8445-C4A1836D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paragraph" w:styleId="Header">
    <w:name w:val="header"/>
    <w:basedOn w:val="Normal"/>
    <w:link w:val="HeaderChar"/>
    <w:uiPriority w:val="99"/>
    <w:unhideWhenUsed/>
    <w:rsid w:val="00893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026"/>
  </w:style>
  <w:style w:type="paragraph" w:styleId="Footer">
    <w:name w:val="footer"/>
    <w:basedOn w:val="Normal"/>
    <w:link w:val="FooterChar"/>
    <w:uiPriority w:val="99"/>
    <w:unhideWhenUsed/>
    <w:rsid w:val="00893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026"/>
  </w:style>
  <w:style w:type="character" w:styleId="CommentReference">
    <w:name w:val="annotation reference"/>
    <w:basedOn w:val="DefaultParagraphFont"/>
    <w:uiPriority w:val="99"/>
    <w:semiHidden/>
    <w:unhideWhenUsed/>
    <w:rsid w:val="00F658FD"/>
    <w:rPr>
      <w:sz w:val="16"/>
      <w:szCs w:val="16"/>
    </w:rPr>
  </w:style>
  <w:style w:type="paragraph" w:styleId="CommentText">
    <w:name w:val="annotation text"/>
    <w:basedOn w:val="Normal"/>
    <w:link w:val="CommentTextChar"/>
    <w:uiPriority w:val="99"/>
    <w:semiHidden/>
    <w:unhideWhenUsed/>
    <w:rsid w:val="00F658FD"/>
    <w:pPr>
      <w:spacing w:line="240" w:lineRule="auto"/>
    </w:pPr>
    <w:rPr>
      <w:sz w:val="20"/>
      <w:szCs w:val="20"/>
    </w:rPr>
  </w:style>
  <w:style w:type="character" w:customStyle="1" w:styleId="CommentTextChar">
    <w:name w:val="Comment Text Char"/>
    <w:basedOn w:val="DefaultParagraphFont"/>
    <w:link w:val="CommentText"/>
    <w:uiPriority w:val="99"/>
    <w:semiHidden/>
    <w:rsid w:val="00F658FD"/>
    <w:rPr>
      <w:sz w:val="20"/>
      <w:szCs w:val="20"/>
    </w:rPr>
  </w:style>
  <w:style w:type="paragraph" w:styleId="CommentSubject">
    <w:name w:val="annotation subject"/>
    <w:basedOn w:val="CommentText"/>
    <w:next w:val="CommentText"/>
    <w:link w:val="CommentSubjectChar"/>
    <w:uiPriority w:val="99"/>
    <w:semiHidden/>
    <w:unhideWhenUsed/>
    <w:rsid w:val="00F658FD"/>
    <w:rPr>
      <w:b/>
      <w:bCs/>
    </w:rPr>
  </w:style>
  <w:style w:type="character" w:customStyle="1" w:styleId="CommentSubjectChar">
    <w:name w:val="Comment Subject Char"/>
    <w:basedOn w:val="CommentTextChar"/>
    <w:link w:val="CommentSubject"/>
    <w:uiPriority w:val="99"/>
    <w:semiHidden/>
    <w:rsid w:val="00F658FD"/>
    <w:rPr>
      <w:b/>
      <w:bCs/>
      <w:sz w:val="20"/>
      <w:szCs w:val="20"/>
    </w:rPr>
  </w:style>
  <w:style w:type="character" w:customStyle="1" w:styleId="anchor-text">
    <w:name w:val="anchor-text"/>
    <w:basedOn w:val="DefaultParagraphFont"/>
    <w:rsid w:val="0075600F"/>
  </w:style>
  <w:style w:type="character" w:styleId="UnresolvedMention">
    <w:name w:val="Unresolved Mention"/>
    <w:basedOn w:val="DefaultParagraphFont"/>
    <w:uiPriority w:val="99"/>
    <w:semiHidden/>
    <w:unhideWhenUsed/>
    <w:rsid w:val="00923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27755913">
      <w:bodyDiv w:val="1"/>
      <w:marLeft w:val="0"/>
      <w:marRight w:val="0"/>
      <w:marTop w:val="0"/>
      <w:marBottom w:val="0"/>
      <w:divBdr>
        <w:top w:val="none" w:sz="0" w:space="0" w:color="auto"/>
        <w:left w:val="none" w:sz="0" w:space="0" w:color="auto"/>
        <w:bottom w:val="none" w:sz="0" w:space="0" w:color="auto"/>
        <w:right w:val="none" w:sz="0" w:space="0" w:color="auto"/>
      </w:divBdr>
      <w:divsChild>
        <w:div w:id="139658476">
          <w:marLeft w:val="0"/>
          <w:marRight w:val="0"/>
          <w:marTop w:val="0"/>
          <w:marBottom w:val="0"/>
          <w:divBdr>
            <w:top w:val="none" w:sz="0" w:space="0" w:color="auto"/>
            <w:left w:val="none" w:sz="0" w:space="0" w:color="auto"/>
            <w:bottom w:val="none" w:sz="0" w:space="0" w:color="auto"/>
            <w:right w:val="none" w:sz="0" w:space="0" w:color="auto"/>
          </w:divBdr>
          <w:divsChild>
            <w:div w:id="19162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23314796">
      <w:bodyDiv w:val="1"/>
      <w:marLeft w:val="0"/>
      <w:marRight w:val="0"/>
      <w:marTop w:val="0"/>
      <w:marBottom w:val="0"/>
      <w:divBdr>
        <w:top w:val="none" w:sz="0" w:space="0" w:color="auto"/>
        <w:left w:val="none" w:sz="0" w:space="0" w:color="auto"/>
        <w:bottom w:val="none" w:sz="0" w:space="0" w:color="auto"/>
        <w:right w:val="none" w:sz="0" w:space="0" w:color="auto"/>
      </w:divBdr>
      <w:divsChild>
        <w:div w:id="1072393924">
          <w:marLeft w:val="0"/>
          <w:marRight w:val="0"/>
          <w:marTop w:val="0"/>
          <w:marBottom w:val="0"/>
          <w:divBdr>
            <w:top w:val="none" w:sz="0" w:space="0" w:color="auto"/>
            <w:left w:val="none" w:sz="0" w:space="0" w:color="auto"/>
            <w:bottom w:val="none" w:sz="0" w:space="0" w:color="auto"/>
            <w:right w:val="none" w:sz="0" w:space="0" w:color="auto"/>
          </w:divBdr>
          <w:divsChild>
            <w:div w:id="1565872766">
              <w:marLeft w:val="0"/>
              <w:marRight w:val="0"/>
              <w:marTop w:val="0"/>
              <w:marBottom w:val="0"/>
              <w:divBdr>
                <w:top w:val="none" w:sz="0" w:space="0" w:color="auto"/>
                <w:left w:val="none" w:sz="0" w:space="0" w:color="auto"/>
                <w:bottom w:val="none" w:sz="0" w:space="0" w:color="auto"/>
                <w:right w:val="none" w:sz="0" w:space="0" w:color="auto"/>
              </w:divBdr>
              <w:divsChild>
                <w:div w:id="81534817">
                  <w:marLeft w:val="0"/>
                  <w:marRight w:val="0"/>
                  <w:marTop w:val="0"/>
                  <w:marBottom w:val="0"/>
                  <w:divBdr>
                    <w:top w:val="none" w:sz="0" w:space="0" w:color="auto"/>
                    <w:left w:val="none" w:sz="0" w:space="0" w:color="auto"/>
                    <w:bottom w:val="none" w:sz="0" w:space="0" w:color="auto"/>
                    <w:right w:val="none" w:sz="0" w:space="0" w:color="auto"/>
                  </w:divBdr>
                  <w:divsChild>
                    <w:div w:id="6563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9811435">
      <w:bodyDiv w:val="1"/>
      <w:marLeft w:val="0"/>
      <w:marRight w:val="0"/>
      <w:marTop w:val="0"/>
      <w:marBottom w:val="0"/>
      <w:divBdr>
        <w:top w:val="none" w:sz="0" w:space="0" w:color="auto"/>
        <w:left w:val="none" w:sz="0" w:space="0" w:color="auto"/>
        <w:bottom w:val="none" w:sz="0" w:space="0" w:color="auto"/>
        <w:right w:val="none" w:sz="0" w:space="0" w:color="auto"/>
      </w:divBdr>
      <w:divsChild>
        <w:div w:id="1784225947">
          <w:marLeft w:val="0"/>
          <w:marRight w:val="0"/>
          <w:marTop w:val="0"/>
          <w:marBottom w:val="0"/>
          <w:divBdr>
            <w:top w:val="none" w:sz="0" w:space="0" w:color="auto"/>
            <w:left w:val="none" w:sz="0" w:space="0" w:color="auto"/>
            <w:bottom w:val="none" w:sz="0" w:space="0" w:color="auto"/>
            <w:right w:val="none" w:sz="0" w:space="0" w:color="auto"/>
          </w:divBdr>
          <w:divsChild>
            <w:div w:id="1744831417">
              <w:marLeft w:val="0"/>
              <w:marRight w:val="0"/>
              <w:marTop w:val="0"/>
              <w:marBottom w:val="0"/>
              <w:divBdr>
                <w:top w:val="none" w:sz="0" w:space="0" w:color="auto"/>
                <w:left w:val="none" w:sz="0" w:space="0" w:color="auto"/>
                <w:bottom w:val="none" w:sz="0" w:space="0" w:color="auto"/>
                <w:right w:val="none" w:sz="0" w:space="0" w:color="auto"/>
              </w:divBdr>
              <w:divsChild>
                <w:div w:id="728381493">
                  <w:marLeft w:val="0"/>
                  <w:marRight w:val="0"/>
                  <w:marTop w:val="0"/>
                  <w:marBottom w:val="0"/>
                  <w:divBdr>
                    <w:top w:val="none" w:sz="0" w:space="0" w:color="auto"/>
                    <w:left w:val="none" w:sz="0" w:space="0" w:color="auto"/>
                    <w:bottom w:val="none" w:sz="0" w:space="0" w:color="auto"/>
                    <w:right w:val="none" w:sz="0" w:space="0" w:color="auto"/>
                  </w:divBdr>
                  <w:divsChild>
                    <w:div w:id="45563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661-021-09131-w" TargetMode="External"/><Relationship Id="rId18" Type="http://schemas.openxmlformats.org/officeDocument/2006/relationships/hyperlink" Target="https://doi.org/10.1007/s10661-019-7247-0" TargetMode="External"/><Relationship Id="rId26" Type="http://schemas.openxmlformats.org/officeDocument/2006/relationships/hyperlink" Target="https://doi.org/10.1016/j.watres.2017.09.026" TargetMode="External"/><Relationship Id="rId39" Type="http://schemas.openxmlformats.org/officeDocument/2006/relationships/footer" Target="footer1.xml"/><Relationship Id="rId21" Type="http://schemas.openxmlformats.org/officeDocument/2006/relationships/hyperlink" Target="https://doi.org/10.1007/s40974-023-00277-6" TargetMode="External"/><Relationship Id="rId34" Type="http://schemas.openxmlformats.org/officeDocument/2006/relationships/hyperlink" Target="https://doi.org/10.1016/j.heliyon.2019.e01312"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0661-023-11888-1" TargetMode="External"/><Relationship Id="rId20" Type="http://schemas.openxmlformats.org/officeDocument/2006/relationships/hyperlink" Target="https://doi.org/10.1111/lre.70010" TargetMode="External"/><Relationship Id="rId29" Type="http://schemas.openxmlformats.org/officeDocument/2006/relationships/hyperlink" Target="https://doi.org/10.1016/j.limno.2016.11.008"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631-019-00360-y" TargetMode="External"/><Relationship Id="rId24" Type="http://schemas.openxmlformats.org/officeDocument/2006/relationships/hyperlink" Target="https://doi.org/10.1007/s10661-022-10692-7" TargetMode="External"/><Relationship Id="rId32" Type="http://schemas.openxmlformats.org/officeDocument/2006/relationships/hyperlink" Target="https://doi.org/10.1007/s10661-011-2480-1"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38/s41579-018-0040-1" TargetMode="External"/><Relationship Id="rId23" Type="http://schemas.openxmlformats.org/officeDocument/2006/relationships/hyperlink" Target="https://doi.org/10.1007/s10661-009-1171-7" TargetMode="External"/><Relationship Id="rId28" Type="http://schemas.openxmlformats.org/officeDocument/2006/relationships/hyperlink" Target="https://doi.org/10.1016/j.eti.2020.101102" TargetMode="External"/><Relationship Id="rId36" Type="http://schemas.openxmlformats.org/officeDocument/2006/relationships/hyperlink" Target="https://doi.org/10.9734/ijpss/2022/v34i2231400" TargetMode="External"/><Relationship Id="rId10" Type="http://schemas.openxmlformats.org/officeDocument/2006/relationships/hyperlink" Target="https://doi.org/10.3390/w12092365" TargetMode="External"/><Relationship Id="rId19" Type="http://schemas.openxmlformats.org/officeDocument/2006/relationships/hyperlink" Target="https://doi.org/10.1007/s10661-022-09869-x" TargetMode="External"/><Relationship Id="rId31" Type="http://schemas.openxmlformats.org/officeDocument/2006/relationships/hyperlink" Target="https://doi.org/10.1016/j.pce.2017.09.00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iencedirect.com/topics/earth-and-planetary-sciences/secondary-metabolite" TargetMode="External"/><Relationship Id="rId14" Type="http://schemas.openxmlformats.org/officeDocument/2006/relationships/hyperlink" Target="https://doi.org/10.1016/j.hal.2019.03.008" TargetMode="External"/><Relationship Id="rId22" Type="http://schemas.openxmlformats.org/officeDocument/2006/relationships/hyperlink" Target="https://doi.org/10.1016/j.hal.2021.102160" TargetMode="External"/><Relationship Id="rId27" Type="http://schemas.openxmlformats.org/officeDocument/2006/relationships/hyperlink" Target="https://doi.org/10.1016/j.toxicon.2025.108631" TargetMode="External"/><Relationship Id="rId30" Type="http://schemas.openxmlformats.org/officeDocument/2006/relationships/hyperlink" Target="https://doi.org/10.1007/s10750-012-1091-3" TargetMode="External"/><Relationship Id="rId35" Type="http://schemas.openxmlformats.org/officeDocument/2006/relationships/hyperlink" Target="https://doi.org/10.1016/j.scitotenv.2019.03.161" TargetMode="External"/><Relationship Id="rId43" Type="http://schemas.openxmlformats.org/officeDocument/2006/relationships/fontTable" Target="fontTable.xml"/><Relationship Id="rId8" Type="http://schemas.openxmlformats.org/officeDocument/2006/relationships/hyperlink" Target="https://www.sciencedirect.com/topics/agricultural-and-biological-sciences/photosynthetic-bacteria" TargetMode="External"/><Relationship Id="rId3" Type="http://schemas.openxmlformats.org/officeDocument/2006/relationships/styles" Target="styles.xml"/><Relationship Id="rId12" Type="http://schemas.openxmlformats.org/officeDocument/2006/relationships/hyperlink" Target="https://doi.org/10.1016/j.ecohyd.2018.03.002" TargetMode="External"/><Relationship Id="rId17" Type="http://schemas.openxmlformats.org/officeDocument/2006/relationships/hyperlink" Target="https://doi.org/10.1016/j.wsj.2017.03.003" TargetMode="External"/><Relationship Id="rId25" Type="http://schemas.openxmlformats.org/officeDocument/2006/relationships/hyperlink" Target="https://doi.org/10.1021/acs.est.6b02575" TargetMode="External"/><Relationship Id="rId33" Type="http://schemas.openxmlformats.org/officeDocument/2006/relationships/hyperlink" Target="https://doi.org/10.1016/j.scitotenv.2018.09.320"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FC4F1-3D14-43FB-B4BE-6E9330724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7109</Words>
  <Characters>40525</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Editor-1183</cp:lastModifiedBy>
  <cp:revision>14</cp:revision>
  <cp:lastPrinted>2025-12-13T07:14:00Z</cp:lastPrinted>
  <dcterms:created xsi:type="dcterms:W3CDTF">2025-12-25T09:05:00Z</dcterms:created>
  <dcterms:modified xsi:type="dcterms:W3CDTF">2025-12-29T08:08:00Z</dcterms:modified>
</cp:coreProperties>
</file>