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F7723" w14:textId="74D1C81A" w:rsidR="00754C9A" w:rsidRDefault="004B6170" w:rsidP="00441B6F">
      <w:pPr>
        <w:pStyle w:val="Title"/>
        <w:spacing w:after="0"/>
        <w:jc w:val="both"/>
        <w:rPr>
          <w:rFonts w:ascii="Arial" w:hAnsi="Arial" w:cs="Arial"/>
        </w:rPr>
      </w:pPr>
      <w:r>
        <w:rPr>
          <w:rFonts w:ascii="Arial" w:hAnsi="Arial" w:cs="Arial"/>
        </w:rPr>
        <w:t xml:space="preserve">                                               </w:t>
      </w:r>
    </w:p>
    <w:p w14:paraId="26EA5B0C" w14:textId="6AB379E6" w:rsidR="00163BC4" w:rsidRPr="00163BC4" w:rsidRDefault="00461EA8" w:rsidP="00441B6F">
      <w:pPr>
        <w:pStyle w:val="Author"/>
        <w:spacing w:line="240" w:lineRule="auto"/>
        <w:rPr>
          <w:rFonts w:ascii="Arial" w:hAnsi="Arial" w:cs="Arial"/>
          <w:bCs/>
          <w:iCs/>
          <w:kern w:val="28"/>
          <w:sz w:val="36"/>
        </w:rPr>
      </w:pPr>
      <w:r w:rsidRPr="00461EA8">
        <w:rPr>
          <w:rFonts w:ascii="Arial" w:hAnsi="Arial" w:cs="Arial"/>
          <w:bCs/>
          <w:iCs/>
          <w:kern w:val="28"/>
          <w:sz w:val="36"/>
        </w:rPr>
        <w:t>Geology-Driven Variability of Urban Terrestrial Gamma Radiation and Soil Contamination</w:t>
      </w:r>
      <w:r w:rsidR="00A21966">
        <w:rPr>
          <w:rFonts w:ascii="Arial" w:hAnsi="Arial" w:cs="Arial"/>
          <w:bCs/>
          <w:iCs/>
          <w:kern w:val="28"/>
          <w:sz w:val="36"/>
        </w:rPr>
        <w:t xml:space="preserve"> Index UCSI:</w:t>
      </w:r>
      <w:r w:rsidRPr="00461EA8">
        <w:rPr>
          <w:rFonts w:ascii="Arial" w:hAnsi="Arial" w:cs="Arial"/>
          <w:bCs/>
          <w:iCs/>
          <w:kern w:val="28"/>
          <w:sz w:val="36"/>
        </w:rPr>
        <w:t xml:space="preserve"> Evidence from </w:t>
      </w:r>
      <w:proofErr w:type="spellStart"/>
      <w:r w:rsidRPr="00461EA8">
        <w:rPr>
          <w:rFonts w:ascii="Arial" w:hAnsi="Arial" w:cs="Arial"/>
          <w:bCs/>
          <w:iCs/>
          <w:kern w:val="28"/>
          <w:sz w:val="36"/>
        </w:rPr>
        <w:t>Carborne</w:t>
      </w:r>
      <w:proofErr w:type="spellEnd"/>
      <w:r w:rsidRPr="00461EA8">
        <w:rPr>
          <w:rFonts w:ascii="Arial" w:hAnsi="Arial" w:cs="Arial"/>
          <w:bCs/>
          <w:iCs/>
          <w:kern w:val="28"/>
          <w:sz w:val="36"/>
        </w:rPr>
        <w:t xml:space="preserve"> Surveys in Peninsular Malaysia</w:t>
      </w:r>
    </w:p>
    <w:p w14:paraId="07B3B354" w14:textId="77777777" w:rsidR="00A258C3" w:rsidRPr="00790ADA" w:rsidRDefault="00A258C3" w:rsidP="00441B6F">
      <w:pPr>
        <w:pStyle w:val="Author"/>
        <w:spacing w:line="240" w:lineRule="auto"/>
        <w:jc w:val="both"/>
        <w:rPr>
          <w:rFonts w:ascii="Arial" w:hAnsi="Arial" w:cs="Arial"/>
          <w:sz w:val="36"/>
        </w:rPr>
      </w:pPr>
    </w:p>
    <w:p w14:paraId="2057D042" w14:textId="77777777" w:rsidR="00790ADA" w:rsidRDefault="00790ADA" w:rsidP="00441B6F">
      <w:pPr>
        <w:pStyle w:val="Affiliation"/>
        <w:spacing w:after="0" w:line="240" w:lineRule="auto"/>
        <w:jc w:val="both"/>
        <w:rPr>
          <w:rFonts w:ascii="Arial" w:hAnsi="Arial" w:cs="Arial"/>
        </w:rPr>
      </w:pPr>
    </w:p>
    <w:p w14:paraId="63DD34B7" w14:textId="77777777" w:rsidR="002C57D2" w:rsidRPr="00FB3A86" w:rsidRDefault="002C57D2" w:rsidP="00441B6F">
      <w:pPr>
        <w:pStyle w:val="Affiliation"/>
        <w:spacing w:after="0" w:line="240" w:lineRule="auto"/>
        <w:jc w:val="both"/>
        <w:rPr>
          <w:rFonts w:ascii="Arial" w:hAnsi="Arial" w:cs="Arial"/>
        </w:rPr>
      </w:pPr>
    </w:p>
    <w:p w14:paraId="383C336D" w14:textId="301A55FD" w:rsidR="00B01FCD" w:rsidRPr="00FB3A86" w:rsidRDefault="004E128F" w:rsidP="00441B6F">
      <w:pPr>
        <w:pStyle w:val="Copyright"/>
        <w:spacing w:after="0" w:line="240" w:lineRule="auto"/>
        <w:jc w:val="both"/>
        <w:rPr>
          <w:rFonts w:ascii="Arial" w:hAnsi="Arial" w:cs="Arial"/>
        </w:rPr>
        <w:sectPr w:rsidR="00B01FCD" w:rsidRPr="00FB3A86" w:rsidSect="00CD506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pict w14:anchorId="1798EA1D">
          <v:shapetype id="_x0000_t32" coordsize="21600,21600" o:spt="32" o:oned="t" path="m,l21600,21600e" filled="f">
            <v:path arrowok="t" fillok="f" o:connecttype="none"/>
            <o:lock v:ext="edit" shapetype="t"/>
          </v:shapetype>
          <v:shape id="AutoShape 2" o:spid="_x0000_s1026" type="#_x0000_t32" alt="" style="width:417.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 strokeweight="1.5pt">
            <o:lock v:ext="edit" shapetype="f"/>
            <w10:anchorlock/>
          </v:shape>
        </w:pict>
      </w:r>
      <w:r w:rsidR="00FB3A86">
        <w:rPr>
          <w:rFonts w:ascii="Arial" w:hAnsi="Arial" w:cs="Arial"/>
        </w:rPr>
        <w:t>.</w:t>
      </w:r>
    </w:p>
    <w:p w14:paraId="788D9DC8" w14:textId="2ECE7E3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BEB02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14C357A" w14:textId="77777777" w:rsidTr="001E44FE">
        <w:tc>
          <w:tcPr>
            <w:tcW w:w="9576" w:type="dxa"/>
            <w:shd w:val="clear" w:color="auto" w:fill="F2F2F2"/>
          </w:tcPr>
          <w:p w14:paraId="74E54377" w14:textId="6E3492E4" w:rsidR="00165C7E" w:rsidRDefault="00165C7E" w:rsidP="00165C7E">
            <w:pPr>
              <w:pStyle w:val="NormalWeb"/>
              <w:spacing w:before="0" w:beforeAutospacing="0" w:after="0" w:afterAutospacing="0"/>
              <w:jc w:val="both"/>
              <w:rPr>
                <w:rFonts w:ascii="Arial" w:hAnsi="Arial" w:cs="Arial"/>
              </w:rPr>
            </w:pPr>
            <w:r w:rsidRPr="00165C7E">
              <w:rPr>
                <w:rStyle w:val="Strong"/>
                <w:rFonts w:ascii="Arial" w:hAnsi="Arial" w:cs="Arial"/>
              </w:rPr>
              <w:t>Aims:</w:t>
            </w:r>
            <w:r w:rsidR="000061E1">
              <w:rPr>
                <w:rStyle w:val="Strong"/>
                <w:rFonts w:ascii="Arial" w:hAnsi="Arial" w:cs="Arial"/>
              </w:rPr>
              <w:t xml:space="preserve"> </w:t>
            </w:r>
            <w:r w:rsidRPr="00165C7E">
              <w:rPr>
                <w:rFonts w:ascii="Arial" w:hAnsi="Arial" w:cs="Arial"/>
              </w:rPr>
              <w:t>This study aims to evaluate geology-driven variability in terrestrial gamma radiation (TGR) and urban soil radioactivity in major cities of Peninsular Malaysia, and to determine whether underlying lithology continues to influence radiation levels despite extensive urban modification. A secondary aim is to quantify the Urban Soil Contamination Index (USCI) to assess anthropogenic contributions to radiological variability.</w:t>
            </w:r>
          </w:p>
          <w:p w14:paraId="01B6FC30" w14:textId="764489D8" w:rsid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Study Design:</w:t>
            </w:r>
            <w:r>
              <w:rPr>
                <w:rStyle w:val="Strong"/>
                <w:rFonts w:ascii="Arial" w:hAnsi="Arial" w:cs="Arial"/>
              </w:rPr>
              <w:t xml:space="preserve"> </w:t>
            </w:r>
            <w:r w:rsidRPr="00165C7E">
              <w:rPr>
                <w:rFonts w:ascii="Arial" w:hAnsi="Arial" w:cs="Arial"/>
              </w:rPr>
              <w:t xml:space="preserve">A cross-sectional environmental radiation survey integrating </w:t>
            </w:r>
            <w:proofErr w:type="spellStart"/>
            <w:r w:rsidRPr="00165C7E">
              <w:rPr>
                <w:rFonts w:ascii="Arial" w:hAnsi="Arial" w:cs="Arial"/>
              </w:rPr>
              <w:t>carborne</w:t>
            </w:r>
            <w:proofErr w:type="spellEnd"/>
            <w:r w:rsidRPr="00165C7E">
              <w:rPr>
                <w:rFonts w:ascii="Arial" w:hAnsi="Arial" w:cs="Arial"/>
              </w:rPr>
              <w:t xml:space="preserve"> gamma measurements, soil radioactivity analyses, and geological mapping.</w:t>
            </w:r>
          </w:p>
          <w:p w14:paraId="6F404001" w14:textId="0B84873B" w:rsidR="00165C7E" w:rsidRP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Place and Duration of Study:</w:t>
            </w:r>
            <w:r>
              <w:rPr>
                <w:rStyle w:val="Strong"/>
                <w:rFonts w:ascii="Arial" w:hAnsi="Arial" w:cs="Arial"/>
              </w:rPr>
              <w:t xml:space="preserve"> </w:t>
            </w:r>
            <w:r w:rsidRPr="00165C7E">
              <w:rPr>
                <w:rFonts w:ascii="Arial" w:hAnsi="Arial" w:cs="Arial"/>
              </w:rPr>
              <w:t>Surveys were conducted across 13 major urban areas in Peninsular Malaysia between December 2023 and October 2024.</w:t>
            </w:r>
          </w:p>
          <w:p w14:paraId="0EE44B85" w14:textId="1CF7204B" w:rsidR="00165C7E" w:rsidRPr="00165C7E" w:rsidRDefault="00165C7E" w:rsidP="00165C7E">
            <w:pPr>
              <w:pStyle w:val="NormalWeb"/>
              <w:spacing w:before="0" w:beforeAutospacing="0" w:after="0" w:afterAutospacing="0"/>
              <w:jc w:val="both"/>
              <w:rPr>
                <w:rFonts w:ascii="Arial" w:hAnsi="Arial" w:cs="Arial"/>
              </w:rPr>
            </w:pPr>
            <w:r w:rsidRPr="00165C7E">
              <w:rPr>
                <w:rStyle w:val="Strong"/>
                <w:rFonts w:ascii="Arial" w:hAnsi="Arial" w:cs="Arial"/>
              </w:rPr>
              <w:t>Methodology:</w:t>
            </w:r>
            <w:r>
              <w:rPr>
                <w:rStyle w:val="Strong"/>
                <w:rFonts w:ascii="Arial" w:hAnsi="Arial" w:cs="Arial"/>
              </w:rPr>
              <w:t xml:space="preserve"> </w:t>
            </w:r>
            <w:r w:rsidRPr="00165C7E">
              <w:rPr>
                <w:rFonts w:ascii="Arial" w:hAnsi="Arial" w:cs="Arial"/>
              </w:rPr>
              <w:t xml:space="preserve">A systematic </w:t>
            </w:r>
            <w:proofErr w:type="spellStart"/>
            <w:r w:rsidRPr="00165C7E">
              <w:rPr>
                <w:rFonts w:ascii="Arial" w:hAnsi="Arial" w:cs="Arial"/>
              </w:rPr>
              <w:t>carborne</w:t>
            </w:r>
            <w:proofErr w:type="spellEnd"/>
            <w:r w:rsidRPr="00165C7E">
              <w:rPr>
                <w:rFonts w:ascii="Arial" w:hAnsi="Arial" w:cs="Arial"/>
              </w:rPr>
              <w:t xml:space="preserve"> survey was performed with a spatial resolution of ~1.5 km² per measurement, yielding 9,754 TGR dose-rate records. Calibration followed IEC and IAEA protocols using a Ludlum Model 19 Micro R Meter, supported by </w:t>
            </w:r>
            <w:proofErr w:type="spellStart"/>
            <w:r w:rsidRPr="00165C7E">
              <w:rPr>
                <w:rFonts w:ascii="Arial" w:hAnsi="Arial" w:cs="Arial"/>
              </w:rPr>
              <w:t>HPGe</w:t>
            </w:r>
            <w:proofErr w:type="spellEnd"/>
            <w:r w:rsidRPr="00165C7E">
              <w:rPr>
                <w:rFonts w:ascii="Arial" w:hAnsi="Arial" w:cs="Arial"/>
              </w:rPr>
              <w:t xml:space="preserve"> spectrometry. A total of 120 surface soil samples were analysed for activity concentrations of the </w:t>
            </w:r>
            <w:r w:rsidRPr="00165C7E">
              <w:rPr>
                <w:rFonts w:ascii="Arial" w:hAnsi="Arial" w:cs="Arial"/>
                <w:vertAlign w:val="superscript"/>
              </w:rPr>
              <w:t>238</w:t>
            </w:r>
            <w:r w:rsidRPr="00165C7E">
              <w:rPr>
                <w:rFonts w:ascii="Arial" w:hAnsi="Arial" w:cs="Arial"/>
              </w:rPr>
              <w:t xml:space="preserve">U and </w:t>
            </w:r>
            <w:r w:rsidRPr="00165C7E">
              <w:rPr>
                <w:rFonts w:ascii="Arial" w:hAnsi="Arial" w:cs="Arial"/>
                <w:vertAlign w:val="superscript"/>
              </w:rPr>
              <w:t>232</w:t>
            </w:r>
            <w:r w:rsidRPr="00165C7E">
              <w:rPr>
                <w:rFonts w:ascii="Arial" w:hAnsi="Arial" w:cs="Arial"/>
              </w:rPr>
              <w:t xml:space="preserve">Th decay series and </w:t>
            </w:r>
            <w:r w:rsidRPr="00165C7E">
              <w:rPr>
                <w:rFonts w:ascii="Arial" w:hAnsi="Arial" w:cs="Arial"/>
                <w:vertAlign w:val="superscript"/>
              </w:rPr>
              <w:t>40</w:t>
            </w:r>
            <w:r w:rsidRPr="00165C7E">
              <w:rPr>
                <w:rFonts w:ascii="Arial" w:hAnsi="Arial" w:cs="Arial"/>
              </w:rPr>
              <w:t>K. USCI values were calculated from radionuclide ratios (U/K, Th/K, Th/U) to characterise anthropogenic alteration in superficial urban soils.</w:t>
            </w:r>
          </w:p>
          <w:p w14:paraId="6731E92F" w14:textId="556EB07E" w:rsidR="00165C7E" w:rsidRP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Results:</w:t>
            </w:r>
            <w:r>
              <w:rPr>
                <w:rStyle w:val="Strong"/>
                <w:rFonts w:ascii="Arial" w:hAnsi="Arial" w:cs="Arial"/>
              </w:rPr>
              <w:t xml:space="preserve"> </w:t>
            </w:r>
            <w:r w:rsidRPr="00165C7E">
              <w:rPr>
                <w:rFonts w:ascii="Arial" w:hAnsi="Arial" w:cs="Arial"/>
              </w:rPr>
              <w:t xml:space="preserve">Urban TGR ranged from 47–371 </w:t>
            </w:r>
            <w:proofErr w:type="spellStart"/>
            <w:r w:rsidRPr="00165C7E">
              <w:rPr>
                <w:rFonts w:ascii="Arial" w:hAnsi="Arial" w:cs="Arial"/>
              </w:rPr>
              <w:t>nGy</w:t>
            </w:r>
            <w:proofErr w:type="spellEnd"/>
            <w:r w:rsidRPr="00165C7E">
              <w:rPr>
                <w:rFonts w:ascii="Arial" w:hAnsi="Arial" w:cs="Arial"/>
              </w:rPr>
              <w:t xml:space="preserve"> h</w:t>
            </w:r>
            <w:r w:rsidRPr="00165C7E">
              <w:rPr>
                <w:rFonts w:ascii="Cambria Math" w:hAnsi="Cambria Math" w:cs="Cambria Math"/>
              </w:rPr>
              <w:t>⁻</w:t>
            </w:r>
            <w:r w:rsidRPr="00165C7E">
              <w:rPr>
                <w:rFonts w:ascii="Arial" w:hAnsi="Arial" w:cs="Arial"/>
              </w:rPr>
              <w:t xml:space="preserve">¹, with the lowest means in </w:t>
            </w:r>
            <w:proofErr w:type="spellStart"/>
            <w:r w:rsidRPr="00165C7E">
              <w:rPr>
                <w:rFonts w:ascii="Arial" w:hAnsi="Arial" w:cs="Arial"/>
              </w:rPr>
              <w:t>Kangar</w:t>
            </w:r>
            <w:proofErr w:type="spellEnd"/>
            <w:r w:rsidRPr="00165C7E">
              <w:rPr>
                <w:rFonts w:ascii="Arial" w:hAnsi="Arial" w:cs="Arial"/>
              </w:rPr>
              <w:t xml:space="preserve"> and Kuala Terengganu and the highest in Ipoh, Seremban and Melaka. Soil radionuclide concentrations varied widely: </w:t>
            </w:r>
            <w:r w:rsidRPr="00165C7E">
              <w:rPr>
                <w:rFonts w:ascii="Arial" w:hAnsi="Arial" w:cs="Arial"/>
                <w:vertAlign w:val="superscript"/>
              </w:rPr>
              <w:t>238</w:t>
            </w:r>
            <w:r w:rsidRPr="00165C7E">
              <w:rPr>
                <w:rFonts w:ascii="Arial" w:hAnsi="Arial" w:cs="Arial"/>
              </w:rPr>
              <w:t xml:space="preserve">U (27–347 </w:t>
            </w:r>
            <w:proofErr w:type="spellStart"/>
            <w:r w:rsidRPr="00165C7E">
              <w:rPr>
                <w:rFonts w:ascii="Arial" w:hAnsi="Arial" w:cs="Arial"/>
              </w:rPr>
              <w:t>Bq</w:t>
            </w:r>
            <w:proofErr w:type="spellEnd"/>
            <w:r w:rsidRPr="00165C7E">
              <w:rPr>
                <w:rFonts w:ascii="Arial" w:hAnsi="Arial" w:cs="Arial"/>
              </w:rPr>
              <w:t xml:space="preserve"> kg</w:t>
            </w:r>
            <w:r w:rsidRPr="00165C7E">
              <w:rPr>
                <w:rFonts w:ascii="Cambria Math" w:hAnsi="Cambria Math" w:cs="Cambria Math"/>
              </w:rPr>
              <w:t>⁻</w:t>
            </w:r>
            <w:r w:rsidRPr="00165C7E">
              <w:rPr>
                <w:rFonts w:ascii="Arial" w:hAnsi="Arial" w:cs="Arial"/>
              </w:rPr>
              <w:t xml:space="preserve">¹), </w:t>
            </w:r>
            <w:r w:rsidRPr="00165C7E">
              <w:rPr>
                <w:rFonts w:ascii="Arial" w:hAnsi="Arial" w:cs="Arial"/>
                <w:vertAlign w:val="superscript"/>
              </w:rPr>
              <w:t>232</w:t>
            </w:r>
            <w:r w:rsidRPr="00165C7E">
              <w:rPr>
                <w:rFonts w:ascii="Arial" w:hAnsi="Arial" w:cs="Arial"/>
              </w:rPr>
              <w:t xml:space="preserve">Th (27–590 </w:t>
            </w:r>
            <w:proofErr w:type="spellStart"/>
            <w:r w:rsidRPr="00165C7E">
              <w:rPr>
                <w:rFonts w:ascii="Arial" w:hAnsi="Arial" w:cs="Arial"/>
              </w:rPr>
              <w:t>Bq</w:t>
            </w:r>
            <w:proofErr w:type="spellEnd"/>
            <w:r w:rsidRPr="00165C7E">
              <w:rPr>
                <w:rFonts w:ascii="Arial" w:hAnsi="Arial" w:cs="Arial"/>
              </w:rPr>
              <w:t xml:space="preserve"> kg</w:t>
            </w:r>
            <w:r w:rsidRPr="00165C7E">
              <w:rPr>
                <w:rFonts w:ascii="Cambria Math" w:hAnsi="Cambria Math" w:cs="Cambria Math"/>
              </w:rPr>
              <w:t>⁻</w:t>
            </w:r>
            <w:r w:rsidRPr="00165C7E">
              <w:rPr>
                <w:rFonts w:ascii="Arial" w:hAnsi="Arial" w:cs="Arial"/>
              </w:rPr>
              <w:t xml:space="preserve">¹), and </w:t>
            </w:r>
            <w:r w:rsidRPr="00165C7E">
              <w:rPr>
                <w:rFonts w:ascii="Arial" w:hAnsi="Arial" w:cs="Arial"/>
                <w:vertAlign w:val="superscript"/>
              </w:rPr>
              <w:t>40</w:t>
            </w:r>
            <w:r w:rsidRPr="00165C7E">
              <w:rPr>
                <w:rFonts w:ascii="Arial" w:hAnsi="Arial" w:cs="Arial"/>
              </w:rPr>
              <w:t xml:space="preserve">K (61–1857 </w:t>
            </w:r>
            <w:proofErr w:type="spellStart"/>
            <w:r w:rsidRPr="00165C7E">
              <w:rPr>
                <w:rFonts w:ascii="Arial" w:hAnsi="Arial" w:cs="Arial"/>
              </w:rPr>
              <w:t>Bq</w:t>
            </w:r>
            <w:proofErr w:type="spellEnd"/>
            <w:r w:rsidRPr="00165C7E">
              <w:rPr>
                <w:rFonts w:ascii="Arial" w:hAnsi="Arial" w:cs="Arial"/>
              </w:rPr>
              <w:t xml:space="preserve"> kg</w:t>
            </w:r>
            <w:r w:rsidRPr="00165C7E">
              <w:rPr>
                <w:rFonts w:ascii="Cambria Math" w:hAnsi="Cambria Math" w:cs="Cambria Math"/>
              </w:rPr>
              <w:t>⁻</w:t>
            </w:r>
            <w:r w:rsidRPr="00165C7E">
              <w:rPr>
                <w:rFonts w:ascii="Arial" w:hAnsi="Arial" w:cs="Arial"/>
              </w:rPr>
              <w:t xml:space="preserve">¹), reflecting mixed geological and anthropogenic sources. USCI values (0.05–4.50) indicate substantial contamination from construction materials, industrial particulates and urban fill. </w:t>
            </w:r>
            <w:r w:rsidRPr="00165C7E">
              <w:rPr>
                <w:rStyle w:val="Strong"/>
                <w:rFonts w:ascii="Arial" w:hAnsi="Arial" w:cs="Arial"/>
                <w:b w:val="0"/>
                <w:bCs w:val="0"/>
              </w:rPr>
              <w:t xml:space="preserve">Overall, integrating geological mapping with the spatial distribution of urban TGR measurements reinforces the conclusion that underlying lithology remains the dominant factor controlling terrestrial gamma radiation fields in Peninsular Malaysia. Urbanisation amplifies existing geological signatures but does not override them. While granite-dominated </w:t>
            </w:r>
            <w:r w:rsidRPr="00165C7E">
              <w:rPr>
                <w:rStyle w:val="Strong"/>
                <w:rFonts w:ascii="Arial" w:hAnsi="Arial" w:cs="Arial"/>
                <w:b w:val="0"/>
                <w:bCs w:val="0"/>
              </w:rPr>
              <w:lastRenderedPageBreak/>
              <w:t xml:space="preserve">provinces consistently show high TGR values, anomalies in cities such as </w:t>
            </w:r>
            <w:proofErr w:type="spellStart"/>
            <w:r w:rsidRPr="00165C7E">
              <w:rPr>
                <w:rStyle w:val="Strong"/>
                <w:rFonts w:ascii="Arial" w:hAnsi="Arial" w:cs="Arial"/>
                <w:b w:val="0"/>
                <w:bCs w:val="0"/>
              </w:rPr>
              <w:t>Klang</w:t>
            </w:r>
            <w:proofErr w:type="spellEnd"/>
            <w:r w:rsidRPr="00165C7E">
              <w:rPr>
                <w:rStyle w:val="Strong"/>
                <w:rFonts w:ascii="Arial" w:hAnsi="Arial" w:cs="Arial"/>
                <w:b w:val="0"/>
                <w:bCs w:val="0"/>
              </w:rPr>
              <w:t xml:space="preserve"> Valley, Kuantan and Kota Bharu highlight the growing role of urban development in modifying local radiological environments.</w:t>
            </w:r>
          </w:p>
          <w:p w14:paraId="00CB8EF0" w14:textId="725BF254" w:rsidR="00165C7E" w:rsidRPr="00165C7E" w:rsidRDefault="00165C7E" w:rsidP="00165C7E">
            <w:pPr>
              <w:pStyle w:val="NormalWeb"/>
              <w:spacing w:before="0" w:beforeAutospacing="0" w:after="0" w:afterAutospacing="0"/>
              <w:jc w:val="both"/>
              <w:rPr>
                <w:rFonts w:ascii="Arial" w:hAnsi="Arial" w:cs="Arial"/>
              </w:rPr>
            </w:pPr>
            <w:r w:rsidRPr="00165C7E">
              <w:rPr>
                <w:rStyle w:val="Strong"/>
                <w:rFonts w:ascii="Arial" w:hAnsi="Arial" w:cs="Arial"/>
              </w:rPr>
              <w:t>Conclusion:</w:t>
            </w:r>
            <w:r>
              <w:rPr>
                <w:rStyle w:val="Strong"/>
                <w:rFonts w:ascii="Arial" w:hAnsi="Arial" w:cs="Arial"/>
              </w:rPr>
              <w:t xml:space="preserve"> </w:t>
            </w:r>
            <w:r w:rsidRPr="00165C7E">
              <w:rPr>
                <w:rFonts w:ascii="Arial" w:hAnsi="Arial" w:cs="Arial"/>
              </w:rPr>
              <w:t>Geology exerts primary control over urban TGR, while anthropogenic processes strongly influence soil radioactivity and contamination intensity. These integrated results provide updated baseline data essential for urban radiological protection, geoscientific assessment and environmental planning across rapidly developing Malaysian cities.</w:t>
            </w:r>
          </w:p>
          <w:p w14:paraId="4189DF66" w14:textId="1392A85E" w:rsidR="00505F06" w:rsidRPr="00BA1B01" w:rsidRDefault="00505F06" w:rsidP="00441B6F">
            <w:pPr>
              <w:pStyle w:val="Body"/>
              <w:spacing w:after="0"/>
              <w:rPr>
                <w:rFonts w:ascii="Arial" w:eastAsia="Calibri" w:hAnsi="Arial" w:cs="Arial"/>
                <w:szCs w:val="22"/>
              </w:rPr>
            </w:pPr>
          </w:p>
        </w:tc>
      </w:tr>
    </w:tbl>
    <w:p w14:paraId="43AC78F7" w14:textId="77777777" w:rsidR="00636EB2" w:rsidRDefault="00636EB2" w:rsidP="00441B6F">
      <w:pPr>
        <w:pStyle w:val="Body"/>
        <w:spacing w:after="0"/>
        <w:rPr>
          <w:rFonts w:ascii="Arial" w:hAnsi="Arial" w:cs="Arial"/>
          <w:i/>
        </w:rPr>
      </w:pPr>
    </w:p>
    <w:p w14:paraId="37E1EBBD" w14:textId="63A6AA44" w:rsidR="00B52896" w:rsidRPr="00581B40" w:rsidRDefault="00A24E7E" w:rsidP="00587F43">
      <w:pPr>
        <w:pStyle w:val="Body"/>
        <w:spacing w:after="0"/>
        <w:rPr>
          <w:rFonts w:ascii="Arial" w:hAnsi="Arial" w:cs="Arial"/>
          <w:i/>
        </w:rPr>
      </w:pPr>
      <w:r>
        <w:rPr>
          <w:rFonts w:ascii="Arial" w:hAnsi="Arial" w:cs="Arial"/>
          <w:i/>
        </w:rPr>
        <w:t xml:space="preserve">Keywords: </w:t>
      </w:r>
      <w:proofErr w:type="spellStart"/>
      <w:r w:rsidR="00587F43" w:rsidRPr="000061E1">
        <w:rPr>
          <w:rFonts w:ascii="Arial" w:hAnsi="Arial" w:cs="Arial"/>
          <w:i/>
          <w:highlight w:val="yellow"/>
        </w:rPr>
        <w:t>Carborne</w:t>
      </w:r>
      <w:proofErr w:type="spellEnd"/>
      <w:r w:rsidR="00587F43" w:rsidRPr="000061E1">
        <w:rPr>
          <w:rFonts w:ascii="Arial" w:hAnsi="Arial" w:cs="Arial"/>
          <w:i/>
          <w:highlight w:val="yellow"/>
        </w:rPr>
        <w:t xml:space="preserve"> gamma spectrometry; Geological controls; Natural radionuclides; Peninsular Malaysia</w:t>
      </w:r>
      <w:r w:rsidR="000061E1" w:rsidRPr="000061E1">
        <w:rPr>
          <w:rFonts w:ascii="Arial" w:hAnsi="Arial" w:cs="Arial"/>
          <w:i/>
          <w:highlight w:val="yellow"/>
        </w:rPr>
        <w:t>; Soil contamination; Terrestrial gamma radiation; Urban radioactivity</w:t>
      </w:r>
    </w:p>
    <w:p w14:paraId="711D7432" w14:textId="77777777" w:rsidR="0024282C" w:rsidRDefault="0024282C" w:rsidP="00441B6F">
      <w:pPr>
        <w:pStyle w:val="Body"/>
        <w:spacing w:after="0"/>
        <w:rPr>
          <w:rFonts w:ascii="Arial" w:hAnsi="Arial" w:cs="Arial"/>
          <w:i/>
          <w:sz w:val="18"/>
        </w:rPr>
      </w:pPr>
    </w:p>
    <w:p w14:paraId="11FF8765" w14:textId="77777777" w:rsidR="00505F06" w:rsidRPr="00A24E7E" w:rsidRDefault="00505F06" w:rsidP="00441B6F">
      <w:pPr>
        <w:pStyle w:val="Body"/>
        <w:spacing w:after="0"/>
        <w:rPr>
          <w:rFonts w:ascii="Arial" w:hAnsi="Arial" w:cs="Arial"/>
          <w:i/>
        </w:rPr>
      </w:pPr>
    </w:p>
    <w:p w14:paraId="75871971" w14:textId="3AE6F751" w:rsidR="0026491D" w:rsidRDefault="00902823" w:rsidP="0026491D">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2AA60B" w14:textId="77777777" w:rsidR="0026491D" w:rsidRPr="0026491D" w:rsidRDefault="0026491D" w:rsidP="0026491D">
      <w:pPr>
        <w:pStyle w:val="AbstHead"/>
        <w:spacing w:after="0"/>
        <w:jc w:val="both"/>
        <w:rPr>
          <w:rFonts w:ascii="Arial" w:hAnsi="Arial" w:cs="Arial"/>
        </w:rPr>
      </w:pPr>
    </w:p>
    <w:p w14:paraId="5AE7E861" w14:textId="437B966C" w:rsidR="0026491D" w:rsidRPr="0026491D" w:rsidRDefault="0026491D" w:rsidP="0026491D">
      <w:pPr>
        <w:pStyle w:val="Body"/>
        <w:rPr>
          <w:rFonts w:ascii="Arial" w:hAnsi="Arial" w:cs="Arial"/>
        </w:rPr>
      </w:pPr>
      <w:r w:rsidRPr="0026491D">
        <w:rPr>
          <w:rFonts w:ascii="Arial" w:hAnsi="Arial" w:cs="Arial"/>
        </w:rPr>
        <w:t>Ionizing radiation from natural sources represents the largest contributor to human exposure worldwide, accounting for nearly 80% of the global annual effective dose according to UNSCEAR (2000), BEIR VII (2006) and ICRP Publication 103 (2007). Among these sources, terrestrial gamma radiation (TGR) arising from primordial radionuclides</w:t>
      </w:r>
      <w:r>
        <w:rPr>
          <w:rFonts w:ascii="Arial" w:hAnsi="Arial" w:cs="Arial"/>
        </w:rPr>
        <w:t xml:space="preserve">, </w:t>
      </w:r>
      <w:r w:rsidRPr="0026491D">
        <w:rPr>
          <w:rFonts w:ascii="Arial" w:hAnsi="Arial" w:cs="Arial"/>
        </w:rPr>
        <w:t xml:space="preserve">principally </w:t>
      </w:r>
      <w:r w:rsidRPr="0026491D">
        <w:rPr>
          <w:rFonts w:ascii="Arial" w:hAnsi="Arial" w:cs="Arial"/>
          <w:vertAlign w:val="superscript"/>
        </w:rPr>
        <w:t>238</w:t>
      </w:r>
      <w:r w:rsidRPr="0026491D">
        <w:rPr>
          <w:rFonts w:ascii="Arial" w:hAnsi="Arial" w:cs="Arial"/>
        </w:rPr>
        <w:t xml:space="preserve">U, </w:t>
      </w:r>
      <w:r w:rsidRPr="0026491D">
        <w:rPr>
          <w:rFonts w:ascii="Arial" w:hAnsi="Arial" w:cs="Arial"/>
          <w:vertAlign w:val="superscript"/>
        </w:rPr>
        <w:t>232</w:t>
      </w:r>
      <w:r w:rsidRPr="0026491D">
        <w:rPr>
          <w:rFonts w:ascii="Arial" w:hAnsi="Arial" w:cs="Arial"/>
        </w:rPr>
        <w:t xml:space="preserve">Th and </w:t>
      </w:r>
      <w:r w:rsidRPr="0026491D">
        <w:rPr>
          <w:rFonts w:ascii="Arial" w:hAnsi="Arial" w:cs="Arial"/>
          <w:vertAlign w:val="superscript"/>
        </w:rPr>
        <w:t>40</w:t>
      </w:r>
      <w:r w:rsidRPr="0026491D">
        <w:rPr>
          <w:rFonts w:ascii="Arial" w:hAnsi="Arial" w:cs="Arial"/>
        </w:rPr>
        <w:t>K</w:t>
      </w:r>
      <w:r>
        <w:rPr>
          <w:rFonts w:ascii="Arial" w:hAnsi="Arial" w:cs="Arial"/>
        </w:rPr>
        <w:t xml:space="preserve">; </w:t>
      </w:r>
      <w:r w:rsidRPr="0026491D">
        <w:rPr>
          <w:rFonts w:ascii="Arial" w:hAnsi="Arial" w:cs="Arial"/>
        </w:rPr>
        <w:t xml:space="preserve">is one of the most significant pathways of external exposure to the public (UNSCEAR 2000; </w:t>
      </w:r>
      <w:proofErr w:type="spellStart"/>
      <w:r w:rsidRPr="0026491D">
        <w:rPr>
          <w:rFonts w:ascii="Arial" w:hAnsi="Arial" w:cs="Arial"/>
        </w:rPr>
        <w:t>Quindos</w:t>
      </w:r>
      <w:proofErr w:type="spellEnd"/>
      <w:r w:rsidRPr="0026491D">
        <w:rPr>
          <w:rFonts w:ascii="Arial" w:hAnsi="Arial" w:cs="Arial"/>
        </w:rPr>
        <w:t xml:space="preserve"> et al., 1994; </w:t>
      </w:r>
      <w:proofErr w:type="spellStart"/>
      <w:r w:rsidRPr="0026491D">
        <w:rPr>
          <w:rFonts w:ascii="Arial" w:hAnsi="Arial" w:cs="Arial"/>
        </w:rPr>
        <w:t>Steinhäusler</w:t>
      </w:r>
      <w:proofErr w:type="spellEnd"/>
      <w:r w:rsidRPr="0026491D">
        <w:rPr>
          <w:rFonts w:ascii="Arial" w:hAnsi="Arial" w:cs="Arial"/>
        </w:rPr>
        <w:t xml:space="preserve"> 1992</w:t>
      </w:r>
      <w:r w:rsidR="001957E1">
        <w:rPr>
          <w:rFonts w:ascii="Arial" w:hAnsi="Arial" w:cs="Arial"/>
        </w:rPr>
        <w:t xml:space="preserve">; </w:t>
      </w:r>
      <w:r w:rsidR="001957E1" w:rsidRPr="001957E1">
        <w:rPr>
          <w:rFonts w:ascii="Arial" w:hAnsi="Arial" w:cs="Arial"/>
          <w:highlight w:val="yellow"/>
        </w:rPr>
        <w:t xml:space="preserve">Satoh and </w:t>
      </w:r>
      <w:proofErr w:type="spellStart"/>
      <w:r w:rsidR="001957E1" w:rsidRPr="001957E1">
        <w:rPr>
          <w:rFonts w:ascii="Arial" w:hAnsi="Arial" w:cs="Arial"/>
          <w:highlight w:val="yellow"/>
        </w:rPr>
        <w:t>Henss</w:t>
      </w:r>
      <w:proofErr w:type="spellEnd"/>
      <w:r w:rsidR="001957E1" w:rsidRPr="001957E1">
        <w:rPr>
          <w:rFonts w:ascii="Arial" w:hAnsi="Arial" w:cs="Arial"/>
          <w:highlight w:val="yellow"/>
        </w:rPr>
        <w:t>, 2024</w:t>
      </w:r>
      <w:r w:rsidRPr="001957E1">
        <w:rPr>
          <w:rFonts w:ascii="Arial" w:hAnsi="Arial" w:cs="Arial"/>
          <w:highlight w:val="yellow"/>
        </w:rPr>
        <w:t>).</w:t>
      </w:r>
      <w:r w:rsidRPr="0026491D">
        <w:rPr>
          <w:rFonts w:ascii="Arial" w:hAnsi="Arial" w:cs="Arial"/>
        </w:rPr>
        <w:t xml:space="preserve"> Numerous studies have demonstrated that TGR exhibits strong variability controlled by geological formations, mineralogical composition, weathering processes and the distribution of granitic, volcanic, sedimentary or metamorphic terrains (</w:t>
      </w:r>
      <w:proofErr w:type="spellStart"/>
      <w:r w:rsidRPr="0026491D">
        <w:rPr>
          <w:rFonts w:ascii="Arial" w:hAnsi="Arial" w:cs="Arial"/>
        </w:rPr>
        <w:t>Tzortzis</w:t>
      </w:r>
      <w:proofErr w:type="spellEnd"/>
      <w:r w:rsidRPr="0026491D">
        <w:rPr>
          <w:rFonts w:ascii="Arial" w:hAnsi="Arial" w:cs="Arial"/>
        </w:rPr>
        <w:t xml:space="preserve"> et al., 2003; </w:t>
      </w:r>
      <w:proofErr w:type="spellStart"/>
      <w:r w:rsidRPr="0026491D">
        <w:rPr>
          <w:rFonts w:ascii="Arial" w:hAnsi="Arial" w:cs="Arial"/>
        </w:rPr>
        <w:t>Grasty</w:t>
      </w:r>
      <w:proofErr w:type="spellEnd"/>
      <w:r w:rsidRPr="0026491D">
        <w:rPr>
          <w:rFonts w:ascii="Arial" w:hAnsi="Arial" w:cs="Arial"/>
        </w:rPr>
        <w:t xml:space="preserve"> &amp; </w:t>
      </w:r>
      <w:proofErr w:type="spellStart"/>
      <w:r w:rsidRPr="0026491D">
        <w:rPr>
          <w:rFonts w:ascii="Arial" w:hAnsi="Arial" w:cs="Arial"/>
        </w:rPr>
        <w:t>LaMarre</w:t>
      </w:r>
      <w:proofErr w:type="spellEnd"/>
      <w:r w:rsidRPr="0026491D">
        <w:rPr>
          <w:rFonts w:ascii="Arial" w:hAnsi="Arial" w:cs="Arial"/>
        </w:rPr>
        <w:t xml:space="preserve">, 2004; </w:t>
      </w:r>
      <w:proofErr w:type="spellStart"/>
      <w:r w:rsidRPr="0026491D">
        <w:rPr>
          <w:rFonts w:ascii="Arial" w:hAnsi="Arial" w:cs="Arial"/>
        </w:rPr>
        <w:t>Huy</w:t>
      </w:r>
      <w:proofErr w:type="spellEnd"/>
      <w:r w:rsidRPr="0026491D">
        <w:rPr>
          <w:rFonts w:ascii="Arial" w:hAnsi="Arial" w:cs="Arial"/>
        </w:rPr>
        <w:t xml:space="preserve"> &amp; </w:t>
      </w:r>
      <w:proofErr w:type="spellStart"/>
      <w:r w:rsidRPr="0026491D">
        <w:rPr>
          <w:rFonts w:ascii="Arial" w:hAnsi="Arial" w:cs="Arial"/>
        </w:rPr>
        <w:t>Luyen</w:t>
      </w:r>
      <w:proofErr w:type="spellEnd"/>
      <w:r w:rsidRPr="0026491D">
        <w:rPr>
          <w:rFonts w:ascii="Arial" w:hAnsi="Arial" w:cs="Arial"/>
        </w:rPr>
        <w:t xml:space="preserve">, 2006; Mora et al., 2007; </w:t>
      </w:r>
      <w:proofErr w:type="spellStart"/>
      <w:r w:rsidRPr="0026491D">
        <w:rPr>
          <w:rFonts w:ascii="Arial" w:hAnsi="Arial" w:cs="Arial"/>
        </w:rPr>
        <w:t>Bituh</w:t>
      </w:r>
      <w:proofErr w:type="spellEnd"/>
      <w:r w:rsidRPr="0026491D">
        <w:rPr>
          <w:rFonts w:ascii="Arial" w:hAnsi="Arial" w:cs="Arial"/>
        </w:rPr>
        <w:t xml:space="preserve"> et al., 2009; </w:t>
      </w:r>
      <w:proofErr w:type="spellStart"/>
      <w:r w:rsidRPr="0026491D">
        <w:rPr>
          <w:rFonts w:ascii="Arial" w:hAnsi="Arial" w:cs="Arial"/>
        </w:rPr>
        <w:t>Kapdan</w:t>
      </w:r>
      <w:proofErr w:type="spellEnd"/>
      <w:r w:rsidRPr="0026491D">
        <w:rPr>
          <w:rFonts w:ascii="Arial" w:hAnsi="Arial" w:cs="Arial"/>
        </w:rPr>
        <w:t xml:space="preserve"> et al., 2012; Ramli et al., 2003; Ramli et al., 2005; Sanusi et al., 2014; Sanusi et al., 2017</w:t>
      </w:r>
      <w:r w:rsidR="00734E66">
        <w:rPr>
          <w:rFonts w:ascii="Arial" w:hAnsi="Arial" w:cs="Arial"/>
        </w:rPr>
        <w:t>a</w:t>
      </w:r>
      <w:r w:rsidRPr="0026491D">
        <w:rPr>
          <w:rFonts w:ascii="Arial" w:hAnsi="Arial" w:cs="Arial"/>
        </w:rPr>
        <w:t xml:space="preserve">; Sanusi et al., 2021; </w:t>
      </w:r>
      <w:proofErr w:type="spellStart"/>
      <w:r w:rsidRPr="0026491D">
        <w:rPr>
          <w:rFonts w:ascii="Arial" w:hAnsi="Arial" w:cs="Arial"/>
        </w:rPr>
        <w:t>Pálsson</w:t>
      </w:r>
      <w:proofErr w:type="spellEnd"/>
      <w:r w:rsidRPr="0026491D">
        <w:rPr>
          <w:rFonts w:ascii="Arial" w:hAnsi="Arial" w:cs="Arial"/>
        </w:rPr>
        <w:t xml:space="preserve"> et al., 2013; Kleinschmidt &amp; Watson, 2015; Mares et al., 1984</w:t>
      </w:r>
      <w:r w:rsidR="00374B09">
        <w:rPr>
          <w:rFonts w:ascii="Arial" w:hAnsi="Arial" w:cs="Arial"/>
        </w:rPr>
        <w:t xml:space="preserve">; </w:t>
      </w:r>
      <w:proofErr w:type="spellStart"/>
      <w:r w:rsidR="00374B09" w:rsidRPr="00422104">
        <w:rPr>
          <w:rFonts w:ascii="Arial" w:hAnsi="Arial" w:cs="Arial"/>
          <w:highlight w:val="yellow"/>
        </w:rPr>
        <w:t>Gogoi</w:t>
      </w:r>
      <w:proofErr w:type="spellEnd"/>
      <w:r w:rsidR="00374B09" w:rsidRPr="00422104">
        <w:rPr>
          <w:rFonts w:ascii="Arial" w:hAnsi="Arial" w:cs="Arial"/>
          <w:highlight w:val="yellow"/>
        </w:rPr>
        <w:t xml:space="preserve"> et al., 2025</w:t>
      </w:r>
      <w:r w:rsidRPr="00422104">
        <w:rPr>
          <w:rFonts w:ascii="Arial" w:hAnsi="Arial" w:cs="Arial"/>
          <w:highlight w:val="yellow"/>
        </w:rPr>
        <w:t>)</w:t>
      </w:r>
      <w:r w:rsidRPr="0026491D">
        <w:rPr>
          <w:rFonts w:ascii="Arial" w:hAnsi="Arial" w:cs="Arial"/>
        </w:rPr>
        <w:t>.</w:t>
      </w:r>
    </w:p>
    <w:p w14:paraId="0DCAB379" w14:textId="2E1E190C" w:rsidR="0026491D" w:rsidRPr="0026491D" w:rsidRDefault="0026491D" w:rsidP="0026491D">
      <w:pPr>
        <w:pStyle w:val="Body"/>
        <w:rPr>
          <w:rFonts w:ascii="Arial" w:hAnsi="Arial" w:cs="Arial"/>
        </w:rPr>
      </w:pPr>
      <w:r w:rsidRPr="0026491D">
        <w:rPr>
          <w:rFonts w:ascii="Arial" w:hAnsi="Arial" w:cs="Arial"/>
        </w:rPr>
        <w:t>Although TGR is fundamentally geological</w:t>
      </w:r>
      <w:r w:rsidR="003B76D5">
        <w:rPr>
          <w:rFonts w:ascii="Arial" w:hAnsi="Arial" w:cs="Arial"/>
        </w:rPr>
        <w:t xml:space="preserve"> (</w:t>
      </w:r>
      <w:r w:rsidR="003B76D5" w:rsidRPr="0026491D">
        <w:rPr>
          <w:rFonts w:ascii="Arial" w:hAnsi="Arial" w:cs="Arial"/>
        </w:rPr>
        <w:t>UNSCEAR 2000</w:t>
      </w:r>
      <w:r w:rsidR="003B76D5">
        <w:rPr>
          <w:rFonts w:ascii="Arial" w:hAnsi="Arial" w:cs="Arial"/>
        </w:rPr>
        <w:t>)</w:t>
      </w:r>
      <w:r w:rsidRPr="0026491D">
        <w:rPr>
          <w:rFonts w:ascii="Arial" w:hAnsi="Arial" w:cs="Arial"/>
        </w:rPr>
        <w:t>, its behaviour in urban landscapes is far more complex. Urbanization modifies natural surfaces through the replacement of soils with asphalt, concrete, building materials, reclamation fill, and imported landscaping soils. These alterations introduce both shielding effects and anthropogenic contributions that can obscure or amplify natural radiation levels (UNSCEAR 2000;</w:t>
      </w:r>
      <w:r w:rsidR="00120869">
        <w:rPr>
          <w:rFonts w:ascii="Arial" w:hAnsi="Arial" w:cs="Arial"/>
        </w:rPr>
        <w:t xml:space="preserve"> </w:t>
      </w:r>
      <w:proofErr w:type="spellStart"/>
      <w:r w:rsidR="00120869">
        <w:rPr>
          <w:rFonts w:ascii="Arial" w:hAnsi="Arial" w:cs="Arial"/>
        </w:rPr>
        <w:t>Tondel</w:t>
      </w:r>
      <w:proofErr w:type="spellEnd"/>
      <w:r w:rsidR="00120869">
        <w:rPr>
          <w:rFonts w:ascii="Arial" w:hAnsi="Arial" w:cs="Arial"/>
        </w:rPr>
        <w:t xml:space="preserve"> et al., 2011</w:t>
      </w:r>
      <w:r w:rsidRPr="0026491D">
        <w:rPr>
          <w:rFonts w:ascii="Arial" w:hAnsi="Arial" w:cs="Arial"/>
        </w:rPr>
        <w:t>; IAEA Safety Series No. 115</w:t>
      </w:r>
      <w:r w:rsidR="00B62408">
        <w:rPr>
          <w:rFonts w:ascii="Arial" w:hAnsi="Arial" w:cs="Arial"/>
        </w:rPr>
        <w:t>, 1996</w:t>
      </w:r>
      <w:r w:rsidRPr="0026491D">
        <w:rPr>
          <w:rFonts w:ascii="Arial" w:hAnsi="Arial" w:cs="Arial"/>
        </w:rPr>
        <w:t>; García-Talavera et al., 200</w:t>
      </w:r>
      <w:r w:rsidR="00FB772A">
        <w:rPr>
          <w:rFonts w:ascii="Arial" w:hAnsi="Arial" w:cs="Arial"/>
        </w:rPr>
        <w:t>8</w:t>
      </w:r>
      <w:r w:rsidRPr="0026491D">
        <w:rPr>
          <w:rFonts w:ascii="Arial" w:hAnsi="Arial" w:cs="Arial"/>
        </w:rPr>
        <w:t xml:space="preserve">; </w:t>
      </w:r>
      <w:r w:rsidR="00475231">
        <w:rPr>
          <w:rFonts w:ascii="Arial" w:hAnsi="Arial" w:cs="Arial"/>
        </w:rPr>
        <w:t xml:space="preserve">Suarez et al., </w:t>
      </w:r>
      <w:r w:rsidR="00CE40BD">
        <w:rPr>
          <w:rFonts w:ascii="Arial" w:hAnsi="Arial" w:cs="Arial"/>
        </w:rPr>
        <w:t>1995</w:t>
      </w:r>
      <w:r w:rsidR="00475231">
        <w:rPr>
          <w:rFonts w:ascii="Arial" w:hAnsi="Arial" w:cs="Arial"/>
        </w:rPr>
        <w:t xml:space="preserve">; </w:t>
      </w:r>
      <w:r w:rsidR="003B76D5">
        <w:rPr>
          <w:rFonts w:ascii="Arial" w:hAnsi="Arial" w:cs="Arial"/>
        </w:rPr>
        <w:t>Sanusi et al., 2017</w:t>
      </w:r>
      <w:r w:rsidR="00475231">
        <w:rPr>
          <w:rFonts w:ascii="Arial" w:hAnsi="Arial" w:cs="Arial"/>
        </w:rPr>
        <w:t>a</w:t>
      </w:r>
      <w:r w:rsidRPr="0026491D">
        <w:rPr>
          <w:rFonts w:ascii="Arial" w:hAnsi="Arial" w:cs="Arial"/>
        </w:rPr>
        <w:t xml:space="preserve">). Yet, despite these modifications, several authors have shown that subsurface geological boundaries often continue to influence TGR, even when the natural surface has been partly or fully replaced, because gamma rays originate from the upper </w:t>
      </w:r>
      <w:r w:rsidR="003B76D5">
        <w:rPr>
          <w:rFonts w:ascii="Arial" w:hAnsi="Arial" w:cs="Arial"/>
        </w:rPr>
        <w:t>30 cm</w:t>
      </w:r>
      <w:r w:rsidRPr="0026491D">
        <w:rPr>
          <w:rFonts w:ascii="Arial" w:hAnsi="Arial" w:cs="Arial"/>
        </w:rPr>
        <w:t xml:space="preserve"> of soil </w:t>
      </w:r>
      <w:r w:rsidRPr="0026491D">
        <w:rPr>
          <w:rFonts w:ascii="Arial" w:hAnsi="Arial" w:cs="Arial"/>
        </w:rPr>
        <w:lastRenderedPageBreak/>
        <w:t>and rock</w:t>
      </w:r>
      <w:r w:rsidR="003B76D5">
        <w:rPr>
          <w:rFonts w:ascii="Arial" w:hAnsi="Arial" w:cs="Arial"/>
        </w:rPr>
        <w:t xml:space="preserve"> (</w:t>
      </w:r>
      <w:r w:rsidR="003B76D5" w:rsidRPr="0026491D">
        <w:rPr>
          <w:rFonts w:ascii="Arial" w:hAnsi="Arial" w:cs="Arial"/>
        </w:rPr>
        <w:t>UNSCEAR 2000</w:t>
      </w:r>
      <w:r w:rsidR="003B76D5">
        <w:rPr>
          <w:rFonts w:ascii="Arial" w:hAnsi="Arial" w:cs="Arial"/>
        </w:rPr>
        <w:t>)</w:t>
      </w:r>
      <w:r w:rsidRPr="0026491D">
        <w:rPr>
          <w:rFonts w:ascii="Arial" w:hAnsi="Arial" w:cs="Arial"/>
        </w:rPr>
        <w:t>, many of which remain geologically intact beneath engineered structures.</w:t>
      </w:r>
    </w:p>
    <w:p w14:paraId="3453E174" w14:textId="075DD0E1" w:rsidR="0026491D" w:rsidRPr="0026491D" w:rsidRDefault="0026491D" w:rsidP="0026491D">
      <w:pPr>
        <w:pStyle w:val="Body"/>
        <w:rPr>
          <w:rFonts w:ascii="Arial" w:hAnsi="Arial" w:cs="Arial"/>
        </w:rPr>
      </w:pPr>
      <w:r w:rsidRPr="0026491D">
        <w:rPr>
          <w:rFonts w:ascii="Arial" w:hAnsi="Arial" w:cs="Arial"/>
        </w:rPr>
        <w:t>Urban soil itself may also accumulate radionuclides due to weathering, industrial activity, building rubble, atmospheric deposition, traffic, and the use of imported fill. Studies across Europe, Asia and the Middle East have documented notable changes in soil U, Th and K activity concentrations following urban development (</w:t>
      </w:r>
      <w:proofErr w:type="spellStart"/>
      <w:r w:rsidRPr="0026491D">
        <w:rPr>
          <w:rFonts w:ascii="Arial" w:hAnsi="Arial" w:cs="Arial"/>
        </w:rPr>
        <w:t>Poje</w:t>
      </w:r>
      <w:proofErr w:type="spellEnd"/>
      <w:r w:rsidRPr="0026491D">
        <w:rPr>
          <w:rFonts w:ascii="Arial" w:hAnsi="Arial" w:cs="Arial"/>
        </w:rPr>
        <w:t xml:space="preserve"> et al., 2012; </w:t>
      </w:r>
      <w:proofErr w:type="spellStart"/>
      <w:r w:rsidRPr="0026491D">
        <w:rPr>
          <w:rFonts w:ascii="Arial" w:hAnsi="Arial" w:cs="Arial"/>
        </w:rPr>
        <w:t>Kapdan</w:t>
      </w:r>
      <w:proofErr w:type="spellEnd"/>
      <w:r w:rsidRPr="0026491D">
        <w:rPr>
          <w:rFonts w:ascii="Arial" w:hAnsi="Arial" w:cs="Arial"/>
        </w:rPr>
        <w:t xml:space="preserve"> et al., 201</w:t>
      </w:r>
      <w:r w:rsidR="00475231">
        <w:rPr>
          <w:rFonts w:ascii="Arial" w:hAnsi="Arial" w:cs="Arial"/>
        </w:rPr>
        <w:t>2</w:t>
      </w:r>
      <w:r w:rsidRPr="0026491D">
        <w:rPr>
          <w:rFonts w:ascii="Arial" w:hAnsi="Arial" w:cs="Arial"/>
        </w:rPr>
        <w:t xml:space="preserve">; </w:t>
      </w:r>
      <w:proofErr w:type="spellStart"/>
      <w:r w:rsidRPr="0026491D">
        <w:rPr>
          <w:rFonts w:ascii="Arial" w:hAnsi="Arial" w:cs="Arial"/>
        </w:rPr>
        <w:t>Tzortzis</w:t>
      </w:r>
      <w:proofErr w:type="spellEnd"/>
      <w:r w:rsidRPr="0026491D">
        <w:rPr>
          <w:rFonts w:ascii="Arial" w:hAnsi="Arial" w:cs="Arial"/>
        </w:rPr>
        <w:t xml:space="preserve"> et al., 2003). These variations can in turn affect TGR, but such integrated comparisons between urban soil activity, TGR patterns, and underlying geology remain limited in Southeast Asia and entirely absent for Peninsular Malaysia.</w:t>
      </w:r>
    </w:p>
    <w:p w14:paraId="10FCF756" w14:textId="5ADA0DB8" w:rsidR="0026491D" w:rsidRPr="0026491D" w:rsidRDefault="0026491D" w:rsidP="0026491D">
      <w:pPr>
        <w:pStyle w:val="Body"/>
        <w:rPr>
          <w:rFonts w:ascii="Arial" w:hAnsi="Arial" w:cs="Arial"/>
        </w:rPr>
      </w:pPr>
      <w:r w:rsidRPr="0026491D">
        <w:rPr>
          <w:rFonts w:ascii="Arial" w:hAnsi="Arial" w:cs="Arial"/>
        </w:rPr>
        <w:t xml:space="preserve">Globally, national and regional TGR </w:t>
      </w:r>
      <w:r w:rsidR="0029330C">
        <w:rPr>
          <w:rFonts w:ascii="Arial" w:hAnsi="Arial" w:cs="Arial"/>
        </w:rPr>
        <w:t>monitoring</w:t>
      </w:r>
      <w:r w:rsidRPr="0026491D">
        <w:rPr>
          <w:rFonts w:ascii="Arial" w:hAnsi="Arial" w:cs="Arial"/>
        </w:rPr>
        <w:t xml:space="preserve"> programs have been carried out in Finland (</w:t>
      </w:r>
      <w:proofErr w:type="spellStart"/>
      <w:r w:rsidRPr="0026491D">
        <w:rPr>
          <w:rFonts w:ascii="Arial" w:hAnsi="Arial" w:cs="Arial"/>
        </w:rPr>
        <w:t>Pálsson</w:t>
      </w:r>
      <w:proofErr w:type="spellEnd"/>
      <w:r w:rsidRPr="0026491D">
        <w:rPr>
          <w:rFonts w:ascii="Arial" w:hAnsi="Arial" w:cs="Arial"/>
        </w:rPr>
        <w:t xml:space="preserve"> et al., 2013), Spain (Suárez et al., 2000), Croatia (</w:t>
      </w:r>
      <w:proofErr w:type="spellStart"/>
      <w:r w:rsidRPr="0026491D">
        <w:rPr>
          <w:rFonts w:ascii="Arial" w:hAnsi="Arial" w:cs="Arial"/>
        </w:rPr>
        <w:t>Bituh</w:t>
      </w:r>
      <w:proofErr w:type="spellEnd"/>
      <w:r w:rsidRPr="0026491D">
        <w:rPr>
          <w:rFonts w:ascii="Arial" w:hAnsi="Arial" w:cs="Arial"/>
        </w:rPr>
        <w:t xml:space="preserve"> et al., 2009), Greece (</w:t>
      </w:r>
      <w:proofErr w:type="spellStart"/>
      <w:r w:rsidRPr="0026491D">
        <w:rPr>
          <w:rFonts w:ascii="Arial" w:hAnsi="Arial" w:cs="Arial"/>
        </w:rPr>
        <w:t>Tzortzis</w:t>
      </w:r>
      <w:proofErr w:type="spellEnd"/>
      <w:r w:rsidRPr="0026491D">
        <w:rPr>
          <w:rFonts w:ascii="Arial" w:hAnsi="Arial" w:cs="Arial"/>
        </w:rPr>
        <w:t xml:space="preserve"> et al., 2003), Vietnam (</w:t>
      </w:r>
      <w:proofErr w:type="spellStart"/>
      <w:r w:rsidRPr="0026491D">
        <w:rPr>
          <w:rFonts w:ascii="Arial" w:hAnsi="Arial" w:cs="Arial"/>
        </w:rPr>
        <w:t>Huy</w:t>
      </w:r>
      <w:proofErr w:type="spellEnd"/>
      <w:r w:rsidRPr="0026491D">
        <w:rPr>
          <w:rFonts w:ascii="Arial" w:hAnsi="Arial" w:cs="Arial"/>
        </w:rPr>
        <w:t xml:space="preserve"> &amp; </w:t>
      </w:r>
      <w:proofErr w:type="spellStart"/>
      <w:r w:rsidRPr="0026491D">
        <w:rPr>
          <w:rFonts w:ascii="Arial" w:hAnsi="Arial" w:cs="Arial"/>
        </w:rPr>
        <w:t>Luyen</w:t>
      </w:r>
      <w:proofErr w:type="spellEnd"/>
      <w:r w:rsidRPr="0026491D">
        <w:rPr>
          <w:rFonts w:ascii="Arial" w:hAnsi="Arial" w:cs="Arial"/>
        </w:rPr>
        <w:t xml:space="preserve">, 2006), </w:t>
      </w:r>
      <w:r w:rsidR="0029330C" w:rsidRPr="0029330C">
        <w:rPr>
          <w:rFonts w:ascii="Arial" w:hAnsi="Arial" w:cs="Arial"/>
        </w:rPr>
        <w:t xml:space="preserve">Canada and the United States, by </w:t>
      </w:r>
      <w:proofErr w:type="spellStart"/>
      <w:r w:rsidR="0029330C" w:rsidRPr="0029330C">
        <w:rPr>
          <w:rFonts w:ascii="Arial" w:hAnsi="Arial" w:cs="Arial"/>
        </w:rPr>
        <w:t>Grasty</w:t>
      </w:r>
      <w:proofErr w:type="spellEnd"/>
      <w:r w:rsidR="0029330C" w:rsidRPr="0029330C">
        <w:rPr>
          <w:rFonts w:ascii="Arial" w:hAnsi="Arial" w:cs="Arial"/>
        </w:rPr>
        <w:t xml:space="preserve"> and </w:t>
      </w:r>
      <w:proofErr w:type="spellStart"/>
      <w:r w:rsidR="0029330C" w:rsidRPr="0029330C">
        <w:rPr>
          <w:rFonts w:ascii="Arial" w:hAnsi="Arial" w:cs="Arial"/>
        </w:rPr>
        <w:t>LaMarre</w:t>
      </w:r>
      <w:proofErr w:type="spellEnd"/>
      <w:r w:rsidR="0029330C" w:rsidRPr="0029330C">
        <w:rPr>
          <w:rFonts w:ascii="Arial" w:hAnsi="Arial" w:cs="Arial"/>
        </w:rPr>
        <w:t xml:space="preserve"> (2004); the United Kingdom, by the study of </w:t>
      </w:r>
      <w:proofErr w:type="spellStart"/>
      <w:r w:rsidR="0029330C" w:rsidRPr="0029330C">
        <w:rPr>
          <w:rFonts w:ascii="Arial" w:hAnsi="Arial" w:cs="Arial"/>
        </w:rPr>
        <w:t>Chernyavskiy</w:t>
      </w:r>
      <w:proofErr w:type="spellEnd"/>
      <w:r w:rsidR="0029330C" w:rsidRPr="0029330C">
        <w:rPr>
          <w:rFonts w:ascii="Arial" w:hAnsi="Arial" w:cs="Arial"/>
        </w:rPr>
        <w:t xml:space="preserve"> et al. (2016); and European countries, as reported in the European Atlas of Radiation Map by Cinelli et al. (2019); Cyprus (</w:t>
      </w:r>
      <w:proofErr w:type="spellStart"/>
      <w:r w:rsidR="0029330C" w:rsidRPr="0029330C">
        <w:rPr>
          <w:rFonts w:ascii="Arial" w:hAnsi="Arial" w:cs="Arial"/>
        </w:rPr>
        <w:t>Tzortzis</w:t>
      </w:r>
      <w:proofErr w:type="spellEnd"/>
      <w:r w:rsidR="0029330C" w:rsidRPr="0029330C">
        <w:rPr>
          <w:rFonts w:ascii="Arial" w:hAnsi="Arial" w:cs="Arial"/>
        </w:rPr>
        <w:t>, 2003); Austria (</w:t>
      </w:r>
      <w:proofErr w:type="spellStart"/>
      <w:r w:rsidR="0029330C" w:rsidRPr="0029330C">
        <w:rPr>
          <w:rFonts w:ascii="Arial" w:hAnsi="Arial" w:cs="Arial"/>
        </w:rPr>
        <w:t>Wallova</w:t>
      </w:r>
      <w:proofErr w:type="spellEnd"/>
      <w:r w:rsidR="0029330C" w:rsidRPr="0029330C">
        <w:rPr>
          <w:rFonts w:ascii="Arial" w:hAnsi="Arial" w:cs="Arial"/>
        </w:rPr>
        <w:t xml:space="preserve"> et al., 2012); Nigeria (</w:t>
      </w:r>
      <w:proofErr w:type="spellStart"/>
      <w:r w:rsidR="0029330C" w:rsidRPr="0029330C">
        <w:rPr>
          <w:rFonts w:ascii="Arial" w:hAnsi="Arial" w:cs="Arial"/>
        </w:rPr>
        <w:t>Jibiri</w:t>
      </w:r>
      <w:proofErr w:type="spellEnd"/>
      <w:r w:rsidR="0029330C" w:rsidRPr="0029330C">
        <w:rPr>
          <w:rFonts w:ascii="Arial" w:hAnsi="Arial" w:cs="Arial"/>
        </w:rPr>
        <w:t>, 2007); Brunei (Lai et al., 1999); Oman (Goddard, 2002); Hong Kong (Tso and Li, 1992); Switzerland (</w:t>
      </w:r>
      <w:proofErr w:type="spellStart"/>
      <w:r w:rsidR="0029330C" w:rsidRPr="0029330C">
        <w:rPr>
          <w:rFonts w:ascii="Arial" w:hAnsi="Arial" w:cs="Arial"/>
        </w:rPr>
        <w:t>Buchli</w:t>
      </w:r>
      <w:proofErr w:type="spellEnd"/>
      <w:r w:rsidR="0029330C" w:rsidRPr="0029330C">
        <w:rPr>
          <w:rFonts w:ascii="Arial" w:hAnsi="Arial" w:cs="Arial"/>
        </w:rPr>
        <w:t xml:space="preserve"> and Burkart, 1989); Costa Rica (Mora et al., 2007); Syria (</w:t>
      </w:r>
      <w:proofErr w:type="spellStart"/>
      <w:r w:rsidR="0029330C" w:rsidRPr="0029330C">
        <w:rPr>
          <w:rFonts w:ascii="Arial" w:hAnsi="Arial" w:cs="Arial"/>
        </w:rPr>
        <w:t>Aissa</w:t>
      </w:r>
      <w:proofErr w:type="spellEnd"/>
      <w:r w:rsidR="0029330C" w:rsidRPr="0029330C">
        <w:rPr>
          <w:rFonts w:ascii="Arial" w:hAnsi="Arial" w:cs="Arial"/>
        </w:rPr>
        <w:t xml:space="preserve"> and </w:t>
      </w:r>
      <w:proofErr w:type="spellStart"/>
      <w:r w:rsidR="0029330C" w:rsidRPr="0029330C">
        <w:rPr>
          <w:rFonts w:ascii="Arial" w:hAnsi="Arial" w:cs="Arial"/>
        </w:rPr>
        <w:t>Jubeli</w:t>
      </w:r>
      <w:proofErr w:type="spellEnd"/>
      <w:r w:rsidR="0029330C" w:rsidRPr="0029330C">
        <w:rPr>
          <w:rFonts w:ascii="Arial" w:hAnsi="Arial" w:cs="Arial"/>
        </w:rPr>
        <w:t>, 1997); Sweden (Kock and Samuelsson, 2011); Russia (</w:t>
      </w:r>
      <w:proofErr w:type="spellStart"/>
      <w:r w:rsidR="0029330C" w:rsidRPr="0029330C">
        <w:rPr>
          <w:rFonts w:ascii="Arial" w:hAnsi="Arial" w:cs="Arial"/>
        </w:rPr>
        <w:t>Ramzaev</w:t>
      </w:r>
      <w:proofErr w:type="spellEnd"/>
      <w:r w:rsidR="0029330C" w:rsidRPr="0029330C">
        <w:rPr>
          <w:rFonts w:ascii="Arial" w:hAnsi="Arial" w:cs="Arial"/>
        </w:rPr>
        <w:t xml:space="preserve"> et al., 2006); Egypt (Ibrahim et al., 1993); Iran (</w:t>
      </w:r>
      <w:proofErr w:type="spellStart"/>
      <w:r w:rsidR="0029330C" w:rsidRPr="0029330C">
        <w:rPr>
          <w:rFonts w:ascii="Arial" w:hAnsi="Arial" w:cs="Arial"/>
        </w:rPr>
        <w:t>Kardan</w:t>
      </w:r>
      <w:proofErr w:type="spellEnd"/>
      <w:r w:rsidR="0029330C" w:rsidRPr="0029330C">
        <w:rPr>
          <w:rFonts w:ascii="Arial" w:hAnsi="Arial" w:cs="Arial"/>
        </w:rPr>
        <w:t xml:space="preserve"> et al., 2017); Lebanon </w:t>
      </w:r>
      <w:r w:rsidR="00D27338">
        <w:rPr>
          <w:rFonts w:ascii="Arial" w:hAnsi="Arial" w:cs="Arial"/>
        </w:rPr>
        <w:t xml:space="preserve">(El </w:t>
      </w:r>
      <w:r w:rsidR="0029330C" w:rsidRPr="0029330C">
        <w:rPr>
          <w:rFonts w:ascii="Arial" w:hAnsi="Arial" w:cs="Arial"/>
        </w:rPr>
        <w:t>Samad et al., 2013); Pakistan (Tufail et al., 2006); Brazil (Yoshimura et al., 2004); and Spain (</w:t>
      </w:r>
      <w:proofErr w:type="spellStart"/>
      <w:r w:rsidR="0029330C" w:rsidRPr="0029330C">
        <w:rPr>
          <w:rFonts w:ascii="Arial" w:hAnsi="Arial" w:cs="Arial"/>
        </w:rPr>
        <w:t>Quindos</w:t>
      </w:r>
      <w:proofErr w:type="spellEnd"/>
      <w:r w:rsidR="0029330C" w:rsidRPr="0029330C">
        <w:rPr>
          <w:rFonts w:ascii="Arial" w:hAnsi="Arial" w:cs="Arial"/>
        </w:rPr>
        <w:t xml:space="preserve"> et al., 199</w:t>
      </w:r>
      <w:r w:rsidR="00D27338">
        <w:rPr>
          <w:rFonts w:ascii="Arial" w:hAnsi="Arial" w:cs="Arial"/>
        </w:rPr>
        <w:t>4</w:t>
      </w:r>
      <w:r w:rsidR="0029330C" w:rsidRPr="0029330C">
        <w:rPr>
          <w:rFonts w:ascii="Arial" w:hAnsi="Arial" w:cs="Arial"/>
        </w:rPr>
        <w:t xml:space="preserve">). According to UNSCEAR (2000), several locations have been identified as having high natural radiation dose rates, including Ramsar, Iran – 105,000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w:t>
      </w:r>
      <w:proofErr w:type="spellStart"/>
      <w:r w:rsidR="0029330C" w:rsidRPr="0029330C">
        <w:rPr>
          <w:rFonts w:ascii="Arial" w:hAnsi="Arial" w:cs="Arial"/>
        </w:rPr>
        <w:t>Guarapari</w:t>
      </w:r>
      <w:proofErr w:type="spellEnd"/>
      <w:r w:rsidR="0029330C" w:rsidRPr="0029330C">
        <w:rPr>
          <w:rFonts w:ascii="Arial" w:hAnsi="Arial" w:cs="Arial"/>
        </w:rPr>
        <w:t xml:space="preserve"> Beach, Brazil – 90,000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the volcanic rock geological region in southwestern France – 10,000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tin and rare earth mineralization sites in Sichuan, China – 9,140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the Oligocene–Miocene volcanic rock region in central Big Baku and </w:t>
      </w:r>
      <w:proofErr w:type="spellStart"/>
      <w:r w:rsidR="0029330C" w:rsidRPr="0029330C">
        <w:rPr>
          <w:rFonts w:ascii="Arial" w:hAnsi="Arial" w:cs="Arial"/>
        </w:rPr>
        <w:t>Sumgayit</w:t>
      </w:r>
      <w:proofErr w:type="spellEnd"/>
      <w:r w:rsidR="0029330C" w:rsidRPr="0029330C">
        <w:rPr>
          <w:rFonts w:ascii="Arial" w:hAnsi="Arial" w:cs="Arial"/>
        </w:rPr>
        <w:t xml:space="preserve"> City, Azerbaijan – 8,770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(UNSCEAR, 2000; 2008); heavy mineral (monazite) deposits in </w:t>
      </w:r>
      <w:proofErr w:type="spellStart"/>
      <w:r w:rsidR="0029330C" w:rsidRPr="0029330C">
        <w:rPr>
          <w:rFonts w:ascii="Arial" w:hAnsi="Arial" w:cs="Arial"/>
        </w:rPr>
        <w:t>Erasama</w:t>
      </w:r>
      <w:proofErr w:type="spellEnd"/>
      <w:r w:rsidR="0029330C" w:rsidRPr="0029330C">
        <w:rPr>
          <w:rFonts w:ascii="Arial" w:hAnsi="Arial" w:cs="Arial"/>
        </w:rPr>
        <w:t xml:space="preserve"> and </w:t>
      </w:r>
      <w:proofErr w:type="spellStart"/>
      <w:r w:rsidR="0029330C" w:rsidRPr="0029330C">
        <w:rPr>
          <w:rFonts w:ascii="Arial" w:hAnsi="Arial" w:cs="Arial"/>
        </w:rPr>
        <w:t>Chhatrapur</w:t>
      </w:r>
      <w:proofErr w:type="spellEnd"/>
      <w:r w:rsidR="0029330C" w:rsidRPr="0029330C">
        <w:rPr>
          <w:rFonts w:ascii="Arial" w:hAnsi="Arial" w:cs="Arial"/>
        </w:rPr>
        <w:t xml:space="preserve"> along the Orissa coast, India – 5,000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(Mohanty et al., 2004); monazite deposits in </w:t>
      </w:r>
      <w:proofErr w:type="spellStart"/>
      <w:r w:rsidR="0029330C" w:rsidRPr="0029330C">
        <w:rPr>
          <w:rFonts w:ascii="Arial" w:hAnsi="Arial" w:cs="Arial"/>
        </w:rPr>
        <w:t>Chavara</w:t>
      </w:r>
      <w:proofErr w:type="spellEnd"/>
      <w:r w:rsidR="0029330C" w:rsidRPr="0029330C">
        <w:rPr>
          <w:rFonts w:ascii="Arial" w:hAnsi="Arial" w:cs="Arial"/>
        </w:rPr>
        <w:t xml:space="preserve"> along the Kerala coast, India – 3,767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(Ramasamy et al., 2013); and San Vicente, Philippines – 1,558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¹ (UNSCEAR, 2000; 2008)</w:t>
      </w:r>
      <w:r w:rsidRPr="0026491D">
        <w:rPr>
          <w:rFonts w:ascii="Arial" w:hAnsi="Arial" w:cs="Arial"/>
        </w:rPr>
        <w:t>. These efforts highlight the importance of</w:t>
      </w:r>
      <w:r w:rsidR="0029330C">
        <w:rPr>
          <w:rFonts w:ascii="Arial" w:hAnsi="Arial" w:cs="Arial"/>
        </w:rPr>
        <w:t xml:space="preserve"> TGR</w:t>
      </w:r>
      <w:r w:rsidRPr="0026491D">
        <w:rPr>
          <w:rFonts w:ascii="Arial" w:hAnsi="Arial" w:cs="Arial"/>
        </w:rPr>
        <w:t xml:space="preserve"> surveys for environmental radiological assessment, land-use planning, public exposure estimation, and emergency preparedness. However, in Malaysia, previous studies have been geographically limited, focused mainly on natural terrains, mining areas, beach sands, monazite-rich granites, and localized geological provinces (Ramli et al., 2003; 2005; Sanusi et al., 2014; 2017</w:t>
      </w:r>
      <w:r w:rsidR="00D27338">
        <w:rPr>
          <w:rFonts w:ascii="Arial" w:hAnsi="Arial" w:cs="Arial"/>
        </w:rPr>
        <w:t>b</w:t>
      </w:r>
      <w:r w:rsidRPr="0026491D">
        <w:rPr>
          <w:rFonts w:ascii="Arial" w:hAnsi="Arial" w:cs="Arial"/>
        </w:rPr>
        <w:t xml:space="preserve">; 2021). Comprehensive </w:t>
      </w:r>
      <w:r w:rsidRPr="0026491D">
        <w:rPr>
          <w:rFonts w:ascii="Arial" w:hAnsi="Arial" w:cs="Arial"/>
        </w:rPr>
        <w:lastRenderedPageBreak/>
        <w:t>urban TGR datasets capable of resolving fine-scale variability across multiple geological units are still lacking.</w:t>
      </w:r>
    </w:p>
    <w:p w14:paraId="53A949B3" w14:textId="1D806040" w:rsidR="0026491D" w:rsidRPr="0026491D" w:rsidRDefault="0026491D" w:rsidP="0026491D">
      <w:pPr>
        <w:pStyle w:val="Body"/>
        <w:rPr>
          <w:rFonts w:ascii="Arial" w:hAnsi="Arial" w:cs="Arial"/>
        </w:rPr>
      </w:pPr>
      <w:proofErr w:type="spellStart"/>
      <w:r w:rsidRPr="0026491D">
        <w:rPr>
          <w:rFonts w:ascii="Arial" w:hAnsi="Arial" w:cs="Arial"/>
        </w:rPr>
        <w:t>Carborne</w:t>
      </w:r>
      <w:proofErr w:type="spellEnd"/>
      <w:r w:rsidRPr="0026491D">
        <w:rPr>
          <w:rFonts w:ascii="Arial" w:hAnsi="Arial" w:cs="Arial"/>
        </w:rPr>
        <w:t xml:space="preserve"> gamma-ray surveys</w:t>
      </w:r>
      <w:r w:rsidR="0029330C">
        <w:rPr>
          <w:rFonts w:ascii="Arial" w:hAnsi="Arial" w:cs="Arial"/>
        </w:rPr>
        <w:t xml:space="preserve"> are </w:t>
      </w:r>
      <w:r w:rsidRPr="0026491D">
        <w:rPr>
          <w:rFonts w:ascii="Arial" w:hAnsi="Arial" w:cs="Arial"/>
        </w:rPr>
        <w:t>widely used in Europe, Japan and North America</w:t>
      </w:r>
      <w:r w:rsidR="0029330C">
        <w:rPr>
          <w:rFonts w:ascii="Arial" w:hAnsi="Arial" w:cs="Arial"/>
        </w:rPr>
        <w:t xml:space="preserve"> </w:t>
      </w:r>
      <w:r w:rsidRPr="0026491D">
        <w:rPr>
          <w:rFonts w:ascii="Arial" w:hAnsi="Arial" w:cs="Arial"/>
        </w:rPr>
        <w:t>offer a powerful method to obtain continuous, high-density TGR measurements across large urban domains (</w:t>
      </w:r>
      <w:proofErr w:type="spellStart"/>
      <w:r w:rsidRPr="0026491D">
        <w:rPr>
          <w:rFonts w:ascii="Arial" w:hAnsi="Arial" w:cs="Arial"/>
        </w:rPr>
        <w:t>Grasty</w:t>
      </w:r>
      <w:proofErr w:type="spellEnd"/>
      <w:r w:rsidRPr="0026491D">
        <w:rPr>
          <w:rFonts w:ascii="Arial" w:hAnsi="Arial" w:cs="Arial"/>
        </w:rPr>
        <w:t xml:space="preserve"> &amp; </w:t>
      </w:r>
      <w:proofErr w:type="spellStart"/>
      <w:r w:rsidRPr="0026491D">
        <w:rPr>
          <w:rFonts w:ascii="Arial" w:hAnsi="Arial" w:cs="Arial"/>
        </w:rPr>
        <w:t>LaMarre</w:t>
      </w:r>
      <w:proofErr w:type="spellEnd"/>
      <w:r w:rsidRPr="0026491D">
        <w:rPr>
          <w:rFonts w:ascii="Arial" w:hAnsi="Arial" w:cs="Arial"/>
        </w:rPr>
        <w:t xml:space="preserve"> 2004; Mora et al., 2007). These techniques enable the detection of abrupt changes in gamma flux across geological boundaries, lithological transitions, reclaimed zones, and built surfaces, making them especially suitable for understanding how geology continues to shape radiation fields in modified city environments. Despite their advantages, </w:t>
      </w:r>
      <w:proofErr w:type="spellStart"/>
      <w:r w:rsidRPr="0026491D">
        <w:rPr>
          <w:rFonts w:ascii="Arial" w:hAnsi="Arial" w:cs="Arial"/>
        </w:rPr>
        <w:t>carborne</w:t>
      </w:r>
      <w:proofErr w:type="spellEnd"/>
      <w:r w:rsidRPr="0026491D">
        <w:rPr>
          <w:rFonts w:ascii="Arial" w:hAnsi="Arial" w:cs="Arial"/>
        </w:rPr>
        <w:t xml:space="preserve"> surveys have rarely been applied, and no study has combined such data with urban soil radionuclide measurements and detailed geological mapping to quantify the degree of geological control beneath urbanized landscapes.</w:t>
      </w:r>
    </w:p>
    <w:p w14:paraId="207D3F5B" w14:textId="77777777" w:rsidR="0026491D" w:rsidRPr="0026491D" w:rsidRDefault="0026491D" w:rsidP="0026491D">
      <w:pPr>
        <w:pStyle w:val="Body"/>
        <w:rPr>
          <w:rFonts w:ascii="Arial" w:hAnsi="Arial" w:cs="Arial"/>
        </w:rPr>
      </w:pPr>
      <w:r w:rsidRPr="0026491D">
        <w:rPr>
          <w:rFonts w:ascii="Arial" w:hAnsi="Arial" w:cs="Arial"/>
        </w:rPr>
        <w:t>The interplay between geology, urban soil contamination and TGR therefore remains poorly understood in Malaysia. This knowledge gap is significant because public radiation exposure assessments often assume uniformity in urban environments, ignoring the potential influence of concealed geological structures and heterogeneous soil compositions. The absence of integrated datasets also limits the ability to evaluate long-term radiological trends in rapidly developing cities.</w:t>
      </w:r>
    </w:p>
    <w:p w14:paraId="0AD37C2A" w14:textId="001F157E" w:rsidR="00D27338" w:rsidRDefault="0026491D" w:rsidP="00C652C3">
      <w:pPr>
        <w:pStyle w:val="Body"/>
        <w:rPr>
          <w:rFonts w:ascii="Arial" w:hAnsi="Arial" w:cs="Arial"/>
        </w:rPr>
      </w:pPr>
      <w:r w:rsidRPr="0026491D">
        <w:rPr>
          <w:rFonts w:ascii="Arial" w:hAnsi="Arial" w:cs="Arial"/>
        </w:rPr>
        <w:t xml:space="preserve">The present study addresses these gaps by combining </w:t>
      </w:r>
      <w:proofErr w:type="spellStart"/>
      <w:r w:rsidRPr="0026491D">
        <w:rPr>
          <w:rFonts w:ascii="Arial" w:hAnsi="Arial" w:cs="Arial"/>
        </w:rPr>
        <w:t>carborne</w:t>
      </w:r>
      <w:proofErr w:type="spellEnd"/>
      <w:r w:rsidRPr="0026491D">
        <w:rPr>
          <w:rFonts w:ascii="Arial" w:hAnsi="Arial" w:cs="Arial"/>
        </w:rPr>
        <w:t xml:space="preserve"> TGR surveys, urban soil radioactivity measurements, and regional geology across multiple cities in Peninsular Malaysia. The objective is to determine whether underlying geology still exerts a measurable influence on TGR within heavily modified urban terrains and to evaluate how soil radioactivity contributes to observed gamma radiation variability. By providing the first integrated, geology-driven interpretation of urban TGR patterns in Malaysia, this study enhances understanding of natural radiation behaviour under altered environments and contributes essential baseline data for radiological protection, urban geoscience and environmental planning.</w:t>
      </w:r>
    </w:p>
    <w:p w14:paraId="633436EB" w14:textId="77777777" w:rsidR="00D36E87" w:rsidRPr="00FB3A86" w:rsidRDefault="00D36E87" w:rsidP="00441B6F">
      <w:pPr>
        <w:pStyle w:val="Body"/>
        <w:spacing w:after="0"/>
        <w:rPr>
          <w:rFonts w:ascii="Arial" w:hAnsi="Arial" w:cs="Arial"/>
        </w:rPr>
      </w:pPr>
    </w:p>
    <w:p w14:paraId="610D14F4" w14:textId="2F98472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E9B73F" w14:textId="77777777" w:rsidR="00790ADA" w:rsidRPr="00FB3A86" w:rsidRDefault="00790ADA" w:rsidP="00441B6F">
      <w:pPr>
        <w:pStyle w:val="AbstHead"/>
        <w:spacing w:after="0"/>
        <w:jc w:val="both"/>
        <w:rPr>
          <w:rFonts w:ascii="Arial" w:hAnsi="Arial" w:cs="Arial"/>
        </w:rPr>
      </w:pPr>
    </w:p>
    <w:p w14:paraId="07C38321" w14:textId="77777777" w:rsidR="004B6170" w:rsidRPr="003D1023" w:rsidRDefault="004B6170" w:rsidP="004B6170">
      <w:pPr>
        <w:pStyle w:val="Body"/>
        <w:rPr>
          <w:rFonts w:ascii="Arial" w:hAnsi="Arial" w:cs="Arial"/>
          <w:b/>
          <w:bCs/>
          <w:sz w:val="22"/>
          <w:szCs w:val="22"/>
        </w:rPr>
      </w:pPr>
      <w:r w:rsidRPr="003D1023">
        <w:rPr>
          <w:rFonts w:ascii="Arial" w:hAnsi="Arial" w:cs="Arial"/>
          <w:b/>
          <w:bCs/>
          <w:sz w:val="22"/>
          <w:szCs w:val="22"/>
        </w:rPr>
        <w:t>2.1. Selection of Survey Areas and Soil Sampling</w:t>
      </w:r>
    </w:p>
    <w:p w14:paraId="3D52667D" w14:textId="55EFBE26" w:rsidR="004B6170" w:rsidRDefault="004B6170" w:rsidP="004B6170">
      <w:pPr>
        <w:pStyle w:val="Body"/>
        <w:rPr>
          <w:rFonts w:ascii="Arial" w:hAnsi="Arial" w:cs="Arial"/>
        </w:rPr>
      </w:pPr>
      <w:r w:rsidRPr="004B6170">
        <w:rPr>
          <w:rFonts w:ascii="Arial" w:hAnsi="Arial" w:cs="Arial"/>
        </w:rPr>
        <w:t xml:space="preserve">This study employed a systematic </w:t>
      </w:r>
      <w:proofErr w:type="spellStart"/>
      <w:r w:rsidRPr="004B6170">
        <w:rPr>
          <w:rFonts w:ascii="Arial" w:hAnsi="Arial" w:cs="Arial"/>
        </w:rPr>
        <w:t>carborne</w:t>
      </w:r>
      <w:proofErr w:type="spellEnd"/>
      <w:r w:rsidRPr="004B6170">
        <w:rPr>
          <w:rFonts w:ascii="Arial" w:hAnsi="Arial" w:cs="Arial"/>
        </w:rPr>
        <w:t xml:space="preserve"> survey approach to measure terrestrial gamma radiation (TGR) dose rates across major urban </w:t>
      </w:r>
      <w:proofErr w:type="spellStart"/>
      <w:r w:rsidRPr="004B6170">
        <w:rPr>
          <w:rFonts w:ascii="Arial" w:hAnsi="Arial" w:cs="Arial"/>
        </w:rPr>
        <w:t>centers</w:t>
      </w:r>
      <w:proofErr w:type="spellEnd"/>
      <w:r w:rsidRPr="004B6170">
        <w:rPr>
          <w:rFonts w:ascii="Arial" w:hAnsi="Arial" w:cs="Arial"/>
        </w:rPr>
        <w:t xml:space="preserve"> in Peninsular Malaysia. Urban areas were selected based on a stratified geographical zoning to ensure representation of the southern, western, northern, and eastern regions</w:t>
      </w:r>
      <w:r w:rsidR="004C07B9">
        <w:rPr>
          <w:rFonts w:ascii="Arial" w:hAnsi="Arial" w:cs="Arial"/>
        </w:rPr>
        <w:t xml:space="preserve"> as shown in Fig. 1</w:t>
      </w:r>
      <w:r w:rsidRPr="004B6170">
        <w:rPr>
          <w:rFonts w:ascii="Arial" w:hAnsi="Arial" w:cs="Arial"/>
        </w:rPr>
        <w:t>. The survey was conducted from 19 December 2023 to 30 October 2024.</w:t>
      </w:r>
    </w:p>
    <w:p w14:paraId="57D1EFF0" w14:textId="166870DF" w:rsidR="009545EE" w:rsidRDefault="004C07B9" w:rsidP="004B6170">
      <w:pPr>
        <w:pStyle w:val="Body"/>
        <w:rPr>
          <w:rFonts w:ascii="Arial" w:hAnsi="Arial" w:cs="Arial"/>
        </w:rPr>
      </w:pPr>
      <w:r>
        <w:rPr>
          <w:rFonts w:ascii="Arial" w:hAnsi="Arial" w:cs="Arial"/>
          <w:noProof/>
          <w:lang w:val="en-US" w:eastAsia="en-US"/>
        </w:rPr>
        <w:lastRenderedPageBreak/>
        <w:drawing>
          <wp:inline distT="0" distB="0" distL="0" distR="0" wp14:anchorId="3FBEC57F" wp14:editId="168A2289">
            <wp:extent cx="5743508" cy="3568700"/>
            <wp:effectExtent l="0" t="0" r="0" b="0"/>
            <wp:docPr id="2122423505" name="Picture 2" descr="A map of the state of ch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23505" name="Picture 2" descr="A map of the state of chin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737" cy="3571328"/>
                    </a:xfrm>
                    <a:prstGeom prst="rect">
                      <a:avLst/>
                    </a:prstGeom>
                  </pic:spPr>
                </pic:pic>
              </a:graphicData>
            </a:graphic>
          </wp:inline>
        </w:drawing>
      </w:r>
    </w:p>
    <w:p w14:paraId="12E4606F" w14:textId="76BCFD14" w:rsidR="009545EE" w:rsidRDefault="009545EE" w:rsidP="009545EE"/>
    <w:p w14:paraId="6DCEC4F7" w14:textId="0668F0C7" w:rsidR="009545EE" w:rsidRPr="00E970D3" w:rsidRDefault="009545EE" w:rsidP="005E43D5">
      <w:pPr>
        <w:jc w:val="center"/>
        <w:rPr>
          <w:rFonts w:ascii="Arial" w:hAnsi="Arial" w:cs="Arial"/>
          <w:b/>
          <w:sz w:val="22"/>
          <w:szCs w:val="22"/>
        </w:rPr>
      </w:pPr>
      <w:r w:rsidRPr="00E970D3">
        <w:rPr>
          <w:rFonts w:ascii="Arial" w:hAnsi="Arial" w:cs="Arial"/>
          <w:b/>
          <w:sz w:val="22"/>
          <w:szCs w:val="22"/>
        </w:rPr>
        <w:t xml:space="preserve">Fig. 1. </w:t>
      </w:r>
      <w:r w:rsidR="005E43D5" w:rsidRPr="00E970D3">
        <w:rPr>
          <w:rFonts w:ascii="Arial" w:hAnsi="Arial" w:cs="Arial"/>
          <w:b/>
          <w:sz w:val="22"/>
          <w:szCs w:val="22"/>
        </w:rPr>
        <w:t>(</w:t>
      </w:r>
      <w:r w:rsidR="007F7BA3" w:rsidRPr="00E970D3">
        <w:rPr>
          <w:rFonts w:ascii="Arial" w:hAnsi="Arial" w:cs="Arial"/>
          <w:b/>
          <w:i/>
          <w:iCs/>
          <w:sz w:val="22"/>
          <w:szCs w:val="22"/>
        </w:rPr>
        <w:t>l</w:t>
      </w:r>
      <w:r w:rsidR="005E43D5" w:rsidRPr="00E970D3">
        <w:rPr>
          <w:rFonts w:ascii="Arial" w:hAnsi="Arial" w:cs="Arial"/>
          <w:b/>
          <w:i/>
          <w:iCs/>
          <w:sz w:val="22"/>
          <w:szCs w:val="22"/>
        </w:rPr>
        <w:t>eft</w:t>
      </w:r>
      <w:r w:rsidR="005E43D5" w:rsidRPr="00E970D3">
        <w:rPr>
          <w:rFonts w:ascii="Arial" w:hAnsi="Arial" w:cs="Arial"/>
          <w:b/>
          <w:sz w:val="22"/>
          <w:szCs w:val="22"/>
        </w:rPr>
        <w:t xml:space="preserve">) </w:t>
      </w:r>
      <w:r w:rsidRPr="00E970D3">
        <w:rPr>
          <w:rFonts w:ascii="Arial" w:hAnsi="Arial" w:cs="Arial"/>
          <w:b/>
          <w:sz w:val="22"/>
          <w:szCs w:val="22"/>
        </w:rPr>
        <w:t>Geological distribution of Peninsular Malaysia (Digitised from data published by Department of Geosciences and Mineral Malaysia, 2002; Hutchison and Tan, 2009)</w:t>
      </w:r>
      <w:r w:rsidR="004C07B9" w:rsidRPr="00E970D3">
        <w:rPr>
          <w:rFonts w:ascii="Arial" w:hAnsi="Arial" w:cs="Arial"/>
          <w:b/>
          <w:sz w:val="22"/>
          <w:szCs w:val="22"/>
        </w:rPr>
        <w:t xml:space="preserve"> and</w:t>
      </w:r>
      <w:r w:rsidR="005E43D5" w:rsidRPr="00E970D3">
        <w:rPr>
          <w:rFonts w:ascii="Arial" w:hAnsi="Arial" w:cs="Arial"/>
          <w:b/>
          <w:sz w:val="22"/>
          <w:szCs w:val="22"/>
        </w:rPr>
        <w:t xml:space="preserve"> (</w:t>
      </w:r>
      <w:r w:rsidR="007F7BA3" w:rsidRPr="00E970D3">
        <w:rPr>
          <w:rFonts w:ascii="Arial" w:hAnsi="Arial" w:cs="Arial"/>
          <w:b/>
          <w:i/>
          <w:iCs/>
          <w:sz w:val="22"/>
          <w:szCs w:val="22"/>
        </w:rPr>
        <w:t>r</w:t>
      </w:r>
      <w:r w:rsidR="005E43D5" w:rsidRPr="00E970D3">
        <w:rPr>
          <w:rFonts w:ascii="Arial" w:hAnsi="Arial" w:cs="Arial"/>
          <w:b/>
          <w:i/>
          <w:iCs/>
          <w:sz w:val="22"/>
          <w:szCs w:val="22"/>
        </w:rPr>
        <w:t>ight</w:t>
      </w:r>
      <w:r w:rsidR="005E43D5" w:rsidRPr="00E970D3">
        <w:rPr>
          <w:rFonts w:ascii="Arial" w:hAnsi="Arial" w:cs="Arial"/>
          <w:b/>
          <w:sz w:val="22"/>
          <w:szCs w:val="22"/>
        </w:rPr>
        <w:t>)</w:t>
      </w:r>
      <w:r w:rsidR="004C07B9" w:rsidRPr="00E970D3">
        <w:rPr>
          <w:rFonts w:ascii="Arial" w:hAnsi="Arial" w:cs="Arial"/>
          <w:b/>
          <w:sz w:val="22"/>
          <w:szCs w:val="22"/>
        </w:rPr>
        <w:t xml:space="preserve"> </w:t>
      </w:r>
      <w:r w:rsidR="005E43D5" w:rsidRPr="00E970D3">
        <w:rPr>
          <w:rFonts w:ascii="Arial" w:hAnsi="Arial" w:cs="Arial"/>
          <w:b/>
          <w:sz w:val="22"/>
          <w:szCs w:val="22"/>
        </w:rPr>
        <w:t xml:space="preserve">spatial distribution </w:t>
      </w:r>
      <w:r w:rsidR="004C07B9" w:rsidRPr="00E970D3">
        <w:rPr>
          <w:rFonts w:ascii="Arial" w:hAnsi="Arial" w:cs="Arial"/>
          <w:b/>
          <w:sz w:val="22"/>
          <w:szCs w:val="22"/>
        </w:rPr>
        <w:t>gamma survey points</w:t>
      </w:r>
      <w:r w:rsidR="005E43D5" w:rsidRPr="00E970D3">
        <w:rPr>
          <w:rFonts w:ascii="Arial" w:hAnsi="Arial" w:cs="Arial"/>
          <w:b/>
          <w:sz w:val="22"/>
          <w:szCs w:val="22"/>
        </w:rPr>
        <w:t xml:space="preserve"> </w:t>
      </w:r>
      <w:r w:rsidR="004C07B9" w:rsidRPr="00E970D3">
        <w:rPr>
          <w:rFonts w:ascii="Arial" w:hAnsi="Arial" w:cs="Arial"/>
          <w:b/>
          <w:sz w:val="22"/>
          <w:szCs w:val="22"/>
        </w:rPr>
        <w:t xml:space="preserve">from the </w:t>
      </w:r>
      <w:proofErr w:type="spellStart"/>
      <w:r w:rsidR="004C07B9" w:rsidRPr="00E970D3">
        <w:rPr>
          <w:rFonts w:ascii="Arial" w:hAnsi="Arial" w:cs="Arial"/>
          <w:b/>
          <w:sz w:val="22"/>
          <w:szCs w:val="22"/>
        </w:rPr>
        <w:t>carborne</w:t>
      </w:r>
      <w:proofErr w:type="spellEnd"/>
      <w:r w:rsidR="004C07B9" w:rsidRPr="00E970D3">
        <w:rPr>
          <w:rFonts w:ascii="Arial" w:hAnsi="Arial" w:cs="Arial"/>
          <w:b/>
          <w:sz w:val="22"/>
          <w:szCs w:val="22"/>
        </w:rPr>
        <w:t xml:space="preserve"> survey</w:t>
      </w:r>
      <w:r w:rsidRPr="00E970D3">
        <w:rPr>
          <w:rFonts w:ascii="Arial" w:hAnsi="Arial" w:cs="Arial"/>
          <w:b/>
          <w:sz w:val="22"/>
          <w:szCs w:val="22"/>
        </w:rPr>
        <w:t>.</w:t>
      </w:r>
    </w:p>
    <w:p w14:paraId="4F9854A5" w14:textId="77777777" w:rsidR="004C07B9" w:rsidRPr="00E970D3" w:rsidRDefault="004C07B9" w:rsidP="004C07B9">
      <w:pPr>
        <w:jc w:val="center"/>
        <w:rPr>
          <w:rFonts w:ascii="Arial" w:hAnsi="Arial" w:cs="Arial"/>
        </w:rPr>
      </w:pPr>
    </w:p>
    <w:p w14:paraId="38D63522" w14:textId="68A71B4A" w:rsidR="004B6170" w:rsidRPr="004B6170" w:rsidRDefault="004B6170" w:rsidP="004B6170">
      <w:pPr>
        <w:pStyle w:val="Body"/>
        <w:rPr>
          <w:rFonts w:ascii="Arial" w:hAnsi="Arial" w:cs="Arial"/>
        </w:rPr>
      </w:pPr>
      <w:r w:rsidRPr="004B6170">
        <w:rPr>
          <w:rFonts w:ascii="Arial" w:hAnsi="Arial" w:cs="Arial"/>
        </w:rPr>
        <w:t xml:space="preserve">In the southern zone, measurements covered </w:t>
      </w:r>
      <w:r w:rsidR="009545EE">
        <w:rPr>
          <w:rFonts w:ascii="Arial" w:hAnsi="Arial" w:cs="Arial"/>
        </w:rPr>
        <w:t xml:space="preserve">big cities and urbanization of </w:t>
      </w:r>
      <w:r w:rsidRPr="004B6170">
        <w:rPr>
          <w:rFonts w:ascii="Arial" w:hAnsi="Arial" w:cs="Arial"/>
        </w:rPr>
        <w:t xml:space="preserve">Johor Bahru (2,300 km²), Bandar </w:t>
      </w:r>
      <w:proofErr w:type="spellStart"/>
      <w:r w:rsidRPr="004B6170">
        <w:rPr>
          <w:rFonts w:ascii="Arial" w:hAnsi="Arial" w:cs="Arial"/>
        </w:rPr>
        <w:t>Hilir</w:t>
      </w:r>
      <w:proofErr w:type="spellEnd"/>
      <w:r w:rsidRPr="004B6170">
        <w:rPr>
          <w:rFonts w:ascii="Arial" w:hAnsi="Arial" w:cs="Arial"/>
        </w:rPr>
        <w:t xml:space="preserve"> Melaka (303 km²), Seremban (960 km²), and Port Dickson. In the western coastal zone, surveys were carried out across </w:t>
      </w:r>
      <w:proofErr w:type="spellStart"/>
      <w:r w:rsidRPr="004B6170">
        <w:rPr>
          <w:rFonts w:ascii="Arial" w:hAnsi="Arial" w:cs="Arial"/>
        </w:rPr>
        <w:t>Petaling</w:t>
      </w:r>
      <w:proofErr w:type="spellEnd"/>
      <w:r w:rsidRPr="004B6170">
        <w:rPr>
          <w:rFonts w:ascii="Arial" w:hAnsi="Arial" w:cs="Arial"/>
        </w:rPr>
        <w:t xml:space="preserve">, Hulu Langat, </w:t>
      </w:r>
      <w:proofErr w:type="spellStart"/>
      <w:r w:rsidRPr="004B6170">
        <w:rPr>
          <w:rFonts w:ascii="Arial" w:hAnsi="Arial" w:cs="Arial"/>
        </w:rPr>
        <w:t>Klang</w:t>
      </w:r>
      <w:proofErr w:type="spellEnd"/>
      <w:r w:rsidRPr="004B6170">
        <w:rPr>
          <w:rFonts w:ascii="Arial" w:hAnsi="Arial" w:cs="Arial"/>
        </w:rPr>
        <w:t xml:space="preserve">, Gombak (371 km² combined), Kuala Lumpur (212 km²), Putrajaya (25 km²), and the Greater Kinta Valley cities of Ipoh, Taiping, and </w:t>
      </w:r>
      <w:proofErr w:type="spellStart"/>
      <w:r w:rsidRPr="004B6170">
        <w:rPr>
          <w:rFonts w:ascii="Arial" w:hAnsi="Arial" w:cs="Arial"/>
        </w:rPr>
        <w:t>Batu</w:t>
      </w:r>
      <w:proofErr w:type="spellEnd"/>
      <w:r w:rsidRPr="004B6170">
        <w:rPr>
          <w:rFonts w:ascii="Arial" w:hAnsi="Arial" w:cs="Arial"/>
        </w:rPr>
        <w:t xml:space="preserve"> Gajah (120 km² combined). In the northern region, the survey included Penang Island (142 km²), the Penang–Kedah corridor (120 km²), </w:t>
      </w:r>
      <w:proofErr w:type="spellStart"/>
      <w:r w:rsidRPr="004B6170">
        <w:rPr>
          <w:rFonts w:ascii="Arial" w:hAnsi="Arial" w:cs="Arial"/>
        </w:rPr>
        <w:t>Alor</w:t>
      </w:r>
      <w:proofErr w:type="spellEnd"/>
      <w:r w:rsidRPr="004B6170">
        <w:rPr>
          <w:rFonts w:ascii="Arial" w:hAnsi="Arial" w:cs="Arial"/>
        </w:rPr>
        <w:t xml:space="preserve"> </w:t>
      </w:r>
      <w:proofErr w:type="spellStart"/>
      <w:r w:rsidRPr="004B6170">
        <w:rPr>
          <w:rFonts w:ascii="Arial" w:hAnsi="Arial" w:cs="Arial"/>
        </w:rPr>
        <w:t>Setar</w:t>
      </w:r>
      <w:proofErr w:type="spellEnd"/>
      <w:r w:rsidRPr="004B6170">
        <w:rPr>
          <w:rFonts w:ascii="Arial" w:hAnsi="Arial" w:cs="Arial"/>
        </w:rPr>
        <w:t xml:space="preserve"> (82 km²), and Perlis (29 km²). Meanwhile, the eastern zone comprised Kota Bharu (390 km²), Kuala Terengganu (227 km²), and Kuantan (359 km²).</w:t>
      </w:r>
    </w:p>
    <w:p w14:paraId="68910A98" w14:textId="77777777" w:rsidR="004B6170" w:rsidRPr="004B6170" w:rsidRDefault="004B6170" w:rsidP="004B6170">
      <w:pPr>
        <w:pStyle w:val="Body"/>
        <w:rPr>
          <w:rFonts w:ascii="Arial" w:hAnsi="Arial" w:cs="Arial"/>
        </w:rPr>
      </w:pPr>
      <w:r w:rsidRPr="004B6170">
        <w:rPr>
          <w:rFonts w:ascii="Arial" w:hAnsi="Arial" w:cs="Arial"/>
        </w:rPr>
        <w:t>A spatial resolution of approximately one measurement point every 1.5 km² was targeted, ensuring consistent sampling density across all urban landscapes. The TGR measurements were collected using mobile gamma detectors mounted inside a vehicle, which logged radiation data continuously while traversing road networks. A GPS navigation system provided precise geolocation of each measurement point.</w:t>
      </w:r>
    </w:p>
    <w:p w14:paraId="215DE02B" w14:textId="5E0F94C7" w:rsidR="004B6170" w:rsidRDefault="004B6170" w:rsidP="004B6170">
      <w:pPr>
        <w:pStyle w:val="Body"/>
        <w:rPr>
          <w:rFonts w:ascii="Arial" w:hAnsi="Arial" w:cs="Arial"/>
        </w:rPr>
      </w:pPr>
      <w:r w:rsidRPr="004B6170">
        <w:rPr>
          <w:rFonts w:ascii="Arial" w:hAnsi="Arial" w:cs="Arial"/>
        </w:rPr>
        <w:lastRenderedPageBreak/>
        <w:t xml:space="preserve">A total of 120 surface soil samples were collected to quantify the specific activity concentrations of </w:t>
      </w:r>
      <w:r w:rsidRPr="00040AB7">
        <w:rPr>
          <w:rFonts w:ascii="Arial" w:hAnsi="Arial" w:cs="Arial"/>
          <w:vertAlign w:val="superscript"/>
        </w:rPr>
        <w:t>238</w:t>
      </w:r>
      <w:r w:rsidRPr="004B6170">
        <w:rPr>
          <w:rFonts w:ascii="Arial" w:hAnsi="Arial" w:cs="Arial"/>
        </w:rPr>
        <w:t xml:space="preserve">U and </w:t>
      </w:r>
      <w:r w:rsidRPr="00040AB7">
        <w:rPr>
          <w:rFonts w:ascii="Arial" w:hAnsi="Arial" w:cs="Arial"/>
          <w:vertAlign w:val="superscript"/>
        </w:rPr>
        <w:t>232</w:t>
      </w:r>
      <w:r w:rsidRPr="004B6170">
        <w:rPr>
          <w:rFonts w:ascii="Arial" w:hAnsi="Arial" w:cs="Arial"/>
        </w:rPr>
        <w:t xml:space="preserve">Th series radionuclides, as well as </w:t>
      </w:r>
      <w:r w:rsidRPr="00040AB7">
        <w:rPr>
          <w:rFonts w:ascii="Arial" w:hAnsi="Arial" w:cs="Arial"/>
          <w:vertAlign w:val="superscript"/>
        </w:rPr>
        <w:t>40</w:t>
      </w:r>
      <w:r w:rsidRPr="004B6170">
        <w:rPr>
          <w:rFonts w:ascii="Arial" w:hAnsi="Arial" w:cs="Arial"/>
        </w:rPr>
        <w:t>K. The samples were collected from accessible open soil patches within the survey areas. Soil availability was limited due to extensive surface sealing from urban development, as documented by the Department of Agriculture Peninsular Malaysia (2002). Despite these constraints, sampling locations were spread across all major geological formations underlying the cities to capture lithological variability. Soil sampling was conducted concurrently with radiation surveys to ensure spatial correspondence between soil radioactivity and TGR measurements.</w:t>
      </w:r>
    </w:p>
    <w:p w14:paraId="64E00FE0" w14:textId="77777777" w:rsidR="00D36E87" w:rsidRPr="007F7BA3" w:rsidRDefault="00D36E87" w:rsidP="004B6170">
      <w:pPr>
        <w:pStyle w:val="Body"/>
        <w:rPr>
          <w:rFonts w:ascii="Arial" w:hAnsi="Arial" w:cs="Arial"/>
        </w:rPr>
      </w:pPr>
    </w:p>
    <w:p w14:paraId="296D8A45" w14:textId="77777777" w:rsidR="004B6170" w:rsidRPr="007F7BA3" w:rsidRDefault="004B6170" w:rsidP="004B6170">
      <w:pPr>
        <w:pStyle w:val="Body"/>
        <w:rPr>
          <w:rFonts w:ascii="Arial" w:hAnsi="Arial" w:cs="Arial"/>
          <w:b/>
          <w:bCs/>
        </w:rPr>
      </w:pPr>
      <w:r w:rsidRPr="007F7BA3">
        <w:rPr>
          <w:rFonts w:ascii="Arial" w:hAnsi="Arial" w:cs="Arial"/>
          <w:b/>
          <w:bCs/>
        </w:rPr>
        <w:t xml:space="preserve">2.2. </w:t>
      </w:r>
      <w:proofErr w:type="spellStart"/>
      <w:r w:rsidRPr="007F7BA3">
        <w:rPr>
          <w:rFonts w:ascii="Arial" w:hAnsi="Arial" w:cs="Arial"/>
          <w:b/>
          <w:bCs/>
        </w:rPr>
        <w:t>Carborne</w:t>
      </w:r>
      <w:proofErr w:type="spellEnd"/>
      <w:r w:rsidRPr="007F7BA3">
        <w:rPr>
          <w:rFonts w:ascii="Arial" w:hAnsi="Arial" w:cs="Arial"/>
          <w:b/>
          <w:bCs/>
        </w:rPr>
        <w:t xml:space="preserve"> Survey of Terrestrial Gamma Radiation</w:t>
      </w:r>
    </w:p>
    <w:p w14:paraId="3BB70CF6" w14:textId="0D1F91F4" w:rsidR="004B6170" w:rsidRPr="007F7BA3" w:rsidRDefault="004B6170" w:rsidP="004B6170">
      <w:pPr>
        <w:pStyle w:val="Body"/>
        <w:rPr>
          <w:rFonts w:ascii="Arial" w:hAnsi="Arial" w:cs="Arial"/>
          <w:b/>
          <w:bCs/>
        </w:rPr>
      </w:pPr>
      <w:r w:rsidRPr="007F7BA3">
        <w:rPr>
          <w:rFonts w:ascii="Arial" w:hAnsi="Arial" w:cs="Arial"/>
          <w:b/>
          <w:bCs/>
        </w:rPr>
        <w:t>2.2.1. Instruments and Measurements</w:t>
      </w:r>
    </w:p>
    <w:p w14:paraId="7AD190BF" w14:textId="68286E66" w:rsidR="009545EE" w:rsidRDefault="004B6170" w:rsidP="009545EE">
      <w:pPr>
        <w:pStyle w:val="Body"/>
        <w:rPr>
          <w:rFonts w:ascii="Arial" w:hAnsi="Arial" w:cs="Arial"/>
        </w:rPr>
      </w:pPr>
      <w:r w:rsidRPr="004B6170">
        <w:rPr>
          <w:rFonts w:ascii="Arial" w:hAnsi="Arial" w:cs="Arial"/>
        </w:rPr>
        <w:t xml:space="preserve">The terrestrial gamma radiation survey utilized the </w:t>
      </w:r>
      <w:proofErr w:type="spellStart"/>
      <w:r w:rsidRPr="004B6170">
        <w:rPr>
          <w:rFonts w:ascii="Arial" w:hAnsi="Arial" w:cs="Arial"/>
        </w:rPr>
        <w:t>Atomtex</w:t>
      </w:r>
      <w:proofErr w:type="spellEnd"/>
      <w:r w:rsidRPr="004B6170">
        <w:rPr>
          <w:rFonts w:ascii="Arial" w:hAnsi="Arial" w:cs="Arial"/>
        </w:rPr>
        <w:t xml:space="preserve"> AT6101C Backpack Radiation Detector</w:t>
      </w:r>
      <w:r w:rsidR="00B54FBA">
        <w:rPr>
          <w:rFonts w:ascii="Arial" w:hAnsi="Arial" w:cs="Arial"/>
        </w:rPr>
        <w:t xml:space="preserve"> (Fig. </w:t>
      </w:r>
      <w:r w:rsidR="009545EE">
        <w:rPr>
          <w:rFonts w:ascii="Arial" w:hAnsi="Arial" w:cs="Arial"/>
        </w:rPr>
        <w:t>2</w:t>
      </w:r>
      <w:r w:rsidR="00B54FBA">
        <w:rPr>
          <w:rFonts w:ascii="Arial" w:hAnsi="Arial" w:cs="Arial"/>
        </w:rPr>
        <w:t>)</w:t>
      </w:r>
      <w:r w:rsidRPr="004B6170">
        <w:rPr>
          <w:rFonts w:ascii="Arial" w:hAnsi="Arial" w:cs="Arial"/>
        </w:rPr>
        <w:t>, factory-calibrated according to manufacturer specifications (</w:t>
      </w:r>
      <w:proofErr w:type="spellStart"/>
      <w:r w:rsidRPr="004B6170">
        <w:rPr>
          <w:rFonts w:ascii="Arial" w:hAnsi="Arial" w:cs="Arial"/>
        </w:rPr>
        <w:t>Atomtex</w:t>
      </w:r>
      <w:proofErr w:type="spellEnd"/>
      <w:r w:rsidRPr="004B6170">
        <w:rPr>
          <w:rFonts w:ascii="Arial" w:hAnsi="Arial" w:cs="Arial"/>
        </w:rPr>
        <w:t xml:space="preserve">, 2024). The gamma detection system incorporated BDKG-11M </w:t>
      </w:r>
      <w:proofErr w:type="spellStart"/>
      <w:proofErr w:type="gramStart"/>
      <w:r w:rsidRPr="004B6170">
        <w:rPr>
          <w:rFonts w:ascii="Arial" w:hAnsi="Arial" w:cs="Arial"/>
        </w:rPr>
        <w:t>NaI</w:t>
      </w:r>
      <w:proofErr w:type="spellEnd"/>
      <w:r w:rsidRPr="004B6170">
        <w:rPr>
          <w:rFonts w:ascii="Arial" w:hAnsi="Arial" w:cs="Arial"/>
        </w:rPr>
        <w:t>(</w:t>
      </w:r>
      <w:proofErr w:type="gramEnd"/>
      <w:r w:rsidRPr="004B6170">
        <w:rPr>
          <w:rFonts w:ascii="Arial" w:hAnsi="Arial" w:cs="Arial"/>
        </w:rPr>
        <w:t xml:space="preserve">Tl) scintillation detectors (Ø63 × 63 mm) with an operational range of 0.03–150 </w:t>
      </w:r>
      <w:proofErr w:type="spellStart"/>
      <w:r w:rsidRPr="004B6170">
        <w:rPr>
          <w:rFonts w:ascii="Arial" w:hAnsi="Arial" w:cs="Arial"/>
        </w:rPr>
        <w:t>μSv</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and an energy resolution of 7.5% at 662 keV (</w:t>
      </w:r>
      <w:r w:rsidRPr="00B8567F">
        <w:rPr>
          <w:rFonts w:ascii="Arial" w:hAnsi="Arial" w:cs="Arial"/>
          <w:vertAlign w:val="superscript"/>
        </w:rPr>
        <w:t>137</w:t>
      </w:r>
      <w:r w:rsidRPr="004B6170">
        <w:rPr>
          <w:rFonts w:ascii="Arial" w:hAnsi="Arial" w:cs="Arial"/>
        </w:rPr>
        <w:t>Cs). The detector was coupled with a GPS receiver and data logger to synchronize real-time dose rate readings with geographic coordinates.</w:t>
      </w:r>
    </w:p>
    <w:p w14:paraId="0510FA45" w14:textId="4A433C76" w:rsidR="00C652C3" w:rsidRDefault="00C652C3" w:rsidP="009545EE">
      <w:pPr>
        <w:pStyle w:val="Body"/>
        <w:rPr>
          <w:rFonts w:ascii="Arial" w:hAnsi="Arial" w:cs="Arial"/>
        </w:rPr>
      </w:pPr>
      <w:r w:rsidRPr="004B6170">
        <w:rPr>
          <w:rFonts w:ascii="Arial" w:hAnsi="Arial" w:cs="Arial"/>
        </w:rPr>
        <w:t>Measurements were taken while the survey vehicle moved at speeds between 80 and 110 km h</w:t>
      </w:r>
      <w:r w:rsidRPr="004B6170">
        <w:rPr>
          <w:rFonts w:ascii="Cambria Math" w:hAnsi="Cambria Math" w:cs="Cambria Math"/>
        </w:rPr>
        <w:t>⁻</w:t>
      </w:r>
      <w:r w:rsidRPr="004B6170">
        <w:rPr>
          <w:rFonts w:ascii="Arial" w:hAnsi="Arial" w:cs="Arial"/>
        </w:rPr>
        <w:t>¹ along major road networks, enabling continuous acquisition of gamma dose rate data. The system was mounted inside a vehicle in a fixed orientation to ensure consistent geometry relative to ground radiation sources. Elevated TGR readings were revisited on foot using handheld gamma survey meters to confirm ground-level radiation anomalies. Data cleaning was performed by removing duplicate coordinates produced by the 3 Hz sampling frequency.</w:t>
      </w:r>
    </w:p>
    <w:p w14:paraId="54AAFBF4" w14:textId="77777777" w:rsidR="009545EE" w:rsidRDefault="009545EE" w:rsidP="009545EE">
      <w:pPr>
        <w:pStyle w:val="Body"/>
        <w:jc w:val="center"/>
        <w:rPr>
          <w:rFonts w:ascii="Arial" w:hAnsi="Arial" w:cs="Arial"/>
        </w:rPr>
      </w:pPr>
      <w:r>
        <w:rPr>
          <w:rFonts w:ascii="Arial" w:hAnsi="Arial" w:cs="Arial"/>
          <w:noProof/>
          <w:lang w:val="en-US" w:eastAsia="en-US"/>
        </w:rPr>
        <w:lastRenderedPageBreak/>
        <w:drawing>
          <wp:inline distT="0" distB="0" distL="0" distR="0" wp14:anchorId="4AF86564" wp14:editId="417C475A">
            <wp:extent cx="3103809" cy="2681043"/>
            <wp:effectExtent l="0" t="0" r="0" b="0"/>
            <wp:docPr id="45927453" name="Picture 3" descr="A diagram of a car with a backpack and a back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453" name="Picture 3" descr="A diagram of a car with a backpack and a backpac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667" cy="2699060"/>
                    </a:xfrm>
                    <a:prstGeom prst="rect">
                      <a:avLst/>
                    </a:prstGeom>
                  </pic:spPr>
                </pic:pic>
              </a:graphicData>
            </a:graphic>
          </wp:inline>
        </w:drawing>
      </w:r>
    </w:p>
    <w:p w14:paraId="3E909030" w14:textId="77777777" w:rsidR="009545EE" w:rsidRDefault="009545EE" w:rsidP="009545EE">
      <w:pPr>
        <w:pStyle w:val="Body"/>
        <w:jc w:val="center"/>
        <w:rPr>
          <w:rFonts w:ascii="Arial" w:hAnsi="Arial" w:cs="Arial"/>
          <w:b/>
          <w:bCs/>
          <w:sz w:val="22"/>
          <w:szCs w:val="22"/>
        </w:rPr>
      </w:pPr>
      <w:r w:rsidRPr="00E970D3">
        <w:rPr>
          <w:rFonts w:ascii="Arial" w:hAnsi="Arial" w:cs="Arial"/>
          <w:b/>
          <w:bCs/>
          <w:sz w:val="22"/>
          <w:szCs w:val="22"/>
        </w:rPr>
        <w:t xml:space="preserve">Fig. 2. Setup of the car-borne gamma radiation survey using a conventional 2-wheel-drive vehicle, and (b) the </w:t>
      </w:r>
      <w:proofErr w:type="spellStart"/>
      <w:r w:rsidRPr="00E970D3">
        <w:rPr>
          <w:rFonts w:ascii="Arial" w:hAnsi="Arial" w:cs="Arial"/>
          <w:b/>
          <w:bCs/>
          <w:sz w:val="22"/>
          <w:szCs w:val="22"/>
        </w:rPr>
        <w:t>Atomtex</w:t>
      </w:r>
      <w:proofErr w:type="spellEnd"/>
      <w:r w:rsidRPr="00E970D3">
        <w:rPr>
          <w:rFonts w:ascii="Arial" w:hAnsi="Arial" w:cs="Arial"/>
          <w:b/>
          <w:bCs/>
          <w:sz w:val="22"/>
          <w:szCs w:val="22"/>
        </w:rPr>
        <w:t xml:space="preserve"> AT6101C backpack radiation detector system</w:t>
      </w:r>
    </w:p>
    <w:p w14:paraId="1A1B0DE0" w14:textId="77777777" w:rsidR="000D26BC" w:rsidRPr="00E970D3" w:rsidRDefault="000D26BC" w:rsidP="009545EE">
      <w:pPr>
        <w:pStyle w:val="Body"/>
        <w:jc w:val="center"/>
        <w:rPr>
          <w:rFonts w:ascii="Arial" w:hAnsi="Arial" w:cs="Arial"/>
          <w:b/>
          <w:bCs/>
          <w:sz w:val="22"/>
          <w:szCs w:val="22"/>
        </w:rPr>
      </w:pPr>
    </w:p>
    <w:p w14:paraId="41F94103" w14:textId="3E4A388D" w:rsidR="004B6170" w:rsidRPr="00D36E87" w:rsidRDefault="004B6170" w:rsidP="004B6170">
      <w:pPr>
        <w:pStyle w:val="Body"/>
        <w:rPr>
          <w:rFonts w:ascii="Arial" w:hAnsi="Arial" w:cs="Arial"/>
          <w:b/>
          <w:bCs/>
        </w:rPr>
      </w:pPr>
      <w:r w:rsidRPr="00D36E87">
        <w:rPr>
          <w:rFonts w:ascii="Arial" w:hAnsi="Arial" w:cs="Arial"/>
          <w:b/>
          <w:bCs/>
        </w:rPr>
        <w:t>2.2.2. Calibration of Gamma Dose Rate Measurements</w:t>
      </w:r>
    </w:p>
    <w:p w14:paraId="3B73A4D0" w14:textId="2864E7E6" w:rsidR="004B6170" w:rsidRPr="004B6170" w:rsidRDefault="004B6170" w:rsidP="004B6170">
      <w:pPr>
        <w:pStyle w:val="Body"/>
        <w:rPr>
          <w:rFonts w:ascii="Arial" w:hAnsi="Arial" w:cs="Arial"/>
        </w:rPr>
      </w:pPr>
      <w:r w:rsidRPr="004B6170">
        <w:rPr>
          <w:rFonts w:ascii="Arial" w:hAnsi="Arial" w:cs="Arial"/>
        </w:rPr>
        <w:t xml:space="preserve">To ensure accuracy in low-level environmental gamma measurements, the TGR dose rate data were corrected using the Ludlum Model 19 Micro R Meter (Ludlum, 1993) and supported by </w:t>
      </w:r>
      <w:proofErr w:type="spellStart"/>
      <w:r w:rsidRPr="004B6170">
        <w:rPr>
          <w:rFonts w:ascii="Arial" w:hAnsi="Arial" w:cs="Arial"/>
        </w:rPr>
        <w:t>HPGe</w:t>
      </w:r>
      <w:proofErr w:type="spellEnd"/>
      <w:r w:rsidRPr="004B6170">
        <w:rPr>
          <w:rFonts w:ascii="Arial" w:hAnsi="Arial" w:cs="Arial"/>
        </w:rPr>
        <w:t xml:space="preserve"> gamma spectroscopy validations. The Ludlum 19 covers the relevant energy range of primordial gamma emitters and the anthropogenic radionuclide </w:t>
      </w:r>
      <w:r w:rsidRPr="00B8567F">
        <w:rPr>
          <w:rFonts w:ascii="Arial" w:hAnsi="Arial" w:cs="Arial"/>
          <w:vertAlign w:val="superscript"/>
        </w:rPr>
        <w:t>137</w:t>
      </w:r>
      <w:r w:rsidRPr="004B6170">
        <w:rPr>
          <w:rFonts w:ascii="Arial" w:hAnsi="Arial" w:cs="Arial"/>
        </w:rPr>
        <w:t xml:space="preserve">Cs. Its energy response was calibrated using multi-nuclide standards including </w:t>
      </w:r>
      <w:r w:rsidRPr="00D36E87">
        <w:rPr>
          <w:rFonts w:ascii="Arial" w:hAnsi="Arial" w:cs="Arial"/>
          <w:vertAlign w:val="superscript"/>
        </w:rPr>
        <w:t>241</w:t>
      </w:r>
      <w:r w:rsidRPr="004B6170">
        <w:rPr>
          <w:rFonts w:ascii="Arial" w:hAnsi="Arial" w:cs="Arial"/>
        </w:rPr>
        <w:t xml:space="preserve">Am, </w:t>
      </w:r>
      <w:r w:rsidRPr="00D36E87">
        <w:rPr>
          <w:rFonts w:ascii="Arial" w:hAnsi="Arial" w:cs="Arial"/>
          <w:vertAlign w:val="superscript"/>
        </w:rPr>
        <w:t>57</w:t>
      </w:r>
      <w:r w:rsidRPr="004B6170">
        <w:rPr>
          <w:rFonts w:ascii="Arial" w:hAnsi="Arial" w:cs="Arial"/>
        </w:rPr>
        <w:t xml:space="preserve">Co, </w:t>
      </w:r>
      <w:r w:rsidRPr="00D36E87">
        <w:rPr>
          <w:rFonts w:ascii="Arial" w:hAnsi="Arial" w:cs="Arial"/>
          <w:vertAlign w:val="superscript"/>
        </w:rPr>
        <w:t>133</w:t>
      </w:r>
      <w:r w:rsidRPr="004B6170">
        <w:rPr>
          <w:rFonts w:ascii="Arial" w:hAnsi="Arial" w:cs="Arial"/>
        </w:rPr>
        <w:t xml:space="preserve">Ba, </w:t>
      </w:r>
      <w:r w:rsidRPr="00D36E87">
        <w:rPr>
          <w:rFonts w:ascii="Arial" w:hAnsi="Arial" w:cs="Arial"/>
          <w:vertAlign w:val="superscript"/>
        </w:rPr>
        <w:t>137</w:t>
      </w:r>
      <w:r w:rsidRPr="004B6170">
        <w:rPr>
          <w:rFonts w:ascii="Arial" w:hAnsi="Arial" w:cs="Arial"/>
        </w:rPr>
        <w:t xml:space="preserve">Cs, and </w:t>
      </w:r>
      <w:r w:rsidRPr="00D36E87">
        <w:rPr>
          <w:rFonts w:ascii="Arial" w:hAnsi="Arial" w:cs="Arial"/>
          <w:vertAlign w:val="superscript"/>
        </w:rPr>
        <w:t>60</w:t>
      </w:r>
      <w:r w:rsidRPr="004B6170">
        <w:rPr>
          <w:rFonts w:ascii="Arial" w:hAnsi="Arial" w:cs="Arial"/>
        </w:rPr>
        <w:t>Co (Ludlum, 1993).</w:t>
      </w:r>
    </w:p>
    <w:p w14:paraId="69A159A7" w14:textId="5B503C9E" w:rsidR="004B6170" w:rsidRPr="004B6170" w:rsidRDefault="004B6170" w:rsidP="004B6170">
      <w:pPr>
        <w:pStyle w:val="Body"/>
        <w:rPr>
          <w:rFonts w:ascii="Arial" w:hAnsi="Arial" w:cs="Arial"/>
        </w:rPr>
      </w:pPr>
      <w:r w:rsidRPr="004B6170">
        <w:rPr>
          <w:rFonts w:ascii="Arial" w:hAnsi="Arial" w:cs="Arial"/>
        </w:rPr>
        <w:t xml:space="preserve">Instrument calibration was performed at the Secondary Standard Dosimetry Laboratory (SSDL), Malaysian Nuclear Agency, following IEC 1017-1:1990 (IEC 1017, 1990), the National Physical Laboratory (BCRU, 1981), and IAEA Safety Standard GSG-10 guidelines (IAEA, 2018). Calibration was completed over exposure ranges of 0–5000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0–500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and 0–250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The calibrated dose rate was computed using Eq. 1 (Sanusi et al., 2017</w:t>
      </w:r>
      <w:r w:rsidR="00B8567F">
        <w:rPr>
          <w:rFonts w:ascii="Arial" w:hAnsi="Arial" w:cs="Arial"/>
        </w:rPr>
        <w:t>a</w:t>
      </w:r>
      <w:r w:rsidRPr="004B6170">
        <w:rPr>
          <w:rFonts w:ascii="Arial" w:hAnsi="Arial" w:cs="Arial"/>
        </w:rPr>
        <w:t>):</w:t>
      </w:r>
    </w:p>
    <w:p w14:paraId="0F918ADB" w14:textId="3C7DAD69" w:rsidR="004B6170" w:rsidRPr="004B6170" w:rsidRDefault="004B6170" w:rsidP="001B7340">
      <w:pPr>
        <w:pStyle w:val="Body"/>
        <w:jc w:val="right"/>
        <w:rPr>
          <w:rFonts w:ascii="Arial" w:hAnsi="Arial" w:cs="Arial"/>
        </w:rPr>
      </w:pPr>
      <w:r w:rsidRPr="00AA1511">
        <w:rPr>
          <w:rFonts w:ascii="Arial" w:hAnsi="Arial" w:cs="Arial"/>
          <w:i/>
          <w:iCs/>
        </w:rPr>
        <w:t>D</w:t>
      </w:r>
      <w:r w:rsidRPr="004B6170">
        <w:rPr>
          <w:rFonts w:ascii="Arial" w:hAnsi="Arial" w:cs="Arial"/>
        </w:rPr>
        <w:t xml:space="preserve"> = </w:t>
      </w:r>
      <w:r w:rsidRPr="00D36E87">
        <w:rPr>
          <w:rFonts w:ascii="Arial" w:hAnsi="Arial" w:cs="Arial"/>
          <w:i/>
          <w:iCs/>
        </w:rPr>
        <w:t>B</w:t>
      </w:r>
      <w:r w:rsidRPr="004B6170">
        <w:rPr>
          <w:rFonts w:ascii="Arial" w:hAnsi="Arial" w:cs="Arial"/>
        </w:rPr>
        <w:t xml:space="preserve"> × </w:t>
      </w:r>
      <w:r w:rsidRPr="00D36E87">
        <w:rPr>
          <w:rFonts w:ascii="Arial" w:hAnsi="Arial" w:cs="Arial"/>
          <w:i/>
          <w:iCs/>
        </w:rPr>
        <w:t>J</w:t>
      </w:r>
      <w:r w:rsidRPr="004B6170">
        <w:rPr>
          <w:rFonts w:ascii="Arial" w:hAnsi="Arial" w:cs="Arial"/>
        </w:rPr>
        <w:t xml:space="preserve"> × </w:t>
      </w:r>
      <w:proofErr w:type="spellStart"/>
      <w:r w:rsidRPr="00D36E87">
        <w:rPr>
          <w:rFonts w:ascii="Arial" w:hAnsi="Arial" w:cs="Arial"/>
          <w:i/>
          <w:iCs/>
        </w:rPr>
        <w:t>C</w:t>
      </w:r>
      <w:r w:rsidRPr="00D36E87">
        <w:rPr>
          <w:rFonts w:ascii="Arial" w:hAnsi="Arial" w:cs="Arial"/>
          <w:vertAlign w:val="subscript"/>
        </w:rPr>
        <w:t>f</w:t>
      </w:r>
      <w:proofErr w:type="spellEnd"/>
      <w:r w:rsidRPr="004B6170">
        <w:rPr>
          <w:rFonts w:ascii="Arial" w:hAnsi="Arial" w:cs="Arial"/>
        </w:rPr>
        <w:t xml:space="preserve"> × 8.7 </w:t>
      </w:r>
      <w:proofErr w:type="spellStart"/>
      <w:r w:rsidRPr="004B6170">
        <w:rPr>
          <w:rFonts w:ascii="Arial" w:hAnsi="Arial" w:cs="Arial"/>
        </w:rPr>
        <w:t>nGy</w:t>
      </w:r>
      <w:proofErr w:type="spellEnd"/>
      <w:r w:rsidRPr="004B6170">
        <w:rPr>
          <w:rFonts w:ascii="Arial" w:hAnsi="Arial" w:cs="Arial"/>
        </w:rPr>
        <w:t xml:space="preserve"> μR</w:t>
      </w:r>
      <w:r w:rsidRPr="004B6170">
        <w:rPr>
          <w:rFonts w:ascii="Cambria Math" w:hAnsi="Cambria Math" w:cs="Cambria Math"/>
        </w:rPr>
        <w:t>⁻</w:t>
      </w:r>
      <w:r w:rsidRPr="004B6170">
        <w:rPr>
          <w:rFonts w:ascii="Arial" w:hAnsi="Arial" w:cs="Arial"/>
        </w:rPr>
        <w:t>¹ h</w:t>
      </w:r>
      <w:r w:rsidRPr="004B6170">
        <w:rPr>
          <w:rFonts w:ascii="Cambria Math" w:hAnsi="Cambria Math" w:cs="Cambria Math"/>
        </w:rPr>
        <w:t>⁻</w:t>
      </w:r>
      <w:r w:rsidRPr="004B6170">
        <w:rPr>
          <w:rFonts w:ascii="Arial" w:hAnsi="Arial" w:cs="Arial"/>
        </w:rPr>
        <w:t>¹ </w:t>
      </w:r>
      <w:r w:rsidR="001B7340">
        <w:rPr>
          <w:rFonts w:ascii="Arial" w:hAnsi="Arial" w:cs="Arial"/>
        </w:rPr>
        <w:tab/>
      </w:r>
      <w:r w:rsidR="001B7340">
        <w:rPr>
          <w:rFonts w:ascii="Arial" w:hAnsi="Arial" w:cs="Arial"/>
        </w:rPr>
        <w:tab/>
      </w:r>
      <w:r w:rsidR="001B7340">
        <w:rPr>
          <w:rFonts w:ascii="Arial" w:hAnsi="Arial" w:cs="Arial"/>
        </w:rPr>
        <w:tab/>
      </w:r>
      <w:r w:rsidRPr="004B6170">
        <w:rPr>
          <w:rFonts w:ascii="Arial" w:hAnsi="Arial" w:cs="Arial"/>
        </w:rPr>
        <w:t>(1)</w:t>
      </w:r>
    </w:p>
    <w:p w14:paraId="5DCA9DF5" w14:textId="3D8B300E" w:rsidR="004B6170" w:rsidRPr="004B6170" w:rsidRDefault="004B6170" w:rsidP="004B6170">
      <w:pPr>
        <w:pStyle w:val="Body"/>
        <w:rPr>
          <w:rFonts w:ascii="Arial" w:hAnsi="Arial" w:cs="Arial"/>
        </w:rPr>
      </w:pPr>
      <w:r w:rsidRPr="004B6170">
        <w:rPr>
          <w:rFonts w:ascii="Arial" w:hAnsi="Arial" w:cs="Arial"/>
        </w:rPr>
        <w:t xml:space="preserve">where </w:t>
      </w:r>
      <w:r w:rsidRPr="00AA1511">
        <w:rPr>
          <w:rFonts w:ascii="Arial" w:hAnsi="Arial" w:cs="Arial"/>
          <w:i/>
          <w:iCs/>
        </w:rPr>
        <w:t>D</w:t>
      </w:r>
      <w:r w:rsidRPr="004B6170">
        <w:rPr>
          <w:rFonts w:ascii="Arial" w:hAnsi="Arial" w:cs="Arial"/>
        </w:rPr>
        <w:t xml:space="preserve"> is the calibrated absorbed dose rate (</w:t>
      </w:r>
      <w:proofErr w:type="spellStart"/>
      <w:r w:rsidRPr="004B6170">
        <w:rPr>
          <w:rFonts w:ascii="Arial" w:hAnsi="Arial" w:cs="Arial"/>
        </w:rPr>
        <w:t>nGy</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B is the instrument reading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J is the correction factor for each exposure range (1.00, 1.03, 0.96), and </w:t>
      </w:r>
      <w:proofErr w:type="spellStart"/>
      <w:r w:rsidRPr="00AA1511">
        <w:rPr>
          <w:rFonts w:ascii="Arial" w:hAnsi="Arial" w:cs="Arial"/>
          <w:i/>
          <w:iCs/>
        </w:rPr>
        <w:t>C</w:t>
      </w:r>
      <w:r w:rsidRPr="00AA1511">
        <w:rPr>
          <w:rFonts w:ascii="Arial" w:hAnsi="Arial" w:cs="Arial"/>
          <w:vertAlign w:val="subscript"/>
        </w:rPr>
        <w:t>f</w:t>
      </w:r>
      <w:proofErr w:type="spellEnd"/>
      <w:r w:rsidRPr="004B6170">
        <w:rPr>
          <w:rFonts w:ascii="Arial" w:hAnsi="Arial" w:cs="Arial"/>
        </w:rPr>
        <w:t xml:space="preserve"> is the calibration factor derived from </w:t>
      </w:r>
      <w:r w:rsidRPr="00AA1511">
        <w:rPr>
          <w:rFonts w:ascii="Arial" w:hAnsi="Arial" w:cs="Arial"/>
          <w:vertAlign w:val="superscript"/>
        </w:rPr>
        <w:t>137</w:t>
      </w:r>
      <w:r w:rsidRPr="004B6170">
        <w:rPr>
          <w:rFonts w:ascii="Arial" w:hAnsi="Arial" w:cs="Arial"/>
        </w:rPr>
        <w:t xml:space="preserve">Cs (662 keV) and 60Co (1250 keV). The resulting averaged </w:t>
      </w:r>
      <w:proofErr w:type="spellStart"/>
      <w:r w:rsidR="00AA1511" w:rsidRPr="00AA1511">
        <w:rPr>
          <w:rFonts w:ascii="Arial" w:hAnsi="Arial" w:cs="Arial"/>
          <w:i/>
          <w:iCs/>
        </w:rPr>
        <w:t>C</w:t>
      </w:r>
      <w:r w:rsidR="00AA1511" w:rsidRPr="00AA1511">
        <w:rPr>
          <w:rFonts w:ascii="Arial" w:hAnsi="Arial" w:cs="Arial"/>
          <w:vertAlign w:val="subscript"/>
        </w:rPr>
        <w:t>f</w:t>
      </w:r>
      <w:proofErr w:type="spellEnd"/>
      <w:r w:rsidR="00AA1511" w:rsidRPr="004B6170">
        <w:rPr>
          <w:rFonts w:ascii="Arial" w:hAnsi="Arial" w:cs="Arial"/>
        </w:rPr>
        <w:t xml:space="preserve"> </w:t>
      </w:r>
      <w:r w:rsidRPr="004B6170">
        <w:rPr>
          <w:rFonts w:ascii="Arial" w:hAnsi="Arial" w:cs="Arial"/>
        </w:rPr>
        <w:t xml:space="preserve">was 1.22 ± 0.27, consistent with </w:t>
      </w:r>
      <w:r w:rsidRPr="004B6170">
        <w:rPr>
          <w:rFonts w:ascii="Arial" w:hAnsi="Arial" w:cs="Arial"/>
        </w:rPr>
        <w:lastRenderedPageBreak/>
        <w:t>the acceptable range of 0.8–1.2 suggested by ISO/IEC standards (</w:t>
      </w:r>
      <w:proofErr w:type="spellStart"/>
      <w:r w:rsidRPr="004B6170">
        <w:rPr>
          <w:rFonts w:ascii="Arial" w:hAnsi="Arial" w:cs="Arial"/>
        </w:rPr>
        <w:t>Alamares</w:t>
      </w:r>
      <w:proofErr w:type="spellEnd"/>
      <w:r w:rsidRPr="004B6170">
        <w:rPr>
          <w:rFonts w:ascii="Arial" w:hAnsi="Arial" w:cs="Arial"/>
        </w:rPr>
        <w:t xml:space="preserve"> and </w:t>
      </w:r>
      <w:proofErr w:type="spellStart"/>
      <w:r w:rsidRPr="004B6170">
        <w:rPr>
          <w:rFonts w:ascii="Arial" w:hAnsi="Arial" w:cs="Arial"/>
        </w:rPr>
        <w:t>Caseria</w:t>
      </w:r>
      <w:proofErr w:type="spellEnd"/>
      <w:r w:rsidRPr="004B6170">
        <w:rPr>
          <w:rFonts w:ascii="Arial" w:hAnsi="Arial" w:cs="Arial"/>
        </w:rPr>
        <w:t>, 1995).</w:t>
      </w:r>
    </w:p>
    <w:p w14:paraId="182CDFA0" w14:textId="79A06ACE" w:rsidR="00B54FBA" w:rsidRDefault="004B6170" w:rsidP="004B6170">
      <w:pPr>
        <w:pStyle w:val="Body"/>
        <w:rPr>
          <w:rFonts w:ascii="Arial" w:hAnsi="Arial" w:cs="Arial"/>
        </w:rPr>
      </w:pPr>
      <w:r w:rsidRPr="00D765A0">
        <w:rPr>
          <w:rFonts w:ascii="Arial" w:hAnsi="Arial" w:cs="Arial"/>
          <w:highlight w:val="yellow"/>
        </w:rPr>
        <w:t xml:space="preserve">Zero-background validation for instrument self-contamination was performed inside an underground lead bunker at </w:t>
      </w:r>
      <w:proofErr w:type="spellStart"/>
      <w:r w:rsidRPr="00D765A0">
        <w:rPr>
          <w:rFonts w:ascii="Arial" w:hAnsi="Arial" w:cs="Arial"/>
          <w:highlight w:val="yellow"/>
        </w:rPr>
        <w:t>Universiti</w:t>
      </w:r>
      <w:proofErr w:type="spellEnd"/>
      <w:r w:rsidRPr="00D765A0">
        <w:rPr>
          <w:rFonts w:ascii="Arial" w:hAnsi="Arial" w:cs="Arial"/>
          <w:highlight w:val="yellow"/>
        </w:rPr>
        <w:t xml:space="preserve"> </w:t>
      </w:r>
      <w:proofErr w:type="spellStart"/>
      <w:r w:rsidRPr="00D765A0">
        <w:rPr>
          <w:rFonts w:ascii="Arial" w:hAnsi="Arial" w:cs="Arial"/>
          <w:highlight w:val="yellow"/>
        </w:rPr>
        <w:t>Teknologi</w:t>
      </w:r>
      <w:proofErr w:type="spellEnd"/>
      <w:r w:rsidRPr="00D765A0">
        <w:rPr>
          <w:rFonts w:ascii="Arial" w:hAnsi="Arial" w:cs="Arial"/>
          <w:highlight w:val="yellow"/>
        </w:rPr>
        <w:t xml:space="preserve"> Malaysia, confirming negligible internal background contributions</w:t>
      </w:r>
      <w:r w:rsidR="00B54FBA" w:rsidRPr="00D765A0">
        <w:rPr>
          <w:rFonts w:ascii="Arial" w:hAnsi="Arial" w:cs="Arial"/>
          <w:highlight w:val="yellow"/>
        </w:rPr>
        <w:t xml:space="preserve">. </w:t>
      </w:r>
      <w:r w:rsidR="00D765A0" w:rsidRPr="00D765A0">
        <w:rPr>
          <w:rFonts w:ascii="Arial" w:hAnsi="Arial" w:cs="Arial"/>
          <w:highlight w:val="yellow"/>
        </w:rPr>
        <w:t xml:space="preserve">The survey meter’s cosmic contribution was subtracted from field readings using a baseline value of 1.25 </w:t>
      </w:r>
      <w:proofErr w:type="spellStart"/>
      <w:r w:rsidR="00D765A0" w:rsidRPr="00D765A0">
        <w:rPr>
          <w:rFonts w:ascii="Arial" w:hAnsi="Arial" w:cs="Arial"/>
          <w:highlight w:val="yellow"/>
        </w:rPr>
        <w:t>μR</w:t>
      </w:r>
      <w:proofErr w:type="spellEnd"/>
      <w:r w:rsidR="00D765A0" w:rsidRPr="00D765A0">
        <w:rPr>
          <w:rFonts w:ascii="Arial" w:hAnsi="Arial" w:cs="Arial"/>
          <w:highlight w:val="yellow"/>
        </w:rPr>
        <w:t xml:space="preserve"> h</w:t>
      </w:r>
      <w:r w:rsidR="00D765A0" w:rsidRPr="00D765A0">
        <w:rPr>
          <w:rFonts w:ascii="Cambria Math" w:hAnsi="Cambria Math" w:cs="Cambria Math"/>
          <w:highlight w:val="yellow"/>
        </w:rPr>
        <w:t>⁻</w:t>
      </w:r>
      <w:r w:rsidR="00D765A0" w:rsidRPr="00D765A0">
        <w:rPr>
          <w:rFonts w:ascii="Arial" w:hAnsi="Arial" w:cs="Arial"/>
          <w:highlight w:val="yellow"/>
        </w:rPr>
        <w:t xml:space="preserve">¹. This baseline was established from pre-deployment calibration runs of the same instrument performed in an open, unobstructed location (instrument upright, long-count runs of 30–60 min) and is consistent with sea-level cosmic dose rates at mid-northern latitudes (3.67 </w:t>
      </w:r>
      <w:proofErr w:type="spellStart"/>
      <w:r w:rsidR="00D765A0" w:rsidRPr="00D765A0">
        <w:rPr>
          <w:rFonts w:ascii="Arial" w:hAnsi="Arial" w:cs="Arial"/>
          <w:highlight w:val="yellow"/>
        </w:rPr>
        <w:t>μR</w:t>
      </w:r>
      <w:proofErr w:type="spellEnd"/>
      <w:r w:rsidR="00D765A0" w:rsidRPr="00D765A0">
        <w:rPr>
          <w:rFonts w:ascii="Arial" w:hAnsi="Arial" w:cs="Arial"/>
          <w:highlight w:val="yellow"/>
        </w:rPr>
        <w:t xml:space="preserve"> h</w:t>
      </w:r>
      <w:r w:rsidR="00D765A0" w:rsidRPr="00D765A0">
        <w:rPr>
          <w:rFonts w:ascii="Cambria Math" w:hAnsi="Cambria Math" w:cs="Cambria Math"/>
          <w:highlight w:val="yellow"/>
        </w:rPr>
        <w:t>⁻</w:t>
      </w:r>
      <w:r w:rsidR="00D765A0" w:rsidRPr="00D765A0">
        <w:rPr>
          <w:rFonts w:ascii="Arial" w:hAnsi="Arial" w:cs="Arial"/>
          <w:highlight w:val="yellow"/>
        </w:rPr>
        <w:t>¹) (BCRU, 1981; UNSCEAR, 2000).</w:t>
      </w:r>
      <w:r w:rsidR="00D765A0">
        <w:rPr>
          <w:rFonts w:ascii="Arial" w:hAnsi="Arial" w:cs="Arial"/>
        </w:rPr>
        <w:t xml:space="preserve"> </w:t>
      </w:r>
    </w:p>
    <w:p w14:paraId="005ECD9C" w14:textId="77777777" w:rsidR="00D765A0" w:rsidRPr="007F7BA3" w:rsidRDefault="00D765A0" w:rsidP="004B6170">
      <w:pPr>
        <w:pStyle w:val="Body"/>
        <w:rPr>
          <w:rFonts w:ascii="Arial" w:hAnsi="Arial" w:cs="Arial"/>
        </w:rPr>
      </w:pPr>
    </w:p>
    <w:p w14:paraId="17E30024" w14:textId="17A7B73A" w:rsidR="004B6170" w:rsidRPr="007F7BA3" w:rsidRDefault="004B6170" w:rsidP="004B6170">
      <w:pPr>
        <w:pStyle w:val="Body"/>
        <w:rPr>
          <w:rFonts w:ascii="Arial" w:hAnsi="Arial" w:cs="Arial"/>
          <w:b/>
          <w:bCs/>
        </w:rPr>
      </w:pPr>
      <w:r w:rsidRPr="007F7BA3">
        <w:rPr>
          <w:rFonts w:ascii="Arial" w:hAnsi="Arial" w:cs="Arial"/>
          <w:b/>
          <w:bCs/>
        </w:rPr>
        <w:t xml:space="preserve">2.3. Soil Radioactivity Measurements Using </w:t>
      </w:r>
      <w:proofErr w:type="spellStart"/>
      <w:r w:rsidRPr="007F7BA3">
        <w:rPr>
          <w:rFonts w:ascii="Arial" w:hAnsi="Arial" w:cs="Arial"/>
          <w:b/>
          <w:bCs/>
        </w:rPr>
        <w:t>HPGe</w:t>
      </w:r>
      <w:proofErr w:type="spellEnd"/>
      <w:r w:rsidRPr="007F7BA3">
        <w:rPr>
          <w:rFonts w:ascii="Arial" w:hAnsi="Arial" w:cs="Arial"/>
          <w:b/>
          <w:bCs/>
        </w:rPr>
        <w:t xml:space="preserve"> Gamma Spectrometry</w:t>
      </w:r>
    </w:p>
    <w:p w14:paraId="7965C6E9" w14:textId="418C8D39" w:rsidR="004B6170" w:rsidRPr="004B6170" w:rsidRDefault="004B6170" w:rsidP="004B6170">
      <w:pPr>
        <w:pStyle w:val="Body"/>
        <w:rPr>
          <w:rFonts w:ascii="Arial" w:hAnsi="Arial" w:cs="Arial"/>
        </w:rPr>
      </w:pPr>
      <w:r w:rsidRPr="004B6170">
        <w:rPr>
          <w:rFonts w:ascii="Arial" w:hAnsi="Arial" w:cs="Arial"/>
        </w:rPr>
        <w:t xml:space="preserve">Soil radioactivity measurements were performed using an ORTEC GEM Series P-type coaxial </w:t>
      </w:r>
      <w:proofErr w:type="spellStart"/>
      <w:r w:rsidRPr="004B6170">
        <w:rPr>
          <w:rFonts w:ascii="Arial" w:hAnsi="Arial" w:cs="Arial"/>
        </w:rPr>
        <w:t>HPGe</w:t>
      </w:r>
      <w:proofErr w:type="spellEnd"/>
      <w:r w:rsidRPr="004B6170">
        <w:rPr>
          <w:rFonts w:ascii="Arial" w:hAnsi="Arial" w:cs="Arial"/>
        </w:rPr>
        <w:t xml:space="preserve"> detector (GEM20-76-LB-C-SMPCFG-SV-LB-76) with 33% relative efficiency and 1.8 keV FWHM resolution at 1332 keV, equipped with a Mobius cryocooling system. The system was operated over the 40 keV to multi-MeV energy range using the GAMMAVISION 8 software for spectral acquisition and analysis.</w:t>
      </w:r>
    </w:p>
    <w:p w14:paraId="42F27669" w14:textId="084E7B48" w:rsidR="004B6170" w:rsidRPr="004B6170" w:rsidRDefault="004B6170" w:rsidP="004B6170">
      <w:pPr>
        <w:pStyle w:val="Body"/>
        <w:rPr>
          <w:rFonts w:ascii="Arial" w:hAnsi="Arial" w:cs="Arial"/>
        </w:rPr>
      </w:pPr>
      <w:r w:rsidRPr="004B6170">
        <w:rPr>
          <w:rFonts w:ascii="Arial" w:hAnsi="Arial" w:cs="Arial"/>
        </w:rPr>
        <w:t xml:space="preserve">Energy and efficiency calibrations were conducted using multi-nuclide standards in a sand matrix consisting of </w:t>
      </w:r>
      <w:r w:rsidRPr="00AA1511">
        <w:rPr>
          <w:rFonts w:ascii="Arial" w:hAnsi="Arial" w:cs="Arial"/>
          <w:vertAlign w:val="superscript"/>
        </w:rPr>
        <w:t>210</w:t>
      </w:r>
      <w:r w:rsidRPr="004B6170">
        <w:rPr>
          <w:rFonts w:ascii="Arial" w:hAnsi="Arial" w:cs="Arial"/>
        </w:rPr>
        <w:t xml:space="preserve">Pb, </w:t>
      </w:r>
      <w:r w:rsidRPr="00AA1511">
        <w:rPr>
          <w:rFonts w:ascii="Arial" w:hAnsi="Arial" w:cs="Arial"/>
          <w:vertAlign w:val="superscript"/>
        </w:rPr>
        <w:t>241</w:t>
      </w:r>
      <w:r w:rsidRPr="004B6170">
        <w:rPr>
          <w:rFonts w:ascii="Arial" w:hAnsi="Arial" w:cs="Arial"/>
        </w:rPr>
        <w:t xml:space="preserve">Am, </w:t>
      </w:r>
      <w:r w:rsidRPr="00AA1511">
        <w:rPr>
          <w:rFonts w:ascii="Arial" w:hAnsi="Arial" w:cs="Arial"/>
          <w:vertAlign w:val="superscript"/>
        </w:rPr>
        <w:t>109</w:t>
      </w:r>
      <w:r w:rsidRPr="004B6170">
        <w:rPr>
          <w:rFonts w:ascii="Arial" w:hAnsi="Arial" w:cs="Arial"/>
        </w:rPr>
        <w:t xml:space="preserve">Cd, </w:t>
      </w:r>
      <w:r w:rsidRPr="00AA1511">
        <w:rPr>
          <w:rFonts w:ascii="Arial" w:hAnsi="Arial" w:cs="Arial"/>
          <w:vertAlign w:val="superscript"/>
        </w:rPr>
        <w:t>57</w:t>
      </w:r>
      <w:r w:rsidRPr="004B6170">
        <w:rPr>
          <w:rFonts w:ascii="Arial" w:hAnsi="Arial" w:cs="Arial"/>
        </w:rPr>
        <w:t xml:space="preserve">Co, </w:t>
      </w:r>
      <w:r w:rsidRPr="00AA1511">
        <w:rPr>
          <w:rFonts w:ascii="Arial" w:hAnsi="Arial" w:cs="Arial"/>
          <w:vertAlign w:val="superscript"/>
        </w:rPr>
        <w:t>123m</w:t>
      </w:r>
      <w:r w:rsidRPr="004B6170">
        <w:rPr>
          <w:rFonts w:ascii="Arial" w:hAnsi="Arial" w:cs="Arial"/>
        </w:rPr>
        <w:t xml:space="preserve">Te, </w:t>
      </w:r>
      <w:r w:rsidRPr="00AA1511">
        <w:rPr>
          <w:rFonts w:ascii="Arial" w:hAnsi="Arial" w:cs="Arial"/>
          <w:vertAlign w:val="superscript"/>
        </w:rPr>
        <w:t>51</w:t>
      </w:r>
      <w:r w:rsidRPr="004B6170">
        <w:rPr>
          <w:rFonts w:ascii="Arial" w:hAnsi="Arial" w:cs="Arial"/>
        </w:rPr>
        <w:t xml:space="preserve">Cr, </w:t>
      </w:r>
      <w:r w:rsidRPr="00AA1511">
        <w:rPr>
          <w:rFonts w:ascii="Arial" w:hAnsi="Arial" w:cs="Arial"/>
          <w:vertAlign w:val="superscript"/>
        </w:rPr>
        <w:t>113</w:t>
      </w:r>
      <w:r w:rsidRPr="004B6170">
        <w:rPr>
          <w:rFonts w:ascii="Arial" w:hAnsi="Arial" w:cs="Arial"/>
        </w:rPr>
        <w:t xml:space="preserve">Sn, </w:t>
      </w:r>
      <w:r w:rsidRPr="00AA1511">
        <w:rPr>
          <w:rFonts w:ascii="Arial" w:hAnsi="Arial" w:cs="Arial"/>
          <w:vertAlign w:val="superscript"/>
        </w:rPr>
        <w:t>85</w:t>
      </w:r>
      <w:r w:rsidRPr="004B6170">
        <w:rPr>
          <w:rFonts w:ascii="Arial" w:hAnsi="Arial" w:cs="Arial"/>
        </w:rPr>
        <w:t xml:space="preserve">Sr, </w:t>
      </w:r>
      <w:r w:rsidRPr="00AA1511">
        <w:rPr>
          <w:rFonts w:ascii="Arial" w:hAnsi="Arial" w:cs="Arial"/>
          <w:vertAlign w:val="superscript"/>
        </w:rPr>
        <w:t>137</w:t>
      </w:r>
      <w:r w:rsidRPr="004B6170">
        <w:rPr>
          <w:rFonts w:ascii="Arial" w:hAnsi="Arial" w:cs="Arial"/>
        </w:rPr>
        <w:t xml:space="preserve">Cs, </w:t>
      </w:r>
      <w:r w:rsidRPr="00AA1511">
        <w:rPr>
          <w:rFonts w:ascii="Arial" w:hAnsi="Arial" w:cs="Arial"/>
          <w:vertAlign w:val="superscript"/>
        </w:rPr>
        <w:t>88</w:t>
      </w:r>
      <w:r w:rsidRPr="004B6170">
        <w:rPr>
          <w:rFonts w:ascii="Arial" w:hAnsi="Arial" w:cs="Arial"/>
        </w:rPr>
        <w:t xml:space="preserve">Y, and </w:t>
      </w:r>
      <w:r w:rsidRPr="00AA1511">
        <w:rPr>
          <w:rFonts w:ascii="Arial" w:hAnsi="Arial" w:cs="Arial"/>
          <w:vertAlign w:val="superscript"/>
        </w:rPr>
        <w:t>60</w:t>
      </w:r>
      <w:r w:rsidRPr="004B6170">
        <w:rPr>
          <w:rFonts w:ascii="Arial" w:hAnsi="Arial" w:cs="Arial"/>
        </w:rPr>
        <w:t xml:space="preserve">Co (Eckert &amp; Ziegler Isotope Products, 1232-2). For </w:t>
      </w:r>
      <w:r w:rsidRPr="00AA1511">
        <w:rPr>
          <w:rFonts w:ascii="Arial" w:hAnsi="Arial" w:cs="Arial"/>
          <w:vertAlign w:val="superscript"/>
        </w:rPr>
        <w:t>238</w:t>
      </w:r>
      <w:r w:rsidRPr="004B6170">
        <w:rPr>
          <w:rFonts w:ascii="Arial" w:hAnsi="Arial" w:cs="Arial"/>
        </w:rPr>
        <w:t xml:space="preserve">U, gamma peaks from </w:t>
      </w:r>
      <w:r w:rsidRPr="00AA1511">
        <w:rPr>
          <w:rFonts w:ascii="Arial" w:hAnsi="Arial" w:cs="Arial"/>
          <w:vertAlign w:val="superscript"/>
        </w:rPr>
        <w:t>214</w:t>
      </w:r>
      <w:r w:rsidRPr="004B6170">
        <w:rPr>
          <w:rFonts w:ascii="Arial" w:hAnsi="Arial" w:cs="Arial"/>
        </w:rPr>
        <w:t xml:space="preserve">Pb (295, 352 keV) and </w:t>
      </w:r>
      <w:r w:rsidRPr="00AA1511">
        <w:rPr>
          <w:rFonts w:ascii="Arial" w:hAnsi="Arial" w:cs="Arial"/>
          <w:vertAlign w:val="superscript"/>
        </w:rPr>
        <w:t>214</w:t>
      </w:r>
      <w:r w:rsidRPr="004B6170">
        <w:rPr>
          <w:rFonts w:ascii="Arial" w:hAnsi="Arial" w:cs="Arial"/>
        </w:rPr>
        <w:t xml:space="preserve">Bi (609, 1120, 1764 keV) were used, assuming secular equilibrium. For </w:t>
      </w:r>
      <w:r w:rsidRPr="00AA1511">
        <w:rPr>
          <w:rFonts w:ascii="Arial" w:hAnsi="Arial" w:cs="Arial"/>
          <w:vertAlign w:val="superscript"/>
        </w:rPr>
        <w:t>232</w:t>
      </w:r>
      <w:r w:rsidRPr="004B6170">
        <w:rPr>
          <w:rFonts w:ascii="Arial" w:hAnsi="Arial" w:cs="Arial"/>
        </w:rPr>
        <w:t xml:space="preserve">Th, peaks from </w:t>
      </w:r>
      <w:r w:rsidRPr="00AA1511">
        <w:rPr>
          <w:rFonts w:ascii="Arial" w:hAnsi="Arial" w:cs="Arial"/>
          <w:vertAlign w:val="superscript"/>
        </w:rPr>
        <w:t>212</w:t>
      </w:r>
      <w:r w:rsidRPr="004B6170">
        <w:rPr>
          <w:rFonts w:ascii="Arial" w:hAnsi="Arial" w:cs="Arial"/>
        </w:rPr>
        <w:t xml:space="preserve">Pb (238 keV), </w:t>
      </w:r>
      <w:r w:rsidRPr="00AA1511">
        <w:rPr>
          <w:rFonts w:ascii="Arial" w:hAnsi="Arial" w:cs="Arial"/>
          <w:vertAlign w:val="superscript"/>
        </w:rPr>
        <w:t>228</w:t>
      </w:r>
      <w:r w:rsidRPr="004B6170">
        <w:rPr>
          <w:rFonts w:ascii="Arial" w:hAnsi="Arial" w:cs="Arial"/>
        </w:rPr>
        <w:t xml:space="preserve">Ac (911, 969 keV), and </w:t>
      </w:r>
      <w:r w:rsidRPr="00AA1511">
        <w:rPr>
          <w:rFonts w:ascii="Arial" w:hAnsi="Arial" w:cs="Arial"/>
          <w:vertAlign w:val="superscript"/>
        </w:rPr>
        <w:t>208</w:t>
      </w:r>
      <w:r w:rsidRPr="004B6170">
        <w:rPr>
          <w:rFonts w:ascii="Arial" w:hAnsi="Arial" w:cs="Arial"/>
        </w:rPr>
        <w:t xml:space="preserve">Tl (583, 2614 keV) were used. </w:t>
      </w:r>
      <w:r w:rsidR="00040AB7">
        <w:rPr>
          <w:rFonts w:ascii="Arial" w:hAnsi="Arial" w:cs="Arial"/>
        </w:rPr>
        <w:t>For 40K, peak from gamma energy 1460 keV was used</w:t>
      </w:r>
      <w:r w:rsidR="001957E1">
        <w:rPr>
          <w:rFonts w:ascii="Arial" w:hAnsi="Arial" w:cs="Arial"/>
        </w:rPr>
        <w:t xml:space="preserve"> </w:t>
      </w:r>
      <w:r w:rsidR="001957E1" w:rsidRPr="001957E1">
        <w:rPr>
          <w:rFonts w:ascii="Arial" w:hAnsi="Arial" w:cs="Arial"/>
          <w:highlight w:val="yellow"/>
        </w:rPr>
        <w:t xml:space="preserve">(Satoh and </w:t>
      </w:r>
      <w:proofErr w:type="spellStart"/>
      <w:r w:rsidR="001957E1" w:rsidRPr="001957E1">
        <w:rPr>
          <w:rFonts w:ascii="Arial" w:hAnsi="Arial" w:cs="Arial"/>
          <w:highlight w:val="yellow"/>
        </w:rPr>
        <w:t>Henss</w:t>
      </w:r>
      <w:proofErr w:type="spellEnd"/>
      <w:r w:rsidR="001957E1" w:rsidRPr="001957E1">
        <w:rPr>
          <w:rFonts w:ascii="Arial" w:hAnsi="Arial" w:cs="Arial"/>
          <w:highlight w:val="yellow"/>
        </w:rPr>
        <w:t>, 2024)</w:t>
      </w:r>
      <w:r w:rsidR="00040AB7" w:rsidRPr="001957E1">
        <w:rPr>
          <w:rFonts w:ascii="Arial" w:hAnsi="Arial" w:cs="Arial"/>
          <w:highlight w:val="yellow"/>
        </w:rPr>
        <w:t>.</w:t>
      </w:r>
      <w:r w:rsidR="00040AB7">
        <w:rPr>
          <w:rFonts w:ascii="Arial" w:hAnsi="Arial" w:cs="Arial"/>
        </w:rPr>
        <w:t xml:space="preserve"> The</w:t>
      </w:r>
      <w:r w:rsidR="00AA1511">
        <w:rPr>
          <w:rFonts w:ascii="Arial" w:hAnsi="Arial" w:cs="Arial"/>
        </w:rPr>
        <w:t xml:space="preserve"> a</w:t>
      </w:r>
      <w:r w:rsidRPr="004B6170">
        <w:rPr>
          <w:rFonts w:ascii="Arial" w:hAnsi="Arial" w:cs="Arial"/>
        </w:rPr>
        <w:t>ctivity concentrations were calculated using the absolute efficiency method:</w:t>
      </w:r>
    </w:p>
    <w:p w14:paraId="4FA7EB47" w14:textId="5FC6580D" w:rsidR="004B6170" w:rsidRPr="009E0A1D" w:rsidRDefault="004B6170" w:rsidP="009E0A1D">
      <w:pPr>
        <w:pStyle w:val="Body"/>
        <w:jc w:val="right"/>
        <w:rPr>
          <w:rFonts w:ascii="Arial" w:hAnsi="Arial" w:cs="Arial"/>
        </w:rPr>
      </w:pPr>
      <w:r w:rsidRPr="00AA1511">
        <w:rPr>
          <w:rFonts w:ascii="Arial" w:hAnsi="Arial" w:cs="Arial"/>
          <w:i/>
          <w:iCs/>
        </w:rPr>
        <w:t>A</w:t>
      </w:r>
      <w:r w:rsidR="00AA1511" w:rsidRPr="00AA1511">
        <w:rPr>
          <w:rFonts w:ascii="Arial" w:hAnsi="Arial" w:cs="Arial"/>
          <w:i/>
          <w:iCs/>
          <w:vertAlign w:val="subscript"/>
        </w:rPr>
        <w:t>i</w:t>
      </w:r>
      <w:r w:rsidRPr="00AA1511">
        <w:rPr>
          <w:rFonts w:ascii="Arial" w:hAnsi="Arial" w:cs="Arial"/>
          <w:vertAlign w:val="subscript"/>
        </w:rPr>
        <w:t xml:space="preserve"> </w:t>
      </w:r>
      <w:r w:rsidRPr="004B6170">
        <w:rPr>
          <w:rFonts w:ascii="Arial" w:hAnsi="Arial" w:cs="Arial"/>
        </w:rPr>
        <w:t xml:space="preserve">= </w:t>
      </w:r>
      <w:proofErr w:type="gramStart"/>
      <w:r w:rsidRPr="00AA1511">
        <w:rPr>
          <w:rFonts w:ascii="Arial" w:hAnsi="Arial" w:cs="Arial"/>
          <w:i/>
          <w:iCs/>
        </w:rPr>
        <w:t>N</w:t>
      </w:r>
      <w:r w:rsidR="00AA1511" w:rsidRPr="00AA1511">
        <w:rPr>
          <w:rFonts w:ascii="Arial" w:hAnsi="Arial" w:cs="Arial"/>
          <w:vertAlign w:val="subscript"/>
        </w:rPr>
        <w:t>i</w:t>
      </w:r>
      <w:r w:rsidRPr="00AA1511">
        <w:rPr>
          <w:rFonts w:ascii="Arial" w:hAnsi="Arial" w:cs="Arial"/>
          <w:vertAlign w:val="subscript"/>
        </w:rPr>
        <w:t xml:space="preserve"> </w:t>
      </w:r>
      <w:r w:rsidR="009E0A1D">
        <w:rPr>
          <w:rFonts w:ascii="Arial" w:hAnsi="Arial" w:cs="Arial"/>
          <w:vertAlign w:val="subscript"/>
        </w:rPr>
        <w:t xml:space="preserve"> </w:t>
      </w:r>
      <w:r w:rsidRPr="004B6170">
        <w:rPr>
          <w:rFonts w:ascii="Arial" w:hAnsi="Arial" w:cs="Arial"/>
        </w:rPr>
        <w:t>/</w:t>
      </w:r>
      <w:proofErr w:type="gramEnd"/>
      <w:r w:rsidRPr="004B6170">
        <w:rPr>
          <w:rFonts w:ascii="Arial" w:hAnsi="Arial" w:cs="Arial"/>
        </w:rPr>
        <w:t xml:space="preserve"> (</w:t>
      </w:r>
      <w:r w:rsidRPr="00AA1511">
        <w:rPr>
          <w:rFonts w:ascii="Arial" w:hAnsi="Arial" w:cs="Arial"/>
          <w:i/>
          <w:iCs/>
        </w:rPr>
        <w:t>t</w:t>
      </w:r>
      <w:r w:rsidRPr="004B6170">
        <w:rPr>
          <w:rFonts w:ascii="Arial" w:hAnsi="Arial" w:cs="Arial"/>
        </w:rPr>
        <w:t xml:space="preserve"> × </w:t>
      </w:r>
      <w:r w:rsidRPr="00AA1511">
        <w:rPr>
          <w:rFonts w:ascii="Arial" w:hAnsi="Arial" w:cs="Arial"/>
          <w:i/>
          <w:iCs/>
        </w:rPr>
        <w:t>Br</w:t>
      </w:r>
      <w:r w:rsidRPr="004B6170">
        <w:rPr>
          <w:rFonts w:ascii="Arial" w:hAnsi="Arial" w:cs="Arial"/>
        </w:rPr>
        <w:t>(</w:t>
      </w:r>
      <w:r w:rsidRPr="00AA1511">
        <w:rPr>
          <w:rFonts w:ascii="Arial" w:hAnsi="Arial" w:cs="Arial"/>
          <w:i/>
          <w:iCs/>
        </w:rPr>
        <w:t>γ</w:t>
      </w:r>
      <w:r w:rsidRPr="004B6170">
        <w:rPr>
          <w:rFonts w:ascii="Arial" w:hAnsi="Arial" w:cs="Arial"/>
        </w:rPr>
        <w:t>)</w:t>
      </w:r>
      <w:proofErr w:type="spellStart"/>
      <w:r w:rsidR="00AA1511" w:rsidRPr="00AA1511">
        <w:rPr>
          <w:rFonts w:ascii="Arial" w:hAnsi="Arial" w:cs="Arial"/>
          <w:vertAlign w:val="subscript"/>
        </w:rPr>
        <w:t>i</w:t>
      </w:r>
      <w:proofErr w:type="spellEnd"/>
      <w:r w:rsidRPr="004B6170">
        <w:rPr>
          <w:rFonts w:ascii="Arial" w:hAnsi="Arial" w:cs="Arial"/>
        </w:rPr>
        <w:t xml:space="preserve"> × </w:t>
      </w:r>
      <w:r w:rsidRPr="00AA1511">
        <w:rPr>
          <w:rFonts w:ascii="Arial" w:hAnsi="Arial" w:cs="Arial"/>
          <w:i/>
          <w:iCs/>
        </w:rPr>
        <w:t>m</w:t>
      </w:r>
      <w:r w:rsidRPr="004B6170">
        <w:rPr>
          <w:rFonts w:ascii="Arial" w:hAnsi="Arial" w:cs="Arial"/>
        </w:rPr>
        <w:t xml:space="preserve"> × </w:t>
      </w:r>
      <w:proofErr w:type="spellStart"/>
      <w:r w:rsidRPr="00AA1511">
        <w:rPr>
          <w:rFonts w:ascii="Arial" w:hAnsi="Arial" w:cs="Arial"/>
          <w:i/>
          <w:iCs/>
        </w:rPr>
        <w:t>ε</w:t>
      </w:r>
      <w:r w:rsidR="00AA1511" w:rsidRPr="00AA1511">
        <w:rPr>
          <w:rFonts w:ascii="Arial" w:hAnsi="Arial" w:cs="Arial"/>
          <w:vertAlign w:val="subscript"/>
        </w:rPr>
        <w:t>i</w:t>
      </w:r>
      <w:proofErr w:type="spellEnd"/>
      <w:r w:rsidR="009E0A1D">
        <w:rPr>
          <w:rFonts w:ascii="Arial" w:hAnsi="Arial" w:cs="Arial"/>
          <w:vertAlign w:val="subscript"/>
        </w:rPr>
        <w:tab/>
      </w:r>
      <w:r w:rsidR="009E0A1D" w:rsidRPr="009E0A1D">
        <w:rPr>
          <w:rFonts w:ascii="Arial" w:hAnsi="Arial" w:cs="Arial"/>
          <w:i/>
          <w:iCs/>
          <w:vertAlign w:val="subscript"/>
        </w:rPr>
        <w:tab/>
      </w:r>
      <w:r w:rsidR="009E0A1D">
        <w:rPr>
          <w:rFonts w:ascii="Arial" w:hAnsi="Arial" w:cs="Arial"/>
          <w:i/>
          <w:iCs/>
          <w:vertAlign w:val="subscript"/>
        </w:rPr>
        <w:t xml:space="preserve"> </w:t>
      </w:r>
      <w:r w:rsidR="009E0A1D">
        <w:rPr>
          <w:rFonts w:ascii="Arial" w:hAnsi="Arial" w:cs="Arial"/>
          <w:i/>
          <w:iCs/>
        </w:rPr>
        <w:t xml:space="preserve"> </w:t>
      </w:r>
      <w:r w:rsidR="009E0A1D">
        <w:rPr>
          <w:rFonts w:ascii="Arial" w:hAnsi="Arial" w:cs="Arial"/>
          <w:i/>
          <w:iCs/>
        </w:rPr>
        <w:tab/>
      </w:r>
      <w:r w:rsidR="009E0A1D" w:rsidRPr="009E0A1D">
        <w:rPr>
          <w:rFonts w:ascii="Arial" w:hAnsi="Arial" w:cs="Arial"/>
          <w:i/>
          <w:iCs/>
          <w:vertAlign w:val="subscript"/>
        </w:rPr>
        <w:tab/>
      </w:r>
      <w:r w:rsidR="009E0A1D" w:rsidRPr="009551CD">
        <w:rPr>
          <w:rFonts w:ascii="Arial" w:hAnsi="Arial" w:cs="Arial"/>
          <w:highlight w:val="yellow"/>
        </w:rPr>
        <w:t>(2)</w:t>
      </w:r>
    </w:p>
    <w:p w14:paraId="1B8444C9" w14:textId="51DE3CAD" w:rsidR="00790ADA" w:rsidRDefault="004B6170" w:rsidP="004B6170">
      <w:pPr>
        <w:pStyle w:val="Body"/>
        <w:spacing w:after="0"/>
        <w:rPr>
          <w:rFonts w:ascii="Arial" w:hAnsi="Arial" w:cs="Arial"/>
        </w:rPr>
      </w:pPr>
      <w:r w:rsidRPr="004B6170">
        <w:rPr>
          <w:rFonts w:ascii="Arial" w:hAnsi="Arial" w:cs="Arial"/>
        </w:rPr>
        <w:t xml:space="preserve">where </w:t>
      </w:r>
      <w:r w:rsidRPr="00F7355E">
        <w:rPr>
          <w:rFonts w:ascii="Arial" w:hAnsi="Arial" w:cs="Arial"/>
          <w:i/>
          <w:iCs/>
        </w:rPr>
        <w:t>A</w:t>
      </w:r>
      <w:r w:rsidRPr="004B6170">
        <w:rPr>
          <w:rFonts w:ascii="Arial" w:hAnsi="Arial" w:cs="Arial"/>
        </w:rPr>
        <w:t xml:space="preserve"> is activity (</w:t>
      </w:r>
      <w:proofErr w:type="spellStart"/>
      <w:r w:rsidRPr="004B6170">
        <w:rPr>
          <w:rFonts w:ascii="Arial" w:hAnsi="Arial" w:cs="Arial"/>
        </w:rPr>
        <w:t>Bq</w:t>
      </w:r>
      <w:proofErr w:type="spellEnd"/>
      <w:r w:rsidRPr="004B6170">
        <w:rPr>
          <w:rFonts w:ascii="Arial" w:hAnsi="Arial" w:cs="Arial"/>
        </w:rPr>
        <w:t xml:space="preserve"> kg</w:t>
      </w:r>
      <w:r w:rsidRPr="004B6170">
        <w:rPr>
          <w:rFonts w:ascii="Cambria Math" w:hAnsi="Cambria Math" w:cs="Cambria Math"/>
        </w:rPr>
        <w:t>⁻</w:t>
      </w:r>
      <w:r w:rsidRPr="004B6170">
        <w:rPr>
          <w:rFonts w:ascii="Arial" w:hAnsi="Arial" w:cs="Arial"/>
        </w:rPr>
        <w:t>¹)</w:t>
      </w:r>
      <w:r w:rsidR="00AA1511">
        <w:rPr>
          <w:rFonts w:ascii="Arial" w:hAnsi="Arial" w:cs="Arial"/>
        </w:rPr>
        <w:t xml:space="preserve"> for nuclide </w:t>
      </w:r>
      <w:proofErr w:type="spellStart"/>
      <w:r w:rsidR="00AA1511" w:rsidRPr="00AA1511">
        <w:rPr>
          <w:rFonts w:ascii="Arial" w:hAnsi="Arial" w:cs="Arial"/>
          <w:i/>
          <w:iCs/>
        </w:rPr>
        <w:t>i</w:t>
      </w:r>
      <w:proofErr w:type="spellEnd"/>
      <w:r w:rsidRPr="004B6170">
        <w:rPr>
          <w:rFonts w:ascii="Arial" w:hAnsi="Arial" w:cs="Arial"/>
        </w:rPr>
        <w:t xml:space="preserve">, </w:t>
      </w:r>
      <w:r w:rsidRPr="00AA1511">
        <w:rPr>
          <w:rFonts w:ascii="Arial" w:hAnsi="Arial" w:cs="Arial"/>
          <w:i/>
          <w:iCs/>
        </w:rPr>
        <w:t>N</w:t>
      </w:r>
      <w:r w:rsidRPr="004B6170">
        <w:rPr>
          <w:rFonts w:ascii="Arial" w:hAnsi="Arial" w:cs="Arial"/>
        </w:rPr>
        <w:t xml:space="preserve"> is net peak counts, </w:t>
      </w:r>
      <w:r w:rsidRPr="00AA1511">
        <w:rPr>
          <w:rFonts w:ascii="Arial" w:hAnsi="Arial" w:cs="Arial"/>
          <w:i/>
          <w:iCs/>
        </w:rPr>
        <w:t>t</w:t>
      </w:r>
      <w:r w:rsidRPr="004B6170">
        <w:rPr>
          <w:rFonts w:ascii="Arial" w:hAnsi="Arial" w:cs="Arial"/>
        </w:rPr>
        <w:t xml:space="preserve"> is live time, Br(</w:t>
      </w:r>
      <w:r w:rsidRPr="00F7355E">
        <w:rPr>
          <w:rFonts w:ascii="Arial" w:hAnsi="Arial" w:cs="Arial"/>
          <w:i/>
          <w:iCs/>
        </w:rPr>
        <w:t>γ</w:t>
      </w:r>
      <w:r w:rsidRPr="004B6170">
        <w:rPr>
          <w:rFonts w:ascii="Arial" w:hAnsi="Arial" w:cs="Arial"/>
        </w:rPr>
        <w:t xml:space="preserve">) is gamma branching ratio, m is sample mass, and </w:t>
      </w:r>
      <w:r w:rsidRPr="009551CD">
        <w:rPr>
          <w:rFonts w:ascii="Arial" w:hAnsi="Arial" w:cs="Arial"/>
          <w:i/>
          <w:iCs/>
        </w:rPr>
        <w:t>ε</w:t>
      </w:r>
      <w:r w:rsidRPr="004B6170">
        <w:rPr>
          <w:rFonts w:ascii="Arial" w:hAnsi="Arial" w:cs="Arial"/>
        </w:rPr>
        <w:t xml:space="preserve"> is the photopeak efficiency interpolated at 661.9 keV. </w:t>
      </w:r>
    </w:p>
    <w:p w14:paraId="5B7EFB2C" w14:textId="77777777" w:rsidR="005A1A61" w:rsidRDefault="005A1A61" w:rsidP="004B6170">
      <w:pPr>
        <w:pStyle w:val="Body"/>
        <w:spacing w:after="0"/>
        <w:rPr>
          <w:rFonts w:ascii="Arial" w:hAnsi="Arial" w:cs="Arial"/>
        </w:rPr>
      </w:pPr>
    </w:p>
    <w:p w14:paraId="322C4BFC" w14:textId="77777777" w:rsidR="005A1A61" w:rsidRDefault="005A1A61" w:rsidP="004B6170">
      <w:pPr>
        <w:pStyle w:val="Body"/>
        <w:spacing w:after="0"/>
        <w:rPr>
          <w:rFonts w:ascii="Arial" w:hAnsi="Arial" w:cs="Arial"/>
        </w:rPr>
      </w:pPr>
    </w:p>
    <w:p w14:paraId="0BD040B4" w14:textId="77777777" w:rsidR="005A1A61" w:rsidRDefault="005A1A61" w:rsidP="004B6170">
      <w:pPr>
        <w:pStyle w:val="Body"/>
        <w:spacing w:after="0"/>
        <w:rPr>
          <w:rFonts w:ascii="Arial" w:hAnsi="Arial" w:cs="Arial"/>
        </w:rPr>
      </w:pPr>
    </w:p>
    <w:p w14:paraId="612EA128" w14:textId="77777777" w:rsidR="00D36E87" w:rsidRPr="00FB3A86" w:rsidRDefault="00D36E87" w:rsidP="004B6170">
      <w:pPr>
        <w:pStyle w:val="Body"/>
        <w:spacing w:after="0"/>
        <w:rPr>
          <w:rFonts w:ascii="Arial" w:hAnsi="Arial" w:cs="Arial"/>
        </w:rPr>
      </w:pPr>
    </w:p>
    <w:p w14:paraId="67323AE6" w14:textId="77777777" w:rsidR="000D26BC" w:rsidRDefault="000D26BC" w:rsidP="00441B6F">
      <w:pPr>
        <w:pStyle w:val="Body"/>
        <w:spacing w:after="0"/>
        <w:rPr>
          <w:rFonts w:ascii="Arial" w:hAnsi="Arial" w:cs="Arial"/>
        </w:rPr>
      </w:pPr>
    </w:p>
    <w:p w14:paraId="7618CB43" w14:textId="2946C76C" w:rsidR="008C6D8A" w:rsidRPr="004A7C05" w:rsidRDefault="00D765A0" w:rsidP="00441B6F">
      <w:pPr>
        <w:pStyle w:val="Body"/>
        <w:spacing w:after="0"/>
        <w:rPr>
          <w:rFonts w:ascii="Arial" w:hAnsi="Arial" w:cs="Arial"/>
          <w:b/>
          <w:bCs/>
          <w:highlight w:val="yellow"/>
        </w:rPr>
      </w:pPr>
      <w:r w:rsidRPr="004A7C05">
        <w:rPr>
          <w:rFonts w:ascii="Arial" w:hAnsi="Arial" w:cs="Arial"/>
          <w:b/>
          <w:bCs/>
          <w:highlight w:val="yellow"/>
        </w:rPr>
        <w:lastRenderedPageBreak/>
        <w:t>2.4 Urbanization Soil Contamination Index</w:t>
      </w:r>
      <w:r w:rsidR="007938A4" w:rsidRPr="004A7C05">
        <w:rPr>
          <w:rFonts w:ascii="Arial" w:hAnsi="Arial" w:cs="Arial"/>
          <w:b/>
          <w:bCs/>
          <w:highlight w:val="yellow"/>
        </w:rPr>
        <w:t xml:space="preserve"> (USCI)</w:t>
      </w:r>
    </w:p>
    <w:p w14:paraId="1C56D17A" w14:textId="77777777" w:rsidR="00B54FBA" w:rsidRPr="004A7C05" w:rsidRDefault="00B54FBA" w:rsidP="00441B6F">
      <w:pPr>
        <w:pStyle w:val="Body"/>
        <w:spacing w:after="0"/>
        <w:rPr>
          <w:rFonts w:ascii="Arial" w:hAnsi="Arial" w:cs="Arial"/>
          <w:highlight w:val="yellow"/>
        </w:rPr>
      </w:pPr>
    </w:p>
    <w:p w14:paraId="1CE2A53F" w14:textId="77777777" w:rsidR="007938A4" w:rsidRPr="004A7C05" w:rsidRDefault="007938A4" w:rsidP="007938A4">
      <w:pPr>
        <w:pStyle w:val="NormalWeb"/>
        <w:jc w:val="both"/>
        <w:rPr>
          <w:rFonts w:ascii="Arial" w:hAnsi="Arial" w:cs="Arial"/>
          <w:highlight w:val="yellow"/>
        </w:rPr>
      </w:pPr>
      <w:r w:rsidRPr="004A7C05">
        <w:rPr>
          <w:rFonts w:ascii="Arial" w:hAnsi="Arial" w:cs="Arial"/>
          <w:highlight w:val="yellow"/>
        </w:rPr>
        <w:t>The Urbanization Soil Contamination Index (USCI) was developed to quantify the degree of anthropogenic modification in urban soils based on deviations in the relative abundances of naturally occurring radionuclides. The index is constructed using activity concentration ratios of ^238U, ^232Th, and ^40K, which are widely applied as geochemical tracers of natural equilibrium and human-induced disturbance in terrestrial environments.</w:t>
      </w:r>
    </w:p>
    <w:p w14:paraId="3DEA22C6" w14:textId="77777777" w:rsidR="007938A4" w:rsidRPr="004A7C05" w:rsidRDefault="007938A4" w:rsidP="007938A4">
      <w:pPr>
        <w:pStyle w:val="NormalWeb"/>
        <w:jc w:val="both"/>
        <w:rPr>
          <w:rFonts w:ascii="Arial" w:hAnsi="Arial" w:cs="Arial"/>
          <w:highlight w:val="yellow"/>
        </w:rPr>
      </w:pPr>
      <w:r w:rsidRPr="004A7C05">
        <w:rPr>
          <w:rFonts w:ascii="Arial" w:hAnsi="Arial" w:cs="Arial"/>
          <w:highlight w:val="yellow"/>
        </w:rPr>
        <w:t>For each soil sample, the ratios U/K, Th/K, and Th/U were calculated using measured activity concentrations (</w:t>
      </w:r>
      <w:proofErr w:type="spellStart"/>
      <w:r w:rsidRPr="004A7C05">
        <w:rPr>
          <w:rFonts w:ascii="Arial" w:hAnsi="Arial" w:cs="Arial"/>
          <w:highlight w:val="yellow"/>
        </w:rPr>
        <w:t>Bq</w:t>
      </w:r>
      <w:proofErr w:type="spellEnd"/>
      <w:r w:rsidRPr="004A7C05">
        <w:rPr>
          <w:rFonts w:ascii="Arial" w:hAnsi="Arial" w:cs="Arial"/>
          <w:highlight w:val="yellow"/>
        </w:rPr>
        <w:t xml:space="preserve"> kg</w:t>
      </w:r>
      <w:r w:rsidRPr="004A7C05">
        <w:rPr>
          <w:rFonts w:ascii="Cambria Math" w:hAnsi="Cambria Math" w:cs="Cambria Math"/>
          <w:highlight w:val="yellow"/>
        </w:rPr>
        <w:t>⁻</w:t>
      </w:r>
      <w:r w:rsidRPr="004A7C05">
        <w:rPr>
          <w:rFonts w:ascii="Arial" w:hAnsi="Arial" w:cs="Arial"/>
          <w:highlight w:val="yellow"/>
        </w:rPr>
        <w:t>¹). These ratios were selected to minimise lithological bias and to emphasise relative enrichment or depletion of uranium and thorium with respect to potassium, which predominantly represents the silicate fraction of soils.</w:t>
      </w:r>
    </w:p>
    <w:p w14:paraId="5A44EB4E" w14:textId="2096D9D9" w:rsidR="007938A4" w:rsidRPr="004A7C05" w:rsidRDefault="007938A4" w:rsidP="007938A4">
      <w:pPr>
        <w:pStyle w:val="NormalWeb"/>
        <w:jc w:val="both"/>
        <w:rPr>
          <w:rFonts w:ascii="Arial" w:hAnsi="Arial" w:cs="Arial"/>
          <w:highlight w:val="yellow"/>
        </w:rPr>
      </w:pPr>
      <w:r w:rsidRPr="004A7C05">
        <w:rPr>
          <w:rFonts w:ascii="Arial" w:hAnsi="Arial" w:cs="Arial"/>
          <w:highlight w:val="yellow"/>
        </w:rPr>
        <w:t>The USCI for each sample was calculated as the root-sum-square of the normalised deviations of these ratios from representative background reference values, expressed in Eq. (3);</w:t>
      </w:r>
    </w:p>
    <w:p w14:paraId="7C1CB5C1" w14:textId="0EDA11C0" w:rsidR="007938A4" w:rsidRPr="00D065C7" w:rsidRDefault="007938A4" w:rsidP="00D065C7">
      <w:pPr>
        <w:pStyle w:val="NormalWeb"/>
        <w:jc w:val="right"/>
        <w:rPr>
          <w:rFonts w:ascii="Arial" w:hAnsi="Arial" w:cs="Arial"/>
          <w:highlight w:val="yellow"/>
        </w:rPr>
      </w:pPr>
      <m:oMath>
        <m:r>
          <w:rPr>
            <w:rFonts w:ascii="Cambria Math" w:hAnsi="Cambria Math" w:cs="Arial"/>
            <w:highlight w:val="yellow"/>
          </w:rPr>
          <m:t>USCI=</m:t>
        </m:r>
        <m:rad>
          <m:radPr>
            <m:degHide m:val="1"/>
            <m:ctrlPr>
              <w:rPr>
                <w:rFonts w:ascii="Cambria Math" w:hAnsi="Cambria Math" w:cs="Arial"/>
                <w:highlight w:val="yellow"/>
              </w:rPr>
            </m:ctrlPr>
          </m:radPr>
          <m:deg/>
          <m:e>
            <m:sSup>
              <m:sSupPr>
                <m:ctrlPr>
                  <w:rPr>
                    <w:rFonts w:ascii="Cambria Math" w:hAnsi="Cambria Math" w:cs="Arial"/>
                    <w:highlight w:val="yellow"/>
                  </w:rPr>
                </m:ctrlPr>
              </m:sSupPr>
              <m:e>
                <m:d>
                  <m:dPr>
                    <m:ctrlPr>
                      <w:rPr>
                        <w:rFonts w:ascii="Cambria Math" w:hAnsi="Cambria Math" w:cs="Arial"/>
                        <w:highlight w:val="yellow"/>
                      </w:rPr>
                    </m:ctrlPr>
                  </m:dPr>
                  <m:e>
                    <m:f>
                      <m:fPr>
                        <m:ctrlPr>
                          <w:rPr>
                            <w:rFonts w:ascii="Cambria Math" w:hAnsi="Cambria Math" w:cs="Arial"/>
                            <w:highlight w:val="yellow"/>
                          </w:rPr>
                        </m:ctrlPr>
                      </m:fPr>
                      <m:num>
                        <m:r>
                          <w:rPr>
                            <w:rFonts w:ascii="Cambria Math" w:hAnsi="Cambria Math" w:cs="Arial"/>
                            <w:highlight w:val="yellow"/>
                          </w:rPr>
                          <m:t>U</m:t>
                        </m:r>
                        <m:r>
                          <m:rPr>
                            <m:sty m:val="p"/>
                          </m:rPr>
                          <w:rPr>
                            <w:rFonts w:ascii="Cambria Math" w:hAnsi="Cambria Math" w:cs="Arial"/>
                            <w:highlight w:val="yellow"/>
                          </w:rPr>
                          <m:t>/</m:t>
                        </m:r>
                        <m:r>
                          <w:rPr>
                            <w:rFonts w:ascii="Cambria Math" w:hAnsi="Cambria Math" w:cs="Arial"/>
                            <w:highlight w:val="yellow"/>
                          </w:rPr>
                          <m:t>K-(U</m:t>
                        </m:r>
                        <m:r>
                          <m:rPr>
                            <m:sty m:val="p"/>
                          </m:rPr>
                          <w:rPr>
                            <w:rFonts w:ascii="Cambria Math" w:hAnsi="Cambria Math" w:cs="Arial"/>
                            <w:highlight w:val="yellow"/>
                          </w:rPr>
                          <m:t>/</m:t>
                        </m:r>
                        <m:r>
                          <w:rPr>
                            <w:rFonts w:ascii="Cambria Math" w:hAnsi="Cambria Math" w:cs="Arial"/>
                            <w:highlight w:val="yellow"/>
                          </w:rPr>
                          <m:t>K</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num>
                      <m:den>
                        <m:d>
                          <m:dPr>
                            <m:endChr m:val=""/>
                            <m:ctrlPr>
                              <w:rPr>
                                <w:rFonts w:ascii="Cambria Math" w:hAnsi="Cambria Math" w:cs="Arial"/>
                                <w:highlight w:val="yellow"/>
                              </w:rPr>
                            </m:ctrlPr>
                          </m:dPr>
                          <m:e>
                            <m:r>
                              <w:rPr>
                                <w:rFonts w:ascii="Cambria Math" w:hAnsi="Cambria Math" w:cs="Arial"/>
                                <w:highlight w:val="yellow"/>
                              </w:rPr>
                              <m:t>U</m:t>
                            </m:r>
                            <m:r>
                              <m:rPr>
                                <m:sty m:val="p"/>
                              </m:rPr>
                              <w:rPr>
                                <w:rFonts w:ascii="Cambria Math" w:hAnsi="Cambria Math" w:cs="Arial"/>
                                <w:highlight w:val="yellow"/>
                              </w:rPr>
                              <m:t>/</m:t>
                            </m:r>
                            <m:r>
                              <w:rPr>
                                <w:rFonts w:ascii="Cambria Math" w:hAnsi="Cambria Math" w:cs="Arial"/>
                                <w:highlight w:val="yellow"/>
                              </w:rPr>
                              <m:t>K</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e>
                        </m:d>
                      </m:den>
                    </m:f>
                  </m:e>
                </m:d>
              </m:e>
              <m:sup>
                <m:r>
                  <w:rPr>
                    <w:rFonts w:ascii="Cambria Math" w:hAnsi="Cambria Math" w:cs="Arial"/>
                    <w:highlight w:val="yellow"/>
                  </w:rPr>
                  <m:t>2</m:t>
                </m:r>
              </m:sup>
            </m:sSup>
            <m:r>
              <w:rPr>
                <w:rFonts w:ascii="Cambria Math" w:hAnsi="Cambria Math" w:cs="Arial"/>
                <w:highlight w:val="yellow"/>
              </w:rPr>
              <m:t>+</m:t>
            </m:r>
            <m:sSup>
              <m:sSupPr>
                <m:ctrlPr>
                  <w:rPr>
                    <w:rFonts w:ascii="Cambria Math" w:hAnsi="Cambria Math" w:cs="Arial"/>
                    <w:highlight w:val="yellow"/>
                  </w:rPr>
                </m:ctrlPr>
              </m:sSupPr>
              <m:e>
                <m:d>
                  <m:dPr>
                    <m:ctrlPr>
                      <w:rPr>
                        <w:rFonts w:ascii="Cambria Math" w:hAnsi="Cambria Math" w:cs="Arial"/>
                        <w:highlight w:val="yellow"/>
                      </w:rPr>
                    </m:ctrlPr>
                  </m:dPr>
                  <m:e>
                    <m:f>
                      <m:fPr>
                        <m:ctrlPr>
                          <w:rPr>
                            <w:rFonts w:ascii="Cambria Math" w:hAnsi="Cambria Math" w:cs="Arial"/>
                            <w:highlight w:val="yellow"/>
                          </w:rPr>
                        </m:ctrlPr>
                      </m:fPr>
                      <m:num>
                        <m:r>
                          <w:rPr>
                            <w:rFonts w:ascii="Cambria Math" w:hAnsi="Cambria Math" w:cs="Arial"/>
                            <w:highlight w:val="yellow"/>
                          </w:rPr>
                          <m:t>Th</m:t>
                        </m:r>
                        <m:r>
                          <m:rPr>
                            <m:sty m:val="p"/>
                          </m:rPr>
                          <w:rPr>
                            <w:rFonts w:ascii="Cambria Math" w:hAnsi="Cambria Math" w:cs="Arial"/>
                            <w:highlight w:val="yellow"/>
                          </w:rPr>
                          <m:t>/</m:t>
                        </m:r>
                        <m:r>
                          <w:rPr>
                            <w:rFonts w:ascii="Cambria Math" w:hAnsi="Cambria Math" w:cs="Arial"/>
                            <w:highlight w:val="yellow"/>
                          </w:rPr>
                          <m:t>K-(Th</m:t>
                        </m:r>
                        <m:r>
                          <m:rPr>
                            <m:sty m:val="p"/>
                          </m:rPr>
                          <w:rPr>
                            <w:rFonts w:ascii="Cambria Math" w:hAnsi="Cambria Math" w:cs="Arial"/>
                            <w:highlight w:val="yellow"/>
                          </w:rPr>
                          <m:t>/</m:t>
                        </m:r>
                        <m:r>
                          <w:rPr>
                            <w:rFonts w:ascii="Cambria Math" w:hAnsi="Cambria Math" w:cs="Arial"/>
                            <w:highlight w:val="yellow"/>
                          </w:rPr>
                          <m:t>K</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num>
                      <m:den>
                        <m:d>
                          <m:dPr>
                            <m:endChr m:val=""/>
                            <m:ctrlPr>
                              <w:rPr>
                                <w:rFonts w:ascii="Cambria Math" w:hAnsi="Cambria Math" w:cs="Arial"/>
                                <w:highlight w:val="yellow"/>
                              </w:rPr>
                            </m:ctrlPr>
                          </m:dPr>
                          <m:e>
                            <m:r>
                              <w:rPr>
                                <w:rFonts w:ascii="Cambria Math" w:hAnsi="Cambria Math" w:cs="Arial"/>
                                <w:highlight w:val="yellow"/>
                              </w:rPr>
                              <m:t>Th</m:t>
                            </m:r>
                            <m:r>
                              <m:rPr>
                                <m:sty m:val="p"/>
                              </m:rPr>
                              <w:rPr>
                                <w:rFonts w:ascii="Cambria Math" w:hAnsi="Cambria Math" w:cs="Arial"/>
                                <w:highlight w:val="yellow"/>
                              </w:rPr>
                              <m:t>/</m:t>
                            </m:r>
                            <m:r>
                              <w:rPr>
                                <w:rFonts w:ascii="Cambria Math" w:hAnsi="Cambria Math" w:cs="Arial"/>
                                <w:highlight w:val="yellow"/>
                              </w:rPr>
                              <m:t>K</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e>
                        </m:d>
                      </m:den>
                    </m:f>
                  </m:e>
                </m:d>
              </m:e>
              <m:sup>
                <m:r>
                  <w:rPr>
                    <w:rFonts w:ascii="Cambria Math" w:hAnsi="Cambria Math" w:cs="Arial"/>
                    <w:highlight w:val="yellow"/>
                  </w:rPr>
                  <m:t>2</m:t>
                </m:r>
              </m:sup>
            </m:sSup>
            <m:r>
              <w:rPr>
                <w:rFonts w:ascii="Cambria Math" w:hAnsi="Cambria Math" w:cs="Arial"/>
                <w:highlight w:val="yellow"/>
              </w:rPr>
              <m:t>+</m:t>
            </m:r>
            <m:sSup>
              <m:sSupPr>
                <m:ctrlPr>
                  <w:rPr>
                    <w:rFonts w:ascii="Cambria Math" w:hAnsi="Cambria Math" w:cs="Arial"/>
                    <w:highlight w:val="yellow"/>
                  </w:rPr>
                </m:ctrlPr>
              </m:sSupPr>
              <m:e>
                <m:d>
                  <m:dPr>
                    <m:ctrlPr>
                      <w:rPr>
                        <w:rFonts w:ascii="Cambria Math" w:hAnsi="Cambria Math" w:cs="Arial"/>
                        <w:highlight w:val="yellow"/>
                      </w:rPr>
                    </m:ctrlPr>
                  </m:dPr>
                  <m:e>
                    <m:f>
                      <m:fPr>
                        <m:ctrlPr>
                          <w:rPr>
                            <w:rFonts w:ascii="Cambria Math" w:hAnsi="Cambria Math" w:cs="Arial"/>
                            <w:highlight w:val="yellow"/>
                          </w:rPr>
                        </m:ctrlPr>
                      </m:fPr>
                      <m:num>
                        <m:r>
                          <w:rPr>
                            <w:rFonts w:ascii="Cambria Math" w:hAnsi="Cambria Math" w:cs="Arial"/>
                            <w:highlight w:val="yellow"/>
                          </w:rPr>
                          <m:t>Th</m:t>
                        </m:r>
                        <m:r>
                          <m:rPr>
                            <m:sty m:val="p"/>
                          </m:rPr>
                          <w:rPr>
                            <w:rFonts w:ascii="Cambria Math" w:hAnsi="Cambria Math" w:cs="Arial"/>
                            <w:highlight w:val="yellow"/>
                          </w:rPr>
                          <m:t>/</m:t>
                        </m:r>
                        <m:r>
                          <w:rPr>
                            <w:rFonts w:ascii="Cambria Math" w:hAnsi="Cambria Math" w:cs="Arial"/>
                            <w:highlight w:val="yellow"/>
                          </w:rPr>
                          <m:t>U-(Th</m:t>
                        </m:r>
                        <m:r>
                          <m:rPr>
                            <m:sty m:val="p"/>
                          </m:rPr>
                          <w:rPr>
                            <w:rFonts w:ascii="Cambria Math" w:hAnsi="Cambria Math" w:cs="Arial"/>
                            <w:highlight w:val="yellow"/>
                          </w:rPr>
                          <m:t>/</m:t>
                        </m:r>
                        <m:r>
                          <w:rPr>
                            <w:rFonts w:ascii="Cambria Math" w:hAnsi="Cambria Math" w:cs="Arial"/>
                            <w:highlight w:val="yellow"/>
                          </w:rPr>
                          <m:t>U</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num>
                      <m:den>
                        <m:d>
                          <m:dPr>
                            <m:endChr m:val=""/>
                            <m:ctrlPr>
                              <w:rPr>
                                <w:rFonts w:ascii="Cambria Math" w:hAnsi="Cambria Math" w:cs="Arial"/>
                                <w:highlight w:val="yellow"/>
                              </w:rPr>
                            </m:ctrlPr>
                          </m:dPr>
                          <m:e>
                            <m:r>
                              <w:rPr>
                                <w:rFonts w:ascii="Cambria Math" w:hAnsi="Cambria Math" w:cs="Arial"/>
                                <w:highlight w:val="yellow"/>
                              </w:rPr>
                              <m:t>Th</m:t>
                            </m:r>
                            <m:r>
                              <m:rPr>
                                <m:sty m:val="p"/>
                              </m:rPr>
                              <w:rPr>
                                <w:rFonts w:ascii="Cambria Math" w:hAnsi="Cambria Math" w:cs="Arial"/>
                                <w:highlight w:val="yellow"/>
                              </w:rPr>
                              <m:t>/</m:t>
                            </m:r>
                            <m:r>
                              <w:rPr>
                                <w:rFonts w:ascii="Cambria Math" w:hAnsi="Cambria Math" w:cs="Arial"/>
                                <w:highlight w:val="yellow"/>
                              </w:rPr>
                              <m:t>U</m:t>
                            </m:r>
                            <m:sSub>
                              <m:sSubPr>
                                <m:ctrlPr>
                                  <w:rPr>
                                    <w:rFonts w:ascii="Cambria Math" w:hAnsi="Cambria Math" w:cs="Arial"/>
                                    <w:highlight w:val="yellow"/>
                                  </w:rPr>
                                </m:ctrlPr>
                              </m:sSubPr>
                              <m:e>
                                <m:r>
                                  <w:rPr>
                                    <w:rFonts w:ascii="Cambria Math" w:hAnsi="Cambria Math" w:cs="Arial"/>
                                    <w:highlight w:val="yellow"/>
                                  </w:rPr>
                                  <m:t>)</m:t>
                                </m:r>
                              </m:e>
                              <m:sub>
                                <m:r>
                                  <w:rPr>
                                    <w:rFonts w:ascii="Cambria Math" w:hAnsi="Cambria Math" w:cs="Arial"/>
                                    <w:highlight w:val="yellow"/>
                                  </w:rPr>
                                  <m:t>ref</m:t>
                                </m:r>
                              </m:sub>
                            </m:sSub>
                          </m:e>
                        </m:d>
                      </m:den>
                    </m:f>
                  </m:e>
                </m:d>
              </m:e>
              <m:sup>
                <m:r>
                  <w:rPr>
                    <w:rFonts w:ascii="Cambria Math" w:hAnsi="Cambria Math" w:cs="Arial"/>
                    <w:highlight w:val="yellow"/>
                  </w:rPr>
                  <m:t>2</m:t>
                </m:r>
              </m:sup>
            </m:sSup>
          </m:e>
        </m:rad>
      </m:oMath>
      <w:r w:rsidR="00D065C7">
        <w:rPr>
          <w:rFonts w:ascii="Arial" w:hAnsi="Arial" w:cs="Arial"/>
          <w:highlight w:val="yellow"/>
        </w:rPr>
        <w:tab/>
        <w:t>(3)</w:t>
      </w:r>
    </w:p>
    <w:p w14:paraId="2DDA7B89" w14:textId="3FE7B776" w:rsidR="007938A4" w:rsidRPr="004A7C05" w:rsidRDefault="007938A4" w:rsidP="007938A4">
      <w:pPr>
        <w:pStyle w:val="NormalWeb"/>
        <w:jc w:val="both"/>
        <w:rPr>
          <w:rFonts w:ascii="Arial" w:hAnsi="Arial" w:cs="Arial"/>
          <w:highlight w:val="yellow"/>
        </w:rPr>
      </w:pPr>
      <w:r w:rsidRPr="004A7C05">
        <w:rPr>
          <w:rFonts w:ascii="Arial" w:hAnsi="Arial" w:cs="Arial"/>
          <w:highlight w:val="yellow"/>
        </w:rPr>
        <w:t>where (</w:t>
      </w:r>
      <w:r w:rsidRPr="004A7C05">
        <w:rPr>
          <w:rFonts w:ascii="Arial" w:hAnsi="Arial" w:cs="Arial"/>
          <w:i/>
          <w:iCs/>
          <w:highlight w:val="yellow"/>
        </w:rPr>
        <w:t>U</w:t>
      </w:r>
      <w:r w:rsidRPr="004A7C05">
        <w:rPr>
          <w:rFonts w:ascii="Arial" w:hAnsi="Arial" w:cs="Arial"/>
          <w:highlight w:val="yellow"/>
        </w:rPr>
        <w:t>/</w:t>
      </w:r>
      <w:proofErr w:type="gramStart"/>
      <w:r w:rsidRPr="004A7C05">
        <w:rPr>
          <w:rFonts w:ascii="Arial" w:hAnsi="Arial" w:cs="Arial"/>
          <w:i/>
          <w:iCs/>
          <w:highlight w:val="yellow"/>
        </w:rPr>
        <w:t>K</w:t>
      </w:r>
      <w:r w:rsidRPr="004A7C05">
        <w:rPr>
          <w:rFonts w:ascii="Arial" w:hAnsi="Arial" w:cs="Arial"/>
          <w:highlight w:val="yellow"/>
        </w:rPr>
        <w:t>)</w:t>
      </w:r>
      <w:r w:rsidRPr="004A7C05">
        <w:rPr>
          <w:rFonts w:ascii="Arial" w:hAnsi="Arial" w:cs="Arial"/>
          <w:highlight w:val="yellow"/>
          <w:vertAlign w:val="subscript"/>
        </w:rPr>
        <w:t>ref</w:t>
      </w:r>
      <w:proofErr w:type="gramEnd"/>
      <w:r w:rsidRPr="004A7C05">
        <w:rPr>
          <w:rFonts w:ascii="Arial" w:hAnsi="Arial" w:cs="Arial"/>
          <w:highlight w:val="yellow"/>
        </w:rPr>
        <w:t xml:space="preserve"> = 0.3, (</w:t>
      </w:r>
      <w:r w:rsidRPr="004A7C05">
        <w:rPr>
          <w:rFonts w:ascii="Arial" w:hAnsi="Arial" w:cs="Arial"/>
          <w:i/>
          <w:iCs/>
          <w:highlight w:val="yellow"/>
        </w:rPr>
        <w:t>Th</w:t>
      </w:r>
      <w:r w:rsidRPr="004A7C05">
        <w:rPr>
          <w:rFonts w:ascii="Arial" w:hAnsi="Arial" w:cs="Arial"/>
          <w:highlight w:val="yellow"/>
        </w:rPr>
        <w:t>/</w:t>
      </w:r>
      <w:r w:rsidRPr="004A7C05">
        <w:rPr>
          <w:rFonts w:ascii="Arial" w:hAnsi="Arial" w:cs="Arial"/>
          <w:i/>
          <w:iCs/>
          <w:highlight w:val="yellow"/>
        </w:rPr>
        <w:t>K</w:t>
      </w:r>
      <w:r w:rsidRPr="004A7C05">
        <w:rPr>
          <w:rFonts w:ascii="Arial" w:hAnsi="Arial" w:cs="Arial"/>
          <w:highlight w:val="yellow"/>
        </w:rPr>
        <w:t>)</w:t>
      </w:r>
      <w:r w:rsidRPr="004A7C05">
        <w:rPr>
          <w:rFonts w:ascii="Arial" w:hAnsi="Arial" w:cs="Arial"/>
          <w:highlight w:val="yellow"/>
          <w:vertAlign w:val="subscript"/>
        </w:rPr>
        <w:t xml:space="preserve">ref </w:t>
      </w:r>
      <w:r w:rsidRPr="004A7C05">
        <w:rPr>
          <w:rFonts w:ascii="Arial" w:hAnsi="Arial" w:cs="Arial"/>
          <w:highlight w:val="yellow"/>
        </w:rPr>
        <w:t>= 0.4, and (</w:t>
      </w:r>
      <w:r w:rsidRPr="004A7C05">
        <w:rPr>
          <w:rFonts w:ascii="Arial" w:hAnsi="Arial" w:cs="Arial"/>
          <w:i/>
          <w:iCs/>
          <w:highlight w:val="yellow"/>
        </w:rPr>
        <w:t>Th</w:t>
      </w:r>
      <w:r w:rsidRPr="004A7C05">
        <w:rPr>
          <w:rFonts w:ascii="Arial" w:hAnsi="Arial" w:cs="Arial"/>
          <w:highlight w:val="yellow"/>
        </w:rPr>
        <w:t>/</w:t>
      </w:r>
      <w:r w:rsidRPr="004A7C05">
        <w:rPr>
          <w:rFonts w:ascii="Arial" w:hAnsi="Arial" w:cs="Arial"/>
          <w:i/>
          <w:iCs/>
          <w:highlight w:val="yellow"/>
        </w:rPr>
        <w:t>U</w:t>
      </w:r>
      <w:r w:rsidRPr="004A7C05">
        <w:rPr>
          <w:rFonts w:ascii="Arial" w:hAnsi="Arial" w:cs="Arial"/>
          <w:highlight w:val="yellow"/>
        </w:rPr>
        <w:t>)</w:t>
      </w:r>
      <w:r w:rsidRPr="004A7C05">
        <w:rPr>
          <w:rFonts w:ascii="Arial" w:hAnsi="Arial" w:cs="Arial"/>
          <w:highlight w:val="yellow"/>
          <w:vertAlign w:val="subscript"/>
        </w:rPr>
        <w:t>ref</w:t>
      </w:r>
      <w:r w:rsidRPr="004A7C05">
        <w:rPr>
          <w:rFonts w:ascii="Arial" w:hAnsi="Arial" w:cs="Arial"/>
          <w:highlight w:val="yellow"/>
        </w:rPr>
        <w:t xml:space="preserve"> = 2.0 represent typical equilibrium values for natural soils derived from regional and global </w:t>
      </w:r>
      <w:proofErr w:type="spellStart"/>
      <w:r w:rsidRPr="004A7C05">
        <w:rPr>
          <w:rFonts w:ascii="Arial" w:hAnsi="Arial" w:cs="Arial"/>
          <w:highlight w:val="yellow"/>
        </w:rPr>
        <w:t>radiogeochemical</w:t>
      </w:r>
      <w:proofErr w:type="spellEnd"/>
      <w:r w:rsidRPr="004A7C05">
        <w:rPr>
          <w:rFonts w:ascii="Arial" w:hAnsi="Arial" w:cs="Arial"/>
          <w:highlight w:val="yellow"/>
        </w:rPr>
        <w:t xml:space="preserve"> datasets</w:t>
      </w:r>
      <w:r w:rsidR="004A7C05" w:rsidRPr="004A7C05">
        <w:rPr>
          <w:rFonts w:ascii="Arial" w:hAnsi="Arial" w:cs="Arial"/>
          <w:highlight w:val="yellow"/>
        </w:rPr>
        <w:t xml:space="preserve"> (Hails, 1976)</w:t>
      </w:r>
      <w:r w:rsidRPr="004A7C05">
        <w:rPr>
          <w:rFonts w:ascii="Arial" w:hAnsi="Arial" w:cs="Arial"/>
          <w:highlight w:val="yellow"/>
        </w:rPr>
        <w:t>. These reference values are consistent with the numerical scale of the measured ratios and ensure dimensional consistency in the index calculation.</w:t>
      </w:r>
    </w:p>
    <w:p w14:paraId="31C1EFB8" w14:textId="77777777" w:rsidR="007938A4" w:rsidRPr="007938A4" w:rsidRDefault="007938A4" w:rsidP="007938A4">
      <w:pPr>
        <w:pStyle w:val="NormalWeb"/>
        <w:jc w:val="both"/>
        <w:rPr>
          <w:rFonts w:ascii="Arial" w:hAnsi="Arial" w:cs="Arial"/>
        </w:rPr>
      </w:pPr>
      <w:r w:rsidRPr="004A7C05">
        <w:rPr>
          <w:rFonts w:ascii="Arial" w:hAnsi="Arial" w:cs="Arial"/>
          <w:highlight w:val="yellow"/>
        </w:rPr>
        <w:t>The resulting USCI values are dimensionless and provide a relative measure of urban soil disturbance. Low USCI values indicate radionuclide ratios close to natural geochemical equilibrium, whereas increasing values reflect progressive anthropogenic modification due to factors such as construction activities, road dust accumulation, surface sealing, and material mixing. Descriptive statistical parameters, including minimum, quartiles, median, mean, maximum, and standard deviation, were subsequently used to characterise the overall distribution and variability of USCI across the studied urban environments.</w:t>
      </w:r>
    </w:p>
    <w:p w14:paraId="668BED47" w14:textId="77777777" w:rsidR="007938A4" w:rsidRDefault="007938A4" w:rsidP="00441B6F">
      <w:pPr>
        <w:pStyle w:val="Body"/>
        <w:spacing w:after="0"/>
        <w:rPr>
          <w:rFonts w:ascii="Arial" w:hAnsi="Arial" w:cs="Arial"/>
        </w:rPr>
      </w:pPr>
    </w:p>
    <w:p w14:paraId="45FD427A" w14:textId="77777777" w:rsidR="004A7C05" w:rsidRDefault="004A7C05" w:rsidP="00441B6F">
      <w:pPr>
        <w:pStyle w:val="Body"/>
        <w:spacing w:after="0"/>
        <w:rPr>
          <w:rFonts w:ascii="Arial" w:hAnsi="Arial" w:cs="Arial"/>
        </w:rPr>
      </w:pPr>
    </w:p>
    <w:p w14:paraId="40461F76" w14:textId="77777777" w:rsidR="004A7C05" w:rsidRDefault="004A7C05" w:rsidP="00441B6F">
      <w:pPr>
        <w:pStyle w:val="Body"/>
        <w:spacing w:after="0"/>
        <w:rPr>
          <w:rFonts w:ascii="Arial" w:hAnsi="Arial" w:cs="Arial"/>
        </w:rPr>
      </w:pPr>
    </w:p>
    <w:p w14:paraId="1952DA00" w14:textId="77777777" w:rsidR="007938A4" w:rsidRPr="00FB3A86" w:rsidRDefault="007938A4" w:rsidP="00441B6F">
      <w:pPr>
        <w:pStyle w:val="Body"/>
        <w:spacing w:after="0"/>
        <w:rPr>
          <w:rFonts w:ascii="Arial" w:hAnsi="Arial" w:cs="Arial"/>
        </w:rPr>
      </w:pPr>
    </w:p>
    <w:p w14:paraId="5FC28E13" w14:textId="77777777" w:rsidR="00902823" w:rsidRPr="007F7BA3" w:rsidRDefault="00000F8F" w:rsidP="00441B6F">
      <w:pPr>
        <w:pStyle w:val="Head1"/>
        <w:spacing w:after="0"/>
        <w:jc w:val="both"/>
        <w:rPr>
          <w:rFonts w:ascii="Arial" w:hAnsi="Arial" w:cs="Arial"/>
          <w:sz w:val="24"/>
        </w:rPr>
      </w:pPr>
      <w:r w:rsidRPr="007F7BA3">
        <w:rPr>
          <w:rFonts w:ascii="Arial" w:hAnsi="Arial" w:cs="Arial"/>
          <w:sz w:val="24"/>
        </w:rPr>
        <w:lastRenderedPageBreak/>
        <w:t>3</w:t>
      </w:r>
      <w:r w:rsidR="00902823" w:rsidRPr="007F7BA3">
        <w:rPr>
          <w:rFonts w:ascii="Arial" w:hAnsi="Arial" w:cs="Arial"/>
          <w:sz w:val="24"/>
        </w:rPr>
        <w:t xml:space="preserve">. </w:t>
      </w:r>
      <w:r w:rsidRPr="007F7BA3">
        <w:rPr>
          <w:rFonts w:ascii="Arial" w:hAnsi="Arial" w:cs="Arial"/>
          <w:sz w:val="24"/>
        </w:rPr>
        <w:t>results and discussion</w:t>
      </w:r>
    </w:p>
    <w:p w14:paraId="45D16909" w14:textId="77777777" w:rsidR="00790ADA" w:rsidRPr="007F7BA3" w:rsidRDefault="00790ADA" w:rsidP="00441B6F">
      <w:pPr>
        <w:pStyle w:val="Head1"/>
        <w:spacing w:after="0"/>
        <w:jc w:val="both"/>
        <w:rPr>
          <w:rFonts w:ascii="Arial" w:hAnsi="Arial" w:cs="Arial"/>
          <w:sz w:val="24"/>
        </w:rPr>
      </w:pPr>
    </w:p>
    <w:p w14:paraId="42160790" w14:textId="6D9AF0A0" w:rsidR="00765C37" w:rsidRPr="007F7BA3" w:rsidRDefault="00765C37" w:rsidP="008E3344">
      <w:pPr>
        <w:pStyle w:val="Body"/>
        <w:rPr>
          <w:rFonts w:ascii="Arial" w:hAnsi="Arial" w:cs="Arial"/>
          <w:b/>
          <w:bCs/>
        </w:rPr>
      </w:pPr>
      <w:r w:rsidRPr="007F7BA3">
        <w:rPr>
          <w:rFonts w:ascii="Arial" w:hAnsi="Arial" w:cs="Arial"/>
          <w:b/>
          <w:bCs/>
        </w:rPr>
        <w:t xml:space="preserve">3.1 </w:t>
      </w:r>
      <w:r w:rsidR="00344B57">
        <w:rPr>
          <w:rFonts w:ascii="Arial" w:hAnsi="Arial" w:cs="Arial"/>
          <w:b/>
          <w:bCs/>
        </w:rPr>
        <w:t xml:space="preserve">Measured TGR Dose Rate </w:t>
      </w:r>
      <w:r w:rsidR="002C462C" w:rsidRPr="007F7BA3">
        <w:rPr>
          <w:rFonts w:ascii="Arial" w:hAnsi="Arial" w:cs="Arial"/>
          <w:b/>
          <w:bCs/>
        </w:rPr>
        <w:t>in</w:t>
      </w:r>
      <w:r w:rsidRPr="007F7BA3">
        <w:rPr>
          <w:rFonts w:ascii="Arial" w:hAnsi="Arial" w:cs="Arial"/>
          <w:b/>
          <w:bCs/>
        </w:rPr>
        <w:t xml:space="preserve"> Urban Environments</w:t>
      </w:r>
    </w:p>
    <w:p w14:paraId="7D10EAC7" w14:textId="342C8FA0" w:rsidR="008E3344" w:rsidRPr="008E3344" w:rsidRDefault="008E3344" w:rsidP="008E3344">
      <w:pPr>
        <w:pStyle w:val="Body"/>
        <w:rPr>
          <w:rFonts w:ascii="Arial" w:hAnsi="Arial" w:cs="Arial"/>
        </w:rPr>
      </w:pPr>
      <w:r w:rsidRPr="008E3344">
        <w:rPr>
          <w:rFonts w:ascii="Arial" w:hAnsi="Arial" w:cs="Arial"/>
        </w:rPr>
        <w:t>A total of 9,754 terrestrial gamma radiation (TGR) measurements were collected across 13 major urban areas in Peninsular Malaysia. The combined histogram (</w:t>
      </w:r>
      <w:r w:rsidRPr="008C7131">
        <w:rPr>
          <w:rFonts w:ascii="Arial" w:hAnsi="Arial" w:cs="Arial"/>
          <w:highlight w:val="yellow"/>
        </w:rPr>
        <w:t>Fig</w:t>
      </w:r>
      <w:r w:rsidR="008C7131" w:rsidRPr="008C7131">
        <w:rPr>
          <w:rFonts w:ascii="Arial" w:hAnsi="Arial" w:cs="Arial"/>
          <w:highlight w:val="yellow"/>
        </w:rPr>
        <w:t>.</w:t>
      </w:r>
      <w:r w:rsidRPr="008C7131">
        <w:rPr>
          <w:rFonts w:ascii="Arial" w:hAnsi="Arial" w:cs="Arial"/>
          <w:highlight w:val="yellow"/>
        </w:rPr>
        <w:t xml:space="preserve"> </w:t>
      </w:r>
      <w:r w:rsidR="008C7131" w:rsidRPr="008C7131">
        <w:rPr>
          <w:rFonts w:ascii="Arial" w:hAnsi="Arial" w:cs="Arial"/>
          <w:highlight w:val="yellow"/>
        </w:rPr>
        <w:t>3</w:t>
      </w:r>
      <w:r w:rsidRPr="008E3344">
        <w:rPr>
          <w:rFonts w:ascii="Arial" w:hAnsi="Arial" w:cs="Arial"/>
        </w:rPr>
        <w:t xml:space="preserve">) shows a unimodal distribution with a broad spread ranging from 47 to 371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¹, reflecting significant spatial variability in gamma dose rates among cities. The aggregated distribution exhibits slight negative skewness (–0.213) and near-normal kurtosis (0.044), consistent with the near-linear trend observed in the normal probability plot, indicating that urban TGR values are approximately normally distributed at large sample sizes.</w:t>
      </w:r>
    </w:p>
    <w:p w14:paraId="5BE583C8" w14:textId="7EBAE121" w:rsidR="008E3344" w:rsidRDefault="008E3344" w:rsidP="008E3344">
      <w:pPr>
        <w:pStyle w:val="Body"/>
        <w:rPr>
          <w:rFonts w:ascii="Arial" w:hAnsi="Arial" w:cs="Arial"/>
        </w:rPr>
      </w:pPr>
      <w:r>
        <w:rPr>
          <w:rFonts w:ascii="Arial" w:hAnsi="Arial" w:cs="Arial"/>
          <w:noProof/>
          <w:lang w:val="en-US" w:eastAsia="en-US"/>
        </w:rPr>
        <w:drawing>
          <wp:inline distT="0" distB="0" distL="0" distR="0" wp14:anchorId="02C960FA" wp14:editId="50CD253B">
            <wp:extent cx="5495328" cy="3327400"/>
            <wp:effectExtent l="0" t="0" r="0" b="0"/>
            <wp:docPr id="1024046025" name="Picture 2" descr="A graph of a graph and 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6025" name="Picture 2" descr="A graph of a graph and a chart of a graph&#10;&#10;AI-generated content may be incorrect."/>
                    <pic:cNvPicPr/>
                  </pic:nvPicPr>
                  <pic:blipFill rotWithShape="1">
                    <a:blip r:embed="rId16">
                      <a:extLst>
                        <a:ext uri="{28A0092B-C50C-407E-A947-70E740481C1C}">
                          <a14:useLocalDpi xmlns:a14="http://schemas.microsoft.com/office/drawing/2010/main" val="0"/>
                        </a:ext>
                      </a:extLst>
                    </a:blip>
                    <a:srcRect l="6822" t="2166" r="2290"/>
                    <a:stretch>
                      <a:fillRect/>
                    </a:stretch>
                  </pic:blipFill>
                  <pic:spPr bwMode="auto">
                    <a:xfrm>
                      <a:off x="0" y="0"/>
                      <a:ext cx="5510535" cy="3336608"/>
                    </a:xfrm>
                    <a:prstGeom prst="rect">
                      <a:avLst/>
                    </a:prstGeom>
                    <a:ln>
                      <a:noFill/>
                    </a:ln>
                    <a:extLst>
                      <a:ext uri="{53640926-AAD7-44D8-BBD7-CCE9431645EC}">
                        <a14:shadowObscured xmlns:a14="http://schemas.microsoft.com/office/drawing/2010/main"/>
                      </a:ext>
                    </a:extLst>
                  </pic:spPr>
                </pic:pic>
              </a:graphicData>
            </a:graphic>
          </wp:inline>
        </w:drawing>
      </w:r>
    </w:p>
    <w:p w14:paraId="494EF18E" w14:textId="36EFC77A" w:rsidR="008E3344" w:rsidRPr="00E970D3" w:rsidRDefault="008E3344" w:rsidP="00E970D3">
      <w:pPr>
        <w:pStyle w:val="Body"/>
        <w:jc w:val="center"/>
        <w:rPr>
          <w:rFonts w:ascii="Arial" w:hAnsi="Arial" w:cs="Arial"/>
          <w:b/>
          <w:bCs/>
          <w:sz w:val="22"/>
          <w:szCs w:val="22"/>
        </w:rPr>
      </w:pPr>
      <w:r w:rsidRPr="008C7131">
        <w:rPr>
          <w:rFonts w:ascii="Arial" w:hAnsi="Arial" w:cs="Arial"/>
          <w:b/>
          <w:bCs/>
          <w:sz w:val="22"/>
          <w:szCs w:val="22"/>
          <w:highlight w:val="yellow"/>
        </w:rPr>
        <w:t xml:space="preserve">Fig. </w:t>
      </w:r>
      <w:r w:rsidR="008C7131">
        <w:rPr>
          <w:rFonts w:ascii="Arial" w:hAnsi="Arial" w:cs="Arial"/>
          <w:b/>
          <w:bCs/>
          <w:sz w:val="22"/>
          <w:szCs w:val="22"/>
          <w:highlight w:val="yellow"/>
        </w:rPr>
        <w:t>3</w:t>
      </w:r>
      <w:r w:rsidRPr="008C7131">
        <w:rPr>
          <w:rFonts w:ascii="Arial" w:hAnsi="Arial" w:cs="Arial"/>
          <w:b/>
          <w:bCs/>
          <w:sz w:val="22"/>
          <w:szCs w:val="22"/>
          <w:highlight w:val="yellow"/>
        </w:rPr>
        <w:t>.</w:t>
      </w:r>
      <w:r w:rsidRPr="00E970D3">
        <w:rPr>
          <w:rFonts w:ascii="Arial" w:hAnsi="Arial" w:cs="Arial"/>
          <w:b/>
          <w:bCs/>
          <w:sz w:val="22"/>
          <w:szCs w:val="22"/>
        </w:rPr>
        <w:t xml:space="preserve"> Histogram of terrestrial gamma radiation (TGR) measured across major urban areas in Peninsular Malaysia, showing the combined distribution for all cities. The inset normal probability plot illustrates that the aggregated TGR values follow an approximately normal distribution at large sample size.</w:t>
      </w:r>
    </w:p>
    <w:p w14:paraId="3114CA16" w14:textId="2ECDDA05" w:rsidR="008C6D8A" w:rsidRPr="008C6D8A" w:rsidRDefault="008C6D8A" w:rsidP="008C6D8A">
      <w:pPr>
        <w:pStyle w:val="Body"/>
        <w:rPr>
          <w:rFonts w:ascii="Arial" w:hAnsi="Arial" w:cs="Arial"/>
        </w:rPr>
      </w:pPr>
      <w:r w:rsidRPr="008E3344">
        <w:rPr>
          <w:rFonts w:ascii="Arial" w:hAnsi="Arial" w:cs="Arial"/>
        </w:rPr>
        <w:t xml:space="preserve">Urban TGR levels differed markedly between cities (Table 1). The lowest mean dose rate was recorded in </w:t>
      </w:r>
      <w:proofErr w:type="spellStart"/>
      <w:r w:rsidRPr="008E3344">
        <w:rPr>
          <w:rFonts w:ascii="Arial" w:hAnsi="Arial" w:cs="Arial"/>
        </w:rPr>
        <w:t>Kangar</w:t>
      </w:r>
      <w:proofErr w:type="spellEnd"/>
      <w:r w:rsidRPr="008E3344">
        <w:rPr>
          <w:rFonts w:ascii="Arial" w:hAnsi="Arial" w:cs="Arial"/>
        </w:rPr>
        <w:t xml:space="preserve"> (93 ± 6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followed by Kuala Terengganu (146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Johor Bahru (157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In contrast, the highest mean values occurred in Ipoh (295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Seremban (254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Melaka (244 ± 2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These high-TGR cities also exhibited relatively broad ranges extending beyond 300 </w:t>
      </w:r>
      <w:proofErr w:type="spellStart"/>
      <w:r w:rsidRPr="008E3344">
        <w:rPr>
          <w:rFonts w:ascii="Arial" w:hAnsi="Arial" w:cs="Arial"/>
        </w:rPr>
        <w:t>nGy</w:t>
      </w:r>
      <w:proofErr w:type="spellEnd"/>
      <w:r w:rsidRPr="008E3344">
        <w:rPr>
          <w:rFonts w:ascii="Arial" w:hAnsi="Arial" w:cs="Arial"/>
        </w:rPr>
        <w:t xml:space="preserve"> </w:t>
      </w:r>
      <w:r w:rsidRPr="008E3344">
        <w:rPr>
          <w:rFonts w:ascii="Arial" w:hAnsi="Arial" w:cs="Arial"/>
        </w:rPr>
        <w:lastRenderedPageBreak/>
        <w:t>h</w:t>
      </w:r>
      <w:r w:rsidRPr="008E3344">
        <w:rPr>
          <w:rFonts w:ascii="Cambria Math" w:hAnsi="Cambria Math" w:cs="Cambria Math"/>
        </w:rPr>
        <w:t>⁻</w:t>
      </w:r>
      <w:r w:rsidRPr="008E3344">
        <w:rPr>
          <w:rFonts w:ascii="Arial" w:hAnsi="Arial" w:cs="Arial"/>
        </w:rPr>
        <w:t xml:space="preserve">¹, particularly Ipoh (81–371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suggesting the influence of </w:t>
      </w:r>
      <w:proofErr w:type="spellStart"/>
      <w:r w:rsidRPr="008E3344">
        <w:rPr>
          <w:rFonts w:ascii="Arial" w:hAnsi="Arial" w:cs="Arial"/>
        </w:rPr>
        <w:t>lithologically</w:t>
      </w:r>
      <w:proofErr w:type="spellEnd"/>
      <w:r w:rsidRPr="008E3344">
        <w:rPr>
          <w:rFonts w:ascii="Arial" w:hAnsi="Arial" w:cs="Arial"/>
        </w:rPr>
        <w:t xml:space="preserve"> enriched geological formations.</w:t>
      </w:r>
    </w:p>
    <w:p w14:paraId="463F393E" w14:textId="77777777" w:rsidR="008C6D8A" w:rsidRDefault="008C6D8A" w:rsidP="00E970D3">
      <w:pPr>
        <w:ind w:right="-334"/>
        <w:jc w:val="center"/>
        <w:rPr>
          <w:rFonts w:ascii="Arial" w:hAnsi="Arial" w:cs="Arial"/>
          <w:b/>
          <w:bCs/>
          <w:sz w:val="22"/>
          <w:szCs w:val="22"/>
        </w:rPr>
      </w:pPr>
    </w:p>
    <w:p w14:paraId="271617D5" w14:textId="53D22159" w:rsidR="008E3344" w:rsidRPr="00E970D3" w:rsidRDefault="008E3344" w:rsidP="00E970D3">
      <w:pPr>
        <w:ind w:right="-334"/>
        <w:jc w:val="center"/>
        <w:rPr>
          <w:rFonts w:ascii="Arial" w:hAnsi="Arial" w:cs="Arial"/>
          <w:b/>
          <w:bCs/>
          <w:sz w:val="22"/>
          <w:szCs w:val="22"/>
        </w:rPr>
      </w:pPr>
      <w:r w:rsidRPr="00E970D3">
        <w:rPr>
          <w:rFonts w:ascii="Arial" w:hAnsi="Arial" w:cs="Arial"/>
          <w:b/>
          <w:bCs/>
          <w:sz w:val="22"/>
          <w:szCs w:val="22"/>
        </w:rPr>
        <w:t xml:space="preserve">Table 1. Descriptive statistics of </w:t>
      </w:r>
      <w:r w:rsidR="009177D7">
        <w:rPr>
          <w:rFonts w:ascii="Arial" w:hAnsi="Arial" w:cs="Arial"/>
          <w:b/>
          <w:bCs/>
          <w:sz w:val="22"/>
          <w:szCs w:val="22"/>
        </w:rPr>
        <w:t xml:space="preserve">TGR </w:t>
      </w:r>
      <w:r w:rsidRPr="00E970D3">
        <w:rPr>
          <w:rFonts w:ascii="Arial" w:hAnsi="Arial" w:cs="Arial"/>
          <w:b/>
          <w:bCs/>
          <w:sz w:val="22"/>
          <w:szCs w:val="22"/>
        </w:rPr>
        <w:t>data in major urban areas of Peninsular Malaysia.</w:t>
      </w:r>
    </w:p>
    <w:p w14:paraId="159D1EB9" w14:textId="77777777" w:rsidR="008E3344" w:rsidRPr="002B06A9" w:rsidRDefault="008E3344" w:rsidP="008E3344">
      <w:pPr>
        <w:autoSpaceDE w:val="0"/>
        <w:autoSpaceDN w:val="0"/>
        <w:adjustRightInd w:val="0"/>
        <w:rPr>
          <w:sz w:val="20"/>
          <w:szCs w:val="20"/>
        </w:rPr>
      </w:pPr>
    </w:p>
    <w:tbl>
      <w:tblPr>
        <w:tblStyle w:val="TableGrid"/>
        <w:tblW w:w="8284" w:type="dxa"/>
        <w:tblInd w:w="3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09"/>
        <w:gridCol w:w="1054"/>
        <w:gridCol w:w="1417"/>
        <w:gridCol w:w="1247"/>
        <w:gridCol w:w="1021"/>
        <w:gridCol w:w="945"/>
        <w:gridCol w:w="47"/>
      </w:tblGrid>
      <w:tr w:rsidR="008E3344" w:rsidRPr="008E3344" w14:paraId="6F9C58A3" w14:textId="77777777" w:rsidTr="007F7BA3">
        <w:trPr>
          <w:gridAfter w:val="1"/>
          <w:wAfter w:w="47" w:type="dxa"/>
        </w:trPr>
        <w:tc>
          <w:tcPr>
            <w:tcW w:w="1844" w:type="dxa"/>
            <w:vMerge w:val="restart"/>
            <w:tcBorders>
              <w:top w:val="single" w:sz="4" w:space="0" w:color="auto"/>
              <w:bottom w:val="nil"/>
            </w:tcBorders>
          </w:tcPr>
          <w:p w14:paraId="47B0589A"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 xml:space="preserve">City </w:t>
            </w:r>
          </w:p>
        </w:tc>
        <w:tc>
          <w:tcPr>
            <w:tcW w:w="6393" w:type="dxa"/>
            <w:gridSpan w:val="6"/>
            <w:tcBorders>
              <w:top w:val="single" w:sz="4" w:space="0" w:color="auto"/>
              <w:bottom w:val="nil"/>
            </w:tcBorders>
          </w:tcPr>
          <w:p w14:paraId="5343EB07" w14:textId="154225CB" w:rsidR="008E3344" w:rsidRPr="000E37FC" w:rsidRDefault="008E3344" w:rsidP="00C63FF4">
            <w:pPr>
              <w:ind w:right="1804"/>
              <w:jc w:val="right"/>
              <w:rPr>
                <w:rFonts w:ascii="Arial" w:hAnsi="Arial" w:cs="Arial"/>
                <w:b/>
                <w:bCs/>
                <w:i/>
                <w:iCs/>
                <w:color w:val="0D0D0D" w:themeColor="text1" w:themeTint="F2"/>
                <w:sz w:val="20"/>
                <w:szCs w:val="20"/>
              </w:rPr>
            </w:pPr>
            <w:r w:rsidRPr="000E37FC">
              <w:rPr>
                <w:rFonts w:ascii="Arial" w:hAnsi="Arial" w:cs="Arial"/>
                <w:b/>
                <w:bCs/>
                <w:color w:val="0D0D0D" w:themeColor="text1" w:themeTint="F2"/>
                <w:sz w:val="20"/>
                <w:szCs w:val="20"/>
              </w:rPr>
              <w:t xml:space="preserve">Terrestrial gamma radiation </w:t>
            </w:r>
            <w:r w:rsidRPr="00F9374A">
              <w:rPr>
                <w:rFonts w:ascii="Arial" w:hAnsi="Arial" w:cs="Arial"/>
                <w:b/>
                <w:bCs/>
                <w:color w:val="0D0D0D" w:themeColor="text1" w:themeTint="F2"/>
                <w:sz w:val="20"/>
                <w:szCs w:val="20"/>
                <w:highlight w:val="yellow"/>
              </w:rPr>
              <w:t>(</w:t>
            </w:r>
            <w:proofErr w:type="spellStart"/>
            <w:r w:rsidRPr="00F9374A">
              <w:rPr>
                <w:rFonts w:ascii="Arial" w:hAnsi="Arial" w:cs="Arial"/>
                <w:b/>
                <w:bCs/>
                <w:color w:val="0D0D0D" w:themeColor="text1" w:themeTint="F2"/>
                <w:sz w:val="20"/>
                <w:szCs w:val="20"/>
                <w:highlight w:val="yellow"/>
              </w:rPr>
              <w:t>n</w:t>
            </w:r>
            <w:r w:rsidR="00A96283" w:rsidRPr="00F9374A">
              <w:rPr>
                <w:rFonts w:ascii="Arial" w:hAnsi="Arial" w:cs="Arial"/>
                <w:b/>
                <w:bCs/>
                <w:color w:val="0D0D0D" w:themeColor="text1" w:themeTint="F2"/>
                <w:sz w:val="20"/>
                <w:szCs w:val="20"/>
                <w:highlight w:val="yellow"/>
              </w:rPr>
              <w:t>Gy</w:t>
            </w:r>
            <w:proofErr w:type="spellEnd"/>
            <w:r w:rsidRPr="00F9374A">
              <w:rPr>
                <w:rFonts w:ascii="Arial" w:hAnsi="Arial" w:cs="Arial"/>
                <w:b/>
                <w:bCs/>
                <w:color w:val="0D0D0D" w:themeColor="text1" w:themeTint="F2"/>
                <w:sz w:val="20"/>
                <w:szCs w:val="20"/>
                <w:highlight w:val="yellow"/>
              </w:rPr>
              <w:t xml:space="preserve"> h</w:t>
            </w:r>
            <w:r w:rsidRPr="00F9374A">
              <w:rPr>
                <w:rFonts w:ascii="Arial" w:hAnsi="Arial" w:cs="Arial"/>
                <w:b/>
                <w:bCs/>
                <w:color w:val="0D0D0D" w:themeColor="text1" w:themeTint="F2"/>
                <w:sz w:val="20"/>
                <w:szCs w:val="20"/>
                <w:highlight w:val="yellow"/>
                <w:vertAlign w:val="superscript"/>
              </w:rPr>
              <w:t>–1</w:t>
            </w:r>
            <w:r w:rsidRPr="00F9374A">
              <w:rPr>
                <w:rFonts w:ascii="Arial" w:hAnsi="Arial" w:cs="Arial"/>
                <w:b/>
                <w:bCs/>
                <w:color w:val="0D0D0D" w:themeColor="text1" w:themeTint="F2"/>
                <w:sz w:val="20"/>
                <w:szCs w:val="20"/>
                <w:highlight w:val="yellow"/>
              </w:rPr>
              <w:t>)</w:t>
            </w:r>
          </w:p>
        </w:tc>
      </w:tr>
      <w:tr w:rsidR="008E3344" w:rsidRPr="008E3344" w14:paraId="2CB10669" w14:textId="77777777" w:rsidTr="007F7BA3">
        <w:tc>
          <w:tcPr>
            <w:tcW w:w="1844" w:type="dxa"/>
            <w:vMerge/>
            <w:tcBorders>
              <w:top w:val="nil"/>
              <w:bottom w:val="single" w:sz="4" w:space="0" w:color="auto"/>
            </w:tcBorders>
          </w:tcPr>
          <w:p w14:paraId="5C015109" w14:textId="77777777" w:rsidR="008E3344" w:rsidRPr="000E37FC" w:rsidRDefault="008E3344" w:rsidP="00C63FF4">
            <w:pPr>
              <w:ind w:right="-330"/>
              <w:rPr>
                <w:rFonts w:ascii="Arial" w:hAnsi="Arial" w:cs="Arial"/>
                <w:b/>
                <w:bCs/>
                <w:color w:val="0D0D0D" w:themeColor="text1" w:themeTint="F2"/>
                <w:sz w:val="20"/>
                <w:szCs w:val="20"/>
              </w:rPr>
            </w:pPr>
          </w:p>
        </w:tc>
        <w:tc>
          <w:tcPr>
            <w:tcW w:w="709" w:type="dxa"/>
            <w:tcBorders>
              <w:top w:val="nil"/>
              <w:bottom w:val="single" w:sz="4" w:space="0" w:color="auto"/>
            </w:tcBorders>
          </w:tcPr>
          <w:p w14:paraId="398EAECC"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 xml:space="preserve">   n</w:t>
            </w:r>
          </w:p>
        </w:tc>
        <w:tc>
          <w:tcPr>
            <w:tcW w:w="1054" w:type="dxa"/>
            <w:tcBorders>
              <w:top w:val="single" w:sz="4" w:space="0" w:color="auto"/>
              <w:bottom w:val="single" w:sz="4" w:space="0" w:color="auto"/>
            </w:tcBorders>
          </w:tcPr>
          <w:p w14:paraId="31D48A7F"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 xml:space="preserve">Mean </w:t>
            </w:r>
            <w:r w:rsidRPr="000E37FC">
              <w:rPr>
                <w:rFonts w:ascii="Arial" w:hAnsi="Arial" w:cs="Arial"/>
                <w:b/>
                <w:bCs/>
                <w:color w:val="0D0D0D" w:themeColor="text1" w:themeTint="F2"/>
                <w:sz w:val="20"/>
                <w:szCs w:val="20"/>
              </w:rPr>
              <w:sym w:font="Symbol" w:char="F0B1"/>
            </w:r>
            <w:r w:rsidRPr="000E37FC">
              <w:rPr>
                <w:rFonts w:ascii="Arial" w:hAnsi="Arial" w:cs="Arial"/>
                <w:b/>
                <w:bCs/>
                <w:color w:val="0D0D0D" w:themeColor="text1" w:themeTint="F2"/>
                <w:sz w:val="20"/>
                <w:szCs w:val="20"/>
              </w:rPr>
              <w:t xml:space="preserve"> standard </w:t>
            </w:r>
          </w:p>
          <w:p w14:paraId="41D2016E" w14:textId="77777777" w:rsidR="008E3344" w:rsidRPr="000E37FC" w:rsidRDefault="008E3344" w:rsidP="00C63FF4">
            <w:pPr>
              <w:ind w:right="-109"/>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error</w:t>
            </w:r>
          </w:p>
        </w:tc>
        <w:tc>
          <w:tcPr>
            <w:tcW w:w="1417" w:type="dxa"/>
            <w:tcBorders>
              <w:top w:val="single" w:sz="4" w:space="0" w:color="auto"/>
              <w:bottom w:val="single" w:sz="4" w:space="0" w:color="auto"/>
            </w:tcBorders>
          </w:tcPr>
          <w:p w14:paraId="308DA3E4" w14:textId="77777777" w:rsidR="008E3344" w:rsidRPr="000E37FC" w:rsidRDefault="008E3344" w:rsidP="00C63FF4">
            <w:pPr>
              <w:ind w:left="238"/>
              <w:jc w:val="center"/>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Confident interval of mean</w:t>
            </w:r>
          </w:p>
          <w:p w14:paraId="44D52DE1" w14:textId="77777777" w:rsidR="008E3344" w:rsidRPr="000E37FC" w:rsidRDefault="008E3344" w:rsidP="00C63FF4">
            <w:pPr>
              <w:ind w:left="238" w:right="-330"/>
              <w:jc w:val="center"/>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(95%)</w:t>
            </w:r>
          </w:p>
        </w:tc>
        <w:tc>
          <w:tcPr>
            <w:tcW w:w="1247" w:type="dxa"/>
            <w:tcBorders>
              <w:top w:val="single" w:sz="4" w:space="0" w:color="auto"/>
              <w:bottom w:val="single" w:sz="4" w:space="0" w:color="auto"/>
            </w:tcBorders>
          </w:tcPr>
          <w:p w14:paraId="414DF897"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Range</w:t>
            </w:r>
          </w:p>
        </w:tc>
        <w:tc>
          <w:tcPr>
            <w:tcW w:w="1021" w:type="dxa"/>
            <w:tcBorders>
              <w:top w:val="single" w:sz="4" w:space="0" w:color="auto"/>
              <w:bottom w:val="single" w:sz="4" w:space="0" w:color="auto"/>
            </w:tcBorders>
          </w:tcPr>
          <w:p w14:paraId="67468940"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 xml:space="preserve">Skewness </w:t>
            </w:r>
          </w:p>
        </w:tc>
        <w:tc>
          <w:tcPr>
            <w:tcW w:w="992" w:type="dxa"/>
            <w:gridSpan w:val="2"/>
            <w:tcBorders>
              <w:top w:val="single" w:sz="4" w:space="0" w:color="auto"/>
              <w:bottom w:val="single" w:sz="4" w:space="0" w:color="auto"/>
            </w:tcBorders>
          </w:tcPr>
          <w:p w14:paraId="180C58A2"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Kurtosis</w:t>
            </w:r>
          </w:p>
        </w:tc>
      </w:tr>
      <w:tr w:rsidR="008E3344" w:rsidRPr="008E3344" w14:paraId="423EB426" w14:textId="77777777" w:rsidTr="007F7BA3">
        <w:tc>
          <w:tcPr>
            <w:tcW w:w="1844" w:type="dxa"/>
            <w:tcBorders>
              <w:top w:val="single" w:sz="4" w:space="0" w:color="auto"/>
            </w:tcBorders>
            <w:vAlign w:val="bottom"/>
          </w:tcPr>
          <w:p w14:paraId="1E4FAF88"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Johor Bahru</w:t>
            </w:r>
          </w:p>
        </w:tc>
        <w:tc>
          <w:tcPr>
            <w:tcW w:w="709" w:type="dxa"/>
            <w:tcBorders>
              <w:top w:val="single" w:sz="4" w:space="0" w:color="auto"/>
            </w:tcBorders>
          </w:tcPr>
          <w:p w14:paraId="720DAF86"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807</w:t>
            </w:r>
          </w:p>
        </w:tc>
        <w:tc>
          <w:tcPr>
            <w:tcW w:w="1054" w:type="dxa"/>
            <w:tcBorders>
              <w:top w:val="single" w:sz="4" w:space="0" w:color="auto"/>
            </w:tcBorders>
          </w:tcPr>
          <w:p w14:paraId="12138D9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157</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Borders>
              <w:top w:val="single" w:sz="4" w:space="0" w:color="auto"/>
            </w:tcBorders>
          </w:tcPr>
          <w:p w14:paraId="132B682B"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154 – 160  </w:t>
            </w:r>
          </w:p>
        </w:tc>
        <w:tc>
          <w:tcPr>
            <w:tcW w:w="1247" w:type="dxa"/>
            <w:tcBorders>
              <w:top w:val="single" w:sz="4" w:space="0" w:color="auto"/>
            </w:tcBorders>
          </w:tcPr>
          <w:p w14:paraId="034807B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67 – 281 </w:t>
            </w:r>
          </w:p>
        </w:tc>
        <w:tc>
          <w:tcPr>
            <w:tcW w:w="1021" w:type="dxa"/>
            <w:tcBorders>
              <w:top w:val="single" w:sz="4" w:space="0" w:color="auto"/>
            </w:tcBorders>
          </w:tcPr>
          <w:p w14:paraId="7D5C1BD7"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0.33</w:t>
            </w:r>
          </w:p>
        </w:tc>
        <w:tc>
          <w:tcPr>
            <w:tcW w:w="992" w:type="dxa"/>
            <w:gridSpan w:val="2"/>
            <w:tcBorders>
              <w:top w:val="single" w:sz="4" w:space="0" w:color="auto"/>
            </w:tcBorders>
          </w:tcPr>
          <w:p w14:paraId="51A501B1"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-0.24</w:t>
            </w:r>
          </w:p>
        </w:tc>
      </w:tr>
      <w:tr w:rsidR="008E3344" w:rsidRPr="008E3344" w14:paraId="6FBDECFE" w14:textId="77777777" w:rsidTr="007F7BA3">
        <w:tc>
          <w:tcPr>
            <w:tcW w:w="1844" w:type="dxa"/>
            <w:vAlign w:val="bottom"/>
          </w:tcPr>
          <w:p w14:paraId="7A91EF44"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Melaka</w:t>
            </w:r>
          </w:p>
        </w:tc>
        <w:tc>
          <w:tcPr>
            <w:tcW w:w="709" w:type="dxa"/>
          </w:tcPr>
          <w:p w14:paraId="4B94FF4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390</w:t>
            </w:r>
          </w:p>
        </w:tc>
        <w:tc>
          <w:tcPr>
            <w:tcW w:w="1054" w:type="dxa"/>
          </w:tcPr>
          <w:p w14:paraId="2E11750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244</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6EC420AD"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241 – 247 </w:t>
            </w:r>
          </w:p>
        </w:tc>
        <w:tc>
          <w:tcPr>
            <w:tcW w:w="1247" w:type="dxa"/>
          </w:tcPr>
          <w:p w14:paraId="75268C7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103 – 307 </w:t>
            </w:r>
          </w:p>
        </w:tc>
        <w:tc>
          <w:tcPr>
            <w:tcW w:w="1021" w:type="dxa"/>
          </w:tcPr>
          <w:p w14:paraId="62E6FE81"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-1.75</w:t>
            </w:r>
          </w:p>
        </w:tc>
        <w:tc>
          <w:tcPr>
            <w:tcW w:w="992" w:type="dxa"/>
            <w:gridSpan w:val="2"/>
          </w:tcPr>
          <w:p w14:paraId="52BE75E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2.91</w:t>
            </w:r>
          </w:p>
        </w:tc>
      </w:tr>
      <w:tr w:rsidR="008E3344" w:rsidRPr="008E3344" w14:paraId="01F5B855" w14:textId="77777777" w:rsidTr="007F7BA3">
        <w:tc>
          <w:tcPr>
            <w:tcW w:w="1844" w:type="dxa"/>
            <w:vAlign w:val="bottom"/>
          </w:tcPr>
          <w:p w14:paraId="6439B073"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Seremban</w:t>
            </w:r>
          </w:p>
        </w:tc>
        <w:tc>
          <w:tcPr>
            <w:tcW w:w="709" w:type="dxa"/>
          </w:tcPr>
          <w:p w14:paraId="14332670"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528</w:t>
            </w:r>
          </w:p>
        </w:tc>
        <w:tc>
          <w:tcPr>
            <w:tcW w:w="1054" w:type="dxa"/>
          </w:tcPr>
          <w:p w14:paraId="0956576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254</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5064C80A" w14:textId="77777777" w:rsidR="008E3344" w:rsidRPr="008E3344" w:rsidRDefault="008E3344" w:rsidP="00C63FF4">
            <w:pPr>
              <w:ind w:left="97"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252 – 256 </w:t>
            </w:r>
          </w:p>
        </w:tc>
        <w:tc>
          <w:tcPr>
            <w:tcW w:w="1247" w:type="dxa"/>
          </w:tcPr>
          <w:p w14:paraId="455B007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135 – 334 </w:t>
            </w:r>
          </w:p>
        </w:tc>
        <w:tc>
          <w:tcPr>
            <w:tcW w:w="1021" w:type="dxa"/>
          </w:tcPr>
          <w:p w14:paraId="4F2EF24F"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-0.55</w:t>
            </w:r>
          </w:p>
        </w:tc>
        <w:tc>
          <w:tcPr>
            <w:tcW w:w="992" w:type="dxa"/>
            <w:gridSpan w:val="2"/>
          </w:tcPr>
          <w:p w14:paraId="5712A94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0.60</w:t>
            </w:r>
          </w:p>
        </w:tc>
      </w:tr>
      <w:tr w:rsidR="008E3344" w:rsidRPr="008E3344" w14:paraId="5158069B" w14:textId="77777777" w:rsidTr="007F7BA3">
        <w:tc>
          <w:tcPr>
            <w:tcW w:w="1844" w:type="dxa"/>
            <w:vAlign w:val="bottom"/>
          </w:tcPr>
          <w:p w14:paraId="4AAD41B0" w14:textId="63D2CDB8" w:rsidR="008E3344" w:rsidRPr="008E3344" w:rsidRDefault="008E3344" w:rsidP="00C63FF4">
            <w:pPr>
              <w:ind w:right="-330"/>
              <w:rPr>
                <w:rFonts w:ascii="Arial" w:hAnsi="Arial" w:cs="Arial"/>
                <w:color w:val="0D0D0D" w:themeColor="text1" w:themeTint="F2"/>
                <w:sz w:val="20"/>
                <w:szCs w:val="20"/>
              </w:rPr>
            </w:pPr>
            <w:proofErr w:type="spellStart"/>
            <w:r w:rsidRPr="008E3344">
              <w:rPr>
                <w:rFonts w:ascii="Arial" w:hAnsi="Arial" w:cs="Arial"/>
                <w:color w:val="0D0D0D" w:themeColor="text1" w:themeTint="F2"/>
                <w:sz w:val="20"/>
                <w:szCs w:val="20"/>
              </w:rPr>
              <w:t>Lembah</w:t>
            </w:r>
            <w:proofErr w:type="spellEnd"/>
            <w:r w:rsidRPr="008E3344">
              <w:rPr>
                <w:rFonts w:ascii="Arial" w:hAnsi="Arial" w:cs="Arial"/>
                <w:color w:val="0D0D0D" w:themeColor="text1" w:themeTint="F2"/>
                <w:sz w:val="20"/>
                <w:szCs w:val="20"/>
              </w:rPr>
              <w:t xml:space="preserve"> </w:t>
            </w:r>
            <w:proofErr w:type="spellStart"/>
            <w:r w:rsidRPr="008E3344">
              <w:rPr>
                <w:rFonts w:ascii="Arial" w:hAnsi="Arial" w:cs="Arial"/>
                <w:color w:val="0D0D0D" w:themeColor="text1" w:themeTint="F2"/>
                <w:sz w:val="20"/>
                <w:szCs w:val="20"/>
              </w:rPr>
              <w:t>Klang</w:t>
            </w:r>
            <w:proofErr w:type="spellEnd"/>
            <w:r w:rsidR="000E37FC">
              <w:rPr>
                <w:rFonts w:ascii="Arial" w:hAnsi="Arial" w:cs="Arial"/>
                <w:color w:val="0D0D0D" w:themeColor="text1" w:themeTint="F2"/>
                <w:sz w:val="20"/>
                <w:szCs w:val="20"/>
              </w:rPr>
              <w:t xml:space="preserve"> (Selangor)</w:t>
            </w:r>
          </w:p>
        </w:tc>
        <w:tc>
          <w:tcPr>
            <w:tcW w:w="709" w:type="dxa"/>
          </w:tcPr>
          <w:p w14:paraId="73BDC83D"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2184</w:t>
            </w:r>
          </w:p>
        </w:tc>
        <w:tc>
          <w:tcPr>
            <w:tcW w:w="1054" w:type="dxa"/>
          </w:tcPr>
          <w:p w14:paraId="52B7D20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710253B3"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216 – 219  </w:t>
            </w:r>
          </w:p>
        </w:tc>
        <w:tc>
          <w:tcPr>
            <w:tcW w:w="1247" w:type="dxa"/>
          </w:tcPr>
          <w:p w14:paraId="0151FA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79 – 360 </w:t>
            </w:r>
          </w:p>
        </w:tc>
        <w:tc>
          <w:tcPr>
            <w:tcW w:w="1021" w:type="dxa"/>
          </w:tcPr>
          <w:p w14:paraId="41021ADE"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-0.478</w:t>
            </w:r>
          </w:p>
        </w:tc>
        <w:tc>
          <w:tcPr>
            <w:tcW w:w="992" w:type="dxa"/>
            <w:gridSpan w:val="2"/>
          </w:tcPr>
          <w:p w14:paraId="08CD919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0.645</w:t>
            </w:r>
          </w:p>
        </w:tc>
      </w:tr>
      <w:tr w:rsidR="008E3344" w:rsidRPr="008E3344" w14:paraId="19CD6BEA" w14:textId="77777777" w:rsidTr="007F7BA3">
        <w:tc>
          <w:tcPr>
            <w:tcW w:w="1844" w:type="dxa"/>
            <w:vAlign w:val="bottom"/>
          </w:tcPr>
          <w:p w14:paraId="39024898"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Kuala Lumpur</w:t>
            </w:r>
          </w:p>
        </w:tc>
        <w:tc>
          <w:tcPr>
            <w:tcW w:w="709" w:type="dxa"/>
          </w:tcPr>
          <w:p w14:paraId="27A7B25B"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916</w:t>
            </w:r>
          </w:p>
        </w:tc>
        <w:tc>
          <w:tcPr>
            <w:tcW w:w="1054" w:type="dxa"/>
          </w:tcPr>
          <w:p w14:paraId="67721D4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1FDB27C8"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207 – 212 </w:t>
            </w:r>
          </w:p>
        </w:tc>
        <w:tc>
          <w:tcPr>
            <w:tcW w:w="1247" w:type="dxa"/>
          </w:tcPr>
          <w:p w14:paraId="3591F3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105 – 302</w:t>
            </w:r>
          </w:p>
        </w:tc>
        <w:tc>
          <w:tcPr>
            <w:tcW w:w="1021" w:type="dxa"/>
          </w:tcPr>
          <w:p w14:paraId="3B359424"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-0.654</w:t>
            </w:r>
          </w:p>
        </w:tc>
        <w:tc>
          <w:tcPr>
            <w:tcW w:w="992" w:type="dxa"/>
            <w:gridSpan w:val="2"/>
          </w:tcPr>
          <w:p w14:paraId="1180EB3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0.624</w:t>
            </w:r>
          </w:p>
        </w:tc>
      </w:tr>
      <w:tr w:rsidR="008E3344" w:rsidRPr="008E3344" w14:paraId="3A798399" w14:textId="77777777" w:rsidTr="007F7BA3">
        <w:tc>
          <w:tcPr>
            <w:tcW w:w="1844" w:type="dxa"/>
            <w:vAlign w:val="bottom"/>
          </w:tcPr>
          <w:p w14:paraId="78B1A0EF"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Putrajaya</w:t>
            </w:r>
          </w:p>
        </w:tc>
        <w:tc>
          <w:tcPr>
            <w:tcW w:w="709" w:type="dxa"/>
          </w:tcPr>
          <w:p w14:paraId="5177E21D"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142</w:t>
            </w:r>
          </w:p>
        </w:tc>
        <w:tc>
          <w:tcPr>
            <w:tcW w:w="1054" w:type="dxa"/>
          </w:tcPr>
          <w:p w14:paraId="7F2A64F2"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3</w:t>
            </w:r>
          </w:p>
        </w:tc>
        <w:tc>
          <w:tcPr>
            <w:tcW w:w="1417" w:type="dxa"/>
          </w:tcPr>
          <w:p w14:paraId="186FA621"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194 – 205 </w:t>
            </w:r>
          </w:p>
        </w:tc>
        <w:tc>
          <w:tcPr>
            <w:tcW w:w="1247" w:type="dxa"/>
          </w:tcPr>
          <w:p w14:paraId="0E45108A"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 116 – 292 </w:t>
            </w:r>
          </w:p>
        </w:tc>
        <w:tc>
          <w:tcPr>
            <w:tcW w:w="1021" w:type="dxa"/>
          </w:tcPr>
          <w:p w14:paraId="0A983BBA"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-0.706</w:t>
            </w:r>
          </w:p>
        </w:tc>
        <w:tc>
          <w:tcPr>
            <w:tcW w:w="992" w:type="dxa"/>
            <w:gridSpan w:val="2"/>
          </w:tcPr>
          <w:p w14:paraId="0D380DE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0.485</w:t>
            </w:r>
          </w:p>
        </w:tc>
      </w:tr>
      <w:tr w:rsidR="008E3344" w:rsidRPr="008E3344" w14:paraId="50DAA7B9" w14:textId="77777777" w:rsidTr="007F7BA3">
        <w:tc>
          <w:tcPr>
            <w:tcW w:w="1844" w:type="dxa"/>
            <w:vAlign w:val="bottom"/>
          </w:tcPr>
          <w:p w14:paraId="62BA5F05"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Ipoh</w:t>
            </w:r>
          </w:p>
        </w:tc>
        <w:tc>
          <w:tcPr>
            <w:tcW w:w="709" w:type="dxa"/>
          </w:tcPr>
          <w:p w14:paraId="22DC25E0"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522</w:t>
            </w:r>
          </w:p>
        </w:tc>
        <w:tc>
          <w:tcPr>
            <w:tcW w:w="1054" w:type="dxa"/>
          </w:tcPr>
          <w:p w14:paraId="72A5BACB"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295</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5AFBF555"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276 – 321</w:t>
            </w:r>
          </w:p>
        </w:tc>
        <w:tc>
          <w:tcPr>
            <w:tcW w:w="1247" w:type="dxa"/>
          </w:tcPr>
          <w:p w14:paraId="0EFF93D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81 – 371</w:t>
            </w:r>
          </w:p>
        </w:tc>
        <w:tc>
          <w:tcPr>
            <w:tcW w:w="1021" w:type="dxa"/>
          </w:tcPr>
          <w:p w14:paraId="7DD6C63D"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-0.683</w:t>
            </w:r>
          </w:p>
        </w:tc>
        <w:tc>
          <w:tcPr>
            <w:tcW w:w="992" w:type="dxa"/>
            <w:gridSpan w:val="2"/>
          </w:tcPr>
          <w:p w14:paraId="3380020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0.509</w:t>
            </w:r>
          </w:p>
        </w:tc>
      </w:tr>
      <w:tr w:rsidR="008E3344" w:rsidRPr="008E3344" w14:paraId="7AE48D26" w14:textId="77777777" w:rsidTr="007F7BA3">
        <w:tc>
          <w:tcPr>
            <w:tcW w:w="1844" w:type="dxa"/>
            <w:vAlign w:val="bottom"/>
          </w:tcPr>
          <w:p w14:paraId="6F615499"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Penang</w:t>
            </w:r>
          </w:p>
        </w:tc>
        <w:tc>
          <w:tcPr>
            <w:tcW w:w="709" w:type="dxa"/>
          </w:tcPr>
          <w:p w14:paraId="03F75D1C"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1218</w:t>
            </w:r>
          </w:p>
        </w:tc>
        <w:tc>
          <w:tcPr>
            <w:tcW w:w="1054" w:type="dxa"/>
          </w:tcPr>
          <w:p w14:paraId="43BBA17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220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3</w:t>
            </w:r>
          </w:p>
        </w:tc>
        <w:tc>
          <w:tcPr>
            <w:tcW w:w="1417" w:type="dxa"/>
          </w:tcPr>
          <w:p w14:paraId="102DFEB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 – 222</w:t>
            </w:r>
          </w:p>
        </w:tc>
        <w:tc>
          <w:tcPr>
            <w:tcW w:w="1247" w:type="dxa"/>
          </w:tcPr>
          <w:p w14:paraId="4F926E74"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82 – 326</w:t>
            </w:r>
          </w:p>
        </w:tc>
        <w:tc>
          <w:tcPr>
            <w:tcW w:w="1021" w:type="dxa"/>
          </w:tcPr>
          <w:p w14:paraId="3FA43128"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-0.510</w:t>
            </w:r>
          </w:p>
        </w:tc>
        <w:tc>
          <w:tcPr>
            <w:tcW w:w="992" w:type="dxa"/>
            <w:gridSpan w:val="2"/>
          </w:tcPr>
          <w:p w14:paraId="18FE9D48"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2.305</w:t>
            </w:r>
          </w:p>
        </w:tc>
      </w:tr>
      <w:tr w:rsidR="008E3344" w:rsidRPr="008E3344" w14:paraId="29E7B2F8" w14:textId="77777777" w:rsidTr="007F7BA3">
        <w:tc>
          <w:tcPr>
            <w:tcW w:w="1844" w:type="dxa"/>
            <w:vAlign w:val="bottom"/>
          </w:tcPr>
          <w:p w14:paraId="2D07DB46" w14:textId="77777777" w:rsidR="008E3344" w:rsidRPr="008E3344" w:rsidRDefault="008E3344" w:rsidP="00C63FF4">
            <w:pPr>
              <w:ind w:right="-330"/>
              <w:rPr>
                <w:rFonts w:ascii="Arial" w:hAnsi="Arial" w:cs="Arial"/>
                <w:color w:val="0D0D0D" w:themeColor="text1" w:themeTint="F2"/>
                <w:sz w:val="20"/>
                <w:szCs w:val="20"/>
              </w:rPr>
            </w:pPr>
            <w:proofErr w:type="spellStart"/>
            <w:r w:rsidRPr="008E3344">
              <w:rPr>
                <w:rFonts w:ascii="Arial" w:hAnsi="Arial" w:cs="Arial"/>
                <w:color w:val="0D0D0D" w:themeColor="text1" w:themeTint="F2"/>
                <w:sz w:val="20"/>
                <w:szCs w:val="20"/>
              </w:rPr>
              <w:t>Alor</w:t>
            </w:r>
            <w:proofErr w:type="spellEnd"/>
            <w:r w:rsidRPr="008E3344">
              <w:rPr>
                <w:rFonts w:ascii="Arial" w:hAnsi="Arial" w:cs="Arial"/>
                <w:color w:val="0D0D0D" w:themeColor="text1" w:themeTint="F2"/>
                <w:sz w:val="20"/>
                <w:szCs w:val="20"/>
              </w:rPr>
              <w:t xml:space="preserve"> </w:t>
            </w:r>
            <w:proofErr w:type="spellStart"/>
            <w:r w:rsidRPr="008E3344">
              <w:rPr>
                <w:rFonts w:ascii="Arial" w:hAnsi="Arial" w:cs="Arial"/>
                <w:color w:val="0D0D0D" w:themeColor="text1" w:themeTint="F2"/>
                <w:sz w:val="20"/>
                <w:szCs w:val="20"/>
              </w:rPr>
              <w:t>Setar</w:t>
            </w:r>
            <w:proofErr w:type="spellEnd"/>
          </w:p>
        </w:tc>
        <w:tc>
          <w:tcPr>
            <w:tcW w:w="709" w:type="dxa"/>
          </w:tcPr>
          <w:p w14:paraId="2173D8A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716</w:t>
            </w:r>
          </w:p>
        </w:tc>
        <w:tc>
          <w:tcPr>
            <w:tcW w:w="1054" w:type="dxa"/>
          </w:tcPr>
          <w:p w14:paraId="744A8E4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161</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6B4101F2"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 187 – 191</w:t>
            </w:r>
          </w:p>
        </w:tc>
        <w:tc>
          <w:tcPr>
            <w:tcW w:w="1247" w:type="dxa"/>
          </w:tcPr>
          <w:p w14:paraId="37F49E1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65 – 263</w:t>
            </w:r>
          </w:p>
        </w:tc>
        <w:tc>
          <w:tcPr>
            <w:tcW w:w="1021" w:type="dxa"/>
          </w:tcPr>
          <w:p w14:paraId="3E62D2D2"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-0.856</w:t>
            </w:r>
          </w:p>
        </w:tc>
        <w:tc>
          <w:tcPr>
            <w:tcW w:w="992" w:type="dxa"/>
            <w:gridSpan w:val="2"/>
          </w:tcPr>
          <w:p w14:paraId="703E87A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1.606</w:t>
            </w:r>
          </w:p>
        </w:tc>
      </w:tr>
      <w:tr w:rsidR="008E3344" w:rsidRPr="008E3344" w14:paraId="64D26867" w14:textId="77777777" w:rsidTr="007F7BA3">
        <w:tc>
          <w:tcPr>
            <w:tcW w:w="1844" w:type="dxa"/>
            <w:vAlign w:val="bottom"/>
          </w:tcPr>
          <w:p w14:paraId="38C993B5" w14:textId="77777777" w:rsidR="008E3344" w:rsidRPr="008E3344" w:rsidRDefault="008E3344" w:rsidP="00C63FF4">
            <w:pPr>
              <w:ind w:right="-330"/>
              <w:rPr>
                <w:rFonts w:ascii="Arial" w:hAnsi="Arial" w:cs="Arial"/>
                <w:color w:val="0D0D0D" w:themeColor="text1" w:themeTint="F2"/>
                <w:sz w:val="20"/>
                <w:szCs w:val="20"/>
              </w:rPr>
            </w:pPr>
            <w:proofErr w:type="spellStart"/>
            <w:r w:rsidRPr="008E3344">
              <w:rPr>
                <w:rFonts w:ascii="Arial" w:hAnsi="Arial" w:cs="Arial"/>
                <w:color w:val="0D0D0D" w:themeColor="text1" w:themeTint="F2"/>
                <w:sz w:val="20"/>
                <w:szCs w:val="20"/>
              </w:rPr>
              <w:t>Kangar</w:t>
            </w:r>
            <w:proofErr w:type="spellEnd"/>
          </w:p>
        </w:tc>
        <w:tc>
          <w:tcPr>
            <w:tcW w:w="709" w:type="dxa"/>
          </w:tcPr>
          <w:p w14:paraId="283468C3"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268</w:t>
            </w:r>
          </w:p>
        </w:tc>
        <w:tc>
          <w:tcPr>
            <w:tcW w:w="1054" w:type="dxa"/>
          </w:tcPr>
          <w:p w14:paraId="7DA3CACA"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93</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6</w:t>
            </w:r>
          </w:p>
        </w:tc>
        <w:tc>
          <w:tcPr>
            <w:tcW w:w="1417" w:type="dxa"/>
          </w:tcPr>
          <w:p w14:paraId="0FA7B24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147 – 162</w:t>
            </w:r>
          </w:p>
        </w:tc>
        <w:tc>
          <w:tcPr>
            <w:tcW w:w="1247" w:type="dxa"/>
          </w:tcPr>
          <w:p w14:paraId="2F7004D2"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46 – 270</w:t>
            </w:r>
          </w:p>
        </w:tc>
        <w:tc>
          <w:tcPr>
            <w:tcW w:w="1021" w:type="dxa"/>
          </w:tcPr>
          <w:p w14:paraId="7775C5C0"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-0.072</w:t>
            </w:r>
          </w:p>
        </w:tc>
        <w:tc>
          <w:tcPr>
            <w:tcW w:w="992" w:type="dxa"/>
            <w:gridSpan w:val="2"/>
          </w:tcPr>
          <w:p w14:paraId="7C30524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-1.173</w:t>
            </w:r>
          </w:p>
        </w:tc>
      </w:tr>
      <w:tr w:rsidR="008E3344" w:rsidRPr="008E3344" w14:paraId="0106B711" w14:textId="77777777" w:rsidTr="007F7BA3">
        <w:tc>
          <w:tcPr>
            <w:tcW w:w="1844" w:type="dxa"/>
            <w:vAlign w:val="bottom"/>
          </w:tcPr>
          <w:p w14:paraId="76FC312C"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Kota Bharu</w:t>
            </w:r>
          </w:p>
        </w:tc>
        <w:tc>
          <w:tcPr>
            <w:tcW w:w="709" w:type="dxa"/>
          </w:tcPr>
          <w:p w14:paraId="43F76B8E"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498</w:t>
            </w:r>
          </w:p>
        </w:tc>
        <w:tc>
          <w:tcPr>
            <w:tcW w:w="1054" w:type="dxa"/>
          </w:tcPr>
          <w:p w14:paraId="05E6091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181</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64F89844"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179 – 184</w:t>
            </w:r>
          </w:p>
        </w:tc>
        <w:tc>
          <w:tcPr>
            <w:tcW w:w="1247" w:type="dxa"/>
          </w:tcPr>
          <w:p w14:paraId="2FF656C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89 – 279</w:t>
            </w:r>
          </w:p>
        </w:tc>
        <w:tc>
          <w:tcPr>
            <w:tcW w:w="1021" w:type="dxa"/>
          </w:tcPr>
          <w:p w14:paraId="186BBD41"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-0.146</w:t>
            </w:r>
          </w:p>
        </w:tc>
        <w:tc>
          <w:tcPr>
            <w:tcW w:w="992" w:type="dxa"/>
            <w:gridSpan w:val="2"/>
          </w:tcPr>
          <w:p w14:paraId="7848197D"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0.399</w:t>
            </w:r>
          </w:p>
        </w:tc>
      </w:tr>
      <w:tr w:rsidR="008E3344" w:rsidRPr="008E3344" w14:paraId="1A356F48" w14:textId="77777777" w:rsidTr="007F7BA3">
        <w:tc>
          <w:tcPr>
            <w:tcW w:w="1844" w:type="dxa"/>
            <w:vAlign w:val="bottom"/>
          </w:tcPr>
          <w:p w14:paraId="79A9B4F4"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Kuala Terengganu</w:t>
            </w:r>
          </w:p>
        </w:tc>
        <w:tc>
          <w:tcPr>
            <w:tcW w:w="709" w:type="dxa"/>
          </w:tcPr>
          <w:p w14:paraId="7E8FF42B"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744</w:t>
            </w:r>
          </w:p>
        </w:tc>
        <w:tc>
          <w:tcPr>
            <w:tcW w:w="1054" w:type="dxa"/>
          </w:tcPr>
          <w:p w14:paraId="739700D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146</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0308359D"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143 – 147</w:t>
            </w:r>
          </w:p>
        </w:tc>
        <w:tc>
          <w:tcPr>
            <w:tcW w:w="1247" w:type="dxa"/>
          </w:tcPr>
          <w:p w14:paraId="6CFD8519"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42 – 217</w:t>
            </w:r>
          </w:p>
        </w:tc>
        <w:tc>
          <w:tcPr>
            <w:tcW w:w="1021" w:type="dxa"/>
          </w:tcPr>
          <w:p w14:paraId="54E811B6"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-0.149</w:t>
            </w:r>
          </w:p>
        </w:tc>
        <w:tc>
          <w:tcPr>
            <w:tcW w:w="992" w:type="dxa"/>
            <w:gridSpan w:val="2"/>
          </w:tcPr>
          <w:p w14:paraId="65FC46C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0.187</w:t>
            </w:r>
          </w:p>
        </w:tc>
      </w:tr>
      <w:tr w:rsidR="008E3344" w:rsidRPr="008E3344" w14:paraId="5EE0E152" w14:textId="77777777" w:rsidTr="007F7BA3">
        <w:tc>
          <w:tcPr>
            <w:tcW w:w="1844" w:type="dxa"/>
            <w:vAlign w:val="bottom"/>
          </w:tcPr>
          <w:p w14:paraId="0EFAEF35"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Kuantan</w:t>
            </w:r>
          </w:p>
        </w:tc>
        <w:tc>
          <w:tcPr>
            <w:tcW w:w="709" w:type="dxa"/>
          </w:tcPr>
          <w:p w14:paraId="4BB773C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821</w:t>
            </w:r>
          </w:p>
        </w:tc>
        <w:tc>
          <w:tcPr>
            <w:tcW w:w="1054" w:type="dxa"/>
          </w:tcPr>
          <w:p w14:paraId="57E0B9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178</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6337B17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176 – 180</w:t>
            </w:r>
          </w:p>
        </w:tc>
        <w:tc>
          <w:tcPr>
            <w:tcW w:w="1247" w:type="dxa"/>
          </w:tcPr>
          <w:p w14:paraId="6AA10F81"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55 – 259</w:t>
            </w:r>
          </w:p>
        </w:tc>
        <w:tc>
          <w:tcPr>
            <w:tcW w:w="1021" w:type="dxa"/>
          </w:tcPr>
          <w:p w14:paraId="3FDCB4CF"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-1.145</w:t>
            </w:r>
          </w:p>
        </w:tc>
        <w:tc>
          <w:tcPr>
            <w:tcW w:w="992" w:type="dxa"/>
            <w:gridSpan w:val="2"/>
          </w:tcPr>
          <w:p w14:paraId="1111471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2.186</w:t>
            </w:r>
          </w:p>
        </w:tc>
      </w:tr>
      <w:tr w:rsidR="008E3344" w:rsidRPr="008E3344" w14:paraId="4771A80B" w14:textId="77777777" w:rsidTr="007F7BA3">
        <w:tc>
          <w:tcPr>
            <w:tcW w:w="1844" w:type="dxa"/>
            <w:vAlign w:val="bottom"/>
          </w:tcPr>
          <w:p w14:paraId="7430E7D1" w14:textId="77777777" w:rsidR="008E3344" w:rsidRPr="008E3344" w:rsidRDefault="008E3344" w:rsidP="00C63FF4">
            <w:pPr>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Total</w:t>
            </w:r>
          </w:p>
        </w:tc>
        <w:tc>
          <w:tcPr>
            <w:tcW w:w="709" w:type="dxa"/>
          </w:tcPr>
          <w:p w14:paraId="133A45BF"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9754</w:t>
            </w:r>
          </w:p>
        </w:tc>
        <w:tc>
          <w:tcPr>
            <w:tcW w:w="1054" w:type="dxa"/>
          </w:tcPr>
          <w:p w14:paraId="3D927DF0"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202</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37F639F4"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201 – 204</w:t>
            </w:r>
          </w:p>
        </w:tc>
        <w:tc>
          <w:tcPr>
            <w:tcW w:w="1247" w:type="dxa"/>
          </w:tcPr>
          <w:p w14:paraId="7C1A105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47 – 371</w:t>
            </w:r>
          </w:p>
        </w:tc>
        <w:tc>
          <w:tcPr>
            <w:tcW w:w="1021" w:type="dxa"/>
          </w:tcPr>
          <w:p w14:paraId="0EF1DD7C"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-0.213</w:t>
            </w:r>
          </w:p>
        </w:tc>
        <w:tc>
          <w:tcPr>
            <w:tcW w:w="992" w:type="dxa"/>
            <w:gridSpan w:val="2"/>
          </w:tcPr>
          <w:p w14:paraId="6FCA8588"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0.044</w:t>
            </w:r>
          </w:p>
        </w:tc>
      </w:tr>
    </w:tbl>
    <w:p w14:paraId="6E488EBA" w14:textId="77777777" w:rsidR="008E3344" w:rsidRPr="002B06A9" w:rsidRDefault="008E3344" w:rsidP="008E3344">
      <w:pPr>
        <w:autoSpaceDE w:val="0"/>
        <w:autoSpaceDN w:val="0"/>
        <w:adjustRightInd w:val="0"/>
        <w:rPr>
          <w:sz w:val="20"/>
          <w:szCs w:val="20"/>
        </w:rPr>
      </w:pPr>
    </w:p>
    <w:p w14:paraId="70986283" w14:textId="77777777" w:rsidR="008E3344" w:rsidRPr="002B06A9" w:rsidRDefault="008E3344" w:rsidP="008E3344">
      <w:pPr>
        <w:autoSpaceDE w:val="0"/>
        <w:autoSpaceDN w:val="0"/>
        <w:adjustRightInd w:val="0"/>
        <w:rPr>
          <w:sz w:val="20"/>
          <w:szCs w:val="20"/>
          <w:lang w:val="en-MY"/>
        </w:rPr>
      </w:pPr>
    </w:p>
    <w:p w14:paraId="43988F97" w14:textId="79375819" w:rsidR="008E3344" w:rsidRPr="008E3344" w:rsidRDefault="008E3344" w:rsidP="008E3344">
      <w:pPr>
        <w:pStyle w:val="Body"/>
        <w:rPr>
          <w:rFonts w:ascii="Arial" w:hAnsi="Arial" w:cs="Arial"/>
        </w:rPr>
      </w:pPr>
      <w:r w:rsidRPr="008E3344">
        <w:rPr>
          <w:rFonts w:ascii="Arial" w:hAnsi="Arial" w:cs="Arial"/>
        </w:rPr>
        <w:t>Most cities exhibited slight negative skewness, indicating that the upper tail of the distribution contains fewer extreme high-radiation values relative to the bulk of measurements. Melaka showed strong negative skewness (–1.75) and a high kurtosis value (2.91), implying a distribution dominated by higher mid-range values with occasional extreme low points. Cities such as Penang and Kuantan also showed elevated kurtosis (2.31 and 2.19), indicating sharper peaks and heavier tails relative to a normal distribution.</w:t>
      </w:r>
    </w:p>
    <w:p w14:paraId="1BCA276D" w14:textId="71493590" w:rsidR="008E3344" w:rsidRPr="008E3344" w:rsidRDefault="008E3344" w:rsidP="008E3344">
      <w:pPr>
        <w:pStyle w:val="Body"/>
        <w:rPr>
          <w:rFonts w:ascii="Arial" w:hAnsi="Arial" w:cs="Arial"/>
        </w:rPr>
      </w:pPr>
      <w:proofErr w:type="spellStart"/>
      <w:r w:rsidRPr="008E3344">
        <w:rPr>
          <w:rFonts w:ascii="Arial" w:hAnsi="Arial" w:cs="Arial"/>
        </w:rPr>
        <w:t>Lembah</w:t>
      </w:r>
      <w:proofErr w:type="spellEnd"/>
      <w:r w:rsidRPr="008E3344">
        <w:rPr>
          <w:rFonts w:ascii="Arial" w:hAnsi="Arial" w:cs="Arial"/>
        </w:rPr>
        <w:t xml:space="preserve"> </w:t>
      </w:r>
      <w:proofErr w:type="spellStart"/>
      <w:r w:rsidRPr="008E3344">
        <w:rPr>
          <w:rFonts w:ascii="Arial" w:hAnsi="Arial" w:cs="Arial"/>
        </w:rPr>
        <w:t>Klang</w:t>
      </w:r>
      <w:proofErr w:type="spellEnd"/>
      <w:r w:rsidR="00E970D3">
        <w:rPr>
          <w:rFonts w:ascii="Arial" w:hAnsi="Arial" w:cs="Arial"/>
        </w:rPr>
        <w:t xml:space="preserve"> or Selangor cities</w:t>
      </w:r>
      <w:r w:rsidRPr="008E3344">
        <w:rPr>
          <w:rFonts w:ascii="Arial" w:hAnsi="Arial" w:cs="Arial"/>
        </w:rPr>
        <w:t>, with the largest dataset (</w:t>
      </w:r>
      <w:r w:rsidRPr="008E3344">
        <w:rPr>
          <w:rFonts w:ascii="Arial" w:hAnsi="Arial" w:cs="Arial"/>
          <w:i/>
          <w:iCs/>
        </w:rPr>
        <w:t>n</w:t>
      </w:r>
      <w:r w:rsidRPr="008E3344">
        <w:rPr>
          <w:rFonts w:ascii="Arial" w:hAnsi="Arial" w:cs="Arial"/>
        </w:rPr>
        <w:t xml:space="preserve"> = 2184), displayed a mean TGR of 218 ± 2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a wide range of 79–360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Kuala Lumpur and Putrajaya showed similar mean levels (210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200 ± 3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¹, respectively), consistent with their shared</w:t>
      </w:r>
      <w:r w:rsidR="00D623B5">
        <w:rPr>
          <w:rFonts w:ascii="Arial" w:hAnsi="Arial" w:cs="Arial"/>
        </w:rPr>
        <w:t xml:space="preserve"> backbone</w:t>
      </w:r>
      <w:r w:rsidRPr="008E3344">
        <w:rPr>
          <w:rFonts w:ascii="Arial" w:hAnsi="Arial" w:cs="Arial"/>
        </w:rPr>
        <w:t xml:space="preserve">-dominated geological provinces. The histogram </w:t>
      </w:r>
      <w:r w:rsidR="00D623B5">
        <w:rPr>
          <w:rFonts w:ascii="Arial" w:hAnsi="Arial" w:cs="Arial"/>
        </w:rPr>
        <w:t>(</w:t>
      </w:r>
      <w:r w:rsidR="00D623B5" w:rsidRPr="008C7131">
        <w:rPr>
          <w:rFonts w:ascii="Arial" w:hAnsi="Arial" w:cs="Arial"/>
          <w:highlight w:val="yellow"/>
        </w:rPr>
        <w:t xml:space="preserve">Fig. </w:t>
      </w:r>
      <w:r w:rsidR="008C7131" w:rsidRPr="008C7131">
        <w:rPr>
          <w:rFonts w:ascii="Arial" w:hAnsi="Arial" w:cs="Arial"/>
          <w:highlight w:val="yellow"/>
        </w:rPr>
        <w:t>3</w:t>
      </w:r>
      <w:r w:rsidR="00D623B5">
        <w:rPr>
          <w:rFonts w:ascii="Arial" w:hAnsi="Arial" w:cs="Arial"/>
        </w:rPr>
        <w:t xml:space="preserve">) </w:t>
      </w:r>
      <w:r w:rsidRPr="008E3344">
        <w:rPr>
          <w:rFonts w:ascii="Arial" w:hAnsi="Arial" w:cs="Arial"/>
        </w:rPr>
        <w:t>also reveals substantial overlap between cities, demonstrating that although distinct mean differences exist, inter-city TGR distributions are not mutually exclusive due to complex urban modifications and mixed lithological inputs.</w:t>
      </w:r>
    </w:p>
    <w:p w14:paraId="585B2801" w14:textId="54E523AF" w:rsidR="00357285" w:rsidRPr="0026093F" w:rsidRDefault="0026093F" w:rsidP="008E3344">
      <w:pPr>
        <w:pStyle w:val="Body"/>
        <w:spacing w:after="0"/>
        <w:rPr>
          <w:rFonts w:ascii="Arial" w:hAnsi="Arial" w:cs="Arial"/>
          <w:highlight w:val="yellow"/>
        </w:rPr>
      </w:pPr>
      <w:r w:rsidRPr="0026093F">
        <w:rPr>
          <w:rFonts w:ascii="Arial" w:hAnsi="Arial" w:cs="Arial"/>
          <w:highlight w:val="yellow"/>
        </w:rPr>
        <w:t xml:space="preserve">In </w:t>
      </w:r>
      <w:r w:rsidR="00357285" w:rsidRPr="0026093F">
        <w:rPr>
          <w:rFonts w:ascii="Arial" w:hAnsi="Arial" w:cs="Arial"/>
          <w:highlight w:val="yellow"/>
        </w:rPr>
        <w:t xml:space="preserve">Table </w:t>
      </w:r>
      <w:r w:rsidRPr="0026093F">
        <w:rPr>
          <w:rFonts w:ascii="Arial" w:hAnsi="Arial" w:cs="Arial"/>
          <w:highlight w:val="yellow"/>
        </w:rPr>
        <w:t>2, t</w:t>
      </w:r>
      <w:r w:rsidR="00357285" w:rsidRPr="0026093F">
        <w:rPr>
          <w:rFonts w:ascii="Arial" w:hAnsi="Arial" w:cs="Arial"/>
          <w:highlight w:val="yellow"/>
        </w:rPr>
        <w:t>he TGR</w:t>
      </w:r>
      <w:r w:rsidRPr="0026093F">
        <w:rPr>
          <w:rFonts w:ascii="Arial" w:hAnsi="Arial" w:cs="Arial"/>
          <w:highlight w:val="yellow"/>
        </w:rPr>
        <w:t xml:space="preserve"> dose rate</w:t>
      </w:r>
      <w:r w:rsidR="00357285" w:rsidRPr="0026093F">
        <w:rPr>
          <w:rFonts w:ascii="Arial" w:hAnsi="Arial" w:cs="Arial"/>
          <w:highlight w:val="yellow"/>
        </w:rPr>
        <w:t xml:space="preserve"> levels across major urban areas of Peninsular Malaysia show a clear lithological control, with granite-dominated terrains </w:t>
      </w:r>
      <w:r w:rsidR="00357285" w:rsidRPr="0026093F">
        <w:rPr>
          <w:rFonts w:ascii="Arial" w:hAnsi="Arial" w:cs="Arial"/>
          <w:highlight w:val="yellow"/>
        </w:rPr>
        <w:lastRenderedPageBreak/>
        <w:t xml:space="preserve">consistently exhibiting the highest mean dose rates, followed by areas underlain by </w:t>
      </w:r>
      <w:proofErr w:type="spellStart"/>
      <w:r w:rsidR="00357285" w:rsidRPr="0026093F">
        <w:rPr>
          <w:rFonts w:ascii="Arial" w:hAnsi="Arial" w:cs="Arial"/>
          <w:highlight w:val="yellow"/>
        </w:rPr>
        <w:t>Paleozoic</w:t>
      </w:r>
      <w:proofErr w:type="spellEnd"/>
      <w:r w:rsidR="00357285" w:rsidRPr="0026093F">
        <w:rPr>
          <w:rFonts w:ascii="Arial" w:hAnsi="Arial" w:cs="Arial"/>
          <w:highlight w:val="yellow"/>
        </w:rPr>
        <w:t xml:space="preserve"> metasedimentary units (Silurian–Triassic/Devonian) and Carboniferous formations, while the lowest values are associated with Quaternary deposits. Granite provinces such as Ipoh (302 ± 3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Seremban (284 ± 6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Kuala Lumpur (281 ± 3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and Johor Bahru (238 ± 8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record markedly elevated TGR, reflecting the high U–Th–K content typical of granitic bodies. Intermediate TGR levels are observed over the Silurian–Triassic metasedimentary belts, notably in Ipoh (275 ± 2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Melaka (244 ± 2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and Kuala Lumpur (268 ± 3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whereas Carboniferous units in Kuala Lumpur and the </w:t>
      </w:r>
      <w:proofErr w:type="spellStart"/>
      <w:r w:rsidR="00357285" w:rsidRPr="0026093F">
        <w:rPr>
          <w:rFonts w:ascii="Arial" w:hAnsi="Arial" w:cs="Arial"/>
          <w:highlight w:val="yellow"/>
        </w:rPr>
        <w:t>Klang</w:t>
      </w:r>
      <w:proofErr w:type="spellEnd"/>
      <w:r w:rsidR="00357285" w:rsidRPr="0026093F">
        <w:rPr>
          <w:rFonts w:ascii="Arial" w:hAnsi="Arial" w:cs="Arial"/>
          <w:highlight w:val="yellow"/>
        </w:rPr>
        <w:t xml:space="preserve"> Valley yield moderately lower means (210–204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In contrast, Quaternary alluvial and coastal plains consistently show the lowest TGR, particularly in </w:t>
      </w:r>
      <w:proofErr w:type="spellStart"/>
      <w:r w:rsidR="00357285" w:rsidRPr="0026093F">
        <w:rPr>
          <w:rFonts w:ascii="Arial" w:hAnsi="Arial" w:cs="Arial"/>
          <w:highlight w:val="yellow"/>
        </w:rPr>
        <w:t>Kangar</w:t>
      </w:r>
      <w:proofErr w:type="spellEnd"/>
      <w:r w:rsidR="00357285" w:rsidRPr="0026093F">
        <w:rPr>
          <w:rFonts w:ascii="Arial" w:hAnsi="Arial" w:cs="Arial"/>
          <w:highlight w:val="yellow"/>
        </w:rPr>
        <w:t xml:space="preserve"> (93 ± 6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w:t>
      </w:r>
      <w:proofErr w:type="spellStart"/>
      <w:r w:rsidR="00357285" w:rsidRPr="0026093F">
        <w:rPr>
          <w:rFonts w:ascii="Arial" w:hAnsi="Arial" w:cs="Arial"/>
          <w:highlight w:val="yellow"/>
        </w:rPr>
        <w:t>Alor</w:t>
      </w:r>
      <w:proofErr w:type="spellEnd"/>
      <w:r w:rsidR="00357285" w:rsidRPr="0026093F">
        <w:rPr>
          <w:rFonts w:ascii="Arial" w:hAnsi="Arial" w:cs="Arial"/>
          <w:highlight w:val="yellow"/>
        </w:rPr>
        <w:t xml:space="preserve"> </w:t>
      </w:r>
      <w:proofErr w:type="spellStart"/>
      <w:r w:rsidR="00357285" w:rsidRPr="0026093F">
        <w:rPr>
          <w:rFonts w:ascii="Arial" w:hAnsi="Arial" w:cs="Arial"/>
          <w:highlight w:val="yellow"/>
        </w:rPr>
        <w:t>Setar</w:t>
      </w:r>
      <w:proofErr w:type="spellEnd"/>
      <w:r w:rsidR="00357285" w:rsidRPr="0026093F">
        <w:rPr>
          <w:rFonts w:ascii="Arial" w:hAnsi="Arial" w:cs="Arial"/>
          <w:highlight w:val="yellow"/>
        </w:rPr>
        <w:t xml:space="preserve"> (143 ± 2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Penang (162 ± 2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 xml:space="preserve">¹), and Putrajaya (116 ± 9 </w:t>
      </w:r>
      <w:proofErr w:type="spellStart"/>
      <w:r w:rsidR="00357285" w:rsidRPr="0026093F">
        <w:rPr>
          <w:rFonts w:ascii="Arial" w:hAnsi="Arial" w:cs="Arial"/>
          <w:highlight w:val="yellow"/>
        </w:rPr>
        <w:t>nGy</w:t>
      </w:r>
      <w:proofErr w:type="spellEnd"/>
      <w:r w:rsidR="00357285" w:rsidRPr="0026093F">
        <w:rPr>
          <w:rFonts w:ascii="Arial" w:hAnsi="Arial" w:cs="Arial"/>
          <w:highlight w:val="yellow"/>
        </w:rPr>
        <w:t xml:space="preserve"> h</w:t>
      </w:r>
      <w:r w:rsidR="00357285" w:rsidRPr="0026093F">
        <w:rPr>
          <w:rFonts w:ascii="Cambria Math" w:hAnsi="Cambria Math" w:cs="Cambria Math"/>
          <w:highlight w:val="yellow"/>
        </w:rPr>
        <w:t>⁻</w:t>
      </w:r>
      <w:r w:rsidR="00357285" w:rsidRPr="0026093F">
        <w:rPr>
          <w:rFonts w:ascii="Arial" w:hAnsi="Arial" w:cs="Arial"/>
          <w:highlight w:val="yellow"/>
        </w:rPr>
        <w:t>¹). These trends demonstrate a strong positive correlation between lithology and ambient gamma radiation, with high-radiation zones aligning with granitic and older hard-rock terrains, while low-radiation zones correspond to young, low-radioelement Quaternary deposits.</w:t>
      </w:r>
    </w:p>
    <w:p w14:paraId="645F05AE" w14:textId="77777777" w:rsidR="00357285" w:rsidRPr="0026093F" w:rsidRDefault="00357285" w:rsidP="008E3344">
      <w:pPr>
        <w:pStyle w:val="Body"/>
        <w:spacing w:after="0"/>
        <w:rPr>
          <w:rFonts w:ascii="Arial" w:hAnsi="Arial" w:cs="Arial"/>
          <w:highlight w:val="yellow"/>
        </w:rPr>
      </w:pPr>
    </w:p>
    <w:p w14:paraId="7596DC05" w14:textId="77777777" w:rsidR="0026093F" w:rsidRDefault="0026093F" w:rsidP="0026093F">
      <w:pPr>
        <w:pStyle w:val="Body"/>
        <w:spacing w:after="0"/>
        <w:rPr>
          <w:rFonts w:ascii="Arial" w:hAnsi="Arial" w:cs="Arial"/>
        </w:rPr>
      </w:pPr>
      <w:r w:rsidRPr="0026093F">
        <w:rPr>
          <w:rFonts w:ascii="Arial" w:hAnsi="Arial" w:cs="Arial"/>
          <w:highlight w:val="yellow"/>
        </w:rPr>
        <w:t>Overall, the results show that urban TGR across Peninsular Malaysia varies significantly between cities, with patterns reflecting combined geological influence, anthropogenic modification, and land-use characteristics. The clear separation of mean values across cities supports the hypothesis that underlying geology continues to shape urban gamma radiation fields despite the presence of modified surfaces.</w:t>
      </w:r>
    </w:p>
    <w:p w14:paraId="74F6AD7B" w14:textId="77777777" w:rsidR="00357285" w:rsidRDefault="00357285" w:rsidP="008E3344">
      <w:pPr>
        <w:pStyle w:val="Body"/>
        <w:spacing w:after="0"/>
        <w:rPr>
          <w:rFonts w:ascii="Arial" w:hAnsi="Arial" w:cs="Arial"/>
        </w:rPr>
      </w:pPr>
    </w:p>
    <w:p w14:paraId="22D6A95C" w14:textId="77777777" w:rsidR="00357285" w:rsidRDefault="00357285" w:rsidP="008E3344">
      <w:pPr>
        <w:pStyle w:val="Body"/>
        <w:spacing w:after="0"/>
        <w:rPr>
          <w:rFonts w:ascii="Arial" w:hAnsi="Arial" w:cs="Arial"/>
        </w:rPr>
      </w:pPr>
    </w:p>
    <w:p w14:paraId="66C183E5" w14:textId="17BA1CCE" w:rsidR="009177D7" w:rsidRPr="005F43F7" w:rsidRDefault="009177D7" w:rsidP="009177D7">
      <w:pPr>
        <w:ind w:right="-334"/>
        <w:jc w:val="center"/>
        <w:rPr>
          <w:rFonts w:ascii="Arial" w:hAnsi="Arial" w:cs="Arial"/>
          <w:b/>
          <w:bCs/>
          <w:sz w:val="22"/>
          <w:szCs w:val="22"/>
          <w:highlight w:val="yellow"/>
        </w:rPr>
      </w:pPr>
      <w:r w:rsidRPr="005F43F7">
        <w:rPr>
          <w:rFonts w:ascii="Arial" w:hAnsi="Arial" w:cs="Arial"/>
          <w:b/>
          <w:bCs/>
          <w:sz w:val="22"/>
          <w:szCs w:val="22"/>
          <w:highlight w:val="yellow"/>
        </w:rPr>
        <w:t xml:space="preserve">Table </w:t>
      </w:r>
      <w:r w:rsidR="00D366C3" w:rsidRPr="005F43F7">
        <w:rPr>
          <w:rFonts w:ascii="Arial" w:hAnsi="Arial" w:cs="Arial"/>
          <w:b/>
          <w:bCs/>
          <w:sz w:val="22"/>
          <w:szCs w:val="22"/>
          <w:highlight w:val="yellow"/>
        </w:rPr>
        <w:t>2</w:t>
      </w:r>
      <w:r w:rsidRPr="005F43F7">
        <w:rPr>
          <w:rFonts w:ascii="Arial" w:hAnsi="Arial" w:cs="Arial"/>
          <w:b/>
          <w:bCs/>
          <w:sz w:val="22"/>
          <w:szCs w:val="22"/>
          <w:highlight w:val="yellow"/>
        </w:rPr>
        <w:t xml:space="preserve">. </w:t>
      </w:r>
      <w:r w:rsidR="00D366C3" w:rsidRPr="005F43F7">
        <w:rPr>
          <w:rFonts w:ascii="Arial" w:hAnsi="Arial" w:cs="Arial"/>
          <w:b/>
          <w:bCs/>
          <w:sz w:val="22"/>
          <w:szCs w:val="22"/>
          <w:highlight w:val="yellow"/>
        </w:rPr>
        <w:t>Correlation between</w:t>
      </w:r>
      <w:r w:rsidRPr="005F43F7">
        <w:rPr>
          <w:rFonts w:ascii="Arial" w:hAnsi="Arial" w:cs="Arial"/>
          <w:b/>
          <w:bCs/>
          <w:sz w:val="22"/>
          <w:szCs w:val="22"/>
          <w:highlight w:val="yellow"/>
        </w:rPr>
        <w:t xml:space="preserve"> TGR data in major urban areas of Peninsular Malaysia </w:t>
      </w:r>
      <w:r w:rsidR="00D366C3" w:rsidRPr="005F43F7">
        <w:rPr>
          <w:rFonts w:ascii="Arial" w:hAnsi="Arial" w:cs="Arial"/>
          <w:b/>
          <w:bCs/>
          <w:sz w:val="22"/>
          <w:szCs w:val="22"/>
          <w:highlight w:val="yellow"/>
        </w:rPr>
        <w:t xml:space="preserve">and their </w:t>
      </w:r>
      <w:r w:rsidRPr="005F43F7">
        <w:rPr>
          <w:rFonts w:ascii="Arial" w:hAnsi="Arial" w:cs="Arial"/>
          <w:b/>
          <w:bCs/>
          <w:sz w:val="22"/>
          <w:szCs w:val="22"/>
          <w:highlight w:val="yellow"/>
        </w:rPr>
        <w:t>geological background</w:t>
      </w:r>
    </w:p>
    <w:p w14:paraId="28EDCA6D" w14:textId="77777777" w:rsidR="009177D7" w:rsidRPr="005F43F7" w:rsidRDefault="009177D7" w:rsidP="009177D7">
      <w:pPr>
        <w:autoSpaceDE w:val="0"/>
        <w:autoSpaceDN w:val="0"/>
        <w:adjustRightInd w:val="0"/>
        <w:rPr>
          <w:sz w:val="20"/>
          <w:szCs w:val="20"/>
          <w:highlight w:val="yellow"/>
        </w:rPr>
      </w:pPr>
    </w:p>
    <w:tbl>
      <w:tblPr>
        <w:tblStyle w:val="TableGrid"/>
        <w:tblW w:w="9440"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2"/>
        <w:gridCol w:w="709"/>
        <w:gridCol w:w="930"/>
        <w:gridCol w:w="425"/>
        <w:gridCol w:w="552"/>
        <w:gridCol w:w="851"/>
        <w:gridCol w:w="298"/>
        <w:gridCol w:w="757"/>
        <w:gridCol w:w="944"/>
        <w:gridCol w:w="425"/>
        <w:gridCol w:w="771"/>
        <w:gridCol w:w="930"/>
        <w:gridCol w:w="226"/>
      </w:tblGrid>
      <w:tr w:rsidR="0066262C" w:rsidRPr="005F43F7" w14:paraId="245FBCF5" w14:textId="62971ED9" w:rsidTr="0066262C">
        <w:trPr>
          <w:trHeight w:val="256"/>
        </w:trPr>
        <w:tc>
          <w:tcPr>
            <w:tcW w:w="1622" w:type="dxa"/>
            <w:tcBorders>
              <w:top w:val="single" w:sz="4" w:space="0" w:color="auto"/>
              <w:bottom w:val="nil"/>
            </w:tcBorders>
          </w:tcPr>
          <w:p w14:paraId="7E99CA4A" w14:textId="77777777" w:rsidR="00C924DE" w:rsidRPr="005F43F7" w:rsidRDefault="00C924DE" w:rsidP="003E248B">
            <w:pPr>
              <w:ind w:right="-330"/>
              <w:rPr>
                <w:rFonts w:ascii="Arial" w:hAnsi="Arial" w:cs="Arial"/>
                <w:b/>
                <w:bCs/>
                <w:color w:val="0D0D0D" w:themeColor="text1" w:themeTint="F2"/>
                <w:sz w:val="20"/>
                <w:szCs w:val="20"/>
                <w:highlight w:val="yellow"/>
              </w:rPr>
            </w:pPr>
          </w:p>
        </w:tc>
        <w:tc>
          <w:tcPr>
            <w:tcW w:w="7818" w:type="dxa"/>
            <w:gridSpan w:val="12"/>
            <w:tcBorders>
              <w:top w:val="single" w:sz="4" w:space="0" w:color="auto"/>
              <w:bottom w:val="single" w:sz="4" w:space="0" w:color="auto"/>
            </w:tcBorders>
          </w:tcPr>
          <w:p w14:paraId="5A874F16" w14:textId="00C97557" w:rsidR="00C924DE" w:rsidRPr="005F43F7" w:rsidRDefault="00C924DE" w:rsidP="003E248B">
            <w:pPr>
              <w:ind w:right="1804"/>
              <w:jc w:val="right"/>
              <w:rPr>
                <w:rFonts w:ascii="Arial" w:hAnsi="Arial" w:cs="Arial"/>
                <w:b/>
                <w:bCs/>
                <w:color w:val="0D0D0D" w:themeColor="text1" w:themeTint="F2"/>
                <w:sz w:val="20"/>
                <w:szCs w:val="20"/>
                <w:highlight w:val="yellow"/>
              </w:rPr>
            </w:pPr>
            <w:r w:rsidRPr="005F43F7">
              <w:rPr>
                <w:rFonts w:ascii="Arial" w:hAnsi="Arial" w:cs="Arial"/>
                <w:b/>
                <w:bCs/>
                <w:color w:val="0D0D0D" w:themeColor="text1" w:themeTint="F2"/>
                <w:sz w:val="20"/>
                <w:szCs w:val="20"/>
                <w:highlight w:val="yellow"/>
              </w:rPr>
              <w:t>Terrestrial gamma radiation (</w:t>
            </w:r>
            <w:proofErr w:type="spellStart"/>
            <w:r w:rsidRPr="005F43F7">
              <w:rPr>
                <w:rFonts w:ascii="Arial" w:hAnsi="Arial" w:cs="Arial"/>
                <w:b/>
                <w:bCs/>
                <w:color w:val="0D0D0D" w:themeColor="text1" w:themeTint="F2"/>
                <w:sz w:val="20"/>
                <w:szCs w:val="20"/>
                <w:highlight w:val="yellow"/>
              </w:rPr>
              <w:t>nGy</w:t>
            </w:r>
            <w:proofErr w:type="spellEnd"/>
            <w:r w:rsidRPr="005F43F7">
              <w:rPr>
                <w:rFonts w:ascii="Arial" w:hAnsi="Arial" w:cs="Arial"/>
                <w:b/>
                <w:bCs/>
                <w:color w:val="0D0D0D" w:themeColor="text1" w:themeTint="F2"/>
                <w:sz w:val="20"/>
                <w:szCs w:val="20"/>
                <w:highlight w:val="yellow"/>
              </w:rPr>
              <w:t xml:space="preserve"> h</w:t>
            </w:r>
            <w:r w:rsidRPr="005F43F7">
              <w:rPr>
                <w:rFonts w:ascii="Arial" w:hAnsi="Arial" w:cs="Arial"/>
                <w:b/>
                <w:bCs/>
                <w:color w:val="0D0D0D" w:themeColor="text1" w:themeTint="F2"/>
                <w:sz w:val="20"/>
                <w:szCs w:val="20"/>
                <w:highlight w:val="yellow"/>
                <w:vertAlign w:val="superscript"/>
              </w:rPr>
              <w:t>–1</w:t>
            </w:r>
            <w:r w:rsidRPr="005F43F7">
              <w:rPr>
                <w:rFonts w:ascii="Arial" w:hAnsi="Arial" w:cs="Arial"/>
                <w:b/>
                <w:bCs/>
                <w:color w:val="0D0D0D" w:themeColor="text1" w:themeTint="F2"/>
                <w:sz w:val="20"/>
                <w:szCs w:val="20"/>
                <w:highlight w:val="yellow"/>
              </w:rPr>
              <w:t>)</w:t>
            </w:r>
          </w:p>
        </w:tc>
      </w:tr>
      <w:tr w:rsidR="0066262C" w:rsidRPr="005F43F7" w14:paraId="20635C78" w14:textId="13F1DA2F" w:rsidTr="0066262C">
        <w:trPr>
          <w:gridAfter w:val="1"/>
          <w:wAfter w:w="226" w:type="dxa"/>
        </w:trPr>
        <w:tc>
          <w:tcPr>
            <w:tcW w:w="1622" w:type="dxa"/>
            <w:vMerge w:val="restart"/>
            <w:tcBorders>
              <w:top w:val="nil"/>
              <w:bottom w:val="nil"/>
            </w:tcBorders>
          </w:tcPr>
          <w:p w14:paraId="457B7018" w14:textId="77777777" w:rsidR="00C924DE" w:rsidRPr="005F43F7" w:rsidRDefault="00C924DE" w:rsidP="003E248B">
            <w:pPr>
              <w:ind w:right="-330"/>
              <w:rPr>
                <w:rFonts w:ascii="Arial" w:hAnsi="Arial" w:cs="Arial"/>
                <w:b/>
                <w:bCs/>
                <w:color w:val="0D0D0D" w:themeColor="text1" w:themeTint="F2"/>
                <w:sz w:val="20"/>
                <w:szCs w:val="20"/>
                <w:highlight w:val="yellow"/>
              </w:rPr>
            </w:pPr>
            <w:r w:rsidRPr="005F43F7">
              <w:rPr>
                <w:rFonts w:ascii="Arial" w:hAnsi="Arial" w:cs="Arial"/>
                <w:b/>
                <w:bCs/>
                <w:color w:val="0D0D0D" w:themeColor="text1" w:themeTint="F2"/>
                <w:sz w:val="20"/>
                <w:szCs w:val="20"/>
                <w:highlight w:val="yellow"/>
              </w:rPr>
              <w:t xml:space="preserve">City </w:t>
            </w:r>
          </w:p>
        </w:tc>
        <w:tc>
          <w:tcPr>
            <w:tcW w:w="1639" w:type="dxa"/>
            <w:gridSpan w:val="2"/>
            <w:tcBorders>
              <w:top w:val="nil"/>
              <w:bottom w:val="single" w:sz="4" w:space="0" w:color="auto"/>
            </w:tcBorders>
          </w:tcPr>
          <w:p w14:paraId="5D160656" w14:textId="2BE987D8" w:rsidR="00C924DE" w:rsidRPr="005F43F7" w:rsidRDefault="006B55C3" w:rsidP="0066262C">
            <w:pPr>
              <w:ind w:right="-330"/>
              <w:jc w:val="center"/>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Granite (Igneous rock)</w:t>
            </w:r>
          </w:p>
        </w:tc>
        <w:tc>
          <w:tcPr>
            <w:tcW w:w="425" w:type="dxa"/>
            <w:tcBorders>
              <w:top w:val="nil"/>
              <w:bottom w:val="nil"/>
            </w:tcBorders>
          </w:tcPr>
          <w:p w14:paraId="30FDF63F" w14:textId="77777777" w:rsidR="00C924DE" w:rsidRPr="005F43F7" w:rsidRDefault="00C924DE" w:rsidP="0066262C">
            <w:pPr>
              <w:ind w:right="1804"/>
              <w:jc w:val="center"/>
              <w:rPr>
                <w:rFonts w:ascii="Arial" w:hAnsi="Arial" w:cs="Arial"/>
                <w:b/>
                <w:bCs/>
                <w:i/>
                <w:iCs/>
                <w:color w:val="0D0D0D" w:themeColor="text1" w:themeTint="F2"/>
                <w:sz w:val="20"/>
                <w:szCs w:val="20"/>
                <w:highlight w:val="yellow"/>
              </w:rPr>
            </w:pPr>
          </w:p>
        </w:tc>
        <w:tc>
          <w:tcPr>
            <w:tcW w:w="1403" w:type="dxa"/>
            <w:gridSpan w:val="2"/>
            <w:tcBorders>
              <w:top w:val="nil"/>
              <w:bottom w:val="single" w:sz="4" w:space="0" w:color="auto"/>
            </w:tcBorders>
          </w:tcPr>
          <w:p w14:paraId="604BD2C1" w14:textId="5E6A38FC" w:rsidR="00C924DE" w:rsidRPr="005F43F7" w:rsidRDefault="00D366C3" w:rsidP="0066262C">
            <w:pPr>
              <w:ind w:right="-330"/>
              <w:jc w:val="center"/>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Quaternary</w:t>
            </w:r>
          </w:p>
        </w:tc>
        <w:tc>
          <w:tcPr>
            <w:tcW w:w="298" w:type="dxa"/>
            <w:tcBorders>
              <w:top w:val="nil"/>
              <w:bottom w:val="nil"/>
            </w:tcBorders>
          </w:tcPr>
          <w:p w14:paraId="10BD061C" w14:textId="77777777" w:rsidR="00C924DE" w:rsidRPr="005F43F7" w:rsidRDefault="00C924DE" w:rsidP="0066262C">
            <w:pPr>
              <w:ind w:right="1804"/>
              <w:jc w:val="center"/>
              <w:rPr>
                <w:rFonts w:ascii="Arial" w:hAnsi="Arial" w:cs="Arial"/>
                <w:b/>
                <w:bCs/>
                <w:i/>
                <w:iCs/>
                <w:color w:val="0D0D0D" w:themeColor="text1" w:themeTint="F2"/>
                <w:sz w:val="20"/>
                <w:szCs w:val="20"/>
                <w:highlight w:val="yellow"/>
              </w:rPr>
            </w:pPr>
          </w:p>
        </w:tc>
        <w:tc>
          <w:tcPr>
            <w:tcW w:w="1701" w:type="dxa"/>
            <w:gridSpan w:val="2"/>
            <w:tcBorders>
              <w:top w:val="nil"/>
              <w:bottom w:val="single" w:sz="4" w:space="0" w:color="auto"/>
            </w:tcBorders>
          </w:tcPr>
          <w:p w14:paraId="06003BF9" w14:textId="1D2ACB11" w:rsidR="00C924DE" w:rsidRPr="005F43F7" w:rsidRDefault="00D366C3" w:rsidP="0066262C">
            <w:pPr>
              <w:ind w:right="-330"/>
              <w:jc w:val="center"/>
              <w:rPr>
                <w:rFonts w:ascii="Arial" w:hAnsi="Arial" w:cs="Arial"/>
                <w:b/>
                <w:bCs/>
                <w:i/>
                <w:iCs/>
                <w:color w:val="0D0D0D" w:themeColor="text1" w:themeTint="F2"/>
                <w:sz w:val="20"/>
                <w:szCs w:val="20"/>
                <w:highlight w:val="yellow"/>
              </w:rPr>
            </w:pPr>
            <w:r w:rsidRPr="005F43F7">
              <w:rPr>
                <w:rFonts w:ascii="Arial" w:hAnsi="Arial" w:cs="Arial"/>
                <w:b/>
                <w:bCs/>
                <w:color w:val="0D0D0D" w:themeColor="text1" w:themeTint="F2"/>
                <w:sz w:val="18"/>
                <w:szCs w:val="18"/>
                <w:highlight w:val="yellow"/>
              </w:rPr>
              <w:t>Carboniferous</w:t>
            </w:r>
          </w:p>
        </w:tc>
        <w:tc>
          <w:tcPr>
            <w:tcW w:w="425" w:type="dxa"/>
            <w:tcBorders>
              <w:top w:val="nil"/>
              <w:bottom w:val="nil"/>
            </w:tcBorders>
          </w:tcPr>
          <w:p w14:paraId="4B0A149B" w14:textId="77777777" w:rsidR="00C924DE" w:rsidRPr="005F43F7" w:rsidRDefault="00C924DE" w:rsidP="0066262C">
            <w:pPr>
              <w:ind w:right="1804"/>
              <w:jc w:val="center"/>
              <w:rPr>
                <w:rFonts w:ascii="Arial" w:hAnsi="Arial" w:cs="Arial"/>
                <w:b/>
                <w:bCs/>
                <w:i/>
                <w:iCs/>
                <w:color w:val="0D0D0D" w:themeColor="text1" w:themeTint="F2"/>
                <w:sz w:val="20"/>
                <w:szCs w:val="20"/>
                <w:highlight w:val="yellow"/>
              </w:rPr>
            </w:pPr>
          </w:p>
        </w:tc>
        <w:tc>
          <w:tcPr>
            <w:tcW w:w="1701" w:type="dxa"/>
            <w:gridSpan w:val="2"/>
            <w:tcBorders>
              <w:top w:val="nil"/>
              <w:bottom w:val="single" w:sz="4" w:space="0" w:color="auto"/>
            </w:tcBorders>
          </w:tcPr>
          <w:p w14:paraId="03CF1C04" w14:textId="49F9C876" w:rsidR="00C924DE" w:rsidRPr="005F43F7" w:rsidRDefault="00D366C3" w:rsidP="0066262C">
            <w:pPr>
              <w:ind w:right="-102"/>
              <w:jc w:val="center"/>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Silurian - Triassic</w:t>
            </w:r>
          </w:p>
          <w:p w14:paraId="404BF2B9" w14:textId="15B829EB" w:rsidR="00D366C3" w:rsidRPr="005F43F7" w:rsidRDefault="00D366C3" w:rsidP="0066262C">
            <w:pPr>
              <w:ind w:right="-330"/>
              <w:jc w:val="center"/>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 Devonian</w:t>
            </w:r>
          </w:p>
        </w:tc>
      </w:tr>
      <w:tr w:rsidR="0066262C" w:rsidRPr="005F43F7" w14:paraId="640AA223" w14:textId="3CAB7F25" w:rsidTr="0066262C">
        <w:trPr>
          <w:gridAfter w:val="1"/>
          <w:wAfter w:w="226" w:type="dxa"/>
        </w:trPr>
        <w:tc>
          <w:tcPr>
            <w:tcW w:w="1622" w:type="dxa"/>
            <w:vMerge/>
            <w:tcBorders>
              <w:top w:val="nil"/>
              <w:bottom w:val="single" w:sz="4" w:space="0" w:color="auto"/>
            </w:tcBorders>
          </w:tcPr>
          <w:p w14:paraId="1EDF288F" w14:textId="77777777" w:rsidR="0066262C" w:rsidRPr="005F43F7" w:rsidRDefault="0066262C" w:rsidP="0066262C">
            <w:pPr>
              <w:ind w:right="-330"/>
              <w:rPr>
                <w:rFonts w:ascii="Arial" w:hAnsi="Arial" w:cs="Arial"/>
                <w:b/>
                <w:bCs/>
                <w:color w:val="0D0D0D" w:themeColor="text1" w:themeTint="F2"/>
                <w:sz w:val="20"/>
                <w:szCs w:val="20"/>
                <w:highlight w:val="yellow"/>
              </w:rPr>
            </w:pPr>
          </w:p>
        </w:tc>
        <w:tc>
          <w:tcPr>
            <w:tcW w:w="709" w:type="dxa"/>
            <w:tcBorders>
              <w:top w:val="single" w:sz="4" w:space="0" w:color="auto"/>
              <w:bottom w:val="single" w:sz="4" w:space="0" w:color="auto"/>
            </w:tcBorders>
          </w:tcPr>
          <w:p w14:paraId="7223BBEE" w14:textId="77777777" w:rsidR="0066262C" w:rsidRPr="005F43F7" w:rsidRDefault="0066262C" w:rsidP="0066262C">
            <w:pPr>
              <w:ind w:right="-330"/>
              <w:rPr>
                <w:rFonts w:ascii="Arial" w:hAnsi="Arial" w:cs="Arial"/>
                <w:b/>
                <w:bCs/>
                <w:i/>
                <w:iCs/>
                <w:color w:val="0D0D0D" w:themeColor="text1" w:themeTint="F2"/>
                <w:sz w:val="18"/>
                <w:szCs w:val="18"/>
                <w:highlight w:val="yellow"/>
              </w:rPr>
            </w:pPr>
            <w:r w:rsidRPr="005F43F7">
              <w:rPr>
                <w:rFonts w:ascii="Arial" w:hAnsi="Arial" w:cs="Arial"/>
                <w:b/>
                <w:bCs/>
                <w:i/>
                <w:iCs/>
                <w:color w:val="0D0D0D" w:themeColor="text1" w:themeTint="F2"/>
                <w:sz w:val="18"/>
                <w:szCs w:val="18"/>
                <w:highlight w:val="yellow"/>
              </w:rPr>
              <w:t xml:space="preserve">   n</w:t>
            </w:r>
          </w:p>
        </w:tc>
        <w:tc>
          <w:tcPr>
            <w:tcW w:w="930" w:type="dxa"/>
            <w:tcBorders>
              <w:top w:val="single" w:sz="4" w:space="0" w:color="auto"/>
              <w:bottom w:val="single" w:sz="4" w:space="0" w:color="auto"/>
            </w:tcBorders>
          </w:tcPr>
          <w:p w14:paraId="5FED8C53" w14:textId="1F36E06B" w:rsidR="0066262C" w:rsidRPr="005F43F7" w:rsidRDefault="0066262C" w:rsidP="0066262C">
            <w:pPr>
              <w:ind w:right="-330"/>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 xml:space="preserve">Mean </w:t>
            </w:r>
            <w:r w:rsidRPr="005F43F7">
              <w:rPr>
                <w:rFonts w:ascii="Arial" w:hAnsi="Arial" w:cs="Arial"/>
                <w:b/>
                <w:bCs/>
                <w:color w:val="0D0D0D" w:themeColor="text1" w:themeTint="F2"/>
                <w:sz w:val="18"/>
                <w:szCs w:val="18"/>
                <w:highlight w:val="yellow"/>
              </w:rPr>
              <w:sym w:font="Symbol" w:char="F0B1"/>
            </w:r>
            <w:r w:rsidRPr="005F43F7">
              <w:rPr>
                <w:rFonts w:ascii="Arial" w:hAnsi="Arial" w:cs="Arial"/>
                <w:b/>
                <w:bCs/>
                <w:color w:val="0D0D0D" w:themeColor="text1" w:themeTint="F2"/>
                <w:sz w:val="18"/>
                <w:szCs w:val="18"/>
                <w:highlight w:val="yellow"/>
              </w:rPr>
              <w:t xml:space="preserve"> standard</w:t>
            </w:r>
          </w:p>
          <w:p w14:paraId="372D3787" w14:textId="77777777" w:rsidR="0066262C" w:rsidRPr="005F43F7" w:rsidRDefault="0066262C" w:rsidP="0066262C">
            <w:pPr>
              <w:ind w:right="-109"/>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error</w:t>
            </w:r>
          </w:p>
        </w:tc>
        <w:tc>
          <w:tcPr>
            <w:tcW w:w="425" w:type="dxa"/>
            <w:tcBorders>
              <w:top w:val="nil"/>
              <w:bottom w:val="nil"/>
            </w:tcBorders>
          </w:tcPr>
          <w:p w14:paraId="1832B1B9" w14:textId="799202CD" w:rsidR="0066262C" w:rsidRPr="005F43F7" w:rsidRDefault="0066262C" w:rsidP="0066262C">
            <w:pPr>
              <w:ind w:left="238" w:right="-330"/>
              <w:rPr>
                <w:rFonts w:ascii="Arial" w:hAnsi="Arial" w:cs="Arial"/>
                <w:b/>
                <w:bCs/>
                <w:color w:val="0D0D0D" w:themeColor="text1" w:themeTint="F2"/>
                <w:sz w:val="20"/>
                <w:szCs w:val="20"/>
                <w:highlight w:val="yellow"/>
              </w:rPr>
            </w:pPr>
          </w:p>
        </w:tc>
        <w:tc>
          <w:tcPr>
            <w:tcW w:w="552" w:type="dxa"/>
            <w:tcBorders>
              <w:top w:val="single" w:sz="4" w:space="0" w:color="auto"/>
              <w:bottom w:val="single" w:sz="4" w:space="0" w:color="auto"/>
            </w:tcBorders>
          </w:tcPr>
          <w:p w14:paraId="6BD8B902" w14:textId="174C3A65" w:rsidR="0066262C" w:rsidRPr="005F43F7" w:rsidRDefault="0066262C" w:rsidP="0066262C">
            <w:pPr>
              <w:ind w:right="-330"/>
              <w:rPr>
                <w:rFonts w:ascii="Arial" w:hAnsi="Arial" w:cs="Arial"/>
                <w:b/>
                <w:bCs/>
                <w:color w:val="0D0D0D" w:themeColor="text1" w:themeTint="F2"/>
                <w:sz w:val="20"/>
                <w:szCs w:val="20"/>
                <w:highlight w:val="yellow"/>
              </w:rPr>
            </w:pPr>
            <w:r w:rsidRPr="005F43F7">
              <w:rPr>
                <w:rFonts w:ascii="Arial" w:hAnsi="Arial" w:cs="Arial"/>
                <w:b/>
                <w:bCs/>
                <w:i/>
                <w:iCs/>
                <w:color w:val="0D0D0D" w:themeColor="text1" w:themeTint="F2"/>
                <w:sz w:val="18"/>
                <w:szCs w:val="18"/>
                <w:highlight w:val="yellow"/>
              </w:rPr>
              <w:t>n</w:t>
            </w:r>
          </w:p>
        </w:tc>
        <w:tc>
          <w:tcPr>
            <w:tcW w:w="851" w:type="dxa"/>
            <w:tcBorders>
              <w:top w:val="single" w:sz="4" w:space="0" w:color="auto"/>
              <w:bottom w:val="single" w:sz="4" w:space="0" w:color="auto"/>
            </w:tcBorders>
          </w:tcPr>
          <w:p w14:paraId="777F8F5D" w14:textId="62690024" w:rsidR="0066262C" w:rsidRPr="005F43F7" w:rsidRDefault="0066262C" w:rsidP="0066262C">
            <w:pPr>
              <w:ind w:right="-403"/>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 xml:space="preserve">Mean </w:t>
            </w:r>
            <w:r w:rsidRPr="005F43F7">
              <w:rPr>
                <w:rFonts w:ascii="Arial" w:hAnsi="Arial" w:cs="Arial"/>
                <w:b/>
                <w:bCs/>
                <w:color w:val="0D0D0D" w:themeColor="text1" w:themeTint="F2"/>
                <w:sz w:val="18"/>
                <w:szCs w:val="18"/>
                <w:highlight w:val="yellow"/>
              </w:rPr>
              <w:sym w:font="Symbol" w:char="F0B1"/>
            </w:r>
            <w:r w:rsidRPr="005F43F7">
              <w:rPr>
                <w:rFonts w:ascii="Arial" w:hAnsi="Arial" w:cs="Arial"/>
                <w:b/>
                <w:bCs/>
                <w:color w:val="0D0D0D" w:themeColor="text1" w:themeTint="F2"/>
                <w:sz w:val="18"/>
                <w:szCs w:val="18"/>
                <w:highlight w:val="yellow"/>
              </w:rPr>
              <w:t xml:space="preserve"> standard</w:t>
            </w:r>
          </w:p>
          <w:p w14:paraId="743E6168" w14:textId="73ABD25A" w:rsidR="0066262C" w:rsidRPr="005F43F7" w:rsidRDefault="0066262C" w:rsidP="0066262C">
            <w:pPr>
              <w:ind w:right="-330"/>
              <w:rPr>
                <w:rFonts w:ascii="Arial" w:hAnsi="Arial" w:cs="Arial"/>
                <w:b/>
                <w:bCs/>
                <w:i/>
                <w:iCs/>
                <w:color w:val="0D0D0D" w:themeColor="text1" w:themeTint="F2"/>
                <w:sz w:val="20"/>
                <w:szCs w:val="20"/>
                <w:highlight w:val="yellow"/>
              </w:rPr>
            </w:pPr>
            <w:r w:rsidRPr="005F43F7">
              <w:rPr>
                <w:rFonts w:ascii="Arial" w:hAnsi="Arial" w:cs="Arial"/>
                <w:b/>
                <w:bCs/>
                <w:color w:val="0D0D0D" w:themeColor="text1" w:themeTint="F2"/>
                <w:sz w:val="18"/>
                <w:szCs w:val="18"/>
                <w:highlight w:val="yellow"/>
              </w:rPr>
              <w:t>error</w:t>
            </w:r>
          </w:p>
        </w:tc>
        <w:tc>
          <w:tcPr>
            <w:tcW w:w="298" w:type="dxa"/>
            <w:tcBorders>
              <w:top w:val="nil"/>
              <w:bottom w:val="nil"/>
            </w:tcBorders>
          </w:tcPr>
          <w:p w14:paraId="1E32B813" w14:textId="77777777" w:rsidR="0066262C" w:rsidRPr="005F43F7" w:rsidRDefault="0066262C" w:rsidP="0066262C">
            <w:pPr>
              <w:ind w:right="-330"/>
              <w:rPr>
                <w:rFonts w:ascii="Arial" w:hAnsi="Arial" w:cs="Arial"/>
                <w:b/>
                <w:bCs/>
                <w:i/>
                <w:iCs/>
                <w:color w:val="0D0D0D" w:themeColor="text1" w:themeTint="F2"/>
                <w:sz w:val="18"/>
                <w:szCs w:val="18"/>
                <w:highlight w:val="yellow"/>
              </w:rPr>
            </w:pPr>
          </w:p>
        </w:tc>
        <w:tc>
          <w:tcPr>
            <w:tcW w:w="757" w:type="dxa"/>
            <w:tcBorders>
              <w:top w:val="single" w:sz="4" w:space="0" w:color="auto"/>
              <w:bottom w:val="single" w:sz="4" w:space="0" w:color="auto"/>
            </w:tcBorders>
          </w:tcPr>
          <w:p w14:paraId="182BD157" w14:textId="713761E8" w:rsidR="0066262C" w:rsidRPr="005F43F7" w:rsidRDefault="0066262C" w:rsidP="0066262C">
            <w:pPr>
              <w:ind w:right="-330"/>
              <w:rPr>
                <w:rFonts w:ascii="Arial" w:hAnsi="Arial" w:cs="Arial"/>
                <w:b/>
                <w:bCs/>
                <w:i/>
                <w:iCs/>
                <w:color w:val="0D0D0D" w:themeColor="text1" w:themeTint="F2"/>
                <w:sz w:val="20"/>
                <w:szCs w:val="20"/>
                <w:highlight w:val="yellow"/>
              </w:rPr>
            </w:pPr>
            <w:r w:rsidRPr="005F43F7">
              <w:rPr>
                <w:rFonts w:ascii="Arial" w:hAnsi="Arial" w:cs="Arial"/>
                <w:b/>
                <w:bCs/>
                <w:i/>
                <w:iCs/>
                <w:color w:val="0D0D0D" w:themeColor="text1" w:themeTint="F2"/>
                <w:sz w:val="18"/>
                <w:szCs w:val="18"/>
                <w:highlight w:val="yellow"/>
              </w:rPr>
              <w:t>n</w:t>
            </w:r>
          </w:p>
        </w:tc>
        <w:tc>
          <w:tcPr>
            <w:tcW w:w="944" w:type="dxa"/>
            <w:tcBorders>
              <w:top w:val="single" w:sz="4" w:space="0" w:color="auto"/>
              <w:bottom w:val="single" w:sz="4" w:space="0" w:color="auto"/>
            </w:tcBorders>
          </w:tcPr>
          <w:p w14:paraId="03173BAE" w14:textId="74B3F2A5" w:rsidR="0066262C" w:rsidRPr="005F43F7" w:rsidRDefault="0066262C" w:rsidP="0066262C">
            <w:pPr>
              <w:ind w:right="-330"/>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 xml:space="preserve">Mean </w:t>
            </w:r>
            <w:r w:rsidRPr="005F43F7">
              <w:rPr>
                <w:rFonts w:ascii="Arial" w:hAnsi="Arial" w:cs="Arial"/>
                <w:b/>
                <w:bCs/>
                <w:color w:val="0D0D0D" w:themeColor="text1" w:themeTint="F2"/>
                <w:sz w:val="18"/>
                <w:szCs w:val="18"/>
                <w:highlight w:val="yellow"/>
              </w:rPr>
              <w:sym w:font="Symbol" w:char="F0B1"/>
            </w:r>
            <w:r w:rsidRPr="005F43F7">
              <w:rPr>
                <w:rFonts w:ascii="Arial" w:hAnsi="Arial" w:cs="Arial"/>
                <w:b/>
                <w:bCs/>
                <w:color w:val="0D0D0D" w:themeColor="text1" w:themeTint="F2"/>
                <w:sz w:val="18"/>
                <w:szCs w:val="18"/>
                <w:highlight w:val="yellow"/>
              </w:rPr>
              <w:t xml:space="preserve"> standard</w:t>
            </w:r>
          </w:p>
          <w:p w14:paraId="524B4CCF" w14:textId="2D593756" w:rsidR="0066262C" w:rsidRPr="005F43F7" w:rsidRDefault="0066262C" w:rsidP="0066262C">
            <w:pPr>
              <w:ind w:right="-330"/>
              <w:rPr>
                <w:rFonts w:ascii="Arial" w:hAnsi="Arial" w:cs="Arial"/>
                <w:b/>
                <w:bCs/>
                <w:i/>
                <w:iCs/>
                <w:color w:val="0D0D0D" w:themeColor="text1" w:themeTint="F2"/>
                <w:sz w:val="20"/>
                <w:szCs w:val="20"/>
                <w:highlight w:val="yellow"/>
              </w:rPr>
            </w:pPr>
            <w:r w:rsidRPr="005F43F7">
              <w:rPr>
                <w:rFonts w:ascii="Arial" w:hAnsi="Arial" w:cs="Arial"/>
                <w:b/>
                <w:bCs/>
                <w:color w:val="0D0D0D" w:themeColor="text1" w:themeTint="F2"/>
                <w:sz w:val="18"/>
                <w:szCs w:val="18"/>
                <w:highlight w:val="yellow"/>
              </w:rPr>
              <w:t>error</w:t>
            </w:r>
          </w:p>
        </w:tc>
        <w:tc>
          <w:tcPr>
            <w:tcW w:w="425" w:type="dxa"/>
            <w:tcBorders>
              <w:top w:val="nil"/>
              <w:bottom w:val="nil"/>
            </w:tcBorders>
          </w:tcPr>
          <w:p w14:paraId="6AB74507" w14:textId="77777777" w:rsidR="0066262C" w:rsidRPr="005F43F7" w:rsidRDefault="0066262C" w:rsidP="0066262C">
            <w:pPr>
              <w:ind w:right="-330"/>
              <w:rPr>
                <w:rFonts w:ascii="Arial" w:hAnsi="Arial" w:cs="Arial"/>
                <w:b/>
                <w:bCs/>
                <w:color w:val="0D0D0D" w:themeColor="text1" w:themeTint="F2"/>
                <w:sz w:val="18"/>
                <w:szCs w:val="18"/>
                <w:highlight w:val="yellow"/>
              </w:rPr>
            </w:pPr>
          </w:p>
        </w:tc>
        <w:tc>
          <w:tcPr>
            <w:tcW w:w="771" w:type="dxa"/>
            <w:tcBorders>
              <w:top w:val="single" w:sz="4" w:space="0" w:color="auto"/>
              <w:bottom w:val="single" w:sz="4" w:space="0" w:color="auto"/>
            </w:tcBorders>
          </w:tcPr>
          <w:p w14:paraId="13E008D8" w14:textId="605B7662" w:rsidR="0066262C" w:rsidRPr="005F43F7" w:rsidRDefault="0066262C" w:rsidP="0066262C">
            <w:pPr>
              <w:ind w:right="-330"/>
              <w:rPr>
                <w:rFonts w:ascii="Arial" w:hAnsi="Arial" w:cs="Arial"/>
                <w:b/>
                <w:bCs/>
                <w:color w:val="0D0D0D" w:themeColor="text1" w:themeTint="F2"/>
                <w:sz w:val="18"/>
                <w:szCs w:val="18"/>
                <w:highlight w:val="yellow"/>
              </w:rPr>
            </w:pPr>
            <w:r w:rsidRPr="005F43F7">
              <w:rPr>
                <w:rFonts w:ascii="Arial" w:hAnsi="Arial" w:cs="Arial"/>
                <w:b/>
                <w:bCs/>
                <w:i/>
                <w:iCs/>
                <w:color w:val="0D0D0D" w:themeColor="text1" w:themeTint="F2"/>
                <w:sz w:val="18"/>
                <w:szCs w:val="18"/>
                <w:highlight w:val="yellow"/>
              </w:rPr>
              <w:t>n</w:t>
            </w:r>
          </w:p>
        </w:tc>
        <w:tc>
          <w:tcPr>
            <w:tcW w:w="930" w:type="dxa"/>
            <w:tcBorders>
              <w:top w:val="single" w:sz="4" w:space="0" w:color="auto"/>
              <w:bottom w:val="single" w:sz="4" w:space="0" w:color="auto"/>
            </w:tcBorders>
          </w:tcPr>
          <w:p w14:paraId="57B49AB0" w14:textId="77777777" w:rsidR="0066262C" w:rsidRPr="005F43F7" w:rsidRDefault="0066262C" w:rsidP="0066262C">
            <w:pPr>
              <w:ind w:right="-245"/>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 xml:space="preserve">Mean </w:t>
            </w:r>
            <w:r w:rsidRPr="005F43F7">
              <w:rPr>
                <w:rFonts w:ascii="Arial" w:hAnsi="Arial" w:cs="Arial"/>
                <w:b/>
                <w:bCs/>
                <w:color w:val="0D0D0D" w:themeColor="text1" w:themeTint="F2"/>
                <w:sz w:val="18"/>
                <w:szCs w:val="18"/>
                <w:highlight w:val="yellow"/>
              </w:rPr>
              <w:sym w:font="Symbol" w:char="F0B1"/>
            </w:r>
            <w:r w:rsidRPr="005F43F7">
              <w:rPr>
                <w:rFonts w:ascii="Arial" w:hAnsi="Arial" w:cs="Arial"/>
                <w:b/>
                <w:bCs/>
                <w:color w:val="0D0D0D" w:themeColor="text1" w:themeTint="F2"/>
                <w:sz w:val="18"/>
                <w:szCs w:val="18"/>
                <w:highlight w:val="yellow"/>
              </w:rPr>
              <w:t xml:space="preserve"> standard</w:t>
            </w:r>
          </w:p>
          <w:p w14:paraId="1A39836A" w14:textId="469F2DB9" w:rsidR="0066262C" w:rsidRPr="005F43F7" w:rsidRDefault="0066262C" w:rsidP="0066262C">
            <w:pPr>
              <w:ind w:right="-245"/>
              <w:rPr>
                <w:rFonts w:ascii="Arial" w:hAnsi="Arial" w:cs="Arial"/>
                <w:b/>
                <w:bCs/>
                <w:color w:val="0D0D0D" w:themeColor="text1" w:themeTint="F2"/>
                <w:sz w:val="18"/>
                <w:szCs w:val="18"/>
                <w:highlight w:val="yellow"/>
              </w:rPr>
            </w:pPr>
            <w:r w:rsidRPr="005F43F7">
              <w:rPr>
                <w:rFonts w:ascii="Arial" w:hAnsi="Arial" w:cs="Arial"/>
                <w:b/>
                <w:bCs/>
                <w:color w:val="0D0D0D" w:themeColor="text1" w:themeTint="F2"/>
                <w:sz w:val="18"/>
                <w:szCs w:val="18"/>
                <w:highlight w:val="yellow"/>
              </w:rPr>
              <w:t>error</w:t>
            </w:r>
          </w:p>
        </w:tc>
      </w:tr>
      <w:tr w:rsidR="0066262C" w:rsidRPr="005F43F7" w14:paraId="71639D43" w14:textId="2B732C3C" w:rsidTr="0066262C">
        <w:trPr>
          <w:gridAfter w:val="1"/>
          <w:wAfter w:w="226" w:type="dxa"/>
        </w:trPr>
        <w:tc>
          <w:tcPr>
            <w:tcW w:w="1622" w:type="dxa"/>
            <w:tcBorders>
              <w:top w:val="single" w:sz="4" w:space="0" w:color="auto"/>
              <w:bottom w:val="nil"/>
            </w:tcBorders>
            <w:vAlign w:val="bottom"/>
          </w:tcPr>
          <w:p w14:paraId="06FB0703"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Johor Bahru</w:t>
            </w:r>
          </w:p>
        </w:tc>
        <w:tc>
          <w:tcPr>
            <w:tcW w:w="709" w:type="dxa"/>
            <w:tcBorders>
              <w:top w:val="single" w:sz="4" w:space="0" w:color="auto"/>
            </w:tcBorders>
          </w:tcPr>
          <w:p w14:paraId="6748BFF3" w14:textId="020BF963" w:rsidR="0066262C" w:rsidRPr="005F43F7" w:rsidRDefault="0066262C" w:rsidP="0066262C">
            <w:pPr>
              <w:ind w:right="-316"/>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316</w:t>
            </w:r>
          </w:p>
        </w:tc>
        <w:tc>
          <w:tcPr>
            <w:tcW w:w="930" w:type="dxa"/>
            <w:tcBorders>
              <w:top w:val="nil"/>
            </w:tcBorders>
          </w:tcPr>
          <w:p w14:paraId="6CF8C084" w14:textId="3E4910AA"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238</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8</w:t>
            </w:r>
          </w:p>
        </w:tc>
        <w:tc>
          <w:tcPr>
            <w:tcW w:w="425" w:type="dxa"/>
            <w:tcBorders>
              <w:top w:val="nil"/>
            </w:tcBorders>
          </w:tcPr>
          <w:p w14:paraId="1DFE6FBB" w14:textId="7465016B"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Borders>
              <w:top w:val="nil"/>
            </w:tcBorders>
          </w:tcPr>
          <w:p w14:paraId="45112270" w14:textId="0AD20957"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408</w:t>
            </w:r>
          </w:p>
        </w:tc>
        <w:tc>
          <w:tcPr>
            <w:tcW w:w="851" w:type="dxa"/>
            <w:tcBorders>
              <w:top w:val="nil"/>
            </w:tcBorders>
          </w:tcPr>
          <w:p w14:paraId="3D6303CC" w14:textId="196E87A1"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135</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5</w:t>
            </w:r>
          </w:p>
        </w:tc>
        <w:tc>
          <w:tcPr>
            <w:tcW w:w="298" w:type="dxa"/>
            <w:tcBorders>
              <w:top w:val="nil"/>
            </w:tcBorders>
          </w:tcPr>
          <w:p w14:paraId="2F8F7F43"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Borders>
              <w:top w:val="nil"/>
            </w:tcBorders>
          </w:tcPr>
          <w:p w14:paraId="1A956C2C" w14:textId="0326C4D2"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Borders>
              <w:top w:val="nil"/>
            </w:tcBorders>
          </w:tcPr>
          <w:p w14:paraId="692CF3F2" w14:textId="5C1ABB1E"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Borders>
              <w:top w:val="nil"/>
            </w:tcBorders>
          </w:tcPr>
          <w:p w14:paraId="24858358"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Borders>
              <w:top w:val="single" w:sz="4" w:space="0" w:color="auto"/>
            </w:tcBorders>
          </w:tcPr>
          <w:p w14:paraId="310C9FC3" w14:textId="2CF87CAD"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83</w:t>
            </w:r>
          </w:p>
        </w:tc>
        <w:tc>
          <w:tcPr>
            <w:tcW w:w="930" w:type="dxa"/>
            <w:tcBorders>
              <w:top w:val="single" w:sz="4" w:space="0" w:color="auto"/>
            </w:tcBorders>
          </w:tcPr>
          <w:p w14:paraId="7C74D282" w14:textId="17F9AAEF"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1</w:t>
            </w:r>
            <w:r>
              <w:rPr>
                <w:rFonts w:ascii="Arial" w:hAnsi="Arial" w:cs="Arial"/>
                <w:color w:val="0D0D0D" w:themeColor="text1" w:themeTint="F2"/>
                <w:sz w:val="18"/>
                <w:szCs w:val="18"/>
                <w:highlight w:val="yellow"/>
              </w:rPr>
              <w:t>59</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10</w:t>
            </w:r>
          </w:p>
        </w:tc>
      </w:tr>
      <w:tr w:rsidR="0066262C" w:rsidRPr="005F43F7" w14:paraId="232F50E4" w14:textId="28BCC7D4" w:rsidTr="0066262C">
        <w:trPr>
          <w:gridAfter w:val="1"/>
          <w:wAfter w:w="226" w:type="dxa"/>
        </w:trPr>
        <w:tc>
          <w:tcPr>
            <w:tcW w:w="1622" w:type="dxa"/>
            <w:tcBorders>
              <w:top w:val="nil"/>
            </w:tcBorders>
            <w:vAlign w:val="bottom"/>
          </w:tcPr>
          <w:p w14:paraId="159505E8"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Melaka</w:t>
            </w:r>
          </w:p>
        </w:tc>
        <w:tc>
          <w:tcPr>
            <w:tcW w:w="709" w:type="dxa"/>
          </w:tcPr>
          <w:p w14:paraId="111064C9" w14:textId="584E1432"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3CF71BC8" w14:textId="5C6785F9"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425" w:type="dxa"/>
          </w:tcPr>
          <w:p w14:paraId="6EF19A4D" w14:textId="61F45224"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45B96339" w14:textId="06F5EA6C"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851" w:type="dxa"/>
          </w:tcPr>
          <w:p w14:paraId="7420673B" w14:textId="1B1F1645"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298" w:type="dxa"/>
          </w:tcPr>
          <w:p w14:paraId="619BE207"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1A25475C" w14:textId="2E98CD40"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57D2E858" w14:textId="451476B0"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290ED7EF"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397EB4CE" w14:textId="5041B3C2"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390</w:t>
            </w:r>
          </w:p>
        </w:tc>
        <w:tc>
          <w:tcPr>
            <w:tcW w:w="930" w:type="dxa"/>
          </w:tcPr>
          <w:p w14:paraId="6D4ADA91" w14:textId="0399FCC3"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244</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2</w:t>
            </w:r>
          </w:p>
        </w:tc>
      </w:tr>
      <w:tr w:rsidR="0066262C" w:rsidRPr="005F43F7" w14:paraId="147F9799" w14:textId="6BAFE29C" w:rsidTr="0066262C">
        <w:trPr>
          <w:gridAfter w:val="1"/>
          <w:wAfter w:w="226" w:type="dxa"/>
        </w:trPr>
        <w:tc>
          <w:tcPr>
            <w:tcW w:w="1622" w:type="dxa"/>
            <w:vAlign w:val="bottom"/>
          </w:tcPr>
          <w:p w14:paraId="693F04B5"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Seremban</w:t>
            </w:r>
          </w:p>
        </w:tc>
        <w:tc>
          <w:tcPr>
            <w:tcW w:w="709" w:type="dxa"/>
          </w:tcPr>
          <w:p w14:paraId="31A47157" w14:textId="17870B02"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274</w:t>
            </w:r>
          </w:p>
        </w:tc>
        <w:tc>
          <w:tcPr>
            <w:tcW w:w="930" w:type="dxa"/>
          </w:tcPr>
          <w:p w14:paraId="0C9CEB6E" w14:textId="522FF7D0"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2</w:t>
            </w:r>
            <w:r>
              <w:rPr>
                <w:rFonts w:ascii="Arial" w:hAnsi="Arial" w:cs="Arial"/>
                <w:color w:val="0D0D0D" w:themeColor="text1" w:themeTint="F2"/>
                <w:sz w:val="18"/>
                <w:szCs w:val="18"/>
                <w:highlight w:val="yellow"/>
              </w:rPr>
              <w:t>84</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6</w:t>
            </w:r>
          </w:p>
        </w:tc>
        <w:tc>
          <w:tcPr>
            <w:tcW w:w="425" w:type="dxa"/>
          </w:tcPr>
          <w:p w14:paraId="7B007FBF" w14:textId="75001B0C" w:rsidR="0066262C" w:rsidRPr="005F43F7" w:rsidRDefault="0066262C" w:rsidP="0066262C">
            <w:pPr>
              <w:ind w:left="97" w:right="43"/>
              <w:jc w:val="right"/>
              <w:rPr>
                <w:rFonts w:ascii="Arial" w:hAnsi="Arial" w:cs="Arial"/>
                <w:color w:val="0D0D0D" w:themeColor="text1" w:themeTint="F2"/>
                <w:sz w:val="20"/>
                <w:szCs w:val="20"/>
                <w:highlight w:val="yellow"/>
              </w:rPr>
            </w:pPr>
          </w:p>
        </w:tc>
        <w:tc>
          <w:tcPr>
            <w:tcW w:w="552" w:type="dxa"/>
          </w:tcPr>
          <w:p w14:paraId="5D31C9B5" w14:textId="6C69469F"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851" w:type="dxa"/>
          </w:tcPr>
          <w:p w14:paraId="5A140064" w14:textId="37FB77BB"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298" w:type="dxa"/>
          </w:tcPr>
          <w:p w14:paraId="598FBE7C"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4C5FDBC9" w14:textId="48DB98D4"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13B1BA0C" w14:textId="183CFDFB"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723F2FF3"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7D1F6A4B" w14:textId="7B5326A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254</w:t>
            </w:r>
          </w:p>
        </w:tc>
        <w:tc>
          <w:tcPr>
            <w:tcW w:w="930" w:type="dxa"/>
          </w:tcPr>
          <w:p w14:paraId="55957747" w14:textId="72686E66"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2</w:t>
            </w:r>
            <w:r>
              <w:rPr>
                <w:rFonts w:ascii="Arial" w:hAnsi="Arial" w:cs="Arial"/>
                <w:color w:val="0D0D0D" w:themeColor="text1" w:themeTint="F2"/>
                <w:sz w:val="18"/>
                <w:szCs w:val="18"/>
                <w:highlight w:val="yellow"/>
              </w:rPr>
              <w:t>32</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6</w:t>
            </w:r>
          </w:p>
        </w:tc>
      </w:tr>
      <w:tr w:rsidR="0066262C" w:rsidRPr="005F43F7" w14:paraId="10F79A3D" w14:textId="620DBB54" w:rsidTr="0066262C">
        <w:trPr>
          <w:gridAfter w:val="1"/>
          <w:wAfter w:w="226" w:type="dxa"/>
        </w:trPr>
        <w:tc>
          <w:tcPr>
            <w:tcW w:w="1622" w:type="dxa"/>
            <w:vAlign w:val="bottom"/>
          </w:tcPr>
          <w:p w14:paraId="7DE7796F" w14:textId="77777777" w:rsidR="0066262C" w:rsidRPr="005F43F7" w:rsidRDefault="0066262C" w:rsidP="0066262C">
            <w:pPr>
              <w:ind w:right="-330"/>
              <w:rPr>
                <w:rFonts w:ascii="Arial" w:hAnsi="Arial" w:cs="Arial"/>
                <w:color w:val="0D0D0D" w:themeColor="text1" w:themeTint="F2"/>
                <w:sz w:val="20"/>
                <w:szCs w:val="20"/>
                <w:highlight w:val="yellow"/>
              </w:rPr>
            </w:pPr>
            <w:proofErr w:type="spellStart"/>
            <w:r w:rsidRPr="005F43F7">
              <w:rPr>
                <w:rFonts w:ascii="Arial" w:hAnsi="Arial" w:cs="Arial"/>
                <w:color w:val="0D0D0D" w:themeColor="text1" w:themeTint="F2"/>
                <w:sz w:val="20"/>
                <w:szCs w:val="20"/>
                <w:highlight w:val="yellow"/>
              </w:rPr>
              <w:t>Lembah</w:t>
            </w:r>
            <w:proofErr w:type="spellEnd"/>
            <w:r w:rsidRPr="005F43F7">
              <w:rPr>
                <w:rFonts w:ascii="Arial" w:hAnsi="Arial" w:cs="Arial"/>
                <w:color w:val="0D0D0D" w:themeColor="text1" w:themeTint="F2"/>
                <w:sz w:val="20"/>
                <w:szCs w:val="20"/>
                <w:highlight w:val="yellow"/>
              </w:rPr>
              <w:t xml:space="preserve"> </w:t>
            </w:r>
            <w:proofErr w:type="spellStart"/>
            <w:r w:rsidRPr="005F43F7">
              <w:rPr>
                <w:rFonts w:ascii="Arial" w:hAnsi="Arial" w:cs="Arial"/>
                <w:color w:val="0D0D0D" w:themeColor="text1" w:themeTint="F2"/>
                <w:sz w:val="20"/>
                <w:szCs w:val="20"/>
                <w:highlight w:val="yellow"/>
              </w:rPr>
              <w:t>Klang</w:t>
            </w:r>
            <w:proofErr w:type="spellEnd"/>
            <w:r w:rsidRPr="005F43F7">
              <w:rPr>
                <w:rFonts w:ascii="Arial" w:hAnsi="Arial" w:cs="Arial"/>
                <w:color w:val="0D0D0D" w:themeColor="text1" w:themeTint="F2"/>
                <w:sz w:val="20"/>
                <w:szCs w:val="20"/>
                <w:highlight w:val="yellow"/>
              </w:rPr>
              <w:t xml:space="preserve"> (Selangor)</w:t>
            </w:r>
          </w:p>
        </w:tc>
        <w:tc>
          <w:tcPr>
            <w:tcW w:w="709" w:type="dxa"/>
          </w:tcPr>
          <w:p w14:paraId="342A81A6" w14:textId="6EE19592"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890</w:t>
            </w:r>
          </w:p>
        </w:tc>
        <w:tc>
          <w:tcPr>
            <w:tcW w:w="930" w:type="dxa"/>
          </w:tcPr>
          <w:p w14:paraId="5DBC8D8D" w14:textId="0ECEA4C7"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250</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2</w:t>
            </w:r>
          </w:p>
        </w:tc>
        <w:tc>
          <w:tcPr>
            <w:tcW w:w="425" w:type="dxa"/>
          </w:tcPr>
          <w:p w14:paraId="258F48AB" w14:textId="201A91C0"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04E397EC" w14:textId="518B544B"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126</w:t>
            </w:r>
          </w:p>
        </w:tc>
        <w:tc>
          <w:tcPr>
            <w:tcW w:w="851" w:type="dxa"/>
          </w:tcPr>
          <w:p w14:paraId="2A47FD5F" w14:textId="08F49447"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171</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8</w:t>
            </w:r>
          </w:p>
        </w:tc>
        <w:tc>
          <w:tcPr>
            <w:tcW w:w="298" w:type="dxa"/>
          </w:tcPr>
          <w:p w14:paraId="5397140F"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26CFE7AD" w14:textId="4A54D3B2"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682</w:t>
            </w:r>
          </w:p>
        </w:tc>
        <w:tc>
          <w:tcPr>
            <w:tcW w:w="944" w:type="dxa"/>
          </w:tcPr>
          <w:p w14:paraId="08255C0F" w14:textId="4B4FA47E" w:rsidR="0066262C" w:rsidRPr="005F43F7" w:rsidRDefault="0066262C" w:rsidP="0066262C">
            <w:pPr>
              <w:ind w:right="27"/>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2</w:t>
            </w:r>
            <w:r>
              <w:rPr>
                <w:rFonts w:ascii="Arial" w:hAnsi="Arial" w:cs="Arial"/>
                <w:color w:val="0D0D0D" w:themeColor="text1" w:themeTint="F2"/>
                <w:sz w:val="18"/>
                <w:szCs w:val="18"/>
                <w:highlight w:val="yellow"/>
              </w:rPr>
              <w:t>04</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3</w:t>
            </w:r>
          </w:p>
        </w:tc>
        <w:tc>
          <w:tcPr>
            <w:tcW w:w="425" w:type="dxa"/>
          </w:tcPr>
          <w:p w14:paraId="128FDD63"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342CDCDB" w14:textId="190DFE6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486</w:t>
            </w:r>
          </w:p>
        </w:tc>
        <w:tc>
          <w:tcPr>
            <w:tcW w:w="930" w:type="dxa"/>
          </w:tcPr>
          <w:p w14:paraId="43D86BDE" w14:textId="7B9E5D26"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223</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4</w:t>
            </w:r>
          </w:p>
        </w:tc>
      </w:tr>
      <w:tr w:rsidR="0066262C" w:rsidRPr="005F43F7" w14:paraId="64590D64" w14:textId="60AF0222" w:rsidTr="0066262C">
        <w:trPr>
          <w:gridAfter w:val="1"/>
          <w:wAfter w:w="226" w:type="dxa"/>
        </w:trPr>
        <w:tc>
          <w:tcPr>
            <w:tcW w:w="1622" w:type="dxa"/>
            <w:vAlign w:val="bottom"/>
          </w:tcPr>
          <w:p w14:paraId="05E4C718"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Kuala Lumpur</w:t>
            </w:r>
          </w:p>
        </w:tc>
        <w:tc>
          <w:tcPr>
            <w:tcW w:w="709" w:type="dxa"/>
          </w:tcPr>
          <w:p w14:paraId="34B68849" w14:textId="06D046E1"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260</w:t>
            </w:r>
          </w:p>
        </w:tc>
        <w:tc>
          <w:tcPr>
            <w:tcW w:w="930" w:type="dxa"/>
          </w:tcPr>
          <w:p w14:paraId="59972492" w14:textId="38273A2B" w:rsidR="0066262C" w:rsidRPr="005F43F7" w:rsidRDefault="0066262C" w:rsidP="0066262C">
            <w:pPr>
              <w:ind w:right="27"/>
              <w:jc w:val="right"/>
              <w:rPr>
                <w:rFonts w:ascii="Arial" w:hAnsi="Arial" w:cs="Arial"/>
                <w:color w:val="0D0D0D" w:themeColor="text1" w:themeTint="F2"/>
                <w:sz w:val="18"/>
                <w:szCs w:val="18"/>
                <w:highlight w:val="yellow"/>
              </w:rPr>
            </w:pPr>
            <w:r w:rsidRPr="005F43F7">
              <w:rPr>
                <w:rFonts w:ascii="Arial" w:hAnsi="Arial" w:cs="Arial"/>
                <w:color w:val="0D0D0D" w:themeColor="text1" w:themeTint="F2"/>
                <w:sz w:val="18"/>
                <w:szCs w:val="18"/>
                <w:highlight w:val="yellow"/>
              </w:rPr>
              <w:t>2</w:t>
            </w:r>
            <w:r>
              <w:rPr>
                <w:rFonts w:ascii="Arial" w:hAnsi="Arial" w:cs="Arial"/>
                <w:color w:val="0D0D0D" w:themeColor="text1" w:themeTint="F2"/>
                <w:sz w:val="18"/>
                <w:szCs w:val="18"/>
                <w:highlight w:val="yellow"/>
              </w:rPr>
              <w:t>81</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3</w:t>
            </w:r>
          </w:p>
        </w:tc>
        <w:tc>
          <w:tcPr>
            <w:tcW w:w="425" w:type="dxa"/>
          </w:tcPr>
          <w:p w14:paraId="1662DCE4" w14:textId="0ADD1AEE"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69C0E739" w14:textId="7D4EE702"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851" w:type="dxa"/>
          </w:tcPr>
          <w:p w14:paraId="28737217" w14:textId="27C140B3"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298" w:type="dxa"/>
          </w:tcPr>
          <w:p w14:paraId="4456756F"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6FECA3E9" w14:textId="173E5FDF"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335</w:t>
            </w:r>
          </w:p>
        </w:tc>
        <w:tc>
          <w:tcPr>
            <w:tcW w:w="944" w:type="dxa"/>
          </w:tcPr>
          <w:p w14:paraId="43D19288" w14:textId="242D62FF" w:rsidR="0066262C" w:rsidRPr="005F43F7" w:rsidRDefault="0066262C" w:rsidP="0066262C">
            <w:pPr>
              <w:ind w:right="27"/>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210</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2</w:t>
            </w:r>
          </w:p>
        </w:tc>
        <w:tc>
          <w:tcPr>
            <w:tcW w:w="425" w:type="dxa"/>
          </w:tcPr>
          <w:p w14:paraId="7BEDB365"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69082BFD" w14:textId="5529DF6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321</w:t>
            </w:r>
          </w:p>
        </w:tc>
        <w:tc>
          <w:tcPr>
            <w:tcW w:w="930" w:type="dxa"/>
          </w:tcPr>
          <w:p w14:paraId="34F1AE11" w14:textId="000AB2EE"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268</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3</w:t>
            </w:r>
          </w:p>
        </w:tc>
      </w:tr>
      <w:tr w:rsidR="0066262C" w:rsidRPr="005F43F7" w14:paraId="652770EF" w14:textId="36AF823E" w:rsidTr="0066262C">
        <w:trPr>
          <w:gridAfter w:val="1"/>
          <w:wAfter w:w="226" w:type="dxa"/>
        </w:trPr>
        <w:tc>
          <w:tcPr>
            <w:tcW w:w="1622" w:type="dxa"/>
            <w:vAlign w:val="bottom"/>
          </w:tcPr>
          <w:p w14:paraId="476396F6"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Putrajaya</w:t>
            </w:r>
          </w:p>
        </w:tc>
        <w:tc>
          <w:tcPr>
            <w:tcW w:w="709" w:type="dxa"/>
          </w:tcPr>
          <w:p w14:paraId="52A328D8" w14:textId="7C4DEF5D"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5862B943" w14:textId="00BF9DC8"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425" w:type="dxa"/>
          </w:tcPr>
          <w:p w14:paraId="5E6A3487" w14:textId="3747177E"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2B6DFC2E" w14:textId="442650FD"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61</w:t>
            </w:r>
          </w:p>
        </w:tc>
        <w:tc>
          <w:tcPr>
            <w:tcW w:w="851" w:type="dxa"/>
          </w:tcPr>
          <w:p w14:paraId="35704216" w14:textId="13DEEC08"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116</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9</w:t>
            </w:r>
          </w:p>
        </w:tc>
        <w:tc>
          <w:tcPr>
            <w:tcW w:w="298" w:type="dxa"/>
          </w:tcPr>
          <w:p w14:paraId="1DAA77F7"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2EA40382" w14:textId="377FB6F6"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82</w:t>
            </w:r>
          </w:p>
        </w:tc>
        <w:tc>
          <w:tcPr>
            <w:tcW w:w="944" w:type="dxa"/>
          </w:tcPr>
          <w:p w14:paraId="4AA51A8B" w14:textId="49ABCFD8"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171</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7</w:t>
            </w:r>
          </w:p>
        </w:tc>
        <w:tc>
          <w:tcPr>
            <w:tcW w:w="425" w:type="dxa"/>
          </w:tcPr>
          <w:p w14:paraId="1EBCF77C"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526F24CA" w14:textId="6411189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0624439E" w14:textId="3D4B85B0"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1F836BFA" w14:textId="3842B5A1" w:rsidTr="0066262C">
        <w:trPr>
          <w:gridAfter w:val="1"/>
          <w:wAfter w:w="226" w:type="dxa"/>
        </w:trPr>
        <w:tc>
          <w:tcPr>
            <w:tcW w:w="1622" w:type="dxa"/>
            <w:vAlign w:val="bottom"/>
          </w:tcPr>
          <w:p w14:paraId="35247171"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Ipoh</w:t>
            </w:r>
          </w:p>
        </w:tc>
        <w:tc>
          <w:tcPr>
            <w:tcW w:w="709" w:type="dxa"/>
          </w:tcPr>
          <w:p w14:paraId="5220D61D" w14:textId="5C826349"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199</w:t>
            </w:r>
          </w:p>
        </w:tc>
        <w:tc>
          <w:tcPr>
            <w:tcW w:w="930" w:type="dxa"/>
          </w:tcPr>
          <w:p w14:paraId="50C2FD1C" w14:textId="6DB8C304"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302</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3</w:t>
            </w:r>
          </w:p>
        </w:tc>
        <w:tc>
          <w:tcPr>
            <w:tcW w:w="425" w:type="dxa"/>
          </w:tcPr>
          <w:p w14:paraId="63750E8F" w14:textId="48D42DBC"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1CBC79AA" w14:textId="21BAA065"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851" w:type="dxa"/>
          </w:tcPr>
          <w:p w14:paraId="05942FF3" w14:textId="0F01E6B4"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298" w:type="dxa"/>
          </w:tcPr>
          <w:p w14:paraId="4D39D352"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210031CE" w14:textId="003A0586"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5AC6E2E1" w14:textId="0B36C0AF"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05B1E68B"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14E61740" w14:textId="5AB424FB"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323</w:t>
            </w:r>
          </w:p>
        </w:tc>
        <w:tc>
          <w:tcPr>
            <w:tcW w:w="930" w:type="dxa"/>
          </w:tcPr>
          <w:p w14:paraId="723EA1ED" w14:textId="1F6ED41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275</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2</w:t>
            </w:r>
          </w:p>
        </w:tc>
      </w:tr>
      <w:tr w:rsidR="0066262C" w:rsidRPr="005F43F7" w14:paraId="0038E994" w14:textId="67D6E307" w:rsidTr="0066262C">
        <w:trPr>
          <w:gridAfter w:val="1"/>
          <w:wAfter w:w="226" w:type="dxa"/>
        </w:trPr>
        <w:tc>
          <w:tcPr>
            <w:tcW w:w="1622" w:type="dxa"/>
            <w:vAlign w:val="bottom"/>
          </w:tcPr>
          <w:p w14:paraId="0FD21BE2"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Penang</w:t>
            </w:r>
          </w:p>
        </w:tc>
        <w:tc>
          <w:tcPr>
            <w:tcW w:w="709" w:type="dxa"/>
          </w:tcPr>
          <w:p w14:paraId="0A845A36" w14:textId="4F25A1B3"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663</w:t>
            </w:r>
          </w:p>
        </w:tc>
        <w:tc>
          <w:tcPr>
            <w:tcW w:w="930" w:type="dxa"/>
          </w:tcPr>
          <w:p w14:paraId="12858A6F" w14:textId="33478BD1"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260</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2</w:t>
            </w:r>
          </w:p>
        </w:tc>
        <w:tc>
          <w:tcPr>
            <w:tcW w:w="425" w:type="dxa"/>
          </w:tcPr>
          <w:p w14:paraId="281C7C5F" w14:textId="444BCA20"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67DC1D41" w14:textId="39D3FE0B"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555</w:t>
            </w:r>
          </w:p>
        </w:tc>
        <w:tc>
          <w:tcPr>
            <w:tcW w:w="851" w:type="dxa"/>
          </w:tcPr>
          <w:p w14:paraId="025B312A" w14:textId="0F2FB840" w:rsidR="0066262C" w:rsidRPr="005F43F7" w:rsidRDefault="0066262C" w:rsidP="0066262C">
            <w:pPr>
              <w:ind w:right="31"/>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162</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2</w:t>
            </w:r>
          </w:p>
        </w:tc>
        <w:tc>
          <w:tcPr>
            <w:tcW w:w="298" w:type="dxa"/>
          </w:tcPr>
          <w:p w14:paraId="6D0866C8"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7F79D6F8" w14:textId="00AB46C8"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20F93762" w14:textId="03A6CBFE"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3128AA85"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002284EA" w14:textId="7C2FF39E"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39D06CF8" w14:textId="1D2075E8"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3440E32E" w14:textId="0BF12F61" w:rsidTr="0066262C">
        <w:trPr>
          <w:gridAfter w:val="1"/>
          <w:wAfter w:w="226" w:type="dxa"/>
        </w:trPr>
        <w:tc>
          <w:tcPr>
            <w:tcW w:w="1622" w:type="dxa"/>
            <w:vAlign w:val="bottom"/>
          </w:tcPr>
          <w:p w14:paraId="2265722A" w14:textId="77777777" w:rsidR="0066262C" w:rsidRPr="005F43F7" w:rsidRDefault="0066262C" w:rsidP="0066262C">
            <w:pPr>
              <w:ind w:right="-330"/>
              <w:rPr>
                <w:rFonts w:ascii="Arial" w:hAnsi="Arial" w:cs="Arial"/>
                <w:color w:val="0D0D0D" w:themeColor="text1" w:themeTint="F2"/>
                <w:sz w:val="20"/>
                <w:szCs w:val="20"/>
                <w:highlight w:val="yellow"/>
              </w:rPr>
            </w:pPr>
            <w:proofErr w:type="spellStart"/>
            <w:r w:rsidRPr="005F43F7">
              <w:rPr>
                <w:rFonts w:ascii="Arial" w:hAnsi="Arial" w:cs="Arial"/>
                <w:color w:val="0D0D0D" w:themeColor="text1" w:themeTint="F2"/>
                <w:sz w:val="20"/>
                <w:szCs w:val="20"/>
                <w:highlight w:val="yellow"/>
              </w:rPr>
              <w:t>Alor</w:t>
            </w:r>
            <w:proofErr w:type="spellEnd"/>
            <w:r w:rsidRPr="005F43F7">
              <w:rPr>
                <w:rFonts w:ascii="Arial" w:hAnsi="Arial" w:cs="Arial"/>
                <w:color w:val="0D0D0D" w:themeColor="text1" w:themeTint="F2"/>
                <w:sz w:val="20"/>
                <w:szCs w:val="20"/>
                <w:highlight w:val="yellow"/>
              </w:rPr>
              <w:t xml:space="preserve"> </w:t>
            </w:r>
            <w:proofErr w:type="spellStart"/>
            <w:r w:rsidRPr="005F43F7">
              <w:rPr>
                <w:rFonts w:ascii="Arial" w:hAnsi="Arial" w:cs="Arial"/>
                <w:color w:val="0D0D0D" w:themeColor="text1" w:themeTint="F2"/>
                <w:sz w:val="20"/>
                <w:szCs w:val="20"/>
                <w:highlight w:val="yellow"/>
              </w:rPr>
              <w:t>Setar</w:t>
            </w:r>
            <w:proofErr w:type="spellEnd"/>
          </w:p>
        </w:tc>
        <w:tc>
          <w:tcPr>
            <w:tcW w:w="709" w:type="dxa"/>
          </w:tcPr>
          <w:p w14:paraId="28D96CDC" w14:textId="2B1D86A6"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117</w:t>
            </w:r>
          </w:p>
        </w:tc>
        <w:tc>
          <w:tcPr>
            <w:tcW w:w="930" w:type="dxa"/>
          </w:tcPr>
          <w:p w14:paraId="3831ED3E" w14:textId="49010314"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237</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3</w:t>
            </w:r>
          </w:p>
        </w:tc>
        <w:tc>
          <w:tcPr>
            <w:tcW w:w="425" w:type="dxa"/>
          </w:tcPr>
          <w:p w14:paraId="6E673BA3" w14:textId="1CD0C97F"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0967CD6F" w14:textId="5D146089"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599</w:t>
            </w:r>
          </w:p>
        </w:tc>
        <w:tc>
          <w:tcPr>
            <w:tcW w:w="851" w:type="dxa"/>
          </w:tcPr>
          <w:p w14:paraId="6E40E07B" w14:textId="3BC638E4" w:rsidR="0066262C" w:rsidRPr="005F43F7" w:rsidRDefault="0066262C" w:rsidP="0066262C">
            <w:pPr>
              <w:ind w:right="31"/>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1</w:t>
            </w:r>
            <w:r>
              <w:rPr>
                <w:rFonts w:ascii="Arial" w:hAnsi="Arial" w:cs="Arial"/>
                <w:color w:val="0D0D0D" w:themeColor="text1" w:themeTint="F2"/>
                <w:sz w:val="18"/>
                <w:szCs w:val="18"/>
                <w:highlight w:val="yellow"/>
              </w:rPr>
              <w:t>43</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2</w:t>
            </w:r>
          </w:p>
        </w:tc>
        <w:tc>
          <w:tcPr>
            <w:tcW w:w="298" w:type="dxa"/>
          </w:tcPr>
          <w:p w14:paraId="4060DB9F"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49F0C1A0" w14:textId="2C7B18F9"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7220D2B9" w14:textId="76402355"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258999F0"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2AE34E93" w14:textId="13C145EE"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3EB34214" w14:textId="578E5B5E"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424C8CF7" w14:textId="7DFAC8B0" w:rsidTr="0066262C">
        <w:trPr>
          <w:gridAfter w:val="1"/>
          <w:wAfter w:w="226" w:type="dxa"/>
        </w:trPr>
        <w:tc>
          <w:tcPr>
            <w:tcW w:w="1622" w:type="dxa"/>
            <w:vAlign w:val="bottom"/>
          </w:tcPr>
          <w:p w14:paraId="38581D33" w14:textId="77777777" w:rsidR="0066262C" w:rsidRPr="005F43F7" w:rsidRDefault="0066262C" w:rsidP="0066262C">
            <w:pPr>
              <w:ind w:right="-330"/>
              <w:rPr>
                <w:rFonts w:ascii="Arial" w:hAnsi="Arial" w:cs="Arial"/>
                <w:color w:val="0D0D0D" w:themeColor="text1" w:themeTint="F2"/>
                <w:sz w:val="20"/>
                <w:szCs w:val="20"/>
                <w:highlight w:val="yellow"/>
              </w:rPr>
            </w:pPr>
            <w:proofErr w:type="spellStart"/>
            <w:r w:rsidRPr="005F43F7">
              <w:rPr>
                <w:rFonts w:ascii="Arial" w:hAnsi="Arial" w:cs="Arial"/>
                <w:color w:val="0D0D0D" w:themeColor="text1" w:themeTint="F2"/>
                <w:sz w:val="20"/>
                <w:szCs w:val="20"/>
                <w:highlight w:val="yellow"/>
              </w:rPr>
              <w:t>Kangar</w:t>
            </w:r>
            <w:proofErr w:type="spellEnd"/>
          </w:p>
        </w:tc>
        <w:tc>
          <w:tcPr>
            <w:tcW w:w="709" w:type="dxa"/>
          </w:tcPr>
          <w:p w14:paraId="2764FDED" w14:textId="30EE3BA2"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686E431D" w14:textId="4C4447DE"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425" w:type="dxa"/>
          </w:tcPr>
          <w:p w14:paraId="69119D74" w14:textId="7C8ED03C"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63D256E3" w14:textId="6397F78B" w:rsidR="0066262C" w:rsidRPr="005F43F7" w:rsidRDefault="0066262C" w:rsidP="0066262C">
            <w:pPr>
              <w:ind w:right="27"/>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268</w:t>
            </w:r>
          </w:p>
        </w:tc>
        <w:tc>
          <w:tcPr>
            <w:tcW w:w="851" w:type="dxa"/>
          </w:tcPr>
          <w:p w14:paraId="175C23F3" w14:textId="58007FAA" w:rsidR="0066262C" w:rsidRPr="005F43F7" w:rsidRDefault="0066262C" w:rsidP="0066262C">
            <w:pPr>
              <w:ind w:right="31"/>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93</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6</w:t>
            </w:r>
          </w:p>
        </w:tc>
        <w:tc>
          <w:tcPr>
            <w:tcW w:w="298" w:type="dxa"/>
          </w:tcPr>
          <w:p w14:paraId="5C136F4A"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44DBE0D1" w14:textId="18B6D6ED"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08A86AD8" w14:textId="099305E4"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52D45B97"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37CAA246" w14:textId="3CED9595"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18F1F676" w14:textId="1788B966"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0F0E6775" w14:textId="1588BD59" w:rsidTr="0066262C">
        <w:trPr>
          <w:gridAfter w:val="1"/>
          <w:wAfter w:w="226" w:type="dxa"/>
        </w:trPr>
        <w:tc>
          <w:tcPr>
            <w:tcW w:w="1622" w:type="dxa"/>
            <w:vAlign w:val="bottom"/>
          </w:tcPr>
          <w:p w14:paraId="0DC8ADCF"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Kota Bharu</w:t>
            </w:r>
          </w:p>
        </w:tc>
        <w:tc>
          <w:tcPr>
            <w:tcW w:w="709" w:type="dxa"/>
          </w:tcPr>
          <w:p w14:paraId="66C09C03" w14:textId="4EABB492"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062E19AD" w14:textId="2C3B2E51"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425" w:type="dxa"/>
          </w:tcPr>
          <w:p w14:paraId="319BBB9E" w14:textId="33A5D2E5"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3E7977F6" w14:textId="262E7360" w:rsidR="0066262C" w:rsidRPr="005F43F7" w:rsidRDefault="0066262C" w:rsidP="0066262C">
            <w:pPr>
              <w:ind w:right="27"/>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498</w:t>
            </w:r>
          </w:p>
        </w:tc>
        <w:tc>
          <w:tcPr>
            <w:tcW w:w="851" w:type="dxa"/>
          </w:tcPr>
          <w:p w14:paraId="54FBF0DB" w14:textId="5F0D02D0" w:rsidR="0066262C" w:rsidRPr="005F43F7" w:rsidRDefault="0066262C" w:rsidP="0066262C">
            <w:pPr>
              <w:ind w:right="31"/>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181</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1</w:t>
            </w:r>
          </w:p>
        </w:tc>
        <w:tc>
          <w:tcPr>
            <w:tcW w:w="298" w:type="dxa"/>
          </w:tcPr>
          <w:p w14:paraId="76005E41"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6053EF41" w14:textId="5E2E9324"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643A3515" w14:textId="28EBF0BC"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2B88BFC5"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3831BEA9" w14:textId="07EDF4E8"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39D4C6D0" w14:textId="795B5B09"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4FBDAF77" w14:textId="32DBFE58" w:rsidTr="0066262C">
        <w:trPr>
          <w:gridAfter w:val="1"/>
          <w:wAfter w:w="226" w:type="dxa"/>
        </w:trPr>
        <w:tc>
          <w:tcPr>
            <w:tcW w:w="1622" w:type="dxa"/>
            <w:vAlign w:val="bottom"/>
          </w:tcPr>
          <w:p w14:paraId="36A3BAFD"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lastRenderedPageBreak/>
              <w:t>Kuala Terengganu</w:t>
            </w:r>
          </w:p>
        </w:tc>
        <w:tc>
          <w:tcPr>
            <w:tcW w:w="709" w:type="dxa"/>
          </w:tcPr>
          <w:p w14:paraId="42493A53" w14:textId="2DD13A06"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0E4F67C2" w14:textId="61941E02"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425" w:type="dxa"/>
          </w:tcPr>
          <w:p w14:paraId="174C3CA5" w14:textId="755E01BB"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62BF3E23" w14:textId="1131D6B5" w:rsidR="0066262C" w:rsidRPr="005F43F7" w:rsidRDefault="0066262C" w:rsidP="0066262C">
            <w:pPr>
              <w:ind w:right="27"/>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744</w:t>
            </w:r>
          </w:p>
        </w:tc>
        <w:tc>
          <w:tcPr>
            <w:tcW w:w="851" w:type="dxa"/>
          </w:tcPr>
          <w:p w14:paraId="5DBFA765" w14:textId="40069BDF" w:rsidR="0066262C" w:rsidRPr="005F43F7" w:rsidRDefault="0066262C" w:rsidP="0066262C">
            <w:pPr>
              <w:ind w:right="31"/>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146</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1</w:t>
            </w:r>
          </w:p>
        </w:tc>
        <w:tc>
          <w:tcPr>
            <w:tcW w:w="298" w:type="dxa"/>
          </w:tcPr>
          <w:p w14:paraId="60159BB5"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1C85B000" w14:textId="191ED583"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09F85B17" w14:textId="297820A2"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3B4449FF"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45D79D7E" w14:textId="72694BCB"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3CB93535" w14:textId="0E9C5EB6"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r w:rsidR="0066262C" w:rsidRPr="005F43F7" w14:paraId="6BB723CD" w14:textId="283B17C9" w:rsidTr="0066262C">
        <w:trPr>
          <w:gridAfter w:val="1"/>
          <w:wAfter w:w="226" w:type="dxa"/>
        </w:trPr>
        <w:tc>
          <w:tcPr>
            <w:tcW w:w="1622" w:type="dxa"/>
            <w:vAlign w:val="bottom"/>
          </w:tcPr>
          <w:p w14:paraId="3B013C4D" w14:textId="77777777" w:rsidR="0066262C" w:rsidRPr="005F43F7" w:rsidRDefault="0066262C" w:rsidP="0066262C">
            <w:pPr>
              <w:ind w:right="-330"/>
              <w:rPr>
                <w:rFonts w:ascii="Arial" w:hAnsi="Arial" w:cs="Arial"/>
                <w:color w:val="0D0D0D" w:themeColor="text1" w:themeTint="F2"/>
                <w:sz w:val="20"/>
                <w:szCs w:val="20"/>
                <w:highlight w:val="yellow"/>
              </w:rPr>
            </w:pPr>
            <w:r w:rsidRPr="005F43F7">
              <w:rPr>
                <w:rFonts w:ascii="Arial" w:hAnsi="Arial" w:cs="Arial"/>
                <w:color w:val="0D0D0D" w:themeColor="text1" w:themeTint="F2"/>
                <w:sz w:val="20"/>
                <w:szCs w:val="20"/>
                <w:highlight w:val="yellow"/>
              </w:rPr>
              <w:t>Kuantan</w:t>
            </w:r>
          </w:p>
        </w:tc>
        <w:tc>
          <w:tcPr>
            <w:tcW w:w="709" w:type="dxa"/>
          </w:tcPr>
          <w:p w14:paraId="3973282B" w14:textId="7D098329" w:rsidR="0066262C" w:rsidRPr="005F43F7" w:rsidRDefault="0066262C" w:rsidP="0066262C">
            <w:pPr>
              <w:ind w:right="-364"/>
              <w:jc w:val="center"/>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109</w:t>
            </w:r>
          </w:p>
        </w:tc>
        <w:tc>
          <w:tcPr>
            <w:tcW w:w="930" w:type="dxa"/>
          </w:tcPr>
          <w:p w14:paraId="11D8DD6E" w14:textId="061DDBD3"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220</w:t>
            </w:r>
            <w:r w:rsidRPr="005F43F7">
              <w:rPr>
                <w:rFonts w:ascii="Arial" w:hAnsi="Arial" w:cs="Arial"/>
                <w:color w:val="0D0D0D" w:themeColor="text1" w:themeTint="F2"/>
                <w:sz w:val="18"/>
                <w:szCs w:val="18"/>
                <w:highlight w:val="yellow"/>
              </w:rPr>
              <w:sym w:font="Symbol" w:char="F0B1"/>
            </w:r>
            <w:r>
              <w:rPr>
                <w:rFonts w:ascii="Arial" w:hAnsi="Arial" w:cs="Arial"/>
                <w:color w:val="0D0D0D" w:themeColor="text1" w:themeTint="F2"/>
                <w:sz w:val="18"/>
                <w:szCs w:val="18"/>
                <w:highlight w:val="yellow"/>
              </w:rPr>
              <w:t>5</w:t>
            </w:r>
          </w:p>
        </w:tc>
        <w:tc>
          <w:tcPr>
            <w:tcW w:w="425" w:type="dxa"/>
          </w:tcPr>
          <w:p w14:paraId="47B37657" w14:textId="73DD6028" w:rsidR="0066262C" w:rsidRPr="005F43F7" w:rsidRDefault="0066262C" w:rsidP="0066262C">
            <w:pPr>
              <w:ind w:right="43"/>
              <w:jc w:val="right"/>
              <w:rPr>
                <w:rFonts w:ascii="Arial" w:hAnsi="Arial" w:cs="Arial"/>
                <w:color w:val="0D0D0D" w:themeColor="text1" w:themeTint="F2"/>
                <w:sz w:val="20"/>
                <w:szCs w:val="20"/>
                <w:highlight w:val="yellow"/>
              </w:rPr>
            </w:pPr>
          </w:p>
        </w:tc>
        <w:tc>
          <w:tcPr>
            <w:tcW w:w="552" w:type="dxa"/>
          </w:tcPr>
          <w:p w14:paraId="4ACFB5FB" w14:textId="5119A61E"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712</w:t>
            </w:r>
          </w:p>
        </w:tc>
        <w:tc>
          <w:tcPr>
            <w:tcW w:w="851" w:type="dxa"/>
          </w:tcPr>
          <w:p w14:paraId="1D8537E0" w14:textId="3AD4FF6C" w:rsidR="0066262C" w:rsidRPr="005F43F7" w:rsidRDefault="0066262C" w:rsidP="0066262C">
            <w:pPr>
              <w:ind w:right="31"/>
              <w:jc w:val="right"/>
              <w:rPr>
                <w:rFonts w:ascii="Arial" w:hAnsi="Arial" w:cs="Arial"/>
                <w:color w:val="0D0D0D" w:themeColor="text1" w:themeTint="F2"/>
                <w:sz w:val="20"/>
                <w:szCs w:val="20"/>
                <w:highlight w:val="yellow"/>
              </w:rPr>
            </w:pPr>
            <w:r w:rsidRPr="005F43F7">
              <w:rPr>
                <w:rFonts w:ascii="Arial" w:hAnsi="Arial" w:cs="Arial"/>
                <w:color w:val="0D0D0D" w:themeColor="text1" w:themeTint="F2"/>
                <w:sz w:val="18"/>
                <w:szCs w:val="18"/>
                <w:highlight w:val="yellow"/>
              </w:rPr>
              <w:t>1</w:t>
            </w:r>
            <w:r>
              <w:rPr>
                <w:rFonts w:ascii="Arial" w:hAnsi="Arial" w:cs="Arial"/>
                <w:color w:val="0D0D0D" w:themeColor="text1" w:themeTint="F2"/>
                <w:sz w:val="18"/>
                <w:szCs w:val="18"/>
                <w:highlight w:val="yellow"/>
              </w:rPr>
              <w:t>60</w:t>
            </w:r>
            <w:r w:rsidRPr="005F43F7">
              <w:rPr>
                <w:rFonts w:ascii="Arial" w:hAnsi="Arial" w:cs="Arial"/>
                <w:color w:val="0D0D0D" w:themeColor="text1" w:themeTint="F2"/>
                <w:sz w:val="18"/>
                <w:szCs w:val="18"/>
                <w:highlight w:val="yellow"/>
              </w:rPr>
              <w:sym w:font="Symbol" w:char="F0B1"/>
            </w:r>
            <w:r w:rsidRPr="005F43F7">
              <w:rPr>
                <w:rFonts w:ascii="Arial" w:hAnsi="Arial" w:cs="Arial"/>
                <w:color w:val="0D0D0D" w:themeColor="text1" w:themeTint="F2"/>
                <w:sz w:val="18"/>
                <w:szCs w:val="18"/>
                <w:highlight w:val="yellow"/>
              </w:rPr>
              <w:t>1</w:t>
            </w:r>
          </w:p>
        </w:tc>
        <w:tc>
          <w:tcPr>
            <w:tcW w:w="298" w:type="dxa"/>
          </w:tcPr>
          <w:p w14:paraId="712FDEF3"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57" w:type="dxa"/>
          </w:tcPr>
          <w:p w14:paraId="1ABD501D" w14:textId="7B5CA523"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944" w:type="dxa"/>
          </w:tcPr>
          <w:p w14:paraId="6B7CCC9D" w14:textId="02C11A0D" w:rsidR="0066262C" w:rsidRPr="005F43F7" w:rsidRDefault="0066262C" w:rsidP="0066262C">
            <w:pPr>
              <w:ind w:right="27"/>
              <w:jc w:val="right"/>
              <w:rPr>
                <w:rFonts w:ascii="Arial" w:hAnsi="Arial" w:cs="Arial"/>
                <w:color w:val="0D0D0D" w:themeColor="text1" w:themeTint="F2"/>
                <w:sz w:val="20"/>
                <w:szCs w:val="20"/>
                <w:highlight w:val="yellow"/>
              </w:rPr>
            </w:pPr>
            <w:r>
              <w:rPr>
                <w:rFonts w:ascii="Arial" w:hAnsi="Arial" w:cs="Arial"/>
                <w:color w:val="0D0D0D" w:themeColor="text1" w:themeTint="F2"/>
                <w:sz w:val="18"/>
                <w:szCs w:val="18"/>
                <w:highlight w:val="yellow"/>
              </w:rPr>
              <w:t>-</w:t>
            </w:r>
          </w:p>
        </w:tc>
        <w:tc>
          <w:tcPr>
            <w:tcW w:w="425" w:type="dxa"/>
          </w:tcPr>
          <w:p w14:paraId="54E83DF7" w14:textId="77777777" w:rsidR="0066262C" w:rsidRPr="005F43F7" w:rsidRDefault="0066262C" w:rsidP="0066262C">
            <w:pPr>
              <w:ind w:right="27"/>
              <w:jc w:val="right"/>
              <w:rPr>
                <w:rFonts w:ascii="Arial" w:hAnsi="Arial" w:cs="Arial"/>
                <w:color w:val="0D0D0D" w:themeColor="text1" w:themeTint="F2"/>
                <w:sz w:val="18"/>
                <w:szCs w:val="18"/>
                <w:highlight w:val="yellow"/>
              </w:rPr>
            </w:pPr>
          </w:p>
        </w:tc>
        <w:tc>
          <w:tcPr>
            <w:tcW w:w="771" w:type="dxa"/>
          </w:tcPr>
          <w:p w14:paraId="6C9DFCAD" w14:textId="3E723054"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c>
          <w:tcPr>
            <w:tcW w:w="930" w:type="dxa"/>
          </w:tcPr>
          <w:p w14:paraId="7E0C3236" w14:textId="5DC263BB" w:rsidR="0066262C" w:rsidRPr="005F43F7" w:rsidRDefault="0066262C" w:rsidP="0066262C">
            <w:pPr>
              <w:ind w:right="27"/>
              <w:jc w:val="right"/>
              <w:rPr>
                <w:rFonts w:ascii="Arial" w:hAnsi="Arial" w:cs="Arial"/>
                <w:color w:val="0D0D0D" w:themeColor="text1" w:themeTint="F2"/>
                <w:sz w:val="18"/>
                <w:szCs w:val="18"/>
                <w:highlight w:val="yellow"/>
              </w:rPr>
            </w:pPr>
            <w:r>
              <w:rPr>
                <w:rFonts w:ascii="Arial" w:hAnsi="Arial" w:cs="Arial"/>
                <w:color w:val="0D0D0D" w:themeColor="text1" w:themeTint="F2"/>
                <w:sz w:val="18"/>
                <w:szCs w:val="18"/>
                <w:highlight w:val="yellow"/>
              </w:rPr>
              <w:t>-</w:t>
            </w:r>
          </w:p>
        </w:tc>
      </w:tr>
    </w:tbl>
    <w:p w14:paraId="3030D95F" w14:textId="77777777" w:rsidR="009177D7" w:rsidRDefault="009177D7" w:rsidP="008E3344">
      <w:pPr>
        <w:pStyle w:val="Body"/>
        <w:spacing w:after="0"/>
        <w:rPr>
          <w:rFonts w:ascii="Arial" w:hAnsi="Arial" w:cs="Arial"/>
        </w:rPr>
      </w:pPr>
    </w:p>
    <w:p w14:paraId="4637D3B4" w14:textId="77777777" w:rsidR="009177D7" w:rsidRDefault="009177D7" w:rsidP="008E3344">
      <w:pPr>
        <w:pStyle w:val="Body"/>
        <w:spacing w:after="0"/>
        <w:rPr>
          <w:rFonts w:ascii="Arial" w:hAnsi="Arial" w:cs="Arial"/>
        </w:rPr>
      </w:pPr>
    </w:p>
    <w:p w14:paraId="7F29D6A1" w14:textId="77777777" w:rsidR="00765C37" w:rsidRDefault="00765C37" w:rsidP="008E3344">
      <w:pPr>
        <w:pStyle w:val="Body"/>
        <w:spacing w:after="0"/>
        <w:rPr>
          <w:rFonts w:ascii="Arial" w:hAnsi="Arial" w:cs="Arial"/>
        </w:rPr>
      </w:pPr>
    </w:p>
    <w:p w14:paraId="1C480C07" w14:textId="79B52AFF" w:rsidR="00765C37" w:rsidRPr="002C462C" w:rsidRDefault="005E43D5" w:rsidP="00765C37">
      <w:pPr>
        <w:pStyle w:val="Body"/>
        <w:rPr>
          <w:rFonts w:ascii="Arial" w:hAnsi="Arial" w:cs="Arial"/>
          <w:b/>
          <w:bCs/>
        </w:rPr>
      </w:pPr>
      <w:r w:rsidRPr="002C462C">
        <w:rPr>
          <w:rFonts w:ascii="Arial" w:hAnsi="Arial" w:cs="Arial"/>
          <w:b/>
          <w:bCs/>
        </w:rPr>
        <w:t xml:space="preserve">3.2 </w:t>
      </w:r>
      <w:r w:rsidR="00344B57">
        <w:rPr>
          <w:rFonts w:ascii="Arial" w:hAnsi="Arial" w:cs="Arial"/>
          <w:b/>
          <w:bCs/>
        </w:rPr>
        <w:t xml:space="preserve">Measured Activities </w:t>
      </w:r>
      <w:r w:rsidR="00344B57" w:rsidRPr="00344B57">
        <w:rPr>
          <w:rFonts w:ascii="Arial" w:hAnsi="Arial" w:cs="Arial"/>
          <w:b/>
          <w:bCs/>
        </w:rPr>
        <w:t xml:space="preserve">of </w:t>
      </w:r>
      <w:r w:rsidR="00344B57" w:rsidRPr="00344B57">
        <w:rPr>
          <w:rFonts w:ascii="Arial" w:hAnsi="Arial" w:cs="Arial"/>
          <w:b/>
          <w:bCs/>
          <w:vertAlign w:val="superscript"/>
        </w:rPr>
        <w:t>238</w:t>
      </w:r>
      <w:r w:rsidR="00344B57" w:rsidRPr="00344B57">
        <w:rPr>
          <w:rFonts w:ascii="Arial" w:hAnsi="Arial" w:cs="Arial"/>
          <w:b/>
          <w:bCs/>
        </w:rPr>
        <w:t xml:space="preserve">U and </w:t>
      </w:r>
      <w:r w:rsidR="00344B57" w:rsidRPr="00344B57">
        <w:rPr>
          <w:rFonts w:ascii="Arial" w:hAnsi="Arial" w:cs="Arial"/>
          <w:b/>
          <w:bCs/>
          <w:vertAlign w:val="superscript"/>
        </w:rPr>
        <w:t>232</w:t>
      </w:r>
      <w:r w:rsidR="00344B57" w:rsidRPr="00344B57">
        <w:rPr>
          <w:rFonts w:ascii="Arial" w:hAnsi="Arial" w:cs="Arial"/>
          <w:b/>
          <w:bCs/>
        </w:rPr>
        <w:t xml:space="preserve">Th decay series and </w:t>
      </w:r>
      <w:r w:rsidR="00344B57" w:rsidRPr="00344B57">
        <w:rPr>
          <w:rFonts w:ascii="Arial" w:hAnsi="Arial" w:cs="Arial"/>
          <w:b/>
          <w:bCs/>
          <w:vertAlign w:val="superscript"/>
        </w:rPr>
        <w:t>40</w:t>
      </w:r>
      <w:r w:rsidR="00344B57" w:rsidRPr="00344B57">
        <w:rPr>
          <w:rFonts w:ascii="Arial" w:hAnsi="Arial" w:cs="Arial"/>
          <w:b/>
          <w:bCs/>
        </w:rPr>
        <w:t>K</w:t>
      </w:r>
      <w:r w:rsidRPr="002C462C">
        <w:rPr>
          <w:rFonts w:ascii="Arial" w:hAnsi="Arial" w:cs="Arial"/>
          <w:b/>
          <w:bCs/>
        </w:rPr>
        <w:t xml:space="preserve"> </w:t>
      </w:r>
      <w:r w:rsidR="00D623B5" w:rsidRPr="002C462C">
        <w:rPr>
          <w:rFonts w:ascii="Arial" w:hAnsi="Arial" w:cs="Arial"/>
          <w:b/>
          <w:bCs/>
        </w:rPr>
        <w:t>in</w:t>
      </w:r>
      <w:r w:rsidRPr="002C462C">
        <w:rPr>
          <w:rFonts w:ascii="Arial" w:hAnsi="Arial" w:cs="Arial"/>
          <w:b/>
          <w:bCs/>
        </w:rPr>
        <w:t xml:space="preserve"> Urban </w:t>
      </w:r>
      <w:r w:rsidR="00344B57">
        <w:rPr>
          <w:rFonts w:ascii="Arial" w:hAnsi="Arial" w:cs="Arial"/>
          <w:b/>
          <w:bCs/>
        </w:rPr>
        <w:t>Soil</w:t>
      </w:r>
    </w:p>
    <w:p w14:paraId="58AAE3DD" w14:textId="74F0C294" w:rsidR="005E43D5" w:rsidRPr="00765C37" w:rsidRDefault="00765C37" w:rsidP="005E43D5">
      <w:pPr>
        <w:pStyle w:val="Body"/>
        <w:rPr>
          <w:rFonts w:ascii="Arial" w:hAnsi="Arial" w:cs="Arial"/>
        </w:rPr>
      </w:pPr>
      <w:r w:rsidRPr="00765C37">
        <w:rPr>
          <w:rFonts w:ascii="Arial" w:hAnsi="Arial" w:cs="Arial"/>
        </w:rPr>
        <w:t xml:space="preserve">Activity concentrations of </w:t>
      </w:r>
      <w:r w:rsidR="005E43D5" w:rsidRPr="005E43D5">
        <w:rPr>
          <w:rFonts w:ascii="Arial" w:hAnsi="Arial" w:cs="Arial"/>
          <w:vertAlign w:val="superscript"/>
        </w:rPr>
        <w:t>238</w:t>
      </w:r>
      <w:r w:rsidRPr="00765C37">
        <w:rPr>
          <w:rFonts w:ascii="Arial" w:hAnsi="Arial" w:cs="Arial"/>
        </w:rPr>
        <w:t>U</w:t>
      </w:r>
      <w:r w:rsidR="005E43D5">
        <w:rPr>
          <w:rFonts w:ascii="Arial" w:hAnsi="Arial" w:cs="Arial"/>
        </w:rPr>
        <w:t xml:space="preserve"> and </w:t>
      </w:r>
      <w:r w:rsidR="005E43D5" w:rsidRPr="005E43D5">
        <w:rPr>
          <w:rFonts w:ascii="Arial" w:hAnsi="Arial" w:cs="Arial"/>
          <w:vertAlign w:val="superscript"/>
        </w:rPr>
        <w:t>232</w:t>
      </w:r>
      <w:r w:rsidRPr="00765C37">
        <w:rPr>
          <w:rFonts w:ascii="Arial" w:hAnsi="Arial" w:cs="Arial"/>
        </w:rPr>
        <w:t xml:space="preserve">Th </w:t>
      </w:r>
      <w:r w:rsidR="005E43D5">
        <w:rPr>
          <w:rFonts w:ascii="Arial" w:hAnsi="Arial" w:cs="Arial"/>
        </w:rPr>
        <w:t xml:space="preserve">decay series </w:t>
      </w:r>
      <w:r w:rsidRPr="00765C37">
        <w:rPr>
          <w:rFonts w:ascii="Arial" w:hAnsi="Arial" w:cs="Arial"/>
        </w:rPr>
        <w:t xml:space="preserve">and </w:t>
      </w:r>
      <w:r w:rsidR="005E43D5" w:rsidRPr="005E43D5">
        <w:rPr>
          <w:rFonts w:ascii="Arial" w:hAnsi="Arial" w:cs="Arial"/>
          <w:vertAlign w:val="superscript"/>
        </w:rPr>
        <w:t>40</w:t>
      </w:r>
      <w:r w:rsidRPr="00765C37">
        <w:rPr>
          <w:rFonts w:ascii="Arial" w:hAnsi="Arial" w:cs="Arial"/>
        </w:rPr>
        <w:t xml:space="preserve">K in urban surface soils varied considerably across the major cities of Peninsular Malaysia </w:t>
      </w:r>
      <w:r w:rsidRPr="005A1A61">
        <w:rPr>
          <w:rFonts w:ascii="Arial" w:hAnsi="Arial" w:cs="Arial"/>
          <w:highlight w:val="yellow"/>
        </w:rPr>
        <w:t xml:space="preserve">(Table </w:t>
      </w:r>
      <w:r w:rsidR="005A1A61" w:rsidRPr="005A1A61">
        <w:rPr>
          <w:rFonts w:ascii="Arial" w:hAnsi="Arial" w:cs="Arial"/>
          <w:highlight w:val="yellow"/>
        </w:rPr>
        <w:t>3</w:t>
      </w:r>
      <w:r w:rsidRPr="005A1A61">
        <w:rPr>
          <w:rFonts w:ascii="Arial" w:hAnsi="Arial" w:cs="Arial"/>
          <w:highlight w:val="yellow"/>
        </w:rPr>
        <w:t>).</w:t>
      </w:r>
      <w:r w:rsidRPr="00765C37">
        <w:rPr>
          <w:rFonts w:ascii="Arial" w:hAnsi="Arial" w:cs="Arial"/>
        </w:rPr>
        <w:t xml:space="preserve"> </w:t>
      </w:r>
      <w:r w:rsidR="00AE4395" w:rsidRPr="005E43D5">
        <w:rPr>
          <w:rFonts w:ascii="Arial" w:hAnsi="Arial" w:cs="Arial"/>
          <w:vertAlign w:val="superscript"/>
        </w:rPr>
        <w:t>238</w:t>
      </w:r>
      <w:r w:rsidR="00AE4395" w:rsidRPr="00765C37">
        <w:rPr>
          <w:rFonts w:ascii="Arial" w:hAnsi="Arial" w:cs="Arial"/>
        </w:rPr>
        <w:t>U</w:t>
      </w:r>
      <w:r w:rsidRPr="00765C37">
        <w:rPr>
          <w:rFonts w:ascii="Arial" w:hAnsi="Arial" w:cs="Arial"/>
        </w:rPr>
        <w:t xml:space="preserve"> activity ranged from 27 ± 1 to 347 ± 24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AE4395" w:rsidRPr="005E43D5">
        <w:rPr>
          <w:rFonts w:ascii="Arial" w:hAnsi="Arial" w:cs="Arial"/>
          <w:vertAlign w:val="superscript"/>
        </w:rPr>
        <w:t>232</w:t>
      </w:r>
      <w:r w:rsidR="00AE4395" w:rsidRPr="00765C37">
        <w:rPr>
          <w:rFonts w:ascii="Arial" w:hAnsi="Arial" w:cs="Arial"/>
        </w:rPr>
        <w:t>Th</w:t>
      </w:r>
      <w:r w:rsidRPr="00765C37">
        <w:rPr>
          <w:rFonts w:ascii="Arial" w:hAnsi="Arial" w:cs="Arial"/>
        </w:rPr>
        <w:t xml:space="preserve"> from 27 ± 2 to 590 ± 18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from 61 ± 4 to 1857 ± 221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The highest overall </w:t>
      </w:r>
      <w:r w:rsidR="00010727" w:rsidRPr="00010727">
        <w:rPr>
          <w:rFonts w:ascii="Arial" w:hAnsi="Arial" w:cs="Arial"/>
          <w:vertAlign w:val="superscript"/>
        </w:rPr>
        <w:t>238</w:t>
      </w:r>
      <w:r w:rsidRPr="00765C37">
        <w:rPr>
          <w:rFonts w:ascii="Arial" w:hAnsi="Arial" w:cs="Arial"/>
        </w:rPr>
        <w:t xml:space="preserve">U concentrations were recorded in Selangor–Kuala Lumpur and Ipoh, while the lowest were observed in </w:t>
      </w:r>
      <w:proofErr w:type="spellStart"/>
      <w:r w:rsidRPr="00765C37">
        <w:rPr>
          <w:rFonts w:ascii="Arial" w:hAnsi="Arial" w:cs="Arial"/>
        </w:rPr>
        <w:t>Alor</w:t>
      </w:r>
      <w:proofErr w:type="spellEnd"/>
      <w:r w:rsidRPr="00765C37">
        <w:rPr>
          <w:rFonts w:ascii="Arial" w:hAnsi="Arial" w:cs="Arial"/>
        </w:rPr>
        <w:t xml:space="preserve"> </w:t>
      </w:r>
      <w:proofErr w:type="spellStart"/>
      <w:r w:rsidRPr="00765C37">
        <w:rPr>
          <w:rFonts w:ascii="Arial" w:hAnsi="Arial" w:cs="Arial"/>
        </w:rPr>
        <w:t>Setar</w:t>
      </w:r>
      <w:proofErr w:type="spellEnd"/>
      <w:r w:rsidRPr="00765C37">
        <w:rPr>
          <w:rFonts w:ascii="Arial" w:hAnsi="Arial" w:cs="Arial"/>
        </w:rPr>
        <w:t xml:space="preserve"> and Kota Bharu. </w:t>
      </w:r>
      <w:r w:rsidR="00010727" w:rsidRPr="00010727">
        <w:rPr>
          <w:rFonts w:ascii="Arial" w:hAnsi="Arial" w:cs="Arial"/>
          <w:vertAlign w:val="superscript"/>
        </w:rPr>
        <w:t>232</w:t>
      </w:r>
      <w:r w:rsidRPr="00765C37">
        <w:rPr>
          <w:rFonts w:ascii="Arial" w:hAnsi="Arial" w:cs="Arial"/>
        </w:rPr>
        <w:t>Th</w:t>
      </w:r>
      <w:r w:rsidR="00010727">
        <w:rPr>
          <w:rFonts w:ascii="Arial" w:hAnsi="Arial" w:cs="Arial"/>
        </w:rPr>
        <w:t xml:space="preserve"> e</w:t>
      </w:r>
      <w:r w:rsidRPr="00765C37">
        <w:rPr>
          <w:rFonts w:ascii="Arial" w:hAnsi="Arial" w:cs="Arial"/>
        </w:rPr>
        <w:t xml:space="preserve">xhibited a broader dynamic range with elevated values particularly in Ipoh (up to 590 ± 18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proofErr w:type="spellStart"/>
      <w:r w:rsidRPr="00765C37">
        <w:rPr>
          <w:rFonts w:ascii="Arial" w:hAnsi="Arial" w:cs="Arial"/>
        </w:rPr>
        <w:t>Kangar</w:t>
      </w:r>
      <w:proofErr w:type="spellEnd"/>
      <w:r w:rsidRPr="00765C37">
        <w:rPr>
          <w:rFonts w:ascii="Arial" w:hAnsi="Arial" w:cs="Arial"/>
        </w:rPr>
        <w:t xml:space="preserve"> (415 ± 17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reflecting the influence of</w:t>
      </w:r>
      <w:r w:rsidR="005120EE">
        <w:rPr>
          <w:rFonts w:ascii="Arial" w:hAnsi="Arial" w:cs="Arial"/>
        </w:rPr>
        <w:t xml:space="preserve"> disturbed superficial soils or miscellaneous materials</w:t>
      </w:r>
      <w:r w:rsidRPr="00765C37">
        <w:rPr>
          <w:rFonts w:ascii="Arial" w:hAnsi="Arial" w:cs="Arial"/>
        </w:rPr>
        <w:t xml:space="preserve">.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concentrations were most variable, spanning more than an order of magnitude and reaching maxima exceeding 1800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 Seremban and above 1300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 Melaka and Johor Bahru. These elevated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levels are associated with urban soils containing</w:t>
      </w:r>
      <w:r w:rsidR="001B385C">
        <w:rPr>
          <w:rFonts w:ascii="Arial" w:hAnsi="Arial" w:cs="Arial"/>
        </w:rPr>
        <w:t xml:space="preserve"> miscellaneous</w:t>
      </w:r>
      <w:r w:rsidRPr="00765C37">
        <w:rPr>
          <w:rFonts w:ascii="Arial" w:hAnsi="Arial" w:cs="Arial"/>
        </w:rPr>
        <w:t xml:space="preserve"> fragments, building debris or mixed fill materials.</w:t>
      </w:r>
    </w:p>
    <w:p w14:paraId="2EF46DDA" w14:textId="76DEC07C" w:rsidR="005E43D5" w:rsidRPr="00765C37" w:rsidRDefault="005E43D5" w:rsidP="005E43D5">
      <w:pPr>
        <w:pStyle w:val="Body"/>
        <w:rPr>
          <w:rFonts w:ascii="Arial" w:hAnsi="Arial" w:cs="Arial"/>
        </w:rPr>
      </w:pPr>
      <w:r w:rsidRPr="00765C37">
        <w:rPr>
          <w:rFonts w:ascii="Arial" w:hAnsi="Arial" w:cs="Arial"/>
        </w:rPr>
        <w:t xml:space="preserve">Johor Bahru soils displayed moderate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(47–171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010727" w:rsidRPr="00010727">
        <w:rPr>
          <w:rFonts w:ascii="Arial" w:hAnsi="Arial" w:cs="Arial"/>
          <w:vertAlign w:val="superscript"/>
        </w:rPr>
        <w:t>232</w:t>
      </w:r>
      <w:r w:rsidRPr="00765C37">
        <w:rPr>
          <w:rFonts w:ascii="Arial" w:hAnsi="Arial" w:cs="Arial"/>
        </w:rPr>
        <w:t xml:space="preserve">Th (64–257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concentrations but exhibited extremely heterogeneous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levels (172–1200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suggesting mixture of natural sediments with construction-derived materials. Melaka soils showed relatively high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(60–157 </w:t>
      </w:r>
      <w:proofErr w:type="spellStart"/>
      <w:r w:rsidRPr="00765C37">
        <w:rPr>
          <w:rFonts w:ascii="Arial" w:hAnsi="Arial" w:cs="Arial"/>
        </w:rPr>
        <w:t>Bq</w:t>
      </w:r>
      <w:proofErr w:type="spellEnd"/>
      <w:r w:rsidR="00C70792">
        <w:rPr>
          <w:rFonts w:ascii="Arial" w:hAnsi="Arial" w:cs="Arial"/>
        </w:rPr>
        <w:t xml:space="preserve"> </w:t>
      </w:r>
      <w:r w:rsidR="00C70792" w:rsidRPr="004B6170">
        <w:rPr>
          <w:rFonts w:ascii="Arial" w:hAnsi="Arial" w:cs="Arial"/>
        </w:rPr>
        <w:t>kg</w:t>
      </w:r>
      <w:r w:rsidR="00C70792" w:rsidRPr="004B6170">
        <w:rPr>
          <w:rFonts w:ascii="Cambria Math" w:hAnsi="Cambria Math" w:cs="Cambria Math"/>
        </w:rPr>
        <w:t>⁻</w:t>
      </w:r>
      <w:r w:rsidR="00C70792" w:rsidRPr="004B6170">
        <w:rPr>
          <w:rFonts w:ascii="Arial" w:hAnsi="Arial" w:cs="Arial"/>
        </w:rPr>
        <w:t>¹</w:t>
      </w:r>
      <w:r w:rsidR="00C70792" w:rsidRPr="00765C37">
        <w:rPr>
          <w:rFonts w:ascii="Arial" w:hAnsi="Arial" w:cs="Arial"/>
        </w:rPr>
        <w:t xml:space="preserve">) </w:t>
      </w:r>
      <w:r w:rsidRPr="00765C37">
        <w:rPr>
          <w:rFonts w:ascii="Arial" w:hAnsi="Arial" w:cs="Arial"/>
        </w:rPr>
        <w:t xml:space="preserve">and </w:t>
      </w:r>
      <w:r w:rsidR="00010727" w:rsidRPr="00010727">
        <w:rPr>
          <w:rFonts w:ascii="Arial" w:hAnsi="Arial" w:cs="Arial"/>
          <w:vertAlign w:val="superscript"/>
        </w:rPr>
        <w:t>232</w:t>
      </w:r>
      <w:r w:rsidRPr="00765C37">
        <w:rPr>
          <w:rFonts w:ascii="Arial" w:hAnsi="Arial" w:cs="Arial"/>
        </w:rPr>
        <w:t xml:space="preserve">Th (105–200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concentrations with consistently elevated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including values exceeding 1300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Seremban soils contained some of the highest radionuclide activities measured, including </w:t>
      </w:r>
      <w:r w:rsidR="00010727" w:rsidRPr="00010727">
        <w:rPr>
          <w:rFonts w:ascii="Arial" w:hAnsi="Arial" w:cs="Arial"/>
          <w:vertAlign w:val="superscript"/>
        </w:rPr>
        <w:t>238</w:t>
      </w:r>
      <w:r w:rsidRPr="00765C37">
        <w:rPr>
          <w:rFonts w:ascii="Arial" w:hAnsi="Arial" w:cs="Arial"/>
        </w:rPr>
        <w:t xml:space="preserve">U up to 314 ± 3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010727" w:rsidRPr="00010727">
        <w:rPr>
          <w:rFonts w:ascii="Arial" w:hAnsi="Arial" w:cs="Arial"/>
          <w:vertAlign w:val="superscript"/>
        </w:rPr>
        <w:t>232</w:t>
      </w:r>
      <w:r w:rsidRPr="00765C37">
        <w:rPr>
          <w:rFonts w:ascii="Arial" w:hAnsi="Arial" w:cs="Arial"/>
        </w:rPr>
        <w:t xml:space="preserve">Th up to 171 ± 24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peaking at 1857 ± 221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consistent with its </w:t>
      </w:r>
      <w:r w:rsidR="00C70792">
        <w:rPr>
          <w:rFonts w:ascii="Arial" w:hAnsi="Arial" w:cs="Arial"/>
        </w:rPr>
        <w:t>neighbour</w:t>
      </w:r>
      <w:r w:rsidR="001B385C">
        <w:rPr>
          <w:rFonts w:ascii="Arial" w:hAnsi="Arial" w:cs="Arial"/>
        </w:rPr>
        <w:t xml:space="preserve"> (Selangor)</w:t>
      </w:r>
      <w:r w:rsidRPr="00765C37">
        <w:rPr>
          <w:rFonts w:ascii="Arial" w:hAnsi="Arial" w:cs="Arial"/>
        </w:rPr>
        <w:t xml:space="preserve"> and </w:t>
      </w:r>
      <w:r w:rsidR="001B385C">
        <w:rPr>
          <w:rFonts w:ascii="Arial" w:hAnsi="Arial" w:cs="Arial"/>
        </w:rPr>
        <w:t>broad-K contents in urban soil</w:t>
      </w:r>
      <w:r w:rsidRPr="00765C37">
        <w:rPr>
          <w:rFonts w:ascii="Arial" w:hAnsi="Arial" w:cs="Arial"/>
        </w:rPr>
        <w:t>.</w:t>
      </w:r>
    </w:p>
    <w:p w14:paraId="7227127E" w14:textId="169F0B62" w:rsidR="005E43D5" w:rsidRDefault="005E43D5" w:rsidP="005E43D5">
      <w:pPr>
        <w:pStyle w:val="Body"/>
        <w:rPr>
          <w:rFonts w:ascii="Arial" w:hAnsi="Arial" w:cs="Arial"/>
        </w:rPr>
      </w:pPr>
      <w:r w:rsidRPr="00765C37">
        <w:rPr>
          <w:rFonts w:ascii="Arial" w:hAnsi="Arial" w:cs="Arial"/>
        </w:rPr>
        <w:t xml:space="preserve">In Selangor and Kuala Lumpur,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ranged widely from 67 to 347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while </w:t>
      </w:r>
      <w:r w:rsidR="001B385C" w:rsidRPr="001B385C">
        <w:rPr>
          <w:rFonts w:ascii="Arial" w:hAnsi="Arial" w:cs="Arial"/>
          <w:vertAlign w:val="superscript"/>
        </w:rPr>
        <w:t>232</w:t>
      </w:r>
      <w:r w:rsidRPr="00765C37">
        <w:rPr>
          <w:rFonts w:ascii="Arial" w:hAnsi="Arial" w:cs="Arial"/>
        </w:rPr>
        <w:t xml:space="preserve">Th ranged from 61 to 341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010727" w:rsidRPr="00010727">
        <w:rPr>
          <w:rFonts w:ascii="Arial" w:hAnsi="Arial" w:cs="Arial"/>
          <w:vertAlign w:val="superscript"/>
        </w:rPr>
        <w:t>40</w:t>
      </w:r>
      <w:r w:rsidR="00010727">
        <w:rPr>
          <w:rFonts w:ascii="Arial" w:hAnsi="Arial" w:cs="Arial"/>
        </w:rPr>
        <w:t>K</w:t>
      </w:r>
      <w:r w:rsidRPr="00765C37">
        <w:rPr>
          <w:rFonts w:ascii="Arial" w:hAnsi="Arial" w:cs="Arial"/>
        </w:rPr>
        <w:t xml:space="preserve"> levels were also diverse (131–1107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reflecting variable soil profiles and extensive use of imported fill across the </w:t>
      </w:r>
      <w:proofErr w:type="spellStart"/>
      <w:r w:rsidRPr="00765C37">
        <w:rPr>
          <w:rFonts w:ascii="Arial" w:hAnsi="Arial" w:cs="Arial"/>
        </w:rPr>
        <w:t>Klang</w:t>
      </w:r>
      <w:proofErr w:type="spellEnd"/>
      <w:r w:rsidRPr="00765C37">
        <w:rPr>
          <w:rFonts w:ascii="Arial" w:hAnsi="Arial" w:cs="Arial"/>
        </w:rPr>
        <w:t xml:space="preserve"> Valley. Ipoh soils were dominated by high </w:t>
      </w:r>
      <w:r w:rsidR="00010727" w:rsidRPr="00010727">
        <w:rPr>
          <w:rFonts w:ascii="Arial" w:hAnsi="Arial" w:cs="Arial"/>
          <w:vertAlign w:val="superscript"/>
        </w:rPr>
        <w:t>238</w:t>
      </w:r>
      <w:r w:rsidRPr="00765C37">
        <w:rPr>
          <w:rFonts w:ascii="Arial" w:hAnsi="Arial" w:cs="Arial"/>
        </w:rPr>
        <w:t xml:space="preserve">U (260–346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Th (210–590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characteristic of the region’s</w:t>
      </w:r>
      <w:r w:rsidR="00C70792">
        <w:rPr>
          <w:rFonts w:ascii="Arial" w:hAnsi="Arial" w:cs="Arial"/>
        </w:rPr>
        <w:t xml:space="preserve"> geological background</w:t>
      </w:r>
      <w:r w:rsidRPr="00765C37">
        <w:rPr>
          <w:rFonts w:ascii="Arial" w:hAnsi="Arial" w:cs="Arial"/>
        </w:rPr>
        <w:t xml:space="preserve">. Penang exhibited moderate to high activities across all radionuclides, with </w:t>
      </w:r>
      <w:r w:rsidR="00C70792" w:rsidRPr="005E43D5">
        <w:rPr>
          <w:rFonts w:ascii="Arial" w:hAnsi="Arial" w:cs="Arial"/>
          <w:vertAlign w:val="superscript"/>
        </w:rPr>
        <w:t>238</w:t>
      </w:r>
      <w:r w:rsidR="00C70792" w:rsidRPr="00765C37">
        <w:rPr>
          <w:rFonts w:ascii="Arial" w:hAnsi="Arial" w:cs="Arial"/>
        </w:rPr>
        <w:t>U</w:t>
      </w:r>
      <w:r w:rsidRPr="00765C37">
        <w:rPr>
          <w:rFonts w:ascii="Arial" w:hAnsi="Arial" w:cs="Arial"/>
        </w:rPr>
        <w:t xml:space="preserve"> up to 307 ± 1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C70792" w:rsidRPr="001B385C">
        <w:rPr>
          <w:rFonts w:ascii="Arial" w:hAnsi="Arial" w:cs="Arial"/>
          <w:vertAlign w:val="superscript"/>
        </w:rPr>
        <w:t>232</w:t>
      </w:r>
      <w:r w:rsidR="00C70792" w:rsidRPr="00765C37">
        <w:rPr>
          <w:rFonts w:ascii="Arial" w:hAnsi="Arial" w:cs="Arial"/>
        </w:rPr>
        <w:t>Th</w:t>
      </w:r>
      <w:r w:rsidRPr="00765C37">
        <w:rPr>
          <w:rFonts w:ascii="Arial" w:hAnsi="Arial" w:cs="Arial"/>
        </w:rPr>
        <w:t xml:space="preserve"> up to 258 ± 6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C70792" w:rsidRPr="00010727">
        <w:rPr>
          <w:rFonts w:ascii="Arial" w:hAnsi="Arial" w:cs="Arial"/>
          <w:vertAlign w:val="superscript"/>
        </w:rPr>
        <w:t>40</w:t>
      </w:r>
      <w:r w:rsidR="00C70792">
        <w:rPr>
          <w:rFonts w:ascii="Arial" w:hAnsi="Arial" w:cs="Arial"/>
        </w:rPr>
        <w:t>K</w:t>
      </w:r>
      <w:r w:rsidRPr="00765C37">
        <w:rPr>
          <w:rFonts w:ascii="Arial" w:hAnsi="Arial" w:cs="Arial"/>
        </w:rPr>
        <w:t xml:space="preserve"> up to 985 ± 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w:t>
      </w:r>
    </w:p>
    <w:p w14:paraId="0F88D016" w14:textId="77777777" w:rsidR="008C6D8A" w:rsidRPr="00765C37" w:rsidRDefault="008C6D8A" w:rsidP="005E43D5">
      <w:pPr>
        <w:pStyle w:val="Body"/>
        <w:rPr>
          <w:rFonts w:ascii="Arial" w:hAnsi="Arial" w:cs="Arial"/>
        </w:rPr>
      </w:pPr>
    </w:p>
    <w:p w14:paraId="789D8157" w14:textId="61A95518" w:rsidR="005E43D5" w:rsidRPr="00E970D3" w:rsidRDefault="005E43D5" w:rsidP="00765C37">
      <w:pPr>
        <w:pStyle w:val="Body"/>
        <w:rPr>
          <w:rFonts w:ascii="Arial" w:hAnsi="Arial" w:cs="Arial"/>
          <w:b/>
          <w:bCs/>
          <w:sz w:val="22"/>
          <w:szCs w:val="22"/>
        </w:rPr>
      </w:pPr>
      <w:r w:rsidRPr="00E44840">
        <w:rPr>
          <w:rFonts w:ascii="Arial" w:hAnsi="Arial" w:cs="Arial"/>
          <w:b/>
          <w:bCs/>
          <w:sz w:val="22"/>
          <w:szCs w:val="22"/>
          <w:highlight w:val="yellow"/>
        </w:rPr>
        <w:lastRenderedPageBreak/>
        <w:t xml:space="preserve">Table </w:t>
      </w:r>
      <w:r w:rsidR="00E44840" w:rsidRPr="00E44840">
        <w:rPr>
          <w:rFonts w:ascii="Arial" w:hAnsi="Arial" w:cs="Arial"/>
          <w:b/>
          <w:bCs/>
          <w:sz w:val="22"/>
          <w:szCs w:val="22"/>
          <w:highlight w:val="yellow"/>
        </w:rPr>
        <w:t>3</w:t>
      </w:r>
      <w:r w:rsidRPr="00E44840">
        <w:rPr>
          <w:rFonts w:ascii="Arial" w:hAnsi="Arial" w:cs="Arial"/>
          <w:b/>
          <w:bCs/>
          <w:sz w:val="22"/>
          <w:szCs w:val="22"/>
          <w:highlight w:val="yellow"/>
        </w:rPr>
        <w:t>.</w:t>
      </w:r>
      <w:r w:rsidRPr="00E970D3">
        <w:rPr>
          <w:rFonts w:ascii="Arial" w:hAnsi="Arial" w:cs="Arial"/>
          <w:b/>
          <w:bCs/>
          <w:sz w:val="22"/>
          <w:szCs w:val="22"/>
        </w:rPr>
        <w:t xml:space="preserve"> Descriptive statistics of </w:t>
      </w:r>
      <w:r w:rsidRPr="00E970D3">
        <w:rPr>
          <w:rFonts w:ascii="Arial" w:hAnsi="Arial" w:cs="Arial"/>
          <w:b/>
          <w:bCs/>
          <w:sz w:val="22"/>
          <w:szCs w:val="22"/>
          <w:vertAlign w:val="superscript"/>
        </w:rPr>
        <w:t>238</w:t>
      </w:r>
      <w:r w:rsidRPr="00E970D3">
        <w:rPr>
          <w:rFonts w:ascii="Arial" w:hAnsi="Arial" w:cs="Arial"/>
          <w:b/>
          <w:bCs/>
          <w:sz w:val="22"/>
          <w:szCs w:val="22"/>
        </w:rPr>
        <w:t xml:space="preserve">U and </w:t>
      </w:r>
      <w:r w:rsidRPr="00E970D3">
        <w:rPr>
          <w:rFonts w:ascii="Arial" w:hAnsi="Arial" w:cs="Arial"/>
          <w:b/>
          <w:bCs/>
          <w:sz w:val="22"/>
          <w:szCs w:val="22"/>
          <w:vertAlign w:val="superscript"/>
        </w:rPr>
        <w:t>232</w:t>
      </w:r>
      <w:r w:rsidRPr="00E970D3">
        <w:rPr>
          <w:rFonts w:ascii="Arial" w:hAnsi="Arial" w:cs="Arial"/>
          <w:b/>
          <w:bCs/>
          <w:sz w:val="22"/>
          <w:szCs w:val="22"/>
        </w:rPr>
        <w:t>Th decay series activity concentrations in soil samples from selected cities in Malaysia.</w:t>
      </w:r>
    </w:p>
    <w:tbl>
      <w:tblPr>
        <w:tblW w:w="9543"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59"/>
        <w:gridCol w:w="283"/>
        <w:gridCol w:w="1238"/>
        <w:gridCol w:w="831"/>
        <w:gridCol w:w="1200"/>
        <w:gridCol w:w="697"/>
        <w:gridCol w:w="1288"/>
        <w:gridCol w:w="956"/>
        <w:gridCol w:w="1691"/>
      </w:tblGrid>
      <w:tr w:rsidR="00D479B0" w:rsidRPr="000E37FC" w14:paraId="284D7008" w14:textId="590B427D" w:rsidTr="0043399B">
        <w:trPr>
          <w:tblHeader/>
          <w:tblCellSpacing w:w="15" w:type="dxa"/>
        </w:trPr>
        <w:tc>
          <w:tcPr>
            <w:tcW w:w="1314" w:type="dxa"/>
            <w:tcBorders>
              <w:top w:val="single" w:sz="4" w:space="0" w:color="auto"/>
              <w:bottom w:val="single" w:sz="4" w:space="0" w:color="auto"/>
            </w:tcBorders>
            <w:vAlign w:val="center"/>
            <w:hideMark/>
          </w:tcPr>
          <w:p w14:paraId="2975F57D" w14:textId="77777777" w:rsidR="004B3A6B" w:rsidRPr="000E37FC" w:rsidRDefault="004B3A6B">
            <w:pPr>
              <w:jc w:val="center"/>
              <w:rPr>
                <w:rFonts w:ascii="Arial" w:hAnsi="Arial" w:cs="Arial"/>
                <w:b/>
                <w:bCs/>
                <w:sz w:val="20"/>
                <w:szCs w:val="20"/>
              </w:rPr>
            </w:pPr>
            <w:r w:rsidRPr="000E37FC">
              <w:rPr>
                <w:rFonts w:ascii="Arial" w:hAnsi="Arial" w:cs="Arial"/>
                <w:b/>
                <w:bCs/>
                <w:sz w:val="20"/>
                <w:szCs w:val="20"/>
              </w:rPr>
              <w:t>City</w:t>
            </w:r>
          </w:p>
        </w:tc>
        <w:tc>
          <w:tcPr>
            <w:tcW w:w="0" w:type="auto"/>
            <w:tcBorders>
              <w:top w:val="single" w:sz="4" w:space="0" w:color="auto"/>
              <w:bottom w:val="single" w:sz="4" w:space="0" w:color="auto"/>
            </w:tcBorders>
            <w:vAlign w:val="center"/>
            <w:hideMark/>
          </w:tcPr>
          <w:p w14:paraId="2D5778A7" w14:textId="77777777" w:rsidR="004B3A6B" w:rsidRPr="005E43D5" w:rsidRDefault="004B3A6B">
            <w:pPr>
              <w:jc w:val="center"/>
              <w:rPr>
                <w:rFonts w:ascii="Arial" w:hAnsi="Arial" w:cs="Arial"/>
                <w:b/>
                <w:bCs/>
                <w:i/>
                <w:iCs/>
                <w:sz w:val="20"/>
                <w:szCs w:val="20"/>
              </w:rPr>
            </w:pPr>
            <w:r w:rsidRPr="005E43D5">
              <w:rPr>
                <w:rFonts w:ascii="Arial" w:hAnsi="Arial" w:cs="Arial"/>
                <w:b/>
                <w:bCs/>
                <w:i/>
                <w:iCs/>
                <w:sz w:val="20"/>
                <w:szCs w:val="20"/>
              </w:rPr>
              <w:t>n</w:t>
            </w:r>
          </w:p>
        </w:tc>
        <w:tc>
          <w:tcPr>
            <w:tcW w:w="1208" w:type="dxa"/>
            <w:tcBorders>
              <w:top w:val="single" w:sz="4" w:space="0" w:color="auto"/>
              <w:bottom w:val="single" w:sz="4" w:space="0" w:color="auto"/>
            </w:tcBorders>
            <w:vAlign w:val="center"/>
            <w:hideMark/>
          </w:tcPr>
          <w:p w14:paraId="0FBC7A02" w14:textId="326C13CA" w:rsidR="004B3A6B" w:rsidRPr="000E37FC" w:rsidRDefault="004B3A6B">
            <w:pPr>
              <w:jc w:val="center"/>
              <w:rPr>
                <w:rFonts w:ascii="Arial" w:hAnsi="Arial" w:cs="Arial"/>
                <w:b/>
                <w:bCs/>
                <w:sz w:val="20"/>
                <w:szCs w:val="20"/>
              </w:rPr>
            </w:pPr>
            <w:r w:rsidRPr="005E43D5">
              <w:rPr>
                <w:rFonts w:ascii="Arial" w:hAnsi="Arial" w:cs="Arial"/>
                <w:b/>
                <w:bCs/>
                <w:sz w:val="20"/>
                <w:szCs w:val="20"/>
                <w:vertAlign w:val="superscript"/>
              </w:rPr>
              <w:t>238</w:t>
            </w:r>
            <w:r w:rsidRPr="000E37FC">
              <w:rPr>
                <w:rFonts w:ascii="Arial" w:hAnsi="Arial" w:cs="Arial"/>
                <w:b/>
                <w:bCs/>
                <w:sz w:val="20"/>
                <w:szCs w:val="20"/>
              </w:rPr>
              <w:t>U (</w:t>
            </w:r>
            <w:proofErr w:type="spellStart"/>
            <w:r w:rsidRPr="000E37FC">
              <w:rPr>
                <w:rFonts w:ascii="Arial" w:hAnsi="Arial" w:cs="Arial"/>
                <w:b/>
                <w:bCs/>
                <w:sz w:val="20"/>
                <w:szCs w:val="20"/>
              </w:rPr>
              <w:t>Bq</w:t>
            </w:r>
            <w:proofErr w:type="spellEnd"/>
            <w:r w:rsidRPr="000E37FC">
              <w:rPr>
                <w:rFonts w:ascii="Arial" w:hAnsi="Arial" w:cs="Arial"/>
                <w:b/>
                <w:bCs/>
                <w:sz w:val="20"/>
                <w:szCs w:val="20"/>
              </w:rPr>
              <w:t>/kg) Mean ± SE</w:t>
            </w:r>
          </w:p>
        </w:tc>
        <w:tc>
          <w:tcPr>
            <w:tcW w:w="801" w:type="dxa"/>
            <w:tcBorders>
              <w:top w:val="single" w:sz="4" w:space="0" w:color="auto"/>
              <w:bottom w:val="single" w:sz="4" w:space="0" w:color="auto"/>
            </w:tcBorders>
            <w:vAlign w:val="center"/>
            <w:hideMark/>
          </w:tcPr>
          <w:p w14:paraId="4CA16250" w14:textId="77777777" w:rsidR="004B3A6B" w:rsidRPr="000E37FC" w:rsidRDefault="004B3A6B">
            <w:pPr>
              <w:jc w:val="center"/>
              <w:rPr>
                <w:rFonts w:ascii="Arial" w:hAnsi="Arial" w:cs="Arial"/>
                <w:b/>
                <w:bCs/>
                <w:sz w:val="20"/>
                <w:szCs w:val="20"/>
              </w:rPr>
            </w:pPr>
            <w:r w:rsidRPr="000E37FC">
              <w:rPr>
                <w:rFonts w:ascii="Arial" w:hAnsi="Arial" w:cs="Arial"/>
                <w:b/>
                <w:bCs/>
                <w:sz w:val="20"/>
                <w:szCs w:val="20"/>
              </w:rPr>
              <w:t>95% CI</w:t>
            </w:r>
          </w:p>
        </w:tc>
        <w:tc>
          <w:tcPr>
            <w:tcW w:w="1170" w:type="dxa"/>
            <w:tcBorders>
              <w:top w:val="single" w:sz="4" w:space="0" w:color="auto"/>
              <w:bottom w:val="single" w:sz="4" w:space="0" w:color="auto"/>
            </w:tcBorders>
            <w:vAlign w:val="center"/>
            <w:hideMark/>
          </w:tcPr>
          <w:p w14:paraId="66456AC1" w14:textId="33869874" w:rsidR="004B3A6B" w:rsidRPr="000E37FC" w:rsidRDefault="004B3A6B">
            <w:pPr>
              <w:jc w:val="center"/>
              <w:rPr>
                <w:rFonts w:ascii="Arial" w:hAnsi="Arial" w:cs="Arial"/>
                <w:b/>
                <w:bCs/>
                <w:sz w:val="20"/>
                <w:szCs w:val="20"/>
              </w:rPr>
            </w:pPr>
            <w:r w:rsidRPr="005E43D5">
              <w:rPr>
                <w:rFonts w:ascii="Arial" w:hAnsi="Arial" w:cs="Arial"/>
                <w:b/>
                <w:bCs/>
                <w:sz w:val="20"/>
                <w:szCs w:val="20"/>
                <w:vertAlign w:val="superscript"/>
              </w:rPr>
              <w:t>232</w:t>
            </w:r>
            <w:r w:rsidRPr="000E37FC">
              <w:rPr>
                <w:rFonts w:ascii="Arial" w:hAnsi="Arial" w:cs="Arial"/>
                <w:b/>
                <w:bCs/>
                <w:sz w:val="20"/>
                <w:szCs w:val="20"/>
              </w:rPr>
              <w:t>Th (</w:t>
            </w:r>
            <w:proofErr w:type="spellStart"/>
            <w:r w:rsidRPr="000E37FC">
              <w:rPr>
                <w:rFonts w:ascii="Arial" w:hAnsi="Arial" w:cs="Arial"/>
                <w:b/>
                <w:bCs/>
                <w:sz w:val="20"/>
                <w:szCs w:val="20"/>
              </w:rPr>
              <w:t>Bq</w:t>
            </w:r>
            <w:proofErr w:type="spellEnd"/>
            <w:r w:rsidRPr="000E37FC">
              <w:rPr>
                <w:rFonts w:ascii="Arial" w:hAnsi="Arial" w:cs="Arial"/>
                <w:b/>
                <w:bCs/>
                <w:sz w:val="20"/>
                <w:szCs w:val="20"/>
              </w:rPr>
              <w:t>/kg) Mean ± SE</w:t>
            </w:r>
          </w:p>
        </w:tc>
        <w:tc>
          <w:tcPr>
            <w:tcW w:w="0" w:type="auto"/>
            <w:tcBorders>
              <w:top w:val="single" w:sz="4" w:space="0" w:color="auto"/>
              <w:bottom w:val="single" w:sz="4" w:space="0" w:color="auto"/>
            </w:tcBorders>
            <w:vAlign w:val="center"/>
            <w:hideMark/>
          </w:tcPr>
          <w:p w14:paraId="101D6A33" w14:textId="77777777" w:rsidR="004B3A6B" w:rsidRPr="000E37FC" w:rsidRDefault="004B3A6B">
            <w:pPr>
              <w:jc w:val="center"/>
              <w:rPr>
                <w:rFonts w:ascii="Arial" w:hAnsi="Arial" w:cs="Arial"/>
                <w:b/>
                <w:bCs/>
                <w:sz w:val="20"/>
                <w:szCs w:val="20"/>
              </w:rPr>
            </w:pPr>
            <w:r w:rsidRPr="000E37FC">
              <w:rPr>
                <w:rFonts w:ascii="Arial" w:hAnsi="Arial" w:cs="Arial"/>
                <w:b/>
                <w:bCs/>
                <w:sz w:val="20"/>
                <w:szCs w:val="20"/>
              </w:rPr>
              <w:t>95% CI</w:t>
            </w:r>
          </w:p>
        </w:tc>
        <w:tc>
          <w:tcPr>
            <w:tcW w:w="1258" w:type="dxa"/>
            <w:tcBorders>
              <w:top w:val="single" w:sz="4" w:space="0" w:color="auto"/>
              <w:bottom w:val="single" w:sz="4" w:space="0" w:color="auto"/>
            </w:tcBorders>
            <w:vAlign w:val="center"/>
            <w:hideMark/>
          </w:tcPr>
          <w:p w14:paraId="537FD236" w14:textId="14AC19F5" w:rsidR="004B3A6B" w:rsidRPr="000E37FC" w:rsidRDefault="004B3A6B">
            <w:pPr>
              <w:jc w:val="center"/>
              <w:rPr>
                <w:rFonts w:ascii="Arial" w:hAnsi="Arial" w:cs="Arial"/>
                <w:b/>
                <w:bCs/>
                <w:sz w:val="20"/>
                <w:szCs w:val="20"/>
              </w:rPr>
            </w:pPr>
            <w:r w:rsidRPr="005E43D5">
              <w:rPr>
                <w:rFonts w:ascii="Arial" w:hAnsi="Arial" w:cs="Arial"/>
                <w:b/>
                <w:bCs/>
                <w:sz w:val="20"/>
                <w:szCs w:val="20"/>
                <w:vertAlign w:val="superscript"/>
              </w:rPr>
              <w:t>40</w:t>
            </w:r>
            <w:r w:rsidRPr="000E37FC">
              <w:rPr>
                <w:rFonts w:ascii="Arial" w:hAnsi="Arial" w:cs="Arial"/>
                <w:b/>
                <w:bCs/>
                <w:sz w:val="20"/>
                <w:szCs w:val="20"/>
              </w:rPr>
              <w:t>K (</w:t>
            </w:r>
            <w:proofErr w:type="spellStart"/>
            <w:r w:rsidRPr="000E37FC">
              <w:rPr>
                <w:rFonts w:ascii="Arial" w:hAnsi="Arial" w:cs="Arial"/>
                <w:b/>
                <w:bCs/>
                <w:sz w:val="20"/>
                <w:szCs w:val="20"/>
              </w:rPr>
              <w:t>Bq</w:t>
            </w:r>
            <w:proofErr w:type="spellEnd"/>
            <w:r w:rsidRPr="000E37FC">
              <w:rPr>
                <w:rFonts w:ascii="Arial" w:hAnsi="Arial" w:cs="Arial"/>
                <w:b/>
                <w:bCs/>
                <w:sz w:val="20"/>
                <w:szCs w:val="20"/>
              </w:rPr>
              <w:t>/kg) Mean ± SE</w:t>
            </w:r>
          </w:p>
        </w:tc>
        <w:tc>
          <w:tcPr>
            <w:tcW w:w="926" w:type="dxa"/>
            <w:tcBorders>
              <w:top w:val="single" w:sz="4" w:space="0" w:color="auto"/>
              <w:bottom w:val="single" w:sz="4" w:space="0" w:color="auto"/>
            </w:tcBorders>
            <w:vAlign w:val="center"/>
            <w:hideMark/>
          </w:tcPr>
          <w:p w14:paraId="69B0377C" w14:textId="77777777" w:rsidR="004B3A6B" w:rsidRPr="000E37FC" w:rsidRDefault="004B3A6B">
            <w:pPr>
              <w:jc w:val="center"/>
              <w:rPr>
                <w:rFonts w:ascii="Arial" w:hAnsi="Arial" w:cs="Arial"/>
                <w:b/>
                <w:bCs/>
                <w:sz w:val="20"/>
                <w:szCs w:val="20"/>
              </w:rPr>
            </w:pPr>
            <w:r w:rsidRPr="000E37FC">
              <w:rPr>
                <w:rFonts w:ascii="Arial" w:hAnsi="Arial" w:cs="Arial"/>
                <w:b/>
                <w:bCs/>
                <w:sz w:val="20"/>
                <w:szCs w:val="20"/>
              </w:rPr>
              <w:t>95% CI</w:t>
            </w:r>
          </w:p>
        </w:tc>
        <w:tc>
          <w:tcPr>
            <w:tcW w:w="1646" w:type="dxa"/>
            <w:tcBorders>
              <w:top w:val="single" w:sz="4" w:space="0" w:color="auto"/>
              <w:bottom w:val="single" w:sz="4" w:space="0" w:color="auto"/>
            </w:tcBorders>
          </w:tcPr>
          <w:p w14:paraId="563E30A9" w14:textId="77777777" w:rsidR="004B3A6B" w:rsidRPr="0043399B" w:rsidRDefault="004B3A6B" w:rsidP="00D479B0">
            <w:pPr>
              <w:jc w:val="center"/>
              <w:rPr>
                <w:rFonts w:ascii="Arial" w:hAnsi="Arial" w:cs="Arial"/>
                <w:b/>
                <w:bCs/>
                <w:sz w:val="20"/>
                <w:szCs w:val="20"/>
                <w:highlight w:val="yellow"/>
              </w:rPr>
            </w:pPr>
          </w:p>
          <w:p w14:paraId="200298C4" w14:textId="1D1AB3DC" w:rsidR="004B3A6B" w:rsidRPr="0043399B" w:rsidRDefault="004B3A6B" w:rsidP="00D479B0">
            <w:pPr>
              <w:jc w:val="center"/>
              <w:rPr>
                <w:rFonts w:ascii="Arial" w:hAnsi="Arial" w:cs="Arial"/>
                <w:b/>
                <w:bCs/>
                <w:sz w:val="20"/>
                <w:szCs w:val="20"/>
                <w:highlight w:val="yellow"/>
              </w:rPr>
            </w:pPr>
            <w:r w:rsidRPr="0043399B">
              <w:rPr>
                <w:rFonts w:ascii="Arial" w:hAnsi="Arial" w:cs="Arial"/>
                <w:b/>
                <w:bCs/>
                <w:sz w:val="20"/>
                <w:szCs w:val="20"/>
                <w:highlight w:val="yellow"/>
              </w:rPr>
              <w:t>Geolog</w:t>
            </w:r>
            <w:r w:rsidR="00D479B0" w:rsidRPr="0043399B">
              <w:rPr>
                <w:rFonts w:ascii="Arial" w:hAnsi="Arial" w:cs="Arial"/>
                <w:b/>
                <w:bCs/>
                <w:sz w:val="20"/>
                <w:szCs w:val="20"/>
                <w:highlight w:val="yellow"/>
              </w:rPr>
              <w:t>ical background</w:t>
            </w:r>
          </w:p>
        </w:tc>
      </w:tr>
      <w:tr w:rsidR="00D479B0" w:rsidRPr="000E37FC" w14:paraId="51324F80" w14:textId="1EAB6B80" w:rsidTr="0043399B">
        <w:trPr>
          <w:tblCellSpacing w:w="15" w:type="dxa"/>
        </w:trPr>
        <w:tc>
          <w:tcPr>
            <w:tcW w:w="1314" w:type="dxa"/>
            <w:vAlign w:val="center"/>
            <w:hideMark/>
          </w:tcPr>
          <w:p w14:paraId="3DCFB088" w14:textId="77777777" w:rsidR="004B3A6B" w:rsidRPr="000E37FC" w:rsidRDefault="004B3A6B">
            <w:pPr>
              <w:rPr>
                <w:rFonts w:ascii="Arial" w:hAnsi="Arial" w:cs="Arial"/>
                <w:sz w:val="20"/>
                <w:szCs w:val="20"/>
              </w:rPr>
            </w:pPr>
            <w:r w:rsidRPr="000E37FC">
              <w:rPr>
                <w:rFonts w:ascii="Arial" w:hAnsi="Arial" w:cs="Arial"/>
                <w:sz w:val="20"/>
                <w:szCs w:val="20"/>
              </w:rPr>
              <w:t>Johor Bahru</w:t>
            </w:r>
          </w:p>
        </w:tc>
        <w:tc>
          <w:tcPr>
            <w:tcW w:w="0" w:type="auto"/>
            <w:vAlign w:val="center"/>
            <w:hideMark/>
          </w:tcPr>
          <w:p w14:paraId="63B43223"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w:t>
            </w:r>
          </w:p>
        </w:tc>
        <w:tc>
          <w:tcPr>
            <w:tcW w:w="1208" w:type="dxa"/>
            <w:vAlign w:val="center"/>
            <w:hideMark/>
          </w:tcPr>
          <w:p w14:paraId="12F455AA" w14:textId="1554DAA1" w:rsidR="004B3A6B" w:rsidRPr="000E37FC" w:rsidRDefault="004B3A6B" w:rsidP="000E37FC">
            <w:pPr>
              <w:jc w:val="right"/>
              <w:rPr>
                <w:rFonts w:ascii="Arial" w:hAnsi="Arial" w:cs="Arial"/>
                <w:sz w:val="20"/>
                <w:szCs w:val="20"/>
              </w:rPr>
            </w:pPr>
            <w:r w:rsidRPr="000E37FC">
              <w:rPr>
                <w:rFonts w:ascii="Arial" w:hAnsi="Arial" w:cs="Arial"/>
                <w:sz w:val="20"/>
                <w:szCs w:val="20"/>
              </w:rPr>
              <w:t>91.1±12.2</w:t>
            </w:r>
          </w:p>
        </w:tc>
        <w:tc>
          <w:tcPr>
            <w:tcW w:w="801" w:type="dxa"/>
            <w:vAlign w:val="center"/>
            <w:hideMark/>
          </w:tcPr>
          <w:p w14:paraId="4287124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66.9 – 115.3</w:t>
            </w:r>
          </w:p>
        </w:tc>
        <w:tc>
          <w:tcPr>
            <w:tcW w:w="1170" w:type="dxa"/>
            <w:vAlign w:val="center"/>
            <w:hideMark/>
          </w:tcPr>
          <w:p w14:paraId="52D51E7C" w14:textId="2EB40A75" w:rsidR="004B3A6B" w:rsidRPr="000E37FC" w:rsidRDefault="004B3A6B" w:rsidP="000E37FC">
            <w:pPr>
              <w:jc w:val="right"/>
              <w:rPr>
                <w:rFonts w:ascii="Arial" w:hAnsi="Arial" w:cs="Arial"/>
                <w:sz w:val="20"/>
                <w:szCs w:val="20"/>
              </w:rPr>
            </w:pPr>
            <w:r w:rsidRPr="000E37FC">
              <w:rPr>
                <w:rFonts w:ascii="Arial" w:hAnsi="Arial" w:cs="Arial"/>
                <w:sz w:val="20"/>
                <w:szCs w:val="20"/>
              </w:rPr>
              <w:t>139.0±18.3</w:t>
            </w:r>
          </w:p>
        </w:tc>
        <w:tc>
          <w:tcPr>
            <w:tcW w:w="0" w:type="auto"/>
            <w:vAlign w:val="center"/>
            <w:hideMark/>
          </w:tcPr>
          <w:p w14:paraId="54FF5C14"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102.9 – 175.1</w:t>
            </w:r>
          </w:p>
        </w:tc>
        <w:tc>
          <w:tcPr>
            <w:tcW w:w="1258" w:type="dxa"/>
            <w:vAlign w:val="center"/>
            <w:hideMark/>
          </w:tcPr>
          <w:p w14:paraId="637C4DB8" w14:textId="530A75D5" w:rsidR="004B3A6B" w:rsidRPr="000E37FC" w:rsidRDefault="004B3A6B" w:rsidP="000E37FC">
            <w:pPr>
              <w:jc w:val="right"/>
              <w:rPr>
                <w:rFonts w:ascii="Arial" w:hAnsi="Arial" w:cs="Arial"/>
                <w:sz w:val="20"/>
                <w:szCs w:val="20"/>
              </w:rPr>
            </w:pPr>
            <w:r w:rsidRPr="000E37FC">
              <w:rPr>
                <w:rFonts w:ascii="Arial" w:hAnsi="Arial" w:cs="Arial"/>
                <w:sz w:val="20"/>
                <w:szCs w:val="20"/>
              </w:rPr>
              <w:t>472.2±111.8</w:t>
            </w:r>
          </w:p>
        </w:tc>
        <w:tc>
          <w:tcPr>
            <w:tcW w:w="926" w:type="dxa"/>
            <w:vAlign w:val="center"/>
            <w:hideMark/>
          </w:tcPr>
          <w:p w14:paraId="32BE7F9C"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252.0 – 692.4</w:t>
            </w:r>
          </w:p>
        </w:tc>
        <w:tc>
          <w:tcPr>
            <w:tcW w:w="1646" w:type="dxa"/>
          </w:tcPr>
          <w:p w14:paraId="3147CE3D" w14:textId="1E8FB594"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Quaternary</w:t>
            </w:r>
          </w:p>
        </w:tc>
      </w:tr>
      <w:tr w:rsidR="00D479B0" w:rsidRPr="000E37FC" w14:paraId="381B3CAC" w14:textId="2ABFD19A" w:rsidTr="0043399B">
        <w:trPr>
          <w:tblCellSpacing w:w="15" w:type="dxa"/>
        </w:trPr>
        <w:tc>
          <w:tcPr>
            <w:tcW w:w="1314" w:type="dxa"/>
            <w:vAlign w:val="center"/>
            <w:hideMark/>
          </w:tcPr>
          <w:p w14:paraId="1220B473" w14:textId="77777777" w:rsidR="004B3A6B" w:rsidRPr="000E37FC" w:rsidRDefault="004B3A6B">
            <w:pPr>
              <w:rPr>
                <w:rFonts w:ascii="Arial" w:hAnsi="Arial" w:cs="Arial"/>
                <w:sz w:val="20"/>
                <w:szCs w:val="20"/>
              </w:rPr>
            </w:pPr>
            <w:r w:rsidRPr="000E37FC">
              <w:rPr>
                <w:rFonts w:ascii="Arial" w:hAnsi="Arial" w:cs="Arial"/>
                <w:sz w:val="20"/>
                <w:szCs w:val="20"/>
              </w:rPr>
              <w:t>Melaka</w:t>
            </w:r>
          </w:p>
        </w:tc>
        <w:tc>
          <w:tcPr>
            <w:tcW w:w="0" w:type="auto"/>
            <w:vAlign w:val="center"/>
            <w:hideMark/>
          </w:tcPr>
          <w:p w14:paraId="0BB7562E"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6</w:t>
            </w:r>
          </w:p>
        </w:tc>
        <w:tc>
          <w:tcPr>
            <w:tcW w:w="1208" w:type="dxa"/>
            <w:vAlign w:val="center"/>
            <w:hideMark/>
          </w:tcPr>
          <w:p w14:paraId="1371D13F" w14:textId="784AB3D9" w:rsidR="004B3A6B" w:rsidRPr="000E37FC" w:rsidRDefault="004B3A6B" w:rsidP="000E37FC">
            <w:pPr>
              <w:jc w:val="right"/>
              <w:rPr>
                <w:rFonts w:ascii="Arial" w:hAnsi="Arial" w:cs="Arial"/>
                <w:sz w:val="20"/>
                <w:szCs w:val="20"/>
              </w:rPr>
            </w:pPr>
            <w:r w:rsidRPr="000E37FC">
              <w:rPr>
                <w:rFonts w:ascii="Arial" w:hAnsi="Arial" w:cs="Arial"/>
                <w:sz w:val="20"/>
                <w:szCs w:val="20"/>
              </w:rPr>
              <w:t>101.2±15.4</w:t>
            </w:r>
          </w:p>
        </w:tc>
        <w:tc>
          <w:tcPr>
            <w:tcW w:w="801" w:type="dxa"/>
            <w:vAlign w:val="center"/>
            <w:hideMark/>
          </w:tcPr>
          <w:p w14:paraId="107509A6"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68.7 – 133.7</w:t>
            </w:r>
          </w:p>
        </w:tc>
        <w:tc>
          <w:tcPr>
            <w:tcW w:w="1170" w:type="dxa"/>
            <w:vAlign w:val="center"/>
            <w:hideMark/>
          </w:tcPr>
          <w:p w14:paraId="74FFDBC6" w14:textId="535F6ED8" w:rsidR="004B3A6B" w:rsidRPr="000E37FC" w:rsidRDefault="004B3A6B" w:rsidP="000E37FC">
            <w:pPr>
              <w:jc w:val="right"/>
              <w:rPr>
                <w:rFonts w:ascii="Arial" w:hAnsi="Arial" w:cs="Arial"/>
                <w:sz w:val="20"/>
                <w:szCs w:val="20"/>
              </w:rPr>
            </w:pPr>
            <w:r w:rsidRPr="000E37FC">
              <w:rPr>
                <w:rFonts w:ascii="Arial" w:hAnsi="Arial" w:cs="Arial"/>
                <w:sz w:val="20"/>
                <w:szCs w:val="20"/>
              </w:rPr>
              <w:t>152.0±15.1</w:t>
            </w:r>
          </w:p>
        </w:tc>
        <w:tc>
          <w:tcPr>
            <w:tcW w:w="0" w:type="auto"/>
            <w:vAlign w:val="center"/>
            <w:hideMark/>
          </w:tcPr>
          <w:p w14:paraId="169F3D2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120.3 – 183.7</w:t>
            </w:r>
          </w:p>
        </w:tc>
        <w:tc>
          <w:tcPr>
            <w:tcW w:w="1258" w:type="dxa"/>
            <w:vAlign w:val="center"/>
            <w:hideMark/>
          </w:tcPr>
          <w:p w14:paraId="75F9F5AE" w14:textId="6002033D" w:rsidR="004B3A6B" w:rsidRPr="000E37FC" w:rsidRDefault="004B3A6B" w:rsidP="000E37FC">
            <w:pPr>
              <w:jc w:val="right"/>
              <w:rPr>
                <w:rFonts w:ascii="Arial" w:hAnsi="Arial" w:cs="Arial"/>
                <w:sz w:val="20"/>
                <w:szCs w:val="20"/>
              </w:rPr>
            </w:pPr>
            <w:r w:rsidRPr="000E37FC">
              <w:rPr>
                <w:rFonts w:ascii="Arial" w:hAnsi="Arial" w:cs="Arial"/>
                <w:sz w:val="20"/>
                <w:szCs w:val="20"/>
              </w:rPr>
              <w:t>616.5±170.2</w:t>
            </w:r>
          </w:p>
        </w:tc>
        <w:tc>
          <w:tcPr>
            <w:tcW w:w="926" w:type="dxa"/>
            <w:vAlign w:val="center"/>
            <w:hideMark/>
          </w:tcPr>
          <w:p w14:paraId="1152FF5D"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279.9 – 953.1</w:t>
            </w:r>
          </w:p>
        </w:tc>
        <w:tc>
          <w:tcPr>
            <w:tcW w:w="1646" w:type="dxa"/>
          </w:tcPr>
          <w:p w14:paraId="1BD8D9D0" w14:textId="51E1EBBF"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Devonian</w:t>
            </w:r>
          </w:p>
        </w:tc>
      </w:tr>
      <w:tr w:rsidR="00D479B0" w:rsidRPr="000E37FC" w14:paraId="79622E89" w14:textId="6928C45F" w:rsidTr="0043399B">
        <w:trPr>
          <w:tblCellSpacing w:w="15" w:type="dxa"/>
        </w:trPr>
        <w:tc>
          <w:tcPr>
            <w:tcW w:w="1314" w:type="dxa"/>
            <w:vAlign w:val="center"/>
            <w:hideMark/>
          </w:tcPr>
          <w:p w14:paraId="07F35A92" w14:textId="77777777" w:rsidR="004B3A6B" w:rsidRPr="000E37FC" w:rsidRDefault="004B3A6B">
            <w:pPr>
              <w:rPr>
                <w:rFonts w:ascii="Arial" w:hAnsi="Arial" w:cs="Arial"/>
                <w:sz w:val="20"/>
                <w:szCs w:val="20"/>
              </w:rPr>
            </w:pPr>
            <w:r w:rsidRPr="000E37FC">
              <w:rPr>
                <w:rFonts w:ascii="Arial" w:hAnsi="Arial" w:cs="Arial"/>
                <w:sz w:val="20"/>
                <w:szCs w:val="20"/>
              </w:rPr>
              <w:t>Seremban</w:t>
            </w:r>
          </w:p>
        </w:tc>
        <w:tc>
          <w:tcPr>
            <w:tcW w:w="0" w:type="auto"/>
            <w:vAlign w:val="center"/>
            <w:hideMark/>
          </w:tcPr>
          <w:p w14:paraId="1DE63C7A"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8</w:t>
            </w:r>
          </w:p>
        </w:tc>
        <w:tc>
          <w:tcPr>
            <w:tcW w:w="1208" w:type="dxa"/>
            <w:vAlign w:val="center"/>
            <w:hideMark/>
          </w:tcPr>
          <w:p w14:paraId="24AAD8F5" w14:textId="63147C27" w:rsidR="004B3A6B" w:rsidRPr="000E37FC" w:rsidRDefault="004B3A6B" w:rsidP="000E37FC">
            <w:pPr>
              <w:jc w:val="right"/>
              <w:rPr>
                <w:rFonts w:ascii="Arial" w:hAnsi="Arial" w:cs="Arial"/>
                <w:sz w:val="20"/>
                <w:szCs w:val="20"/>
              </w:rPr>
            </w:pPr>
            <w:r w:rsidRPr="000E37FC">
              <w:rPr>
                <w:rFonts w:ascii="Arial" w:hAnsi="Arial" w:cs="Arial"/>
                <w:sz w:val="20"/>
                <w:szCs w:val="20"/>
              </w:rPr>
              <w:t>161.4±26.1</w:t>
            </w:r>
          </w:p>
        </w:tc>
        <w:tc>
          <w:tcPr>
            <w:tcW w:w="801" w:type="dxa"/>
            <w:vAlign w:val="center"/>
            <w:hideMark/>
          </w:tcPr>
          <w:p w14:paraId="4951F12A"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108.2 – 214.6</w:t>
            </w:r>
          </w:p>
        </w:tc>
        <w:tc>
          <w:tcPr>
            <w:tcW w:w="1170" w:type="dxa"/>
            <w:vAlign w:val="center"/>
            <w:hideMark/>
          </w:tcPr>
          <w:p w14:paraId="679DC101" w14:textId="0A4F2DF0" w:rsidR="004B3A6B" w:rsidRPr="000E37FC" w:rsidRDefault="004B3A6B" w:rsidP="000E37FC">
            <w:pPr>
              <w:jc w:val="right"/>
              <w:rPr>
                <w:rFonts w:ascii="Arial" w:hAnsi="Arial" w:cs="Arial"/>
                <w:sz w:val="20"/>
                <w:szCs w:val="20"/>
              </w:rPr>
            </w:pPr>
            <w:r w:rsidRPr="000E37FC">
              <w:rPr>
                <w:rFonts w:ascii="Arial" w:hAnsi="Arial" w:cs="Arial"/>
                <w:sz w:val="20"/>
                <w:szCs w:val="20"/>
              </w:rPr>
              <w:t>127.5±14.6</w:t>
            </w:r>
          </w:p>
        </w:tc>
        <w:tc>
          <w:tcPr>
            <w:tcW w:w="0" w:type="auto"/>
            <w:vAlign w:val="center"/>
            <w:hideMark/>
          </w:tcPr>
          <w:p w14:paraId="2A024105"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97.7 – 157.3</w:t>
            </w:r>
          </w:p>
        </w:tc>
        <w:tc>
          <w:tcPr>
            <w:tcW w:w="1258" w:type="dxa"/>
            <w:vAlign w:val="center"/>
            <w:hideMark/>
          </w:tcPr>
          <w:p w14:paraId="338527BF" w14:textId="0C0B8E8B" w:rsidR="004B3A6B" w:rsidRPr="000E37FC" w:rsidRDefault="004B3A6B" w:rsidP="000E37FC">
            <w:pPr>
              <w:jc w:val="right"/>
              <w:rPr>
                <w:rFonts w:ascii="Arial" w:hAnsi="Arial" w:cs="Arial"/>
                <w:sz w:val="20"/>
                <w:szCs w:val="20"/>
              </w:rPr>
            </w:pPr>
            <w:r w:rsidRPr="000E37FC">
              <w:rPr>
                <w:rFonts w:ascii="Arial" w:hAnsi="Arial" w:cs="Arial"/>
                <w:sz w:val="20"/>
                <w:szCs w:val="20"/>
              </w:rPr>
              <w:t>940.3±152.6</w:t>
            </w:r>
          </w:p>
        </w:tc>
        <w:tc>
          <w:tcPr>
            <w:tcW w:w="926" w:type="dxa"/>
            <w:vAlign w:val="center"/>
            <w:hideMark/>
          </w:tcPr>
          <w:p w14:paraId="16529671"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641.3 – 1239.3</w:t>
            </w:r>
          </w:p>
        </w:tc>
        <w:tc>
          <w:tcPr>
            <w:tcW w:w="1646" w:type="dxa"/>
          </w:tcPr>
          <w:p w14:paraId="5C02591C" w14:textId="338A7E16"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Silurian</w:t>
            </w:r>
          </w:p>
        </w:tc>
      </w:tr>
      <w:tr w:rsidR="00D479B0" w:rsidRPr="000E37FC" w14:paraId="139C08D4" w14:textId="612176E3" w:rsidTr="0043399B">
        <w:trPr>
          <w:tblCellSpacing w:w="15" w:type="dxa"/>
        </w:trPr>
        <w:tc>
          <w:tcPr>
            <w:tcW w:w="1314" w:type="dxa"/>
            <w:vAlign w:val="center"/>
            <w:hideMark/>
          </w:tcPr>
          <w:p w14:paraId="46A03488" w14:textId="6C8DB9ED" w:rsidR="004B3A6B" w:rsidRPr="000E37FC" w:rsidRDefault="004B3A6B">
            <w:pPr>
              <w:rPr>
                <w:rFonts w:ascii="Arial" w:hAnsi="Arial" w:cs="Arial"/>
                <w:sz w:val="20"/>
                <w:szCs w:val="20"/>
              </w:rPr>
            </w:pPr>
            <w:r w:rsidRPr="000E37FC">
              <w:rPr>
                <w:rFonts w:ascii="Arial" w:hAnsi="Arial" w:cs="Arial"/>
                <w:sz w:val="20"/>
                <w:szCs w:val="20"/>
              </w:rPr>
              <w:t>Selangor &amp; K</w:t>
            </w:r>
            <w:r>
              <w:rPr>
                <w:rFonts w:ascii="Arial" w:hAnsi="Arial" w:cs="Arial"/>
                <w:sz w:val="20"/>
                <w:szCs w:val="20"/>
              </w:rPr>
              <w:t>uala Lumpur</w:t>
            </w:r>
          </w:p>
        </w:tc>
        <w:tc>
          <w:tcPr>
            <w:tcW w:w="0" w:type="auto"/>
            <w:vAlign w:val="center"/>
            <w:hideMark/>
          </w:tcPr>
          <w:p w14:paraId="0B0C1B81"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20</w:t>
            </w:r>
          </w:p>
        </w:tc>
        <w:tc>
          <w:tcPr>
            <w:tcW w:w="1208" w:type="dxa"/>
            <w:vAlign w:val="center"/>
            <w:hideMark/>
          </w:tcPr>
          <w:p w14:paraId="6A87CC06" w14:textId="26BCBAB3" w:rsidR="004B3A6B" w:rsidRPr="000E37FC" w:rsidRDefault="004B3A6B" w:rsidP="000E37FC">
            <w:pPr>
              <w:jc w:val="right"/>
              <w:rPr>
                <w:rFonts w:ascii="Arial" w:hAnsi="Arial" w:cs="Arial"/>
                <w:sz w:val="20"/>
                <w:szCs w:val="20"/>
              </w:rPr>
            </w:pPr>
            <w:r w:rsidRPr="000E37FC">
              <w:rPr>
                <w:rFonts w:ascii="Arial" w:hAnsi="Arial" w:cs="Arial"/>
                <w:sz w:val="20"/>
                <w:szCs w:val="20"/>
              </w:rPr>
              <w:t>167.3±21.1</w:t>
            </w:r>
          </w:p>
        </w:tc>
        <w:tc>
          <w:tcPr>
            <w:tcW w:w="801" w:type="dxa"/>
            <w:vAlign w:val="center"/>
            <w:hideMark/>
          </w:tcPr>
          <w:p w14:paraId="76AAE9CD"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125.7 – 208.9</w:t>
            </w:r>
          </w:p>
        </w:tc>
        <w:tc>
          <w:tcPr>
            <w:tcW w:w="1170" w:type="dxa"/>
            <w:vAlign w:val="center"/>
            <w:hideMark/>
          </w:tcPr>
          <w:p w14:paraId="15D865B2" w14:textId="4D20736A" w:rsidR="004B3A6B" w:rsidRPr="000E37FC" w:rsidRDefault="004B3A6B" w:rsidP="000E37FC">
            <w:pPr>
              <w:jc w:val="right"/>
              <w:rPr>
                <w:rFonts w:ascii="Arial" w:hAnsi="Arial" w:cs="Arial"/>
                <w:sz w:val="20"/>
                <w:szCs w:val="20"/>
              </w:rPr>
            </w:pPr>
            <w:r w:rsidRPr="000E37FC">
              <w:rPr>
                <w:rFonts w:ascii="Arial" w:hAnsi="Arial" w:cs="Arial"/>
                <w:sz w:val="20"/>
                <w:szCs w:val="20"/>
              </w:rPr>
              <w:t>160.0±15.7</w:t>
            </w:r>
          </w:p>
        </w:tc>
        <w:tc>
          <w:tcPr>
            <w:tcW w:w="0" w:type="auto"/>
            <w:vAlign w:val="center"/>
            <w:hideMark/>
          </w:tcPr>
          <w:p w14:paraId="29C219D5"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128.9 – 191.1</w:t>
            </w:r>
          </w:p>
        </w:tc>
        <w:tc>
          <w:tcPr>
            <w:tcW w:w="1258" w:type="dxa"/>
            <w:vAlign w:val="center"/>
            <w:hideMark/>
          </w:tcPr>
          <w:p w14:paraId="1665D4C0" w14:textId="4FF657A1" w:rsidR="004B3A6B" w:rsidRPr="000E37FC" w:rsidRDefault="004B3A6B" w:rsidP="000E37FC">
            <w:pPr>
              <w:jc w:val="right"/>
              <w:rPr>
                <w:rFonts w:ascii="Arial" w:hAnsi="Arial" w:cs="Arial"/>
                <w:sz w:val="20"/>
                <w:szCs w:val="20"/>
              </w:rPr>
            </w:pPr>
            <w:r w:rsidRPr="000E37FC">
              <w:rPr>
                <w:rFonts w:ascii="Arial" w:hAnsi="Arial" w:cs="Arial"/>
                <w:sz w:val="20"/>
                <w:szCs w:val="20"/>
              </w:rPr>
              <w:t>537.9±72.3</w:t>
            </w:r>
          </w:p>
        </w:tc>
        <w:tc>
          <w:tcPr>
            <w:tcW w:w="926" w:type="dxa"/>
            <w:vAlign w:val="center"/>
            <w:hideMark/>
          </w:tcPr>
          <w:p w14:paraId="5B9F9174"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395.0 – 680.8</w:t>
            </w:r>
          </w:p>
        </w:tc>
        <w:tc>
          <w:tcPr>
            <w:tcW w:w="1646" w:type="dxa"/>
          </w:tcPr>
          <w:p w14:paraId="76687918" w14:textId="77777777"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 xml:space="preserve">Carboniferous, </w:t>
            </w:r>
          </w:p>
          <w:p w14:paraId="5BDADBFF" w14:textId="5DB536A8" w:rsidR="00D479B0"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Silurian</w:t>
            </w:r>
          </w:p>
        </w:tc>
      </w:tr>
      <w:tr w:rsidR="00D479B0" w:rsidRPr="000E37FC" w14:paraId="3BF491B8" w14:textId="7636B74D" w:rsidTr="0043399B">
        <w:trPr>
          <w:tblCellSpacing w:w="15" w:type="dxa"/>
        </w:trPr>
        <w:tc>
          <w:tcPr>
            <w:tcW w:w="1314" w:type="dxa"/>
            <w:vAlign w:val="center"/>
            <w:hideMark/>
          </w:tcPr>
          <w:p w14:paraId="640B5FE4" w14:textId="77777777" w:rsidR="004B3A6B" w:rsidRPr="000E37FC" w:rsidRDefault="004B3A6B">
            <w:pPr>
              <w:rPr>
                <w:rFonts w:ascii="Arial" w:hAnsi="Arial" w:cs="Arial"/>
                <w:sz w:val="20"/>
                <w:szCs w:val="20"/>
              </w:rPr>
            </w:pPr>
            <w:r w:rsidRPr="000E37FC">
              <w:rPr>
                <w:rFonts w:ascii="Arial" w:hAnsi="Arial" w:cs="Arial"/>
                <w:sz w:val="20"/>
                <w:szCs w:val="20"/>
              </w:rPr>
              <w:t>Ipoh</w:t>
            </w:r>
          </w:p>
        </w:tc>
        <w:tc>
          <w:tcPr>
            <w:tcW w:w="0" w:type="auto"/>
            <w:vAlign w:val="center"/>
            <w:hideMark/>
          </w:tcPr>
          <w:p w14:paraId="236A947B"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8</w:t>
            </w:r>
          </w:p>
        </w:tc>
        <w:tc>
          <w:tcPr>
            <w:tcW w:w="1208" w:type="dxa"/>
            <w:vAlign w:val="center"/>
            <w:hideMark/>
          </w:tcPr>
          <w:p w14:paraId="4ACF06AE" w14:textId="613B00D8" w:rsidR="004B3A6B" w:rsidRPr="000E37FC" w:rsidRDefault="004B3A6B" w:rsidP="000E37FC">
            <w:pPr>
              <w:jc w:val="right"/>
              <w:rPr>
                <w:rFonts w:ascii="Arial" w:hAnsi="Arial" w:cs="Arial"/>
                <w:sz w:val="20"/>
                <w:szCs w:val="20"/>
              </w:rPr>
            </w:pPr>
            <w:r w:rsidRPr="000E37FC">
              <w:rPr>
                <w:rFonts w:ascii="Arial" w:hAnsi="Arial" w:cs="Arial"/>
                <w:sz w:val="20"/>
                <w:szCs w:val="20"/>
              </w:rPr>
              <w:t>308.3±15.2</w:t>
            </w:r>
          </w:p>
        </w:tc>
        <w:tc>
          <w:tcPr>
            <w:tcW w:w="801" w:type="dxa"/>
            <w:vAlign w:val="center"/>
            <w:hideMark/>
          </w:tcPr>
          <w:p w14:paraId="03400C71"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278.5 – 338.1</w:t>
            </w:r>
          </w:p>
        </w:tc>
        <w:tc>
          <w:tcPr>
            <w:tcW w:w="1170" w:type="dxa"/>
            <w:vAlign w:val="center"/>
            <w:hideMark/>
          </w:tcPr>
          <w:p w14:paraId="4B2A0C9D" w14:textId="4AA33951" w:rsidR="004B3A6B" w:rsidRPr="000E37FC" w:rsidRDefault="004B3A6B" w:rsidP="000E37FC">
            <w:pPr>
              <w:jc w:val="right"/>
              <w:rPr>
                <w:rFonts w:ascii="Arial" w:hAnsi="Arial" w:cs="Arial"/>
                <w:sz w:val="20"/>
                <w:szCs w:val="20"/>
              </w:rPr>
            </w:pPr>
            <w:r w:rsidRPr="000E37FC">
              <w:rPr>
                <w:rFonts w:ascii="Arial" w:hAnsi="Arial" w:cs="Arial"/>
                <w:sz w:val="20"/>
                <w:szCs w:val="20"/>
              </w:rPr>
              <w:t>341.3±45.6</w:t>
            </w:r>
          </w:p>
        </w:tc>
        <w:tc>
          <w:tcPr>
            <w:tcW w:w="0" w:type="auto"/>
            <w:vAlign w:val="center"/>
            <w:hideMark/>
          </w:tcPr>
          <w:p w14:paraId="2732BA6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250.6 – 432.0</w:t>
            </w:r>
          </w:p>
        </w:tc>
        <w:tc>
          <w:tcPr>
            <w:tcW w:w="1258" w:type="dxa"/>
            <w:vAlign w:val="center"/>
            <w:hideMark/>
          </w:tcPr>
          <w:p w14:paraId="6025EA51" w14:textId="05CAB7DD" w:rsidR="004B3A6B" w:rsidRPr="000E37FC" w:rsidRDefault="004B3A6B" w:rsidP="000E37FC">
            <w:pPr>
              <w:jc w:val="right"/>
              <w:rPr>
                <w:rFonts w:ascii="Arial" w:hAnsi="Arial" w:cs="Arial"/>
                <w:sz w:val="20"/>
                <w:szCs w:val="20"/>
              </w:rPr>
            </w:pPr>
            <w:r w:rsidRPr="000E37FC">
              <w:rPr>
                <w:rFonts w:ascii="Arial" w:hAnsi="Arial" w:cs="Arial"/>
                <w:sz w:val="20"/>
                <w:szCs w:val="20"/>
              </w:rPr>
              <w:t>506.5±95.7</w:t>
            </w:r>
          </w:p>
        </w:tc>
        <w:tc>
          <w:tcPr>
            <w:tcW w:w="926" w:type="dxa"/>
            <w:vAlign w:val="center"/>
            <w:hideMark/>
          </w:tcPr>
          <w:p w14:paraId="299B0AA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318.1 – 695.0</w:t>
            </w:r>
          </w:p>
        </w:tc>
        <w:tc>
          <w:tcPr>
            <w:tcW w:w="1646" w:type="dxa"/>
          </w:tcPr>
          <w:p w14:paraId="2C22F3DE" w14:textId="25B159A3"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Granite, Silurian</w:t>
            </w:r>
          </w:p>
        </w:tc>
      </w:tr>
      <w:tr w:rsidR="00D479B0" w:rsidRPr="000E37FC" w14:paraId="03ACB2DE" w14:textId="53F25EE5" w:rsidTr="0043399B">
        <w:trPr>
          <w:tblCellSpacing w:w="15" w:type="dxa"/>
        </w:trPr>
        <w:tc>
          <w:tcPr>
            <w:tcW w:w="1314" w:type="dxa"/>
            <w:vAlign w:val="center"/>
            <w:hideMark/>
          </w:tcPr>
          <w:p w14:paraId="30870CA6" w14:textId="77777777" w:rsidR="004B3A6B" w:rsidRPr="000E37FC" w:rsidRDefault="004B3A6B">
            <w:pPr>
              <w:rPr>
                <w:rFonts w:ascii="Arial" w:hAnsi="Arial" w:cs="Arial"/>
                <w:sz w:val="20"/>
                <w:szCs w:val="20"/>
              </w:rPr>
            </w:pPr>
            <w:r w:rsidRPr="000E37FC">
              <w:rPr>
                <w:rFonts w:ascii="Arial" w:hAnsi="Arial" w:cs="Arial"/>
                <w:sz w:val="20"/>
                <w:szCs w:val="20"/>
              </w:rPr>
              <w:t>Penang</w:t>
            </w:r>
          </w:p>
        </w:tc>
        <w:tc>
          <w:tcPr>
            <w:tcW w:w="0" w:type="auto"/>
            <w:vAlign w:val="center"/>
            <w:hideMark/>
          </w:tcPr>
          <w:p w14:paraId="47FCF6C0"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w:t>
            </w:r>
          </w:p>
        </w:tc>
        <w:tc>
          <w:tcPr>
            <w:tcW w:w="1208" w:type="dxa"/>
            <w:vAlign w:val="center"/>
            <w:hideMark/>
          </w:tcPr>
          <w:p w14:paraId="4E92F14D" w14:textId="1B75EED8" w:rsidR="004B3A6B" w:rsidRPr="000E37FC" w:rsidRDefault="004B3A6B" w:rsidP="000E37FC">
            <w:pPr>
              <w:jc w:val="right"/>
              <w:rPr>
                <w:rFonts w:ascii="Arial" w:hAnsi="Arial" w:cs="Arial"/>
                <w:sz w:val="20"/>
                <w:szCs w:val="20"/>
              </w:rPr>
            </w:pPr>
            <w:r w:rsidRPr="000E37FC">
              <w:rPr>
                <w:rFonts w:ascii="Arial" w:hAnsi="Arial" w:cs="Arial"/>
                <w:sz w:val="20"/>
                <w:szCs w:val="20"/>
              </w:rPr>
              <w:t>140.7±29.9</w:t>
            </w:r>
          </w:p>
        </w:tc>
        <w:tc>
          <w:tcPr>
            <w:tcW w:w="801" w:type="dxa"/>
            <w:vAlign w:val="center"/>
            <w:hideMark/>
          </w:tcPr>
          <w:p w14:paraId="763FF0BC"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79.3 – 202.1</w:t>
            </w:r>
          </w:p>
        </w:tc>
        <w:tc>
          <w:tcPr>
            <w:tcW w:w="1170" w:type="dxa"/>
            <w:vAlign w:val="center"/>
            <w:hideMark/>
          </w:tcPr>
          <w:p w14:paraId="0E034D5E" w14:textId="3E75FA23" w:rsidR="004B3A6B" w:rsidRPr="000E37FC" w:rsidRDefault="004B3A6B" w:rsidP="000E37FC">
            <w:pPr>
              <w:jc w:val="right"/>
              <w:rPr>
                <w:rFonts w:ascii="Arial" w:hAnsi="Arial" w:cs="Arial"/>
                <w:sz w:val="20"/>
                <w:szCs w:val="20"/>
              </w:rPr>
            </w:pPr>
            <w:r w:rsidRPr="000E37FC">
              <w:rPr>
                <w:rFonts w:ascii="Arial" w:hAnsi="Arial" w:cs="Arial"/>
                <w:sz w:val="20"/>
                <w:szCs w:val="20"/>
              </w:rPr>
              <w:t>188.6±18.1</w:t>
            </w:r>
          </w:p>
        </w:tc>
        <w:tc>
          <w:tcPr>
            <w:tcW w:w="0" w:type="auto"/>
            <w:vAlign w:val="center"/>
            <w:hideMark/>
          </w:tcPr>
          <w:p w14:paraId="2FBBC65F"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151.7 – 225.5</w:t>
            </w:r>
          </w:p>
        </w:tc>
        <w:tc>
          <w:tcPr>
            <w:tcW w:w="1258" w:type="dxa"/>
            <w:vAlign w:val="center"/>
            <w:hideMark/>
          </w:tcPr>
          <w:p w14:paraId="51B5FF54" w14:textId="03C3C16A" w:rsidR="004B3A6B" w:rsidRPr="000E37FC" w:rsidRDefault="004B3A6B" w:rsidP="000E37FC">
            <w:pPr>
              <w:jc w:val="right"/>
              <w:rPr>
                <w:rFonts w:ascii="Arial" w:hAnsi="Arial" w:cs="Arial"/>
                <w:sz w:val="20"/>
                <w:szCs w:val="20"/>
              </w:rPr>
            </w:pPr>
            <w:r w:rsidRPr="000E37FC">
              <w:rPr>
                <w:rFonts w:ascii="Arial" w:hAnsi="Arial" w:cs="Arial"/>
                <w:sz w:val="20"/>
                <w:szCs w:val="20"/>
              </w:rPr>
              <w:t>533.3±79.9</w:t>
            </w:r>
          </w:p>
        </w:tc>
        <w:tc>
          <w:tcPr>
            <w:tcW w:w="926" w:type="dxa"/>
            <w:vAlign w:val="center"/>
            <w:hideMark/>
          </w:tcPr>
          <w:p w14:paraId="4E112B0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375.9 – 690.7</w:t>
            </w:r>
          </w:p>
        </w:tc>
        <w:tc>
          <w:tcPr>
            <w:tcW w:w="1646" w:type="dxa"/>
          </w:tcPr>
          <w:p w14:paraId="142F4977" w14:textId="09DCC653" w:rsidR="004B3A6B" w:rsidRPr="0043399B" w:rsidRDefault="00D479B0" w:rsidP="00D479B0">
            <w:pPr>
              <w:jc w:val="center"/>
              <w:rPr>
                <w:rFonts w:ascii="Arial" w:hAnsi="Arial" w:cs="Arial"/>
                <w:sz w:val="20"/>
                <w:szCs w:val="20"/>
                <w:highlight w:val="yellow"/>
              </w:rPr>
            </w:pPr>
            <w:r w:rsidRPr="0043399B">
              <w:rPr>
                <w:rFonts w:ascii="Arial" w:hAnsi="Arial" w:cs="Arial"/>
                <w:sz w:val="20"/>
                <w:szCs w:val="20"/>
                <w:highlight w:val="yellow"/>
              </w:rPr>
              <w:t>Granite, Quaternary</w:t>
            </w:r>
          </w:p>
        </w:tc>
      </w:tr>
      <w:tr w:rsidR="00D479B0" w:rsidRPr="000E37FC" w14:paraId="4DD3BD02" w14:textId="75221EA3" w:rsidTr="0043399B">
        <w:trPr>
          <w:tblCellSpacing w:w="15" w:type="dxa"/>
        </w:trPr>
        <w:tc>
          <w:tcPr>
            <w:tcW w:w="1314" w:type="dxa"/>
            <w:vAlign w:val="center"/>
            <w:hideMark/>
          </w:tcPr>
          <w:p w14:paraId="1356A3C7" w14:textId="77777777" w:rsidR="004B3A6B" w:rsidRPr="000E37FC" w:rsidRDefault="004B3A6B">
            <w:pPr>
              <w:rPr>
                <w:rFonts w:ascii="Arial" w:hAnsi="Arial" w:cs="Arial"/>
                <w:sz w:val="20"/>
                <w:szCs w:val="20"/>
              </w:rPr>
            </w:pPr>
            <w:proofErr w:type="spellStart"/>
            <w:r w:rsidRPr="000E37FC">
              <w:rPr>
                <w:rFonts w:ascii="Arial" w:hAnsi="Arial" w:cs="Arial"/>
                <w:sz w:val="20"/>
                <w:szCs w:val="20"/>
              </w:rPr>
              <w:t>Alor</w:t>
            </w:r>
            <w:proofErr w:type="spellEnd"/>
            <w:r w:rsidRPr="000E37FC">
              <w:rPr>
                <w:rFonts w:ascii="Arial" w:hAnsi="Arial" w:cs="Arial"/>
                <w:sz w:val="20"/>
                <w:szCs w:val="20"/>
              </w:rPr>
              <w:t xml:space="preserve"> </w:t>
            </w:r>
            <w:proofErr w:type="spellStart"/>
            <w:r w:rsidRPr="000E37FC">
              <w:rPr>
                <w:rFonts w:ascii="Arial" w:hAnsi="Arial" w:cs="Arial"/>
                <w:sz w:val="20"/>
                <w:szCs w:val="20"/>
              </w:rPr>
              <w:t>Setar</w:t>
            </w:r>
            <w:proofErr w:type="spellEnd"/>
          </w:p>
        </w:tc>
        <w:tc>
          <w:tcPr>
            <w:tcW w:w="0" w:type="auto"/>
            <w:vAlign w:val="center"/>
            <w:hideMark/>
          </w:tcPr>
          <w:p w14:paraId="7DD5B473"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13</w:t>
            </w:r>
          </w:p>
        </w:tc>
        <w:tc>
          <w:tcPr>
            <w:tcW w:w="1208" w:type="dxa"/>
            <w:vAlign w:val="center"/>
            <w:hideMark/>
          </w:tcPr>
          <w:p w14:paraId="0A789199" w14:textId="5C810ACD" w:rsidR="004B3A6B" w:rsidRPr="000E37FC" w:rsidRDefault="004B3A6B" w:rsidP="000E37FC">
            <w:pPr>
              <w:jc w:val="right"/>
              <w:rPr>
                <w:rFonts w:ascii="Arial" w:hAnsi="Arial" w:cs="Arial"/>
                <w:sz w:val="20"/>
                <w:szCs w:val="20"/>
              </w:rPr>
            </w:pPr>
            <w:r w:rsidRPr="000E37FC">
              <w:rPr>
                <w:rFonts w:ascii="Arial" w:hAnsi="Arial" w:cs="Arial"/>
                <w:sz w:val="20"/>
                <w:szCs w:val="20"/>
              </w:rPr>
              <w:t>154.8±22.1</w:t>
            </w:r>
          </w:p>
        </w:tc>
        <w:tc>
          <w:tcPr>
            <w:tcW w:w="801" w:type="dxa"/>
            <w:vAlign w:val="center"/>
            <w:hideMark/>
          </w:tcPr>
          <w:p w14:paraId="4E764AC3"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110.7 – 198.9</w:t>
            </w:r>
          </w:p>
        </w:tc>
        <w:tc>
          <w:tcPr>
            <w:tcW w:w="1170" w:type="dxa"/>
            <w:vAlign w:val="center"/>
            <w:hideMark/>
          </w:tcPr>
          <w:p w14:paraId="2B1EECD0" w14:textId="3ACBDD1D" w:rsidR="004B3A6B" w:rsidRPr="000E37FC" w:rsidRDefault="004B3A6B" w:rsidP="000E37FC">
            <w:pPr>
              <w:jc w:val="right"/>
              <w:rPr>
                <w:rFonts w:ascii="Arial" w:hAnsi="Arial" w:cs="Arial"/>
                <w:sz w:val="20"/>
                <w:szCs w:val="20"/>
              </w:rPr>
            </w:pPr>
            <w:r w:rsidRPr="000E37FC">
              <w:rPr>
                <w:rFonts w:ascii="Arial" w:hAnsi="Arial" w:cs="Arial"/>
                <w:sz w:val="20"/>
                <w:szCs w:val="20"/>
              </w:rPr>
              <w:t>122.</w:t>
            </w:r>
            <w:r>
              <w:rPr>
                <w:rFonts w:ascii="Arial" w:hAnsi="Arial" w:cs="Arial"/>
                <w:sz w:val="20"/>
                <w:szCs w:val="20"/>
              </w:rPr>
              <w:t>0</w:t>
            </w:r>
            <w:r w:rsidRPr="000E37FC">
              <w:rPr>
                <w:rFonts w:ascii="Arial" w:hAnsi="Arial" w:cs="Arial"/>
                <w:sz w:val="20"/>
                <w:szCs w:val="20"/>
              </w:rPr>
              <w:t>±11.3</w:t>
            </w:r>
          </w:p>
        </w:tc>
        <w:tc>
          <w:tcPr>
            <w:tcW w:w="0" w:type="auto"/>
            <w:vAlign w:val="center"/>
            <w:hideMark/>
          </w:tcPr>
          <w:p w14:paraId="5C6FB676"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99.2 – 144.8</w:t>
            </w:r>
          </w:p>
        </w:tc>
        <w:tc>
          <w:tcPr>
            <w:tcW w:w="1258" w:type="dxa"/>
            <w:vAlign w:val="center"/>
            <w:hideMark/>
          </w:tcPr>
          <w:p w14:paraId="44B7B0F9" w14:textId="2DCAE93C" w:rsidR="004B3A6B" w:rsidRPr="000E37FC" w:rsidRDefault="004B3A6B" w:rsidP="000E37FC">
            <w:pPr>
              <w:jc w:val="right"/>
              <w:rPr>
                <w:rFonts w:ascii="Arial" w:hAnsi="Arial" w:cs="Arial"/>
                <w:sz w:val="20"/>
                <w:szCs w:val="20"/>
              </w:rPr>
            </w:pPr>
            <w:r w:rsidRPr="000E37FC">
              <w:rPr>
                <w:rFonts w:ascii="Arial" w:hAnsi="Arial" w:cs="Arial"/>
                <w:sz w:val="20"/>
                <w:szCs w:val="20"/>
              </w:rPr>
              <w:t>372.8±49.8</w:t>
            </w:r>
          </w:p>
        </w:tc>
        <w:tc>
          <w:tcPr>
            <w:tcW w:w="926" w:type="dxa"/>
            <w:vAlign w:val="center"/>
            <w:hideMark/>
          </w:tcPr>
          <w:p w14:paraId="560D0DB5"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274.6 – 471.0</w:t>
            </w:r>
          </w:p>
        </w:tc>
        <w:tc>
          <w:tcPr>
            <w:tcW w:w="1646" w:type="dxa"/>
          </w:tcPr>
          <w:p w14:paraId="38FE4D33" w14:textId="2373BDEA" w:rsidR="004B3A6B" w:rsidRPr="0043399B" w:rsidRDefault="0043399B" w:rsidP="00D479B0">
            <w:pPr>
              <w:jc w:val="center"/>
              <w:rPr>
                <w:rFonts w:ascii="Arial" w:hAnsi="Arial" w:cs="Arial"/>
                <w:sz w:val="20"/>
                <w:szCs w:val="20"/>
                <w:highlight w:val="yellow"/>
              </w:rPr>
            </w:pPr>
            <w:r w:rsidRPr="0043399B">
              <w:rPr>
                <w:rFonts w:ascii="Arial" w:hAnsi="Arial" w:cs="Arial"/>
                <w:sz w:val="20"/>
                <w:szCs w:val="20"/>
                <w:highlight w:val="yellow"/>
              </w:rPr>
              <w:t>Quaternary</w:t>
            </w:r>
          </w:p>
        </w:tc>
      </w:tr>
      <w:tr w:rsidR="00D479B0" w:rsidRPr="000E37FC" w14:paraId="4F66CF20" w14:textId="0EE46C48" w:rsidTr="0043399B">
        <w:trPr>
          <w:tblCellSpacing w:w="15" w:type="dxa"/>
        </w:trPr>
        <w:tc>
          <w:tcPr>
            <w:tcW w:w="1314" w:type="dxa"/>
            <w:vAlign w:val="center"/>
            <w:hideMark/>
          </w:tcPr>
          <w:p w14:paraId="4F06D0EA" w14:textId="77777777" w:rsidR="004B3A6B" w:rsidRPr="000E37FC" w:rsidRDefault="004B3A6B">
            <w:pPr>
              <w:rPr>
                <w:rFonts w:ascii="Arial" w:hAnsi="Arial" w:cs="Arial"/>
                <w:sz w:val="20"/>
                <w:szCs w:val="20"/>
              </w:rPr>
            </w:pPr>
            <w:proofErr w:type="spellStart"/>
            <w:r w:rsidRPr="000E37FC">
              <w:rPr>
                <w:rFonts w:ascii="Arial" w:hAnsi="Arial" w:cs="Arial"/>
                <w:sz w:val="20"/>
                <w:szCs w:val="20"/>
              </w:rPr>
              <w:t>Kangar</w:t>
            </w:r>
            <w:proofErr w:type="spellEnd"/>
          </w:p>
        </w:tc>
        <w:tc>
          <w:tcPr>
            <w:tcW w:w="0" w:type="auto"/>
            <w:vAlign w:val="center"/>
            <w:hideMark/>
          </w:tcPr>
          <w:p w14:paraId="53897D05"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4</w:t>
            </w:r>
          </w:p>
        </w:tc>
        <w:tc>
          <w:tcPr>
            <w:tcW w:w="1208" w:type="dxa"/>
            <w:vAlign w:val="center"/>
            <w:hideMark/>
          </w:tcPr>
          <w:p w14:paraId="5C8E04C1" w14:textId="5006334F" w:rsidR="004B3A6B" w:rsidRPr="000E37FC" w:rsidRDefault="004B3A6B" w:rsidP="000E37FC">
            <w:pPr>
              <w:jc w:val="right"/>
              <w:rPr>
                <w:rFonts w:ascii="Arial" w:hAnsi="Arial" w:cs="Arial"/>
                <w:sz w:val="20"/>
                <w:szCs w:val="20"/>
              </w:rPr>
            </w:pPr>
            <w:r w:rsidRPr="000E37FC">
              <w:rPr>
                <w:rFonts w:ascii="Arial" w:hAnsi="Arial" w:cs="Arial"/>
                <w:sz w:val="20"/>
                <w:szCs w:val="20"/>
              </w:rPr>
              <w:t>212.3±32.5</w:t>
            </w:r>
          </w:p>
        </w:tc>
        <w:tc>
          <w:tcPr>
            <w:tcW w:w="801" w:type="dxa"/>
            <w:vAlign w:val="center"/>
            <w:hideMark/>
          </w:tcPr>
          <w:p w14:paraId="4F593515"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146.7 – 277.9</w:t>
            </w:r>
          </w:p>
        </w:tc>
        <w:tc>
          <w:tcPr>
            <w:tcW w:w="1170" w:type="dxa"/>
            <w:vAlign w:val="center"/>
            <w:hideMark/>
          </w:tcPr>
          <w:p w14:paraId="2C563FB8" w14:textId="25ED79C7" w:rsidR="004B3A6B" w:rsidRPr="000E37FC" w:rsidRDefault="004B3A6B" w:rsidP="000E37FC">
            <w:pPr>
              <w:jc w:val="right"/>
              <w:rPr>
                <w:rFonts w:ascii="Arial" w:hAnsi="Arial" w:cs="Arial"/>
                <w:sz w:val="20"/>
                <w:szCs w:val="20"/>
              </w:rPr>
            </w:pPr>
            <w:r w:rsidRPr="000E37FC">
              <w:rPr>
                <w:rFonts w:ascii="Arial" w:hAnsi="Arial" w:cs="Arial"/>
                <w:sz w:val="20"/>
                <w:szCs w:val="20"/>
              </w:rPr>
              <w:t>228.8±71.3</w:t>
            </w:r>
          </w:p>
        </w:tc>
        <w:tc>
          <w:tcPr>
            <w:tcW w:w="0" w:type="auto"/>
            <w:vAlign w:val="center"/>
            <w:hideMark/>
          </w:tcPr>
          <w:p w14:paraId="03D74E90"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82.5 – 375.1</w:t>
            </w:r>
          </w:p>
        </w:tc>
        <w:tc>
          <w:tcPr>
            <w:tcW w:w="1258" w:type="dxa"/>
            <w:vAlign w:val="center"/>
            <w:hideMark/>
          </w:tcPr>
          <w:p w14:paraId="75EDA02F" w14:textId="47C1DCFE" w:rsidR="004B3A6B" w:rsidRPr="000E37FC" w:rsidRDefault="004B3A6B" w:rsidP="000E37FC">
            <w:pPr>
              <w:jc w:val="right"/>
              <w:rPr>
                <w:rFonts w:ascii="Arial" w:hAnsi="Arial" w:cs="Arial"/>
                <w:sz w:val="20"/>
                <w:szCs w:val="20"/>
              </w:rPr>
            </w:pPr>
            <w:r w:rsidRPr="000E37FC">
              <w:rPr>
                <w:rFonts w:ascii="Arial" w:hAnsi="Arial" w:cs="Arial"/>
                <w:sz w:val="20"/>
                <w:szCs w:val="20"/>
              </w:rPr>
              <w:t>390.3±151.7</w:t>
            </w:r>
          </w:p>
        </w:tc>
        <w:tc>
          <w:tcPr>
            <w:tcW w:w="926" w:type="dxa"/>
            <w:vAlign w:val="center"/>
            <w:hideMark/>
          </w:tcPr>
          <w:p w14:paraId="38271BEB"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65.5 – 715.1</w:t>
            </w:r>
          </w:p>
        </w:tc>
        <w:tc>
          <w:tcPr>
            <w:tcW w:w="1646" w:type="dxa"/>
          </w:tcPr>
          <w:p w14:paraId="6C1AB5F5" w14:textId="228DE180" w:rsidR="004B3A6B" w:rsidRPr="0043399B" w:rsidRDefault="0043399B" w:rsidP="00D479B0">
            <w:pPr>
              <w:jc w:val="center"/>
              <w:rPr>
                <w:rFonts w:ascii="Arial" w:hAnsi="Arial" w:cs="Arial"/>
                <w:sz w:val="20"/>
                <w:szCs w:val="20"/>
                <w:highlight w:val="yellow"/>
              </w:rPr>
            </w:pPr>
            <w:r w:rsidRPr="0043399B">
              <w:rPr>
                <w:rFonts w:ascii="Arial" w:hAnsi="Arial" w:cs="Arial"/>
                <w:sz w:val="20"/>
                <w:szCs w:val="20"/>
                <w:highlight w:val="yellow"/>
              </w:rPr>
              <w:t>Quaternary</w:t>
            </w:r>
          </w:p>
        </w:tc>
      </w:tr>
      <w:tr w:rsidR="00D479B0" w:rsidRPr="000E37FC" w14:paraId="6989C2A6" w14:textId="57C373DC" w:rsidTr="0043399B">
        <w:trPr>
          <w:tblCellSpacing w:w="15" w:type="dxa"/>
        </w:trPr>
        <w:tc>
          <w:tcPr>
            <w:tcW w:w="1314" w:type="dxa"/>
            <w:vAlign w:val="center"/>
            <w:hideMark/>
          </w:tcPr>
          <w:p w14:paraId="3624E6C7" w14:textId="77777777" w:rsidR="004B3A6B" w:rsidRPr="000E37FC" w:rsidRDefault="004B3A6B">
            <w:pPr>
              <w:rPr>
                <w:rFonts w:ascii="Arial" w:hAnsi="Arial" w:cs="Arial"/>
                <w:sz w:val="20"/>
                <w:szCs w:val="20"/>
              </w:rPr>
            </w:pPr>
            <w:r w:rsidRPr="000E37FC">
              <w:rPr>
                <w:rFonts w:ascii="Arial" w:hAnsi="Arial" w:cs="Arial"/>
                <w:sz w:val="20"/>
                <w:szCs w:val="20"/>
              </w:rPr>
              <w:t>Kuantan</w:t>
            </w:r>
          </w:p>
        </w:tc>
        <w:tc>
          <w:tcPr>
            <w:tcW w:w="0" w:type="auto"/>
            <w:vAlign w:val="center"/>
            <w:hideMark/>
          </w:tcPr>
          <w:p w14:paraId="40B62634"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8</w:t>
            </w:r>
          </w:p>
        </w:tc>
        <w:tc>
          <w:tcPr>
            <w:tcW w:w="1208" w:type="dxa"/>
            <w:vAlign w:val="center"/>
            <w:hideMark/>
          </w:tcPr>
          <w:p w14:paraId="26E45E6D" w14:textId="1214E270" w:rsidR="004B3A6B" w:rsidRPr="000E37FC" w:rsidRDefault="004B3A6B" w:rsidP="000E37FC">
            <w:pPr>
              <w:jc w:val="right"/>
              <w:rPr>
                <w:rFonts w:ascii="Arial" w:hAnsi="Arial" w:cs="Arial"/>
                <w:sz w:val="20"/>
                <w:szCs w:val="20"/>
              </w:rPr>
            </w:pPr>
            <w:r w:rsidRPr="000E37FC">
              <w:rPr>
                <w:rFonts w:ascii="Arial" w:hAnsi="Arial" w:cs="Arial"/>
                <w:sz w:val="20"/>
                <w:szCs w:val="20"/>
              </w:rPr>
              <w:t>125.1±21.7</w:t>
            </w:r>
          </w:p>
        </w:tc>
        <w:tc>
          <w:tcPr>
            <w:tcW w:w="801" w:type="dxa"/>
            <w:vAlign w:val="center"/>
            <w:hideMark/>
          </w:tcPr>
          <w:p w14:paraId="220744A8"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81.2 – 169.0</w:t>
            </w:r>
          </w:p>
        </w:tc>
        <w:tc>
          <w:tcPr>
            <w:tcW w:w="1170" w:type="dxa"/>
            <w:vAlign w:val="center"/>
            <w:hideMark/>
          </w:tcPr>
          <w:p w14:paraId="0BE19855" w14:textId="0E06DA74" w:rsidR="004B3A6B" w:rsidRPr="000E37FC" w:rsidRDefault="004B3A6B" w:rsidP="000E37FC">
            <w:pPr>
              <w:jc w:val="right"/>
              <w:rPr>
                <w:rFonts w:ascii="Arial" w:hAnsi="Arial" w:cs="Arial"/>
                <w:sz w:val="20"/>
                <w:szCs w:val="20"/>
              </w:rPr>
            </w:pPr>
            <w:r w:rsidRPr="000E37FC">
              <w:rPr>
                <w:rFonts w:ascii="Arial" w:hAnsi="Arial" w:cs="Arial"/>
                <w:sz w:val="20"/>
                <w:szCs w:val="20"/>
              </w:rPr>
              <w:t>149.1±27.9</w:t>
            </w:r>
          </w:p>
        </w:tc>
        <w:tc>
          <w:tcPr>
            <w:tcW w:w="0" w:type="auto"/>
            <w:vAlign w:val="center"/>
            <w:hideMark/>
          </w:tcPr>
          <w:p w14:paraId="689DAA4D"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92.3 – 205.9</w:t>
            </w:r>
          </w:p>
        </w:tc>
        <w:tc>
          <w:tcPr>
            <w:tcW w:w="1258" w:type="dxa"/>
            <w:vAlign w:val="center"/>
            <w:hideMark/>
          </w:tcPr>
          <w:p w14:paraId="039B395F" w14:textId="26162666" w:rsidR="004B3A6B" w:rsidRPr="000E37FC" w:rsidRDefault="004B3A6B" w:rsidP="000E37FC">
            <w:pPr>
              <w:jc w:val="right"/>
              <w:rPr>
                <w:rFonts w:ascii="Arial" w:hAnsi="Arial" w:cs="Arial"/>
                <w:sz w:val="20"/>
                <w:szCs w:val="20"/>
              </w:rPr>
            </w:pPr>
            <w:r w:rsidRPr="000E37FC">
              <w:rPr>
                <w:rFonts w:ascii="Arial" w:hAnsi="Arial" w:cs="Arial"/>
                <w:sz w:val="20"/>
                <w:szCs w:val="20"/>
              </w:rPr>
              <w:t>619.0±103.8</w:t>
            </w:r>
          </w:p>
        </w:tc>
        <w:tc>
          <w:tcPr>
            <w:tcW w:w="926" w:type="dxa"/>
            <w:vAlign w:val="center"/>
            <w:hideMark/>
          </w:tcPr>
          <w:p w14:paraId="74F4AC7A"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414.5 – 823.5</w:t>
            </w:r>
          </w:p>
        </w:tc>
        <w:tc>
          <w:tcPr>
            <w:tcW w:w="1646" w:type="dxa"/>
          </w:tcPr>
          <w:p w14:paraId="0040A281" w14:textId="2F50BEC9" w:rsidR="004B3A6B" w:rsidRPr="0043399B" w:rsidRDefault="0043399B" w:rsidP="00D479B0">
            <w:pPr>
              <w:jc w:val="center"/>
              <w:rPr>
                <w:rFonts w:ascii="Arial" w:hAnsi="Arial" w:cs="Arial"/>
                <w:sz w:val="20"/>
                <w:szCs w:val="20"/>
                <w:highlight w:val="yellow"/>
              </w:rPr>
            </w:pPr>
            <w:r w:rsidRPr="0043399B">
              <w:rPr>
                <w:rFonts w:ascii="Arial" w:hAnsi="Arial" w:cs="Arial"/>
                <w:sz w:val="20"/>
                <w:szCs w:val="20"/>
                <w:highlight w:val="yellow"/>
              </w:rPr>
              <w:t>Quaternary, Granite</w:t>
            </w:r>
          </w:p>
        </w:tc>
      </w:tr>
      <w:tr w:rsidR="00D479B0" w:rsidRPr="000E37FC" w14:paraId="62E3FE04" w14:textId="4AA6F1B3" w:rsidTr="0043399B">
        <w:trPr>
          <w:tblCellSpacing w:w="15" w:type="dxa"/>
        </w:trPr>
        <w:tc>
          <w:tcPr>
            <w:tcW w:w="1314" w:type="dxa"/>
            <w:vAlign w:val="center"/>
            <w:hideMark/>
          </w:tcPr>
          <w:p w14:paraId="64FD3DBC" w14:textId="77777777" w:rsidR="004B3A6B" w:rsidRPr="000E37FC" w:rsidRDefault="004B3A6B">
            <w:pPr>
              <w:rPr>
                <w:rFonts w:ascii="Arial" w:hAnsi="Arial" w:cs="Arial"/>
                <w:sz w:val="20"/>
                <w:szCs w:val="20"/>
              </w:rPr>
            </w:pPr>
            <w:r w:rsidRPr="000E37FC">
              <w:rPr>
                <w:rFonts w:ascii="Arial" w:hAnsi="Arial" w:cs="Arial"/>
                <w:sz w:val="20"/>
                <w:szCs w:val="20"/>
              </w:rPr>
              <w:t>Kota Bharu</w:t>
            </w:r>
          </w:p>
        </w:tc>
        <w:tc>
          <w:tcPr>
            <w:tcW w:w="0" w:type="auto"/>
            <w:vAlign w:val="center"/>
            <w:hideMark/>
          </w:tcPr>
          <w:p w14:paraId="6236308F"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w:t>
            </w:r>
          </w:p>
        </w:tc>
        <w:tc>
          <w:tcPr>
            <w:tcW w:w="1208" w:type="dxa"/>
            <w:vAlign w:val="center"/>
            <w:hideMark/>
          </w:tcPr>
          <w:p w14:paraId="53F1C0EE" w14:textId="1250A556" w:rsidR="004B3A6B" w:rsidRPr="000E37FC" w:rsidRDefault="004B3A6B" w:rsidP="000E37FC">
            <w:pPr>
              <w:jc w:val="right"/>
              <w:rPr>
                <w:rFonts w:ascii="Arial" w:hAnsi="Arial" w:cs="Arial"/>
                <w:sz w:val="20"/>
                <w:szCs w:val="20"/>
              </w:rPr>
            </w:pPr>
            <w:r w:rsidRPr="000E37FC">
              <w:rPr>
                <w:rFonts w:ascii="Arial" w:hAnsi="Arial" w:cs="Arial"/>
                <w:sz w:val="20"/>
                <w:szCs w:val="20"/>
              </w:rPr>
              <w:t>137.3±21.3</w:t>
            </w:r>
          </w:p>
        </w:tc>
        <w:tc>
          <w:tcPr>
            <w:tcW w:w="801" w:type="dxa"/>
            <w:vAlign w:val="center"/>
            <w:hideMark/>
          </w:tcPr>
          <w:p w14:paraId="7C834246"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95.3 – 179.3</w:t>
            </w:r>
          </w:p>
        </w:tc>
        <w:tc>
          <w:tcPr>
            <w:tcW w:w="1170" w:type="dxa"/>
            <w:vAlign w:val="center"/>
            <w:hideMark/>
          </w:tcPr>
          <w:p w14:paraId="52927323" w14:textId="02B84303" w:rsidR="004B3A6B" w:rsidRPr="000E37FC" w:rsidRDefault="004B3A6B" w:rsidP="000E37FC">
            <w:pPr>
              <w:jc w:val="right"/>
              <w:rPr>
                <w:rFonts w:ascii="Arial" w:hAnsi="Arial" w:cs="Arial"/>
                <w:sz w:val="20"/>
                <w:szCs w:val="20"/>
              </w:rPr>
            </w:pPr>
            <w:r w:rsidRPr="000E37FC">
              <w:rPr>
                <w:rFonts w:ascii="Arial" w:hAnsi="Arial" w:cs="Arial"/>
                <w:sz w:val="20"/>
                <w:szCs w:val="20"/>
              </w:rPr>
              <w:t>124.5±16.4</w:t>
            </w:r>
          </w:p>
        </w:tc>
        <w:tc>
          <w:tcPr>
            <w:tcW w:w="0" w:type="auto"/>
            <w:vAlign w:val="center"/>
            <w:hideMark/>
          </w:tcPr>
          <w:p w14:paraId="5757DB5B"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91.5 – 157.5</w:t>
            </w:r>
          </w:p>
        </w:tc>
        <w:tc>
          <w:tcPr>
            <w:tcW w:w="1258" w:type="dxa"/>
            <w:vAlign w:val="center"/>
            <w:hideMark/>
          </w:tcPr>
          <w:p w14:paraId="60872380" w14:textId="565E81D1" w:rsidR="004B3A6B" w:rsidRPr="000E37FC" w:rsidRDefault="004B3A6B" w:rsidP="000E37FC">
            <w:pPr>
              <w:jc w:val="right"/>
              <w:rPr>
                <w:rFonts w:ascii="Arial" w:hAnsi="Arial" w:cs="Arial"/>
                <w:sz w:val="20"/>
                <w:szCs w:val="20"/>
              </w:rPr>
            </w:pPr>
            <w:r w:rsidRPr="000E37FC">
              <w:rPr>
                <w:rFonts w:ascii="Arial" w:hAnsi="Arial" w:cs="Arial"/>
                <w:sz w:val="20"/>
                <w:szCs w:val="20"/>
              </w:rPr>
              <w:t>333.7±36.0</w:t>
            </w:r>
          </w:p>
        </w:tc>
        <w:tc>
          <w:tcPr>
            <w:tcW w:w="926" w:type="dxa"/>
            <w:vAlign w:val="center"/>
            <w:hideMark/>
          </w:tcPr>
          <w:p w14:paraId="3B69BF7D"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263.2 – 404.2</w:t>
            </w:r>
          </w:p>
        </w:tc>
        <w:tc>
          <w:tcPr>
            <w:tcW w:w="1646" w:type="dxa"/>
          </w:tcPr>
          <w:p w14:paraId="01933AC5" w14:textId="77215750" w:rsidR="004B3A6B" w:rsidRPr="0043399B" w:rsidRDefault="0043399B" w:rsidP="00D479B0">
            <w:pPr>
              <w:jc w:val="center"/>
              <w:rPr>
                <w:rFonts w:ascii="Arial" w:hAnsi="Arial" w:cs="Arial"/>
                <w:sz w:val="20"/>
                <w:szCs w:val="20"/>
                <w:highlight w:val="yellow"/>
              </w:rPr>
            </w:pPr>
            <w:r w:rsidRPr="0043399B">
              <w:rPr>
                <w:rFonts w:ascii="Arial" w:hAnsi="Arial" w:cs="Arial"/>
                <w:sz w:val="20"/>
                <w:szCs w:val="20"/>
                <w:highlight w:val="yellow"/>
              </w:rPr>
              <w:t>Quaternary</w:t>
            </w:r>
          </w:p>
        </w:tc>
      </w:tr>
      <w:tr w:rsidR="00D479B0" w:rsidRPr="000E37FC" w14:paraId="05BB06AF" w14:textId="08425829" w:rsidTr="0043399B">
        <w:trPr>
          <w:tblCellSpacing w:w="15" w:type="dxa"/>
        </w:trPr>
        <w:tc>
          <w:tcPr>
            <w:tcW w:w="1314" w:type="dxa"/>
            <w:vAlign w:val="center"/>
            <w:hideMark/>
          </w:tcPr>
          <w:p w14:paraId="5F94D6F6" w14:textId="77777777" w:rsidR="004B3A6B" w:rsidRPr="000E37FC" w:rsidRDefault="004B3A6B">
            <w:pPr>
              <w:rPr>
                <w:rFonts w:ascii="Arial" w:hAnsi="Arial" w:cs="Arial"/>
                <w:sz w:val="20"/>
                <w:szCs w:val="20"/>
              </w:rPr>
            </w:pPr>
            <w:r w:rsidRPr="000E37FC">
              <w:rPr>
                <w:rFonts w:ascii="Arial" w:hAnsi="Arial" w:cs="Arial"/>
                <w:sz w:val="20"/>
                <w:szCs w:val="20"/>
              </w:rPr>
              <w:t>Kuala Terengganu</w:t>
            </w:r>
          </w:p>
        </w:tc>
        <w:tc>
          <w:tcPr>
            <w:tcW w:w="0" w:type="auto"/>
            <w:vAlign w:val="center"/>
            <w:hideMark/>
          </w:tcPr>
          <w:p w14:paraId="6C0790B4"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10</w:t>
            </w:r>
          </w:p>
        </w:tc>
        <w:tc>
          <w:tcPr>
            <w:tcW w:w="1208" w:type="dxa"/>
            <w:vAlign w:val="center"/>
            <w:hideMark/>
          </w:tcPr>
          <w:p w14:paraId="79473476" w14:textId="46224C48" w:rsidR="004B3A6B" w:rsidRPr="000E37FC" w:rsidRDefault="004B3A6B" w:rsidP="000E37FC">
            <w:pPr>
              <w:jc w:val="right"/>
              <w:rPr>
                <w:rFonts w:ascii="Arial" w:hAnsi="Arial" w:cs="Arial"/>
                <w:sz w:val="20"/>
                <w:szCs w:val="20"/>
              </w:rPr>
            </w:pPr>
            <w:r w:rsidRPr="000E37FC">
              <w:rPr>
                <w:rFonts w:ascii="Arial" w:hAnsi="Arial" w:cs="Arial"/>
                <w:sz w:val="20"/>
                <w:szCs w:val="20"/>
              </w:rPr>
              <w:t>181.4±16.9</w:t>
            </w:r>
          </w:p>
        </w:tc>
        <w:tc>
          <w:tcPr>
            <w:tcW w:w="801" w:type="dxa"/>
            <w:vAlign w:val="center"/>
            <w:hideMark/>
          </w:tcPr>
          <w:p w14:paraId="3BB48270"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148.2 – 214.6</w:t>
            </w:r>
          </w:p>
        </w:tc>
        <w:tc>
          <w:tcPr>
            <w:tcW w:w="1170" w:type="dxa"/>
            <w:vAlign w:val="center"/>
            <w:hideMark/>
          </w:tcPr>
          <w:p w14:paraId="16FCC800" w14:textId="0DC27744" w:rsidR="004B3A6B" w:rsidRPr="000E37FC" w:rsidRDefault="004B3A6B" w:rsidP="000E37FC">
            <w:pPr>
              <w:jc w:val="right"/>
              <w:rPr>
                <w:rFonts w:ascii="Arial" w:hAnsi="Arial" w:cs="Arial"/>
                <w:sz w:val="20"/>
                <w:szCs w:val="20"/>
              </w:rPr>
            </w:pPr>
            <w:r w:rsidRPr="000E37FC">
              <w:rPr>
                <w:rFonts w:ascii="Arial" w:hAnsi="Arial" w:cs="Arial"/>
                <w:sz w:val="20"/>
                <w:szCs w:val="20"/>
              </w:rPr>
              <w:t>186.0±20.7</w:t>
            </w:r>
          </w:p>
        </w:tc>
        <w:tc>
          <w:tcPr>
            <w:tcW w:w="0" w:type="auto"/>
            <w:vAlign w:val="center"/>
            <w:hideMark/>
          </w:tcPr>
          <w:p w14:paraId="7A915C26"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145.3 – 226.7</w:t>
            </w:r>
          </w:p>
        </w:tc>
        <w:tc>
          <w:tcPr>
            <w:tcW w:w="1258" w:type="dxa"/>
            <w:vAlign w:val="center"/>
            <w:hideMark/>
          </w:tcPr>
          <w:p w14:paraId="358907D4" w14:textId="5DF6AE24" w:rsidR="004B3A6B" w:rsidRPr="000E37FC" w:rsidRDefault="004B3A6B" w:rsidP="000E37FC">
            <w:pPr>
              <w:jc w:val="right"/>
              <w:rPr>
                <w:rFonts w:ascii="Arial" w:hAnsi="Arial" w:cs="Arial"/>
                <w:sz w:val="20"/>
                <w:szCs w:val="20"/>
              </w:rPr>
            </w:pPr>
            <w:r w:rsidRPr="000E37FC">
              <w:rPr>
                <w:rFonts w:ascii="Arial" w:hAnsi="Arial" w:cs="Arial"/>
                <w:sz w:val="20"/>
                <w:szCs w:val="20"/>
              </w:rPr>
              <w:t>301.5±35.5</w:t>
            </w:r>
          </w:p>
        </w:tc>
        <w:tc>
          <w:tcPr>
            <w:tcW w:w="926" w:type="dxa"/>
            <w:vAlign w:val="center"/>
            <w:hideMark/>
          </w:tcPr>
          <w:p w14:paraId="64FE2AC0" w14:textId="77777777" w:rsidR="004B3A6B" w:rsidRPr="000E37FC" w:rsidRDefault="004B3A6B" w:rsidP="000E37FC">
            <w:pPr>
              <w:jc w:val="right"/>
              <w:rPr>
                <w:rFonts w:ascii="Arial" w:hAnsi="Arial" w:cs="Arial"/>
                <w:sz w:val="20"/>
                <w:szCs w:val="20"/>
              </w:rPr>
            </w:pPr>
            <w:r w:rsidRPr="000E37FC">
              <w:rPr>
                <w:rFonts w:ascii="Arial" w:hAnsi="Arial" w:cs="Arial"/>
                <w:sz w:val="20"/>
                <w:szCs w:val="20"/>
              </w:rPr>
              <w:t>232.0 – 371.0</w:t>
            </w:r>
          </w:p>
        </w:tc>
        <w:tc>
          <w:tcPr>
            <w:tcW w:w="1646" w:type="dxa"/>
          </w:tcPr>
          <w:p w14:paraId="743CC009" w14:textId="6565526D" w:rsidR="004B3A6B" w:rsidRPr="0043399B" w:rsidRDefault="0043399B" w:rsidP="00D479B0">
            <w:pPr>
              <w:jc w:val="center"/>
              <w:rPr>
                <w:rFonts w:ascii="Arial" w:hAnsi="Arial" w:cs="Arial"/>
                <w:sz w:val="20"/>
                <w:szCs w:val="20"/>
                <w:highlight w:val="yellow"/>
              </w:rPr>
            </w:pPr>
            <w:r w:rsidRPr="0043399B">
              <w:rPr>
                <w:rFonts w:ascii="Arial" w:hAnsi="Arial" w:cs="Arial"/>
                <w:sz w:val="20"/>
                <w:szCs w:val="20"/>
                <w:highlight w:val="yellow"/>
              </w:rPr>
              <w:t>Quaternary, Carboniferous</w:t>
            </w:r>
          </w:p>
        </w:tc>
      </w:tr>
    </w:tbl>
    <w:p w14:paraId="04485514" w14:textId="77777777" w:rsidR="00E053D0" w:rsidRDefault="00E053D0" w:rsidP="00441B6F">
      <w:pPr>
        <w:pStyle w:val="Body"/>
        <w:spacing w:after="0"/>
        <w:rPr>
          <w:rFonts w:ascii="Arial" w:hAnsi="Arial" w:cs="Arial"/>
        </w:rPr>
      </w:pPr>
    </w:p>
    <w:p w14:paraId="309E8BD8" w14:textId="6EE0A30D" w:rsidR="002C462C" w:rsidRDefault="002C462C" w:rsidP="002C462C">
      <w:pPr>
        <w:pStyle w:val="Body"/>
        <w:rPr>
          <w:rFonts w:ascii="Arial" w:hAnsi="Arial" w:cs="Arial"/>
        </w:rPr>
      </w:pPr>
      <w:r w:rsidRPr="00765C37">
        <w:rPr>
          <w:rFonts w:ascii="Arial" w:hAnsi="Arial" w:cs="Arial"/>
        </w:rPr>
        <w:t xml:space="preserve">Northern cities showed more heterogeneous patterns. </w:t>
      </w:r>
      <w:proofErr w:type="spellStart"/>
      <w:r w:rsidRPr="00765C37">
        <w:rPr>
          <w:rFonts w:ascii="Arial" w:hAnsi="Arial" w:cs="Arial"/>
        </w:rPr>
        <w:t>Alor</w:t>
      </w:r>
      <w:proofErr w:type="spellEnd"/>
      <w:r w:rsidRPr="00765C37">
        <w:rPr>
          <w:rFonts w:ascii="Arial" w:hAnsi="Arial" w:cs="Arial"/>
        </w:rPr>
        <w:t xml:space="preserve"> </w:t>
      </w:r>
      <w:proofErr w:type="spellStart"/>
      <w:r w:rsidRPr="00765C37">
        <w:rPr>
          <w:rFonts w:ascii="Arial" w:hAnsi="Arial" w:cs="Arial"/>
        </w:rPr>
        <w:t>Setar</w:t>
      </w:r>
      <w:proofErr w:type="spellEnd"/>
      <w:r w:rsidRPr="00765C37">
        <w:rPr>
          <w:rFonts w:ascii="Arial" w:hAnsi="Arial" w:cs="Arial"/>
        </w:rPr>
        <w:t xml:space="preserve"> soils generally had low to moderate </w:t>
      </w:r>
      <w:r w:rsidR="008E75AA" w:rsidRPr="008E75AA">
        <w:rPr>
          <w:rFonts w:ascii="Arial" w:hAnsi="Arial" w:cs="Arial"/>
          <w:vertAlign w:val="superscript"/>
        </w:rPr>
        <w:t>238</w:t>
      </w:r>
      <w:r w:rsidRPr="00765C37">
        <w:rPr>
          <w:rFonts w:ascii="Arial" w:hAnsi="Arial" w:cs="Arial"/>
        </w:rPr>
        <w:t xml:space="preserve">U (37–285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8E75AA" w:rsidRPr="008E75AA">
        <w:rPr>
          <w:rFonts w:ascii="Arial" w:hAnsi="Arial" w:cs="Arial"/>
          <w:vertAlign w:val="superscript"/>
        </w:rPr>
        <w:t>232</w:t>
      </w:r>
      <w:r w:rsidRPr="00765C37">
        <w:rPr>
          <w:rFonts w:ascii="Arial" w:hAnsi="Arial" w:cs="Arial"/>
        </w:rPr>
        <w:t xml:space="preserve">Th (65–172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but variable </w:t>
      </w:r>
      <w:r w:rsidR="008E75AA" w:rsidRPr="008E75AA">
        <w:rPr>
          <w:rFonts w:ascii="Arial" w:hAnsi="Arial" w:cs="Arial"/>
          <w:vertAlign w:val="superscript"/>
        </w:rPr>
        <w:t>40</w:t>
      </w:r>
      <w:r w:rsidRPr="00765C37">
        <w:rPr>
          <w:rFonts w:ascii="Arial" w:hAnsi="Arial" w:cs="Arial"/>
        </w:rPr>
        <w:t xml:space="preserve">K. </w:t>
      </w:r>
      <w:proofErr w:type="spellStart"/>
      <w:r w:rsidRPr="00765C37">
        <w:rPr>
          <w:rFonts w:ascii="Arial" w:hAnsi="Arial" w:cs="Arial"/>
        </w:rPr>
        <w:t>Kangar</w:t>
      </w:r>
      <w:proofErr w:type="spellEnd"/>
      <w:r w:rsidRPr="00765C37">
        <w:rPr>
          <w:rFonts w:ascii="Arial" w:hAnsi="Arial" w:cs="Arial"/>
        </w:rPr>
        <w:t xml:space="preserve"> showed markedly high </w:t>
      </w:r>
      <w:r w:rsidR="008E75AA" w:rsidRPr="008E75AA">
        <w:rPr>
          <w:rFonts w:ascii="Arial" w:hAnsi="Arial" w:cs="Arial"/>
          <w:vertAlign w:val="superscript"/>
        </w:rPr>
        <w:t>232</w:t>
      </w:r>
      <w:r w:rsidRPr="00765C37">
        <w:rPr>
          <w:rFonts w:ascii="Arial" w:hAnsi="Arial" w:cs="Arial"/>
        </w:rPr>
        <w:t xml:space="preserve">Th (up to 415 ± 17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indicative of </w:t>
      </w:r>
      <w:r w:rsidR="00C70792">
        <w:rPr>
          <w:rFonts w:ascii="Arial" w:hAnsi="Arial" w:cs="Arial"/>
        </w:rPr>
        <w:t>local geological</w:t>
      </w:r>
      <w:r w:rsidRPr="00765C37">
        <w:rPr>
          <w:rFonts w:ascii="Arial" w:hAnsi="Arial" w:cs="Arial"/>
        </w:rPr>
        <w:t xml:space="preserve"> influence. Kuantan displayed moderate </w:t>
      </w:r>
      <w:r w:rsidR="00C70792" w:rsidRPr="008E75AA">
        <w:rPr>
          <w:rFonts w:ascii="Arial" w:hAnsi="Arial" w:cs="Arial"/>
          <w:vertAlign w:val="superscript"/>
        </w:rPr>
        <w:t>238</w:t>
      </w:r>
      <w:r w:rsidR="00C70792" w:rsidRPr="00765C37">
        <w:rPr>
          <w:rFonts w:ascii="Arial" w:hAnsi="Arial" w:cs="Arial"/>
        </w:rPr>
        <w:t>U</w:t>
      </w:r>
      <w:r w:rsidRPr="00765C37">
        <w:rPr>
          <w:rFonts w:ascii="Arial" w:hAnsi="Arial" w:cs="Arial"/>
        </w:rPr>
        <w:t xml:space="preserve"> and </w:t>
      </w:r>
      <w:r w:rsidR="00C70792" w:rsidRPr="008E75AA">
        <w:rPr>
          <w:rFonts w:ascii="Arial" w:hAnsi="Arial" w:cs="Arial"/>
          <w:vertAlign w:val="superscript"/>
        </w:rPr>
        <w:t>232</w:t>
      </w:r>
      <w:r w:rsidR="00C70792" w:rsidRPr="00765C37">
        <w:rPr>
          <w:rFonts w:ascii="Arial" w:hAnsi="Arial" w:cs="Arial"/>
        </w:rPr>
        <w:t>Th</w:t>
      </w:r>
      <w:r w:rsidRPr="00765C37">
        <w:rPr>
          <w:rFonts w:ascii="Arial" w:hAnsi="Arial" w:cs="Arial"/>
        </w:rPr>
        <w:t xml:space="preserve"> but very high </w:t>
      </w:r>
      <w:r w:rsidR="00C70792" w:rsidRPr="008E75AA">
        <w:rPr>
          <w:rFonts w:ascii="Arial" w:hAnsi="Arial" w:cs="Arial"/>
          <w:vertAlign w:val="superscript"/>
        </w:rPr>
        <w:t>40</w:t>
      </w:r>
      <w:r w:rsidR="00C70792" w:rsidRPr="00765C37">
        <w:rPr>
          <w:rFonts w:ascii="Arial" w:hAnsi="Arial" w:cs="Arial"/>
        </w:rPr>
        <w:t>K</w:t>
      </w:r>
      <w:r w:rsidRPr="00765C37">
        <w:rPr>
          <w:rFonts w:ascii="Arial" w:hAnsi="Arial" w:cs="Arial"/>
        </w:rPr>
        <w:t xml:space="preserve"> in some samples (up to 1121 ± 204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Kota Bharu and Kuala</w:t>
      </w:r>
      <w:r w:rsidRPr="005E43D5">
        <w:rPr>
          <w:rFonts w:ascii="Arial" w:hAnsi="Arial" w:cs="Arial"/>
        </w:rPr>
        <w:t xml:space="preserve"> </w:t>
      </w:r>
      <w:r w:rsidRPr="00765C37">
        <w:rPr>
          <w:rFonts w:ascii="Arial" w:hAnsi="Arial" w:cs="Arial"/>
        </w:rPr>
        <w:t xml:space="preserve">Terengganu soils were lower in </w:t>
      </w:r>
      <w:r w:rsidR="00C70792" w:rsidRPr="008E75AA">
        <w:rPr>
          <w:rFonts w:ascii="Arial" w:hAnsi="Arial" w:cs="Arial"/>
          <w:vertAlign w:val="superscript"/>
        </w:rPr>
        <w:t>238</w:t>
      </w:r>
      <w:r w:rsidR="00C70792" w:rsidRPr="00765C37">
        <w:rPr>
          <w:rFonts w:ascii="Arial" w:hAnsi="Arial" w:cs="Arial"/>
        </w:rPr>
        <w:t>U</w:t>
      </w:r>
      <w:r w:rsidRPr="00765C37">
        <w:rPr>
          <w:rFonts w:ascii="Arial" w:hAnsi="Arial" w:cs="Arial"/>
        </w:rPr>
        <w:t xml:space="preserve"> and </w:t>
      </w:r>
      <w:r w:rsidR="00C70792" w:rsidRPr="008E75AA">
        <w:rPr>
          <w:rFonts w:ascii="Arial" w:hAnsi="Arial" w:cs="Arial"/>
          <w:vertAlign w:val="superscript"/>
        </w:rPr>
        <w:t>232</w:t>
      </w:r>
      <w:r w:rsidR="00C70792" w:rsidRPr="00765C37">
        <w:rPr>
          <w:rFonts w:ascii="Arial" w:hAnsi="Arial" w:cs="Arial"/>
        </w:rPr>
        <w:t>Th</w:t>
      </w:r>
      <w:r w:rsidRPr="00765C37">
        <w:rPr>
          <w:rFonts w:ascii="Arial" w:hAnsi="Arial" w:cs="Arial"/>
        </w:rPr>
        <w:t xml:space="preserve"> relative to </w:t>
      </w:r>
      <w:r w:rsidR="00C70792">
        <w:rPr>
          <w:rFonts w:ascii="Arial" w:hAnsi="Arial" w:cs="Arial"/>
        </w:rPr>
        <w:t>other</w:t>
      </w:r>
      <w:r w:rsidRPr="00765C37">
        <w:rPr>
          <w:rFonts w:ascii="Arial" w:hAnsi="Arial" w:cs="Arial"/>
        </w:rPr>
        <w:t xml:space="preserve"> provinces, though some samples exhibited high </w:t>
      </w:r>
      <w:r w:rsidR="00C70792" w:rsidRPr="008E75AA">
        <w:rPr>
          <w:rFonts w:ascii="Arial" w:hAnsi="Arial" w:cs="Arial"/>
          <w:vertAlign w:val="superscript"/>
        </w:rPr>
        <w:t>40</w:t>
      </w:r>
      <w:r w:rsidR="00C70792" w:rsidRPr="00765C37">
        <w:rPr>
          <w:rFonts w:ascii="Arial" w:hAnsi="Arial" w:cs="Arial"/>
        </w:rPr>
        <w:t>K</w:t>
      </w:r>
      <w:r w:rsidRPr="00765C37">
        <w:rPr>
          <w:rFonts w:ascii="Arial" w:hAnsi="Arial" w:cs="Arial"/>
        </w:rPr>
        <w:t xml:space="preserve">, likely influenced by mixed </w:t>
      </w:r>
      <w:r w:rsidR="007E58AD">
        <w:rPr>
          <w:rFonts w:ascii="Arial" w:hAnsi="Arial" w:cs="Arial"/>
        </w:rPr>
        <w:t xml:space="preserve">new soil development </w:t>
      </w:r>
      <w:r w:rsidRPr="00765C37">
        <w:rPr>
          <w:rFonts w:ascii="Arial" w:hAnsi="Arial" w:cs="Arial"/>
        </w:rPr>
        <w:t>and urban soil modification.</w:t>
      </w:r>
    </w:p>
    <w:p w14:paraId="15528394" w14:textId="4BFAC9E1" w:rsidR="002C462C" w:rsidRDefault="002C462C" w:rsidP="008C6D8A">
      <w:pPr>
        <w:pStyle w:val="Body"/>
        <w:rPr>
          <w:rFonts w:ascii="Arial" w:hAnsi="Arial" w:cs="Arial"/>
        </w:rPr>
      </w:pPr>
      <w:r w:rsidRPr="00765C37">
        <w:rPr>
          <w:rFonts w:ascii="Arial" w:hAnsi="Arial" w:cs="Arial"/>
        </w:rPr>
        <w:t xml:space="preserve">Overall, the urban soils studied reveal substantial geologically driven variability, with granitic provinces (Ipoh, Seremban, parts of Penang, Selangor–Kuala Lumpur) showing systematically higher </w:t>
      </w:r>
      <w:r w:rsidR="002251E8" w:rsidRPr="005E43D5">
        <w:rPr>
          <w:rFonts w:ascii="Arial" w:hAnsi="Arial" w:cs="Arial"/>
          <w:vertAlign w:val="superscript"/>
        </w:rPr>
        <w:t>238</w:t>
      </w:r>
      <w:r w:rsidR="002251E8" w:rsidRPr="00765C37">
        <w:rPr>
          <w:rFonts w:ascii="Arial" w:hAnsi="Arial" w:cs="Arial"/>
        </w:rPr>
        <w:t>U</w:t>
      </w:r>
      <w:r w:rsidR="002251E8">
        <w:rPr>
          <w:rFonts w:ascii="Arial" w:hAnsi="Arial" w:cs="Arial"/>
        </w:rPr>
        <w:t xml:space="preserve"> and </w:t>
      </w:r>
      <w:r w:rsidR="002251E8" w:rsidRPr="005E43D5">
        <w:rPr>
          <w:rFonts w:ascii="Arial" w:hAnsi="Arial" w:cs="Arial"/>
          <w:vertAlign w:val="superscript"/>
        </w:rPr>
        <w:t>232</w:t>
      </w:r>
      <w:r w:rsidR="002251E8" w:rsidRPr="00765C37">
        <w:rPr>
          <w:rFonts w:ascii="Arial" w:hAnsi="Arial" w:cs="Arial"/>
        </w:rPr>
        <w:t xml:space="preserve">Th </w:t>
      </w:r>
      <w:r w:rsidR="002251E8">
        <w:rPr>
          <w:rFonts w:ascii="Arial" w:hAnsi="Arial" w:cs="Arial"/>
        </w:rPr>
        <w:t xml:space="preserve">decay </w:t>
      </w:r>
      <w:r w:rsidR="002251E8">
        <w:rPr>
          <w:rFonts w:ascii="Arial" w:hAnsi="Arial" w:cs="Arial"/>
        </w:rPr>
        <w:lastRenderedPageBreak/>
        <w:t xml:space="preserve">series </w:t>
      </w:r>
      <w:r w:rsidR="002251E8" w:rsidRPr="00765C37">
        <w:rPr>
          <w:rFonts w:ascii="Arial" w:hAnsi="Arial" w:cs="Arial"/>
        </w:rPr>
        <w:t xml:space="preserve">and </w:t>
      </w:r>
      <w:r w:rsidR="002251E8" w:rsidRPr="005E43D5">
        <w:rPr>
          <w:rFonts w:ascii="Arial" w:hAnsi="Arial" w:cs="Arial"/>
          <w:vertAlign w:val="superscript"/>
        </w:rPr>
        <w:t>40</w:t>
      </w:r>
      <w:r w:rsidR="002251E8" w:rsidRPr="00765C37">
        <w:rPr>
          <w:rFonts w:ascii="Arial" w:hAnsi="Arial" w:cs="Arial"/>
        </w:rPr>
        <w:t xml:space="preserve">K </w:t>
      </w:r>
      <w:r w:rsidRPr="00765C37">
        <w:rPr>
          <w:rFonts w:ascii="Arial" w:hAnsi="Arial" w:cs="Arial"/>
        </w:rPr>
        <w:t xml:space="preserve">activities compared to </w:t>
      </w:r>
      <w:r w:rsidR="007E58AD">
        <w:rPr>
          <w:rFonts w:ascii="Arial" w:hAnsi="Arial" w:cs="Arial"/>
        </w:rPr>
        <w:t>coastal-</w:t>
      </w:r>
      <w:r w:rsidRPr="00765C37">
        <w:rPr>
          <w:rFonts w:ascii="Arial" w:hAnsi="Arial" w:cs="Arial"/>
        </w:rPr>
        <w:t>sedimentary-dominated regions (Kota Bharu, Kuala Terengganu, Johor Bahru). The wide range of activity concentrations also reflects the influence of anthropogenic materials, particularly in rapidly urbanising areas where construction fill and mixed soils are common</w:t>
      </w:r>
      <w:r>
        <w:rPr>
          <w:rFonts w:ascii="Arial" w:hAnsi="Arial" w:cs="Arial"/>
        </w:rPr>
        <w:t>.</w:t>
      </w:r>
    </w:p>
    <w:p w14:paraId="7E626F66" w14:textId="77777777" w:rsidR="008C6D8A" w:rsidRDefault="008C6D8A" w:rsidP="008C6D8A">
      <w:pPr>
        <w:pStyle w:val="Body"/>
        <w:rPr>
          <w:rFonts w:ascii="Arial" w:hAnsi="Arial" w:cs="Arial"/>
        </w:rPr>
      </w:pPr>
    </w:p>
    <w:p w14:paraId="0EA7D543" w14:textId="244D71F8" w:rsidR="002C462C" w:rsidRPr="002C462C" w:rsidRDefault="002C462C" w:rsidP="00441B6F">
      <w:pPr>
        <w:pStyle w:val="Body"/>
        <w:spacing w:after="0"/>
        <w:rPr>
          <w:rFonts w:ascii="Arial" w:hAnsi="Arial" w:cs="Arial"/>
          <w:b/>
          <w:bCs/>
        </w:rPr>
      </w:pPr>
      <w:r w:rsidRPr="002C462C">
        <w:rPr>
          <w:rFonts w:ascii="Arial" w:hAnsi="Arial" w:cs="Arial"/>
          <w:b/>
          <w:bCs/>
        </w:rPr>
        <w:t>3.</w:t>
      </w:r>
      <w:r w:rsidR="007E58AD">
        <w:rPr>
          <w:rFonts w:ascii="Arial" w:hAnsi="Arial" w:cs="Arial"/>
          <w:b/>
          <w:bCs/>
        </w:rPr>
        <w:t>3</w:t>
      </w:r>
      <w:r w:rsidRPr="002C462C">
        <w:rPr>
          <w:rFonts w:ascii="Arial" w:hAnsi="Arial" w:cs="Arial"/>
          <w:b/>
          <w:bCs/>
        </w:rPr>
        <w:t xml:space="preserve"> </w:t>
      </w:r>
      <w:r>
        <w:rPr>
          <w:rFonts w:ascii="Arial" w:hAnsi="Arial" w:cs="Arial"/>
          <w:b/>
          <w:bCs/>
        </w:rPr>
        <w:t xml:space="preserve">Geological </w:t>
      </w:r>
      <w:r w:rsidRPr="002C462C">
        <w:rPr>
          <w:rFonts w:ascii="Arial" w:hAnsi="Arial" w:cs="Arial"/>
          <w:b/>
          <w:bCs/>
        </w:rPr>
        <w:t>Var</w:t>
      </w:r>
      <w:r>
        <w:rPr>
          <w:rFonts w:ascii="Arial" w:hAnsi="Arial" w:cs="Arial"/>
          <w:b/>
          <w:bCs/>
        </w:rPr>
        <w:t>iability of TGR Dose Rates in Urban Environment</w:t>
      </w:r>
    </w:p>
    <w:p w14:paraId="37D8FBC4" w14:textId="4CD2B7CD" w:rsidR="00D24E5C" w:rsidRPr="00D24E5C" w:rsidRDefault="00D24E5C" w:rsidP="00D24E5C">
      <w:pPr>
        <w:pStyle w:val="NormalWeb"/>
        <w:jc w:val="both"/>
        <w:rPr>
          <w:rFonts w:ascii="Arial" w:hAnsi="Arial" w:cs="Arial"/>
          <w:highlight w:val="yellow"/>
        </w:rPr>
      </w:pPr>
      <w:r w:rsidRPr="00D24E5C">
        <w:rPr>
          <w:rFonts w:ascii="Arial" w:hAnsi="Arial" w:cs="Arial"/>
          <w:highlight w:val="yellow"/>
        </w:rPr>
        <w:t>The spatial patterns of terrestrial gamma radiation (TGR) across Peninsular Malaysia show strong correspondence with the peninsula’s underlying geological framework. When the TGR measurements are compared against the geological formations (Fig. 1), the highest-dose cities</w:t>
      </w:r>
      <w:r>
        <w:rPr>
          <w:rFonts w:ascii="Arial" w:hAnsi="Arial" w:cs="Arial"/>
          <w:highlight w:val="yellow"/>
        </w:rPr>
        <w:t xml:space="preserve"> are </w:t>
      </w:r>
      <w:r w:rsidRPr="00D24E5C">
        <w:rPr>
          <w:rFonts w:ascii="Arial" w:hAnsi="Arial" w:cs="Arial"/>
          <w:highlight w:val="yellow"/>
        </w:rPr>
        <w:t>Ipoh, Seremban, Melaka, and Penang</w:t>
      </w:r>
      <w:r>
        <w:rPr>
          <w:rFonts w:ascii="Arial" w:hAnsi="Arial" w:cs="Arial"/>
          <w:highlight w:val="yellow"/>
        </w:rPr>
        <w:t xml:space="preserve"> which </w:t>
      </w:r>
      <w:r w:rsidRPr="00D24E5C">
        <w:rPr>
          <w:rFonts w:ascii="Arial" w:hAnsi="Arial" w:cs="Arial"/>
          <w:highlight w:val="yellow"/>
        </w:rPr>
        <w:t xml:space="preserve">are clustered primarily within or adjacent to extensive igneous provinces (Department of Geosciences and Mineral Malaysia, 2002), particularly the granitic bodies of the </w:t>
      </w:r>
      <w:proofErr w:type="spellStart"/>
      <w:r w:rsidRPr="00D24E5C">
        <w:rPr>
          <w:rFonts w:ascii="Arial" w:hAnsi="Arial" w:cs="Arial"/>
          <w:highlight w:val="yellow"/>
        </w:rPr>
        <w:t>Sibumasu</w:t>
      </w:r>
      <w:proofErr w:type="spellEnd"/>
      <w:r w:rsidRPr="00D24E5C">
        <w:rPr>
          <w:rFonts w:ascii="Arial" w:hAnsi="Arial" w:cs="Arial"/>
          <w:highlight w:val="yellow"/>
        </w:rPr>
        <w:t xml:space="preserve"> tectonic block (Metcalfe, 2011). These granites, ranging from Devonian to Triassic in age, are well known for their elevated concentrations of U–Th–K-bearing minerals (</w:t>
      </w:r>
      <w:proofErr w:type="spellStart"/>
      <w:r w:rsidRPr="00D24E5C">
        <w:rPr>
          <w:rFonts w:ascii="Arial" w:hAnsi="Arial" w:cs="Arial"/>
          <w:highlight w:val="yellow"/>
        </w:rPr>
        <w:t>Agocs</w:t>
      </w:r>
      <w:proofErr w:type="spellEnd"/>
      <w:r w:rsidRPr="00D24E5C">
        <w:rPr>
          <w:rFonts w:ascii="Arial" w:hAnsi="Arial" w:cs="Arial"/>
          <w:highlight w:val="yellow"/>
        </w:rPr>
        <w:t xml:space="preserve"> and Paton, 1958) such as monazite, zircon, </w:t>
      </w:r>
      <w:proofErr w:type="spellStart"/>
      <w:r w:rsidRPr="00D24E5C">
        <w:rPr>
          <w:rFonts w:ascii="Arial" w:hAnsi="Arial" w:cs="Arial"/>
          <w:highlight w:val="yellow"/>
        </w:rPr>
        <w:t>allanite</w:t>
      </w:r>
      <w:proofErr w:type="spellEnd"/>
      <w:r w:rsidRPr="00D24E5C">
        <w:rPr>
          <w:rFonts w:ascii="Arial" w:hAnsi="Arial" w:cs="Arial"/>
          <w:highlight w:val="yellow"/>
        </w:rPr>
        <w:t xml:space="preserve">, and K-feldspar (Hewson, 1996), which collectively produce stronger terrestrial gamma fields (Sanusi et al., 2021). This geological control is clearly supported by the correlation analysis in the updated dataset, where granite terrains consistently exhibit the highest mean TGR values across all cities, typically ranging from 237 to 302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For example, Ipoh (302 ± 3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Seremban (284 ± 6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and Kuala Lumpur (281 ± 3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¹) all lie directly on intrusive granitic suites and display significantly elevated TGR levels.</w:t>
      </w:r>
    </w:p>
    <w:p w14:paraId="1A3F50BE" w14:textId="531D4F68" w:rsidR="00D24E5C" w:rsidRPr="00D24E5C" w:rsidRDefault="00D24E5C" w:rsidP="00D24E5C">
      <w:pPr>
        <w:pStyle w:val="NormalWeb"/>
        <w:jc w:val="both"/>
        <w:rPr>
          <w:rFonts w:ascii="Arial" w:hAnsi="Arial" w:cs="Arial"/>
          <w:highlight w:val="yellow"/>
        </w:rPr>
      </w:pPr>
      <w:r w:rsidRPr="00D24E5C">
        <w:rPr>
          <w:rFonts w:ascii="Arial" w:hAnsi="Arial" w:cs="Arial"/>
          <w:highlight w:val="yellow"/>
        </w:rPr>
        <w:t>Cities located within metamorphic and sedimentary belts</w:t>
      </w:r>
      <w:r>
        <w:rPr>
          <w:rFonts w:ascii="Arial" w:hAnsi="Arial" w:cs="Arial"/>
          <w:highlight w:val="yellow"/>
        </w:rPr>
        <w:t xml:space="preserve"> i.e.,</w:t>
      </w:r>
      <w:r w:rsidRPr="00D24E5C">
        <w:rPr>
          <w:rFonts w:ascii="Arial" w:hAnsi="Arial" w:cs="Arial"/>
          <w:highlight w:val="yellow"/>
        </w:rPr>
        <w:t xml:space="preserve"> </w:t>
      </w:r>
      <w:proofErr w:type="spellStart"/>
      <w:r w:rsidRPr="00D24E5C">
        <w:rPr>
          <w:rFonts w:ascii="Arial" w:hAnsi="Arial" w:cs="Arial"/>
          <w:highlight w:val="yellow"/>
        </w:rPr>
        <w:t>Kangar</w:t>
      </w:r>
      <w:proofErr w:type="spellEnd"/>
      <w:r w:rsidRPr="00D24E5C">
        <w:rPr>
          <w:rFonts w:ascii="Arial" w:hAnsi="Arial" w:cs="Arial"/>
          <w:highlight w:val="yellow"/>
        </w:rPr>
        <w:t>, Kedah (</w:t>
      </w:r>
      <w:proofErr w:type="spellStart"/>
      <w:r w:rsidRPr="00D24E5C">
        <w:rPr>
          <w:rFonts w:ascii="Arial" w:hAnsi="Arial" w:cs="Arial"/>
          <w:highlight w:val="yellow"/>
        </w:rPr>
        <w:t>Alor</w:t>
      </w:r>
      <w:proofErr w:type="spellEnd"/>
      <w:r w:rsidRPr="00D24E5C">
        <w:rPr>
          <w:rFonts w:ascii="Arial" w:hAnsi="Arial" w:cs="Arial"/>
          <w:highlight w:val="yellow"/>
        </w:rPr>
        <w:t xml:space="preserve"> </w:t>
      </w:r>
      <w:proofErr w:type="spellStart"/>
      <w:r w:rsidRPr="00D24E5C">
        <w:rPr>
          <w:rFonts w:ascii="Arial" w:hAnsi="Arial" w:cs="Arial"/>
          <w:highlight w:val="yellow"/>
        </w:rPr>
        <w:t>Setar</w:t>
      </w:r>
      <w:proofErr w:type="spellEnd"/>
      <w:r w:rsidRPr="00D24E5C">
        <w:rPr>
          <w:rFonts w:ascii="Arial" w:hAnsi="Arial" w:cs="Arial"/>
          <w:highlight w:val="yellow"/>
        </w:rPr>
        <w:t>), and Kuala Terengganu (Department of Geosciences and Mineral Malaysia, 2002)</w:t>
      </w:r>
      <w:r>
        <w:rPr>
          <w:rFonts w:ascii="Arial" w:hAnsi="Arial" w:cs="Arial"/>
          <w:highlight w:val="yellow"/>
        </w:rPr>
        <w:t xml:space="preserve"> </w:t>
      </w:r>
      <w:r w:rsidRPr="00D24E5C">
        <w:rPr>
          <w:rFonts w:ascii="Arial" w:hAnsi="Arial" w:cs="Arial"/>
          <w:highlight w:val="yellow"/>
        </w:rPr>
        <w:t xml:space="preserve">show significantly lower dose rates (&lt;150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These regions correspond to early </w:t>
      </w:r>
      <w:proofErr w:type="spellStart"/>
      <w:r w:rsidRPr="00D24E5C">
        <w:rPr>
          <w:rFonts w:ascii="Arial" w:hAnsi="Arial" w:cs="Arial"/>
          <w:highlight w:val="yellow"/>
        </w:rPr>
        <w:t>Paleozoic</w:t>
      </w:r>
      <w:proofErr w:type="spellEnd"/>
      <w:r w:rsidRPr="00D24E5C">
        <w:rPr>
          <w:rFonts w:ascii="Arial" w:hAnsi="Arial" w:cs="Arial"/>
          <w:highlight w:val="yellow"/>
        </w:rPr>
        <w:t xml:space="preserve"> and Permian formations (Silurian–Ordovician, Devonian, Carboniferous) (Department of Geosciences and Mineral Malaysia, 2002) that characteristically have lower concentrations of radionuclide-bearing minerals (Schlumberger, 1982). The updated correlation table reinforces this behaviour: Quaternary alluvial plains yield the lowest TGR values, such as in </w:t>
      </w:r>
      <w:proofErr w:type="spellStart"/>
      <w:r w:rsidRPr="00D24E5C">
        <w:rPr>
          <w:rFonts w:ascii="Arial" w:hAnsi="Arial" w:cs="Arial"/>
          <w:highlight w:val="yellow"/>
        </w:rPr>
        <w:t>Kangar</w:t>
      </w:r>
      <w:proofErr w:type="spellEnd"/>
      <w:r w:rsidRPr="00D24E5C">
        <w:rPr>
          <w:rFonts w:ascii="Arial" w:hAnsi="Arial" w:cs="Arial"/>
          <w:highlight w:val="yellow"/>
        </w:rPr>
        <w:t xml:space="preserve"> (93 ± 6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Putrajaya (116 ± 9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and </w:t>
      </w:r>
      <w:proofErr w:type="spellStart"/>
      <w:r w:rsidRPr="00D24E5C">
        <w:rPr>
          <w:rFonts w:ascii="Arial" w:hAnsi="Arial" w:cs="Arial"/>
          <w:highlight w:val="yellow"/>
        </w:rPr>
        <w:t>Alor</w:t>
      </w:r>
      <w:proofErr w:type="spellEnd"/>
      <w:r w:rsidRPr="00D24E5C">
        <w:rPr>
          <w:rFonts w:ascii="Arial" w:hAnsi="Arial" w:cs="Arial"/>
          <w:highlight w:val="yellow"/>
        </w:rPr>
        <w:t xml:space="preserve"> </w:t>
      </w:r>
      <w:proofErr w:type="spellStart"/>
      <w:r w:rsidRPr="00D24E5C">
        <w:rPr>
          <w:rFonts w:ascii="Arial" w:hAnsi="Arial" w:cs="Arial"/>
          <w:highlight w:val="yellow"/>
        </w:rPr>
        <w:t>Setar</w:t>
      </w:r>
      <w:proofErr w:type="spellEnd"/>
      <w:r w:rsidRPr="00D24E5C">
        <w:rPr>
          <w:rFonts w:ascii="Arial" w:hAnsi="Arial" w:cs="Arial"/>
          <w:highlight w:val="yellow"/>
        </w:rPr>
        <w:t xml:space="preserve"> (143 ± 2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¹). These findings are consistent with previous reports highlighting the low radiological contribution of alluvial sediments (Sanusi et al., 2014).</w:t>
      </w:r>
    </w:p>
    <w:p w14:paraId="0A0947E4" w14:textId="77777777" w:rsidR="00D24E5C" w:rsidRPr="00D24E5C" w:rsidRDefault="00D24E5C" w:rsidP="00D24E5C">
      <w:pPr>
        <w:pStyle w:val="NormalWeb"/>
        <w:jc w:val="both"/>
        <w:rPr>
          <w:rFonts w:ascii="Arial" w:hAnsi="Arial" w:cs="Arial"/>
          <w:highlight w:val="yellow"/>
        </w:rPr>
      </w:pPr>
      <w:r w:rsidRPr="00D24E5C">
        <w:rPr>
          <w:rFonts w:ascii="Arial" w:hAnsi="Arial" w:cs="Arial"/>
          <w:highlight w:val="yellow"/>
        </w:rPr>
        <w:t xml:space="preserve">The geological map further illustrates that many high-TGR cities lie directly on or near the </w:t>
      </w:r>
      <w:proofErr w:type="spellStart"/>
      <w:r w:rsidRPr="00D24E5C">
        <w:rPr>
          <w:rFonts w:ascii="Arial" w:hAnsi="Arial" w:cs="Arial"/>
          <w:highlight w:val="yellow"/>
        </w:rPr>
        <w:t>Bentong</w:t>
      </w:r>
      <w:proofErr w:type="spellEnd"/>
      <w:r w:rsidRPr="00D24E5C">
        <w:rPr>
          <w:rFonts w:ascii="Arial" w:hAnsi="Arial" w:cs="Arial"/>
          <w:highlight w:val="yellow"/>
        </w:rPr>
        <w:t>–</w:t>
      </w:r>
      <w:proofErr w:type="spellStart"/>
      <w:r w:rsidRPr="00D24E5C">
        <w:rPr>
          <w:rFonts w:ascii="Arial" w:hAnsi="Arial" w:cs="Arial"/>
          <w:highlight w:val="yellow"/>
        </w:rPr>
        <w:t>Raub</w:t>
      </w:r>
      <w:proofErr w:type="spellEnd"/>
      <w:r w:rsidRPr="00D24E5C">
        <w:rPr>
          <w:rFonts w:ascii="Arial" w:hAnsi="Arial" w:cs="Arial"/>
          <w:highlight w:val="yellow"/>
        </w:rPr>
        <w:t xml:space="preserve"> Suture Zone, a major lithospheric boundary </w:t>
      </w:r>
      <w:r w:rsidRPr="00D24E5C">
        <w:rPr>
          <w:rFonts w:ascii="Arial" w:hAnsi="Arial" w:cs="Arial"/>
          <w:highlight w:val="yellow"/>
        </w:rPr>
        <w:lastRenderedPageBreak/>
        <w:t xml:space="preserve">dividing the </w:t>
      </w:r>
      <w:proofErr w:type="spellStart"/>
      <w:r w:rsidRPr="00D24E5C">
        <w:rPr>
          <w:rFonts w:ascii="Arial" w:hAnsi="Arial" w:cs="Arial"/>
          <w:highlight w:val="yellow"/>
        </w:rPr>
        <w:t>Sibumasu</w:t>
      </w:r>
      <w:proofErr w:type="spellEnd"/>
      <w:r w:rsidRPr="00D24E5C">
        <w:rPr>
          <w:rFonts w:ascii="Arial" w:hAnsi="Arial" w:cs="Arial"/>
          <w:highlight w:val="yellow"/>
        </w:rPr>
        <w:t xml:space="preserve"> Block from the Sukhothai Arc terranes (Department of Geosciences and Mineral Malaysia, 2002). This suture zone is associated with intense tectono-metamorphic activity and abundant intrusive granitic bodies (Hutchison and Tan, 2009). Penang, Ipoh, Seremban, and parts of Melaka align geographically with this intruded corridor, which explains the broad TGR ranges and elevated kurtosis values observed in these cities (Ramli et al., 2005; </w:t>
      </w:r>
      <w:proofErr w:type="spellStart"/>
      <w:r w:rsidRPr="00D24E5C">
        <w:rPr>
          <w:rFonts w:ascii="Arial" w:hAnsi="Arial" w:cs="Arial"/>
          <w:highlight w:val="yellow"/>
        </w:rPr>
        <w:t>Norbani</w:t>
      </w:r>
      <w:proofErr w:type="spellEnd"/>
      <w:r w:rsidRPr="00D24E5C">
        <w:rPr>
          <w:rFonts w:ascii="Arial" w:hAnsi="Arial" w:cs="Arial"/>
          <w:highlight w:val="yellow"/>
        </w:rPr>
        <w:t xml:space="preserve"> et al., 2014). Ipoh, in particular, sits at the confluence of Triassic granite intrusions and high-grade metamorphic belts (Department of Geosciences and Mineral Malaysia, 2002), producing a wide radiation range (81–371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¹), as shown in Table 1.</w:t>
      </w:r>
    </w:p>
    <w:p w14:paraId="2117B884" w14:textId="77777777" w:rsidR="00D24E5C" w:rsidRPr="00D24E5C" w:rsidRDefault="00D24E5C" w:rsidP="00D24E5C">
      <w:pPr>
        <w:pStyle w:val="NormalWeb"/>
        <w:jc w:val="both"/>
        <w:rPr>
          <w:rFonts w:ascii="Arial" w:hAnsi="Arial" w:cs="Arial"/>
          <w:highlight w:val="yellow"/>
        </w:rPr>
      </w:pPr>
      <w:r w:rsidRPr="00D24E5C">
        <w:rPr>
          <w:rFonts w:ascii="Arial" w:hAnsi="Arial" w:cs="Arial"/>
          <w:highlight w:val="yellow"/>
        </w:rPr>
        <w:t xml:space="preserve">The distribution of gamma survey points (Fig. 1) further highlights the concentration of measurements in densely urbanised regions such as the western part of </w:t>
      </w:r>
      <w:proofErr w:type="spellStart"/>
      <w:r w:rsidRPr="00D24E5C">
        <w:rPr>
          <w:rFonts w:ascii="Arial" w:hAnsi="Arial" w:cs="Arial"/>
          <w:highlight w:val="yellow"/>
        </w:rPr>
        <w:t>Klang</w:t>
      </w:r>
      <w:proofErr w:type="spellEnd"/>
      <w:r w:rsidRPr="00D24E5C">
        <w:rPr>
          <w:rFonts w:ascii="Arial" w:hAnsi="Arial" w:cs="Arial"/>
          <w:highlight w:val="yellow"/>
        </w:rPr>
        <w:t xml:space="preserve"> Valley (</w:t>
      </w:r>
      <w:proofErr w:type="spellStart"/>
      <w:r w:rsidRPr="00D24E5C">
        <w:rPr>
          <w:rFonts w:ascii="Arial" w:hAnsi="Arial" w:cs="Arial"/>
          <w:highlight w:val="yellow"/>
        </w:rPr>
        <w:t>Klang</w:t>
      </w:r>
      <w:proofErr w:type="spellEnd"/>
      <w:r w:rsidRPr="00D24E5C">
        <w:rPr>
          <w:rFonts w:ascii="Arial" w:hAnsi="Arial" w:cs="Arial"/>
          <w:highlight w:val="yellow"/>
        </w:rPr>
        <w:t xml:space="preserve"> and Shah </w:t>
      </w:r>
      <w:proofErr w:type="spellStart"/>
      <w:r w:rsidRPr="00D24E5C">
        <w:rPr>
          <w:rFonts w:ascii="Arial" w:hAnsi="Arial" w:cs="Arial"/>
          <w:highlight w:val="yellow"/>
        </w:rPr>
        <w:t>Alam</w:t>
      </w:r>
      <w:proofErr w:type="spellEnd"/>
      <w:r w:rsidRPr="00D24E5C">
        <w:rPr>
          <w:rFonts w:ascii="Arial" w:hAnsi="Arial" w:cs="Arial"/>
          <w:highlight w:val="yellow"/>
        </w:rPr>
        <w:t xml:space="preserve">), Butterworth and Seberang </w:t>
      </w:r>
      <w:proofErr w:type="spellStart"/>
      <w:r w:rsidRPr="00D24E5C">
        <w:rPr>
          <w:rFonts w:ascii="Arial" w:hAnsi="Arial" w:cs="Arial"/>
          <w:highlight w:val="yellow"/>
        </w:rPr>
        <w:t>Perai</w:t>
      </w:r>
      <w:proofErr w:type="spellEnd"/>
      <w:r w:rsidRPr="00D24E5C">
        <w:rPr>
          <w:rFonts w:ascii="Arial" w:hAnsi="Arial" w:cs="Arial"/>
          <w:highlight w:val="yellow"/>
        </w:rPr>
        <w:t xml:space="preserve">, Johor Bahru, and Kuantan. These areas, although not uniformly underlain by granitic bedrock (Hutchison and Tan, 2009), still show elevated TGR levels (~180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 xml:space="preserve">¹ and above). This phenomenon is consistent with the main influence of urbanisation and the presence of anthropogenic materials. </w:t>
      </w:r>
      <w:proofErr w:type="spellStart"/>
      <w:r w:rsidRPr="00D24E5C">
        <w:rPr>
          <w:rFonts w:ascii="Arial" w:hAnsi="Arial" w:cs="Arial"/>
          <w:highlight w:val="yellow"/>
        </w:rPr>
        <w:t>Klang</w:t>
      </w:r>
      <w:proofErr w:type="spellEnd"/>
      <w:r w:rsidRPr="00D24E5C">
        <w:rPr>
          <w:rFonts w:ascii="Arial" w:hAnsi="Arial" w:cs="Arial"/>
          <w:highlight w:val="yellow"/>
        </w:rPr>
        <w:t xml:space="preserve"> Valley, for example, is dominated by meta-sedimentary formations rather than granite, yet exhibits mean TGR levels of 210–218 </w:t>
      </w:r>
      <w:proofErr w:type="spellStart"/>
      <w:r w:rsidRPr="00D24E5C">
        <w:rPr>
          <w:rFonts w:ascii="Arial" w:hAnsi="Arial" w:cs="Arial"/>
          <w:highlight w:val="yellow"/>
        </w:rPr>
        <w:t>nGy</w:t>
      </w:r>
      <w:proofErr w:type="spellEnd"/>
      <w:r w:rsidRPr="00D24E5C">
        <w:rPr>
          <w:rFonts w:ascii="Arial" w:hAnsi="Arial" w:cs="Arial"/>
          <w:highlight w:val="yellow"/>
        </w:rPr>
        <w:t xml:space="preserve"> h</w:t>
      </w:r>
      <w:r w:rsidRPr="00D24E5C">
        <w:rPr>
          <w:rFonts w:ascii="Cambria Math" w:hAnsi="Cambria Math" w:cs="Cambria Math"/>
          <w:highlight w:val="yellow"/>
        </w:rPr>
        <w:t>⁻</w:t>
      </w:r>
      <w:r w:rsidRPr="00D24E5C">
        <w:rPr>
          <w:rFonts w:ascii="Arial" w:hAnsi="Arial" w:cs="Arial"/>
          <w:highlight w:val="yellow"/>
        </w:rPr>
        <w:t>¹. This can be attributed to extensive land modification, imported construction materials with higher U and Th radionuclide contents (</w:t>
      </w:r>
      <w:proofErr w:type="spellStart"/>
      <w:r w:rsidRPr="00D24E5C">
        <w:rPr>
          <w:rFonts w:ascii="Arial" w:hAnsi="Arial" w:cs="Arial"/>
          <w:highlight w:val="yellow"/>
        </w:rPr>
        <w:t>Azlina</w:t>
      </w:r>
      <w:proofErr w:type="spellEnd"/>
      <w:r w:rsidRPr="00D24E5C">
        <w:rPr>
          <w:rFonts w:ascii="Arial" w:hAnsi="Arial" w:cs="Arial"/>
          <w:highlight w:val="yellow"/>
        </w:rPr>
        <w:t xml:space="preserve"> et al., 2025), and densely paved surfaces, which collectively elevate radiation intensities by up to 30–40% above natural soil levels (Sanusi et al., 2017a), as indicated by previous national surveys.</w:t>
      </w:r>
    </w:p>
    <w:p w14:paraId="260E6CC2" w14:textId="77777777" w:rsidR="00D24E5C" w:rsidRPr="00D24E5C" w:rsidRDefault="00D24E5C" w:rsidP="00D24E5C">
      <w:pPr>
        <w:pStyle w:val="NormalWeb"/>
        <w:jc w:val="both"/>
        <w:rPr>
          <w:rFonts w:ascii="Arial" w:hAnsi="Arial" w:cs="Arial"/>
          <w:highlight w:val="yellow"/>
        </w:rPr>
      </w:pPr>
      <w:r w:rsidRPr="00D24E5C">
        <w:rPr>
          <w:rFonts w:ascii="Arial" w:hAnsi="Arial" w:cs="Arial"/>
          <w:highlight w:val="yellow"/>
        </w:rPr>
        <w:t xml:space="preserve">The quartile distribution patterns </w:t>
      </w:r>
      <w:proofErr w:type="gramStart"/>
      <w:r w:rsidRPr="00D24E5C">
        <w:rPr>
          <w:rFonts w:ascii="Arial" w:hAnsi="Arial" w:cs="Arial"/>
          <w:highlight w:val="yellow"/>
        </w:rPr>
        <w:t>support</w:t>
      </w:r>
      <w:proofErr w:type="gramEnd"/>
      <w:r w:rsidRPr="00D24E5C">
        <w:rPr>
          <w:rFonts w:ascii="Arial" w:hAnsi="Arial" w:cs="Arial"/>
          <w:highlight w:val="yellow"/>
        </w:rPr>
        <w:t xml:space="preserve"> this interpretation. Cities situated on uniform lithologies, such as </w:t>
      </w:r>
      <w:proofErr w:type="spellStart"/>
      <w:r w:rsidRPr="00D24E5C">
        <w:rPr>
          <w:rFonts w:ascii="Arial" w:hAnsi="Arial" w:cs="Arial"/>
          <w:highlight w:val="yellow"/>
        </w:rPr>
        <w:t>Kangar</w:t>
      </w:r>
      <w:proofErr w:type="spellEnd"/>
      <w:r w:rsidRPr="00D24E5C">
        <w:rPr>
          <w:rFonts w:ascii="Arial" w:hAnsi="Arial" w:cs="Arial"/>
          <w:highlight w:val="yellow"/>
        </w:rPr>
        <w:t xml:space="preserve">, Kuala Terengganu, and parts of Selangor, show compact quartile ranges reflecting restricted TGR variability. In contrast, cities spanning mixed lithologies or granite–sediment transitions (Hutchison and Tan, 2009), such as Ipoh, Melaka, Penang, and Johor Bahru, show wider quartile distributions and heavier distribution tails. The updated correlation results clearly confirm that granite terrains consistently produce the highest radiation fields, followed by Carboniferous and </w:t>
      </w:r>
      <w:proofErr w:type="spellStart"/>
      <w:r w:rsidRPr="00D24E5C">
        <w:rPr>
          <w:rFonts w:ascii="Arial" w:hAnsi="Arial" w:cs="Arial"/>
          <w:highlight w:val="yellow"/>
        </w:rPr>
        <w:t>Paleozoic</w:t>
      </w:r>
      <w:proofErr w:type="spellEnd"/>
      <w:r w:rsidRPr="00D24E5C">
        <w:rPr>
          <w:rFonts w:ascii="Arial" w:hAnsi="Arial" w:cs="Arial"/>
          <w:highlight w:val="yellow"/>
        </w:rPr>
        <w:t xml:space="preserve"> </w:t>
      </w:r>
      <w:proofErr w:type="spellStart"/>
      <w:r w:rsidRPr="00D24E5C">
        <w:rPr>
          <w:rFonts w:ascii="Arial" w:hAnsi="Arial" w:cs="Arial"/>
          <w:highlight w:val="yellow"/>
        </w:rPr>
        <w:t>metasediments</w:t>
      </w:r>
      <w:proofErr w:type="spellEnd"/>
      <w:r w:rsidRPr="00D24E5C">
        <w:rPr>
          <w:rFonts w:ascii="Arial" w:hAnsi="Arial" w:cs="Arial"/>
          <w:highlight w:val="yellow"/>
        </w:rPr>
        <w:t>, while Quaternary deposits yield the lowest values.</w:t>
      </w:r>
    </w:p>
    <w:p w14:paraId="11454ED3" w14:textId="26D60F5E" w:rsidR="002F31BD" w:rsidRPr="00D24E5C" w:rsidRDefault="00D24E5C" w:rsidP="002D6969">
      <w:pPr>
        <w:pStyle w:val="NormalWeb"/>
        <w:jc w:val="both"/>
        <w:rPr>
          <w:rFonts w:ascii="Arial" w:hAnsi="Arial" w:cs="Arial"/>
        </w:rPr>
      </w:pPr>
      <w:r w:rsidRPr="00D24E5C">
        <w:rPr>
          <w:rFonts w:ascii="Arial" w:hAnsi="Arial" w:cs="Arial"/>
          <w:highlight w:val="yellow"/>
        </w:rPr>
        <w:t xml:space="preserve">Overall, integrating geological mapping with the updated lithology–TGR correlations reinforces the conclusion that underlying lithology remains the dominant factor controlling terrestrial gamma radiation fields in Peninsular Malaysia. Urbanisation amplifies existing geological signatures but does not override them. While granite-dominated provinces consistently show high TGR values, anomalies in cities such as </w:t>
      </w:r>
      <w:proofErr w:type="spellStart"/>
      <w:r w:rsidRPr="00D24E5C">
        <w:rPr>
          <w:rFonts w:ascii="Arial" w:hAnsi="Arial" w:cs="Arial"/>
          <w:highlight w:val="yellow"/>
        </w:rPr>
        <w:t>Klang</w:t>
      </w:r>
      <w:proofErr w:type="spellEnd"/>
      <w:r w:rsidRPr="00D24E5C">
        <w:rPr>
          <w:rFonts w:ascii="Arial" w:hAnsi="Arial" w:cs="Arial"/>
          <w:highlight w:val="yellow"/>
        </w:rPr>
        <w:t xml:space="preserve"> Valley, Kuantan, and Kota Bharu highlight the </w:t>
      </w:r>
      <w:r w:rsidRPr="00806A42">
        <w:rPr>
          <w:rFonts w:ascii="Arial" w:hAnsi="Arial" w:cs="Arial"/>
          <w:highlight w:val="yellow"/>
        </w:rPr>
        <w:t xml:space="preserve">growing role of urban development in modifying local radiological environments. The average TGR level of 202 ± 1 </w:t>
      </w:r>
      <w:proofErr w:type="spellStart"/>
      <w:r w:rsidRPr="00806A42">
        <w:rPr>
          <w:rFonts w:ascii="Arial" w:hAnsi="Arial" w:cs="Arial"/>
          <w:highlight w:val="yellow"/>
        </w:rPr>
        <w:t>nGy</w:t>
      </w:r>
      <w:proofErr w:type="spellEnd"/>
      <w:r w:rsidRPr="00806A42">
        <w:rPr>
          <w:rFonts w:ascii="Arial" w:hAnsi="Arial" w:cs="Arial"/>
          <w:highlight w:val="yellow"/>
        </w:rPr>
        <w:t xml:space="preserve"> h</w:t>
      </w:r>
      <w:r w:rsidRPr="00806A42">
        <w:rPr>
          <w:rFonts w:ascii="Cambria Math" w:hAnsi="Cambria Math" w:cs="Cambria Math"/>
          <w:highlight w:val="yellow"/>
        </w:rPr>
        <w:t>⁻</w:t>
      </w:r>
      <w:r w:rsidRPr="00806A42">
        <w:rPr>
          <w:rFonts w:ascii="Arial" w:hAnsi="Arial" w:cs="Arial"/>
          <w:highlight w:val="yellow"/>
        </w:rPr>
        <w:t xml:space="preserve">¹ across </w:t>
      </w:r>
      <w:r w:rsidRPr="00806A42">
        <w:rPr>
          <w:rFonts w:ascii="Arial" w:hAnsi="Arial" w:cs="Arial"/>
          <w:highlight w:val="yellow"/>
        </w:rPr>
        <w:lastRenderedPageBreak/>
        <w:t xml:space="preserve">the surveyed cities is </w:t>
      </w:r>
      <w:r w:rsidR="00806A42" w:rsidRPr="00806A42">
        <w:rPr>
          <w:rFonts w:ascii="Arial" w:hAnsi="Arial" w:cs="Arial"/>
          <w:highlight w:val="yellow"/>
        </w:rPr>
        <w:t>compatible with</w:t>
      </w:r>
      <w:r w:rsidRPr="00806A42">
        <w:rPr>
          <w:rFonts w:ascii="Arial" w:hAnsi="Arial" w:cs="Arial"/>
          <w:highlight w:val="yellow"/>
        </w:rPr>
        <w:t xml:space="preserve"> </w:t>
      </w:r>
      <w:proofErr w:type="spellStart"/>
      <w:r w:rsidR="00806A42" w:rsidRPr="00806A42">
        <w:rPr>
          <w:rFonts w:ascii="Arial" w:hAnsi="Arial" w:cs="Arial"/>
          <w:highlight w:val="yellow"/>
        </w:rPr>
        <w:t>Yanjiang</w:t>
      </w:r>
      <w:proofErr w:type="spellEnd"/>
      <w:r w:rsidR="00806A42" w:rsidRPr="00806A42">
        <w:rPr>
          <w:rFonts w:ascii="Arial" w:hAnsi="Arial" w:cs="Arial"/>
          <w:highlight w:val="yellow"/>
        </w:rPr>
        <w:t xml:space="preserve">, China Th-Granite soils (370 </w:t>
      </w:r>
      <w:proofErr w:type="spellStart"/>
      <w:r w:rsidRPr="00806A42">
        <w:rPr>
          <w:rFonts w:ascii="Arial" w:hAnsi="Arial" w:cs="Arial"/>
          <w:highlight w:val="yellow"/>
        </w:rPr>
        <w:t>nGy</w:t>
      </w:r>
      <w:proofErr w:type="spellEnd"/>
      <w:r w:rsidRPr="00806A42">
        <w:rPr>
          <w:rFonts w:ascii="Arial" w:hAnsi="Arial" w:cs="Arial"/>
          <w:highlight w:val="yellow"/>
        </w:rPr>
        <w:t xml:space="preserve"> h</w:t>
      </w:r>
      <w:r w:rsidRPr="00806A42">
        <w:rPr>
          <w:rFonts w:ascii="Cambria Math" w:hAnsi="Cambria Math" w:cs="Cambria Math"/>
          <w:highlight w:val="yellow"/>
        </w:rPr>
        <w:t>⁻</w:t>
      </w:r>
      <w:r w:rsidRPr="00806A42">
        <w:rPr>
          <w:rFonts w:ascii="Arial" w:hAnsi="Arial" w:cs="Arial"/>
          <w:highlight w:val="yellow"/>
        </w:rPr>
        <w:t>¹</w:t>
      </w:r>
      <w:r w:rsidR="00806A42" w:rsidRPr="00806A42">
        <w:rPr>
          <w:rFonts w:ascii="Arial" w:hAnsi="Arial" w:cs="Arial"/>
          <w:highlight w:val="yellow"/>
        </w:rPr>
        <w:t xml:space="preserve">), San Vicente, Philippines granitic soil (300 </w:t>
      </w:r>
      <w:proofErr w:type="spellStart"/>
      <w:r w:rsidR="00806A42" w:rsidRPr="00806A42">
        <w:rPr>
          <w:rFonts w:ascii="Arial" w:hAnsi="Arial" w:cs="Arial"/>
          <w:highlight w:val="yellow"/>
        </w:rPr>
        <w:t>nGy</w:t>
      </w:r>
      <w:proofErr w:type="spellEnd"/>
      <w:r w:rsidR="00806A42" w:rsidRPr="00806A42">
        <w:rPr>
          <w:rFonts w:ascii="Arial" w:hAnsi="Arial" w:cs="Arial"/>
          <w:highlight w:val="yellow"/>
        </w:rPr>
        <w:t xml:space="preserve"> h</w:t>
      </w:r>
      <w:r w:rsidR="00806A42" w:rsidRPr="00806A42">
        <w:rPr>
          <w:rFonts w:ascii="Cambria Math" w:hAnsi="Cambria Math" w:cs="Cambria Math"/>
          <w:highlight w:val="yellow"/>
        </w:rPr>
        <w:t>⁻</w:t>
      </w:r>
      <w:r w:rsidR="00806A42" w:rsidRPr="00806A42">
        <w:rPr>
          <w:rFonts w:ascii="Arial" w:hAnsi="Arial" w:cs="Arial"/>
          <w:highlight w:val="yellow"/>
        </w:rPr>
        <w:t xml:space="preserve">¹); </w:t>
      </w:r>
      <w:proofErr w:type="spellStart"/>
      <w:r w:rsidR="00806A42" w:rsidRPr="00806A42">
        <w:rPr>
          <w:rFonts w:ascii="Arial" w:hAnsi="Arial" w:cs="Arial"/>
          <w:highlight w:val="yellow"/>
        </w:rPr>
        <w:t>Pocos</w:t>
      </w:r>
      <w:proofErr w:type="spellEnd"/>
      <w:r w:rsidR="00806A42" w:rsidRPr="00806A42">
        <w:rPr>
          <w:rFonts w:ascii="Arial" w:hAnsi="Arial" w:cs="Arial"/>
          <w:highlight w:val="yellow"/>
        </w:rPr>
        <w:t xml:space="preserve"> de Caldas, Brazil Th-granite regions (280 </w:t>
      </w:r>
      <w:proofErr w:type="spellStart"/>
      <w:r w:rsidR="00806A42" w:rsidRPr="00806A42">
        <w:rPr>
          <w:rFonts w:ascii="Arial" w:hAnsi="Arial" w:cs="Arial"/>
          <w:highlight w:val="yellow"/>
        </w:rPr>
        <w:t>nGy</w:t>
      </w:r>
      <w:proofErr w:type="spellEnd"/>
      <w:r w:rsidR="00806A42" w:rsidRPr="00806A42">
        <w:rPr>
          <w:rFonts w:ascii="Arial" w:hAnsi="Arial" w:cs="Arial"/>
          <w:highlight w:val="yellow"/>
        </w:rPr>
        <w:t xml:space="preserve"> h</w:t>
      </w:r>
      <w:r w:rsidR="00806A42" w:rsidRPr="00806A42">
        <w:rPr>
          <w:rFonts w:ascii="Cambria Math" w:hAnsi="Cambria Math" w:cs="Cambria Math"/>
          <w:highlight w:val="yellow"/>
        </w:rPr>
        <w:t>⁻</w:t>
      </w:r>
      <w:r w:rsidR="00806A42" w:rsidRPr="00806A42">
        <w:rPr>
          <w:rFonts w:ascii="Arial" w:hAnsi="Arial" w:cs="Arial"/>
          <w:highlight w:val="yellow"/>
        </w:rPr>
        <w:t>¹); Tuscany, Italy - volcanic and granitic terrains (150</w:t>
      </w:r>
      <w:r w:rsidR="00806A42" w:rsidRPr="00D24E5C">
        <w:rPr>
          <w:rFonts w:ascii="Arial" w:hAnsi="Arial" w:cs="Arial"/>
          <w:highlight w:val="yellow"/>
        </w:rPr>
        <w:t>–</w:t>
      </w:r>
      <w:r w:rsidR="00806A42" w:rsidRPr="00806A42">
        <w:rPr>
          <w:rFonts w:ascii="Arial" w:hAnsi="Arial" w:cs="Arial"/>
          <w:highlight w:val="yellow"/>
        </w:rPr>
        <w:t xml:space="preserve">300 </w:t>
      </w:r>
      <w:proofErr w:type="spellStart"/>
      <w:r w:rsidR="00806A42" w:rsidRPr="00806A42">
        <w:rPr>
          <w:rFonts w:ascii="Arial" w:hAnsi="Arial" w:cs="Arial"/>
          <w:highlight w:val="yellow"/>
        </w:rPr>
        <w:t>nGy</w:t>
      </w:r>
      <w:proofErr w:type="spellEnd"/>
      <w:r w:rsidR="00806A42" w:rsidRPr="00806A42">
        <w:rPr>
          <w:rFonts w:ascii="Arial" w:hAnsi="Arial" w:cs="Arial"/>
          <w:highlight w:val="yellow"/>
        </w:rPr>
        <w:t xml:space="preserve"> h</w:t>
      </w:r>
      <w:r w:rsidR="00806A42" w:rsidRPr="00806A42">
        <w:rPr>
          <w:rFonts w:ascii="Cambria Math" w:hAnsi="Cambria Math" w:cs="Cambria Math"/>
          <w:highlight w:val="yellow"/>
        </w:rPr>
        <w:t>⁻</w:t>
      </w:r>
      <w:r w:rsidR="00806A42" w:rsidRPr="00806A42">
        <w:rPr>
          <w:rFonts w:ascii="Arial" w:hAnsi="Arial" w:cs="Arial"/>
          <w:highlight w:val="yellow"/>
        </w:rPr>
        <w:t xml:space="preserve">¹); </w:t>
      </w:r>
      <w:r w:rsidRPr="00806A42">
        <w:rPr>
          <w:rFonts w:ascii="Arial" w:hAnsi="Arial" w:cs="Arial"/>
          <w:highlight w:val="yellow"/>
        </w:rPr>
        <w:t>and more than double the national baseline measured in the late 1990s (Omar et al., 1991</w:t>
      </w:r>
      <w:r w:rsidRPr="00D24E5C">
        <w:rPr>
          <w:rFonts w:ascii="Arial" w:hAnsi="Arial" w:cs="Arial"/>
          <w:highlight w:val="yellow"/>
        </w:rPr>
        <w:t>; UNSCEAR, 200</w:t>
      </w:r>
      <w:r w:rsidR="00806A42">
        <w:rPr>
          <w:rFonts w:ascii="Arial" w:hAnsi="Arial" w:cs="Arial"/>
          <w:highlight w:val="yellow"/>
        </w:rPr>
        <w:t>8</w:t>
      </w:r>
      <w:r w:rsidRPr="00D24E5C">
        <w:rPr>
          <w:rFonts w:ascii="Arial" w:hAnsi="Arial" w:cs="Arial"/>
          <w:highlight w:val="yellow"/>
        </w:rPr>
        <w:t>). Given the rapid expansion of urban infrastructure and the concentration of the Malaysian population in these high-TGR zones, updated national assessments and revised public exposure models are warranted. The current findings place several Malaysian cities within the lower range of global high natural background radiation (HNBR) regions, underscoring the importance of ongoing monitoring and improved geological–radiological mapping for urban planning and public health evaluation.</w:t>
      </w:r>
    </w:p>
    <w:p w14:paraId="6988E92A" w14:textId="77777777" w:rsidR="002C462C" w:rsidRPr="002C462C" w:rsidRDefault="002C462C" w:rsidP="00441B6F">
      <w:pPr>
        <w:pStyle w:val="Body"/>
        <w:spacing w:after="0"/>
        <w:rPr>
          <w:rFonts w:ascii="Arial" w:hAnsi="Arial" w:cs="Arial"/>
          <w:b/>
          <w:bCs/>
        </w:rPr>
      </w:pPr>
    </w:p>
    <w:p w14:paraId="2744B3F8" w14:textId="56619885" w:rsidR="002C462C" w:rsidRPr="002C462C" w:rsidRDefault="002C462C" w:rsidP="00441B6F">
      <w:pPr>
        <w:pStyle w:val="Body"/>
        <w:spacing w:after="0"/>
        <w:rPr>
          <w:rFonts w:ascii="Arial" w:hAnsi="Arial" w:cs="Arial"/>
          <w:b/>
          <w:bCs/>
        </w:rPr>
      </w:pPr>
      <w:r w:rsidRPr="002C462C">
        <w:rPr>
          <w:rFonts w:ascii="Arial" w:hAnsi="Arial" w:cs="Arial"/>
          <w:b/>
          <w:bCs/>
        </w:rPr>
        <w:t>3.</w:t>
      </w:r>
      <w:r w:rsidR="007E58AD">
        <w:rPr>
          <w:rFonts w:ascii="Arial" w:hAnsi="Arial" w:cs="Arial"/>
          <w:b/>
          <w:bCs/>
        </w:rPr>
        <w:t>4</w:t>
      </w:r>
      <w:r w:rsidRPr="002C462C">
        <w:rPr>
          <w:rFonts w:ascii="Arial" w:hAnsi="Arial" w:cs="Arial"/>
          <w:b/>
          <w:bCs/>
        </w:rPr>
        <w:t xml:space="preserve"> </w:t>
      </w:r>
      <w:r w:rsidR="00344B57">
        <w:rPr>
          <w:rFonts w:ascii="Arial" w:hAnsi="Arial" w:cs="Arial"/>
          <w:b/>
          <w:bCs/>
        </w:rPr>
        <w:t xml:space="preserve">Variation of </w:t>
      </w:r>
      <w:r w:rsidR="00344B57" w:rsidRPr="00344B57">
        <w:rPr>
          <w:rFonts w:ascii="Arial" w:hAnsi="Arial" w:cs="Arial"/>
          <w:b/>
          <w:bCs/>
          <w:vertAlign w:val="superscript"/>
        </w:rPr>
        <w:t>238</w:t>
      </w:r>
      <w:r w:rsidR="00344B57" w:rsidRPr="00344B57">
        <w:rPr>
          <w:rFonts w:ascii="Arial" w:hAnsi="Arial" w:cs="Arial"/>
          <w:b/>
          <w:bCs/>
        </w:rPr>
        <w:t xml:space="preserve">U and </w:t>
      </w:r>
      <w:r w:rsidR="00344B57" w:rsidRPr="00344B57">
        <w:rPr>
          <w:rFonts w:ascii="Arial" w:hAnsi="Arial" w:cs="Arial"/>
          <w:b/>
          <w:bCs/>
          <w:vertAlign w:val="superscript"/>
        </w:rPr>
        <w:t>232</w:t>
      </w:r>
      <w:r w:rsidR="00344B57" w:rsidRPr="00344B57">
        <w:rPr>
          <w:rFonts w:ascii="Arial" w:hAnsi="Arial" w:cs="Arial"/>
          <w:b/>
          <w:bCs/>
        </w:rPr>
        <w:t xml:space="preserve">Th decay series and </w:t>
      </w:r>
      <w:r w:rsidR="00344B57" w:rsidRPr="00344B57">
        <w:rPr>
          <w:rFonts w:ascii="Arial" w:hAnsi="Arial" w:cs="Arial"/>
          <w:b/>
          <w:bCs/>
          <w:vertAlign w:val="superscript"/>
        </w:rPr>
        <w:t>40</w:t>
      </w:r>
      <w:r w:rsidR="00344B57" w:rsidRPr="00344B57">
        <w:rPr>
          <w:rFonts w:ascii="Arial" w:hAnsi="Arial" w:cs="Arial"/>
          <w:b/>
          <w:bCs/>
        </w:rPr>
        <w:t>K</w:t>
      </w:r>
      <w:r w:rsidR="002251E8">
        <w:rPr>
          <w:rFonts w:ascii="Arial" w:hAnsi="Arial" w:cs="Arial"/>
          <w:b/>
          <w:bCs/>
        </w:rPr>
        <w:t xml:space="preserve"> and </w:t>
      </w:r>
      <w:r w:rsidRPr="002C462C">
        <w:rPr>
          <w:rFonts w:ascii="Arial" w:hAnsi="Arial" w:cs="Arial"/>
          <w:b/>
          <w:bCs/>
        </w:rPr>
        <w:t>Contamination Index (USCI)</w:t>
      </w:r>
      <w:r w:rsidR="00344B57">
        <w:rPr>
          <w:rFonts w:ascii="Arial" w:hAnsi="Arial" w:cs="Arial"/>
          <w:b/>
          <w:bCs/>
        </w:rPr>
        <w:t xml:space="preserve"> of Urban Soil</w:t>
      </w:r>
    </w:p>
    <w:p w14:paraId="3D8714AD" w14:textId="77777777" w:rsidR="002251E8" w:rsidRPr="007E58AD" w:rsidRDefault="002251E8" w:rsidP="002251E8">
      <w:pPr>
        <w:pStyle w:val="Body"/>
        <w:spacing w:after="0"/>
        <w:rPr>
          <w:rFonts w:ascii="Arial" w:hAnsi="Arial" w:cs="Arial"/>
          <w:b/>
          <w:bCs/>
        </w:rPr>
      </w:pPr>
    </w:p>
    <w:p w14:paraId="79F0EB38" w14:textId="369B58A5" w:rsidR="002F31BD" w:rsidRPr="002F31BD" w:rsidRDefault="002F31BD" w:rsidP="002F31BD">
      <w:pPr>
        <w:pStyle w:val="Body"/>
        <w:rPr>
          <w:rFonts w:ascii="Arial" w:hAnsi="Arial" w:cs="Arial"/>
        </w:rPr>
      </w:pPr>
      <w:r w:rsidRPr="002F31BD">
        <w:rPr>
          <w:rFonts w:ascii="Arial" w:hAnsi="Arial" w:cs="Arial"/>
        </w:rPr>
        <w:t xml:space="preserve">The violin plots in Fig. 4 show that the activity concentrations of ²³⁸U, ²³²Th and ⁴⁰K in the upper 0–7 cm of urban soils exhibit substantial variability, reflecting the dominant influence of anthropogenic modification rather than contributions from natural soil materials, which account for less than 5% of the sampled matrix. The broad distribution of ⁴⁰K, accompanied by pronounced high-activity tails, is consistent with its abundance in urban construction </w:t>
      </w:r>
      <w:r w:rsidR="00A1685A" w:rsidRPr="002F31BD">
        <w:rPr>
          <w:rFonts w:ascii="Arial" w:hAnsi="Arial" w:cs="Arial"/>
        </w:rPr>
        <w:t xml:space="preserve">materials </w:t>
      </w:r>
      <w:r w:rsidR="00A1685A">
        <w:rPr>
          <w:rFonts w:ascii="Arial" w:hAnsi="Arial" w:cs="Arial"/>
        </w:rPr>
        <w:t>(</w:t>
      </w:r>
      <w:r w:rsidR="00A1685A" w:rsidRPr="00A1685A">
        <w:rPr>
          <w:rFonts w:ascii="Arial" w:hAnsi="Arial" w:cs="Arial"/>
        </w:rPr>
        <w:t>Chong and Ahmad, 1982; Ibrahim, 1999; Yasir et al. 2007</w:t>
      </w:r>
      <w:r w:rsidR="00A1685A">
        <w:rPr>
          <w:rFonts w:ascii="Arial" w:hAnsi="Arial" w:cs="Arial"/>
        </w:rPr>
        <w:t xml:space="preserve">) </w:t>
      </w:r>
      <w:r w:rsidRPr="002F31BD">
        <w:rPr>
          <w:rFonts w:ascii="Arial" w:hAnsi="Arial" w:cs="Arial"/>
        </w:rPr>
        <w:t>such as cement, concrete aggregates, ceramics, asphalt mixtures and quarry-derived dusts</w:t>
      </w:r>
      <w:r w:rsidR="00A1685A">
        <w:rPr>
          <w:rFonts w:ascii="Arial" w:hAnsi="Arial" w:cs="Arial"/>
        </w:rPr>
        <w:t xml:space="preserve"> (Sanusi et al., 2017a)</w:t>
      </w:r>
      <w:r w:rsidRPr="002F31BD">
        <w:rPr>
          <w:rFonts w:ascii="Arial" w:hAnsi="Arial" w:cs="Arial"/>
        </w:rPr>
        <w:t>. These materials are widely used throughout Malaysian cities and frequently contribute potassium-rich particulates</w:t>
      </w:r>
      <w:r w:rsidR="00A1685A">
        <w:rPr>
          <w:rFonts w:ascii="Arial" w:hAnsi="Arial" w:cs="Arial"/>
        </w:rPr>
        <w:t xml:space="preserve"> (</w:t>
      </w:r>
      <w:r w:rsidR="00A1685A" w:rsidRPr="00A1685A">
        <w:rPr>
          <w:rFonts w:ascii="Arial" w:hAnsi="Arial" w:cs="Arial"/>
        </w:rPr>
        <w:t>Baha et al. 2025</w:t>
      </w:r>
      <w:r w:rsidR="00A1685A">
        <w:rPr>
          <w:rFonts w:ascii="Arial" w:hAnsi="Arial" w:cs="Arial"/>
        </w:rPr>
        <w:t>)</w:t>
      </w:r>
      <w:r w:rsidRPr="002F31BD">
        <w:rPr>
          <w:rFonts w:ascii="Arial" w:hAnsi="Arial" w:cs="Arial"/>
        </w:rPr>
        <w:t xml:space="preserve"> that accumulate in roadside sediments, landscaping soils, reclaimed areas and compacted fill layers. In contrast, the distributions of ²³⁸U and ²³²Th, although narrower, also display asymmetric shapes with elevated tails that indicate the presence of U–Th-bearing inputs typically linked to construction dust, ceramic and granite-aggregate residues, industrial emissions, vehicular particulate matter and waste-derived fine materials deposited on urban surfaces. Because these materials dominate the composition of superficial urban soils</w:t>
      </w:r>
      <w:r w:rsidR="00A1685A">
        <w:rPr>
          <w:rFonts w:ascii="Arial" w:hAnsi="Arial" w:cs="Arial"/>
        </w:rPr>
        <w:t xml:space="preserve"> (Sanusi et al., 2017a)</w:t>
      </w:r>
      <w:r w:rsidRPr="002F31BD">
        <w:rPr>
          <w:rFonts w:ascii="Arial" w:hAnsi="Arial" w:cs="Arial"/>
        </w:rPr>
        <w:t>, the observed radionuclide distributions primarily represent human-driven environmental alterations rather than signatures of underlying geology.</w:t>
      </w:r>
    </w:p>
    <w:p w14:paraId="2A7CC040" w14:textId="77777777" w:rsidR="002F31BD" w:rsidRPr="002F31BD" w:rsidRDefault="002F31BD" w:rsidP="002F31BD">
      <w:pPr>
        <w:pStyle w:val="Body"/>
        <w:rPr>
          <w:rFonts w:ascii="Arial" w:hAnsi="Arial" w:cs="Arial"/>
        </w:rPr>
      </w:pPr>
      <w:r w:rsidRPr="002F31BD">
        <w:rPr>
          <w:rFonts w:ascii="Arial" w:hAnsi="Arial" w:cs="Arial"/>
        </w:rPr>
        <w:t xml:space="preserve">The descriptive statistics of the Urban Soil Contamination Index (USCI) further reinforce the strong anthropogenic control on radionuclide variability. Minimum USCI values between approximately 0.05 and 0.20 correspond to locations where the soil surface remains close to natural equilibrium conditions, while the lower quartile (Q1), ranging from about 0.30 to 0.60, represents slightly altered urban surfaces with minor particulate </w:t>
      </w:r>
      <w:r w:rsidRPr="002F31BD">
        <w:rPr>
          <w:rFonts w:ascii="Arial" w:hAnsi="Arial" w:cs="Arial"/>
        </w:rPr>
        <w:lastRenderedPageBreak/>
        <w:t>accumulation. The median USCI, typically between 0.80 and 1.20, indicates that moderate alteration is characteristic of most urban soils in the studied cities, consistent with regular exposure to construction dust, vehicular emissions and general surface disturbance. The mean value of around 1.00 represents the typical behaviour of anthropogenically influenced urban soils in Malaysia. The third quartile (Q3), spanning approximately 1.50 to 2.00, signifies soils that are noticeably disturbed, often associated with intense construction, roadworks, surface sealing or landscaping modifications. Maximum USCI values between 3.50 and 4.50 correspond to highly contaminated sites where strong anthropogenic or construction-related inputs dominate the soil matrix. The moderate standard deviation of approximately 0.70 to 1.00 reflects the heterogeneous nature of urban modification processes across different cities and land-use types.</w:t>
      </w:r>
    </w:p>
    <w:p w14:paraId="770B44A4" w14:textId="57182BF6" w:rsidR="002F31BD" w:rsidRDefault="009A60E4" w:rsidP="002F31BD">
      <w:pPr>
        <w:pStyle w:val="Body"/>
        <w:spacing w:after="0"/>
        <w:jc w:val="center"/>
        <w:rPr>
          <w:rFonts w:ascii="Arial" w:hAnsi="Arial" w:cs="Arial"/>
        </w:rPr>
      </w:pPr>
      <w:r>
        <w:rPr>
          <w:rFonts w:ascii="Arial" w:hAnsi="Arial" w:cs="Arial"/>
          <w:noProof/>
        </w:rPr>
        <w:lastRenderedPageBreak/>
        <w:drawing>
          <wp:inline distT="0" distB="0" distL="0" distR="0" wp14:anchorId="555B568B" wp14:editId="326C3F9B">
            <wp:extent cx="4157980" cy="5598752"/>
            <wp:effectExtent l="0" t="0" r="0" b="0"/>
            <wp:docPr id="1061841095" name="Picture 6" descr="A graph showing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1095" name="Picture 6" descr="A graph showing different colored shapes&#10;&#10;AI-generated content may be incorrect."/>
                    <pic:cNvPicPr/>
                  </pic:nvPicPr>
                  <pic:blipFill rotWithShape="1">
                    <a:blip r:embed="rId17" cstate="print">
                      <a:extLst>
                        <a:ext uri="{28A0092B-C50C-407E-A947-70E740481C1C}">
                          <a14:useLocalDpi xmlns:a14="http://schemas.microsoft.com/office/drawing/2010/main" val="0"/>
                        </a:ext>
                      </a:extLst>
                    </a:blip>
                    <a:srcRect t="4327"/>
                    <a:stretch>
                      <a:fillRect/>
                    </a:stretch>
                  </pic:blipFill>
                  <pic:spPr bwMode="auto">
                    <a:xfrm>
                      <a:off x="0" y="0"/>
                      <a:ext cx="4190777" cy="5642913"/>
                    </a:xfrm>
                    <a:prstGeom prst="rect">
                      <a:avLst/>
                    </a:prstGeom>
                    <a:ln>
                      <a:noFill/>
                    </a:ln>
                    <a:extLst>
                      <a:ext uri="{53640926-AAD7-44D8-BBD7-CCE9431645EC}">
                        <a14:shadowObscured xmlns:a14="http://schemas.microsoft.com/office/drawing/2010/main"/>
                      </a:ext>
                    </a:extLst>
                  </pic:spPr>
                </pic:pic>
              </a:graphicData>
            </a:graphic>
          </wp:inline>
        </w:drawing>
      </w:r>
    </w:p>
    <w:p w14:paraId="0655399F" w14:textId="77777777" w:rsidR="002F31BD" w:rsidRDefault="002F31BD" w:rsidP="002F31BD">
      <w:pPr>
        <w:pStyle w:val="Body"/>
        <w:spacing w:after="0"/>
        <w:jc w:val="center"/>
        <w:rPr>
          <w:rFonts w:ascii="Arial" w:hAnsi="Arial" w:cs="Arial"/>
        </w:rPr>
      </w:pPr>
    </w:p>
    <w:p w14:paraId="0E904DED" w14:textId="77777777" w:rsidR="002F31BD" w:rsidRPr="00E970D3" w:rsidRDefault="002F31BD" w:rsidP="002F31BD">
      <w:pPr>
        <w:pStyle w:val="Body"/>
        <w:spacing w:after="0"/>
        <w:jc w:val="center"/>
        <w:rPr>
          <w:rFonts w:ascii="Arial" w:hAnsi="Arial" w:cs="Arial"/>
          <w:b/>
          <w:bCs/>
          <w:sz w:val="22"/>
          <w:szCs w:val="22"/>
        </w:rPr>
      </w:pPr>
      <w:r w:rsidRPr="00E970D3">
        <w:rPr>
          <w:rFonts w:ascii="Arial" w:hAnsi="Arial" w:cs="Arial"/>
          <w:b/>
          <w:bCs/>
          <w:sz w:val="22"/>
          <w:szCs w:val="22"/>
        </w:rPr>
        <w:t xml:space="preserve">Fig. </w:t>
      </w:r>
      <w:r>
        <w:rPr>
          <w:rFonts w:ascii="Arial" w:hAnsi="Arial" w:cs="Arial"/>
          <w:b/>
          <w:bCs/>
          <w:sz w:val="22"/>
          <w:szCs w:val="22"/>
        </w:rPr>
        <w:t>4</w:t>
      </w:r>
      <w:r w:rsidRPr="00E970D3">
        <w:rPr>
          <w:rFonts w:ascii="Arial" w:hAnsi="Arial" w:cs="Arial"/>
          <w:b/>
          <w:bCs/>
          <w:sz w:val="22"/>
          <w:szCs w:val="22"/>
        </w:rPr>
        <w:t xml:space="preserve">. </w:t>
      </w:r>
      <w:r>
        <w:rPr>
          <w:rFonts w:ascii="Arial" w:hAnsi="Arial" w:cs="Arial"/>
          <w:b/>
          <w:bCs/>
          <w:sz w:val="22"/>
          <w:szCs w:val="22"/>
        </w:rPr>
        <w:t xml:space="preserve">Violin plots </w:t>
      </w:r>
      <w:r w:rsidRPr="00E970D3">
        <w:rPr>
          <w:rFonts w:ascii="Arial" w:hAnsi="Arial" w:cs="Arial"/>
          <w:b/>
          <w:bCs/>
          <w:sz w:val="22"/>
          <w:szCs w:val="22"/>
        </w:rPr>
        <w:t xml:space="preserve">of </w:t>
      </w:r>
      <w:r w:rsidRPr="00E970D3">
        <w:rPr>
          <w:rFonts w:ascii="Arial" w:hAnsi="Arial" w:cs="Arial"/>
          <w:b/>
          <w:bCs/>
          <w:sz w:val="22"/>
          <w:szCs w:val="22"/>
          <w:vertAlign w:val="superscript"/>
        </w:rPr>
        <w:t>238</w:t>
      </w:r>
      <w:r w:rsidRPr="00E970D3">
        <w:rPr>
          <w:rFonts w:ascii="Arial" w:hAnsi="Arial" w:cs="Arial"/>
          <w:b/>
          <w:bCs/>
          <w:sz w:val="22"/>
          <w:szCs w:val="22"/>
        </w:rPr>
        <w:t xml:space="preserve">U and </w:t>
      </w:r>
      <w:r w:rsidRPr="00E970D3">
        <w:rPr>
          <w:rFonts w:ascii="Arial" w:hAnsi="Arial" w:cs="Arial"/>
          <w:b/>
          <w:bCs/>
          <w:sz w:val="22"/>
          <w:szCs w:val="22"/>
          <w:vertAlign w:val="superscript"/>
        </w:rPr>
        <w:t>232</w:t>
      </w:r>
      <w:r w:rsidRPr="00E970D3">
        <w:rPr>
          <w:rFonts w:ascii="Arial" w:hAnsi="Arial" w:cs="Arial"/>
          <w:b/>
          <w:bCs/>
          <w:sz w:val="22"/>
          <w:szCs w:val="22"/>
        </w:rPr>
        <w:t xml:space="preserve">Th decay series and </w:t>
      </w:r>
      <w:r w:rsidRPr="00E970D3">
        <w:rPr>
          <w:rFonts w:ascii="Arial" w:hAnsi="Arial" w:cs="Arial"/>
          <w:b/>
          <w:bCs/>
          <w:sz w:val="22"/>
          <w:szCs w:val="22"/>
          <w:vertAlign w:val="superscript"/>
        </w:rPr>
        <w:t>40</w:t>
      </w:r>
      <w:r w:rsidRPr="00E970D3">
        <w:rPr>
          <w:rFonts w:ascii="Arial" w:hAnsi="Arial" w:cs="Arial"/>
          <w:b/>
          <w:bCs/>
          <w:sz w:val="22"/>
          <w:szCs w:val="22"/>
        </w:rPr>
        <w:t>K in urban surface soils</w:t>
      </w:r>
    </w:p>
    <w:p w14:paraId="4C13801E" w14:textId="77777777" w:rsidR="002F31BD" w:rsidRPr="002F31BD" w:rsidRDefault="002F31BD" w:rsidP="002F31BD">
      <w:pPr>
        <w:pStyle w:val="Body"/>
        <w:rPr>
          <w:rFonts w:ascii="Arial" w:hAnsi="Arial" w:cs="Arial"/>
        </w:rPr>
      </w:pPr>
    </w:p>
    <w:p w14:paraId="39AED2AB" w14:textId="585BC160" w:rsidR="00405A4A" w:rsidRDefault="002F31BD" w:rsidP="002F31BD">
      <w:pPr>
        <w:pStyle w:val="Body"/>
        <w:rPr>
          <w:rFonts w:ascii="Arial" w:hAnsi="Arial" w:cs="Arial"/>
        </w:rPr>
      </w:pPr>
      <w:r w:rsidRPr="002F31BD">
        <w:rPr>
          <w:rFonts w:ascii="Arial" w:hAnsi="Arial" w:cs="Arial"/>
        </w:rPr>
        <w:t>The regression relationships in Fig. 5 provide additional insight into the geochemical behaviour of U, Th and K under urban contamination. The strong positive correlations between USCI and both U/K and Th/K ratios, supported by significant polynomial and exponential model fits, indicate that even small increases in uranium or thorium relative to potassium can markedly elevate contamination intensity. This pattern reflects the tendency for uranium-bearing particulates</w:t>
      </w:r>
      <w:r w:rsidR="007E54E1">
        <w:rPr>
          <w:rFonts w:ascii="Arial" w:hAnsi="Arial" w:cs="Arial"/>
        </w:rPr>
        <w:t xml:space="preserve">; </w:t>
      </w:r>
      <w:r w:rsidRPr="002F31BD">
        <w:rPr>
          <w:rFonts w:ascii="Arial" w:hAnsi="Arial" w:cs="Arial"/>
        </w:rPr>
        <w:t>originating from construction materials</w:t>
      </w:r>
      <w:r w:rsidR="009F0D6D">
        <w:rPr>
          <w:rFonts w:ascii="Arial" w:hAnsi="Arial" w:cs="Arial"/>
        </w:rPr>
        <w:t xml:space="preserve"> (</w:t>
      </w:r>
      <w:proofErr w:type="spellStart"/>
      <w:r w:rsidR="009F0D6D" w:rsidRPr="009F0D6D">
        <w:rPr>
          <w:rFonts w:ascii="Arial" w:hAnsi="Arial" w:cs="Arial"/>
        </w:rPr>
        <w:t>Trevisi</w:t>
      </w:r>
      <w:proofErr w:type="spellEnd"/>
      <w:r w:rsidR="009F0D6D" w:rsidRPr="009F0D6D">
        <w:rPr>
          <w:rFonts w:ascii="Arial" w:hAnsi="Arial" w:cs="Arial"/>
        </w:rPr>
        <w:t xml:space="preserve"> et al.</w:t>
      </w:r>
      <w:r w:rsidR="009F0D6D">
        <w:rPr>
          <w:rFonts w:ascii="Arial" w:hAnsi="Arial" w:cs="Arial"/>
        </w:rPr>
        <w:t xml:space="preserve">, </w:t>
      </w:r>
      <w:r w:rsidR="009F0D6D" w:rsidRPr="009F0D6D">
        <w:rPr>
          <w:rFonts w:ascii="Arial" w:hAnsi="Arial" w:cs="Arial"/>
        </w:rPr>
        <w:t>2012)</w:t>
      </w:r>
      <w:r w:rsidRPr="002F31BD">
        <w:rPr>
          <w:rFonts w:ascii="Arial" w:hAnsi="Arial" w:cs="Arial"/>
        </w:rPr>
        <w:t>, combustion residues, industrial dusts and phosphate-rich landscaping products</w:t>
      </w:r>
      <w:r w:rsidR="007E54E1">
        <w:rPr>
          <w:rFonts w:ascii="Arial" w:hAnsi="Arial" w:cs="Arial"/>
        </w:rPr>
        <w:t xml:space="preserve"> that</w:t>
      </w:r>
      <w:r w:rsidRPr="002F31BD">
        <w:rPr>
          <w:rFonts w:ascii="Arial" w:hAnsi="Arial" w:cs="Arial"/>
        </w:rPr>
        <w:t xml:space="preserve"> accumulate</w:t>
      </w:r>
      <w:r w:rsidR="007E54E1">
        <w:rPr>
          <w:rFonts w:ascii="Arial" w:hAnsi="Arial" w:cs="Arial"/>
        </w:rPr>
        <w:t>d</w:t>
      </w:r>
      <w:r w:rsidRPr="002F31BD">
        <w:rPr>
          <w:rFonts w:ascii="Arial" w:hAnsi="Arial" w:cs="Arial"/>
        </w:rPr>
        <w:t xml:space="preserve"> rapidly in superficial urban soils </w:t>
      </w:r>
      <w:r w:rsidRPr="002F31BD">
        <w:rPr>
          <w:rFonts w:ascii="Arial" w:hAnsi="Arial" w:cs="Arial"/>
        </w:rPr>
        <w:lastRenderedPageBreak/>
        <w:t>and to be more mobile under the oxidizing conditions common in urban environments. The Th/K–USCI relationship also increases positively, although with slightly weaker dependence, consistent with thorium’s lower mobility and stronger particle-bound behaviour, whereby Th enrichment tends to result from direct deposition of solid materials rather than diffusive processes</w:t>
      </w:r>
      <w:r w:rsidR="007E54E1">
        <w:rPr>
          <w:rFonts w:ascii="Arial" w:hAnsi="Arial" w:cs="Arial"/>
        </w:rPr>
        <w:t xml:space="preserve"> (Hail, 1976)</w:t>
      </w:r>
      <w:r w:rsidRPr="002F31BD">
        <w:rPr>
          <w:rFonts w:ascii="Arial" w:hAnsi="Arial" w:cs="Arial"/>
        </w:rPr>
        <w:t>. In contrast, the Th/U ratio shows no meaningful correlation with USCI, indicating that the relative fractionation between thorium and uranium remains largely independent of contamination intensity. This behaviour demonstrates that Th/U acts as a conservative indicator reflecting the differing mobility of U and Th in disturbed urban soils, rather than serving as a direct proxy for overall contamination.</w:t>
      </w:r>
    </w:p>
    <w:p w14:paraId="79572E5B" w14:textId="77777777" w:rsidR="005A1A61" w:rsidRDefault="005A1A61" w:rsidP="005A1A61">
      <w:pPr>
        <w:pStyle w:val="Body"/>
        <w:spacing w:after="0"/>
        <w:rPr>
          <w:rFonts w:ascii="Arial" w:hAnsi="Arial" w:cs="Arial"/>
        </w:rPr>
      </w:pPr>
      <w:r w:rsidRPr="002F31BD">
        <w:rPr>
          <w:rFonts w:ascii="Arial" w:hAnsi="Arial" w:cs="Arial"/>
        </w:rPr>
        <w:t>Overall, the combined distributions of ²³⁸U, ²³²Th, ⁴⁰K and USCI, along with their ratio-based relationships, demonstrate that urban surface soils in Peninsular Malaysia are overwhelmingly shaped by anthropogenic processes. The upper soil layer primarily reflects accumulated construction materials, industrial particulates, vehicular emissions, land reclamation debris and surface disturbance rather than natural parent soil. The strong nonlinear responses of U/K and Th/K to USCI highlight the sensitivity of urban soils to small but persistent inputs of radiogenic particulates, while the stability of Th/U underscores the role of material-specific mobility rather than contamination magnitude. These findings underline the need for continuous radiological monitoring of urban soils, especially in rapidly developing city centres where construction intensity, road traffic and land modification activities can shift radiological baselines within relatively short timeframes.</w:t>
      </w:r>
    </w:p>
    <w:p w14:paraId="1212E13A" w14:textId="77777777" w:rsidR="005A1A61" w:rsidRPr="002C462C" w:rsidRDefault="005A1A61" w:rsidP="002F31BD">
      <w:pPr>
        <w:pStyle w:val="Body"/>
        <w:rPr>
          <w:rFonts w:ascii="Arial" w:hAnsi="Arial" w:cs="Arial"/>
        </w:rPr>
      </w:pPr>
    </w:p>
    <w:p w14:paraId="74FFE2D1" w14:textId="3985DD9F" w:rsidR="002C462C" w:rsidRDefault="0007693F" w:rsidP="00405A4A">
      <w:pPr>
        <w:pStyle w:val="Body"/>
        <w:spacing w:after="0"/>
        <w:ind w:left="-1134"/>
        <w:jc w:val="center"/>
        <w:rPr>
          <w:rFonts w:ascii="Arial" w:hAnsi="Arial" w:cs="Arial"/>
        </w:rPr>
      </w:pPr>
      <w:r>
        <w:rPr>
          <w:rFonts w:ascii="Arial" w:hAnsi="Arial" w:cs="Arial"/>
          <w:noProof/>
        </w:rPr>
        <w:lastRenderedPageBreak/>
        <w:drawing>
          <wp:inline distT="0" distB="0" distL="0" distR="0" wp14:anchorId="5F93F447" wp14:editId="5B303727">
            <wp:extent cx="2721935" cy="6354367"/>
            <wp:effectExtent l="0" t="0" r="0" b="0"/>
            <wp:docPr id="1381050358" name="Picture 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50358" name="Picture 5" descr="A graph of a function&#10;&#10;AI-generated content may be incorrect."/>
                    <pic:cNvPicPr/>
                  </pic:nvPicPr>
                  <pic:blipFill rotWithShape="1">
                    <a:blip r:embed="rId18" cstate="print">
                      <a:extLst>
                        <a:ext uri="{28A0092B-C50C-407E-A947-70E740481C1C}">
                          <a14:useLocalDpi xmlns:a14="http://schemas.microsoft.com/office/drawing/2010/main" val="0"/>
                        </a:ext>
                      </a:extLst>
                    </a:blip>
                    <a:srcRect l="3307" r="4931"/>
                    <a:stretch>
                      <a:fillRect/>
                    </a:stretch>
                  </pic:blipFill>
                  <pic:spPr bwMode="auto">
                    <a:xfrm>
                      <a:off x="0" y="0"/>
                      <a:ext cx="2738056" cy="6392001"/>
                    </a:xfrm>
                    <a:prstGeom prst="rect">
                      <a:avLst/>
                    </a:prstGeom>
                    <a:ln>
                      <a:noFill/>
                    </a:ln>
                    <a:extLst>
                      <a:ext uri="{53640926-AAD7-44D8-BBD7-CCE9431645EC}">
                        <a14:shadowObscured xmlns:a14="http://schemas.microsoft.com/office/drawing/2010/main"/>
                      </a:ext>
                    </a:extLst>
                  </pic:spPr>
                </pic:pic>
              </a:graphicData>
            </a:graphic>
          </wp:inline>
        </w:drawing>
      </w:r>
    </w:p>
    <w:p w14:paraId="6C179ED5" w14:textId="77777777" w:rsidR="00405A4A" w:rsidRDefault="00405A4A" w:rsidP="002C462C">
      <w:pPr>
        <w:pStyle w:val="Body"/>
        <w:spacing w:after="0"/>
        <w:jc w:val="center"/>
        <w:rPr>
          <w:rFonts w:ascii="Arial" w:hAnsi="Arial" w:cs="Arial"/>
          <w:b/>
          <w:bCs/>
          <w:sz w:val="22"/>
          <w:szCs w:val="22"/>
        </w:rPr>
      </w:pPr>
    </w:p>
    <w:p w14:paraId="1F33C346" w14:textId="217E97DD" w:rsidR="002C462C" w:rsidRPr="007E58AD" w:rsidRDefault="002C462C" w:rsidP="002C462C">
      <w:pPr>
        <w:pStyle w:val="Body"/>
        <w:spacing w:after="0"/>
        <w:jc w:val="center"/>
        <w:rPr>
          <w:rFonts w:ascii="Arial" w:hAnsi="Arial" w:cs="Arial"/>
          <w:b/>
          <w:bCs/>
          <w:sz w:val="22"/>
          <w:szCs w:val="22"/>
        </w:rPr>
      </w:pPr>
      <w:r w:rsidRPr="007E58AD">
        <w:rPr>
          <w:rFonts w:ascii="Arial" w:hAnsi="Arial" w:cs="Arial"/>
          <w:b/>
          <w:bCs/>
          <w:sz w:val="22"/>
          <w:szCs w:val="22"/>
        </w:rPr>
        <w:t xml:space="preserve">Fig. </w:t>
      </w:r>
      <w:r w:rsidR="007E58AD" w:rsidRPr="007E58AD">
        <w:rPr>
          <w:rFonts w:ascii="Arial" w:hAnsi="Arial" w:cs="Arial"/>
          <w:b/>
          <w:bCs/>
          <w:sz w:val="22"/>
          <w:szCs w:val="22"/>
        </w:rPr>
        <w:t>5</w:t>
      </w:r>
      <w:r w:rsidRPr="007E58AD">
        <w:rPr>
          <w:rFonts w:ascii="Arial" w:hAnsi="Arial" w:cs="Arial"/>
          <w:b/>
          <w:bCs/>
          <w:sz w:val="22"/>
          <w:szCs w:val="22"/>
        </w:rPr>
        <w:t>. Relationships between Urban Soil Contamination Index (USCI) and radiogenic element ratios: U/K, Th/K, and Th/U. Polynomial and exponential regression models are shown for each ratio</w:t>
      </w:r>
    </w:p>
    <w:p w14:paraId="1BE51273" w14:textId="77777777" w:rsidR="007D0091" w:rsidRPr="00FB3A86" w:rsidRDefault="007D0091" w:rsidP="00441B6F">
      <w:pPr>
        <w:pStyle w:val="Body"/>
        <w:spacing w:after="0"/>
        <w:rPr>
          <w:rFonts w:ascii="Arial" w:hAnsi="Arial" w:cs="Arial"/>
        </w:rPr>
      </w:pPr>
    </w:p>
    <w:p w14:paraId="73715AA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EAF5E21" w14:textId="77777777" w:rsidR="00790ADA" w:rsidRPr="00FB3A86" w:rsidRDefault="00790ADA" w:rsidP="00441B6F">
      <w:pPr>
        <w:pStyle w:val="ConcHead"/>
        <w:spacing w:after="0"/>
        <w:jc w:val="both"/>
        <w:rPr>
          <w:rFonts w:ascii="Arial" w:hAnsi="Arial" w:cs="Arial"/>
        </w:rPr>
      </w:pPr>
    </w:p>
    <w:p w14:paraId="496C1983" w14:textId="14DF881C" w:rsidR="00F46917" w:rsidRPr="00F46917" w:rsidRDefault="00F46917" w:rsidP="00F46917">
      <w:pPr>
        <w:pStyle w:val="Body"/>
        <w:rPr>
          <w:rFonts w:ascii="Arial" w:hAnsi="Arial" w:cs="Arial"/>
        </w:rPr>
      </w:pPr>
      <w:r w:rsidRPr="00F46917">
        <w:rPr>
          <w:rFonts w:ascii="Arial" w:hAnsi="Arial" w:cs="Arial"/>
        </w:rPr>
        <w:t xml:space="preserve">This study provides the first integrated assessment of geology-controlled terrestrial gamma radiation (TGR) and anthropogenic modification of urban </w:t>
      </w:r>
      <w:r w:rsidRPr="00F46917">
        <w:rPr>
          <w:rFonts w:ascii="Arial" w:hAnsi="Arial" w:cs="Arial"/>
        </w:rPr>
        <w:lastRenderedPageBreak/>
        <w:t xml:space="preserve">soils across major cities in Peninsular Malaysia. The combined </w:t>
      </w:r>
      <w:proofErr w:type="spellStart"/>
      <w:r w:rsidRPr="00F46917">
        <w:rPr>
          <w:rFonts w:ascii="Arial" w:hAnsi="Arial" w:cs="Arial"/>
        </w:rPr>
        <w:t>carborne</w:t>
      </w:r>
      <w:proofErr w:type="spellEnd"/>
      <w:r w:rsidRPr="00F46917">
        <w:rPr>
          <w:rFonts w:ascii="Arial" w:hAnsi="Arial" w:cs="Arial"/>
        </w:rPr>
        <w:t xml:space="preserve"> TGR dataset and </w:t>
      </w:r>
      <w:proofErr w:type="spellStart"/>
      <w:r w:rsidRPr="00F46917">
        <w:rPr>
          <w:rFonts w:ascii="Arial" w:hAnsi="Arial" w:cs="Arial"/>
        </w:rPr>
        <w:t>HPGe</w:t>
      </w:r>
      <w:proofErr w:type="spellEnd"/>
      <w:r w:rsidRPr="00F46917">
        <w:rPr>
          <w:rFonts w:ascii="Arial" w:hAnsi="Arial" w:cs="Arial"/>
        </w:rPr>
        <w:t xml:space="preserve">-based soil radioactivity analyses demonstrate that underlying lithology remains the primary driver of spatial radiation variability, with granitic provinces consistently exhibiting the highest gamma fields. Urbanisation amplifies these geological signatures through extensive land modification and the incorporation of radionuclide-bearing construction materials, yet it does not fully override the influence of bedrock geology. The elevated TGR levels observed in </w:t>
      </w:r>
      <w:proofErr w:type="spellStart"/>
      <w:r w:rsidRPr="00F46917">
        <w:rPr>
          <w:rFonts w:ascii="Arial" w:hAnsi="Arial" w:cs="Arial"/>
        </w:rPr>
        <w:t>Klang</w:t>
      </w:r>
      <w:proofErr w:type="spellEnd"/>
      <w:r w:rsidRPr="00F46917">
        <w:rPr>
          <w:rFonts w:ascii="Arial" w:hAnsi="Arial" w:cs="Arial"/>
        </w:rPr>
        <w:t xml:space="preserve"> Valley, Kuantan, and Kota Bharu reflect the growing radiological contribution from urban development, even in areas not traditionally associated with high natural radioactivity.</w:t>
      </w:r>
    </w:p>
    <w:p w14:paraId="6266EA4E" w14:textId="405E7B18" w:rsidR="00F46917" w:rsidRPr="00F46917" w:rsidRDefault="00F46917" w:rsidP="00F46917">
      <w:pPr>
        <w:pStyle w:val="Body"/>
        <w:rPr>
          <w:rFonts w:ascii="Arial" w:hAnsi="Arial" w:cs="Arial"/>
        </w:rPr>
      </w:pPr>
      <w:r w:rsidRPr="00F46917">
        <w:rPr>
          <w:rFonts w:ascii="Arial" w:hAnsi="Arial" w:cs="Arial"/>
        </w:rPr>
        <w:t xml:space="preserve">Surface soils across the cities are dominated by anthropogenic inputs, with activity concentrations of </w:t>
      </w:r>
      <w:r w:rsidRPr="00392608">
        <w:rPr>
          <w:rFonts w:ascii="Arial" w:hAnsi="Arial" w:cs="Arial"/>
          <w:vertAlign w:val="superscript"/>
        </w:rPr>
        <w:t>238</w:t>
      </w:r>
      <w:r w:rsidRPr="00F46917">
        <w:rPr>
          <w:rFonts w:ascii="Arial" w:hAnsi="Arial" w:cs="Arial"/>
        </w:rPr>
        <w:t xml:space="preserve">U, </w:t>
      </w:r>
      <w:r w:rsidRPr="00392608">
        <w:rPr>
          <w:rFonts w:ascii="Arial" w:hAnsi="Arial" w:cs="Arial"/>
          <w:vertAlign w:val="superscript"/>
        </w:rPr>
        <w:t>232</w:t>
      </w:r>
      <w:r w:rsidRPr="00F46917">
        <w:rPr>
          <w:rFonts w:ascii="Arial" w:hAnsi="Arial" w:cs="Arial"/>
        </w:rPr>
        <w:t xml:space="preserve">Th and </w:t>
      </w:r>
      <w:r w:rsidRPr="00392608">
        <w:rPr>
          <w:rFonts w:ascii="Arial" w:hAnsi="Arial" w:cs="Arial"/>
          <w:vertAlign w:val="superscript"/>
        </w:rPr>
        <w:t>40</w:t>
      </w:r>
      <w:r w:rsidRPr="00F46917">
        <w:rPr>
          <w:rFonts w:ascii="Arial" w:hAnsi="Arial" w:cs="Arial"/>
        </w:rPr>
        <w:t xml:space="preserve">K showing wide variability linked to construction dust, imported fill, road particulates and mixed industrial residues. The Urban Soil Contamination Index (USCI) effectively captures contamination intensity, revealing that most urban soils fall within moderately to highly altered classes, with maximum values indicating strong anthropogenic enrichment. Nonlinear increases in U/K and Th/K with USCI underscore the sensitivity of urban soils to small but persistent inputs of radiogenic materials, while the stable Th/U ratio reflects contrasting mobility between </w:t>
      </w:r>
      <w:r w:rsidR="00392608" w:rsidRPr="00392608">
        <w:rPr>
          <w:rFonts w:ascii="Arial" w:hAnsi="Arial" w:cs="Arial"/>
          <w:vertAlign w:val="superscript"/>
        </w:rPr>
        <w:t>238</w:t>
      </w:r>
      <w:r w:rsidR="00392608" w:rsidRPr="00F46917">
        <w:rPr>
          <w:rFonts w:ascii="Arial" w:hAnsi="Arial" w:cs="Arial"/>
        </w:rPr>
        <w:t>U</w:t>
      </w:r>
      <w:r w:rsidR="00392608">
        <w:rPr>
          <w:rFonts w:ascii="Arial" w:hAnsi="Arial" w:cs="Arial"/>
        </w:rPr>
        <w:t xml:space="preserve"> and </w:t>
      </w:r>
      <w:r w:rsidR="00392608" w:rsidRPr="00392608">
        <w:rPr>
          <w:rFonts w:ascii="Arial" w:hAnsi="Arial" w:cs="Arial"/>
          <w:vertAlign w:val="superscript"/>
        </w:rPr>
        <w:t>232</w:t>
      </w:r>
      <w:r w:rsidR="00392608" w:rsidRPr="00F46917">
        <w:rPr>
          <w:rFonts w:ascii="Arial" w:hAnsi="Arial" w:cs="Arial"/>
        </w:rPr>
        <w:t xml:space="preserve">Th </w:t>
      </w:r>
      <w:r w:rsidRPr="00F46917">
        <w:rPr>
          <w:rFonts w:ascii="Arial" w:hAnsi="Arial" w:cs="Arial"/>
        </w:rPr>
        <w:t>in disturbed environments.</w:t>
      </w:r>
    </w:p>
    <w:p w14:paraId="7C87A286" w14:textId="28334935" w:rsidR="00F46917" w:rsidRDefault="001138E9" w:rsidP="00F46917">
      <w:pPr>
        <w:pStyle w:val="Body"/>
        <w:spacing w:after="0"/>
        <w:rPr>
          <w:rFonts w:ascii="Arial" w:hAnsi="Arial" w:cs="Arial"/>
        </w:rPr>
      </w:pPr>
      <w:r w:rsidRPr="001138E9">
        <w:rPr>
          <w:rFonts w:ascii="Arial" w:hAnsi="Arial" w:cs="Arial"/>
        </w:rPr>
        <w:t xml:space="preserve">Overall, this study demonstrates that both geological framework and urbanisation jointly govern the radiological character of Malaysian cities. The updated baseline values generated here are essential for urban radiological protection, land-use planning, and geoscientific evaluation. </w:t>
      </w:r>
      <w:r w:rsidRPr="00220762">
        <w:rPr>
          <w:rFonts w:ascii="Arial" w:hAnsi="Arial" w:cs="Arial"/>
          <w:highlight w:val="yellow"/>
        </w:rPr>
        <w:t>In line with these findings, Kuala Lumpur, Ipoh, and Penang cities strongly influenced</w:t>
      </w:r>
      <w:r w:rsidRPr="001138E9">
        <w:rPr>
          <w:rFonts w:ascii="Arial" w:hAnsi="Arial" w:cs="Arial"/>
        </w:rPr>
        <w:t xml:space="preserve"> by granitic geology and showing high and spatially variable TGR</w:t>
      </w:r>
      <w:r>
        <w:rPr>
          <w:rFonts w:ascii="Arial" w:hAnsi="Arial" w:cs="Arial"/>
        </w:rPr>
        <w:t xml:space="preserve">, thus </w:t>
      </w:r>
      <w:r w:rsidRPr="001138E9">
        <w:rPr>
          <w:rFonts w:ascii="Arial" w:hAnsi="Arial" w:cs="Arial"/>
        </w:rPr>
        <w:t>are highlighted as priority areas for future public radiological monitoring. Continued surveillance is recommended, particularly in rapidly developing zones where construction activities and surface modification may shift radiation baselines over relatively short timeframes.</w:t>
      </w:r>
    </w:p>
    <w:p w14:paraId="64C25A55" w14:textId="77777777" w:rsidR="00F46917" w:rsidRPr="00FB3A86" w:rsidRDefault="00F46917" w:rsidP="00F46917">
      <w:pPr>
        <w:pStyle w:val="Body"/>
        <w:spacing w:after="0"/>
        <w:rPr>
          <w:rFonts w:ascii="Arial" w:hAnsi="Arial" w:cs="Arial"/>
        </w:rPr>
      </w:pPr>
    </w:p>
    <w:p w14:paraId="0157F642" w14:textId="77777777" w:rsidR="003B7AC9" w:rsidRPr="00627279" w:rsidRDefault="003B7AC9" w:rsidP="002F31BD">
      <w:pPr>
        <w:pStyle w:val="ReferHead"/>
        <w:spacing w:after="0"/>
        <w:jc w:val="both"/>
        <w:rPr>
          <w:rFonts w:ascii="Arial" w:hAnsi="Arial" w:cs="Arial"/>
          <w:b w:val="0"/>
          <w:caps w:val="0"/>
          <w:szCs w:val="22"/>
        </w:rPr>
      </w:pPr>
    </w:p>
    <w:p w14:paraId="37CA0E2E" w14:textId="77777777" w:rsidR="005C784C" w:rsidRPr="00627279" w:rsidRDefault="005C784C" w:rsidP="00441B6F">
      <w:pPr>
        <w:pStyle w:val="ReferHead"/>
        <w:spacing w:after="0"/>
        <w:jc w:val="both"/>
        <w:rPr>
          <w:rFonts w:ascii="Arial" w:hAnsi="Arial" w:cs="Arial"/>
          <w:b w:val="0"/>
          <w:caps w:val="0"/>
          <w:szCs w:val="22"/>
        </w:rPr>
      </w:pPr>
    </w:p>
    <w:p w14:paraId="5D8ED1DA" w14:textId="2330260F" w:rsidR="005C784C" w:rsidRPr="00627279" w:rsidRDefault="003B7AC9" w:rsidP="00441B6F">
      <w:pPr>
        <w:pStyle w:val="ReferHead"/>
        <w:spacing w:after="0"/>
        <w:jc w:val="both"/>
        <w:rPr>
          <w:rFonts w:ascii="Arial" w:hAnsi="Arial" w:cs="Arial"/>
          <w:bCs/>
          <w:szCs w:val="22"/>
        </w:rPr>
      </w:pPr>
      <w:r w:rsidRPr="00627279">
        <w:rPr>
          <w:rFonts w:ascii="Arial" w:hAnsi="Arial" w:cs="Arial"/>
          <w:bCs/>
          <w:szCs w:val="22"/>
        </w:rPr>
        <w:t>DISCLAIMER (ARTIFICIAL INTELLIGENCE)</w:t>
      </w:r>
    </w:p>
    <w:p w14:paraId="545C2A1F" w14:textId="77777777" w:rsidR="00790ADA" w:rsidRPr="00627279" w:rsidRDefault="00790ADA" w:rsidP="00441B6F">
      <w:pPr>
        <w:pStyle w:val="ReferHead"/>
        <w:spacing w:after="0"/>
        <w:jc w:val="both"/>
        <w:rPr>
          <w:rFonts w:ascii="Arial" w:hAnsi="Arial" w:cs="Arial"/>
          <w:szCs w:val="22"/>
        </w:rPr>
      </w:pPr>
    </w:p>
    <w:p w14:paraId="00646530" w14:textId="432EE6A5" w:rsidR="00790ADA" w:rsidRPr="00627279" w:rsidRDefault="003B7AC9" w:rsidP="003B7AC9">
      <w:pPr>
        <w:pStyle w:val="Body"/>
        <w:rPr>
          <w:rFonts w:ascii="Arial" w:hAnsi="Arial" w:cs="Arial"/>
          <w:sz w:val="22"/>
          <w:szCs w:val="22"/>
        </w:rPr>
      </w:pPr>
      <w:r w:rsidRPr="00627279">
        <w:rPr>
          <w:rFonts w:ascii="Arial" w:hAnsi="Arial" w:cs="Arial"/>
          <w:sz w:val="22"/>
          <w:szCs w:val="22"/>
        </w:rPr>
        <w:t>Author(s) hereby declare that NO generative AI technologies such as Large Language Models (</w:t>
      </w:r>
      <w:proofErr w:type="spellStart"/>
      <w:r w:rsidRPr="00627279">
        <w:rPr>
          <w:rFonts w:ascii="Arial" w:hAnsi="Arial" w:cs="Arial"/>
          <w:sz w:val="22"/>
          <w:szCs w:val="22"/>
        </w:rPr>
        <w:t>ChatGPT</w:t>
      </w:r>
      <w:proofErr w:type="spellEnd"/>
      <w:r w:rsidRPr="00627279">
        <w:rPr>
          <w:rFonts w:ascii="Arial" w:hAnsi="Arial" w:cs="Arial"/>
          <w:sz w:val="22"/>
          <w:szCs w:val="22"/>
        </w:rPr>
        <w:t>, COPILOT, etc) and text-to-image generators have been used during writing or editing of this manuscript.</w:t>
      </w:r>
    </w:p>
    <w:p w14:paraId="58B5DA1D" w14:textId="77777777" w:rsidR="00790ADA" w:rsidRDefault="00790ADA" w:rsidP="00441B6F">
      <w:pPr>
        <w:pStyle w:val="Body"/>
        <w:spacing w:after="0"/>
        <w:rPr>
          <w:rFonts w:ascii="Arial" w:hAnsi="Arial" w:cs="Arial"/>
        </w:rPr>
      </w:pPr>
    </w:p>
    <w:p w14:paraId="537D6EF0" w14:textId="1CD44417" w:rsidR="008B459E" w:rsidRPr="00683F5C" w:rsidRDefault="002F31BD" w:rsidP="00683F5C">
      <w:pPr>
        <w:pStyle w:val="Body"/>
        <w:spacing w:after="0"/>
        <w:rPr>
          <w:rFonts w:ascii="Arial" w:hAnsi="Arial" w:cs="Arial"/>
          <w:sz w:val="22"/>
          <w:szCs w:val="22"/>
        </w:rPr>
      </w:pPr>
      <w:r>
        <w:rPr>
          <w:rFonts w:ascii="Arial" w:hAnsi="Arial" w:cs="Arial"/>
          <w:b/>
        </w:rPr>
        <w:t>REFERENCE</w:t>
      </w:r>
    </w:p>
    <w:p w14:paraId="0CF00179" w14:textId="55447920" w:rsidR="00683F5C" w:rsidRPr="00683F5C" w:rsidRDefault="009746FA" w:rsidP="009746FA">
      <w:pPr>
        <w:pStyle w:val="NormalWeb"/>
        <w:numPr>
          <w:ilvl w:val="0"/>
          <w:numId w:val="31"/>
        </w:numPr>
        <w:jc w:val="both"/>
        <w:rPr>
          <w:rFonts w:ascii="Arial" w:hAnsi="Arial" w:cs="Arial"/>
          <w:sz w:val="22"/>
          <w:szCs w:val="22"/>
        </w:rPr>
      </w:pPr>
      <w:proofErr w:type="spellStart"/>
      <w:r w:rsidRPr="009746FA">
        <w:rPr>
          <w:rFonts w:ascii="Arial" w:hAnsi="Arial" w:cs="Arial"/>
          <w:sz w:val="22"/>
          <w:szCs w:val="22"/>
        </w:rPr>
        <w:lastRenderedPageBreak/>
        <w:t>Aissa</w:t>
      </w:r>
      <w:proofErr w:type="spellEnd"/>
      <w:r w:rsidRPr="009746FA">
        <w:rPr>
          <w:rFonts w:ascii="Arial" w:hAnsi="Arial" w:cs="Arial"/>
          <w:sz w:val="22"/>
          <w:szCs w:val="22"/>
        </w:rPr>
        <w:t xml:space="preserve">, M., &amp; </w:t>
      </w:r>
      <w:proofErr w:type="spellStart"/>
      <w:r w:rsidRPr="009746FA">
        <w:rPr>
          <w:rFonts w:ascii="Arial" w:hAnsi="Arial" w:cs="Arial"/>
          <w:sz w:val="22"/>
          <w:szCs w:val="22"/>
        </w:rPr>
        <w:t>Jubeli</w:t>
      </w:r>
      <w:proofErr w:type="spellEnd"/>
      <w:r w:rsidRPr="009746FA">
        <w:rPr>
          <w:rFonts w:ascii="Arial" w:hAnsi="Arial" w:cs="Arial"/>
          <w:sz w:val="22"/>
          <w:szCs w:val="22"/>
        </w:rPr>
        <w:t xml:space="preserve">, Y. M. (1997). </w:t>
      </w:r>
      <w:proofErr w:type="spellStart"/>
      <w:r w:rsidRPr="009746FA">
        <w:rPr>
          <w:rFonts w:ascii="Arial" w:hAnsi="Arial" w:cs="Arial"/>
          <w:sz w:val="22"/>
          <w:szCs w:val="22"/>
        </w:rPr>
        <w:t>Carborne</w:t>
      </w:r>
      <w:proofErr w:type="spellEnd"/>
      <w:r w:rsidRPr="009746FA">
        <w:rPr>
          <w:rFonts w:ascii="Arial" w:hAnsi="Arial" w:cs="Arial"/>
          <w:sz w:val="22"/>
          <w:szCs w:val="22"/>
        </w:rPr>
        <w:t xml:space="preserve"> gamma-ray spectrometric survey of an area east of Homs, central Syria. Applied Radiation and Isotopes, 48(1), 135–142. </w:t>
      </w:r>
      <w:hyperlink r:id="rId19" w:history="1">
        <w:r w:rsidRPr="00AF4744">
          <w:rPr>
            <w:rStyle w:val="Hyperlink"/>
            <w:rFonts w:ascii="Arial" w:hAnsi="Arial" w:cs="Arial"/>
            <w:sz w:val="22"/>
            <w:szCs w:val="22"/>
          </w:rPr>
          <w:t>https://doi.org/10.1016/S0969-8043(96)00064-4</w:t>
        </w:r>
      </w:hyperlink>
      <w:r>
        <w:rPr>
          <w:rFonts w:ascii="Arial" w:hAnsi="Arial" w:cs="Arial"/>
          <w:sz w:val="22"/>
          <w:szCs w:val="22"/>
        </w:rPr>
        <w:t xml:space="preserve"> </w:t>
      </w:r>
      <w:r w:rsidR="00683F5C" w:rsidRPr="00683F5C">
        <w:rPr>
          <w:rFonts w:ascii="Arial" w:hAnsi="Arial" w:cs="Arial"/>
          <w:sz w:val="22"/>
          <w:szCs w:val="22"/>
        </w:rPr>
        <w:t>.</w:t>
      </w:r>
    </w:p>
    <w:p w14:paraId="6E754802" w14:textId="7E468385" w:rsidR="00683F5C" w:rsidRPr="00683F5C" w:rsidRDefault="009746FA" w:rsidP="009746FA">
      <w:pPr>
        <w:pStyle w:val="NormalWeb"/>
        <w:numPr>
          <w:ilvl w:val="0"/>
          <w:numId w:val="31"/>
        </w:numPr>
        <w:jc w:val="both"/>
        <w:rPr>
          <w:rFonts w:ascii="Arial" w:hAnsi="Arial" w:cs="Arial"/>
          <w:sz w:val="22"/>
          <w:szCs w:val="22"/>
        </w:rPr>
      </w:pPr>
      <w:r w:rsidRPr="009746FA">
        <w:rPr>
          <w:rFonts w:ascii="Arial" w:hAnsi="Arial" w:cs="Arial"/>
          <w:sz w:val="22"/>
          <w:szCs w:val="22"/>
        </w:rPr>
        <w:t xml:space="preserve">Murakami, H., &amp; Takahashi, F. (Eds.). (1995). Proceedings of the IAEA/RCA Workshop on Calibration of Dosimeters &amp; Survey Instruments for Photons. Japan Atomic Energy Research Institute. </w:t>
      </w:r>
      <w:hyperlink r:id="rId20" w:history="1">
        <w:r w:rsidRPr="00AF4744">
          <w:rPr>
            <w:rStyle w:val="Hyperlink"/>
            <w:rFonts w:ascii="Arial" w:hAnsi="Arial" w:cs="Arial"/>
            <w:sz w:val="22"/>
            <w:szCs w:val="22"/>
          </w:rPr>
          <w:t>https://www.inis.iaea.org/search/search.aspx?orig_q=RN:28002052</w:t>
        </w:r>
      </w:hyperlink>
      <w:r w:rsidR="00DB6DED">
        <w:rPr>
          <w:rFonts w:ascii="Arial" w:hAnsi="Arial" w:cs="Arial"/>
          <w:sz w:val="22"/>
          <w:szCs w:val="22"/>
        </w:rPr>
        <w:t xml:space="preserve">. </w:t>
      </w:r>
      <w:r w:rsidR="008C40F0" w:rsidRPr="00DB6DED">
        <w:rPr>
          <w:rFonts w:ascii="Arial" w:hAnsi="Arial" w:cs="Arial"/>
          <w:i/>
          <w:iCs/>
          <w:sz w:val="22"/>
          <w:szCs w:val="22"/>
        </w:rPr>
        <w:t>Accessed on 1 December 2025</w:t>
      </w:r>
      <w:r w:rsidR="008C40F0">
        <w:rPr>
          <w:rFonts w:ascii="Arial" w:hAnsi="Arial" w:cs="Arial"/>
          <w:sz w:val="22"/>
          <w:szCs w:val="22"/>
        </w:rPr>
        <w:t>.</w:t>
      </w:r>
    </w:p>
    <w:p w14:paraId="245878C1" w14:textId="25CB9769" w:rsidR="00683F5C" w:rsidRPr="00DB6DED" w:rsidRDefault="009746FA" w:rsidP="009746FA">
      <w:pPr>
        <w:pStyle w:val="NormalWeb"/>
        <w:numPr>
          <w:ilvl w:val="0"/>
          <w:numId w:val="31"/>
        </w:numPr>
        <w:jc w:val="both"/>
        <w:rPr>
          <w:rFonts w:ascii="Arial" w:hAnsi="Arial" w:cs="Arial"/>
          <w:sz w:val="22"/>
          <w:szCs w:val="22"/>
        </w:rPr>
      </w:pPr>
      <w:proofErr w:type="spellStart"/>
      <w:r w:rsidRPr="009746FA">
        <w:rPr>
          <w:rFonts w:ascii="Arial" w:hAnsi="Arial" w:cs="Arial"/>
          <w:sz w:val="22"/>
          <w:szCs w:val="22"/>
        </w:rPr>
        <w:t>Atomtex</w:t>
      </w:r>
      <w:proofErr w:type="spellEnd"/>
      <w:r w:rsidRPr="009746FA">
        <w:rPr>
          <w:rFonts w:ascii="Arial" w:hAnsi="Arial" w:cs="Arial"/>
          <w:sz w:val="22"/>
          <w:szCs w:val="22"/>
        </w:rPr>
        <w:t xml:space="preserve">. (2025). Portable spectrometers AT6101C/AT6101CM. </w:t>
      </w:r>
      <w:hyperlink r:id="rId21" w:history="1">
        <w:r w:rsidRPr="00AF4744">
          <w:rPr>
            <w:rStyle w:val="Hyperlink"/>
            <w:rFonts w:ascii="Arial" w:hAnsi="Arial" w:cs="Arial"/>
            <w:sz w:val="22"/>
            <w:szCs w:val="22"/>
          </w:rPr>
          <w:t>https://atomtex.com</w:t>
        </w:r>
      </w:hyperlink>
      <w:r w:rsidR="00DB6DED">
        <w:rPr>
          <w:rFonts w:ascii="Arial" w:hAnsi="Arial" w:cs="Arial"/>
          <w:sz w:val="22"/>
          <w:szCs w:val="22"/>
        </w:rPr>
        <w:t xml:space="preserve">. </w:t>
      </w:r>
      <w:r w:rsidR="00DB6DED" w:rsidRPr="00DB6DED">
        <w:rPr>
          <w:rFonts w:ascii="Arial" w:hAnsi="Arial" w:cs="Arial"/>
          <w:i/>
          <w:iCs/>
          <w:sz w:val="22"/>
          <w:szCs w:val="22"/>
        </w:rPr>
        <w:t xml:space="preserve">Accessed on </w:t>
      </w:r>
      <w:r w:rsidR="00DB6DED">
        <w:rPr>
          <w:rFonts w:ascii="Arial" w:hAnsi="Arial" w:cs="Arial"/>
          <w:i/>
          <w:iCs/>
          <w:sz w:val="22"/>
          <w:szCs w:val="22"/>
        </w:rPr>
        <w:t>28</w:t>
      </w:r>
      <w:r w:rsidR="00DB6DED" w:rsidRPr="00DB6DED">
        <w:rPr>
          <w:rFonts w:ascii="Arial" w:hAnsi="Arial" w:cs="Arial"/>
          <w:i/>
          <w:iCs/>
          <w:sz w:val="22"/>
          <w:szCs w:val="22"/>
        </w:rPr>
        <w:t xml:space="preserve"> </w:t>
      </w:r>
      <w:r w:rsidR="00DB6DED">
        <w:rPr>
          <w:rFonts w:ascii="Arial" w:hAnsi="Arial" w:cs="Arial"/>
          <w:i/>
          <w:iCs/>
          <w:sz w:val="22"/>
          <w:szCs w:val="22"/>
        </w:rPr>
        <w:t>November</w:t>
      </w:r>
      <w:r w:rsidR="00DB6DED" w:rsidRPr="00DB6DED">
        <w:rPr>
          <w:rFonts w:ascii="Arial" w:hAnsi="Arial" w:cs="Arial"/>
          <w:i/>
          <w:iCs/>
          <w:sz w:val="22"/>
          <w:szCs w:val="22"/>
        </w:rPr>
        <w:t>2025</w:t>
      </w:r>
      <w:r w:rsidR="00DB6DED">
        <w:rPr>
          <w:rFonts w:ascii="Arial" w:hAnsi="Arial" w:cs="Arial"/>
          <w:sz w:val="22"/>
          <w:szCs w:val="22"/>
        </w:rPr>
        <w:t>.</w:t>
      </w:r>
    </w:p>
    <w:p w14:paraId="711D39AF" w14:textId="03758755" w:rsidR="00683F5C" w:rsidRPr="00683F5C" w:rsidRDefault="00B626E8" w:rsidP="00B626E8">
      <w:pPr>
        <w:pStyle w:val="NormalWeb"/>
        <w:numPr>
          <w:ilvl w:val="0"/>
          <w:numId w:val="31"/>
        </w:numPr>
        <w:jc w:val="both"/>
        <w:rPr>
          <w:rFonts w:ascii="Arial" w:hAnsi="Arial" w:cs="Arial"/>
          <w:sz w:val="22"/>
          <w:szCs w:val="22"/>
        </w:rPr>
      </w:pPr>
      <w:r w:rsidRPr="00B626E8">
        <w:rPr>
          <w:rFonts w:ascii="Arial" w:hAnsi="Arial" w:cs="Arial"/>
          <w:sz w:val="22"/>
          <w:szCs w:val="22"/>
        </w:rPr>
        <w:t xml:space="preserve">Baha, A., Hashim, S., Sanusi, M. S. M., &amp; Engku </w:t>
      </w:r>
      <w:proofErr w:type="spellStart"/>
      <w:r w:rsidRPr="00B626E8">
        <w:rPr>
          <w:rFonts w:ascii="Arial" w:hAnsi="Arial" w:cs="Arial"/>
          <w:sz w:val="22"/>
          <w:szCs w:val="22"/>
        </w:rPr>
        <w:t>Chik</w:t>
      </w:r>
      <w:proofErr w:type="spellEnd"/>
      <w:r w:rsidRPr="00B626E8">
        <w:rPr>
          <w:rFonts w:ascii="Arial" w:hAnsi="Arial" w:cs="Arial"/>
          <w:sz w:val="22"/>
          <w:szCs w:val="22"/>
        </w:rPr>
        <w:t xml:space="preserve">, E. M. F. (2025). Radiological impact of natural radioactivity in Malaysian building bricks. Radiation Physics and Chemistry. </w:t>
      </w:r>
      <w:hyperlink r:id="rId22" w:history="1">
        <w:r w:rsidRPr="00AF4744">
          <w:rPr>
            <w:rStyle w:val="Hyperlink"/>
            <w:rFonts w:ascii="Arial" w:hAnsi="Arial" w:cs="Arial"/>
            <w:sz w:val="22"/>
            <w:szCs w:val="22"/>
          </w:rPr>
          <w:t>https://doi.org/10.1016/j.radphyschem.2025.113159</w:t>
        </w:r>
      </w:hyperlink>
      <w:r>
        <w:rPr>
          <w:rFonts w:ascii="Arial" w:hAnsi="Arial" w:cs="Arial"/>
          <w:sz w:val="22"/>
          <w:szCs w:val="22"/>
        </w:rPr>
        <w:t xml:space="preserve"> </w:t>
      </w:r>
    </w:p>
    <w:p w14:paraId="093AE9E9" w14:textId="296EC357" w:rsidR="00683F5C" w:rsidRPr="00683F5C" w:rsidRDefault="00F53226" w:rsidP="00F53226">
      <w:pPr>
        <w:pStyle w:val="NormalWeb"/>
        <w:numPr>
          <w:ilvl w:val="0"/>
          <w:numId w:val="31"/>
        </w:numPr>
        <w:jc w:val="both"/>
        <w:rPr>
          <w:rFonts w:ascii="Arial" w:hAnsi="Arial" w:cs="Arial"/>
          <w:sz w:val="22"/>
          <w:szCs w:val="22"/>
        </w:rPr>
      </w:pPr>
      <w:r w:rsidRPr="00F53226">
        <w:rPr>
          <w:rFonts w:ascii="Arial" w:hAnsi="Arial" w:cs="Arial"/>
          <w:sz w:val="22"/>
          <w:szCs w:val="22"/>
        </w:rPr>
        <w:t xml:space="preserve">National Research Council. (2006). Health Risks from Exposure to Low Levels of Ionizing Radiation: BEIR VII Phase 2. The National Academies Press. </w:t>
      </w:r>
      <w:hyperlink r:id="rId23" w:history="1">
        <w:r w:rsidRPr="00AF4744">
          <w:rPr>
            <w:rStyle w:val="Hyperlink"/>
            <w:rFonts w:ascii="Arial" w:hAnsi="Arial" w:cs="Arial"/>
            <w:sz w:val="22"/>
            <w:szCs w:val="22"/>
          </w:rPr>
          <w:t>https://doi.org/10.17226/11340</w:t>
        </w:r>
      </w:hyperlink>
      <w:r>
        <w:rPr>
          <w:rFonts w:ascii="Arial" w:hAnsi="Arial" w:cs="Arial"/>
          <w:sz w:val="22"/>
          <w:szCs w:val="22"/>
        </w:rPr>
        <w:t xml:space="preserve"> </w:t>
      </w:r>
      <w:r w:rsidR="00683F5C" w:rsidRPr="00683F5C">
        <w:rPr>
          <w:rFonts w:ascii="Arial" w:hAnsi="Arial" w:cs="Arial"/>
          <w:sz w:val="22"/>
          <w:szCs w:val="22"/>
        </w:rPr>
        <w:t>.</w:t>
      </w:r>
    </w:p>
    <w:p w14:paraId="342C4286" w14:textId="04960241" w:rsidR="00683F5C" w:rsidRPr="00683F5C" w:rsidRDefault="00C03E1B" w:rsidP="00C03E1B">
      <w:pPr>
        <w:pStyle w:val="NormalWeb"/>
        <w:numPr>
          <w:ilvl w:val="0"/>
          <w:numId w:val="31"/>
        </w:numPr>
        <w:jc w:val="both"/>
        <w:rPr>
          <w:rFonts w:ascii="Arial" w:hAnsi="Arial" w:cs="Arial"/>
          <w:sz w:val="22"/>
          <w:szCs w:val="22"/>
        </w:rPr>
      </w:pPr>
      <w:r w:rsidRPr="00C03E1B">
        <w:rPr>
          <w:rFonts w:ascii="Arial" w:hAnsi="Arial" w:cs="Arial"/>
          <w:sz w:val="22"/>
          <w:szCs w:val="22"/>
        </w:rPr>
        <w:t>Spiers, F. W., Gibson, J. A. B., &amp; Thompson, I. M. G. (1981). A guide to the measurement of environmental gamma-ray dose rate. British Committee on Radiation Units and Measurements, National Physical Laboratory.</w:t>
      </w:r>
    </w:p>
    <w:p w14:paraId="2100CEF8" w14:textId="1DE945B3" w:rsidR="00683F5C" w:rsidRPr="00683F5C" w:rsidRDefault="00A404DB" w:rsidP="00A404DB">
      <w:pPr>
        <w:pStyle w:val="NormalWeb"/>
        <w:numPr>
          <w:ilvl w:val="0"/>
          <w:numId w:val="31"/>
        </w:numPr>
        <w:jc w:val="both"/>
        <w:rPr>
          <w:rFonts w:ascii="Arial" w:hAnsi="Arial" w:cs="Arial"/>
          <w:sz w:val="22"/>
          <w:szCs w:val="22"/>
        </w:rPr>
      </w:pPr>
      <w:proofErr w:type="spellStart"/>
      <w:r w:rsidRPr="00A404DB">
        <w:rPr>
          <w:rFonts w:ascii="Arial" w:hAnsi="Arial" w:cs="Arial"/>
          <w:sz w:val="22"/>
          <w:szCs w:val="22"/>
        </w:rPr>
        <w:t>Bituh</w:t>
      </w:r>
      <w:proofErr w:type="spellEnd"/>
      <w:r w:rsidRPr="00A404DB">
        <w:rPr>
          <w:rFonts w:ascii="Arial" w:hAnsi="Arial" w:cs="Arial"/>
          <w:sz w:val="22"/>
          <w:szCs w:val="22"/>
        </w:rPr>
        <w:t xml:space="preserve">, T., </w:t>
      </w:r>
      <w:proofErr w:type="spellStart"/>
      <w:r w:rsidRPr="00A404DB">
        <w:rPr>
          <w:rFonts w:ascii="Arial" w:hAnsi="Arial" w:cs="Arial"/>
          <w:sz w:val="22"/>
          <w:szCs w:val="22"/>
        </w:rPr>
        <w:t>Marovic</w:t>
      </w:r>
      <w:proofErr w:type="spellEnd"/>
      <w:r w:rsidRPr="00A404DB">
        <w:rPr>
          <w:rFonts w:ascii="Arial" w:hAnsi="Arial" w:cs="Arial"/>
          <w:sz w:val="22"/>
          <w:szCs w:val="22"/>
        </w:rPr>
        <w:t xml:space="preserve">, G., </w:t>
      </w:r>
      <w:proofErr w:type="spellStart"/>
      <w:r w:rsidRPr="00A404DB">
        <w:rPr>
          <w:rFonts w:ascii="Arial" w:hAnsi="Arial" w:cs="Arial"/>
          <w:sz w:val="22"/>
          <w:szCs w:val="22"/>
        </w:rPr>
        <w:t>Petrinec</w:t>
      </w:r>
      <w:proofErr w:type="spellEnd"/>
      <w:r w:rsidRPr="00A404DB">
        <w:rPr>
          <w:rFonts w:ascii="Arial" w:hAnsi="Arial" w:cs="Arial"/>
          <w:sz w:val="22"/>
          <w:szCs w:val="22"/>
        </w:rPr>
        <w:t xml:space="preserve">, B., </w:t>
      </w:r>
      <w:proofErr w:type="spellStart"/>
      <w:r w:rsidRPr="00A404DB">
        <w:rPr>
          <w:rFonts w:ascii="Arial" w:hAnsi="Arial" w:cs="Arial"/>
          <w:sz w:val="22"/>
          <w:szCs w:val="22"/>
        </w:rPr>
        <w:t>Sencar</w:t>
      </w:r>
      <w:proofErr w:type="spellEnd"/>
      <w:r w:rsidRPr="00A404DB">
        <w:rPr>
          <w:rFonts w:ascii="Arial" w:hAnsi="Arial" w:cs="Arial"/>
          <w:sz w:val="22"/>
          <w:szCs w:val="22"/>
        </w:rPr>
        <w:t xml:space="preserve">, J., &amp; </w:t>
      </w:r>
      <w:proofErr w:type="spellStart"/>
      <w:r w:rsidRPr="00A404DB">
        <w:rPr>
          <w:rFonts w:ascii="Arial" w:hAnsi="Arial" w:cs="Arial"/>
          <w:sz w:val="22"/>
          <w:szCs w:val="22"/>
        </w:rPr>
        <w:t>Franulovic</w:t>
      </w:r>
      <w:proofErr w:type="spellEnd"/>
      <w:r w:rsidRPr="00A404DB">
        <w:rPr>
          <w:rFonts w:ascii="Arial" w:hAnsi="Arial" w:cs="Arial"/>
          <w:sz w:val="22"/>
          <w:szCs w:val="22"/>
        </w:rPr>
        <w:t xml:space="preserve">, I. (2009). Natural radioactivity of 226Ra and 228Ra in thermal and mineral waters in Croatia. Radiation Protection Dosimetry, 133(2), 119–123. </w:t>
      </w:r>
      <w:hyperlink r:id="rId24" w:history="1">
        <w:r w:rsidRPr="00AF4744">
          <w:rPr>
            <w:rStyle w:val="Hyperlink"/>
            <w:rFonts w:ascii="Arial" w:hAnsi="Arial" w:cs="Arial"/>
            <w:sz w:val="22"/>
            <w:szCs w:val="22"/>
          </w:rPr>
          <w:t>https://doi.org/10.1093/rpd/ncp033</w:t>
        </w:r>
      </w:hyperlink>
      <w:r>
        <w:rPr>
          <w:rFonts w:ascii="Arial" w:hAnsi="Arial" w:cs="Arial"/>
          <w:sz w:val="22"/>
          <w:szCs w:val="22"/>
        </w:rPr>
        <w:t xml:space="preserve"> </w:t>
      </w:r>
      <w:r w:rsidR="00683F5C" w:rsidRPr="00683F5C">
        <w:rPr>
          <w:rFonts w:ascii="Arial" w:hAnsi="Arial" w:cs="Arial"/>
          <w:sz w:val="22"/>
          <w:szCs w:val="22"/>
        </w:rPr>
        <w:t>.</w:t>
      </w:r>
    </w:p>
    <w:p w14:paraId="3710D417" w14:textId="160E3E40" w:rsidR="00683F5C" w:rsidRPr="00683F5C" w:rsidRDefault="004F3695" w:rsidP="004F3695">
      <w:pPr>
        <w:pStyle w:val="NormalWeb"/>
        <w:numPr>
          <w:ilvl w:val="0"/>
          <w:numId w:val="31"/>
        </w:numPr>
        <w:jc w:val="both"/>
        <w:rPr>
          <w:rFonts w:ascii="Arial" w:hAnsi="Arial" w:cs="Arial"/>
          <w:sz w:val="22"/>
          <w:szCs w:val="22"/>
        </w:rPr>
      </w:pPr>
      <w:proofErr w:type="spellStart"/>
      <w:r w:rsidRPr="004F3695">
        <w:rPr>
          <w:rFonts w:ascii="Arial" w:hAnsi="Arial" w:cs="Arial"/>
          <w:sz w:val="22"/>
          <w:szCs w:val="22"/>
        </w:rPr>
        <w:t>Buchli</w:t>
      </w:r>
      <w:proofErr w:type="spellEnd"/>
      <w:r w:rsidRPr="004F3695">
        <w:rPr>
          <w:rFonts w:ascii="Arial" w:hAnsi="Arial" w:cs="Arial"/>
          <w:sz w:val="22"/>
          <w:szCs w:val="22"/>
        </w:rPr>
        <w:t xml:space="preserve">, R., &amp; Burkart, W. (1989). Correlation among terrestrial γ radiation, indoor air ^222Rn, and tap water ^222Rn in Switzerland. Health Physics, 57(5), 753–759. </w:t>
      </w:r>
      <w:hyperlink r:id="rId25" w:history="1">
        <w:r w:rsidRPr="00AF4744">
          <w:rPr>
            <w:rStyle w:val="Hyperlink"/>
            <w:rFonts w:ascii="Arial" w:hAnsi="Arial" w:cs="Arial"/>
            <w:sz w:val="22"/>
            <w:szCs w:val="22"/>
          </w:rPr>
          <w:t>https://doi.org/10.1097/00004032-198911000-00008</w:t>
        </w:r>
      </w:hyperlink>
      <w:r>
        <w:rPr>
          <w:rFonts w:ascii="Arial" w:hAnsi="Arial" w:cs="Arial"/>
          <w:sz w:val="22"/>
          <w:szCs w:val="22"/>
        </w:rPr>
        <w:t xml:space="preserve"> </w:t>
      </w:r>
      <w:r w:rsidR="00683F5C" w:rsidRPr="00683F5C">
        <w:rPr>
          <w:rFonts w:ascii="Arial" w:hAnsi="Arial" w:cs="Arial"/>
          <w:sz w:val="22"/>
          <w:szCs w:val="22"/>
        </w:rPr>
        <w:t>.</w:t>
      </w:r>
    </w:p>
    <w:p w14:paraId="1BA54196" w14:textId="3F8DA2FD" w:rsidR="00683F5C" w:rsidRPr="00683F5C" w:rsidRDefault="00BD5F48" w:rsidP="00BD5F48">
      <w:pPr>
        <w:pStyle w:val="NormalWeb"/>
        <w:numPr>
          <w:ilvl w:val="0"/>
          <w:numId w:val="31"/>
        </w:numPr>
        <w:jc w:val="both"/>
        <w:rPr>
          <w:rFonts w:ascii="Arial" w:hAnsi="Arial" w:cs="Arial"/>
          <w:sz w:val="22"/>
          <w:szCs w:val="22"/>
        </w:rPr>
      </w:pPr>
      <w:proofErr w:type="spellStart"/>
      <w:r w:rsidRPr="00BD5F48">
        <w:rPr>
          <w:rFonts w:ascii="Arial" w:hAnsi="Arial" w:cs="Arial"/>
          <w:sz w:val="22"/>
          <w:szCs w:val="22"/>
        </w:rPr>
        <w:t>Chernyavskiy</w:t>
      </w:r>
      <w:proofErr w:type="spellEnd"/>
      <w:r w:rsidRPr="00BD5F48">
        <w:rPr>
          <w:rFonts w:ascii="Arial" w:hAnsi="Arial" w:cs="Arial"/>
          <w:sz w:val="22"/>
          <w:szCs w:val="22"/>
        </w:rPr>
        <w:t xml:space="preserve">, P., Kendall, G. M., Wakeford, R., &amp; Little, M. P. (2016). Spatial prediction of naturally occurring gamma radiation in Great Britain. Journal of Environmental Radioactivity, 164, 300–311. </w:t>
      </w:r>
      <w:hyperlink r:id="rId26" w:history="1">
        <w:r w:rsidRPr="00AF4744">
          <w:rPr>
            <w:rStyle w:val="Hyperlink"/>
            <w:rFonts w:ascii="Arial" w:hAnsi="Arial" w:cs="Arial"/>
            <w:sz w:val="22"/>
            <w:szCs w:val="22"/>
          </w:rPr>
          <w:t>https://doi.org/10.1016/j.jenvrad.2016.07.029</w:t>
        </w:r>
      </w:hyperlink>
      <w:r>
        <w:rPr>
          <w:rFonts w:ascii="Arial" w:hAnsi="Arial" w:cs="Arial"/>
          <w:sz w:val="22"/>
          <w:szCs w:val="22"/>
        </w:rPr>
        <w:t xml:space="preserve"> </w:t>
      </w:r>
      <w:r w:rsidR="00683F5C" w:rsidRPr="00683F5C">
        <w:rPr>
          <w:rFonts w:ascii="Arial" w:hAnsi="Arial" w:cs="Arial"/>
          <w:sz w:val="22"/>
          <w:szCs w:val="22"/>
        </w:rPr>
        <w:t>.</w:t>
      </w:r>
    </w:p>
    <w:p w14:paraId="2DD1D90E"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Chong, C. S., &amp; Ahmad, G. U. (1982). Gamma activity of some building materials in West Malaysia. </w:t>
      </w:r>
      <w:r w:rsidRPr="00683F5C">
        <w:rPr>
          <w:rStyle w:val="Emphasis"/>
          <w:rFonts w:ascii="Arial" w:hAnsi="Arial" w:cs="Arial"/>
          <w:sz w:val="22"/>
          <w:szCs w:val="22"/>
        </w:rPr>
        <w:t>Health Physics</w:t>
      </w:r>
      <w:r w:rsidRPr="00683F5C">
        <w:rPr>
          <w:rFonts w:ascii="Arial" w:hAnsi="Arial" w:cs="Arial"/>
          <w:sz w:val="22"/>
          <w:szCs w:val="22"/>
        </w:rPr>
        <w:t>, 43(2), 272.</w:t>
      </w:r>
    </w:p>
    <w:p w14:paraId="6680C573" w14:textId="2E096F82" w:rsidR="00683F5C" w:rsidRPr="00683F5C" w:rsidRDefault="00732C34" w:rsidP="00732C34">
      <w:pPr>
        <w:pStyle w:val="NormalWeb"/>
        <w:numPr>
          <w:ilvl w:val="0"/>
          <w:numId w:val="31"/>
        </w:numPr>
        <w:jc w:val="both"/>
        <w:rPr>
          <w:rFonts w:ascii="Arial" w:hAnsi="Arial" w:cs="Arial"/>
          <w:sz w:val="22"/>
          <w:szCs w:val="22"/>
        </w:rPr>
      </w:pPr>
      <w:r w:rsidRPr="00732C34">
        <w:rPr>
          <w:rFonts w:ascii="Arial" w:hAnsi="Arial" w:cs="Arial"/>
          <w:sz w:val="22"/>
          <w:szCs w:val="22"/>
        </w:rPr>
        <w:t xml:space="preserve">Cinelli, G., </w:t>
      </w:r>
      <w:proofErr w:type="spellStart"/>
      <w:r w:rsidRPr="00732C34">
        <w:rPr>
          <w:rFonts w:ascii="Arial" w:hAnsi="Arial" w:cs="Arial"/>
          <w:sz w:val="22"/>
          <w:szCs w:val="22"/>
        </w:rPr>
        <w:t>Tollefsen</w:t>
      </w:r>
      <w:proofErr w:type="spellEnd"/>
      <w:r w:rsidRPr="00732C34">
        <w:rPr>
          <w:rFonts w:ascii="Arial" w:hAnsi="Arial" w:cs="Arial"/>
          <w:sz w:val="22"/>
          <w:szCs w:val="22"/>
        </w:rPr>
        <w:t xml:space="preserve">, T., </w:t>
      </w:r>
      <w:proofErr w:type="spellStart"/>
      <w:r w:rsidRPr="00732C34">
        <w:rPr>
          <w:rFonts w:ascii="Arial" w:hAnsi="Arial" w:cs="Arial"/>
          <w:sz w:val="22"/>
          <w:szCs w:val="22"/>
        </w:rPr>
        <w:t>Bossew</w:t>
      </w:r>
      <w:proofErr w:type="spellEnd"/>
      <w:r w:rsidRPr="00732C34">
        <w:rPr>
          <w:rFonts w:ascii="Arial" w:hAnsi="Arial" w:cs="Arial"/>
          <w:sz w:val="22"/>
          <w:szCs w:val="22"/>
        </w:rPr>
        <w:t xml:space="preserve">, P., Gruber, V., </w:t>
      </w:r>
      <w:proofErr w:type="spellStart"/>
      <w:r w:rsidRPr="00732C34">
        <w:rPr>
          <w:rFonts w:ascii="Arial" w:hAnsi="Arial" w:cs="Arial"/>
          <w:sz w:val="22"/>
          <w:szCs w:val="22"/>
        </w:rPr>
        <w:t>Bogucarskis</w:t>
      </w:r>
      <w:proofErr w:type="spellEnd"/>
      <w:r w:rsidRPr="00732C34">
        <w:rPr>
          <w:rFonts w:ascii="Arial" w:hAnsi="Arial" w:cs="Arial"/>
          <w:sz w:val="22"/>
          <w:szCs w:val="22"/>
        </w:rPr>
        <w:t xml:space="preserve">, K., De Felice, L., &amp; De </w:t>
      </w:r>
      <w:proofErr w:type="spellStart"/>
      <w:r w:rsidRPr="00732C34">
        <w:rPr>
          <w:rFonts w:ascii="Arial" w:hAnsi="Arial" w:cs="Arial"/>
          <w:sz w:val="22"/>
          <w:szCs w:val="22"/>
        </w:rPr>
        <w:t>Cort</w:t>
      </w:r>
      <w:proofErr w:type="spellEnd"/>
      <w:r w:rsidRPr="00732C34">
        <w:rPr>
          <w:rFonts w:ascii="Arial" w:hAnsi="Arial" w:cs="Arial"/>
          <w:sz w:val="22"/>
          <w:szCs w:val="22"/>
        </w:rPr>
        <w:t xml:space="preserve">, M. (2019). Digital version of the European Atlas of natural radiation. Journal of Environmental Radioactivity, 196, 240–252. </w:t>
      </w:r>
      <w:hyperlink r:id="rId27" w:history="1">
        <w:r w:rsidRPr="00AF4744">
          <w:rPr>
            <w:rStyle w:val="Hyperlink"/>
            <w:rFonts w:ascii="Arial" w:hAnsi="Arial" w:cs="Arial"/>
            <w:sz w:val="22"/>
            <w:szCs w:val="22"/>
          </w:rPr>
          <w:t>https://doi.org/10.1016/j.jenvrad.2018.02.008</w:t>
        </w:r>
      </w:hyperlink>
      <w:r>
        <w:rPr>
          <w:rFonts w:ascii="Arial" w:hAnsi="Arial" w:cs="Arial"/>
          <w:sz w:val="22"/>
          <w:szCs w:val="22"/>
        </w:rPr>
        <w:t xml:space="preserve"> </w:t>
      </w:r>
      <w:r w:rsidR="00683F5C" w:rsidRPr="00683F5C">
        <w:rPr>
          <w:rFonts w:ascii="Arial" w:hAnsi="Arial" w:cs="Arial"/>
          <w:sz w:val="22"/>
          <w:szCs w:val="22"/>
        </w:rPr>
        <w:t>.</w:t>
      </w:r>
    </w:p>
    <w:p w14:paraId="7523C509"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Department of Agriculture Malaysia. (2002). </w:t>
      </w:r>
      <w:r w:rsidRPr="00683F5C">
        <w:rPr>
          <w:rStyle w:val="Emphasis"/>
          <w:rFonts w:ascii="Arial" w:hAnsi="Arial" w:cs="Arial"/>
          <w:sz w:val="22"/>
          <w:szCs w:val="22"/>
        </w:rPr>
        <w:t>Map of Soil Types in Peninsular Malaysia</w:t>
      </w:r>
      <w:r w:rsidRPr="00683F5C">
        <w:rPr>
          <w:rFonts w:ascii="Arial" w:hAnsi="Arial" w:cs="Arial"/>
          <w:sz w:val="22"/>
          <w:szCs w:val="22"/>
        </w:rPr>
        <w:t>. Kuala Lumpur.</w:t>
      </w:r>
    </w:p>
    <w:p w14:paraId="784AD890" w14:textId="78A84A40" w:rsidR="00683F5C" w:rsidRPr="00683F5C" w:rsidRDefault="000156A6" w:rsidP="000156A6">
      <w:pPr>
        <w:pStyle w:val="NormalWeb"/>
        <w:numPr>
          <w:ilvl w:val="0"/>
          <w:numId w:val="31"/>
        </w:numPr>
        <w:jc w:val="both"/>
        <w:rPr>
          <w:rFonts w:ascii="Arial" w:hAnsi="Arial" w:cs="Arial"/>
          <w:sz w:val="22"/>
          <w:szCs w:val="22"/>
        </w:rPr>
      </w:pPr>
      <w:r w:rsidRPr="000156A6">
        <w:rPr>
          <w:rFonts w:ascii="Arial" w:hAnsi="Arial" w:cs="Arial"/>
          <w:sz w:val="22"/>
          <w:szCs w:val="22"/>
        </w:rPr>
        <w:t>Minerals and Geoscience Department Malaysia. (2004). *Geological Map of Peninsular Malaysia (8th Edition, Scale 1:</w:t>
      </w:r>
      <w:proofErr w:type="gramStart"/>
      <w:r w:rsidRPr="000156A6">
        <w:rPr>
          <w:rFonts w:ascii="Arial" w:hAnsi="Arial" w:cs="Arial"/>
          <w:sz w:val="22"/>
          <w:szCs w:val="22"/>
        </w:rPr>
        <w:t>750,000)*</w:t>
      </w:r>
      <w:proofErr w:type="gramEnd"/>
      <w:r w:rsidRPr="000156A6">
        <w:rPr>
          <w:rFonts w:ascii="Arial" w:hAnsi="Arial" w:cs="Arial"/>
          <w:sz w:val="22"/>
          <w:szCs w:val="22"/>
        </w:rPr>
        <w:t>.</w:t>
      </w:r>
    </w:p>
    <w:p w14:paraId="6A62F489" w14:textId="2D1E6B80" w:rsidR="00683F5C" w:rsidRPr="00683F5C" w:rsidRDefault="00D62089" w:rsidP="00D62089">
      <w:pPr>
        <w:pStyle w:val="NormalWeb"/>
        <w:numPr>
          <w:ilvl w:val="0"/>
          <w:numId w:val="31"/>
        </w:numPr>
        <w:jc w:val="both"/>
        <w:rPr>
          <w:rFonts w:ascii="Arial" w:hAnsi="Arial" w:cs="Arial"/>
          <w:sz w:val="22"/>
          <w:szCs w:val="22"/>
        </w:rPr>
      </w:pPr>
      <w:r w:rsidRPr="00D62089">
        <w:rPr>
          <w:rFonts w:ascii="Arial" w:hAnsi="Arial" w:cs="Arial"/>
          <w:sz w:val="22"/>
          <w:szCs w:val="22"/>
        </w:rPr>
        <w:t xml:space="preserve">El Samad, O., </w:t>
      </w:r>
      <w:proofErr w:type="spellStart"/>
      <w:r w:rsidRPr="00D62089">
        <w:rPr>
          <w:rFonts w:ascii="Arial" w:hAnsi="Arial" w:cs="Arial"/>
          <w:sz w:val="22"/>
          <w:szCs w:val="22"/>
        </w:rPr>
        <w:t>Baydoun</w:t>
      </w:r>
      <w:proofErr w:type="spellEnd"/>
      <w:r w:rsidRPr="00D62089">
        <w:rPr>
          <w:rFonts w:ascii="Arial" w:hAnsi="Arial" w:cs="Arial"/>
          <w:sz w:val="22"/>
          <w:szCs w:val="22"/>
        </w:rPr>
        <w:t xml:space="preserve">, R., </w:t>
      </w:r>
      <w:proofErr w:type="spellStart"/>
      <w:r w:rsidRPr="00D62089">
        <w:rPr>
          <w:rFonts w:ascii="Arial" w:hAnsi="Arial" w:cs="Arial"/>
          <w:sz w:val="22"/>
          <w:szCs w:val="22"/>
        </w:rPr>
        <w:t>Nsouli</w:t>
      </w:r>
      <w:proofErr w:type="spellEnd"/>
      <w:r w:rsidRPr="00D62089">
        <w:rPr>
          <w:rFonts w:ascii="Arial" w:hAnsi="Arial" w:cs="Arial"/>
          <w:sz w:val="22"/>
          <w:szCs w:val="22"/>
        </w:rPr>
        <w:t xml:space="preserve">, B., &amp; Darwish, T. (2013). Determination of natural and artificial radioactivity in soil at North Lebanon province. Journal of Environmental Radioactivity, 125, 36–39. </w:t>
      </w:r>
      <w:hyperlink r:id="rId28" w:history="1">
        <w:r w:rsidRPr="00AF4744">
          <w:rPr>
            <w:rStyle w:val="Hyperlink"/>
            <w:rFonts w:ascii="Arial" w:hAnsi="Arial" w:cs="Arial"/>
            <w:sz w:val="22"/>
            <w:szCs w:val="22"/>
          </w:rPr>
          <w:t>https://doi.org/10.1016/j.jenvrad.2013.02.010</w:t>
        </w:r>
      </w:hyperlink>
      <w:r>
        <w:rPr>
          <w:rFonts w:ascii="Arial" w:hAnsi="Arial" w:cs="Arial"/>
          <w:sz w:val="22"/>
          <w:szCs w:val="22"/>
        </w:rPr>
        <w:t xml:space="preserve"> </w:t>
      </w:r>
      <w:r w:rsidR="00683F5C" w:rsidRPr="00683F5C">
        <w:rPr>
          <w:rFonts w:ascii="Arial" w:hAnsi="Arial" w:cs="Arial"/>
          <w:sz w:val="22"/>
          <w:szCs w:val="22"/>
        </w:rPr>
        <w:t>.</w:t>
      </w:r>
    </w:p>
    <w:p w14:paraId="714C1F15" w14:textId="12A36002" w:rsidR="00683F5C" w:rsidRPr="00683F5C" w:rsidRDefault="00C753F0" w:rsidP="00C753F0">
      <w:pPr>
        <w:pStyle w:val="NormalWeb"/>
        <w:numPr>
          <w:ilvl w:val="0"/>
          <w:numId w:val="31"/>
        </w:numPr>
        <w:jc w:val="both"/>
        <w:rPr>
          <w:rFonts w:ascii="Arial" w:hAnsi="Arial" w:cs="Arial"/>
          <w:sz w:val="22"/>
          <w:szCs w:val="22"/>
        </w:rPr>
      </w:pPr>
      <w:r w:rsidRPr="00C753F0">
        <w:rPr>
          <w:rFonts w:ascii="Arial" w:hAnsi="Arial" w:cs="Arial"/>
          <w:sz w:val="22"/>
          <w:szCs w:val="22"/>
        </w:rPr>
        <w:t xml:space="preserve">García-Talavera, M., Martínez, M., </w:t>
      </w:r>
      <w:proofErr w:type="spellStart"/>
      <w:r w:rsidRPr="00C753F0">
        <w:rPr>
          <w:rFonts w:ascii="Arial" w:hAnsi="Arial" w:cs="Arial"/>
          <w:sz w:val="22"/>
          <w:szCs w:val="22"/>
        </w:rPr>
        <w:t>Matarranz</w:t>
      </w:r>
      <w:proofErr w:type="spellEnd"/>
      <w:r w:rsidRPr="00C753F0">
        <w:rPr>
          <w:rFonts w:ascii="Arial" w:hAnsi="Arial" w:cs="Arial"/>
          <w:sz w:val="22"/>
          <w:szCs w:val="22"/>
        </w:rPr>
        <w:t xml:space="preserve">, J. L. M., &amp; Ramos, L. (2008). Setting radon-specific release criteria and demonstrating compliance for land </w:t>
      </w:r>
      <w:r w:rsidRPr="00C753F0">
        <w:rPr>
          <w:rFonts w:ascii="Arial" w:hAnsi="Arial" w:cs="Arial"/>
          <w:sz w:val="22"/>
          <w:szCs w:val="22"/>
        </w:rPr>
        <w:lastRenderedPageBreak/>
        <w:t xml:space="preserve">affected by NORM. Applied Radiation and Isotopes, 66(11), 1567–1571. </w:t>
      </w:r>
      <w:hyperlink r:id="rId29" w:history="1">
        <w:r w:rsidRPr="00AF4744">
          <w:rPr>
            <w:rStyle w:val="Hyperlink"/>
            <w:rFonts w:ascii="Arial" w:hAnsi="Arial" w:cs="Arial"/>
            <w:sz w:val="22"/>
            <w:szCs w:val="22"/>
          </w:rPr>
          <w:t>https://doi.org/10.1016/j.apradiso.2007.10.018</w:t>
        </w:r>
      </w:hyperlink>
      <w:r>
        <w:rPr>
          <w:rFonts w:ascii="Arial" w:hAnsi="Arial" w:cs="Arial"/>
          <w:sz w:val="22"/>
          <w:szCs w:val="22"/>
        </w:rPr>
        <w:t xml:space="preserve"> </w:t>
      </w:r>
      <w:r w:rsidR="00683F5C" w:rsidRPr="00683F5C">
        <w:rPr>
          <w:rFonts w:ascii="Arial" w:hAnsi="Arial" w:cs="Arial"/>
          <w:sz w:val="22"/>
          <w:szCs w:val="22"/>
        </w:rPr>
        <w:t>.</w:t>
      </w:r>
    </w:p>
    <w:p w14:paraId="10515760" w14:textId="415578BA" w:rsidR="00683F5C" w:rsidRDefault="00CB7AF3" w:rsidP="00CB7AF3">
      <w:pPr>
        <w:pStyle w:val="NormalWeb"/>
        <w:numPr>
          <w:ilvl w:val="0"/>
          <w:numId w:val="31"/>
        </w:numPr>
        <w:jc w:val="both"/>
        <w:rPr>
          <w:rFonts w:ascii="Arial" w:hAnsi="Arial" w:cs="Arial"/>
          <w:sz w:val="22"/>
          <w:szCs w:val="22"/>
        </w:rPr>
      </w:pPr>
      <w:r w:rsidRPr="00CB7AF3">
        <w:rPr>
          <w:rFonts w:ascii="Arial" w:hAnsi="Arial" w:cs="Arial"/>
          <w:sz w:val="22"/>
          <w:szCs w:val="22"/>
        </w:rPr>
        <w:t xml:space="preserve">Goddard, C. C. (2002). Measurement of outdoor terrestrial gamma radiation in the Sultanate of Oman. Health Physics, 82(6), 869–874. </w:t>
      </w:r>
      <w:hyperlink r:id="rId30" w:history="1">
        <w:r w:rsidRPr="00AF4744">
          <w:rPr>
            <w:rStyle w:val="Hyperlink"/>
            <w:rFonts w:ascii="Arial" w:hAnsi="Arial" w:cs="Arial"/>
            <w:sz w:val="22"/>
            <w:szCs w:val="22"/>
          </w:rPr>
          <w:t>https://doi.org/10.1097/00004032-200206000-00016</w:t>
        </w:r>
      </w:hyperlink>
      <w:r>
        <w:rPr>
          <w:rFonts w:ascii="Arial" w:hAnsi="Arial" w:cs="Arial"/>
          <w:sz w:val="22"/>
          <w:szCs w:val="22"/>
        </w:rPr>
        <w:t xml:space="preserve"> </w:t>
      </w:r>
      <w:r w:rsidR="00683F5C" w:rsidRPr="00683F5C">
        <w:rPr>
          <w:rFonts w:ascii="Arial" w:hAnsi="Arial" w:cs="Arial"/>
          <w:sz w:val="22"/>
          <w:szCs w:val="22"/>
        </w:rPr>
        <w:t>.</w:t>
      </w:r>
    </w:p>
    <w:p w14:paraId="6204DF72" w14:textId="7C91AA54" w:rsidR="00663D24" w:rsidRPr="00000F6A" w:rsidRDefault="00663D24" w:rsidP="00CB7AF3">
      <w:pPr>
        <w:pStyle w:val="NormalWeb"/>
        <w:numPr>
          <w:ilvl w:val="0"/>
          <w:numId w:val="31"/>
        </w:numPr>
        <w:jc w:val="both"/>
        <w:rPr>
          <w:rFonts w:ascii="Arial" w:hAnsi="Arial" w:cs="Arial"/>
          <w:sz w:val="22"/>
          <w:szCs w:val="22"/>
          <w:highlight w:val="yellow"/>
        </w:rPr>
      </w:pPr>
      <w:proofErr w:type="spellStart"/>
      <w:r w:rsidRPr="00000F6A">
        <w:rPr>
          <w:rFonts w:ascii="Arial" w:hAnsi="Arial" w:cs="Arial"/>
          <w:highlight w:val="yellow"/>
        </w:rPr>
        <w:t>Gogoi</w:t>
      </w:r>
      <w:proofErr w:type="spellEnd"/>
      <w:r w:rsidRPr="00000F6A">
        <w:rPr>
          <w:rFonts w:ascii="Arial" w:hAnsi="Arial" w:cs="Arial"/>
          <w:highlight w:val="yellow"/>
        </w:rPr>
        <w:t xml:space="preserve">, P. P., </w:t>
      </w:r>
      <w:proofErr w:type="spellStart"/>
      <w:r w:rsidRPr="00000F6A">
        <w:rPr>
          <w:rFonts w:ascii="Arial" w:hAnsi="Arial" w:cs="Arial"/>
          <w:highlight w:val="yellow"/>
        </w:rPr>
        <w:t>Phukan</w:t>
      </w:r>
      <w:proofErr w:type="spellEnd"/>
      <w:r w:rsidRPr="00000F6A">
        <w:rPr>
          <w:rFonts w:ascii="Arial" w:hAnsi="Arial" w:cs="Arial"/>
          <w:highlight w:val="yellow"/>
        </w:rPr>
        <w:t xml:space="preserve">, S., &amp; </w:t>
      </w:r>
      <w:proofErr w:type="spellStart"/>
      <w:r w:rsidRPr="00000F6A">
        <w:rPr>
          <w:rFonts w:ascii="Arial" w:hAnsi="Arial" w:cs="Arial"/>
          <w:highlight w:val="yellow"/>
        </w:rPr>
        <w:t>Barooah</w:t>
      </w:r>
      <w:proofErr w:type="spellEnd"/>
      <w:r w:rsidRPr="00000F6A">
        <w:rPr>
          <w:rFonts w:ascii="Arial" w:hAnsi="Arial" w:cs="Arial"/>
          <w:highlight w:val="yellow"/>
        </w:rPr>
        <w:t xml:space="preserve">, D. (2025). High levels of terrestrial gamma radiation exposure in the </w:t>
      </w:r>
      <w:proofErr w:type="spellStart"/>
      <w:r w:rsidRPr="00000F6A">
        <w:rPr>
          <w:rFonts w:ascii="Arial" w:hAnsi="Arial" w:cs="Arial"/>
          <w:highlight w:val="yellow"/>
        </w:rPr>
        <w:t>Kopili</w:t>
      </w:r>
      <w:proofErr w:type="spellEnd"/>
      <w:r w:rsidRPr="00000F6A">
        <w:rPr>
          <w:rFonts w:ascii="Arial" w:hAnsi="Arial" w:cs="Arial"/>
          <w:highlight w:val="yellow"/>
        </w:rPr>
        <w:t xml:space="preserve"> Fault Zone on the eastern wedge of the </w:t>
      </w:r>
      <w:proofErr w:type="spellStart"/>
      <w:r w:rsidRPr="00000F6A">
        <w:rPr>
          <w:rFonts w:ascii="Arial" w:hAnsi="Arial" w:cs="Arial"/>
          <w:highlight w:val="yellow"/>
        </w:rPr>
        <w:t>Shillong</w:t>
      </w:r>
      <w:proofErr w:type="spellEnd"/>
      <w:r w:rsidRPr="00000F6A">
        <w:rPr>
          <w:rFonts w:ascii="Arial" w:hAnsi="Arial" w:cs="Arial"/>
          <w:highlight w:val="yellow"/>
        </w:rPr>
        <w:t xml:space="preserve"> Plateau, India. </w:t>
      </w:r>
      <w:r w:rsidRPr="00000F6A">
        <w:rPr>
          <w:rFonts w:ascii="Arial" w:hAnsi="Arial" w:cs="Arial"/>
          <w:i/>
          <w:iCs/>
          <w:highlight w:val="yellow"/>
        </w:rPr>
        <w:t xml:space="preserve">Acta </w:t>
      </w:r>
      <w:proofErr w:type="spellStart"/>
      <w:r w:rsidRPr="00000F6A">
        <w:rPr>
          <w:rFonts w:ascii="Arial" w:hAnsi="Arial" w:cs="Arial"/>
          <w:i/>
          <w:iCs/>
          <w:highlight w:val="yellow"/>
        </w:rPr>
        <w:t>Geophysica</w:t>
      </w:r>
      <w:proofErr w:type="spellEnd"/>
      <w:r w:rsidRPr="00000F6A">
        <w:rPr>
          <w:rFonts w:ascii="Arial" w:hAnsi="Arial" w:cs="Arial"/>
          <w:highlight w:val="yellow"/>
        </w:rPr>
        <w:t xml:space="preserve">, </w:t>
      </w:r>
      <w:r w:rsidRPr="00000F6A">
        <w:rPr>
          <w:rFonts w:ascii="Arial" w:hAnsi="Arial" w:cs="Arial"/>
          <w:i/>
          <w:iCs/>
          <w:highlight w:val="yellow"/>
        </w:rPr>
        <w:t>73</w:t>
      </w:r>
      <w:r w:rsidRPr="00000F6A">
        <w:rPr>
          <w:rFonts w:ascii="Arial" w:hAnsi="Arial" w:cs="Arial"/>
          <w:highlight w:val="yellow"/>
        </w:rPr>
        <w:t>, 527–536.</w:t>
      </w:r>
    </w:p>
    <w:p w14:paraId="1B91C356" w14:textId="425DA2BF" w:rsidR="00683F5C" w:rsidRPr="00683F5C" w:rsidRDefault="008E6777" w:rsidP="008E6777">
      <w:pPr>
        <w:pStyle w:val="NormalWeb"/>
        <w:numPr>
          <w:ilvl w:val="0"/>
          <w:numId w:val="31"/>
        </w:numPr>
        <w:jc w:val="both"/>
        <w:rPr>
          <w:rFonts w:ascii="Arial" w:hAnsi="Arial" w:cs="Arial"/>
          <w:sz w:val="22"/>
          <w:szCs w:val="22"/>
        </w:rPr>
      </w:pPr>
      <w:proofErr w:type="spellStart"/>
      <w:r w:rsidRPr="008E6777">
        <w:rPr>
          <w:rFonts w:ascii="Arial" w:hAnsi="Arial" w:cs="Arial"/>
          <w:sz w:val="22"/>
          <w:szCs w:val="22"/>
        </w:rPr>
        <w:t>Grasty</w:t>
      </w:r>
      <w:proofErr w:type="spellEnd"/>
      <w:r w:rsidRPr="008E6777">
        <w:rPr>
          <w:rFonts w:ascii="Arial" w:hAnsi="Arial" w:cs="Arial"/>
          <w:sz w:val="22"/>
          <w:szCs w:val="22"/>
        </w:rPr>
        <w:t xml:space="preserve">, R. L., &amp; </w:t>
      </w:r>
      <w:proofErr w:type="spellStart"/>
      <w:r w:rsidRPr="008E6777">
        <w:rPr>
          <w:rFonts w:ascii="Arial" w:hAnsi="Arial" w:cs="Arial"/>
          <w:sz w:val="22"/>
          <w:szCs w:val="22"/>
        </w:rPr>
        <w:t>LaMarre</w:t>
      </w:r>
      <w:proofErr w:type="spellEnd"/>
      <w:r w:rsidRPr="008E6777">
        <w:rPr>
          <w:rFonts w:ascii="Arial" w:hAnsi="Arial" w:cs="Arial"/>
          <w:sz w:val="22"/>
          <w:szCs w:val="22"/>
        </w:rPr>
        <w:t xml:space="preserve">, J. R. (2004). The annual effective dose from natural sources of ionising radiation in Canada. Radiation Protection Dosimetry. </w:t>
      </w:r>
      <w:hyperlink r:id="rId31" w:history="1">
        <w:r w:rsidRPr="00AF4744">
          <w:rPr>
            <w:rStyle w:val="Hyperlink"/>
            <w:rFonts w:ascii="Arial" w:hAnsi="Arial" w:cs="Arial"/>
            <w:sz w:val="22"/>
            <w:szCs w:val="22"/>
          </w:rPr>
          <w:t>https://doi.org/10.1093/rpd/nch022</w:t>
        </w:r>
      </w:hyperlink>
      <w:r>
        <w:rPr>
          <w:rFonts w:ascii="Arial" w:hAnsi="Arial" w:cs="Arial"/>
          <w:sz w:val="22"/>
          <w:szCs w:val="22"/>
        </w:rPr>
        <w:t xml:space="preserve"> </w:t>
      </w:r>
      <w:r w:rsidR="00683F5C" w:rsidRPr="00683F5C">
        <w:rPr>
          <w:rFonts w:ascii="Arial" w:hAnsi="Arial" w:cs="Arial"/>
          <w:sz w:val="22"/>
          <w:szCs w:val="22"/>
        </w:rPr>
        <w:t>.</w:t>
      </w:r>
    </w:p>
    <w:p w14:paraId="41FF7C54"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Hails, J. R. (1976). Placer deposits. In </w:t>
      </w:r>
      <w:r w:rsidRPr="00683F5C">
        <w:rPr>
          <w:rStyle w:val="Emphasis"/>
          <w:rFonts w:ascii="Arial" w:hAnsi="Arial" w:cs="Arial"/>
          <w:sz w:val="22"/>
          <w:szCs w:val="22"/>
        </w:rPr>
        <w:t>Supergene and Surficial Ore Deposits: Textures and Fabrics</w:t>
      </w:r>
      <w:r w:rsidRPr="00683F5C">
        <w:rPr>
          <w:rFonts w:ascii="Arial" w:hAnsi="Arial" w:cs="Arial"/>
          <w:sz w:val="22"/>
          <w:szCs w:val="22"/>
        </w:rPr>
        <w:t xml:space="preserve"> (Vol. 3). Elsevier.</w:t>
      </w:r>
    </w:p>
    <w:p w14:paraId="0151844D"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Hutchison, C. S., &amp; Tan, D. N. K. (2009). </w:t>
      </w:r>
      <w:r w:rsidRPr="00683F5C">
        <w:rPr>
          <w:rStyle w:val="Emphasis"/>
          <w:rFonts w:ascii="Arial" w:hAnsi="Arial" w:cs="Arial"/>
          <w:sz w:val="22"/>
          <w:szCs w:val="22"/>
        </w:rPr>
        <w:t>Geology of Peninsular Malaysia</w:t>
      </w:r>
      <w:r w:rsidRPr="00683F5C">
        <w:rPr>
          <w:rFonts w:ascii="Arial" w:hAnsi="Arial" w:cs="Arial"/>
          <w:sz w:val="22"/>
          <w:szCs w:val="22"/>
        </w:rPr>
        <w:t>. University of Malaya &amp; Geological Society of Malaysia.</w:t>
      </w:r>
    </w:p>
    <w:p w14:paraId="2F4D3306" w14:textId="00CBF854" w:rsidR="00683F5C" w:rsidRPr="00683F5C" w:rsidRDefault="002753E7" w:rsidP="002753E7">
      <w:pPr>
        <w:pStyle w:val="NormalWeb"/>
        <w:numPr>
          <w:ilvl w:val="0"/>
          <w:numId w:val="31"/>
        </w:numPr>
        <w:jc w:val="both"/>
        <w:rPr>
          <w:rFonts w:ascii="Arial" w:hAnsi="Arial" w:cs="Arial"/>
          <w:sz w:val="22"/>
          <w:szCs w:val="22"/>
        </w:rPr>
      </w:pPr>
      <w:proofErr w:type="spellStart"/>
      <w:r w:rsidRPr="002753E7">
        <w:rPr>
          <w:rFonts w:ascii="Arial" w:hAnsi="Arial" w:cs="Arial"/>
          <w:sz w:val="22"/>
          <w:szCs w:val="22"/>
        </w:rPr>
        <w:t>Huy</w:t>
      </w:r>
      <w:proofErr w:type="spellEnd"/>
      <w:r w:rsidRPr="002753E7">
        <w:rPr>
          <w:rFonts w:ascii="Arial" w:hAnsi="Arial" w:cs="Arial"/>
          <w:sz w:val="22"/>
          <w:szCs w:val="22"/>
        </w:rPr>
        <w:t xml:space="preserve">, N. Q., &amp; </w:t>
      </w:r>
      <w:proofErr w:type="spellStart"/>
      <w:r w:rsidRPr="002753E7">
        <w:rPr>
          <w:rFonts w:ascii="Arial" w:hAnsi="Arial" w:cs="Arial"/>
          <w:sz w:val="22"/>
          <w:szCs w:val="22"/>
        </w:rPr>
        <w:t>Luyen</w:t>
      </w:r>
      <w:proofErr w:type="spellEnd"/>
      <w:r w:rsidRPr="002753E7">
        <w:rPr>
          <w:rFonts w:ascii="Arial" w:hAnsi="Arial" w:cs="Arial"/>
          <w:sz w:val="22"/>
          <w:szCs w:val="22"/>
        </w:rPr>
        <w:t xml:space="preserve">, T. V. (2006). Study on external exposure doses from terrestrial radioactivity in Southern Vietnam. Radiation Protection Dosimetry, 118(3), 331–336. </w:t>
      </w:r>
      <w:hyperlink r:id="rId32" w:history="1">
        <w:r w:rsidRPr="00AF4744">
          <w:rPr>
            <w:rStyle w:val="Hyperlink"/>
            <w:rFonts w:ascii="Arial" w:hAnsi="Arial" w:cs="Arial"/>
            <w:sz w:val="22"/>
            <w:szCs w:val="22"/>
          </w:rPr>
          <w:t>https://doi.org/10.1093/rpd/nci341</w:t>
        </w:r>
      </w:hyperlink>
      <w:r>
        <w:rPr>
          <w:rFonts w:ascii="Arial" w:hAnsi="Arial" w:cs="Arial"/>
          <w:sz w:val="22"/>
          <w:szCs w:val="22"/>
        </w:rPr>
        <w:t xml:space="preserve"> </w:t>
      </w:r>
      <w:r w:rsidR="00683F5C" w:rsidRPr="00683F5C">
        <w:rPr>
          <w:rFonts w:ascii="Arial" w:hAnsi="Arial" w:cs="Arial"/>
          <w:sz w:val="22"/>
          <w:szCs w:val="22"/>
        </w:rPr>
        <w:t>.</w:t>
      </w:r>
    </w:p>
    <w:p w14:paraId="3FAB37BC" w14:textId="2E4C8701" w:rsidR="00683F5C" w:rsidRPr="00683F5C" w:rsidRDefault="00C2524F" w:rsidP="00C2524F">
      <w:pPr>
        <w:pStyle w:val="NormalWeb"/>
        <w:numPr>
          <w:ilvl w:val="0"/>
          <w:numId w:val="31"/>
        </w:numPr>
        <w:jc w:val="both"/>
        <w:rPr>
          <w:rFonts w:ascii="Arial" w:hAnsi="Arial" w:cs="Arial"/>
          <w:sz w:val="22"/>
          <w:szCs w:val="22"/>
        </w:rPr>
      </w:pPr>
      <w:r w:rsidRPr="00C2524F">
        <w:rPr>
          <w:rFonts w:ascii="Arial" w:hAnsi="Arial" w:cs="Arial"/>
          <w:sz w:val="22"/>
          <w:szCs w:val="22"/>
        </w:rPr>
        <w:t xml:space="preserve">International Atomic Energy Agency. (1996). International Basic Safety Standards for Protection Against Ionizing Radiation and for the Safety of Radiation Sources (Safety Series No. 115). Vienna. </w:t>
      </w:r>
      <w:hyperlink r:id="rId33" w:history="1">
        <w:r w:rsidRPr="00AF4744">
          <w:rPr>
            <w:rStyle w:val="Hyperlink"/>
            <w:rFonts w:ascii="Arial" w:hAnsi="Arial" w:cs="Arial"/>
            <w:sz w:val="22"/>
            <w:szCs w:val="22"/>
          </w:rPr>
          <w:t>https://www.iaea.org/publications/7000/international-basic-safety-standards-for-protection-against-ionizing-radiation-and-for-the-safety-of-radiation-sources</w:t>
        </w:r>
      </w:hyperlink>
      <w:r>
        <w:rPr>
          <w:rFonts w:ascii="Arial" w:hAnsi="Arial" w:cs="Arial"/>
          <w:sz w:val="22"/>
          <w:szCs w:val="22"/>
        </w:rPr>
        <w:t xml:space="preserve"> </w:t>
      </w:r>
      <w:r w:rsidR="00683F5C" w:rsidRPr="00683F5C">
        <w:rPr>
          <w:rFonts w:ascii="Arial" w:hAnsi="Arial" w:cs="Arial"/>
          <w:sz w:val="22"/>
          <w:szCs w:val="22"/>
        </w:rPr>
        <w:t>.</w:t>
      </w:r>
    </w:p>
    <w:p w14:paraId="26860260" w14:textId="1ADBEDD1" w:rsidR="00683F5C" w:rsidRPr="00683F5C" w:rsidRDefault="00F26C1C" w:rsidP="00F26C1C">
      <w:pPr>
        <w:pStyle w:val="NormalWeb"/>
        <w:numPr>
          <w:ilvl w:val="0"/>
          <w:numId w:val="31"/>
        </w:numPr>
        <w:jc w:val="both"/>
        <w:rPr>
          <w:rFonts w:ascii="Arial" w:hAnsi="Arial" w:cs="Arial"/>
          <w:sz w:val="22"/>
          <w:szCs w:val="22"/>
        </w:rPr>
      </w:pPr>
      <w:r w:rsidRPr="00F26C1C">
        <w:rPr>
          <w:rFonts w:ascii="Arial" w:hAnsi="Arial" w:cs="Arial"/>
          <w:sz w:val="22"/>
          <w:szCs w:val="22"/>
        </w:rPr>
        <w:t xml:space="preserve">IAEA. (2018). Prospective Radiological Environmental Impact Assessment for Facilities and Activities (Safety Standards Series No. GSG-10). Vienna. </w:t>
      </w:r>
      <w:hyperlink r:id="rId34" w:history="1">
        <w:r w:rsidRPr="00AF4744">
          <w:rPr>
            <w:rStyle w:val="Hyperlink"/>
            <w:rFonts w:ascii="Arial" w:hAnsi="Arial" w:cs="Arial"/>
            <w:sz w:val="22"/>
            <w:szCs w:val="22"/>
          </w:rPr>
          <w:t>https://www.iaea.org/publications/11290/prospective-radiological-environmental-impact-assessment-for-facilities-and-activities</w:t>
        </w:r>
      </w:hyperlink>
      <w:r>
        <w:rPr>
          <w:rFonts w:ascii="Arial" w:hAnsi="Arial" w:cs="Arial"/>
          <w:sz w:val="22"/>
          <w:szCs w:val="22"/>
        </w:rPr>
        <w:t xml:space="preserve"> </w:t>
      </w:r>
      <w:r w:rsidR="00683F5C" w:rsidRPr="00683F5C">
        <w:rPr>
          <w:rFonts w:ascii="Arial" w:hAnsi="Arial" w:cs="Arial"/>
          <w:sz w:val="22"/>
          <w:szCs w:val="22"/>
        </w:rPr>
        <w:t>.</w:t>
      </w:r>
    </w:p>
    <w:p w14:paraId="7E15DB36" w14:textId="7274EC3D" w:rsidR="00683F5C" w:rsidRPr="00683F5C" w:rsidRDefault="00320A2E" w:rsidP="00320A2E">
      <w:pPr>
        <w:pStyle w:val="NormalWeb"/>
        <w:numPr>
          <w:ilvl w:val="0"/>
          <w:numId w:val="31"/>
        </w:numPr>
        <w:jc w:val="both"/>
        <w:rPr>
          <w:rFonts w:ascii="Arial" w:hAnsi="Arial" w:cs="Arial"/>
          <w:sz w:val="22"/>
          <w:szCs w:val="22"/>
        </w:rPr>
      </w:pPr>
      <w:r w:rsidRPr="00320A2E">
        <w:rPr>
          <w:rFonts w:ascii="Arial" w:hAnsi="Arial" w:cs="Arial"/>
          <w:sz w:val="22"/>
          <w:szCs w:val="22"/>
        </w:rPr>
        <w:t xml:space="preserve">ICRP. (2007). The 2007 Recommendations of the International Commission on Radiological Protection: ICRP Publication 103. *Annals of the ICRP, 37*(2-4), 1-332. </w:t>
      </w:r>
      <w:hyperlink r:id="rId35" w:history="1">
        <w:r w:rsidRPr="00AF4744">
          <w:rPr>
            <w:rStyle w:val="Hyperlink"/>
            <w:rFonts w:ascii="Arial" w:hAnsi="Arial" w:cs="Arial"/>
            <w:sz w:val="22"/>
            <w:szCs w:val="22"/>
          </w:rPr>
          <w:t>https://doi.org/10.1016/j.icrp.2007.10.003</w:t>
        </w:r>
      </w:hyperlink>
      <w:r>
        <w:rPr>
          <w:rFonts w:ascii="Arial" w:hAnsi="Arial" w:cs="Arial"/>
          <w:sz w:val="22"/>
          <w:szCs w:val="22"/>
        </w:rPr>
        <w:t xml:space="preserve"> </w:t>
      </w:r>
      <w:r w:rsidR="00683F5C" w:rsidRPr="00683F5C">
        <w:rPr>
          <w:rFonts w:ascii="Arial" w:hAnsi="Arial" w:cs="Arial"/>
          <w:sz w:val="22"/>
          <w:szCs w:val="22"/>
        </w:rPr>
        <w:t>.</w:t>
      </w:r>
    </w:p>
    <w:p w14:paraId="2787AB9E" w14:textId="0BA795BD" w:rsidR="00683F5C" w:rsidRPr="00683F5C" w:rsidRDefault="00536C47" w:rsidP="00536C47">
      <w:pPr>
        <w:pStyle w:val="NormalWeb"/>
        <w:numPr>
          <w:ilvl w:val="0"/>
          <w:numId w:val="31"/>
        </w:numPr>
        <w:jc w:val="both"/>
        <w:rPr>
          <w:rFonts w:ascii="Arial" w:hAnsi="Arial" w:cs="Arial"/>
          <w:sz w:val="22"/>
          <w:szCs w:val="22"/>
        </w:rPr>
      </w:pPr>
      <w:r w:rsidRPr="00536C47">
        <w:rPr>
          <w:rFonts w:ascii="Arial" w:hAnsi="Arial" w:cs="Arial"/>
          <w:sz w:val="22"/>
          <w:szCs w:val="22"/>
        </w:rPr>
        <w:t xml:space="preserve">Ibrahim, N. (1999). Natural activities of 238U, 232Th and 40K in building materials. Journal of Environmental Radioactivity, 43, 255–258. </w:t>
      </w:r>
      <w:hyperlink r:id="rId36" w:history="1">
        <w:r w:rsidRPr="00AF4744">
          <w:rPr>
            <w:rStyle w:val="Hyperlink"/>
            <w:rFonts w:ascii="Arial" w:hAnsi="Arial" w:cs="Arial"/>
            <w:sz w:val="22"/>
            <w:szCs w:val="22"/>
          </w:rPr>
          <w:t>https://doi.org/10.1016/S0265-931X(98)00033-2</w:t>
        </w:r>
      </w:hyperlink>
      <w:r>
        <w:rPr>
          <w:rFonts w:ascii="Arial" w:hAnsi="Arial" w:cs="Arial"/>
          <w:sz w:val="22"/>
          <w:szCs w:val="22"/>
        </w:rPr>
        <w:t xml:space="preserve"> </w:t>
      </w:r>
      <w:r w:rsidR="00683F5C" w:rsidRPr="00683F5C">
        <w:rPr>
          <w:rFonts w:ascii="Arial" w:hAnsi="Arial" w:cs="Arial"/>
          <w:sz w:val="22"/>
          <w:szCs w:val="22"/>
        </w:rPr>
        <w:t>.</w:t>
      </w:r>
    </w:p>
    <w:p w14:paraId="1ACF8FC3" w14:textId="7D8DC592" w:rsidR="00683F5C" w:rsidRPr="00683F5C" w:rsidRDefault="009C18CF" w:rsidP="009C18CF">
      <w:pPr>
        <w:pStyle w:val="NormalWeb"/>
        <w:numPr>
          <w:ilvl w:val="0"/>
          <w:numId w:val="31"/>
        </w:numPr>
        <w:jc w:val="both"/>
        <w:rPr>
          <w:rFonts w:ascii="Arial" w:hAnsi="Arial" w:cs="Arial"/>
          <w:sz w:val="22"/>
          <w:szCs w:val="22"/>
        </w:rPr>
      </w:pPr>
      <w:proofErr w:type="spellStart"/>
      <w:r w:rsidRPr="009C18CF">
        <w:rPr>
          <w:rFonts w:ascii="Arial" w:hAnsi="Arial" w:cs="Arial"/>
          <w:sz w:val="22"/>
          <w:szCs w:val="22"/>
        </w:rPr>
        <w:t>Ibrahiem</w:t>
      </w:r>
      <w:proofErr w:type="spellEnd"/>
      <w:r w:rsidRPr="009C18CF">
        <w:rPr>
          <w:rFonts w:ascii="Arial" w:hAnsi="Arial" w:cs="Arial"/>
          <w:sz w:val="22"/>
          <w:szCs w:val="22"/>
        </w:rPr>
        <w:t xml:space="preserve">, N. M., Abd el Ghani, A. H., Shawky, S. M., Ashraf, E. M., &amp; Farouk, M. A. (1993). Measurement of radioactivity levels in soil in the Nile Delta and middle Egypt. Health Physics, 64(6), 620–627. </w:t>
      </w:r>
      <w:hyperlink r:id="rId37" w:history="1">
        <w:r w:rsidRPr="00AF4744">
          <w:rPr>
            <w:rStyle w:val="Hyperlink"/>
            <w:rFonts w:ascii="Arial" w:hAnsi="Arial" w:cs="Arial"/>
            <w:sz w:val="22"/>
            <w:szCs w:val="22"/>
          </w:rPr>
          <w:t>https://doi.org/10.1097/00004032-199306000-00007</w:t>
        </w:r>
      </w:hyperlink>
      <w:r>
        <w:rPr>
          <w:rFonts w:ascii="Arial" w:hAnsi="Arial" w:cs="Arial"/>
          <w:sz w:val="22"/>
          <w:szCs w:val="22"/>
        </w:rPr>
        <w:t xml:space="preserve"> </w:t>
      </w:r>
      <w:r w:rsidR="00683F5C" w:rsidRPr="00683F5C">
        <w:rPr>
          <w:rFonts w:ascii="Arial" w:hAnsi="Arial" w:cs="Arial"/>
          <w:sz w:val="22"/>
          <w:szCs w:val="22"/>
        </w:rPr>
        <w:t>.</w:t>
      </w:r>
    </w:p>
    <w:p w14:paraId="27CAEAA2" w14:textId="0FE2F894" w:rsidR="00683F5C" w:rsidRPr="00683F5C" w:rsidRDefault="00423EAC" w:rsidP="00423EAC">
      <w:pPr>
        <w:pStyle w:val="NormalWeb"/>
        <w:numPr>
          <w:ilvl w:val="0"/>
          <w:numId w:val="31"/>
        </w:numPr>
        <w:jc w:val="both"/>
        <w:rPr>
          <w:rFonts w:ascii="Arial" w:hAnsi="Arial" w:cs="Arial"/>
          <w:sz w:val="22"/>
          <w:szCs w:val="22"/>
        </w:rPr>
      </w:pPr>
      <w:proofErr w:type="spellStart"/>
      <w:r w:rsidRPr="00423EAC">
        <w:rPr>
          <w:rFonts w:ascii="Arial" w:hAnsi="Arial" w:cs="Arial"/>
          <w:sz w:val="22"/>
          <w:szCs w:val="22"/>
        </w:rPr>
        <w:t>Jibiri</w:t>
      </w:r>
      <w:proofErr w:type="spellEnd"/>
      <w:r w:rsidRPr="00423EAC">
        <w:rPr>
          <w:rFonts w:ascii="Arial" w:hAnsi="Arial" w:cs="Arial"/>
          <w:sz w:val="22"/>
          <w:szCs w:val="22"/>
        </w:rPr>
        <w:t xml:space="preserve">, N. N. (2001). Assessment of health risk levels associated with terrestrial gamma radiation dose rates in Nigeria. Environment International, 27(1), 21–26. </w:t>
      </w:r>
      <w:hyperlink r:id="rId38" w:history="1">
        <w:r w:rsidRPr="00AF4744">
          <w:rPr>
            <w:rStyle w:val="Hyperlink"/>
            <w:rFonts w:ascii="Arial" w:hAnsi="Arial" w:cs="Arial"/>
            <w:sz w:val="22"/>
            <w:szCs w:val="22"/>
          </w:rPr>
          <w:t>https://doi.org/10.1016/s0160-4120(01)00039-3</w:t>
        </w:r>
      </w:hyperlink>
      <w:r>
        <w:rPr>
          <w:rFonts w:ascii="Arial" w:hAnsi="Arial" w:cs="Arial"/>
          <w:sz w:val="22"/>
          <w:szCs w:val="22"/>
        </w:rPr>
        <w:t xml:space="preserve"> </w:t>
      </w:r>
      <w:r w:rsidR="00683F5C" w:rsidRPr="00683F5C">
        <w:rPr>
          <w:rFonts w:ascii="Arial" w:hAnsi="Arial" w:cs="Arial"/>
          <w:sz w:val="22"/>
          <w:szCs w:val="22"/>
        </w:rPr>
        <w:t>.</w:t>
      </w:r>
    </w:p>
    <w:p w14:paraId="2E980492" w14:textId="4D3CC1A3" w:rsidR="00683F5C" w:rsidRPr="00683F5C" w:rsidRDefault="00666E5C" w:rsidP="00666E5C">
      <w:pPr>
        <w:pStyle w:val="NormalWeb"/>
        <w:numPr>
          <w:ilvl w:val="0"/>
          <w:numId w:val="31"/>
        </w:numPr>
        <w:jc w:val="both"/>
        <w:rPr>
          <w:rFonts w:ascii="Arial" w:hAnsi="Arial" w:cs="Arial"/>
          <w:sz w:val="22"/>
          <w:szCs w:val="22"/>
        </w:rPr>
      </w:pPr>
      <w:proofErr w:type="spellStart"/>
      <w:r w:rsidRPr="00666E5C">
        <w:rPr>
          <w:rFonts w:ascii="Arial" w:hAnsi="Arial" w:cs="Arial"/>
          <w:sz w:val="22"/>
          <w:szCs w:val="22"/>
        </w:rPr>
        <w:t>Kapdan</w:t>
      </w:r>
      <w:proofErr w:type="spellEnd"/>
      <w:r w:rsidRPr="00666E5C">
        <w:rPr>
          <w:rFonts w:ascii="Arial" w:hAnsi="Arial" w:cs="Arial"/>
          <w:sz w:val="22"/>
          <w:szCs w:val="22"/>
        </w:rPr>
        <w:t xml:space="preserve">, E., </w:t>
      </w:r>
      <w:proofErr w:type="spellStart"/>
      <w:r w:rsidRPr="00666E5C">
        <w:rPr>
          <w:rFonts w:ascii="Arial" w:hAnsi="Arial" w:cs="Arial"/>
          <w:sz w:val="22"/>
          <w:szCs w:val="22"/>
        </w:rPr>
        <w:t>Varinlioglu</w:t>
      </w:r>
      <w:proofErr w:type="spellEnd"/>
      <w:r w:rsidRPr="00666E5C">
        <w:rPr>
          <w:rFonts w:ascii="Arial" w:hAnsi="Arial" w:cs="Arial"/>
          <w:sz w:val="22"/>
          <w:szCs w:val="22"/>
        </w:rPr>
        <w:t xml:space="preserve">, A., &amp; Karahan, G. (2012). Outdoor radioactivity and health risks in </w:t>
      </w:r>
      <w:proofErr w:type="spellStart"/>
      <w:r w:rsidRPr="00666E5C">
        <w:rPr>
          <w:rFonts w:ascii="Arial" w:hAnsi="Arial" w:cs="Arial"/>
          <w:sz w:val="22"/>
          <w:szCs w:val="22"/>
        </w:rPr>
        <w:t>Balikesir</w:t>
      </w:r>
      <w:proofErr w:type="spellEnd"/>
      <w:r w:rsidRPr="00666E5C">
        <w:rPr>
          <w:rFonts w:ascii="Arial" w:hAnsi="Arial" w:cs="Arial"/>
          <w:sz w:val="22"/>
          <w:szCs w:val="22"/>
        </w:rPr>
        <w:t xml:space="preserve">, </w:t>
      </w:r>
      <w:proofErr w:type="spellStart"/>
      <w:r w:rsidRPr="00666E5C">
        <w:rPr>
          <w:rFonts w:ascii="Arial" w:hAnsi="Arial" w:cs="Arial"/>
          <w:sz w:val="22"/>
          <w:szCs w:val="22"/>
        </w:rPr>
        <w:t>Northwestern</w:t>
      </w:r>
      <w:proofErr w:type="spellEnd"/>
      <w:r w:rsidRPr="00666E5C">
        <w:rPr>
          <w:rFonts w:ascii="Arial" w:hAnsi="Arial" w:cs="Arial"/>
          <w:sz w:val="22"/>
          <w:szCs w:val="22"/>
        </w:rPr>
        <w:t xml:space="preserve"> Turkey. Radiation Protection Dosimetry, 148(3), 301–309. </w:t>
      </w:r>
      <w:hyperlink r:id="rId39" w:history="1">
        <w:r w:rsidRPr="00AF4744">
          <w:rPr>
            <w:rStyle w:val="Hyperlink"/>
            <w:rFonts w:ascii="Arial" w:hAnsi="Arial" w:cs="Arial"/>
            <w:sz w:val="22"/>
            <w:szCs w:val="22"/>
          </w:rPr>
          <w:t>https://doi.org/10.1093/rpd/ncr038</w:t>
        </w:r>
      </w:hyperlink>
      <w:r>
        <w:rPr>
          <w:rFonts w:ascii="Arial" w:hAnsi="Arial" w:cs="Arial"/>
          <w:sz w:val="22"/>
          <w:szCs w:val="22"/>
        </w:rPr>
        <w:t xml:space="preserve"> </w:t>
      </w:r>
      <w:r w:rsidR="00683F5C" w:rsidRPr="00683F5C">
        <w:rPr>
          <w:rFonts w:ascii="Arial" w:hAnsi="Arial" w:cs="Arial"/>
          <w:sz w:val="22"/>
          <w:szCs w:val="22"/>
        </w:rPr>
        <w:t>.</w:t>
      </w:r>
    </w:p>
    <w:p w14:paraId="18F425F7" w14:textId="1035A51C" w:rsidR="00683F5C" w:rsidRPr="00683F5C" w:rsidRDefault="00812038" w:rsidP="00812038">
      <w:pPr>
        <w:pStyle w:val="NormalWeb"/>
        <w:numPr>
          <w:ilvl w:val="0"/>
          <w:numId w:val="31"/>
        </w:numPr>
        <w:jc w:val="both"/>
        <w:rPr>
          <w:rFonts w:ascii="Arial" w:hAnsi="Arial" w:cs="Arial"/>
          <w:sz w:val="22"/>
          <w:szCs w:val="22"/>
        </w:rPr>
      </w:pPr>
      <w:proofErr w:type="spellStart"/>
      <w:r w:rsidRPr="00812038">
        <w:rPr>
          <w:rFonts w:ascii="Arial" w:hAnsi="Arial" w:cs="Arial"/>
          <w:sz w:val="22"/>
          <w:szCs w:val="22"/>
        </w:rPr>
        <w:t>Kardan</w:t>
      </w:r>
      <w:proofErr w:type="spellEnd"/>
      <w:r w:rsidRPr="00812038">
        <w:rPr>
          <w:rFonts w:ascii="Arial" w:hAnsi="Arial" w:cs="Arial"/>
          <w:sz w:val="22"/>
          <w:szCs w:val="22"/>
        </w:rPr>
        <w:t xml:space="preserve">, M. R., </w:t>
      </w:r>
      <w:proofErr w:type="spellStart"/>
      <w:r w:rsidRPr="00812038">
        <w:rPr>
          <w:rFonts w:ascii="Arial" w:hAnsi="Arial" w:cs="Arial"/>
          <w:sz w:val="22"/>
          <w:szCs w:val="22"/>
        </w:rPr>
        <w:t>Fathabdi</w:t>
      </w:r>
      <w:proofErr w:type="spellEnd"/>
      <w:r w:rsidRPr="00812038">
        <w:rPr>
          <w:rFonts w:ascii="Arial" w:hAnsi="Arial" w:cs="Arial"/>
          <w:sz w:val="22"/>
          <w:szCs w:val="22"/>
        </w:rPr>
        <w:t xml:space="preserve">, N., </w:t>
      </w:r>
      <w:proofErr w:type="spellStart"/>
      <w:r w:rsidRPr="00812038">
        <w:rPr>
          <w:rFonts w:ascii="Arial" w:hAnsi="Arial" w:cs="Arial"/>
          <w:sz w:val="22"/>
          <w:szCs w:val="22"/>
        </w:rPr>
        <w:t>Attarilar</w:t>
      </w:r>
      <w:proofErr w:type="spellEnd"/>
      <w:r w:rsidRPr="00812038">
        <w:rPr>
          <w:rFonts w:ascii="Arial" w:hAnsi="Arial" w:cs="Arial"/>
          <w:sz w:val="22"/>
          <w:szCs w:val="22"/>
        </w:rPr>
        <w:t xml:space="preserve">, A., </w:t>
      </w:r>
      <w:proofErr w:type="spellStart"/>
      <w:r w:rsidRPr="00812038">
        <w:rPr>
          <w:rFonts w:ascii="Arial" w:hAnsi="Arial" w:cs="Arial"/>
          <w:sz w:val="22"/>
          <w:szCs w:val="22"/>
        </w:rPr>
        <w:t>Esmaeili-Gheshlaghi</w:t>
      </w:r>
      <w:proofErr w:type="spellEnd"/>
      <w:r w:rsidRPr="00812038">
        <w:rPr>
          <w:rFonts w:ascii="Arial" w:hAnsi="Arial" w:cs="Arial"/>
          <w:sz w:val="22"/>
          <w:szCs w:val="22"/>
        </w:rPr>
        <w:t xml:space="preserve">, M. T., Karimi, M., Najafi, A., &amp; Hosseini, S. S. (2017). A national survey of natural radionuclides in soils and terrestrial radiation exposure in Iran. Journal of </w:t>
      </w:r>
      <w:r w:rsidRPr="00812038">
        <w:rPr>
          <w:rFonts w:ascii="Arial" w:hAnsi="Arial" w:cs="Arial"/>
          <w:sz w:val="22"/>
          <w:szCs w:val="22"/>
        </w:rPr>
        <w:lastRenderedPageBreak/>
        <w:t xml:space="preserve">Environmental Radioactivity, 178–179, 168–176. </w:t>
      </w:r>
      <w:hyperlink r:id="rId40" w:history="1">
        <w:r w:rsidRPr="00AF4744">
          <w:rPr>
            <w:rStyle w:val="Hyperlink"/>
            <w:rFonts w:ascii="Arial" w:hAnsi="Arial" w:cs="Arial"/>
            <w:sz w:val="22"/>
            <w:szCs w:val="22"/>
          </w:rPr>
          <w:t>https://doi.org/10.1016/j.jenvrad.2017.08.010</w:t>
        </w:r>
      </w:hyperlink>
      <w:r>
        <w:rPr>
          <w:rFonts w:ascii="Arial" w:hAnsi="Arial" w:cs="Arial"/>
          <w:sz w:val="22"/>
          <w:szCs w:val="22"/>
        </w:rPr>
        <w:t xml:space="preserve"> </w:t>
      </w:r>
      <w:r w:rsidR="00683F5C" w:rsidRPr="00683F5C">
        <w:rPr>
          <w:rFonts w:ascii="Arial" w:hAnsi="Arial" w:cs="Arial"/>
          <w:sz w:val="22"/>
          <w:szCs w:val="22"/>
        </w:rPr>
        <w:t>.</w:t>
      </w:r>
    </w:p>
    <w:p w14:paraId="69612ECC" w14:textId="462B8891" w:rsidR="00683F5C" w:rsidRPr="00683F5C" w:rsidRDefault="000D2EF1" w:rsidP="000D2EF1">
      <w:pPr>
        <w:pStyle w:val="NormalWeb"/>
        <w:numPr>
          <w:ilvl w:val="0"/>
          <w:numId w:val="31"/>
        </w:numPr>
        <w:jc w:val="both"/>
        <w:rPr>
          <w:rFonts w:ascii="Arial" w:hAnsi="Arial" w:cs="Arial"/>
          <w:sz w:val="22"/>
          <w:szCs w:val="22"/>
        </w:rPr>
      </w:pPr>
      <w:r w:rsidRPr="000D2EF1">
        <w:rPr>
          <w:rFonts w:ascii="Arial" w:hAnsi="Arial" w:cs="Arial"/>
          <w:sz w:val="22"/>
          <w:szCs w:val="22"/>
        </w:rPr>
        <w:t xml:space="preserve">Kleinschmidt, R., &amp; Watson, D. (2016). Terrestrial gamma radiation baseline mapping using ultra </w:t>
      </w:r>
      <w:proofErr w:type="gramStart"/>
      <w:r w:rsidRPr="000D2EF1">
        <w:rPr>
          <w:rFonts w:ascii="Arial" w:hAnsi="Arial" w:cs="Arial"/>
          <w:sz w:val="22"/>
          <w:szCs w:val="22"/>
        </w:rPr>
        <w:t>low density</w:t>
      </w:r>
      <w:proofErr w:type="gramEnd"/>
      <w:r w:rsidRPr="000D2EF1">
        <w:rPr>
          <w:rFonts w:ascii="Arial" w:hAnsi="Arial" w:cs="Arial"/>
          <w:sz w:val="22"/>
          <w:szCs w:val="22"/>
        </w:rPr>
        <w:t xml:space="preserve"> sampling methods. Journal of Environmental Radioactivity. </w:t>
      </w:r>
      <w:hyperlink r:id="rId41" w:history="1">
        <w:r w:rsidRPr="00AF4744">
          <w:rPr>
            <w:rStyle w:val="Hyperlink"/>
            <w:rFonts w:ascii="Arial" w:hAnsi="Arial" w:cs="Arial"/>
            <w:sz w:val="22"/>
            <w:szCs w:val="22"/>
          </w:rPr>
          <w:t>https://doi.org/10.1016/j.jenvrad.2015.05.008</w:t>
        </w:r>
      </w:hyperlink>
      <w:r>
        <w:rPr>
          <w:rFonts w:ascii="Arial" w:hAnsi="Arial" w:cs="Arial"/>
          <w:sz w:val="22"/>
          <w:szCs w:val="22"/>
        </w:rPr>
        <w:t xml:space="preserve"> </w:t>
      </w:r>
      <w:r w:rsidR="00683F5C" w:rsidRPr="00683F5C">
        <w:rPr>
          <w:rFonts w:ascii="Arial" w:hAnsi="Arial" w:cs="Arial"/>
          <w:sz w:val="22"/>
          <w:szCs w:val="22"/>
        </w:rPr>
        <w:t>.</w:t>
      </w:r>
    </w:p>
    <w:p w14:paraId="504D3F8B" w14:textId="25F3044D" w:rsidR="00683F5C" w:rsidRPr="00683F5C" w:rsidRDefault="00103E9B" w:rsidP="00103E9B">
      <w:pPr>
        <w:pStyle w:val="NormalWeb"/>
        <w:numPr>
          <w:ilvl w:val="0"/>
          <w:numId w:val="31"/>
        </w:numPr>
        <w:jc w:val="both"/>
        <w:rPr>
          <w:rFonts w:ascii="Arial" w:hAnsi="Arial" w:cs="Arial"/>
          <w:sz w:val="22"/>
          <w:szCs w:val="22"/>
        </w:rPr>
      </w:pPr>
      <w:r w:rsidRPr="00103E9B">
        <w:rPr>
          <w:rFonts w:ascii="Arial" w:hAnsi="Arial" w:cs="Arial"/>
          <w:sz w:val="22"/>
          <w:szCs w:val="22"/>
        </w:rPr>
        <w:t xml:space="preserve">Kock, P., &amp; Samuelsson, C. (2011). Comparison of airborne and terrestrial gamma spectrometry measurements - evaluation of three areas in southern Sweden. Journal of Environmental Radioactivity, 102(6), 605–613. </w:t>
      </w:r>
      <w:hyperlink r:id="rId42" w:history="1">
        <w:r w:rsidRPr="00AF4744">
          <w:rPr>
            <w:rStyle w:val="Hyperlink"/>
            <w:rFonts w:ascii="Arial" w:hAnsi="Arial" w:cs="Arial"/>
            <w:sz w:val="22"/>
            <w:szCs w:val="22"/>
          </w:rPr>
          <w:t>https://doi.org/10.1016/j.jenvrad.2011.03.010</w:t>
        </w:r>
      </w:hyperlink>
      <w:r>
        <w:rPr>
          <w:rFonts w:ascii="Arial" w:hAnsi="Arial" w:cs="Arial"/>
          <w:sz w:val="22"/>
          <w:szCs w:val="22"/>
        </w:rPr>
        <w:t xml:space="preserve"> </w:t>
      </w:r>
      <w:r w:rsidR="00683F5C" w:rsidRPr="00683F5C">
        <w:rPr>
          <w:rFonts w:ascii="Arial" w:hAnsi="Arial" w:cs="Arial"/>
          <w:sz w:val="22"/>
          <w:szCs w:val="22"/>
        </w:rPr>
        <w:t>.</w:t>
      </w:r>
    </w:p>
    <w:p w14:paraId="3E8BA5DE" w14:textId="3C63DFC4" w:rsidR="00683F5C" w:rsidRPr="00683F5C" w:rsidRDefault="00A67E96" w:rsidP="00A67E96">
      <w:pPr>
        <w:pStyle w:val="NormalWeb"/>
        <w:numPr>
          <w:ilvl w:val="0"/>
          <w:numId w:val="31"/>
        </w:numPr>
        <w:jc w:val="both"/>
        <w:rPr>
          <w:rFonts w:ascii="Arial" w:hAnsi="Arial" w:cs="Arial"/>
          <w:sz w:val="22"/>
          <w:szCs w:val="22"/>
        </w:rPr>
      </w:pPr>
      <w:r w:rsidRPr="00A67E96">
        <w:rPr>
          <w:rFonts w:ascii="Arial" w:hAnsi="Arial" w:cs="Arial"/>
          <w:sz w:val="22"/>
          <w:szCs w:val="22"/>
        </w:rPr>
        <w:t xml:space="preserve">Lai, K. K., Hu, S. J., Minato, S., </w:t>
      </w:r>
      <w:proofErr w:type="spellStart"/>
      <w:r w:rsidRPr="00A67E96">
        <w:rPr>
          <w:rFonts w:ascii="Arial" w:hAnsi="Arial" w:cs="Arial"/>
          <w:sz w:val="22"/>
          <w:szCs w:val="22"/>
        </w:rPr>
        <w:t>Kodaira</w:t>
      </w:r>
      <w:proofErr w:type="spellEnd"/>
      <w:r w:rsidRPr="00A67E96">
        <w:rPr>
          <w:rFonts w:ascii="Arial" w:hAnsi="Arial" w:cs="Arial"/>
          <w:sz w:val="22"/>
          <w:szCs w:val="22"/>
        </w:rPr>
        <w:t xml:space="preserve">, K., &amp; Tan, K. S. (1999). Terrestrial gamma ray dose rates of Brunei Darussalam. Applied Radiation and Isotopes, 50(3), 599–608. </w:t>
      </w:r>
      <w:hyperlink r:id="rId43" w:history="1">
        <w:r w:rsidRPr="00AF4744">
          <w:rPr>
            <w:rStyle w:val="Hyperlink"/>
            <w:rFonts w:ascii="Arial" w:hAnsi="Arial" w:cs="Arial"/>
            <w:sz w:val="22"/>
            <w:szCs w:val="22"/>
          </w:rPr>
          <w:t>https://doi.org/10.1016/s0969-8043(98)00080-3</w:t>
        </w:r>
      </w:hyperlink>
      <w:r>
        <w:rPr>
          <w:rFonts w:ascii="Arial" w:hAnsi="Arial" w:cs="Arial"/>
          <w:sz w:val="22"/>
          <w:szCs w:val="22"/>
        </w:rPr>
        <w:t xml:space="preserve"> </w:t>
      </w:r>
      <w:r w:rsidR="00683F5C" w:rsidRPr="00683F5C">
        <w:rPr>
          <w:rFonts w:ascii="Arial" w:hAnsi="Arial" w:cs="Arial"/>
          <w:sz w:val="22"/>
          <w:szCs w:val="22"/>
        </w:rPr>
        <w:t>.</w:t>
      </w:r>
    </w:p>
    <w:p w14:paraId="0E66FE7B" w14:textId="234F5CB8" w:rsidR="00683F5C" w:rsidRPr="00683F5C" w:rsidRDefault="00C25B4F" w:rsidP="00C25B4F">
      <w:pPr>
        <w:pStyle w:val="NormalWeb"/>
        <w:numPr>
          <w:ilvl w:val="0"/>
          <w:numId w:val="31"/>
        </w:numPr>
        <w:jc w:val="both"/>
        <w:rPr>
          <w:rFonts w:ascii="Arial" w:hAnsi="Arial" w:cs="Arial"/>
          <w:sz w:val="22"/>
          <w:szCs w:val="22"/>
        </w:rPr>
      </w:pPr>
      <w:r w:rsidRPr="00C25B4F">
        <w:rPr>
          <w:rFonts w:ascii="Arial" w:hAnsi="Arial" w:cs="Arial"/>
          <w:sz w:val="22"/>
          <w:szCs w:val="22"/>
        </w:rPr>
        <w:t xml:space="preserve">Ludlum Measurements, Inc. (1993). *Instruction manual: Ludlum Model 19 Micro R Meter*. Ludlum Measurements, Inc. </w:t>
      </w:r>
      <w:hyperlink r:id="rId44" w:history="1">
        <w:r w:rsidRPr="00AF4744">
          <w:rPr>
            <w:rStyle w:val="Hyperlink"/>
            <w:rFonts w:ascii="Arial" w:hAnsi="Arial" w:cs="Arial"/>
            <w:sz w:val="22"/>
            <w:szCs w:val="22"/>
          </w:rPr>
          <w:t>https://www.ludlums.com/products/model-19-micror-survey-meter</w:t>
        </w:r>
      </w:hyperlink>
      <w:r>
        <w:rPr>
          <w:rFonts w:ascii="Arial" w:hAnsi="Arial" w:cs="Arial"/>
          <w:sz w:val="22"/>
          <w:szCs w:val="22"/>
        </w:rPr>
        <w:t xml:space="preserve"> </w:t>
      </w:r>
      <w:r w:rsidR="00683F5C" w:rsidRPr="00683F5C">
        <w:rPr>
          <w:rFonts w:ascii="Arial" w:hAnsi="Arial" w:cs="Arial"/>
          <w:sz w:val="22"/>
          <w:szCs w:val="22"/>
        </w:rPr>
        <w:t>.</w:t>
      </w:r>
    </w:p>
    <w:p w14:paraId="203D7D71" w14:textId="33B4765F" w:rsidR="00683F5C" w:rsidRPr="00683F5C" w:rsidRDefault="001430AC" w:rsidP="001430AC">
      <w:pPr>
        <w:pStyle w:val="NormalWeb"/>
        <w:numPr>
          <w:ilvl w:val="0"/>
          <w:numId w:val="31"/>
        </w:numPr>
        <w:jc w:val="both"/>
        <w:rPr>
          <w:rFonts w:ascii="Arial" w:hAnsi="Arial" w:cs="Arial"/>
          <w:sz w:val="22"/>
          <w:szCs w:val="22"/>
        </w:rPr>
      </w:pPr>
      <w:r w:rsidRPr="001430AC">
        <w:rPr>
          <w:rFonts w:ascii="Arial" w:hAnsi="Arial" w:cs="Arial"/>
          <w:sz w:val="22"/>
          <w:szCs w:val="22"/>
        </w:rPr>
        <w:t xml:space="preserve">Mares, S. (1984). Introduction to applied geophysics. Kluwer Academic Publishers. </w:t>
      </w:r>
      <w:hyperlink r:id="rId45" w:history="1">
        <w:r w:rsidRPr="00AF4744">
          <w:rPr>
            <w:rStyle w:val="Hyperlink"/>
            <w:rFonts w:ascii="Arial" w:hAnsi="Arial" w:cs="Arial"/>
            <w:sz w:val="22"/>
            <w:szCs w:val="22"/>
          </w:rPr>
          <w:t>https://doi.org/10.1007/978-94-015-7684-0</w:t>
        </w:r>
      </w:hyperlink>
      <w:r>
        <w:rPr>
          <w:rFonts w:ascii="Arial" w:hAnsi="Arial" w:cs="Arial"/>
          <w:sz w:val="22"/>
          <w:szCs w:val="22"/>
        </w:rPr>
        <w:t xml:space="preserve"> </w:t>
      </w:r>
      <w:r w:rsidR="00683F5C" w:rsidRPr="00683F5C">
        <w:rPr>
          <w:rFonts w:ascii="Arial" w:hAnsi="Arial" w:cs="Arial"/>
          <w:sz w:val="22"/>
          <w:szCs w:val="22"/>
        </w:rPr>
        <w:t>.</w:t>
      </w:r>
    </w:p>
    <w:p w14:paraId="720219D6" w14:textId="587084F3" w:rsidR="00683F5C" w:rsidRPr="00683F5C" w:rsidRDefault="00BD3FBB" w:rsidP="00BD3FBB">
      <w:pPr>
        <w:pStyle w:val="NormalWeb"/>
        <w:numPr>
          <w:ilvl w:val="0"/>
          <w:numId w:val="31"/>
        </w:numPr>
        <w:jc w:val="both"/>
        <w:rPr>
          <w:rFonts w:ascii="Arial" w:hAnsi="Arial" w:cs="Arial"/>
          <w:sz w:val="22"/>
          <w:szCs w:val="22"/>
        </w:rPr>
      </w:pPr>
      <w:r w:rsidRPr="00BD3FBB">
        <w:rPr>
          <w:rFonts w:ascii="Arial" w:hAnsi="Arial" w:cs="Arial"/>
          <w:sz w:val="22"/>
          <w:szCs w:val="22"/>
        </w:rPr>
        <w:t xml:space="preserve">Mohanty, A. K., Sengupta, D., Das, S. K., Vijayan, V., &amp; </w:t>
      </w:r>
      <w:proofErr w:type="spellStart"/>
      <w:r w:rsidRPr="00BD3FBB">
        <w:rPr>
          <w:rFonts w:ascii="Arial" w:hAnsi="Arial" w:cs="Arial"/>
          <w:sz w:val="22"/>
          <w:szCs w:val="22"/>
        </w:rPr>
        <w:t>Saha</w:t>
      </w:r>
      <w:proofErr w:type="spellEnd"/>
      <w:r w:rsidRPr="00BD3FBB">
        <w:rPr>
          <w:rFonts w:ascii="Arial" w:hAnsi="Arial" w:cs="Arial"/>
          <w:sz w:val="22"/>
          <w:szCs w:val="22"/>
        </w:rPr>
        <w:t xml:space="preserve">, S. K. (2004). Natural Radioactivity in the Newly Discovered High Background Radiation Area on the Eastern Coast of Orissa, India. Radiation Measurements, 38(2), 153–165. </w:t>
      </w:r>
      <w:hyperlink r:id="rId46" w:history="1">
        <w:r w:rsidRPr="00AF4744">
          <w:rPr>
            <w:rStyle w:val="Hyperlink"/>
            <w:rFonts w:ascii="Arial" w:hAnsi="Arial" w:cs="Arial"/>
            <w:sz w:val="22"/>
            <w:szCs w:val="22"/>
          </w:rPr>
          <w:t>https://doi.org/10.1016/j.radmeas.2003.08.003</w:t>
        </w:r>
      </w:hyperlink>
      <w:r>
        <w:rPr>
          <w:rFonts w:ascii="Arial" w:hAnsi="Arial" w:cs="Arial"/>
          <w:sz w:val="22"/>
          <w:szCs w:val="22"/>
        </w:rPr>
        <w:t xml:space="preserve"> </w:t>
      </w:r>
      <w:r w:rsidR="00683F5C" w:rsidRPr="00683F5C">
        <w:rPr>
          <w:rFonts w:ascii="Arial" w:hAnsi="Arial" w:cs="Arial"/>
          <w:sz w:val="22"/>
          <w:szCs w:val="22"/>
        </w:rPr>
        <w:t>.</w:t>
      </w:r>
    </w:p>
    <w:p w14:paraId="55A61303" w14:textId="3E321955" w:rsidR="00683F5C" w:rsidRPr="00683F5C" w:rsidRDefault="000C567F" w:rsidP="000C567F">
      <w:pPr>
        <w:pStyle w:val="NormalWeb"/>
        <w:numPr>
          <w:ilvl w:val="0"/>
          <w:numId w:val="31"/>
        </w:numPr>
        <w:jc w:val="both"/>
        <w:rPr>
          <w:rFonts w:ascii="Arial" w:hAnsi="Arial" w:cs="Arial"/>
          <w:sz w:val="22"/>
          <w:szCs w:val="22"/>
        </w:rPr>
      </w:pPr>
      <w:r w:rsidRPr="000C567F">
        <w:rPr>
          <w:rFonts w:ascii="Arial" w:hAnsi="Arial" w:cs="Arial"/>
          <w:sz w:val="22"/>
          <w:szCs w:val="22"/>
        </w:rPr>
        <w:t xml:space="preserve">Mora, P., Picado, E., &amp; Minato, S. (2007). Natural radiation doses for cosmic and terrestrial components in Costa Rica. Applied Radiation and Isotopes. </w:t>
      </w:r>
      <w:hyperlink r:id="rId47" w:history="1">
        <w:r w:rsidRPr="00AF4744">
          <w:rPr>
            <w:rStyle w:val="Hyperlink"/>
            <w:rFonts w:ascii="Arial" w:hAnsi="Arial" w:cs="Arial"/>
            <w:sz w:val="22"/>
            <w:szCs w:val="22"/>
          </w:rPr>
          <w:t>https://doi.org/10.1016/j.apradiso.2006.06.001</w:t>
        </w:r>
      </w:hyperlink>
      <w:r>
        <w:rPr>
          <w:rFonts w:ascii="Arial" w:hAnsi="Arial" w:cs="Arial"/>
          <w:sz w:val="22"/>
          <w:szCs w:val="22"/>
        </w:rPr>
        <w:t xml:space="preserve"> </w:t>
      </w:r>
      <w:r w:rsidR="00683F5C" w:rsidRPr="00683F5C">
        <w:rPr>
          <w:rFonts w:ascii="Arial" w:hAnsi="Arial" w:cs="Arial"/>
          <w:sz w:val="22"/>
          <w:szCs w:val="22"/>
        </w:rPr>
        <w:t>.</w:t>
      </w:r>
    </w:p>
    <w:p w14:paraId="5F34460F" w14:textId="2DAE984D" w:rsidR="00683F5C" w:rsidRPr="00683F5C" w:rsidRDefault="00A23814" w:rsidP="00A23814">
      <w:pPr>
        <w:pStyle w:val="NormalWeb"/>
        <w:numPr>
          <w:ilvl w:val="0"/>
          <w:numId w:val="31"/>
        </w:numPr>
        <w:jc w:val="both"/>
        <w:rPr>
          <w:rFonts w:ascii="Arial" w:hAnsi="Arial" w:cs="Arial"/>
          <w:sz w:val="22"/>
          <w:szCs w:val="22"/>
        </w:rPr>
      </w:pPr>
      <w:proofErr w:type="spellStart"/>
      <w:r w:rsidRPr="00A23814">
        <w:rPr>
          <w:rFonts w:ascii="Arial" w:hAnsi="Arial" w:cs="Arial"/>
          <w:sz w:val="22"/>
          <w:szCs w:val="22"/>
        </w:rPr>
        <w:t>Norbani</w:t>
      </w:r>
      <w:proofErr w:type="spellEnd"/>
      <w:r w:rsidRPr="00A23814">
        <w:rPr>
          <w:rFonts w:ascii="Arial" w:hAnsi="Arial" w:cs="Arial"/>
          <w:sz w:val="22"/>
          <w:szCs w:val="22"/>
        </w:rPr>
        <w:t xml:space="preserve">, N. E., Salim, N. A. A., </w:t>
      </w:r>
      <w:proofErr w:type="spellStart"/>
      <w:r w:rsidRPr="00A23814">
        <w:rPr>
          <w:rFonts w:ascii="Arial" w:hAnsi="Arial" w:cs="Arial"/>
          <w:sz w:val="22"/>
          <w:szCs w:val="22"/>
        </w:rPr>
        <w:t>Saat</w:t>
      </w:r>
      <w:proofErr w:type="spellEnd"/>
      <w:r w:rsidRPr="00A23814">
        <w:rPr>
          <w:rFonts w:ascii="Arial" w:hAnsi="Arial" w:cs="Arial"/>
          <w:sz w:val="22"/>
          <w:szCs w:val="22"/>
        </w:rPr>
        <w:t xml:space="preserve">, A., Hamzah, Z., Ramli, A. T., Idris, W. M. R. W., Jaafar, M. Z., Bradley, D. A., &amp; Abdul Rahman, A. T. (2014). Terrestrial gamma radiation dose rates (TGRD) from surface soil in Negeri Sembilan, Malaysia. Radiation Physics and Chemistry, 104, 112–117. </w:t>
      </w:r>
      <w:hyperlink r:id="rId48" w:history="1">
        <w:r w:rsidRPr="00AF4744">
          <w:rPr>
            <w:rStyle w:val="Hyperlink"/>
            <w:rFonts w:ascii="Arial" w:hAnsi="Arial" w:cs="Arial"/>
            <w:sz w:val="22"/>
            <w:szCs w:val="22"/>
          </w:rPr>
          <w:t>https://doi.org/10.1016/j.radphyschem.2014.04.005</w:t>
        </w:r>
      </w:hyperlink>
      <w:r>
        <w:rPr>
          <w:rFonts w:ascii="Arial" w:hAnsi="Arial" w:cs="Arial"/>
          <w:sz w:val="22"/>
          <w:szCs w:val="22"/>
        </w:rPr>
        <w:t xml:space="preserve"> </w:t>
      </w:r>
      <w:r w:rsidR="00683F5C" w:rsidRPr="00683F5C">
        <w:rPr>
          <w:rFonts w:ascii="Arial" w:hAnsi="Arial" w:cs="Arial"/>
          <w:sz w:val="22"/>
          <w:szCs w:val="22"/>
        </w:rPr>
        <w:t>.</w:t>
      </w:r>
    </w:p>
    <w:p w14:paraId="7370A3D5" w14:textId="73EE8E4E"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Omar, M., Ibrahim, M. Y., Hasan, A., Mahmood, C. S., Mooi, L. H., Ahmad, Z., &amp; </w:t>
      </w:r>
      <w:proofErr w:type="spellStart"/>
      <w:r w:rsidRPr="00683F5C">
        <w:rPr>
          <w:rFonts w:ascii="Arial" w:hAnsi="Arial" w:cs="Arial"/>
          <w:sz w:val="22"/>
          <w:szCs w:val="22"/>
        </w:rPr>
        <w:t>Sharifuddin</w:t>
      </w:r>
      <w:proofErr w:type="spellEnd"/>
      <w:r w:rsidRPr="00683F5C">
        <w:rPr>
          <w:rFonts w:ascii="Arial" w:hAnsi="Arial" w:cs="Arial"/>
          <w:sz w:val="22"/>
          <w:szCs w:val="22"/>
        </w:rPr>
        <w:t>, M. (1991). Radiation level and environmental radioactivity in Malaysia. M</w:t>
      </w:r>
      <w:r w:rsidR="00BD4091">
        <w:rPr>
          <w:rFonts w:ascii="Arial" w:hAnsi="Arial" w:cs="Arial"/>
          <w:sz w:val="22"/>
          <w:szCs w:val="22"/>
        </w:rPr>
        <w:t>alaysia Institute for Nuclear Technology Research (MINT)</w:t>
      </w:r>
      <w:r w:rsidRPr="00683F5C">
        <w:rPr>
          <w:rFonts w:ascii="Arial" w:hAnsi="Arial" w:cs="Arial"/>
          <w:sz w:val="22"/>
          <w:szCs w:val="22"/>
        </w:rPr>
        <w:t xml:space="preserve"> </w:t>
      </w:r>
      <w:r w:rsidRPr="009E64D7">
        <w:rPr>
          <w:rFonts w:ascii="Arial" w:hAnsi="Arial" w:cs="Arial"/>
          <w:i/>
          <w:iCs/>
          <w:sz w:val="22"/>
          <w:szCs w:val="22"/>
        </w:rPr>
        <w:t>Internal Report</w:t>
      </w:r>
      <w:r w:rsidRPr="00683F5C">
        <w:rPr>
          <w:rFonts w:ascii="Arial" w:hAnsi="Arial" w:cs="Arial"/>
          <w:sz w:val="22"/>
          <w:szCs w:val="22"/>
        </w:rPr>
        <w:t>, 1–13.</w:t>
      </w:r>
    </w:p>
    <w:p w14:paraId="434A2248" w14:textId="71E4828F" w:rsidR="00683F5C" w:rsidRPr="00683F5C" w:rsidRDefault="00C05BAC" w:rsidP="00C05BAC">
      <w:pPr>
        <w:pStyle w:val="NormalWeb"/>
        <w:numPr>
          <w:ilvl w:val="0"/>
          <w:numId w:val="31"/>
        </w:numPr>
        <w:jc w:val="both"/>
        <w:rPr>
          <w:rFonts w:ascii="Arial" w:hAnsi="Arial" w:cs="Arial"/>
          <w:sz w:val="22"/>
          <w:szCs w:val="22"/>
        </w:rPr>
      </w:pPr>
      <w:proofErr w:type="spellStart"/>
      <w:r w:rsidRPr="00C05BAC">
        <w:rPr>
          <w:rFonts w:ascii="Arial" w:hAnsi="Arial" w:cs="Arial"/>
          <w:sz w:val="22"/>
          <w:szCs w:val="22"/>
        </w:rPr>
        <w:t>Pálsson</w:t>
      </w:r>
      <w:proofErr w:type="spellEnd"/>
      <w:r w:rsidRPr="00C05BAC">
        <w:rPr>
          <w:rFonts w:ascii="Arial" w:hAnsi="Arial" w:cs="Arial"/>
          <w:sz w:val="22"/>
          <w:szCs w:val="22"/>
        </w:rPr>
        <w:t xml:space="preserve">, S. E., Howard, B. J., Bergan, T. D., </w:t>
      </w:r>
      <w:proofErr w:type="spellStart"/>
      <w:r w:rsidRPr="00C05BAC">
        <w:rPr>
          <w:rFonts w:ascii="Arial" w:hAnsi="Arial" w:cs="Arial"/>
          <w:sz w:val="22"/>
          <w:szCs w:val="22"/>
        </w:rPr>
        <w:t>Paatero</w:t>
      </w:r>
      <w:proofErr w:type="spellEnd"/>
      <w:r w:rsidRPr="00C05BAC">
        <w:rPr>
          <w:rFonts w:ascii="Arial" w:hAnsi="Arial" w:cs="Arial"/>
          <w:sz w:val="22"/>
          <w:szCs w:val="22"/>
        </w:rPr>
        <w:t xml:space="preserve">, J., Isaksson, M., &amp; Nielsen, S. P. (2013). A simple model to estimate deposition based on a statistical reassessment of global fallout data. Journal of Environmental Radioactivity, 121, 75–86. </w:t>
      </w:r>
      <w:hyperlink r:id="rId49" w:history="1">
        <w:r w:rsidRPr="00AF4744">
          <w:rPr>
            <w:rStyle w:val="Hyperlink"/>
            <w:rFonts w:ascii="Arial" w:hAnsi="Arial" w:cs="Arial"/>
            <w:sz w:val="22"/>
            <w:szCs w:val="22"/>
          </w:rPr>
          <w:t>https://doi.org/10.1016/j.jenvrad.2012.03.006</w:t>
        </w:r>
      </w:hyperlink>
      <w:r>
        <w:rPr>
          <w:rFonts w:ascii="Arial" w:hAnsi="Arial" w:cs="Arial"/>
          <w:sz w:val="22"/>
          <w:szCs w:val="22"/>
        </w:rPr>
        <w:t xml:space="preserve"> </w:t>
      </w:r>
      <w:r w:rsidR="00683F5C" w:rsidRPr="00683F5C">
        <w:rPr>
          <w:rFonts w:ascii="Arial" w:hAnsi="Arial" w:cs="Arial"/>
          <w:sz w:val="22"/>
          <w:szCs w:val="22"/>
        </w:rPr>
        <w:t>.</w:t>
      </w:r>
    </w:p>
    <w:p w14:paraId="0E120065" w14:textId="2BC134DC" w:rsidR="00683F5C" w:rsidRPr="00683F5C" w:rsidRDefault="00712CF9" w:rsidP="00712CF9">
      <w:pPr>
        <w:pStyle w:val="NormalWeb"/>
        <w:numPr>
          <w:ilvl w:val="0"/>
          <w:numId w:val="31"/>
        </w:numPr>
        <w:jc w:val="both"/>
        <w:rPr>
          <w:rFonts w:ascii="Arial" w:hAnsi="Arial" w:cs="Arial"/>
          <w:sz w:val="22"/>
          <w:szCs w:val="22"/>
        </w:rPr>
      </w:pPr>
      <w:proofErr w:type="spellStart"/>
      <w:r w:rsidRPr="00712CF9">
        <w:rPr>
          <w:rFonts w:ascii="Arial" w:hAnsi="Arial" w:cs="Arial"/>
          <w:sz w:val="22"/>
          <w:szCs w:val="22"/>
        </w:rPr>
        <w:t>Poje</w:t>
      </w:r>
      <w:proofErr w:type="spellEnd"/>
      <w:r w:rsidRPr="00712CF9">
        <w:rPr>
          <w:rFonts w:ascii="Arial" w:hAnsi="Arial" w:cs="Arial"/>
          <w:sz w:val="22"/>
          <w:szCs w:val="22"/>
        </w:rPr>
        <w:t xml:space="preserve">, M., </w:t>
      </w:r>
      <w:proofErr w:type="spellStart"/>
      <w:r w:rsidRPr="00712CF9">
        <w:rPr>
          <w:rFonts w:ascii="Arial" w:hAnsi="Arial" w:cs="Arial"/>
          <w:sz w:val="22"/>
          <w:szCs w:val="22"/>
        </w:rPr>
        <w:t>Vuković</w:t>
      </w:r>
      <w:proofErr w:type="spellEnd"/>
      <w:r w:rsidRPr="00712CF9">
        <w:rPr>
          <w:rFonts w:ascii="Arial" w:hAnsi="Arial" w:cs="Arial"/>
          <w:sz w:val="22"/>
          <w:szCs w:val="22"/>
        </w:rPr>
        <w:t xml:space="preserve">, B., </w:t>
      </w:r>
      <w:proofErr w:type="spellStart"/>
      <w:r w:rsidRPr="00712CF9">
        <w:rPr>
          <w:rFonts w:ascii="Arial" w:hAnsi="Arial" w:cs="Arial"/>
          <w:sz w:val="22"/>
          <w:szCs w:val="22"/>
        </w:rPr>
        <w:t>Radolić</w:t>
      </w:r>
      <w:proofErr w:type="spellEnd"/>
      <w:r w:rsidRPr="00712CF9">
        <w:rPr>
          <w:rFonts w:ascii="Arial" w:hAnsi="Arial" w:cs="Arial"/>
          <w:sz w:val="22"/>
          <w:szCs w:val="22"/>
        </w:rPr>
        <w:t xml:space="preserve">, V., </w:t>
      </w:r>
      <w:proofErr w:type="spellStart"/>
      <w:r w:rsidRPr="00712CF9">
        <w:rPr>
          <w:rFonts w:ascii="Arial" w:hAnsi="Arial" w:cs="Arial"/>
          <w:sz w:val="22"/>
          <w:szCs w:val="22"/>
        </w:rPr>
        <w:t>Miklavčić</w:t>
      </w:r>
      <w:proofErr w:type="spellEnd"/>
      <w:r w:rsidRPr="00712CF9">
        <w:rPr>
          <w:rFonts w:ascii="Arial" w:hAnsi="Arial" w:cs="Arial"/>
          <w:sz w:val="22"/>
          <w:szCs w:val="22"/>
        </w:rPr>
        <w:t xml:space="preserve">, I., </w:t>
      </w:r>
      <w:proofErr w:type="spellStart"/>
      <w:r w:rsidRPr="00712CF9">
        <w:rPr>
          <w:rFonts w:ascii="Arial" w:hAnsi="Arial" w:cs="Arial"/>
          <w:sz w:val="22"/>
          <w:szCs w:val="22"/>
        </w:rPr>
        <w:t>Faj</w:t>
      </w:r>
      <w:proofErr w:type="spellEnd"/>
      <w:r w:rsidRPr="00712CF9">
        <w:rPr>
          <w:rFonts w:ascii="Arial" w:hAnsi="Arial" w:cs="Arial"/>
          <w:sz w:val="22"/>
          <w:szCs w:val="22"/>
        </w:rPr>
        <w:t xml:space="preserve">, D., </w:t>
      </w:r>
      <w:proofErr w:type="spellStart"/>
      <w:r w:rsidRPr="00712CF9">
        <w:rPr>
          <w:rFonts w:ascii="Arial" w:hAnsi="Arial" w:cs="Arial"/>
          <w:sz w:val="22"/>
          <w:szCs w:val="22"/>
        </w:rPr>
        <w:t>Varga</w:t>
      </w:r>
      <w:proofErr w:type="spellEnd"/>
      <w:r w:rsidRPr="00712CF9">
        <w:rPr>
          <w:rFonts w:ascii="Arial" w:hAnsi="Arial" w:cs="Arial"/>
          <w:sz w:val="22"/>
          <w:szCs w:val="22"/>
        </w:rPr>
        <w:t xml:space="preserve"> </w:t>
      </w:r>
      <w:proofErr w:type="spellStart"/>
      <w:r w:rsidRPr="00712CF9">
        <w:rPr>
          <w:rFonts w:ascii="Arial" w:hAnsi="Arial" w:cs="Arial"/>
          <w:sz w:val="22"/>
          <w:szCs w:val="22"/>
        </w:rPr>
        <w:t>Pajtler</w:t>
      </w:r>
      <w:proofErr w:type="spellEnd"/>
      <w:r w:rsidRPr="00712CF9">
        <w:rPr>
          <w:rFonts w:ascii="Arial" w:hAnsi="Arial" w:cs="Arial"/>
          <w:sz w:val="22"/>
          <w:szCs w:val="22"/>
        </w:rPr>
        <w:t xml:space="preserve">, M., &amp; </w:t>
      </w:r>
      <w:proofErr w:type="spellStart"/>
      <w:r w:rsidRPr="00712CF9">
        <w:rPr>
          <w:rFonts w:ascii="Arial" w:hAnsi="Arial" w:cs="Arial"/>
          <w:sz w:val="22"/>
          <w:szCs w:val="22"/>
        </w:rPr>
        <w:t>Planinić</w:t>
      </w:r>
      <w:proofErr w:type="spellEnd"/>
      <w:r w:rsidRPr="00712CF9">
        <w:rPr>
          <w:rFonts w:ascii="Arial" w:hAnsi="Arial" w:cs="Arial"/>
          <w:sz w:val="22"/>
          <w:szCs w:val="22"/>
        </w:rPr>
        <w:t xml:space="preserve">, J. (2012). Mapping of cosmic radiation dose in Croatia. Journal of Environmental Radioactivity, 103, 30–33. </w:t>
      </w:r>
      <w:hyperlink r:id="rId50" w:history="1">
        <w:r w:rsidRPr="00AF4744">
          <w:rPr>
            <w:rStyle w:val="Hyperlink"/>
            <w:rFonts w:ascii="Arial" w:hAnsi="Arial" w:cs="Arial"/>
            <w:sz w:val="22"/>
            <w:szCs w:val="22"/>
          </w:rPr>
          <w:t>https://doi.org/10.1016/j.jenvrad.2011.08.016</w:t>
        </w:r>
      </w:hyperlink>
      <w:r>
        <w:rPr>
          <w:rFonts w:ascii="Arial" w:hAnsi="Arial" w:cs="Arial"/>
          <w:sz w:val="22"/>
          <w:szCs w:val="22"/>
        </w:rPr>
        <w:t xml:space="preserve"> </w:t>
      </w:r>
      <w:r w:rsidR="00683F5C" w:rsidRPr="00683F5C">
        <w:rPr>
          <w:rFonts w:ascii="Arial" w:hAnsi="Arial" w:cs="Arial"/>
          <w:sz w:val="22"/>
          <w:szCs w:val="22"/>
        </w:rPr>
        <w:t>.</w:t>
      </w:r>
    </w:p>
    <w:p w14:paraId="63A5ED2B" w14:textId="46EF2FF7" w:rsidR="00683F5C" w:rsidRPr="00683F5C" w:rsidRDefault="00C1524C" w:rsidP="00C1524C">
      <w:pPr>
        <w:pStyle w:val="NormalWeb"/>
        <w:numPr>
          <w:ilvl w:val="0"/>
          <w:numId w:val="31"/>
        </w:numPr>
        <w:jc w:val="both"/>
        <w:rPr>
          <w:rFonts w:ascii="Arial" w:hAnsi="Arial" w:cs="Arial"/>
          <w:sz w:val="22"/>
          <w:szCs w:val="22"/>
        </w:rPr>
      </w:pPr>
      <w:proofErr w:type="spellStart"/>
      <w:r w:rsidRPr="00C1524C">
        <w:rPr>
          <w:rFonts w:ascii="Arial" w:hAnsi="Arial" w:cs="Arial"/>
          <w:sz w:val="22"/>
          <w:szCs w:val="22"/>
        </w:rPr>
        <w:t>Quindós</w:t>
      </w:r>
      <w:proofErr w:type="spellEnd"/>
      <w:r w:rsidRPr="00C1524C">
        <w:rPr>
          <w:rFonts w:ascii="Arial" w:hAnsi="Arial" w:cs="Arial"/>
          <w:sz w:val="22"/>
          <w:szCs w:val="22"/>
        </w:rPr>
        <w:t xml:space="preserve">, L. S., Fernández, P. L., Soto, J., </w:t>
      </w:r>
      <w:proofErr w:type="spellStart"/>
      <w:r w:rsidRPr="00C1524C">
        <w:rPr>
          <w:rFonts w:ascii="Arial" w:hAnsi="Arial" w:cs="Arial"/>
          <w:sz w:val="22"/>
          <w:szCs w:val="22"/>
        </w:rPr>
        <w:t>Ródenas</w:t>
      </w:r>
      <w:proofErr w:type="spellEnd"/>
      <w:r w:rsidRPr="00C1524C">
        <w:rPr>
          <w:rFonts w:ascii="Arial" w:hAnsi="Arial" w:cs="Arial"/>
          <w:sz w:val="22"/>
          <w:szCs w:val="22"/>
        </w:rPr>
        <w:t xml:space="preserve">, C., &amp; Gómez, J. (1994). Natural radioactivity in Spanish soils. Health Physics, 66(2), 194–200. </w:t>
      </w:r>
      <w:hyperlink r:id="rId51" w:history="1">
        <w:r w:rsidRPr="00AF4744">
          <w:rPr>
            <w:rStyle w:val="Hyperlink"/>
            <w:rFonts w:ascii="Arial" w:hAnsi="Arial" w:cs="Arial"/>
            <w:sz w:val="22"/>
            <w:szCs w:val="22"/>
          </w:rPr>
          <w:t>https://doi.org/10.1097/00004032-199402000-00010</w:t>
        </w:r>
      </w:hyperlink>
      <w:r>
        <w:rPr>
          <w:rFonts w:ascii="Arial" w:hAnsi="Arial" w:cs="Arial"/>
          <w:sz w:val="22"/>
          <w:szCs w:val="22"/>
        </w:rPr>
        <w:t xml:space="preserve"> </w:t>
      </w:r>
      <w:r w:rsidR="00683F5C" w:rsidRPr="00683F5C">
        <w:rPr>
          <w:rFonts w:ascii="Arial" w:hAnsi="Arial" w:cs="Arial"/>
          <w:sz w:val="22"/>
          <w:szCs w:val="22"/>
        </w:rPr>
        <w:t>.</w:t>
      </w:r>
    </w:p>
    <w:p w14:paraId="6F887996" w14:textId="5E85ABA2" w:rsidR="00683F5C" w:rsidRPr="00683F5C" w:rsidRDefault="001035A3" w:rsidP="001035A3">
      <w:pPr>
        <w:pStyle w:val="NormalWeb"/>
        <w:numPr>
          <w:ilvl w:val="0"/>
          <w:numId w:val="31"/>
        </w:numPr>
        <w:jc w:val="both"/>
        <w:rPr>
          <w:rFonts w:ascii="Arial" w:hAnsi="Arial" w:cs="Arial"/>
          <w:sz w:val="22"/>
          <w:szCs w:val="22"/>
        </w:rPr>
      </w:pPr>
      <w:proofErr w:type="spellStart"/>
      <w:r w:rsidRPr="001035A3">
        <w:rPr>
          <w:rFonts w:ascii="Arial" w:hAnsi="Arial" w:cs="Arial"/>
          <w:sz w:val="22"/>
          <w:szCs w:val="22"/>
        </w:rPr>
        <w:t>Quindós</w:t>
      </w:r>
      <w:proofErr w:type="spellEnd"/>
      <w:r w:rsidRPr="001035A3">
        <w:rPr>
          <w:rFonts w:ascii="Arial" w:hAnsi="Arial" w:cs="Arial"/>
          <w:sz w:val="22"/>
          <w:szCs w:val="22"/>
        </w:rPr>
        <w:t xml:space="preserve"> </w:t>
      </w:r>
      <w:proofErr w:type="spellStart"/>
      <w:r w:rsidRPr="001035A3">
        <w:rPr>
          <w:rFonts w:ascii="Arial" w:hAnsi="Arial" w:cs="Arial"/>
          <w:sz w:val="22"/>
          <w:szCs w:val="22"/>
        </w:rPr>
        <w:t>Poncela</w:t>
      </w:r>
      <w:proofErr w:type="spellEnd"/>
      <w:r w:rsidRPr="001035A3">
        <w:rPr>
          <w:rFonts w:ascii="Arial" w:hAnsi="Arial" w:cs="Arial"/>
          <w:sz w:val="22"/>
          <w:szCs w:val="22"/>
        </w:rPr>
        <w:t xml:space="preserve">, L. S., Fernández, P. L., Gómez </w:t>
      </w:r>
      <w:proofErr w:type="spellStart"/>
      <w:r w:rsidRPr="001035A3">
        <w:rPr>
          <w:rFonts w:ascii="Arial" w:hAnsi="Arial" w:cs="Arial"/>
          <w:sz w:val="22"/>
          <w:szCs w:val="22"/>
        </w:rPr>
        <w:t>Arozamena</w:t>
      </w:r>
      <w:proofErr w:type="spellEnd"/>
      <w:r w:rsidRPr="001035A3">
        <w:rPr>
          <w:rFonts w:ascii="Arial" w:hAnsi="Arial" w:cs="Arial"/>
          <w:sz w:val="22"/>
          <w:szCs w:val="22"/>
        </w:rPr>
        <w:t xml:space="preserve">, J., </w:t>
      </w:r>
      <w:proofErr w:type="spellStart"/>
      <w:r w:rsidRPr="001035A3">
        <w:rPr>
          <w:rFonts w:ascii="Arial" w:hAnsi="Arial" w:cs="Arial"/>
          <w:sz w:val="22"/>
          <w:szCs w:val="22"/>
        </w:rPr>
        <w:t>Sainz</w:t>
      </w:r>
      <w:proofErr w:type="spellEnd"/>
      <w:r w:rsidRPr="001035A3">
        <w:rPr>
          <w:rFonts w:ascii="Arial" w:hAnsi="Arial" w:cs="Arial"/>
          <w:sz w:val="22"/>
          <w:szCs w:val="22"/>
        </w:rPr>
        <w:t xml:space="preserve">, C., Fernández, J. A., Suarez </w:t>
      </w:r>
      <w:proofErr w:type="spellStart"/>
      <w:r w:rsidRPr="001035A3">
        <w:rPr>
          <w:rFonts w:ascii="Arial" w:hAnsi="Arial" w:cs="Arial"/>
          <w:sz w:val="22"/>
          <w:szCs w:val="22"/>
        </w:rPr>
        <w:t>Mahou</w:t>
      </w:r>
      <w:proofErr w:type="spellEnd"/>
      <w:r w:rsidRPr="001035A3">
        <w:rPr>
          <w:rFonts w:ascii="Arial" w:hAnsi="Arial" w:cs="Arial"/>
          <w:sz w:val="22"/>
          <w:szCs w:val="22"/>
        </w:rPr>
        <w:t xml:space="preserve">, E., Martin </w:t>
      </w:r>
      <w:proofErr w:type="spellStart"/>
      <w:r w:rsidRPr="001035A3">
        <w:rPr>
          <w:rFonts w:ascii="Arial" w:hAnsi="Arial" w:cs="Arial"/>
          <w:sz w:val="22"/>
          <w:szCs w:val="22"/>
        </w:rPr>
        <w:t>Matarranz</w:t>
      </w:r>
      <w:proofErr w:type="spellEnd"/>
      <w:r w:rsidRPr="001035A3">
        <w:rPr>
          <w:rFonts w:ascii="Arial" w:hAnsi="Arial" w:cs="Arial"/>
          <w:sz w:val="22"/>
          <w:szCs w:val="22"/>
        </w:rPr>
        <w:t xml:space="preserve">, J. L., &amp; </w:t>
      </w:r>
      <w:proofErr w:type="spellStart"/>
      <w:r w:rsidRPr="001035A3">
        <w:rPr>
          <w:rFonts w:ascii="Arial" w:hAnsi="Arial" w:cs="Arial"/>
          <w:sz w:val="22"/>
          <w:szCs w:val="22"/>
        </w:rPr>
        <w:t>Cascón</w:t>
      </w:r>
      <w:proofErr w:type="spellEnd"/>
      <w:r w:rsidRPr="001035A3">
        <w:rPr>
          <w:rFonts w:ascii="Arial" w:hAnsi="Arial" w:cs="Arial"/>
          <w:sz w:val="22"/>
          <w:szCs w:val="22"/>
        </w:rPr>
        <w:t xml:space="preserve">, M. C. (2004). Natural gamma radiation map (MARNA) and indoor radon levels </w:t>
      </w:r>
      <w:r w:rsidRPr="001035A3">
        <w:rPr>
          <w:rFonts w:ascii="Arial" w:hAnsi="Arial" w:cs="Arial"/>
          <w:sz w:val="22"/>
          <w:szCs w:val="22"/>
        </w:rPr>
        <w:lastRenderedPageBreak/>
        <w:t xml:space="preserve">in Spain. Environment International, 29(8), 1091–1096. </w:t>
      </w:r>
      <w:hyperlink r:id="rId52" w:history="1">
        <w:r w:rsidRPr="00AF4744">
          <w:rPr>
            <w:rStyle w:val="Hyperlink"/>
            <w:rFonts w:ascii="Arial" w:hAnsi="Arial" w:cs="Arial"/>
            <w:sz w:val="22"/>
            <w:szCs w:val="22"/>
          </w:rPr>
          <w:t>https://doi.org/10.1016/S0160-4120(03)00102-8</w:t>
        </w:r>
      </w:hyperlink>
      <w:r>
        <w:rPr>
          <w:rFonts w:ascii="Arial" w:hAnsi="Arial" w:cs="Arial"/>
          <w:sz w:val="22"/>
          <w:szCs w:val="22"/>
        </w:rPr>
        <w:t xml:space="preserve"> </w:t>
      </w:r>
      <w:r w:rsidR="00683F5C" w:rsidRPr="00683F5C">
        <w:rPr>
          <w:rFonts w:ascii="Arial" w:hAnsi="Arial" w:cs="Arial"/>
          <w:sz w:val="22"/>
          <w:szCs w:val="22"/>
        </w:rPr>
        <w:t>.</w:t>
      </w:r>
    </w:p>
    <w:p w14:paraId="61AD7011" w14:textId="1B01FF07" w:rsidR="00683F5C" w:rsidRPr="00683F5C" w:rsidRDefault="00BA78C9" w:rsidP="00BA78C9">
      <w:pPr>
        <w:pStyle w:val="NormalWeb"/>
        <w:numPr>
          <w:ilvl w:val="0"/>
          <w:numId w:val="31"/>
        </w:numPr>
        <w:jc w:val="both"/>
        <w:rPr>
          <w:rFonts w:ascii="Arial" w:hAnsi="Arial" w:cs="Arial"/>
          <w:sz w:val="22"/>
          <w:szCs w:val="22"/>
        </w:rPr>
      </w:pPr>
      <w:r w:rsidRPr="00BA78C9">
        <w:rPr>
          <w:rFonts w:ascii="Arial" w:hAnsi="Arial" w:cs="Arial"/>
          <w:sz w:val="22"/>
          <w:szCs w:val="22"/>
        </w:rPr>
        <w:t xml:space="preserve">Ramli, A. T., Abdul Rahman, A. T., &amp; Lee, M. H. (2003). Statistical prediction of terrestrial gamma radiation dose rate based on geological features and soil types in Kota Tinggi district, Malaysia. Applied Radiation and Isotopes, 59(5–6), 393–405. </w:t>
      </w:r>
      <w:hyperlink r:id="rId53" w:history="1">
        <w:r w:rsidRPr="00AF4744">
          <w:rPr>
            <w:rStyle w:val="Hyperlink"/>
            <w:rFonts w:ascii="Arial" w:hAnsi="Arial" w:cs="Arial"/>
            <w:sz w:val="22"/>
            <w:szCs w:val="22"/>
          </w:rPr>
          <w:t>https://doi.org/10.1016/j.apradiso.2003.08.003</w:t>
        </w:r>
      </w:hyperlink>
      <w:r>
        <w:rPr>
          <w:rFonts w:ascii="Arial" w:hAnsi="Arial" w:cs="Arial"/>
          <w:sz w:val="22"/>
          <w:szCs w:val="22"/>
        </w:rPr>
        <w:t xml:space="preserve"> </w:t>
      </w:r>
      <w:r w:rsidR="00683F5C" w:rsidRPr="00683F5C">
        <w:rPr>
          <w:rFonts w:ascii="Arial" w:hAnsi="Arial" w:cs="Arial"/>
          <w:sz w:val="22"/>
          <w:szCs w:val="22"/>
        </w:rPr>
        <w:t>.</w:t>
      </w:r>
    </w:p>
    <w:p w14:paraId="55B130B0" w14:textId="34FE8F7C" w:rsidR="00683F5C" w:rsidRPr="00683F5C" w:rsidRDefault="005728AA" w:rsidP="005728AA">
      <w:pPr>
        <w:pStyle w:val="NormalWeb"/>
        <w:numPr>
          <w:ilvl w:val="0"/>
          <w:numId w:val="31"/>
        </w:numPr>
        <w:jc w:val="both"/>
        <w:rPr>
          <w:rFonts w:ascii="Arial" w:hAnsi="Arial" w:cs="Arial"/>
          <w:sz w:val="22"/>
          <w:szCs w:val="22"/>
        </w:rPr>
      </w:pPr>
      <w:r w:rsidRPr="005728AA">
        <w:rPr>
          <w:rFonts w:ascii="Arial" w:hAnsi="Arial" w:cs="Arial"/>
          <w:sz w:val="22"/>
          <w:szCs w:val="22"/>
        </w:rPr>
        <w:t xml:space="preserve">Ramli, A. T., </w:t>
      </w:r>
      <w:proofErr w:type="spellStart"/>
      <w:r w:rsidRPr="005728AA">
        <w:rPr>
          <w:rFonts w:ascii="Arial" w:hAnsi="Arial" w:cs="Arial"/>
          <w:sz w:val="22"/>
          <w:szCs w:val="22"/>
        </w:rPr>
        <w:t>Sahrone</w:t>
      </w:r>
      <w:proofErr w:type="spellEnd"/>
      <w:r w:rsidRPr="005728AA">
        <w:rPr>
          <w:rFonts w:ascii="Arial" w:hAnsi="Arial" w:cs="Arial"/>
          <w:sz w:val="22"/>
          <w:szCs w:val="22"/>
        </w:rPr>
        <w:t xml:space="preserve">, S., &amp; </w:t>
      </w:r>
      <w:proofErr w:type="spellStart"/>
      <w:r w:rsidRPr="005728AA">
        <w:rPr>
          <w:rFonts w:ascii="Arial" w:hAnsi="Arial" w:cs="Arial"/>
          <w:sz w:val="22"/>
          <w:szCs w:val="22"/>
        </w:rPr>
        <w:t>Wagiran</w:t>
      </w:r>
      <w:proofErr w:type="spellEnd"/>
      <w:r w:rsidRPr="005728AA">
        <w:rPr>
          <w:rFonts w:ascii="Arial" w:hAnsi="Arial" w:cs="Arial"/>
          <w:sz w:val="22"/>
          <w:szCs w:val="22"/>
        </w:rPr>
        <w:t xml:space="preserve">, H. (2005). Terrestrial gamma radiation dose study to determine the baseline for environmental radiological health practices in Melaka state, Malaysia. Journal of Radiological Protection, 25(4), 435–450 </w:t>
      </w:r>
      <w:hyperlink r:id="rId54" w:history="1">
        <w:r w:rsidRPr="00AF4744">
          <w:rPr>
            <w:rStyle w:val="Hyperlink"/>
            <w:rFonts w:ascii="Arial" w:hAnsi="Arial" w:cs="Arial"/>
            <w:sz w:val="22"/>
            <w:szCs w:val="22"/>
          </w:rPr>
          <w:t>https://doi.org/10.1088/0952-4746/25/4/006</w:t>
        </w:r>
      </w:hyperlink>
      <w:r>
        <w:rPr>
          <w:rFonts w:ascii="Arial" w:hAnsi="Arial" w:cs="Arial"/>
          <w:sz w:val="22"/>
          <w:szCs w:val="22"/>
        </w:rPr>
        <w:t xml:space="preserve"> </w:t>
      </w:r>
      <w:r w:rsidR="00683F5C" w:rsidRPr="00683F5C">
        <w:rPr>
          <w:rFonts w:ascii="Arial" w:hAnsi="Arial" w:cs="Arial"/>
          <w:sz w:val="22"/>
          <w:szCs w:val="22"/>
        </w:rPr>
        <w:t>.</w:t>
      </w:r>
    </w:p>
    <w:p w14:paraId="09A5BB17" w14:textId="599C6CC2" w:rsidR="00683F5C" w:rsidRPr="00683F5C" w:rsidRDefault="0034333E" w:rsidP="0034333E">
      <w:pPr>
        <w:pStyle w:val="NormalWeb"/>
        <w:numPr>
          <w:ilvl w:val="0"/>
          <w:numId w:val="31"/>
        </w:numPr>
        <w:jc w:val="both"/>
        <w:rPr>
          <w:rFonts w:ascii="Arial" w:hAnsi="Arial" w:cs="Arial"/>
          <w:sz w:val="22"/>
          <w:szCs w:val="22"/>
        </w:rPr>
      </w:pPr>
      <w:proofErr w:type="spellStart"/>
      <w:r w:rsidRPr="0034333E">
        <w:rPr>
          <w:rFonts w:ascii="Arial" w:hAnsi="Arial" w:cs="Arial"/>
          <w:sz w:val="22"/>
          <w:szCs w:val="22"/>
        </w:rPr>
        <w:t>Ramzaev</w:t>
      </w:r>
      <w:proofErr w:type="spellEnd"/>
      <w:r w:rsidRPr="0034333E">
        <w:rPr>
          <w:rFonts w:ascii="Arial" w:hAnsi="Arial" w:cs="Arial"/>
          <w:sz w:val="22"/>
          <w:szCs w:val="22"/>
        </w:rPr>
        <w:t xml:space="preserve">, V., </w:t>
      </w:r>
      <w:proofErr w:type="spellStart"/>
      <w:r w:rsidRPr="0034333E">
        <w:rPr>
          <w:rFonts w:ascii="Arial" w:hAnsi="Arial" w:cs="Arial"/>
          <w:sz w:val="22"/>
          <w:szCs w:val="22"/>
        </w:rPr>
        <w:t>Yonehara</w:t>
      </w:r>
      <w:proofErr w:type="spellEnd"/>
      <w:r w:rsidRPr="0034333E">
        <w:rPr>
          <w:rFonts w:ascii="Arial" w:hAnsi="Arial" w:cs="Arial"/>
          <w:sz w:val="22"/>
          <w:szCs w:val="22"/>
        </w:rPr>
        <w:t xml:space="preserve">, H., </w:t>
      </w:r>
      <w:proofErr w:type="spellStart"/>
      <w:r w:rsidRPr="0034333E">
        <w:rPr>
          <w:rFonts w:ascii="Arial" w:hAnsi="Arial" w:cs="Arial"/>
          <w:sz w:val="22"/>
          <w:szCs w:val="22"/>
        </w:rPr>
        <w:t>Hille</w:t>
      </w:r>
      <w:proofErr w:type="spellEnd"/>
      <w:r w:rsidRPr="0034333E">
        <w:rPr>
          <w:rFonts w:ascii="Arial" w:hAnsi="Arial" w:cs="Arial"/>
          <w:sz w:val="22"/>
          <w:szCs w:val="22"/>
        </w:rPr>
        <w:t xml:space="preserve">, R., </w:t>
      </w:r>
      <w:proofErr w:type="spellStart"/>
      <w:r w:rsidRPr="0034333E">
        <w:rPr>
          <w:rFonts w:ascii="Arial" w:hAnsi="Arial" w:cs="Arial"/>
          <w:sz w:val="22"/>
          <w:szCs w:val="22"/>
        </w:rPr>
        <w:t>Barkovsky</w:t>
      </w:r>
      <w:proofErr w:type="spellEnd"/>
      <w:r w:rsidRPr="0034333E">
        <w:rPr>
          <w:rFonts w:ascii="Arial" w:hAnsi="Arial" w:cs="Arial"/>
          <w:sz w:val="22"/>
          <w:szCs w:val="22"/>
        </w:rPr>
        <w:t xml:space="preserve">, A., </w:t>
      </w:r>
      <w:proofErr w:type="spellStart"/>
      <w:r w:rsidRPr="0034333E">
        <w:rPr>
          <w:rFonts w:ascii="Arial" w:hAnsi="Arial" w:cs="Arial"/>
          <w:sz w:val="22"/>
          <w:szCs w:val="22"/>
        </w:rPr>
        <w:t>Mishine</w:t>
      </w:r>
      <w:proofErr w:type="spellEnd"/>
      <w:r w:rsidRPr="0034333E">
        <w:rPr>
          <w:rFonts w:ascii="Arial" w:hAnsi="Arial" w:cs="Arial"/>
          <w:sz w:val="22"/>
          <w:szCs w:val="22"/>
        </w:rPr>
        <w:t xml:space="preserve">, A., Sahoo, S. K., </w:t>
      </w:r>
      <w:proofErr w:type="spellStart"/>
      <w:r w:rsidRPr="0034333E">
        <w:rPr>
          <w:rFonts w:ascii="Arial" w:hAnsi="Arial" w:cs="Arial"/>
          <w:sz w:val="22"/>
          <w:szCs w:val="22"/>
        </w:rPr>
        <w:t>Kurotaki</w:t>
      </w:r>
      <w:proofErr w:type="spellEnd"/>
      <w:r w:rsidRPr="0034333E">
        <w:rPr>
          <w:rFonts w:ascii="Arial" w:hAnsi="Arial" w:cs="Arial"/>
          <w:sz w:val="22"/>
          <w:szCs w:val="22"/>
        </w:rPr>
        <w:t xml:space="preserve">, K., &amp; Uchiyama, M. (2006). Gamma-dose rates from terrestrial and Chernobyl radionuclides inside and outside settlements in the Bryansk Region, Russia in 1996-2003. Journal of Environmental Radioactivity, 85, 205–227. </w:t>
      </w:r>
      <w:hyperlink r:id="rId55" w:history="1">
        <w:r w:rsidRPr="00AF4744">
          <w:rPr>
            <w:rStyle w:val="Hyperlink"/>
            <w:rFonts w:ascii="Arial" w:hAnsi="Arial" w:cs="Arial"/>
            <w:sz w:val="22"/>
            <w:szCs w:val="22"/>
          </w:rPr>
          <w:t>https://doi.org/10.1016/j.jenvrad.2004.04.014</w:t>
        </w:r>
      </w:hyperlink>
      <w:r>
        <w:rPr>
          <w:rFonts w:ascii="Arial" w:hAnsi="Arial" w:cs="Arial"/>
          <w:sz w:val="22"/>
          <w:szCs w:val="22"/>
        </w:rPr>
        <w:t xml:space="preserve"> </w:t>
      </w:r>
      <w:r w:rsidR="00683F5C" w:rsidRPr="00683F5C">
        <w:rPr>
          <w:rFonts w:ascii="Arial" w:hAnsi="Arial" w:cs="Arial"/>
          <w:sz w:val="22"/>
          <w:szCs w:val="22"/>
        </w:rPr>
        <w:t>.</w:t>
      </w:r>
    </w:p>
    <w:p w14:paraId="36070B17" w14:textId="666332CD" w:rsidR="00683F5C" w:rsidRPr="00683F5C" w:rsidRDefault="00F13E70" w:rsidP="00F13E70">
      <w:pPr>
        <w:pStyle w:val="NormalWeb"/>
        <w:numPr>
          <w:ilvl w:val="0"/>
          <w:numId w:val="31"/>
        </w:numPr>
        <w:jc w:val="both"/>
        <w:rPr>
          <w:rFonts w:ascii="Arial" w:hAnsi="Arial" w:cs="Arial"/>
          <w:sz w:val="22"/>
          <w:szCs w:val="22"/>
        </w:rPr>
      </w:pPr>
      <w:r w:rsidRPr="00F13E70">
        <w:rPr>
          <w:rFonts w:ascii="Arial" w:hAnsi="Arial" w:cs="Arial"/>
          <w:sz w:val="22"/>
          <w:szCs w:val="22"/>
        </w:rPr>
        <w:t xml:space="preserve">Ramasamy, V., </w:t>
      </w:r>
      <w:proofErr w:type="spellStart"/>
      <w:r w:rsidRPr="00F13E70">
        <w:rPr>
          <w:rFonts w:ascii="Arial" w:hAnsi="Arial" w:cs="Arial"/>
          <w:sz w:val="22"/>
          <w:szCs w:val="22"/>
        </w:rPr>
        <w:t>Sundarrajan</w:t>
      </w:r>
      <w:proofErr w:type="spellEnd"/>
      <w:r w:rsidRPr="00F13E70">
        <w:rPr>
          <w:rFonts w:ascii="Arial" w:hAnsi="Arial" w:cs="Arial"/>
          <w:sz w:val="22"/>
          <w:szCs w:val="22"/>
        </w:rPr>
        <w:t xml:space="preserve">, M., </w:t>
      </w:r>
      <w:proofErr w:type="spellStart"/>
      <w:r w:rsidRPr="00F13E70">
        <w:rPr>
          <w:rFonts w:ascii="Arial" w:hAnsi="Arial" w:cs="Arial"/>
          <w:sz w:val="22"/>
          <w:szCs w:val="22"/>
        </w:rPr>
        <w:t>Paramasivam</w:t>
      </w:r>
      <w:proofErr w:type="spellEnd"/>
      <w:r w:rsidRPr="00F13E70">
        <w:rPr>
          <w:rFonts w:ascii="Arial" w:hAnsi="Arial" w:cs="Arial"/>
          <w:sz w:val="22"/>
          <w:szCs w:val="22"/>
        </w:rPr>
        <w:t xml:space="preserve">, K., </w:t>
      </w:r>
      <w:proofErr w:type="spellStart"/>
      <w:r w:rsidRPr="00F13E70">
        <w:rPr>
          <w:rFonts w:ascii="Arial" w:hAnsi="Arial" w:cs="Arial"/>
          <w:sz w:val="22"/>
          <w:szCs w:val="22"/>
        </w:rPr>
        <w:t>Meenakshisundaram</w:t>
      </w:r>
      <w:proofErr w:type="spellEnd"/>
      <w:r w:rsidRPr="00F13E70">
        <w:rPr>
          <w:rFonts w:ascii="Arial" w:hAnsi="Arial" w:cs="Arial"/>
          <w:sz w:val="22"/>
          <w:szCs w:val="22"/>
        </w:rPr>
        <w:t xml:space="preserve">, V., &amp; Suresh, G. (2013). Assessment of spatial distribution and radiological hazardous nature of radionuclides in high background radiation area, Kerala, India. Applied Radiation and Isotopes, 73, 21–31. </w:t>
      </w:r>
      <w:hyperlink r:id="rId56" w:history="1">
        <w:r w:rsidRPr="00AF4744">
          <w:rPr>
            <w:rStyle w:val="Hyperlink"/>
            <w:rFonts w:ascii="Arial" w:hAnsi="Arial" w:cs="Arial"/>
            <w:sz w:val="22"/>
            <w:szCs w:val="22"/>
          </w:rPr>
          <w:t>https://doi.org/10.1016/j.apradiso.2012.11.014</w:t>
        </w:r>
      </w:hyperlink>
      <w:r>
        <w:rPr>
          <w:rFonts w:ascii="Arial" w:hAnsi="Arial" w:cs="Arial"/>
          <w:sz w:val="22"/>
          <w:szCs w:val="22"/>
        </w:rPr>
        <w:t xml:space="preserve"> </w:t>
      </w:r>
      <w:r w:rsidR="00683F5C" w:rsidRPr="00683F5C">
        <w:rPr>
          <w:rFonts w:ascii="Arial" w:hAnsi="Arial" w:cs="Arial"/>
          <w:sz w:val="22"/>
          <w:szCs w:val="22"/>
        </w:rPr>
        <w:t>.</w:t>
      </w:r>
    </w:p>
    <w:p w14:paraId="474151DD" w14:textId="6A87DC50" w:rsidR="00683F5C" w:rsidRPr="00683F5C" w:rsidRDefault="00EE1BBE" w:rsidP="00EE1BBE">
      <w:pPr>
        <w:pStyle w:val="NormalWeb"/>
        <w:numPr>
          <w:ilvl w:val="0"/>
          <w:numId w:val="31"/>
        </w:numPr>
        <w:jc w:val="both"/>
        <w:rPr>
          <w:rFonts w:ascii="Arial" w:hAnsi="Arial" w:cs="Arial"/>
          <w:sz w:val="22"/>
          <w:szCs w:val="22"/>
        </w:rPr>
      </w:pPr>
      <w:r w:rsidRPr="00EE1BBE">
        <w:rPr>
          <w:rFonts w:ascii="Arial" w:hAnsi="Arial" w:cs="Arial"/>
          <w:sz w:val="22"/>
          <w:szCs w:val="22"/>
        </w:rPr>
        <w:t xml:space="preserve">Sanusi, M. S. M., Ramli, A. T., </w:t>
      </w:r>
      <w:proofErr w:type="spellStart"/>
      <w:r w:rsidRPr="00EE1BBE">
        <w:rPr>
          <w:rFonts w:ascii="Arial" w:hAnsi="Arial" w:cs="Arial"/>
          <w:sz w:val="22"/>
          <w:szCs w:val="22"/>
        </w:rPr>
        <w:t>Basri</w:t>
      </w:r>
      <w:proofErr w:type="spellEnd"/>
      <w:r w:rsidRPr="00EE1BBE">
        <w:rPr>
          <w:rFonts w:ascii="Arial" w:hAnsi="Arial" w:cs="Arial"/>
          <w:sz w:val="22"/>
          <w:szCs w:val="22"/>
        </w:rPr>
        <w:t xml:space="preserve">, N. A., </w:t>
      </w:r>
      <w:proofErr w:type="spellStart"/>
      <w:r w:rsidRPr="00EE1BBE">
        <w:rPr>
          <w:rFonts w:ascii="Arial" w:hAnsi="Arial" w:cs="Arial"/>
          <w:sz w:val="22"/>
          <w:szCs w:val="22"/>
        </w:rPr>
        <w:t>Heryanshah</w:t>
      </w:r>
      <w:proofErr w:type="spellEnd"/>
      <w:r w:rsidRPr="00EE1BBE">
        <w:rPr>
          <w:rFonts w:ascii="Arial" w:hAnsi="Arial" w:cs="Arial"/>
          <w:sz w:val="22"/>
          <w:szCs w:val="22"/>
        </w:rPr>
        <w:t xml:space="preserve">, A., Said, M. N., Lee, M. H., </w:t>
      </w:r>
      <w:proofErr w:type="spellStart"/>
      <w:r w:rsidRPr="00EE1BBE">
        <w:rPr>
          <w:rFonts w:ascii="Arial" w:hAnsi="Arial" w:cs="Arial"/>
          <w:sz w:val="22"/>
          <w:szCs w:val="22"/>
        </w:rPr>
        <w:t>Wagiran</w:t>
      </w:r>
      <w:proofErr w:type="spellEnd"/>
      <w:r w:rsidRPr="00EE1BBE">
        <w:rPr>
          <w:rFonts w:ascii="Arial" w:hAnsi="Arial" w:cs="Arial"/>
          <w:sz w:val="22"/>
          <w:szCs w:val="22"/>
        </w:rPr>
        <w:t xml:space="preserve">, H., &amp; Saleh, M. A. (2017). Thorium distribution in the soils of Peninsular Malaysia and its implications for Th resource estimation. Ore Geology Reviews, 80, 522–535. </w:t>
      </w:r>
      <w:hyperlink r:id="rId57" w:history="1">
        <w:r w:rsidRPr="00AF4744">
          <w:rPr>
            <w:rStyle w:val="Hyperlink"/>
            <w:rFonts w:ascii="Arial" w:hAnsi="Arial" w:cs="Arial"/>
            <w:sz w:val="22"/>
            <w:szCs w:val="22"/>
          </w:rPr>
          <w:t>https://doi.org/10.1016/j.oregeorev.2016.07.021</w:t>
        </w:r>
      </w:hyperlink>
      <w:r>
        <w:rPr>
          <w:rFonts w:ascii="Arial" w:hAnsi="Arial" w:cs="Arial"/>
          <w:sz w:val="22"/>
          <w:szCs w:val="22"/>
        </w:rPr>
        <w:t xml:space="preserve"> </w:t>
      </w:r>
      <w:r w:rsidR="00683F5C" w:rsidRPr="00683F5C">
        <w:rPr>
          <w:rFonts w:ascii="Arial" w:hAnsi="Arial" w:cs="Arial"/>
          <w:sz w:val="22"/>
          <w:szCs w:val="22"/>
        </w:rPr>
        <w:t>.</w:t>
      </w:r>
    </w:p>
    <w:p w14:paraId="2FEE6354" w14:textId="5644F422" w:rsidR="00683F5C" w:rsidRPr="00683F5C" w:rsidRDefault="00D7051C" w:rsidP="00D7051C">
      <w:pPr>
        <w:pStyle w:val="NormalWeb"/>
        <w:numPr>
          <w:ilvl w:val="0"/>
          <w:numId w:val="31"/>
        </w:numPr>
        <w:jc w:val="both"/>
        <w:rPr>
          <w:rFonts w:ascii="Arial" w:hAnsi="Arial" w:cs="Arial"/>
          <w:sz w:val="22"/>
          <w:szCs w:val="22"/>
        </w:rPr>
      </w:pPr>
      <w:r w:rsidRPr="00D7051C">
        <w:rPr>
          <w:rFonts w:ascii="Arial" w:hAnsi="Arial" w:cs="Arial"/>
          <w:sz w:val="22"/>
          <w:szCs w:val="22"/>
        </w:rPr>
        <w:t xml:space="preserve">Sanusi, M. S. M., Ramli, A. T., Hassan, W. M. S. W., Lee, M. H., </w:t>
      </w:r>
      <w:proofErr w:type="spellStart"/>
      <w:r w:rsidRPr="00D7051C">
        <w:rPr>
          <w:rFonts w:ascii="Arial" w:hAnsi="Arial" w:cs="Arial"/>
          <w:sz w:val="22"/>
          <w:szCs w:val="22"/>
        </w:rPr>
        <w:t>Izham</w:t>
      </w:r>
      <w:proofErr w:type="spellEnd"/>
      <w:r w:rsidRPr="00D7051C">
        <w:rPr>
          <w:rFonts w:ascii="Arial" w:hAnsi="Arial" w:cs="Arial"/>
          <w:sz w:val="22"/>
          <w:szCs w:val="22"/>
        </w:rPr>
        <w:t xml:space="preserve">, A., Said, M. N., </w:t>
      </w:r>
      <w:proofErr w:type="spellStart"/>
      <w:r w:rsidRPr="00D7051C">
        <w:rPr>
          <w:rFonts w:ascii="Arial" w:hAnsi="Arial" w:cs="Arial"/>
          <w:sz w:val="22"/>
          <w:szCs w:val="22"/>
        </w:rPr>
        <w:t>Wagiran</w:t>
      </w:r>
      <w:proofErr w:type="spellEnd"/>
      <w:r w:rsidRPr="00D7051C">
        <w:rPr>
          <w:rFonts w:ascii="Arial" w:hAnsi="Arial" w:cs="Arial"/>
          <w:sz w:val="22"/>
          <w:szCs w:val="22"/>
        </w:rPr>
        <w:t xml:space="preserve">, H., &amp; </w:t>
      </w:r>
      <w:proofErr w:type="spellStart"/>
      <w:r w:rsidRPr="00D7051C">
        <w:rPr>
          <w:rFonts w:ascii="Arial" w:hAnsi="Arial" w:cs="Arial"/>
          <w:sz w:val="22"/>
          <w:szCs w:val="22"/>
        </w:rPr>
        <w:t>Heryanshah</w:t>
      </w:r>
      <w:proofErr w:type="spellEnd"/>
      <w:r w:rsidRPr="00D7051C">
        <w:rPr>
          <w:rFonts w:ascii="Arial" w:hAnsi="Arial" w:cs="Arial"/>
          <w:sz w:val="22"/>
          <w:szCs w:val="22"/>
        </w:rPr>
        <w:t xml:space="preserve">, A. (2017). Assessment of impact of urbanisation on background radiation exposure and human health risk estimation in Kuala Lumpur, Malaysia. Environment International, 104, 91-101. </w:t>
      </w:r>
      <w:hyperlink r:id="rId58" w:history="1">
        <w:r w:rsidRPr="00AF4744">
          <w:rPr>
            <w:rStyle w:val="Hyperlink"/>
            <w:rFonts w:ascii="Arial" w:hAnsi="Arial" w:cs="Arial"/>
            <w:sz w:val="22"/>
            <w:szCs w:val="22"/>
          </w:rPr>
          <w:t>https://doi.org/10.1016/j.envint.2017.01.009</w:t>
        </w:r>
      </w:hyperlink>
      <w:r>
        <w:rPr>
          <w:rFonts w:ascii="Arial" w:hAnsi="Arial" w:cs="Arial"/>
          <w:sz w:val="22"/>
          <w:szCs w:val="22"/>
        </w:rPr>
        <w:t xml:space="preserve"> </w:t>
      </w:r>
      <w:r w:rsidR="00683F5C" w:rsidRPr="00683F5C">
        <w:rPr>
          <w:rFonts w:ascii="Arial" w:hAnsi="Arial" w:cs="Arial"/>
          <w:sz w:val="22"/>
          <w:szCs w:val="22"/>
        </w:rPr>
        <w:t>.</w:t>
      </w:r>
    </w:p>
    <w:p w14:paraId="67655166" w14:textId="2E0953AB" w:rsidR="00683F5C" w:rsidRPr="00683F5C" w:rsidRDefault="005D7665" w:rsidP="005D7665">
      <w:pPr>
        <w:pStyle w:val="NormalWeb"/>
        <w:numPr>
          <w:ilvl w:val="0"/>
          <w:numId w:val="31"/>
        </w:numPr>
        <w:jc w:val="both"/>
        <w:rPr>
          <w:rFonts w:ascii="Arial" w:hAnsi="Arial" w:cs="Arial"/>
          <w:sz w:val="22"/>
          <w:szCs w:val="22"/>
        </w:rPr>
      </w:pPr>
      <w:r w:rsidRPr="005D7665">
        <w:rPr>
          <w:rFonts w:ascii="Arial" w:hAnsi="Arial" w:cs="Arial"/>
          <w:sz w:val="22"/>
          <w:szCs w:val="22"/>
        </w:rPr>
        <w:t xml:space="preserve">Sanusi, M. S. M., Ramli, A. T., </w:t>
      </w:r>
      <w:proofErr w:type="spellStart"/>
      <w:r w:rsidRPr="005D7665">
        <w:rPr>
          <w:rFonts w:ascii="Arial" w:hAnsi="Arial" w:cs="Arial"/>
          <w:sz w:val="22"/>
          <w:szCs w:val="22"/>
        </w:rPr>
        <w:t>Gabdo</w:t>
      </w:r>
      <w:proofErr w:type="spellEnd"/>
      <w:r w:rsidRPr="005D7665">
        <w:rPr>
          <w:rFonts w:ascii="Arial" w:hAnsi="Arial" w:cs="Arial"/>
          <w:sz w:val="22"/>
          <w:szCs w:val="22"/>
        </w:rPr>
        <w:t xml:space="preserve">, H. T., </w:t>
      </w:r>
      <w:proofErr w:type="spellStart"/>
      <w:r w:rsidRPr="005D7665">
        <w:rPr>
          <w:rFonts w:ascii="Arial" w:hAnsi="Arial" w:cs="Arial"/>
          <w:sz w:val="22"/>
          <w:szCs w:val="22"/>
        </w:rPr>
        <w:t>Garba</w:t>
      </w:r>
      <w:proofErr w:type="spellEnd"/>
      <w:r w:rsidRPr="005D7665">
        <w:rPr>
          <w:rFonts w:ascii="Arial" w:hAnsi="Arial" w:cs="Arial"/>
          <w:sz w:val="22"/>
          <w:szCs w:val="22"/>
        </w:rPr>
        <w:t xml:space="preserve">, N. N., </w:t>
      </w:r>
      <w:proofErr w:type="spellStart"/>
      <w:r w:rsidRPr="005D7665">
        <w:rPr>
          <w:rFonts w:ascii="Arial" w:hAnsi="Arial" w:cs="Arial"/>
          <w:sz w:val="22"/>
          <w:szCs w:val="22"/>
        </w:rPr>
        <w:t>Heryanshah</w:t>
      </w:r>
      <w:proofErr w:type="spellEnd"/>
      <w:r w:rsidRPr="005D7665">
        <w:rPr>
          <w:rFonts w:ascii="Arial" w:hAnsi="Arial" w:cs="Arial"/>
          <w:sz w:val="22"/>
          <w:szCs w:val="22"/>
        </w:rPr>
        <w:t xml:space="preserve">, A., </w:t>
      </w:r>
      <w:proofErr w:type="spellStart"/>
      <w:r w:rsidRPr="005D7665">
        <w:rPr>
          <w:rFonts w:ascii="Arial" w:hAnsi="Arial" w:cs="Arial"/>
          <w:sz w:val="22"/>
          <w:szCs w:val="22"/>
        </w:rPr>
        <w:t>Wagiran</w:t>
      </w:r>
      <w:proofErr w:type="spellEnd"/>
      <w:r w:rsidRPr="005D7665">
        <w:rPr>
          <w:rFonts w:ascii="Arial" w:hAnsi="Arial" w:cs="Arial"/>
          <w:sz w:val="22"/>
          <w:szCs w:val="22"/>
        </w:rPr>
        <w:t xml:space="preserve">, H., &amp; Said, M. N. (2014). </w:t>
      </w:r>
      <w:proofErr w:type="spellStart"/>
      <w:r w:rsidRPr="005D7665">
        <w:rPr>
          <w:rFonts w:ascii="Arial" w:hAnsi="Arial" w:cs="Arial"/>
          <w:sz w:val="22"/>
          <w:szCs w:val="22"/>
        </w:rPr>
        <w:t>Isodose</w:t>
      </w:r>
      <w:proofErr w:type="spellEnd"/>
      <w:r w:rsidRPr="005D7665">
        <w:rPr>
          <w:rFonts w:ascii="Arial" w:hAnsi="Arial" w:cs="Arial"/>
          <w:sz w:val="22"/>
          <w:szCs w:val="22"/>
        </w:rPr>
        <w:t xml:space="preserve"> mapping of terrestrial gamma radiation dose rate of Selangor state, Kuala Lumpur and Putrajaya, Malaysia. Journal of Environmental Radioactivity, 135, 67–74. </w:t>
      </w:r>
      <w:hyperlink r:id="rId59" w:history="1">
        <w:r w:rsidRPr="00AF4744">
          <w:rPr>
            <w:rStyle w:val="Hyperlink"/>
            <w:rFonts w:ascii="Arial" w:hAnsi="Arial" w:cs="Arial"/>
            <w:sz w:val="22"/>
            <w:szCs w:val="22"/>
          </w:rPr>
          <w:t>https://doi.org/10.1016/j.jenvrad.2014.04.004</w:t>
        </w:r>
      </w:hyperlink>
      <w:r>
        <w:rPr>
          <w:rFonts w:ascii="Arial" w:hAnsi="Arial" w:cs="Arial"/>
          <w:sz w:val="22"/>
          <w:szCs w:val="22"/>
        </w:rPr>
        <w:t xml:space="preserve"> </w:t>
      </w:r>
      <w:r w:rsidR="00683F5C" w:rsidRPr="00683F5C">
        <w:rPr>
          <w:rFonts w:ascii="Arial" w:hAnsi="Arial" w:cs="Arial"/>
          <w:sz w:val="22"/>
          <w:szCs w:val="22"/>
        </w:rPr>
        <w:t>.</w:t>
      </w:r>
    </w:p>
    <w:p w14:paraId="34F0A5A0" w14:textId="37B04D11" w:rsidR="00683F5C" w:rsidRDefault="00A66698" w:rsidP="00A66698">
      <w:pPr>
        <w:pStyle w:val="NormalWeb"/>
        <w:numPr>
          <w:ilvl w:val="0"/>
          <w:numId w:val="31"/>
        </w:numPr>
        <w:jc w:val="both"/>
        <w:rPr>
          <w:rFonts w:ascii="Arial" w:hAnsi="Arial" w:cs="Arial"/>
          <w:sz w:val="22"/>
          <w:szCs w:val="22"/>
        </w:rPr>
      </w:pPr>
      <w:r w:rsidRPr="00A66698">
        <w:rPr>
          <w:rFonts w:ascii="Arial" w:hAnsi="Arial" w:cs="Arial"/>
          <w:sz w:val="22"/>
          <w:szCs w:val="22"/>
        </w:rPr>
        <w:t xml:space="preserve">Sanusi, M. S. M., Ramli, A. T., Hashim, S., &amp; Lee, M. H. (2021). Radiological hazard associated with </w:t>
      </w:r>
      <w:proofErr w:type="spellStart"/>
      <w:r w:rsidRPr="00A66698">
        <w:rPr>
          <w:rFonts w:ascii="Arial" w:hAnsi="Arial" w:cs="Arial"/>
          <w:sz w:val="22"/>
          <w:szCs w:val="22"/>
        </w:rPr>
        <w:t>amang</w:t>
      </w:r>
      <w:proofErr w:type="spellEnd"/>
      <w:r w:rsidRPr="00A66698">
        <w:rPr>
          <w:rFonts w:ascii="Arial" w:hAnsi="Arial" w:cs="Arial"/>
          <w:sz w:val="22"/>
          <w:szCs w:val="22"/>
        </w:rPr>
        <w:t xml:space="preserve"> processing industry in Peninsular Malaysia and its environmental impacts. Ecotoxicology and Environmental Safety, 208, 111727. </w:t>
      </w:r>
      <w:hyperlink r:id="rId60" w:history="1">
        <w:r w:rsidRPr="00AF4744">
          <w:rPr>
            <w:rStyle w:val="Hyperlink"/>
            <w:rFonts w:ascii="Arial" w:hAnsi="Arial" w:cs="Arial"/>
            <w:sz w:val="22"/>
            <w:szCs w:val="22"/>
          </w:rPr>
          <w:t>https://doi.org/10.1016/j.ecoenv.2020.111727</w:t>
        </w:r>
      </w:hyperlink>
      <w:r>
        <w:rPr>
          <w:rFonts w:ascii="Arial" w:hAnsi="Arial" w:cs="Arial"/>
          <w:sz w:val="22"/>
          <w:szCs w:val="22"/>
        </w:rPr>
        <w:t xml:space="preserve"> </w:t>
      </w:r>
      <w:r w:rsidR="00683F5C" w:rsidRPr="00683F5C">
        <w:rPr>
          <w:rFonts w:ascii="Arial" w:hAnsi="Arial" w:cs="Arial"/>
          <w:sz w:val="22"/>
          <w:szCs w:val="22"/>
        </w:rPr>
        <w:t>.</w:t>
      </w:r>
    </w:p>
    <w:p w14:paraId="7E92330F" w14:textId="32076175" w:rsidR="001957E1" w:rsidRPr="001957E1" w:rsidRDefault="001957E1" w:rsidP="001957E1">
      <w:pPr>
        <w:pStyle w:val="NormalWeb"/>
        <w:numPr>
          <w:ilvl w:val="0"/>
          <w:numId w:val="31"/>
        </w:numPr>
        <w:jc w:val="both"/>
        <w:rPr>
          <w:rFonts w:ascii="Arial" w:hAnsi="Arial" w:cs="Arial"/>
          <w:highlight w:val="yellow"/>
        </w:rPr>
      </w:pPr>
      <w:r w:rsidRPr="001957E1">
        <w:rPr>
          <w:rFonts w:ascii="Arial" w:hAnsi="Arial" w:cs="Arial"/>
          <w:highlight w:val="yellow"/>
        </w:rPr>
        <w:t xml:space="preserve">Satoh, D., &amp; </w:t>
      </w:r>
      <w:proofErr w:type="spellStart"/>
      <w:r w:rsidRPr="001957E1">
        <w:rPr>
          <w:rFonts w:ascii="Arial" w:hAnsi="Arial" w:cs="Arial"/>
          <w:highlight w:val="yellow"/>
        </w:rPr>
        <w:t>Petoussi-Henss</w:t>
      </w:r>
      <w:proofErr w:type="spellEnd"/>
      <w:r w:rsidRPr="001957E1">
        <w:rPr>
          <w:rFonts w:ascii="Arial" w:hAnsi="Arial" w:cs="Arial"/>
          <w:highlight w:val="yellow"/>
        </w:rPr>
        <w:t>, N. (2024). Dose-rate coefficients for external exposure to radionuclides uniformly distributed in soil to an infinite depth. PLOS ONE, 19(9), e0310552. https://doi.org/10.1371/journal.pone.0310552</w:t>
      </w:r>
    </w:p>
    <w:p w14:paraId="0F0EB05D" w14:textId="3576F0D3" w:rsidR="00683F5C" w:rsidRPr="00683F5C" w:rsidRDefault="00B73BE9" w:rsidP="00B73BE9">
      <w:pPr>
        <w:pStyle w:val="NormalWeb"/>
        <w:numPr>
          <w:ilvl w:val="0"/>
          <w:numId w:val="31"/>
        </w:numPr>
        <w:jc w:val="both"/>
        <w:rPr>
          <w:rFonts w:ascii="Arial" w:hAnsi="Arial" w:cs="Arial"/>
          <w:sz w:val="22"/>
          <w:szCs w:val="22"/>
        </w:rPr>
      </w:pPr>
      <w:r w:rsidRPr="00B73BE9">
        <w:rPr>
          <w:rFonts w:ascii="Arial" w:hAnsi="Arial" w:cs="Arial"/>
          <w:sz w:val="22"/>
          <w:szCs w:val="22"/>
        </w:rPr>
        <w:t xml:space="preserve">Schlumberger. (1982). Natural Gamma Ray Spectrometry: Essentials of N.G.S. Interpretation. Schlumberger. </w:t>
      </w:r>
      <w:hyperlink r:id="rId61" w:history="1">
        <w:r w:rsidRPr="00AF4744">
          <w:rPr>
            <w:rStyle w:val="Hyperlink"/>
            <w:rFonts w:ascii="Arial" w:hAnsi="Arial" w:cs="Arial"/>
            <w:sz w:val="22"/>
            <w:szCs w:val="22"/>
          </w:rPr>
          <w:t>https://books.google.com/books/about/Natural_Gamma_Ray_Spectrometry.html?id=y_0xAQAAIAAJ</w:t>
        </w:r>
      </w:hyperlink>
      <w:r>
        <w:rPr>
          <w:rFonts w:ascii="Arial" w:hAnsi="Arial" w:cs="Arial"/>
          <w:sz w:val="22"/>
          <w:szCs w:val="22"/>
        </w:rPr>
        <w:t xml:space="preserve"> </w:t>
      </w:r>
      <w:r w:rsidR="00683F5C" w:rsidRPr="00683F5C">
        <w:rPr>
          <w:rFonts w:ascii="Arial" w:hAnsi="Arial" w:cs="Arial"/>
          <w:sz w:val="22"/>
          <w:szCs w:val="22"/>
        </w:rPr>
        <w:t>.</w:t>
      </w:r>
    </w:p>
    <w:p w14:paraId="41908CF8" w14:textId="6E637F80" w:rsidR="00683F5C" w:rsidRPr="00683F5C" w:rsidRDefault="005E67F3" w:rsidP="005E67F3">
      <w:pPr>
        <w:pStyle w:val="NormalWeb"/>
        <w:numPr>
          <w:ilvl w:val="0"/>
          <w:numId w:val="31"/>
        </w:numPr>
        <w:jc w:val="both"/>
        <w:rPr>
          <w:rFonts w:ascii="Arial" w:hAnsi="Arial" w:cs="Arial"/>
          <w:sz w:val="22"/>
          <w:szCs w:val="22"/>
        </w:rPr>
      </w:pPr>
      <w:r w:rsidRPr="005E67F3">
        <w:rPr>
          <w:rFonts w:ascii="Arial" w:hAnsi="Arial" w:cs="Arial"/>
          <w:sz w:val="22"/>
          <w:szCs w:val="22"/>
        </w:rPr>
        <w:lastRenderedPageBreak/>
        <w:t xml:space="preserve">Suarez, E., &amp; Fernández, J. (1995). Use of uranium airborne survey data in radiometric mapping of Spain. Environmental and uranium geology (IAEA-TECDOC-827). </w:t>
      </w:r>
      <w:hyperlink r:id="rId62" w:history="1">
        <w:r w:rsidRPr="00AF4744">
          <w:rPr>
            <w:rStyle w:val="Hyperlink"/>
            <w:rFonts w:ascii="Arial" w:hAnsi="Arial" w:cs="Arial"/>
            <w:sz w:val="22"/>
            <w:szCs w:val="22"/>
          </w:rPr>
          <w:t>https://www.iaea.org/publications/5000/environmental-and-uranium-geology-proceedings-of-a-technical-committee-meeting-held-in-vienna-25-28-september-1995</w:t>
        </w:r>
      </w:hyperlink>
      <w:r>
        <w:rPr>
          <w:rFonts w:ascii="Arial" w:hAnsi="Arial" w:cs="Arial"/>
          <w:sz w:val="22"/>
          <w:szCs w:val="22"/>
        </w:rPr>
        <w:t xml:space="preserve"> </w:t>
      </w:r>
      <w:r w:rsidR="00683F5C" w:rsidRPr="00683F5C">
        <w:rPr>
          <w:rFonts w:ascii="Arial" w:hAnsi="Arial" w:cs="Arial"/>
          <w:sz w:val="22"/>
          <w:szCs w:val="22"/>
        </w:rPr>
        <w:t>.</w:t>
      </w:r>
    </w:p>
    <w:p w14:paraId="617CCDE0" w14:textId="2AFD50E7" w:rsidR="00683F5C" w:rsidRPr="00683F5C" w:rsidRDefault="00DA7785" w:rsidP="00DA7785">
      <w:pPr>
        <w:pStyle w:val="NormalWeb"/>
        <w:numPr>
          <w:ilvl w:val="0"/>
          <w:numId w:val="31"/>
        </w:numPr>
        <w:jc w:val="both"/>
        <w:rPr>
          <w:rFonts w:ascii="Arial" w:hAnsi="Arial" w:cs="Arial"/>
          <w:sz w:val="22"/>
          <w:szCs w:val="22"/>
        </w:rPr>
      </w:pPr>
      <w:proofErr w:type="spellStart"/>
      <w:r w:rsidRPr="00DA7785">
        <w:rPr>
          <w:rFonts w:ascii="Arial" w:hAnsi="Arial" w:cs="Arial"/>
          <w:sz w:val="22"/>
          <w:szCs w:val="22"/>
        </w:rPr>
        <w:t>Steinhäusler</w:t>
      </w:r>
      <w:proofErr w:type="spellEnd"/>
      <w:r w:rsidRPr="00DA7785">
        <w:rPr>
          <w:rFonts w:ascii="Arial" w:hAnsi="Arial" w:cs="Arial"/>
          <w:sz w:val="22"/>
          <w:szCs w:val="22"/>
        </w:rPr>
        <w:t xml:space="preserve">, F., &amp; </w:t>
      </w:r>
      <w:proofErr w:type="spellStart"/>
      <w:r w:rsidRPr="00DA7785">
        <w:rPr>
          <w:rFonts w:ascii="Arial" w:hAnsi="Arial" w:cs="Arial"/>
          <w:sz w:val="22"/>
          <w:szCs w:val="22"/>
        </w:rPr>
        <w:t>Lettner</w:t>
      </w:r>
      <w:proofErr w:type="spellEnd"/>
      <w:r w:rsidRPr="00DA7785">
        <w:rPr>
          <w:rFonts w:ascii="Arial" w:hAnsi="Arial" w:cs="Arial"/>
          <w:sz w:val="22"/>
          <w:szCs w:val="22"/>
        </w:rPr>
        <w:t xml:space="preserve">, H. (1992). Radiometric survey in Namibia. Radiation Protection Dosimetry, 45(1–4), 553–555. </w:t>
      </w:r>
      <w:hyperlink r:id="rId63" w:history="1">
        <w:r w:rsidRPr="00AF4744">
          <w:rPr>
            <w:rStyle w:val="Hyperlink"/>
            <w:rFonts w:ascii="Arial" w:hAnsi="Arial" w:cs="Arial"/>
            <w:sz w:val="22"/>
            <w:szCs w:val="22"/>
          </w:rPr>
          <w:t>https://doi.org/10.1093/rpd/45.1-4.553</w:t>
        </w:r>
      </w:hyperlink>
      <w:r>
        <w:rPr>
          <w:rFonts w:ascii="Arial" w:hAnsi="Arial" w:cs="Arial"/>
          <w:sz w:val="22"/>
          <w:szCs w:val="22"/>
        </w:rPr>
        <w:t xml:space="preserve"> </w:t>
      </w:r>
      <w:r w:rsidR="00683F5C" w:rsidRPr="00683F5C">
        <w:rPr>
          <w:rFonts w:ascii="Arial" w:hAnsi="Arial" w:cs="Arial"/>
          <w:sz w:val="22"/>
          <w:szCs w:val="22"/>
        </w:rPr>
        <w:t>.</w:t>
      </w:r>
    </w:p>
    <w:p w14:paraId="0BF2E4AB" w14:textId="3BC505DC" w:rsidR="00683F5C" w:rsidRPr="00683F5C" w:rsidRDefault="005032A8" w:rsidP="005032A8">
      <w:pPr>
        <w:pStyle w:val="NormalWeb"/>
        <w:numPr>
          <w:ilvl w:val="0"/>
          <w:numId w:val="31"/>
        </w:numPr>
        <w:jc w:val="both"/>
        <w:rPr>
          <w:rFonts w:ascii="Arial" w:hAnsi="Arial" w:cs="Arial"/>
          <w:sz w:val="22"/>
          <w:szCs w:val="22"/>
        </w:rPr>
      </w:pPr>
      <w:proofErr w:type="spellStart"/>
      <w:r w:rsidRPr="005032A8">
        <w:rPr>
          <w:rFonts w:ascii="Arial" w:hAnsi="Arial" w:cs="Arial"/>
          <w:sz w:val="22"/>
          <w:szCs w:val="22"/>
        </w:rPr>
        <w:t>Tondel</w:t>
      </w:r>
      <w:proofErr w:type="spellEnd"/>
      <w:r w:rsidRPr="005032A8">
        <w:rPr>
          <w:rFonts w:ascii="Arial" w:hAnsi="Arial" w:cs="Arial"/>
          <w:sz w:val="22"/>
          <w:szCs w:val="22"/>
        </w:rPr>
        <w:t xml:space="preserve">, M., Lindgren, P., </w:t>
      </w:r>
      <w:proofErr w:type="spellStart"/>
      <w:r w:rsidRPr="005032A8">
        <w:rPr>
          <w:rFonts w:ascii="Arial" w:hAnsi="Arial" w:cs="Arial"/>
          <w:sz w:val="22"/>
          <w:szCs w:val="22"/>
        </w:rPr>
        <w:t>Hellström</w:t>
      </w:r>
      <w:proofErr w:type="spellEnd"/>
      <w:r w:rsidRPr="005032A8">
        <w:rPr>
          <w:rFonts w:ascii="Arial" w:hAnsi="Arial" w:cs="Arial"/>
          <w:sz w:val="22"/>
          <w:szCs w:val="22"/>
        </w:rPr>
        <w:t xml:space="preserve">, L., </w:t>
      </w:r>
      <w:proofErr w:type="spellStart"/>
      <w:r w:rsidRPr="005032A8">
        <w:rPr>
          <w:rFonts w:ascii="Arial" w:hAnsi="Arial" w:cs="Arial"/>
          <w:sz w:val="22"/>
          <w:szCs w:val="22"/>
        </w:rPr>
        <w:t>Löfman</w:t>
      </w:r>
      <w:proofErr w:type="spellEnd"/>
      <w:r w:rsidRPr="005032A8">
        <w:rPr>
          <w:rFonts w:ascii="Arial" w:hAnsi="Arial" w:cs="Arial"/>
          <w:sz w:val="22"/>
          <w:szCs w:val="22"/>
        </w:rPr>
        <w:t xml:space="preserve">, O., &amp; </w:t>
      </w:r>
      <w:proofErr w:type="spellStart"/>
      <w:r w:rsidRPr="005032A8">
        <w:rPr>
          <w:rFonts w:ascii="Arial" w:hAnsi="Arial" w:cs="Arial"/>
          <w:sz w:val="22"/>
          <w:szCs w:val="22"/>
        </w:rPr>
        <w:t>Fredrikson</w:t>
      </w:r>
      <w:proofErr w:type="spellEnd"/>
      <w:r w:rsidRPr="005032A8">
        <w:rPr>
          <w:rFonts w:ascii="Arial" w:hAnsi="Arial" w:cs="Arial"/>
          <w:sz w:val="22"/>
          <w:szCs w:val="22"/>
        </w:rPr>
        <w:t xml:space="preserve">, M. (2011). Risk of malignancies in relation to terrestrial gamma radiation in a Swedish population cohort. Science of the Total Environment, 409(3), 471–477. </w:t>
      </w:r>
      <w:hyperlink r:id="rId64" w:history="1">
        <w:r w:rsidRPr="00AF4744">
          <w:rPr>
            <w:rStyle w:val="Hyperlink"/>
            <w:rFonts w:ascii="Arial" w:hAnsi="Arial" w:cs="Arial"/>
            <w:sz w:val="22"/>
            <w:szCs w:val="22"/>
          </w:rPr>
          <w:t>https://doi.org/10.1016/j.scitotenv.2010.10.052</w:t>
        </w:r>
      </w:hyperlink>
      <w:r>
        <w:rPr>
          <w:rFonts w:ascii="Arial" w:hAnsi="Arial" w:cs="Arial"/>
          <w:sz w:val="22"/>
          <w:szCs w:val="22"/>
        </w:rPr>
        <w:t xml:space="preserve"> </w:t>
      </w:r>
      <w:r w:rsidR="00683F5C" w:rsidRPr="00683F5C">
        <w:rPr>
          <w:rFonts w:ascii="Arial" w:hAnsi="Arial" w:cs="Arial"/>
          <w:sz w:val="22"/>
          <w:szCs w:val="22"/>
        </w:rPr>
        <w:t>.</w:t>
      </w:r>
    </w:p>
    <w:p w14:paraId="003B22E1" w14:textId="57678BB7" w:rsidR="00683F5C" w:rsidRPr="00683F5C" w:rsidRDefault="009C07E0" w:rsidP="009C07E0">
      <w:pPr>
        <w:pStyle w:val="NormalWeb"/>
        <w:numPr>
          <w:ilvl w:val="0"/>
          <w:numId w:val="31"/>
        </w:numPr>
        <w:jc w:val="both"/>
        <w:rPr>
          <w:rFonts w:ascii="Arial" w:hAnsi="Arial" w:cs="Arial"/>
          <w:sz w:val="22"/>
          <w:szCs w:val="22"/>
        </w:rPr>
      </w:pPr>
      <w:proofErr w:type="spellStart"/>
      <w:r w:rsidRPr="009C07E0">
        <w:rPr>
          <w:rFonts w:ascii="Arial" w:hAnsi="Arial" w:cs="Arial"/>
          <w:sz w:val="22"/>
          <w:szCs w:val="22"/>
        </w:rPr>
        <w:t>Trevisi</w:t>
      </w:r>
      <w:proofErr w:type="spellEnd"/>
      <w:r w:rsidRPr="009C07E0">
        <w:rPr>
          <w:rFonts w:ascii="Arial" w:hAnsi="Arial" w:cs="Arial"/>
          <w:sz w:val="22"/>
          <w:szCs w:val="22"/>
        </w:rPr>
        <w:t xml:space="preserve">, R., </w:t>
      </w:r>
      <w:proofErr w:type="spellStart"/>
      <w:r w:rsidRPr="009C07E0">
        <w:rPr>
          <w:rFonts w:ascii="Arial" w:hAnsi="Arial" w:cs="Arial"/>
          <w:sz w:val="22"/>
          <w:szCs w:val="22"/>
        </w:rPr>
        <w:t>Risica</w:t>
      </w:r>
      <w:proofErr w:type="spellEnd"/>
      <w:r w:rsidRPr="009C07E0">
        <w:rPr>
          <w:rFonts w:ascii="Arial" w:hAnsi="Arial" w:cs="Arial"/>
          <w:sz w:val="22"/>
          <w:szCs w:val="22"/>
        </w:rPr>
        <w:t xml:space="preserve">, S., D’Alessandro, M., Paradiso, D., &amp; </w:t>
      </w:r>
      <w:proofErr w:type="spellStart"/>
      <w:r w:rsidRPr="009C07E0">
        <w:rPr>
          <w:rFonts w:ascii="Arial" w:hAnsi="Arial" w:cs="Arial"/>
          <w:sz w:val="22"/>
          <w:szCs w:val="22"/>
        </w:rPr>
        <w:t>Nuccetelli</w:t>
      </w:r>
      <w:proofErr w:type="spellEnd"/>
      <w:r w:rsidRPr="009C07E0">
        <w:rPr>
          <w:rFonts w:ascii="Arial" w:hAnsi="Arial" w:cs="Arial"/>
          <w:sz w:val="22"/>
          <w:szCs w:val="22"/>
        </w:rPr>
        <w:t xml:space="preserve">, C. (2012). Natural radioactivity in building materials in the European Union: a database and an estimate of radiological significance. Journal of Environmental Radioactivity, 105, 11–20 </w:t>
      </w:r>
      <w:hyperlink r:id="rId65" w:history="1">
        <w:r w:rsidRPr="00AF4744">
          <w:rPr>
            <w:rStyle w:val="Hyperlink"/>
            <w:rFonts w:ascii="Arial" w:hAnsi="Arial" w:cs="Arial"/>
            <w:sz w:val="22"/>
            <w:szCs w:val="22"/>
          </w:rPr>
          <w:t>https://doi.org/10.1016/j.jenvrad.2011.10.001</w:t>
        </w:r>
      </w:hyperlink>
      <w:r>
        <w:rPr>
          <w:rFonts w:ascii="Arial" w:hAnsi="Arial" w:cs="Arial"/>
          <w:sz w:val="22"/>
          <w:szCs w:val="22"/>
        </w:rPr>
        <w:t xml:space="preserve"> </w:t>
      </w:r>
      <w:r w:rsidR="00683F5C" w:rsidRPr="00683F5C">
        <w:rPr>
          <w:rFonts w:ascii="Arial" w:hAnsi="Arial" w:cs="Arial"/>
          <w:sz w:val="22"/>
          <w:szCs w:val="22"/>
        </w:rPr>
        <w:t>.</w:t>
      </w:r>
    </w:p>
    <w:p w14:paraId="77B5D266" w14:textId="7806EA6B" w:rsidR="00683F5C" w:rsidRPr="00683F5C" w:rsidRDefault="002C7D70" w:rsidP="002C7D70">
      <w:pPr>
        <w:pStyle w:val="NormalWeb"/>
        <w:numPr>
          <w:ilvl w:val="0"/>
          <w:numId w:val="31"/>
        </w:numPr>
        <w:jc w:val="both"/>
        <w:rPr>
          <w:rFonts w:ascii="Arial" w:hAnsi="Arial" w:cs="Arial"/>
          <w:sz w:val="22"/>
          <w:szCs w:val="22"/>
        </w:rPr>
      </w:pPr>
      <w:r w:rsidRPr="002C7D70">
        <w:rPr>
          <w:rFonts w:ascii="Arial" w:hAnsi="Arial" w:cs="Arial"/>
          <w:sz w:val="22"/>
          <w:szCs w:val="22"/>
        </w:rPr>
        <w:t xml:space="preserve">Tso, M. Y., &amp; Li, C. (1992). Terrestrial gamma radiation dose in Hong Kong. Health Physics, 62(1). </w:t>
      </w:r>
      <w:hyperlink r:id="rId66" w:history="1">
        <w:r w:rsidRPr="00AF4744">
          <w:rPr>
            <w:rStyle w:val="Hyperlink"/>
            <w:rFonts w:ascii="Arial" w:hAnsi="Arial" w:cs="Arial"/>
            <w:sz w:val="22"/>
            <w:szCs w:val="22"/>
          </w:rPr>
          <w:t>https://doi.org/10.1097/00004032-199201000-00010</w:t>
        </w:r>
      </w:hyperlink>
      <w:r>
        <w:rPr>
          <w:rFonts w:ascii="Arial" w:hAnsi="Arial" w:cs="Arial"/>
          <w:sz w:val="22"/>
          <w:szCs w:val="22"/>
        </w:rPr>
        <w:t xml:space="preserve"> </w:t>
      </w:r>
      <w:r w:rsidR="00683F5C" w:rsidRPr="00683F5C">
        <w:rPr>
          <w:rFonts w:ascii="Arial" w:hAnsi="Arial" w:cs="Arial"/>
          <w:sz w:val="22"/>
          <w:szCs w:val="22"/>
        </w:rPr>
        <w:t>.</w:t>
      </w:r>
    </w:p>
    <w:p w14:paraId="155589E5" w14:textId="173A2255" w:rsidR="00683F5C" w:rsidRPr="00683F5C" w:rsidRDefault="005F7837" w:rsidP="005F7837">
      <w:pPr>
        <w:pStyle w:val="NormalWeb"/>
        <w:numPr>
          <w:ilvl w:val="0"/>
          <w:numId w:val="31"/>
        </w:numPr>
        <w:jc w:val="both"/>
        <w:rPr>
          <w:rFonts w:ascii="Arial" w:hAnsi="Arial" w:cs="Arial"/>
          <w:sz w:val="22"/>
          <w:szCs w:val="22"/>
        </w:rPr>
      </w:pPr>
      <w:r w:rsidRPr="005F7837">
        <w:rPr>
          <w:rFonts w:ascii="Arial" w:hAnsi="Arial" w:cs="Arial"/>
          <w:sz w:val="22"/>
          <w:szCs w:val="22"/>
        </w:rPr>
        <w:t xml:space="preserve">Tufail, M., Akhtar, N., &amp; Waqas, M. (2006). Measurement of terrestrial radiation for assessment of gamma dose from cultivated and barren saline soils of Faisalabad in Pakistan. Radiation Measurements, 41(4), 443–451. </w:t>
      </w:r>
      <w:hyperlink r:id="rId67" w:history="1">
        <w:r w:rsidRPr="00AF4744">
          <w:rPr>
            <w:rStyle w:val="Hyperlink"/>
            <w:rFonts w:ascii="Arial" w:hAnsi="Arial" w:cs="Arial"/>
            <w:sz w:val="22"/>
            <w:szCs w:val="22"/>
          </w:rPr>
          <w:t>https://doi.org/10.1016/j.radmeas.2005.10.007</w:t>
        </w:r>
      </w:hyperlink>
      <w:r>
        <w:rPr>
          <w:rFonts w:ascii="Arial" w:hAnsi="Arial" w:cs="Arial"/>
          <w:sz w:val="22"/>
          <w:szCs w:val="22"/>
        </w:rPr>
        <w:t xml:space="preserve"> </w:t>
      </w:r>
      <w:r w:rsidR="00683F5C" w:rsidRPr="00683F5C">
        <w:rPr>
          <w:rFonts w:ascii="Arial" w:hAnsi="Arial" w:cs="Arial"/>
          <w:sz w:val="22"/>
          <w:szCs w:val="22"/>
        </w:rPr>
        <w:t>.</w:t>
      </w:r>
    </w:p>
    <w:p w14:paraId="0D97DB34" w14:textId="2D1569AB" w:rsidR="00683F5C" w:rsidRPr="00683F5C" w:rsidRDefault="00EC48D0" w:rsidP="00EC48D0">
      <w:pPr>
        <w:pStyle w:val="NormalWeb"/>
        <w:numPr>
          <w:ilvl w:val="0"/>
          <w:numId w:val="31"/>
        </w:numPr>
        <w:jc w:val="both"/>
        <w:rPr>
          <w:rFonts w:ascii="Arial" w:hAnsi="Arial" w:cs="Arial"/>
          <w:sz w:val="22"/>
          <w:szCs w:val="22"/>
        </w:rPr>
      </w:pPr>
      <w:proofErr w:type="spellStart"/>
      <w:r w:rsidRPr="00EC48D0">
        <w:rPr>
          <w:rFonts w:ascii="Arial" w:hAnsi="Arial" w:cs="Arial"/>
          <w:sz w:val="22"/>
          <w:szCs w:val="22"/>
        </w:rPr>
        <w:t>Tzortzis</w:t>
      </w:r>
      <w:proofErr w:type="spellEnd"/>
      <w:r w:rsidRPr="00EC48D0">
        <w:rPr>
          <w:rFonts w:ascii="Arial" w:hAnsi="Arial" w:cs="Arial"/>
          <w:sz w:val="22"/>
          <w:szCs w:val="22"/>
        </w:rPr>
        <w:t xml:space="preserve">, M., </w:t>
      </w:r>
      <w:proofErr w:type="spellStart"/>
      <w:r w:rsidRPr="00EC48D0">
        <w:rPr>
          <w:rFonts w:ascii="Arial" w:hAnsi="Arial" w:cs="Arial"/>
          <w:sz w:val="22"/>
          <w:szCs w:val="22"/>
        </w:rPr>
        <w:t>Tsertos</w:t>
      </w:r>
      <w:proofErr w:type="spellEnd"/>
      <w:r w:rsidRPr="00EC48D0">
        <w:rPr>
          <w:rFonts w:ascii="Arial" w:hAnsi="Arial" w:cs="Arial"/>
          <w:sz w:val="22"/>
          <w:szCs w:val="22"/>
        </w:rPr>
        <w:t xml:space="preserve">, H., </w:t>
      </w:r>
      <w:proofErr w:type="spellStart"/>
      <w:r w:rsidRPr="00EC48D0">
        <w:rPr>
          <w:rFonts w:ascii="Arial" w:hAnsi="Arial" w:cs="Arial"/>
          <w:sz w:val="22"/>
          <w:szCs w:val="22"/>
        </w:rPr>
        <w:t>Christofides</w:t>
      </w:r>
      <w:proofErr w:type="spellEnd"/>
      <w:r w:rsidRPr="00EC48D0">
        <w:rPr>
          <w:rFonts w:ascii="Arial" w:hAnsi="Arial" w:cs="Arial"/>
          <w:sz w:val="22"/>
          <w:szCs w:val="22"/>
        </w:rPr>
        <w:t xml:space="preserve">, S., &amp; </w:t>
      </w:r>
      <w:proofErr w:type="spellStart"/>
      <w:r w:rsidRPr="00EC48D0">
        <w:rPr>
          <w:rFonts w:ascii="Arial" w:hAnsi="Arial" w:cs="Arial"/>
          <w:sz w:val="22"/>
          <w:szCs w:val="22"/>
        </w:rPr>
        <w:t>Christodoulides</w:t>
      </w:r>
      <w:proofErr w:type="spellEnd"/>
      <w:r w:rsidRPr="00EC48D0">
        <w:rPr>
          <w:rFonts w:ascii="Arial" w:hAnsi="Arial" w:cs="Arial"/>
          <w:sz w:val="22"/>
          <w:szCs w:val="22"/>
        </w:rPr>
        <w:t xml:space="preserve">, G. (2003). Gamma radiation measurements and dose rates in commercially-used natural tiling rocks (granites). Journal of Environmental Radioactivity, 70, 223–235. </w:t>
      </w:r>
      <w:hyperlink r:id="rId68" w:history="1">
        <w:r w:rsidRPr="00AF4744">
          <w:rPr>
            <w:rStyle w:val="Hyperlink"/>
            <w:rFonts w:ascii="Arial" w:hAnsi="Arial" w:cs="Arial"/>
            <w:sz w:val="22"/>
            <w:szCs w:val="22"/>
          </w:rPr>
          <w:t>https://doi.org/10.1016/S0265-931X(03)00106-1</w:t>
        </w:r>
      </w:hyperlink>
      <w:r>
        <w:rPr>
          <w:rFonts w:ascii="Arial" w:hAnsi="Arial" w:cs="Arial"/>
          <w:sz w:val="22"/>
          <w:szCs w:val="22"/>
        </w:rPr>
        <w:t xml:space="preserve"> </w:t>
      </w:r>
      <w:r w:rsidR="00683F5C" w:rsidRPr="00683F5C">
        <w:rPr>
          <w:rFonts w:ascii="Arial" w:hAnsi="Arial" w:cs="Arial"/>
          <w:sz w:val="22"/>
          <w:szCs w:val="22"/>
        </w:rPr>
        <w:t>.</w:t>
      </w:r>
    </w:p>
    <w:p w14:paraId="15C11889" w14:textId="3FA88639" w:rsidR="00683F5C" w:rsidRPr="00683F5C" w:rsidRDefault="009C03EC" w:rsidP="009C03EC">
      <w:pPr>
        <w:pStyle w:val="NormalWeb"/>
        <w:numPr>
          <w:ilvl w:val="0"/>
          <w:numId w:val="31"/>
        </w:numPr>
        <w:jc w:val="both"/>
        <w:rPr>
          <w:rFonts w:ascii="Arial" w:hAnsi="Arial" w:cs="Arial"/>
          <w:sz w:val="22"/>
          <w:szCs w:val="22"/>
        </w:rPr>
      </w:pPr>
      <w:proofErr w:type="spellStart"/>
      <w:r w:rsidRPr="009C03EC">
        <w:rPr>
          <w:rFonts w:ascii="Arial" w:hAnsi="Arial" w:cs="Arial"/>
          <w:sz w:val="22"/>
          <w:szCs w:val="22"/>
        </w:rPr>
        <w:t>Tzortzis</w:t>
      </w:r>
      <w:proofErr w:type="spellEnd"/>
      <w:r w:rsidRPr="009C03EC">
        <w:rPr>
          <w:rFonts w:ascii="Arial" w:hAnsi="Arial" w:cs="Arial"/>
          <w:sz w:val="22"/>
          <w:szCs w:val="22"/>
        </w:rPr>
        <w:t xml:space="preserve">, M., </w:t>
      </w:r>
      <w:proofErr w:type="spellStart"/>
      <w:r w:rsidRPr="009C03EC">
        <w:rPr>
          <w:rFonts w:ascii="Arial" w:hAnsi="Arial" w:cs="Arial"/>
          <w:sz w:val="22"/>
          <w:szCs w:val="22"/>
        </w:rPr>
        <w:t>Tsertos</w:t>
      </w:r>
      <w:proofErr w:type="spellEnd"/>
      <w:r w:rsidRPr="009C03EC">
        <w:rPr>
          <w:rFonts w:ascii="Arial" w:hAnsi="Arial" w:cs="Arial"/>
          <w:sz w:val="22"/>
          <w:szCs w:val="22"/>
        </w:rPr>
        <w:t xml:space="preserve">, H., </w:t>
      </w:r>
      <w:proofErr w:type="spellStart"/>
      <w:r w:rsidRPr="009C03EC">
        <w:rPr>
          <w:rFonts w:ascii="Arial" w:hAnsi="Arial" w:cs="Arial"/>
          <w:sz w:val="22"/>
          <w:szCs w:val="22"/>
        </w:rPr>
        <w:t>Christofides</w:t>
      </w:r>
      <w:proofErr w:type="spellEnd"/>
      <w:r w:rsidRPr="009C03EC">
        <w:rPr>
          <w:rFonts w:ascii="Arial" w:hAnsi="Arial" w:cs="Arial"/>
          <w:sz w:val="22"/>
          <w:szCs w:val="22"/>
        </w:rPr>
        <w:t xml:space="preserve">, S., &amp; </w:t>
      </w:r>
      <w:proofErr w:type="spellStart"/>
      <w:r w:rsidRPr="009C03EC">
        <w:rPr>
          <w:rFonts w:ascii="Arial" w:hAnsi="Arial" w:cs="Arial"/>
          <w:sz w:val="22"/>
          <w:szCs w:val="22"/>
        </w:rPr>
        <w:t>Christodoulides</w:t>
      </w:r>
      <w:proofErr w:type="spellEnd"/>
      <w:r w:rsidRPr="009C03EC">
        <w:rPr>
          <w:rFonts w:ascii="Arial" w:hAnsi="Arial" w:cs="Arial"/>
          <w:sz w:val="22"/>
          <w:szCs w:val="22"/>
        </w:rPr>
        <w:t xml:space="preserve">, G. (2003). Gamma-ray measurements of naturally occurring radioactive samples from Cyprus characteristic geological rocks. Radiation Measurements, 37, 221–229. </w:t>
      </w:r>
      <w:hyperlink r:id="rId69" w:history="1">
        <w:r w:rsidRPr="00AF4744">
          <w:rPr>
            <w:rStyle w:val="Hyperlink"/>
            <w:rFonts w:ascii="Arial" w:hAnsi="Arial" w:cs="Arial"/>
            <w:sz w:val="22"/>
            <w:szCs w:val="22"/>
          </w:rPr>
          <w:t>https://doi.org/10.1016/s1350-4487(03)00028-3</w:t>
        </w:r>
      </w:hyperlink>
      <w:r>
        <w:rPr>
          <w:rFonts w:ascii="Arial" w:hAnsi="Arial" w:cs="Arial"/>
          <w:sz w:val="22"/>
          <w:szCs w:val="22"/>
        </w:rPr>
        <w:t xml:space="preserve"> </w:t>
      </w:r>
      <w:r w:rsidR="00683F5C" w:rsidRPr="00683F5C">
        <w:rPr>
          <w:rFonts w:ascii="Arial" w:hAnsi="Arial" w:cs="Arial"/>
          <w:sz w:val="22"/>
          <w:szCs w:val="22"/>
        </w:rPr>
        <w:t>.</w:t>
      </w:r>
    </w:p>
    <w:p w14:paraId="2BD6ED8D" w14:textId="2A7F5446" w:rsidR="00683F5C" w:rsidRPr="00683F5C" w:rsidRDefault="003B6620" w:rsidP="003B6620">
      <w:pPr>
        <w:pStyle w:val="NormalWeb"/>
        <w:numPr>
          <w:ilvl w:val="0"/>
          <w:numId w:val="31"/>
        </w:numPr>
        <w:jc w:val="both"/>
        <w:rPr>
          <w:rFonts w:ascii="Arial" w:hAnsi="Arial" w:cs="Arial"/>
          <w:sz w:val="22"/>
          <w:szCs w:val="22"/>
        </w:rPr>
      </w:pPr>
      <w:r w:rsidRPr="003B6620">
        <w:rPr>
          <w:rFonts w:ascii="Arial" w:hAnsi="Arial" w:cs="Arial"/>
          <w:sz w:val="22"/>
          <w:szCs w:val="22"/>
        </w:rPr>
        <w:t xml:space="preserve">United Nations Scientific Committee on the Effects of Atomic Radiation. (2000). Sources and effects of ionizing radiation. Annex B: Exposures from natural radiation sources (UNSCEAR 2000 Report, Vol. I). United Nations. </w:t>
      </w:r>
      <w:hyperlink r:id="rId70" w:history="1">
        <w:r w:rsidRPr="00AF4744">
          <w:rPr>
            <w:rStyle w:val="Hyperlink"/>
            <w:rFonts w:ascii="Arial" w:hAnsi="Arial" w:cs="Arial"/>
            <w:sz w:val="22"/>
            <w:szCs w:val="22"/>
          </w:rPr>
          <w:t>https://www.unscear.org/unscear/en/publications/2000_1.html</w:t>
        </w:r>
      </w:hyperlink>
      <w:r>
        <w:rPr>
          <w:rFonts w:ascii="Arial" w:hAnsi="Arial" w:cs="Arial"/>
          <w:sz w:val="22"/>
          <w:szCs w:val="22"/>
        </w:rPr>
        <w:t xml:space="preserve"> </w:t>
      </w:r>
      <w:r w:rsidR="00683F5C" w:rsidRPr="00683F5C">
        <w:rPr>
          <w:rFonts w:ascii="Arial" w:hAnsi="Arial" w:cs="Arial"/>
          <w:sz w:val="22"/>
          <w:szCs w:val="22"/>
        </w:rPr>
        <w:t>.</w:t>
      </w:r>
    </w:p>
    <w:p w14:paraId="6F641362" w14:textId="25ABFAFF" w:rsidR="00683F5C" w:rsidRPr="00683F5C" w:rsidRDefault="00BC5394" w:rsidP="00BC5394">
      <w:pPr>
        <w:pStyle w:val="NormalWeb"/>
        <w:numPr>
          <w:ilvl w:val="0"/>
          <w:numId w:val="31"/>
        </w:numPr>
        <w:jc w:val="both"/>
        <w:rPr>
          <w:rFonts w:ascii="Arial" w:hAnsi="Arial" w:cs="Arial"/>
          <w:sz w:val="22"/>
          <w:szCs w:val="22"/>
        </w:rPr>
      </w:pPr>
      <w:r w:rsidRPr="00BC5394">
        <w:rPr>
          <w:rFonts w:ascii="Arial" w:hAnsi="Arial" w:cs="Arial"/>
          <w:sz w:val="22"/>
          <w:szCs w:val="22"/>
        </w:rPr>
        <w:t xml:space="preserve">United Nations Scientific Committee on the Effects of Atomic Radiation. (2010). *Sources and effects of ionizing radiation. UNSCEAR 2008 report to the General Assembly with scientific annexes*. United Nations. </w:t>
      </w:r>
      <w:hyperlink r:id="rId71" w:history="1">
        <w:r w:rsidRPr="00AF4744">
          <w:rPr>
            <w:rStyle w:val="Hyperlink"/>
            <w:rFonts w:ascii="Arial" w:hAnsi="Arial" w:cs="Arial"/>
            <w:sz w:val="22"/>
            <w:szCs w:val="22"/>
          </w:rPr>
          <w:t>https://www.unscear.org/unscear/en/publications/2008_report.html</w:t>
        </w:r>
      </w:hyperlink>
      <w:r>
        <w:rPr>
          <w:rFonts w:ascii="Arial" w:hAnsi="Arial" w:cs="Arial"/>
          <w:sz w:val="22"/>
          <w:szCs w:val="22"/>
        </w:rPr>
        <w:t xml:space="preserve"> </w:t>
      </w:r>
      <w:r w:rsidR="00683F5C" w:rsidRPr="00683F5C">
        <w:rPr>
          <w:rFonts w:ascii="Arial" w:hAnsi="Arial" w:cs="Arial"/>
          <w:sz w:val="22"/>
          <w:szCs w:val="22"/>
        </w:rPr>
        <w:t>.</w:t>
      </w:r>
    </w:p>
    <w:p w14:paraId="7741E974" w14:textId="77777777" w:rsidR="00E75AD2" w:rsidRPr="00E75AD2" w:rsidRDefault="003A4323" w:rsidP="00E75AD2">
      <w:pPr>
        <w:pStyle w:val="NormalWeb"/>
        <w:numPr>
          <w:ilvl w:val="0"/>
          <w:numId w:val="31"/>
        </w:numPr>
        <w:jc w:val="both"/>
        <w:rPr>
          <w:rFonts w:ascii="Arial" w:hAnsi="Arial" w:cs="Arial"/>
          <w:sz w:val="22"/>
          <w:szCs w:val="22"/>
        </w:rPr>
      </w:pPr>
      <w:proofErr w:type="spellStart"/>
      <w:r w:rsidRPr="003A4323">
        <w:rPr>
          <w:rFonts w:ascii="Arial" w:hAnsi="Arial" w:cs="Arial"/>
          <w:sz w:val="22"/>
          <w:szCs w:val="22"/>
        </w:rPr>
        <w:t>Wallova</w:t>
      </w:r>
      <w:proofErr w:type="spellEnd"/>
      <w:r w:rsidRPr="003A4323">
        <w:rPr>
          <w:rFonts w:ascii="Arial" w:hAnsi="Arial" w:cs="Arial"/>
          <w:sz w:val="22"/>
          <w:szCs w:val="22"/>
        </w:rPr>
        <w:t xml:space="preserve">, G., </w:t>
      </w:r>
      <w:proofErr w:type="spellStart"/>
      <w:r w:rsidRPr="003A4323">
        <w:rPr>
          <w:rFonts w:ascii="Arial" w:hAnsi="Arial" w:cs="Arial"/>
          <w:sz w:val="22"/>
          <w:szCs w:val="22"/>
        </w:rPr>
        <w:t>Kandler</w:t>
      </w:r>
      <w:proofErr w:type="spellEnd"/>
      <w:r w:rsidRPr="003A4323">
        <w:rPr>
          <w:rFonts w:ascii="Arial" w:hAnsi="Arial" w:cs="Arial"/>
          <w:sz w:val="22"/>
          <w:szCs w:val="22"/>
        </w:rPr>
        <w:t xml:space="preserve">, N., &amp; </w:t>
      </w:r>
      <w:proofErr w:type="spellStart"/>
      <w:r w:rsidRPr="003A4323">
        <w:rPr>
          <w:rFonts w:ascii="Arial" w:hAnsi="Arial" w:cs="Arial"/>
          <w:sz w:val="22"/>
          <w:szCs w:val="22"/>
        </w:rPr>
        <w:t>Wallner</w:t>
      </w:r>
      <w:proofErr w:type="spellEnd"/>
      <w:r w:rsidRPr="003A4323">
        <w:rPr>
          <w:rFonts w:ascii="Arial" w:hAnsi="Arial" w:cs="Arial"/>
          <w:sz w:val="22"/>
          <w:szCs w:val="22"/>
        </w:rPr>
        <w:t xml:space="preserve">, G. (2012). Monitoring of radionuclides in soil </w:t>
      </w:r>
      <w:r w:rsidRPr="00E75AD2">
        <w:rPr>
          <w:rFonts w:ascii="Arial" w:hAnsi="Arial" w:cs="Arial"/>
          <w:sz w:val="22"/>
          <w:szCs w:val="22"/>
        </w:rPr>
        <w:t xml:space="preserve">and bone samples from Austria. Journal of Environmental Radioactivity, 107, 44–50. </w:t>
      </w:r>
      <w:hyperlink r:id="rId72" w:history="1">
        <w:r w:rsidRPr="00E75AD2">
          <w:rPr>
            <w:rStyle w:val="Hyperlink"/>
            <w:rFonts w:ascii="Arial" w:hAnsi="Arial" w:cs="Arial"/>
            <w:sz w:val="22"/>
            <w:szCs w:val="22"/>
          </w:rPr>
          <w:t>https://doi.org/10.1016/j.jenvrad.2011.12.007</w:t>
        </w:r>
      </w:hyperlink>
      <w:r w:rsidR="00E75AD2" w:rsidRPr="00E75AD2">
        <w:rPr>
          <w:rFonts w:ascii="Arial" w:hAnsi="Arial" w:cs="Arial"/>
          <w:sz w:val="22"/>
          <w:szCs w:val="22"/>
        </w:rPr>
        <w:t>.</w:t>
      </w:r>
    </w:p>
    <w:p w14:paraId="15AE6480" w14:textId="084D3BCC" w:rsidR="00683F5C" w:rsidRPr="00E75AD2" w:rsidRDefault="00683F5C" w:rsidP="009746FA">
      <w:pPr>
        <w:pStyle w:val="NormalWeb"/>
        <w:numPr>
          <w:ilvl w:val="0"/>
          <w:numId w:val="31"/>
        </w:numPr>
        <w:jc w:val="both"/>
        <w:rPr>
          <w:rFonts w:ascii="Arial" w:hAnsi="Arial" w:cs="Arial"/>
          <w:sz w:val="22"/>
          <w:szCs w:val="22"/>
        </w:rPr>
      </w:pPr>
      <w:r w:rsidRPr="00E75AD2">
        <w:rPr>
          <w:rFonts w:ascii="Arial" w:hAnsi="Arial" w:cs="Arial"/>
          <w:sz w:val="22"/>
          <w:szCs w:val="22"/>
        </w:rPr>
        <w:t xml:space="preserve">Yasir, S. M., Majid, A. A., Yahaya, R., </w:t>
      </w:r>
      <w:proofErr w:type="spellStart"/>
      <w:r w:rsidRPr="00E75AD2">
        <w:rPr>
          <w:rFonts w:ascii="Arial" w:hAnsi="Arial" w:cs="Arial"/>
          <w:sz w:val="22"/>
          <w:szCs w:val="22"/>
        </w:rPr>
        <w:t>Bahari</w:t>
      </w:r>
      <w:proofErr w:type="spellEnd"/>
      <w:r w:rsidRPr="00E75AD2">
        <w:rPr>
          <w:rFonts w:ascii="Arial" w:hAnsi="Arial" w:cs="Arial"/>
          <w:sz w:val="22"/>
          <w:szCs w:val="22"/>
        </w:rPr>
        <w:t xml:space="preserve">, I., &amp; </w:t>
      </w:r>
      <w:proofErr w:type="spellStart"/>
      <w:r w:rsidRPr="00E75AD2">
        <w:rPr>
          <w:rFonts w:ascii="Arial" w:hAnsi="Arial" w:cs="Arial"/>
          <w:sz w:val="22"/>
          <w:szCs w:val="22"/>
        </w:rPr>
        <w:t>Chooi</w:t>
      </w:r>
      <w:proofErr w:type="spellEnd"/>
      <w:r w:rsidRPr="00E75AD2">
        <w:rPr>
          <w:rFonts w:ascii="Arial" w:hAnsi="Arial" w:cs="Arial"/>
          <w:sz w:val="22"/>
          <w:szCs w:val="22"/>
        </w:rPr>
        <w:t xml:space="preserve">, K. T. (2007). Water quality and sediment from </w:t>
      </w:r>
      <w:proofErr w:type="spellStart"/>
      <w:r w:rsidRPr="00E75AD2">
        <w:rPr>
          <w:rFonts w:ascii="Arial" w:hAnsi="Arial" w:cs="Arial"/>
          <w:sz w:val="22"/>
          <w:szCs w:val="22"/>
        </w:rPr>
        <w:t>amang</w:t>
      </w:r>
      <w:proofErr w:type="spellEnd"/>
      <w:r w:rsidRPr="00E75AD2">
        <w:rPr>
          <w:rFonts w:ascii="Arial" w:hAnsi="Arial" w:cs="Arial"/>
          <w:sz w:val="22"/>
          <w:szCs w:val="22"/>
        </w:rPr>
        <w:t xml:space="preserve"> processing. </w:t>
      </w:r>
      <w:r w:rsidRPr="00E75AD2">
        <w:rPr>
          <w:rStyle w:val="Emphasis"/>
          <w:rFonts w:ascii="Arial" w:hAnsi="Arial" w:cs="Arial"/>
          <w:sz w:val="22"/>
          <w:szCs w:val="22"/>
        </w:rPr>
        <w:t>Malaysian Journal of Analytical Sciences</w:t>
      </w:r>
      <w:r w:rsidRPr="00E75AD2">
        <w:rPr>
          <w:rFonts w:ascii="Arial" w:hAnsi="Arial" w:cs="Arial"/>
          <w:sz w:val="22"/>
          <w:szCs w:val="22"/>
        </w:rPr>
        <w:t>, 11, 370–378.</w:t>
      </w:r>
      <w:r w:rsidR="00DD5187">
        <w:rPr>
          <w:rFonts w:ascii="Arial" w:hAnsi="Arial" w:cs="Arial"/>
          <w:sz w:val="22"/>
          <w:szCs w:val="22"/>
        </w:rPr>
        <w:t xml:space="preserve"> </w:t>
      </w:r>
      <w:hyperlink r:id="rId73" w:tgtFrame="_blank" w:history="1">
        <w:r w:rsidR="00E75AD2" w:rsidRPr="00E75AD2">
          <w:rPr>
            <w:rStyle w:val="Hyperlink"/>
            <w:rFonts w:ascii="Arial" w:hAnsi="Arial" w:cs="Arial"/>
            <w:sz w:val="22"/>
            <w:szCs w:val="22"/>
          </w:rPr>
          <w:t>http://mjas.analis.com.my/wp-content/uploads/2018/11/22_5_10.html</w:t>
        </w:r>
      </w:hyperlink>
      <w:r w:rsidR="00DD5187">
        <w:rPr>
          <w:rStyle w:val="t286pc"/>
          <w:rFonts w:ascii="Arial" w:hAnsi="Arial" w:cs="Arial"/>
          <w:color w:val="0A0A0A"/>
          <w:sz w:val="22"/>
          <w:szCs w:val="22"/>
        </w:rPr>
        <w:t xml:space="preserve">. </w:t>
      </w:r>
      <w:r w:rsidR="00DD5187" w:rsidRPr="00DB6DED">
        <w:rPr>
          <w:rFonts w:ascii="Arial" w:hAnsi="Arial" w:cs="Arial"/>
          <w:i/>
          <w:iCs/>
          <w:sz w:val="22"/>
          <w:szCs w:val="22"/>
        </w:rPr>
        <w:t xml:space="preserve">Accessed on </w:t>
      </w:r>
      <w:r w:rsidR="00DD5187">
        <w:rPr>
          <w:rFonts w:ascii="Arial" w:hAnsi="Arial" w:cs="Arial"/>
          <w:i/>
          <w:iCs/>
          <w:sz w:val="22"/>
          <w:szCs w:val="22"/>
        </w:rPr>
        <w:t>9</w:t>
      </w:r>
      <w:r w:rsidR="00DD5187" w:rsidRPr="00DB6DED">
        <w:rPr>
          <w:rFonts w:ascii="Arial" w:hAnsi="Arial" w:cs="Arial"/>
          <w:i/>
          <w:iCs/>
          <w:sz w:val="22"/>
          <w:szCs w:val="22"/>
        </w:rPr>
        <w:t xml:space="preserve"> December 2025</w:t>
      </w:r>
      <w:r w:rsidR="00DD5187">
        <w:rPr>
          <w:rFonts w:ascii="Arial" w:hAnsi="Arial" w:cs="Arial"/>
          <w:sz w:val="22"/>
          <w:szCs w:val="22"/>
        </w:rPr>
        <w:t>.</w:t>
      </w:r>
    </w:p>
    <w:p w14:paraId="5E522E08" w14:textId="076781FD" w:rsidR="00683F5C" w:rsidRPr="00683F5C" w:rsidRDefault="00451878" w:rsidP="00451878">
      <w:pPr>
        <w:pStyle w:val="NormalWeb"/>
        <w:numPr>
          <w:ilvl w:val="0"/>
          <w:numId w:val="31"/>
        </w:numPr>
        <w:jc w:val="both"/>
        <w:rPr>
          <w:rFonts w:ascii="Arial" w:hAnsi="Arial" w:cs="Arial"/>
          <w:sz w:val="22"/>
          <w:szCs w:val="22"/>
        </w:rPr>
      </w:pPr>
      <w:r w:rsidRPr="00E75AD2">
        <w:rPr>
          <w:rFonts w:ascii="Arial" w:hAnsi="Arial" w:cs="Arial"/>
          <w:sz w:val="22"/>
          <w:szCs w:val="22"/>
        </w:rPr>
        <w:lastRenderedPageBreak/>
        <w:t xml:space="preserve">Yoshimura, E. M., </w:t>
      </w:r>
      <w:proofErr w:type="spellStart"/>
      <w:r w:rsidRPr="00E75AD2">
        <w:rPr>
          <w:rFonts w:ascii="Arial" w:hAnsi="Arial" w:cs="Arial"/>
          <w:sz w:val="22"/>
          <w:szCs w:val="22"/>
        </w:rPr>
        <w:t>Otsubo</w:t>
      </w:r>
      <w:proofErr w:type="spellEnd"/>
      <w:r w:rsidRPr="00E75AD2">
        <w:rPr>
          <w:rFonts w:ascii="Arial" w:hAnsi="Arial" w:cs="Arial"/>
          <w:sz w:val="22"/>
          <w:szCs w:val="22"/>
        </w:rPr>
        <w:t xml:space="preserve">, S. M., &amp; Oliveira, R. E. R. (2004). Gamma ray contribution to the ambient dose rate in the city of São Paulo, Brazil. Radiation Measurements. </w:t>
      </w:r>
      <w:hyperlink r:id="rId74" w:history="1">
        <w:r w:rsidRPr="00E75AD2">
          <w:rPr>
            <w:rStyle w:val="Hyperlink"/>
            <w:rFonts w:ascii="Arial" w:hAnsi="Arial" w:cs="Arial"/>
            <w:sz w:val="22"/>
            <w:szCs w:val="22"/>
          </w:rPr>
          <w:t>https://doi.org/10.1016/s1350-4487(03)00283-x</w:t>
        </w:r>
      </w:hyperlink>
      <w:r>
        <w:rPr>
          <w:rFonts w:ascii="Arial" w:hAnsi="Arial" w:cs="Arial"/>
          <w:sz w:val="22"/>
          <w:szCs w:val="22"/>
        </w:rPr>
        <w:t xml:space="preserve"> </w:t>
      </w:r>
      <w:r w:rsidR="00683F5C" w:rsidRPr="00683F5C">
        <w:rPr>
          <w:rFonts w:ascii="Arial" w:hAnsi="Arial" w:cs="Arial"/>
          <w:sz w:val="22"/>
          <w:szCs w:val="22"/>
        </w:rPr>
        <w:t>.</w:t>
      </w:r>
    </w:p>
    <w:p w14:paraId="72B49E57" w14:textId="77777777" w:rsidR="002F31BD" w:rsidRDefault="002F31BD" w:rsidP="00683F5C">
      <w:pPr>
        <w:pStyle w:val="DefAcrHead"/>
        <w:spacing w:after="0"/>
        <w:jc w:val="both"/>
        <w:rPr>
          <w:rFonts w:ascii="Arial" w:hAnsi="Arial" w:cs="Arial"/>
          <w:szCs w:val="22"/>
        </w:rPr>
      </w:pPr>
    </w:p>
    <w:p w14:paraId="32998B91" w14:textId="68EE7B01" w:rsidR="00663D24" w:rsidRPr="00683F5C" w:rsidRDefault="00663D24" w:rsidP="00683F5C">
      <w:pPr>
        <w:pStyle w:val="DefAcrHead"/>
        <w:spacing w:after="0"/>
        <w:jc w:val="both"/>
        <w:rPr>
          <w:rFonts w:ascii="Arial" w:hAnsi="Arial" w:cs="Arial"/>
          <w:szCs w:val="22"/>
        </w:rPr>
        <w:sectPr w:rsidR="00663D24" w:rsidRPr="00683F5C" w:rsidSect="00CD5060">
          <w:headerReference w:type="even" r:id="rId75"/>
          <w:headerReference w:type="default" r:id="rId76"/>
          <w:footerReference w:type="default" r:id="rId77"/>
          <w:headerReference w:type="first" r:id="rId78"/>
          <w:type w:val="continuous"/>
          <w:pgSz w:w="12240" w:h="15840"/>
          <w:pgMar w:top="1440" w:right="2016" w:bottom="2016" w:left="2016" w:header="720" w:footer="1123" w:gutter="0"/>
          <w:cols w:space="720"/>
          <w:docGrid w:linePitch="272"/>
        </w:sectPr>
      </w:pPr>
    </w:p>
    <w:p w14:paraId="478BF53E" w14:textId="77777777" w:rsidR="00B01FCD" w:rsidRPr="00683F5C" w:rsidRDefault="00B01FCD" w:rsidP="00683F5C">
      <w:pPr>
        <w:pStyle w:val="Appendix"/>
        <w:spacing w:after="0"/>
        <w:jc w:val="both"/>
        <w:rPr>
          <w:rFonts w:ascii="Arial" w:hAnsi="Arial" w:cs="Arial"/>
          <w:b w:val="0"/>
          <w:szCs w:val="22"/>
        </w:rPr>
      </w:pPr>
      <w:bookmarkStart w:id="0" w:name="_GoBack"/>
      <w:bookmarkEnd w:id="0"/>
    </w:p>
    <w:sectPr w:rsidR="00B01FCD" w:rsidRPr="00683F5C" w:rsidSect="00CD506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D647B" w14:textId="77777777" w:rsidR="004E128F" w:rsidRDefault="004E128F" w:rsidP="00C37E61">
      <w:r>
        <w:separator/>
      </w:r>
    </w:p>
  </w:endnote>
  <w:endnote w:type="continuationSeparator" w:id="0">
    <w:p w14:paraId="0B9684F6" w14:textId="77777777" w:rsidR="004E128F" w:rsidRDefault="004E12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1CE0" w14:textId="77777777" w:rsidR="00CD5060" w:rsidRDefault="00CD5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8C48" w14:textId="77777777" w:rsidR="00CD5060" w:rsidRDefault="00CD50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EA6CE" w14:textId="77777777" w:rsidR="009E048A" w:rsidRDefault="009E048A">
    <w:pPr>
      <w:pStyle w:val="Footer"/>
      <w:rPr>
        <w:rFonts w:ascii="Arial" w:hAnsi="Arial" w:cs="Arial"/>
        <w:sz w:val="16"/>
      </w:rPr>
    </w:pPr>
  </w:p>
  <w:p w14:paraId="0411FB1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D96091" w14:textId="77777777" w:rsidR="009E048A" w:rsidRDefault="009E048A">
    <w:pPr>
      <w:pStyle w:val="Footer"/>
      <w:rPr>
        <w:rFonts w:ascii="Arial" w:hAnsi="Arial" w:cs="Arial"/>
        <w:sz w:val="16"/>
      </w:rPr>
    </w:pPr>
  </w:p>
  <w:p w14:paraId="6E5A66A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F6D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8EC48" w14:textId="77777777" w:rsidR="004E128F" w:rsidRDefault="004E128F" w:rsidP="00C37E61">
      <w:r>
        <w:separator/>
      </w:r>
    </w:p>
  </w:footnote>
  <w:footnote w:type="continuationSeparator" w:id="0">
    <w:p w14:paraId="3D4467F6" w14:textId="77777777" w:rsidR="004E128F" w:rsidRDefault="004E128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6B739" w14:textId="7B49F972" w:rsidR="00CD5060" w:rsidRDefault="004E128F">
    <w:pPr>
      <w:pStyle w:val="Header"/>
    </w:pPr>
    <w:r>
      <w:rPr>
        <w:noProof/>
      </w:rPr>
      <w:pict w14:anchorId="274AD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8"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0A81" w14:textId="48C3DB29" w:rsidR="00CD5060" w:rsidRDefault="004E128F">
    <w:pPr>
      <w:pStyle w:val="Header"/>
    </w:pPr>
    <w:r>
      <w:rPr>
        <w:noProof/>
      </w:rPr>
      <w:pict w14:anchorId="33032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9" o:sp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E14EB" w14:textId="28A9C768" w:rsidR="00296529" w:rsidRPr="00296529" w:rsidRDefault="004E128F" w:rsidP="00296529">
    <w:pPr>
      <w:ind w:left="2160"/>
      <w:jc w:val="center"/>
      <w:rPr>
        <w:rFonts w:eastAsia="Calibri"/>
        <w:i/>
        <w:sz w:val="18"/>
        <w:szCs w:val="22"/>
      </w:rPr>
    </w:pPr>
    <w:r>
      <w:rPr>
        <w:noProof/>
      </w:rPr>
      <w:pict w14:anchorId="476B7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7"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4FF53EE1"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0E7A30D5" w14:textId="77777777" w:rsidR="00296529" w:rsidRPr="00296529" w:rsidRDefault="00754C9A" w:rsidP="00296529">
    <w:pPr>
      <w:jc w:val="center"/>
      <w:rPr>
        <w:rFonts w:eastAsia="Calibri"/>
        <w:i/>
        <w:sz w:val="18"/>
        <w:szCs w:val="22"/>
      </w:rPr>
    </w:pPr>
    <w:r>
      <w:rPr>
        <w:rFonts w:eastAsia="Calibri"/>
        <w:i/>
        <w:sz w:val="18"/>
        <w:szCs w:val="22"/>
      </w:rPr>
      <w:t>.</w:t>
    </w:r>
  </w:p>
  <w:p w14:paraId="00B00EDC"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7D36B93A"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376CE5D3"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67B9A9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E562" w14:textId="191BC0A5" w:rsidR="00CD5060" w:rsidRDefault="004E128F">
    <w:pPr>
      <w:pStyle w:val="Header"/>
    </w:pPr>
    <w:r>
      <w:rPr>
        <w:noProof/>
      </w:rPr>
      <w:pict w14:anchorId="738CF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1" o:sp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55CB" w14:textId="12270E40" w:rsidR="00CD5060" w:rsidRDefault="004E128F">
    <w:pPr>
      <w:pStyle w:val="Header"/>
    </w:pPr>
    <w:r>
      <w:rPr>
        <w:noProof/>
      </w:rPr>
      <w:pict w14:anchorId="1CF36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2" o:sp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F080" w14:textId="52DC193E" w:rsidR="00CD5060" w:rsidRDefault="004E128F">
    <w:pPr>
      <w:pStyle w:val="Header"/>
    </w:pPr>
    <w:r>
      <w:rPr>
        <w:noProof/>
      </w:rPr>
      <w:pict w14:anchorId="2A513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0" o:sp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0020EB"/>
    <w:multiLevelType w:val="hybridMultilevel"/>
    <w:tmpl w:val="11DEE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4E5D66"/>
    <w:multiLevelType w:val="multilevel"/>
    <w:tmpl w:val="A88A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6"/>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6A"/>
    <w:rsid w:val="00000F8F"/>
    <w:rsid w:val="000061E1"/>
    <w:rsid w:val="00010727"/>
    <w:rsid w:val="000156A6"/>
    <w:rsid w:val="000156EB"/>
    <w:rsid w:val="00030174"/>
    <w:rsid w:val="00040AB7"/>
    <w:rsid w:val="0004579C"/>
    <w:rsid w:val="0006126F"/>
    <w:rsid w:val="0007693F"/>
    <w:rsid w:val="00083299"/>
    <w:rsid w:val="000879A6"/>
    <w:rsid w:val="0009195F"/>
    <w:rsid w:val="00093FEB"/>
    <w:rsid w:val="000A4207"/>
    <w:rsid w:val="000A47FA"/>
    <w:rsid w:val="000A5745"/>
    <w:rsid w:val="000A65D3"/>
    <w:rsid w:val="000B1E33"/>
    <w:rsid w:val="000C567F"/>
    <w:rsid w:val="000D26BC"/>
    <w:rsid w:val="000D2EF1"/>
    <w:rsid w:val="000D5D16"/>
    <w:rsid w:val="000D689F"/>
    <w:rsid w:val="000E37FC"/>
    <w:rsid w:val="000E7B7B"/>
    <w:rsid w:val="000E7D62"/>
    <w:rsid w:val="000F64D9"/>
    <w:rsid w:val="00103357"/>
    <w:rsid w:val="001035A3"/>
    <w:rsid w:val="00103E9B"/>
    <w:rsid w:val="001138E9"/>
    <w:rsid w:val="00120869"/>
    <w:rsid w:val="00123C9F"/>
    <w:rsid w:val="0012478C"/>
    <w:rsid w:val="00126190"/>
    <w:rsid w:val="00130F17"/>
    <w:rsid w:val="001320BF"/>
    <w:rsid w:val="001430AC"/>
    <w:rsid w:val="00146435"/>
    <w:rsid w:val="00157EE2"/>
    <w:rsid w:val="00163BC4"/>
    <w:rsid w:val="00165C7E"/>
    <w:rsid w:val="00181B2D"/>
    <w:rsid w:val="00191062"/>
    <w:rsid w:val="00192B72"/>
    <w:rsid w:val="001957E1"/>
    <w:rsid w:val="001A29D8"/>
    <w:rsid w:val="001A5CAA"/>
    <w:rsid w:val="001B0427"/>
    <w:rsid w:val="001B385C"/>
    <w:rsid w:val="001B44B1"/>
    <w:rsid w:val="001B7340"/>
    <w:rsid w:val="001D16B4"/>
    <w:rsid w:val="001D3A51"/>
    <w:rsid w:val="001E10D2"/>
    <w:rsid w:val="001E25B4"/>
    <w:rsid w:val="001E44FE"/>
    <w:rsid w:val="001E62F4"/>
    <w:rsid w:val="00200595"/>
    <w:rsid w:val="00204835"/>
    <w:rsid w:val="002055C8"/>
    <w:rsid w:val="002171C4"/>
    <w:rsid w:val="00220762"/>
    <w:rsid w:val="00223BF6"/>
    <w:rsid w:val="002251E8"/>
    <w:rsid w:val="00231920"/>
    <w:rsid w:val="0023195C"/>
    <w:rsid w:val="00236B43"/>
    <w:rsid w:val="002375C2"/>
    <w:rsid w:val="00240311"/>
    <w:rsid w:val="0024282C"/>
    <w:rsid w:val="00244465"/>
    <w:rsid w:val="00245CF1"/>
    <w:rsid w:val="002460DC"/>
    <w:rsid w:val="00250985"/>
    <w:rsid w:val="002540C1"/>
    <w:rsid w:val="002556F6"/>
    <w:rsid w:val="0026093F"/>
    <w:rsid w:val="00261AC4"/>
    <w:rsid w:val="0026491D"/>
    <w:rsid w:val="002753E7"/>
    <w:rsid w:val="00283105"/>
    <w:rsid w:val="00284C4C"/>
    <w:rsid w:val="00287E68"/>
    <w:rsid w:val="0029330C"/>
    <w:rsid w:val="00296529"/>
    <w:rsid w:val="002B27FB"/>
    <w:rsid w:val="002B343A"/>
    <w:rsid w:val="002B575D"/>
    <w:rsid w:val="002B685A"/>
    <w:rsid w:val="002C07A6"/>
    <w:rsid w:val="002C0E72"/>
    <w:rsid w:val="002C462C"/>
    <w:rsid w:val="002C57D2"/>
    <w:rsid w:val="002C59FE"/>
    <w:rsid w:val="002C7D70"/>
    <w:rsid w:val="002D52DD"/>
    <w:rsid w:val="002D6969"/>
    <w:rsid w:val="002E0D56"/>
    <w:rsid w:val="002E1E6D"/>
    <w:rsid w:val="002E4C42"/>
    <w:rsid w:val="002E6F77"/>
    <w:rsid w:val="002F0D21"/>
    <w:rsid w:val="002F31BD"/>
    <w:rsid w:val="00315186"/>
    <w:rsid w:val="00320A2E"/>
    <w:rsid w:val="0033343E"/>
    <w:rsid w:val="00333D57"/>
    <w:rsid w:val="0034333E"/>
    <w:rsid w:val="00344B57"/>
    <w:rsid w:val="003512C2"/>
    <w:rsid w:val="00357285"/>
    <w:rsid w:val="003669E8"/>
    <w:rsid w:val="00371FB6"/>
    <w:rsid w:val="00374B09"/>
    <w:rsid w:val="003763C1"/>
    <w:rsid w:val="00376BBE"/>
    <w:rsid w:val="003835C3"/>
    <w:rsid w:val="00387691"/>
    <w:rsid w:val="0039123C"/>
    <w:rsid w:val="0039224F"/>
    <w:rsid w:val="00392608"/>
    <w:rsid w:val="003A4323"/>
    <w:rsid w:val="003A43A4"/>
    <w:rsid w:val="003A7E18"/>
    <w:rsid w:val="003B066F"/>
    <w:rsid w:val="003B6620"/>
    <w:rsid w:val="003B76D5"/>
    <w:rsid w:val="003B7AC9"/>
    <w:rsid w:val="003C0D35"/>
    <w:rsid w:val="003C4C86"/>
    <w:rsid w:val="003C6258"/>
    <w:rsid w:val="003D1023"/>
    <w:rsid w:val="003D7F82"/>
    <w:rsid w:val="003E2904"/>
    <w:rsid w:val="00401927"/>
    <w:rsid w:val="00405A4A"/>
    <w:rsid w:val="0041027F"/>
    <w:rsid w:val="00412475"/>
    <w:rsid w:val="004200C1"/>
    <w:rsid w:val="00422104"/>
    <w:rsid w:val="00423789"/>
    <w:rsid w:val="00423EAC"/>
    <w:rsid w:val="0043399B"/>
    <w:rsid w:val="00440F43"/>
    <w:rsid w:val="00441B6F"/>
    <w:rsid w:val="00446221"/>
    <w:rsid w:val="00450E62"/>
    <w:rsid w:val="00451878"/>
    <w:rsid w:val="004539DB"/>
    <w:rsid w:val="00455D58"/>
    <w:rsid w:val="00461993"/>
    <w:rsid w:val="00461EA8"/>
    <w:rsid w:val="00467AEC"/>
    <w:rsid w:val="00471A80"/>
    <w:rsid w:val="00475231"/>
    <w:rsid w:val="004A0FE3"/>
    <w:rsid w:val="004A7C05"/>
    <w:rsid w:val="004B3A6B"/>
    <w:rsid w:val="004B6170"/>
    <w:rsid w:val="004C07B9"/>
    <w:rsid w:val="004D305E"/>
    <w:rsid w:val="004D367C"/>
    <w:rsid w:val="004D4277"/>
    <w:rsid w:val="004E128F"/>
    <w:rsid w:val="004E6AAB"/>
    <w:rsid w:val="004E7834"/>
    <w:rsid w:val="004F0DA3"/>
    <w:rsid w:val="004F3695"/>
    <w:rsid w:val="00502516"/>
    <w:rsid w:val="005032A8"/>
    <w:rsid w:val="00505F06"/>
    <w:rsid w:val="00506828"/>
    <w:rsid w:val="005120EE"/>
    <w:rsid w:val="00515CA1"/>
    <w:rsid w:val="0053056E"/>
    <w:rsid w:val="00536C47"/>
    <w:rsid w:val="00554FDA"/>
    <w:rsid w:val="005728AA"/>
    <w:rsid w:val="00581B40"/>
    <w:rsid w:val="005833B6"/>
    <w:rsid w:val="00587F43"/>
    <w:rsid w:val="005914FD"/>
    <w:rsid w:val="005A1A61"/>
    <w:rsid w:val="005C784C"/>
    <w:rsid w:val="005D17F6"/>
    <w:rsid w:val="005D7665"/>
    <w:rsid w:val="005E43D5"/>
    <w:rsid w:val="005E5539"/>
    <w:rsid w:val="005E67F3"/>
    <w:rsid w:val="005F43F7"/>
    <w:rsid w:val="005F7837"/>
    <w:rsid w:val="00602BF5"/>
    <w:rsid w:val="00616D0D"/>
    <w:rsid w:val="00617FDD"/>
    <w:rsid w:val="00621ED8"/>
    <w:rsid w:val="00627279"/>
    <w:rsid w:val="00633614"/>
    <w:rsid w:val="00633F68"/>
    <w:rsid w:val="00636EB2"/>
    <w:rsid w:val="006375B8"/>
    <w:rsid w:val="0066262C"/>
    <w:rsid w:val="00663D24"/>
    <w:rsid w:val="0066510A"/>
    <w:rsid w:val="00666E5C"/>
    <w:rsid w:val="006719D8"/>
    <w:rsid w:val="00673F9F"/>
    <w:rsid w:val="00683F5C"/>
    <w:rsid w:val="00686953"/>
    <w:rsid w:val="00687DEA"/>
    <w:rsid w:val="00687E67"/>
    <w:rsid w:val="00690317"/>
    <w:rsid w:val="00691F62"/>
    <w:rsid w:val="00694A04"/>
    <w:rsid w:val="006967F7"/>
    <w:rsid w:val="006A20AA"/>
    <w:rsid w:val="006A250C"/>
    <w:rsid w:val="006B21D3"/>
    <w:rsid w:val="006B55C3"/>
    <w:rsid w:val="006B56F9"/>
    <w:rsid w:val="006B57D0"/>
    <w:rsid w:val="006D30FF"/>
    <w:rsid w:val="006D6940"/>
    <w:rsid w:val="006E4D1D"/>
    <w:rsid w:val="006F11EC"/>
    <w:rsid w:val="0070082C"/>
    <w:rsid w:val="00706CAC"/>
    <w:rsid w:val="00712CF9"/>
    <w:rsid w:val="00732C34"/>
    <w:rsid w:val="00734218"/>
    <w:rsid w:val="00734E66"/>
    <w:rsid w:val="00735E95"/>
    <w:rsid w:val="007369E6"/>
    <w:rsid w:val="00745182"/>
    <w:rsid w:val="00746E59"/>
    <w:rsid w:val="00754C9A"/>
    <w:rsid w:val="0075599A"/>
    <w:rsid w:val="00761D52"/>
    <w:rsid w:val="00765C37"/>
    <w:rsid w:val="00766F41"/>
    <w:rsid w:val="00771C49"/>
    <w:rsid w:val="0077749E"/>
    <w:rsid w:val="00790ADA"/>
    <w:rsid w:val="007938A4"/>
    <w:rsid w:val="007945F2"/>
    <w:rsid w:val="007B5176"/>
    <w:rsid w:val="007C60BE"/>
    <w:rsid w:val="007D0091"/>
    <w:rsid w:val="007D20B7"/>
    <w:rsid w:val="007D2288"/>
    <w:rsid w:val="007E088F"/>
    <w:rsid w:val="007E54E1"/>
    <w:rsid w:val="007E58AD"/>
    <w:rsid w:val="007F17EE"/>
    <w:rsid w:val="007F7B32"/>
    <w:rsid w:val="007F7BA3"/>
    <w:rsid w:val="00804BC2"/>
    <w:rsid w:val="00806A42"/>
    <w:rsid w:val="008079F6"/>
    <w:rsid w:val="00812038"/>
    <w:rsid w:val="0081431A"/>
    <w:rsid w:val="00817C2A"/>
    <w:rsid w:val="0083216F"/>
    <w:rsid w:val="00840915"/>
    <w:rsid w:val="00860000"/>
    <w:rsid w:val="00862CE5"/>
    <w:rsid w:val="00863BD3"/>
    <w:rsid w:val="008641ED"/>
    <w:rsid w:val="008650A6"/>
    <w:rsid w:val="00866D66"/>
    <w:rsid w:val="008671C6"/>
    <w:rsid w:val="00875803"/>
    <w:rsid w:val="00882B32"/>
    <w:rsid w:val="00886135"/>
    <w:rsid w:val="008B459E"/>
    <w:rsid w:val="008C40F0"/>
    <w:rsid w:val="008C6D8A"/>
    <w:rsid w:val="008C7131"/>
    <w:rsid w:val="008E13AE"/>
    <w:rsid w:val="008E1506"/>
    <w:rsid w:val="008E3344"/>
    <w:rsid w:val="008E6777"/>
    <w:rsid w:val="008E710C"/>
    <w:rsid w:val="008E75AA"/>
    <w:rsid w:val="008F1CAA"/>
    <w:rsid w:val="008F69D6"/>
    <w:rsid w:val="008F7F94"/>
    <w:rsid w:val="00902823"/>
    <w:rsid w:val="00915CA6"/>
    <w:rsid w:val="009177D7"/>
    <w:rsid w:val="00927834"/>
    <w:rsid w:val="00940EEB"/>
    <w:rsid w:val="00943FD8"/>
    <w:rsid w:val="009500A6"/>
    <w:rsid w:val="009545EE"/>
    <w:rsid w:val="009551CD"/>
    <w:rsid w:val="00957C18"/>
    <w:rsid w:val="009659BA"/>
    <w:rsid w:val="009746FA"/>
    <w:rsid w:val="00983040"/>
    <w:rsid w:val="00987FB7"/>
    <w:rsid w:val="009A60E4"/>
    <w:rsid w:val="009A791E"/>
    <w:rsid w:val="009B3FB9"/>
    <w:rsid w:val="009C03EC"/>
    <w:rsid w:val="009C07E0"/>
    <w:rsid w:val="009C18CF"/>
    <w:rsid w:val="009C2465"/>
    <w:rsid w:val="009C66FB"/>
    <w:rsid w:val="009D35A0"/>
    <w:rsid w:val="009D50B7"/>
    <w:rsid w:val="009D7EB7"/>
    <w:rsid w:val="009E048A"/>
    <w:rsid w:val="009E08E9"/>
    <w:rsid w:val="009E0A1D"/>
    <w:rsid w:val="009E3DB9"/>
    <w:rsid w:val="009E64D7"/>
    <w:rsid w:val="009E6E35"/>
    <w:rsid w:val="009F0D6D"/>
    <w:rsid w:val="009F0EDA"/>
    <w:rsid w:val="009F738A"/>
    <w:rsid w:val="00A03B96"/>
    <w:rsid w:val="00A05B19"/>
    <w:rsid w:val="00A1134E"/>
    <w:rsid w:val="00A1685A"/>
    <w:rsid w:val="00A21966"/>
    <w:rsid w:val="00A23814"/>
    <w:rsid w:val="00A24E7E"/>
    <w:rsid w:val="00A258C3"/>
    <w:rsid w:val="00A347C0"/>
    <w:rsid w:val="00A374FB"/>
    <w:rsid w:val="00A404DB"/>
    <w:rsid w:val="00A46E5A"/>
    <w:rsid w:val="00A51431"/>
    <w:rsid w:val="00A539AD"/>
    <w:rsid w:val="00A63FE8"/>
    <w:rsid w:val="00A66698"/>
    <w:rsid w:val="00A67E96"/>
    <w:rsid w:val="00A94063"/>
    <w:rsid w:val="00A96283"/>
    <w:rsid w:val="00AA1230"/>
    <w:rsid w:val="00AA1511"/>
    <w:rsid w:val="00AA6219"/>
    <w:rsid w:val="00AA74E0"/>
    <w:rsid w:val="00AB703F"/>
    <w:rsid w:val="00AB7943"/>
    <w:rsid w:val="00AC6BB8"/>
    <w:rsid w:val="00AE008F"/>
    <w:rsid w:val="00AE4395"/>
    <w:rsid w:val="00AF5476"/>
    <w:rsid w:val="00B01FCD"/>
    <w:rsid w:val="00B1776C"/>
    <w:rsid w:val="00B21E8D"/>
    <w:rsid w:val="00B462A4"/>
    <w:rsid w:val="00B52583"/>
    <w:rsid w:val="00B52896"/>
    <w:rsid w:val="00B53A1C"/>
    <w:rsid w:val="00B54FBA"/>
    <w:rsid w:val="00B57B59"/>
    <w:rsid w:val="00B62408"/>
    <w:rsid w:val="00B626E8"/>
    <w:rsid w:val="00B62F61"/>
    <w:rsid w:val="00B64225"/>
    <w:rsid w:val="00B73BE9"/>
    <w:rsid w:val="00B8567F"/>
    <w:rsid w:val="00B86669"/>
    <w:rsid w:val="00B93E9A"/>
    <w:rsid w:val="00B95236"/>
    <w:rsid w:val="00B96BD9"/>
    <w:rsid w:val="00BA1B01"/>
    <w:rsid w:val="00BA2641"/>
    <w:rsid w:val="00BA4A4A"/>
    <w:rsid w:val="00BA78C9"/>
    <w:rsid w:val="00BB37AA"/>
    <w:rsid w:val="00BB5606"/>
    <w:rsid w:val="00BC5394"/>
    <w:rsid w:val="00BC53A0"/>
    <w:rsid w:val="00BD3FBB"/>
    <w:rsid w:val="00BD4091"/>
    <w:rsid w:val="00BD5F48"/>
    <w:rsid w:val="00BE3E2F"/>
    <w:rsid w:val="00BE62AD"/>
    <w:rsid w:val="00BF121F"/>
    <w:rsid w:val="00BF1F80"/>
    <w:rsid w:val="00BF550F"/>
    <w:rsid w:val="00C03E1B"/>
    <w:rsid w:val="00C05BAC"/>
    <w:rsid w:val="00C1524C"/>
    <w:rsid w:val="00C166EF"/>
    <w:rsid w:val="00C17EB0"/>
    <w:rsid w:val="00C2524F"/>
    <w:rsid w:val="00C25B4F"/>
    <w:rsid w:val="00C27F5F"/>
    <w:rsid w:val="00C30A0F"/>
    <w:rsid w:val="00C37E61"/>
    <w:rsid w:val="00C652C3"/>
    <w:rsid w:val="00C70792"/>
    <w:rsid w:val="00C70F1B"/>
    <w:rsid w:val="00C71A47"/>
    <w:rsid w:val="00C7464C"/>
    <w:rsid w:val="00C753F0"/>
    <w:rsid w:val="00C85588"/>
    <w:rsid w:val="00C924DE"/>
    <w:rsid w:val="00CB7AF3"/>
    <w:rsid w:val="00CC79A0"/>
    <w:rsid w:val="00CD1EC6"/>
    <w:rsid w:val="00CD5060"/>
    <w:rsid w:val="00CD6755"/>
    <w:rsid w:val="00CD6856"/>
    <w:rsid w:val="00CE0089"/>
    <w:rsid w:val="00CE40BD"/>
    <w:rsid w:val="00CE793C"/>
    <w:rsid w:val="00CF193C"/>
    <w:rsid w:val="00CF3138"/>
    <w:rsid w:val="00D065C7"/>
    <w:rsid w:val="00D173F1"/>
    <w:rsid w:val="00D24E5C"/>
    <w:rsid w:val="00D27338"/>
    <w:rsid w:val="00D3214D"/>
    <w:rsid w:val="00D366C3"/>
    <w:rsid w:val="00D36E87"/>
    <w:rsid w:val="00D479B0"/>
    <w:rsid w:val="00D51B01"/>
    <w:rsid w:val="00D51C5B"/>
    <w:rsid w:val="00D57ECF"/>
    <w:rsid w:val="00D6072B"/>
    <w:rsid w:val="00D62089"/>
    <w:rsid w:val="00D623B5"/>
    <w:rsid w:val="00D7051C"/>
    <w:rsid w:val="00D74CB0"/>
    <w:rsid w:val="00D765A0"/>
    <w:rsid w:val="00D8295D"/>
    <w:rsid w:val="00DA332F"/>
    <w:rsid w:val="00DA66D2"/>
    <w:rsid w:val="00DA7785"/>
    <w:rsid w:val="00DB5132"/>
    <w:rsid w:val="00DB6DED"/>
    <w:rsid w:val="00DC2A65"/>
    <w:rsid w:val="00DD5187"/>
    <w:rsid w:val="00DD6B4D"/>
    <w:rsid w:val="00DD72AB"/>
    <w:rsid w:val="00DE1286"/>
    <w:rsid w:val="00DE15F0"/>
    <w:rsid w:val="00DE1A2B"/>
    <w:rsid w:val="00DE5663"/>
    <w:rsid w:val="00DE5A99"/>
    <w:rsid w:val="00DE78AA"/>
    <w:rsid w:val="00E0523E"/>
    <w:rsid w:val="00E053D0"/>
    <w:rsid w:val="00E15994"/>
    <w:rsid w:val="00E17971"/>
    <w:rsid w:val="00E22679"/>
    <w:rsid w:val="00E22FC6"/>
    <w:rsid w:val="00E25EB7"/>
    <w:rsid w:val="00E3114E"/>
    <w:rsid w:val="00E31A70"/>
    <w:rsid w:val="00E35816"/>
    <w:rsid w:val="00E35B02"/>
    <w:rsid w:val="00E44840"/>
    <w:rsid w:val="00E56140"/>
    <w:rsid w:val="00E66496"/>
    <w:rsid w:val="00E66B35"/>
    <w:rsid w:val="00E66E10"/>
    <w:rsid w:val="00E72CB6"/>
    <w:rsid w:val="00E75AD2"/>
    <w:rsid w:val="00E769F6"/>
    <w:rsid w:val="00E8407C"/>
    <w:rsid w:val="00E844BC"/>
    <w:rsid w:val="00E84F3C"/>
    <w:rsid w:val="00E91DBC"/>
    <w:rsid w:val="00E942A6"/>
    <w:rsid w:val="00E970D3"/>
    <w:rsid w:val="00EA012C"/>
    <w:rsid w:val="00EA5453"/>
    <w:rsid w:val="00EB0B70"/>
    <w:rsid w:val="00EB5D78"/>
    <w:rsid w:val="00EC48D0"/>
    <w:rsid w:val="00EC6A55"/>
    <w:rsid w:val="00ED0288"/>
    <w:rsid w:val="00ED4E92"/>
    <w:rsid w:val="00ED5661"/>
    <w:rsid w:val="00EE1BBE"/>
    <w:rsid w:val="00EE3496"/>
    <w:rsid w:val="00EE52CB"/>
    <w:rsid w:val="00EF5346"/>
    <w:rsid w:val="00EF581D"/>
    <w:rsid w:val="00EF7FD8"/>
    <w:rsid w:val="00F06F59"/>
    <w:rsid w:val="00F12A9E"/>
    <w:rsid w:val="00F13E70"/>
    <w:rsid w:val="00F17988"/>
    <w:rsid w:val="00F21E4E"/>
    <w:rsid w:val="00F26C1C"/>
    <w:rsid w:val="00F46917"/>
    <w:rsid w:val="00F469F0"/>
    <w:rsid w:val="00F52A7B"/>
    <w:rsid w:val="00F53226"/>
    <w:rsid w:val="00F53273"/>
    <w:rsid w:val="00F576AE"/>
    <w:rsid w:val="00F60EF3"/>
    <w:rsid w:val="00F65785"/>
    <w:rsid w:val="00F7355E"/>
    <w:rsid w:val="00F755E4"/>
    <w:rsid w:val="00F77D02"/>
    <w:rsid w:val="00F9374A"/>
    <w:rsid w:val="00F9377D"/>
    <w:rsid w:val="00FA2E6B"/>
    <w:rsid w:val="00FA54AE"/>
    <w:rsid w:val="00FB3A86"/>
    <w:rsid w:val="00FB772A"/>
    <w:rsid w:val="00FC413D"/>
    <w:rsid w:val="00FD36C8"/>
    <w:rsid w:val="00FD4EB3"/>
    <w:rsid w:val="00FF5F62"/>
    <w:rsid w:val="00FF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AutoShape 2"/>
      </o:rules>
    </o:shapelayout>
  </w:shapeDefaults>
  <w:decimalSymbol w:val="."/>
  <w:listSeparator w:val=","/>
  <w14:docId w14:val="3E8C83E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37FC"/>
    <w:rPr>
      <w:sz w:val="24"/>
      <w:szCs w:val="24"/>
      <w:lang w:val="en-GB" w:eastAsia="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B61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B617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587F43"/>
    <w:pPr>
      <w:spacing w:after="120"/>
    </w:pPr>
  </w:style>
  <w:style w:type="character" w:customStyle="1" w:styleId="BodyTextChar">
    <w:name w:val="Body Text Char"/>
    <w:basedOn w:val="DefaultParagraphFont"/>
    <w:link w:val="BodyText"/>
    <w:semiHidden/>
    <w:rsid w:val="00587F43"/>
    <w:rPr>
      <w:rFonts w:ascii="Helvetica" w:hAnsi="Helvetica"/>
    </w:rPr>
  </w:style>
  <w:style w:type="character" w:customStyle="1" w:styleId="Heading2Char">
    <w:name w:val="Heading 2 Char"/>
    <w:basedOn w:val="DefaultParagraphFont"/>
    <w:link w:val="Heading2"/>
    <w:semiHidden/>
    <w:rsid w:val="004B61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B617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22FC6"/>
    <w:pPr>
      <w:spacing w:before="100" w:beforeAutospacing="1" w:after="100" w:afterAutospacing="1"/>
    </w:pPr>
  </w:style>
  <w:style w:type="character" w:styleId="Strong">
    <w:name w:val="Strong"/>
    <w:basedOn w:val="DefaultParagraphFont"/>
    <w:uiPriority w:val="22"/>
    <w:qFormat/>
    <w:rsid w:val="00165C7E"/>
    <w:rPr>
      <w:b/>
      <w:bCs/>
    </w:rPr>
  </w:style>
  <w:style w:type="character" w:customStyle="1" w:styleId="t286pc">
    <w:name w:val="t286pc"/>
    <w:basedOn w:val="DefaultParagraphFont"/>
    <w:rsid w:val="00E75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envrad.2016.07.029" TargetMode="External"/><Relationship Id="rId21" Type="http://schemas.openxmlformats.org/officeDocument/2006/relationships/hyperlink" Target="https://atomtex.com" TargetMode="External"/><Relationship Id="rId42" Type="http://schemas.openxmlformats.org/officeDocument/2006/relationships/hyperlink" Target="https://doi.org/10.1016/j.jenvrad.2011.03.010" TargetMode="External"/><Relationship Id="rId47" Type="http://schemas.openxmlformats.org/officeDocument/2006/relationships/hyperlink" Target="https://doi.org/10.1016/j.apradiso.2006.06.001" TargetMode="External"/><Relationship Id="rId63" Type="http://schemas.openxmlformats.org/officeDocument/2006/relationships/hyperlink" Target="https://doi.org/10.1093/rpd/45.1-4.553" TargetMode="External"/><Relationship Id="rId68" Type="http://schemas.openxmlformats.org/officeDocument/2006/relationships/hyperlink" Target="https://doi.org/10.1016/S0265-931X(03)00106-1" TargetMode="Externa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doi.org/10.1093/rpd/ncp033" TargetMode="External"/><Relationship Id="rId32" Type="http://schemas.openxmlformats.org/officeDocument/2006/relationships/hyperlink" Target="https://doi.org/10.1093/rpd/nci341" TargetMode="External"/><Relationship Id="rId37" Type="http://schemas.openxmlformats.org/officeDocument/2006/relationships/hyperlink" Target="https://doi.org/10.1097/00004032-199306000-00007" TargetMode="External"/><Relationship Id="rId40" Type="http://schemas.openxmlformats.org/officeDocument/2006/relationships/hyperlink" Target="https://doi.org/10.1016/j.jenvrad.2017.08.010" TargetMode="External"/><Relationship Id="rId45" Type="http://schemas.openxmlformats.org/officeDocument/2006/relationships/hyperlink" Target="https://doi.org/10.1007/978-94-015-7684-0" TargetMode="External"/><Relationship Id="rId53" Type="http://schemas.openxmlformats.org/officeDocument/2006/relationships/hyperlink" Target="https://doi.org/10.1016/j.apradiso.2003.08.003" TargetMode="External"/><Relationship Id="rId58" Type="http://schemas.openxmlformats.org/officeDocument/2006/relationships/hyperlink" Target="https://doi.org/10.1016/j.envint.2017.01.009" TargetMode="External"/><Relationship Id="rId66" Type="http://schemas.openxmlformats.org/officeDocument/2006/relationships/hyperlink" Target="https://doi.org/10.1097/00004032-199201000-00010" TargetMode="External"/><Relationship Id="rId74" Type="http://schemas.openxmlformats.org/officeDocument/2006/relationships/hyperlink" Target="https://doi.org/10.1016/s1350-4487(03)00283-x"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ooks.google.com/books/about/Natural_Gamma_Ray_Spectrometry.html?id=y_0xAQAAIAAJ" TargetMode="External"/><Relationship Id="rId19" Type="http://schemas.openxmlformats.org/officeDocument/2006/relationships/hyperlink" Target="https://doi.org/10.1016/S0969-8043(96)00064-4" TargetMode="External"/><Relationship Id="rId14" Type="http://schemas.openxmlformats.org/officeDocument/2006/relationships/image" Target="media/image1.png"/><Relationship Id="rId22" Type="http://schemas.openxmlformats.org/officeDocument/2006/relationships/hyperlink" Target="https://doi.org/10.1016/j.radphyschem.2025.113159" TargetMode="External"/><Relationship Id="rId27" Type="http://schemas.openxmlformats.org/officeDocument/2006/relationships/hyperlink" Target="https://doi.org/10.1016/j.jenvrad.2018.02.008" TargetMode="External"/><Relationship Id="rId30" Type="http://schemas.openxmlformats.org/officeDocument/2006/relationships/hyperlink" Target="https://doi.org/10.1097/00004032-200206000-00016" TargetMode="External"/><Relationship Id="rId35" Type="http://schemas.openxmlformats.org/officeDocument/2006/relationships/hyperlink" Target="https://doi.org/10.1016/j.icrp.2007.10.003" TargetMode="External"/><Relationship Id="rId43" Type="http://schemas.openxmlformats.org/officeDocument/2006/relationships/hyperlink" Target="https://doi.org/10.1016/s0969-8043(98)00080-3" TargetMode="External"/><Relationship Id="rId48" Type="http://schemas.openxmlformats.org/officeDocument/2006/relationships/hyperlink" Target="https://doi.org/10.1016/j.radphyschem.2014.04.005" TargetMode="External"/><Relationship Id="rId56" Type="http://schemas.openxmlformats.org/officeDocument/2006/relationships/hyperlink" Target="https://doi.org/10.1016/j.apradiso.2012.11.014" TargetMode="External"/><Relationship Id="rId64" Type="http://schemas.openxmlformats.org/officeDocument/2006/relationships/hyperlink" Target="https://doi.org/10.1016/j.scitotenv.2010.10.052" TargetMode="External"/><Relationship Id="rId69" Type="http://schemas.openxmlformats.org/officeDocument/2006/relationships/hyperlink" Target="https://doi.org/10.1016/s1350-4487(03)00028-3"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97/00004032-199402000-00010" TargetMode="External"/><Relationship Id="rId72" Type="http://schemas.openxmlformats.org/officeDocument/2006/relationships/hyperlink" Target="https://doi.org/10.1016/j.jenvrad.2011.12.007"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97/00004032-198911000-00008" TargetMode="External"/><Relationship Id="rId33" Type="http://schemas.openxmlformats.org/officeDocument/2006/relationships/hyperlink" Target="https://www.iaea.org/publications/7000/international-basic-safety-standards-for-protection-against-ionizing-radiation-and-for-the-safety-of-radiation-sources" TargetMode="External"/><Relationship Id="rId38" Type="http://schemas.openxmlformats.org/officeDocument/2006/relationships/hyperlink" Target="https://doi.org/10.1016/s0160-4120(01)00039-3" TargetMode="External"/><Relationship Id="rId46" Type="http://schemas.openxmlformats.org/officeDocument/2006/relationships/hyperlink" Target="https://doi.org/10.1016/j.radmeas.2003.08.003" TargetMode="External"/><Relationship Id="rId59" Type="http://schemas.openxmlformats.org/officeDocument/2006/relationships/hyperlink" Target="https://doi.org/10.1016/j.jenvrad.2014.04.004" TargetMode="External"/><Relationship Id="rId67" Type="http://schemas.openxmlformats.org/officeDocument/2006/relationships/hyperlink" Target="https://doi.org/10.1016/j.radmeas.2005.10.007" TargetMode="External"/><Relationship Id="rId20" Type="http://schemas.openxmlformats.org/officeDocument/2006/relationships/hyperlink" Target="https://www.inis.iaea.org/search/search.aspx?orig_q=RN:28002052" TargetMode="External"/><Relationship Id="rId41" Type="http://schemas.openxmlformats.org/officeDocument/2006/relationships/hyperlink" Target="https://doi.org/10.1016/j.jenvrad.2015.05.008" TargetMode="External"/><Relationship Id="rId54" Type="http://schemas.openxmlformats.org/officeDocument/2006/relationships/hyperlink" Target="https://doi.org/10.1088/0952-4746/25/4/006" TargetMode="External"/><Relationship Id="rId62" Type="http://schemas.openxmlformats.org/officeDocument/2006/relationships/hyperlink" Target="https://www.iaea.org/publications/5000/environmental-and-uranium-geology-proceedings-of-a-technical-committee-meeting-held-in-vienna-25-28-september-1995" TargetMode="External"/><Relationship Id="rId70" Type="http://schemas.openxmlformats.org/officeDocument/2006/relationships/hyperlink" Target="https://www.unscear.org/unscear/en/publications/2000_1.html"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7226/11340" TargetMode="External"/><Relationship Id="rId28" Type="http://schemas.openxmlformats.org/officeDocument/2006/relationships/hyperlink" Target="https://doi.org/10.1016/j.jenvrad.2013.02.010" TargetMode="External"/><Relationship Id="rId36" Type="http://schemas.openxmlformats.org/officeDocument/2006/relationships/hyperlink" Target="https://doi.org/10.1016/S0265-931X(98)00033-2" TargetMode="External"/><Relationship Id="rId49" Type="http://schemas.openxmlformats.org/officeDocument/2006/relationships/hyperlink" Target="https://doi.org/10.1016/j.jenvrad.2012.03.006" TargetMode="External"/><Relationship Id="rId57" Type="http://schemas.openxmlformats.org/officeDocument/2006/relationships/hyperlink" Target="https://doi.org/10.1016/j.oregeorev.2016.07.021" TargetMode="External"/><Relationship Id="rId10" Type="http://schemas.openxmlformats.org/officeDocument/2006/relationships/footer" Target="footer1.xml"/><Relationship Id="rId31" Type="http://schemas.openxmlformats.org/officeDocument/2006/relationships/hyperlink" Target="https://doi.org/10.1093/rpd/nch022" TargetMode="External"/><Relationship Id="rId44" Type="http://schemas.openxmlformats.org/officeDocument/2006/relationships/hyperlink" Target="https://www.ludlums.com/products/model-19-micror-survey-meter" TargetMode="External"/><Relationship Id="rId52" Type="http://schemas.openxmlformats.org/officeDocument/2006/relationships/hyperlink" Target="https://doi.org/10.1016/S0160-4120(03)00102-8" TargetMode="External"/><Relationship Id="rId60" Type="http://schemas.openxmlformats.org/officeDocument/2006/relationships/hyperlink" Target="https://doi.org/10.1016/j.ecoenv.2020.111727" TargetMode="External"/><Relationship Id="rId65" Type="http://schemas.openxmlformats.org/officeDocument/2006/relationships/hyperlink" Target="https://doi.org/10.1016/j.jenvrad.2011.10.001" TargetMode="External"/><Relationship Id="rId73" Type="http://schemas.openxmlformats.org/officeDocument/2006/relationships/hyperlink" Target="http://mjas.analis.com.my/wp-content/uploads/2018/11/22_5_10.html"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93/rpd/ncr038" TargetMode="External"/><Relationship Id="rId34" Type="http://schemas.openxmlformats.org/officeDocument/2006/relationships/hyperlink" Target="https://www.iaea.org/publications/11290/prospective-radiological-environmental-impact-assessment-for-facilities-and-activities" TargetMode="External"/><Relationship Id="rId50" Type="http://schemas.openxmlformats.org/officeDocument/2006/relationships/hyperlink" Target="https://doi.org/10.1016/j.jenvrad.2011.08.016" TargetMode="External"/><Relationship Id="rId55" Type="http://schemas.openxmlformats.org/officeDocument/2006/relationships/hyperlink" Target="https://doi.org/10.1016/j.jenvrad.2004.04.014"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unscear.org/unscear/en/publications/2008_report.html" TargetMode="External"/><Relationship Id="rId2" Type="http://schemas.openxmlformats.org/officeDocument/2006/relationships/numbering" Target="numbering.xml"/><Relationship Id="rId29" Type="http://schemas.openxmlformats.org/officeDocument/2006/relationships/hyperlink" Target="https://doi.org/10.1016/j.apradiso.2007.10.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14203-6043-4726-A66A-1B46227A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316</TotalTime>
  <Pages>28</Pages>
  <Words>9572</Words>
  <Characters>54563</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64007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207</cp:revision>
  <cp:lastPrinted>1999-07-06T11:00:00Z</cp:lastPrinted>
  <dcterms:created xsi:type="dcterms:W3CDTF">2025-12-03T03:38:00Z</dcterms:created>
  <dcterms:modified xsi:type="dcterms:W3CDTF">2025-12-15T07:17:00Z</dcterms:modified>
</cp:coreProperties>
</file>