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FA308" w14:textId="77777777" w:rsidR="007738FA" w:rsidRDefault="007738FA" w:rsidP="00302F44">
      <w:pPr>
        <w:spacing w:before="240" w:line="288" w:lineRule="auto"/>
        <w:jc w:val="both"/>
        <w:rPr>
          <w:rFonts w:ascii="Times New Roman" w:hAnsi="Times New Roman" w:cs="Times New Roman"/>
          <w:b/>
          <w:sz w:val="24"/>
          <w:szCs w:val="24"/>
        </w:rPr>
      </w:pPr>
      <w:bookmarkStart w:id="0" w:name="human_monkey_interactions_in_urba_1d3616"/>
    </w:p>
    <w:p w14:paraId="72E6F5E4" w14:textId="30B9EFB1" w:rsidR="00154F24" w:rsidRPr="00302F44" w:rsidRDefault="00811FC3" w:rsidP="00302F44">
      <w:pPr>
        <w:spacing w:before="240" w:line="288" w:lineRule="auto"/>
        <w:jc w:val="both"/>
        <w:rPr>
          <w:rFonts w:ascii="Times New Roman" w:hAnsi="Times New Roman" w:cs="Times New Roman"/>
          <w:sz w:val="24"/>
          <w:szCs w:val="24"/>
        </w:rPr>
      </w:pPr>
      <w:r w:rsidRPr="00302F44">
        <w:rPr>
          <w:rFonts w:ascii="Times New Roman" w:hAnsi="Times New Roman" w:cs="Times New Roman"/>
          <w:b/>
          <w:sz w:val="24"/>
          <w:szCs w:val="24"/>
        </w:rPr>
        <w:t>Human-Monkey Interactions in Urban Bengaluru: Community Perceptions, Conflict Patterns</w:t>
      </w:r>
      <w:r w:rsidR="008543BC">
        <w:rPr>
          <w:rFonts w:ascii="Times New Roman" w:hAnsi="Times New Roman" w:cs="Times New Roman"/>
          <w:b/>
          <w:sz w:val="24"/>
          <w:szCs w:val="24"/>
        </w:rPr>
        <w:t xml:space="preserve"> </w:t>
      </w:r>
      <w:r w:rsidRPr="00302F44">
        <w:rPr>
          <w:rFonts w:ascii="Times New Roman" w:hAnsi="Times New Roman" w:cs="Times New Roman"/>
          <w:b/>
          <w:sz w:val="24"/>
          <w:szCs w:val="24"/>
        </w:rPr>
        <w:t>and Management Implications</w:t>
      </w:r>
      <w:bookmarkEnd w:id="0"/>
    </w:p>
    <w:p w14:paraId="5FD613CF" w14:textId="77777777" w:rsidR="00A33463" w:rsidRDefault="00A33463" w:rsidP="00302F44">
      <w:pPr>
        <w:spacing w:before="240" w:line="271" w:lineRule="auto"/>
        <w:jc w:val="both"/>
        <w:rPr>
          <w:rFonts w:ascii="Times New Roman" w:hAnsi="Times New Roman" w:cs="Times New Roman"/>
          <w:b/>
          <w:sz w:val="24"/>
          <w:szCs w:val="24"/>
        </w:rPr>
      </w:pPr>
      <w:bookmarkStart w:id="1" w:name="abstract"/>
    </w:p>
    <w:p w14:paraId="0E6701B0" w14:textId="6C1AEBD4" w:rsidR="00154F24" w:rsidRPr="00302F44" w:rsidRDefault="00811FC3" w:rsidP="00302F44">
      <w:pPr>
        <w:spacing w:before="240" w:line="271" w:lineRule="auto"/>
        <w:jc w:val="both"/>
        <w:rPr>
          <w:rFonts w:ascii="Times New Roman" w:hAnsi="Times New Roman" w:cs="Times New Roman"/>
          <w:sz w:val="24"/>
          <w:szCs w:val="24"/>
        </w:rPr>
      </w:pPr>
      <w:r w:rsidRPr="00302F44">
        <w:rPr>
          <w:rFonts w:ascii="Times New Roman" w:hAnsi="Times New Roman" w:cs="Times New Roman"/>
          <w:b/>
          <w:sz w:val="24"/>
          <w:szCs w:val="24"/>
        </w:rPr>
        <w:t>ABSTRACT</w:t>
      </w:r>
      <w:bookmarkEnd w:id="1"/>
    </w:p>
    <w:p w14:paraId="20B87DAE" w14:textId="2F99F61A"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Aims:</w:t>
      </w:r>
      <w:r w:rsidRPr="00302F44">
        <w:rPr>
          <w:rFonts w:ascii="Times New Roman" w:hAnsi="Times New Roman" w:cs="Times New Roman"/>
          <w:sz w:val="24"/>
          <w:szCs w:val="24"/>
        </w:rPr>
        <w:t xml:space="preserve"> To assess community perceptions, conflict patterns, and management preferences regarding human-monkey interactions in urban Bengaluru, </w:t>
      </w:r>
      <w:r w:rsidR="00302F44" w:rsidRPr="00302F44">
        <w:rPr>
          <w:rFonts w:ascii="Times New Roman" w:hAnsi="Times New Roman" w:cs="Times New Roman"/>
          <w:sz w:val="24"/>
          <w:szCs w:val="24"/>
        </w:rPr>
        <w:t>to develop</w:t>
      </w:r>
      <w:r w:rsidRPr="00302F44">
        <w:rPr>
          <w:rFonts w:ascii="Times New Roman" w:hAnsi="Times New Roman" w:cs="Times New Roman"/>
          <w:sz w:val="24"/>
          <w:szCs w:val="24"/>
        </w:rPr>
        <w:t xml:space="preserve"> evidence-based wildlife management strategies that balance conservation objectives with community well-being.</w:t>
      </w:r>
    </w:p>
    <w:p w14:paraId="60BA2D4A"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Study design:</w:t>
      </w:r>
      <w:r w:rsidRPr="00302F44">
        <w:rPr>
          <w:rFonts w:ascii="Times New Roman" w:hAnsi="Times New Roman" w:cs="Times New Roman"/>
          <w:sz w:val="24"/>
          <w:szCs w:val="24"/>
        </w:rPr>
        <w:t xml:space="preserve"> Cross-sectional survey study.</w:t>
      </w:r>
    </w:p>
    <w:p w14:paraId="616848B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Place and Duration of Study:</w:t>
      </w:r>
      <w:r w:rsidRPr="00302F44">
        <w:rPr>
          <w:rFonts w:ascii="Times New Roman" w:eastAsia="Georgia" w:hAnsi="Times New Roman" w:cs="Times New Roman"/>
          <w:sz w:val="24"/>
          <w:szCs w:val="24"/>
        </w:rPr>
        <w:t xml:space="preserve"> Urban Bengaluru (12°58′N--13°00′N, 77°30′E--77°40′E), Karnataka state, India, between January 2024 and July 2025.</w:t>
      </w:r>
    </w:p>
    <w:p w14:paraId="78BBB18F" w14:textId="6290CF2A"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Methodology:</w:t>
      </w:r>
      <w:r w:rsidRPr="00302F44">
        <w:rPr>
          <w:rFonts w:ascii="Times New Roman" w:hAnsi="Times New Roman" w:cs="Times New Roman"/>
          <w:sz w:val="24"/>
          <w:szCs w:val="24"/>
        </w:rPr>
        <w:t xml:space="preserve"> A structured questionnaire was distributed </w:t>
      </w:r>
      <w:r w:rsidR="000809BD">
        <w:rPr>
          <w:rFonts w:ascii="Times New Roman" w:hAnsi="Times New Roman" w:cs="Times New Roman"/>
          <w:sz w:val="24"/>
          <w:szCs w:val="24"/>
        </w:rPr>
        <w:t xml:space="preserve">via Google Forms to 702 residents aged 18 years and above across all wards within the </w:t>
      </w:r>
      <w:proofErr w:type="spellStart"/>
      <w:r w:rsidR="000809BD">
        <w:rPr>
          <w:rFonts w:ascii="Times New Roman" w:hAnsi="Times New Roman" w:cs="Times New Roman"/>
          <w:sz w:val="24"/>
          <w:szCs w:val="24"/>
        </w:rPr>
        <w:t>Bruhat</w:t>
      </w:r>
      <w:proofErr w:type="spellEnd"/>
      <w:r w:rsidR="000809BD">
        <w:rPr>
          <w:rFonts w:ascii="Times New Roman" w:hAnsi="Times New Roman" w:cs="Times New Roman"/>
          <w:sz w:val="24"/>
          <w:szCs w:val="24"/>
        </w:rPr>
        <w:t xml:space="preserve"> Bengaluru </w:t>
      </w:r>
      <w:proofErr w:type="spellStart"/>
      <w:r w:rsidR="000809BD">
        <w:rPr>
          <w:rFonts w:ascii="Times New Roman" w:hAnsi="Times New Roman" w:cs="Times New Roman"/>
          <w:sz w:val="24"/>
          <w:szCs w:val="24"/>
        </w:rPr>
        <w:t>Mahanagara</w:t>
      </w:r>
      <w:proofErr w:type="spellEnd"/>
      <w:r w:rsidR="000809BD">
        <w:rPr>
          <w:rFonts w:ascii="Times New Roman" w:hAnsi="Times New Roman" w:cs="Times New Roman"/>
          <w:sz w:val="24"/>
          <w:szCs w:val="24"/>
        </w:rPr>
        <w:t xml:space="preserve"> </w:t>
      </w:r>
      <w:proofErr w:type="spellStart"/>
      <w:r w:rsidR="000809BD">
        <w:rPr>
          <w:rFonts w:ascii="Times New Roman" w:hAnsi="Times New Roman" w:cs="Times New Roman"/>
          <w:sz w:val="24"/>
          <w:szCs w:val="24"/>
        </w:rPr>
        <w:t>Palike</w:t>
      </w:r>
      <w:proofErr w:type="spellEnd"/>
      <w:r w:rsidR="000809BD">
        <w:rPr>
          <w:rFonts w:ascii="Times New Roman" w:hAnsi="Times New Roman" w:cs="Times New Roman"/>
          <w:sz w:val="24"/>
          <w:szCs w:val="24"/>
        </w:rPr>
        <w:t xml:space="preserve"> (BBMP) limits, using random sampling</w:t>
      </w:r>
      <w:r w:rsidRPr="00302F44">
        <w:rPr>
          <w:rFonts w:ascii="Times New Roman" w:hAnsi="Times New Roman" w:cs="Times New Roman"/>
          <w:sz w:val="24"/>
          <w:szCs w:val="24"/>
        </w:rPr>
        <w:t xml:space="preserve">. The questionnaire assessed feeding practices, food type preferences, tolerance levels, psychological impacts, disease transmission perceptions, conflict types, property damage scales, and management preferences. Data were </w:t>
      </w:r>
      <w:proofErr w:type="spellStart"/>
      <w:r w:rsidRPr="00302F44">
        <w:rPr>
          <w:rFonts w:ascii="Times New Roman" w:hAnsi="Times New Roman" w:cs="Times New Roman"/>
          <w:sz w:val="24"/>
          <w:szCs w:val="24"/>
        </w:rPr>
        <w:t>analysed</w:t>
      </w:r>
      <w:proofErr w:type="spellEnd"/>
      <w:r w:rsidRPr="00302F44">
        <w:rPr>
          <w:rFonts w:ascii="Times New Roman" w:hAnsi="Times New Roman" w:cs="Times New Roman"/>
          <w:sz w:val="24"/>
          <w:szCs w:val="24"/>
        </w:rPr>
        <w:t xml:space="preserve"> using chi-square tests, Cramer's V correlation, odds ratios, and Cochran-Armitage trend tests.</w:t>
      </w:r>
    </w:p>
    <w:p w14:paraId="5397A38C" w14:textId="10338F5F"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Results:</w:t>
      </w:r>
      <w:r w:rsidRPr="00302F44">
        <w:rPr>
          <w:rFonts w:ascii="Times New Roman" w:eastAsia="Georgia" w:hAnsi="Times New Roman" w:cs="Times New Roman"/>
          <w:sz w:val="24"/>
          <w:szCs w:val="24"/>
        </w:rPr>
        <w:t xml:space="preserve"> Of 701 respondents, 324 (46.2%) reported feeding monkeys, with fruits strongly preferred (83.2%</w:t>
      </w:r>
      <w:r w:rsidRPr="00302F44">
        <w:rPr>
          <w:rFonts w:ascii="Times New Roman" w:hAnsi="Times New Roman" w:cs="Times New Roman"/>
          <w:sz w:val="24"/>
          <w:szCs w:val="24"/>
        </w:rPr>
        <w:t>). Tolerance levels were predominantly neutra</w:t>
      </w:r>
      <w:r w:rsidR="00316791">
        <w:rPr>
          <w:rFonts w:ascii="Times New Roman" w:hAnsi="Times New Roman" w:cs="Times New Roman"/>
          <w:sz w:val="24"/>
          <w:szCs w:val="24"/>
        </w:rPr>
        <w:t>l</w:t>
      </w:r>
      <w:r w:rsidRPr="00302F44">
        <w:rPr>
          <w:rFonts w:ascii="Times New Roman" w:hAnsi="Times New Roman" w:cs="Times New Roman"/>
          <w:sz w:val="24"/>
          <w:szCs w:val="24"/>
        </w:rPr>
        <w:t xml:space="preserve">, with moderate psychological disturbance reported by respondents. A critical knowledge gap emerged, with </w:t>
      </w:r>
      <w:r w:rsidR="0073678D">
        <w:rPr>
          <w:rFonts w:ascii="Times New Roman" w:hAnsi="Times New Roman" w:cs="Times New Roman"/>
          <w:sz w:val="24"/>
          <w:szCs w:val="24"/>
        </w:rPr>
        <w:t xml:space="preserve">the majority </w:t>
      </w:r>
      <w:r w:rsidRPr="00302F44">
        <w:rPr>
          <w:rFonts w:ascii="Times New Roman" w:hAnsi="Times New Roman" w:cs="Times New Roman"/>
          <w:sz w:val="24"/>
          <w:szCs w:val="24"/>
        </w:rPr>
        <w:t xml:space="preserve">uncertain about disease transmission. Food snatching was the most common conflict type, while property damage was predominantly low-scale. Statistical analysis revealed </w:t>
      </w:r>
      <w:r w:rsidR="002531E7">
        <w:rPr>
          <w:rFonts w:ascii="Times New Roman" w:hAnsi="Times New Roman" w:cs="Times New Roman"/>
          <w:sz w:val="24"/>
          <w:szCs w:val="24"/>
        </w:rPr>
        <w:t xml:space="preserve">a </w:t>
      </w:r>
      <w:r w:rsidRPr="00302F44">
        <w:rPr>
          <w:rFonts w:ascii="Times New Roman" w:hAnsi="Times New Roman" w:cs="Times New Roman"/>
          <w:sz w:val="24"/>
          <w:szCs w:val="24"/>
        </w:rPr>
        <w:t>moderate positive association between feeding and tolerance</w:t>
      </w:r>
      <w:r w:rsidR="002531E7">
        <w:rPr>
          <w:rFonts w:ascii="Times New Roman" w:hAnsi="Times New Roman" w:cs="Times New Roman"/>
          <w:sz w:val="24"/>
          <w:szCs w:val="24"/>
        </w:rPr>
        <w:t xml:space="preserve"> </w:t>
      </w:r>
      <w:r w:rsidRPr="00302F44">
        <w:rPr>
          <w:rFonts w:ascii="Times New Roman" w:hAnsi="Times New Roman" w:cs="Times New Roman"/>
          <w:sz w:val="24"/>
          <w:szCs w:val="24"/>
        </w:rPr>
        <w:t xml:space="preserve">and </w:t>
      </w:r>
      <w:r w:rsidR="002531E7">
        <w:rPr>
          <w:rFonts w:ascii="Times New Roman" w:hAnsi="Times New Roman" w:cs="Times New Roman"/>
          <w:sz w:val="24"/>
          <w:szCs w:val="24"/>
        </w:rPr>
        <w:t xml:space="preserve">a </w:t>
      </w:r>
      <w:r w:rsidRPr="00302F44">
        <w:rPr>
          <w:rFonts w:ascii="Times New Roman" w:hAnsi="Times New Roman" w:cs="Times New Roman"/>
          <w:sz w:val="24"/>
          <w:szCs w:val="24"/>
        </w:rPr>
        <w:t>strong association between tolerance and psychological disturbance</w:t>
      </w:r>
      <w:r w:rsidRPr="00302F44">
        <w:rPr>
          <w:rFonts w:ascii="Times New Roman" w:eastAsia="Georgia" w:hAnsi="Times New Roman" w:cs="Times New Roman"/>
          <w:sz w:val="24"/>
          <w:szCs w:val="24"/>
        </w:rPr>
        <w:t>. Disease transmission beliefs significantly influenced feeding behavior</w:t>
      </w:r>
      <w:r w:rsidRPr="00302F44">
        <w:rPr>
          <w:rFonts w:ascii="Times New Roman" w:hAnsi="Times New Roman" w:cs="Times New Roman"/>
          <w:sz w:val="24"/>
          <w:szCs w:val="24"/>
        </w:rPr>
        <w:t>. Non-feeding</w:t>
      </w:r>
      <w:r w:rsidR="0073678D">
        <w:rPr>
          <w:rFonts w:ascii="Times New Roman" w:hAnsi="Times New Roman" w:cs="Times New Roman"/>
          <w:sz w:val="24"/>
          <w:szCs w:val="24"/>
        </w:rPr>
        <w:t xml:space="preserve"> </w:t>
      </w:r>
      <w:r w:rsidRPr="00302F44">
        <w:rPr>
          <w:rFonts w:ascii="Times New Roman" w:hAnsi="Times New Roman" w:cs="Times New Roman"/>
          <w:sz w:val="24"/>
          <w:szCs w:val="24"/>
        </w:rPr>
        <w:t>and physical barriers emerged as preferred management approaches, with culling almost universally rejected.</w:t>
      </w:r>
    </w:p>
    <w:p w14:paraId="7B6A2193" w14:textId="2A21C5C0"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Conclusion:</w:t>
      </w:r>
      <w:r w:rsidRPr="00302F44">
        <w:rPr>
          <w:rFonts w:ascii="Times New Roman" w:hAnsi="Times New Roman" w:cs="Times New Roman"/>
          <w:sz w:val="24"/>
          <w:szCs w:val="24"/>
        </w:rPr>
        <w:t xml:space="preserve"> Human-monkey coexistence in urban Bengaluru is characterized by widespread provisioning, predominantly neutral tolerance, and moderate conflict. Management strategies must address the critical disease transmission knowledge gap through targeted education, develop evidence-based feeding guidelines that respect cultural values, and implement non-lethal conflict mitigation approaches. The strong foundation of cultural tolerance provides </w:t>
      </w:r>
      <w:r w:rsidR="004E30B0">
        <w:rPr>
          <w:rFonts w:ascii="Times New Roman" w:hAnsi="Times New Roman" w:cs="Times New Roman"/>
          <w:sz w:val="24"/>
          <w:szCs w:val="24"/>
        </w:rPr>
        <w:t xml:space="preserve">an </w:t>
      </w:r>
      <w:r w:rsidRPr="00302F44">
        <w:rPr>
          <w:rFonts w:ascii="Times New Roman" w:hAnsi="Times New Roman" w:cs="Times New Roman"/>
          <w:sz w:val="24"/>
          <w:szCs w:val="24"/>
        </w:rPr>
        <w:t>opportunity for sustainable coexistence through proactive, culturally sensitive urban wildlife management.</w:t>
      </w:r>
    </w:p>
    <w:p w14:paraId="3196FDF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i/>
          <w:sz w:val="24"/>
          <w:szCs w:val="24"/>
        </w:rPr>
        <w:t xml:space="preserve">Keywords: Urban wildlife, human-monkey interaction, community perceptions, Bengaluru, wildlife management, zoonotic disease, provisioning </w:t>
      </w:r>
      <w:proofErr w:type="spellStart"/>
      <w:r w:rsidRPr="00302F44">
        <w:rPr>
          <w:rFonts w:ascii="Times New Roman" w:hAnsi="Times New Roman" w:cs="Times New Roman"/>
          <w:i/>
          <w:sz w:val="24"/>
          <w:szCs w:val="24"/>
        </w:rPr>
        <w:t>behaviour</w:t>
      </w:r>
      <w:proofErr w:type="spellEnd"/>
      <w:r w:rsidRPr="00302F44">
        <w:rPr>
          <w:rFonts w:ascii="Times New Roman" w:hAnsi="Times New Roman" w:cs="Times New Roman"/>
          <w:i/>
          <w:sz w:val="24"/>
          <w:szCs w:val="24"/>
        </w:rPr>
        <w:t>, bonnet macaque</w:t>
      </w:r>
    </w:p>
    <w:p w14:paraId="0898ABA5" w14:textId="77777777" w:rsidR="00154F24" w:rsidRPr="00302F44" w:rsidRDefault="00811FC3" w:rsidP="00302F44">
      <w:pPr>
        <w:spacing w:before="240" w:line="271" w:lineRule="auto"/>
        <w:jc w:val="both"/>
        <w:rPr>
          <w:rFonts w:ascii="Times New Roman" w:hAnsi="Times New Roman" w:cs="Times New Roman"/>
          <w:sz w:val="24"/>
          <w:szCs w:val="24"/>
        </w:rPr>
      </w:pPr>
      <w:bookmarkStart w:id="2" w:name="bm_1_introduction"/>
      <w:r w:rsidRPr="00302F44">
        <w:rPr>
          <w:rFonts w:ascii="Times New Roman" w:hAnsi="Times New Roman" w:cs="Times New Roman"/>
          <w:b/>
          <w:sz w:val="24"/>
          <w:szCs w:val="24"/>
        </w:rPr>
        <w:lastRenderedPageBreak/>
        <w:t>1. INTRODUCTION</w:t>
      </w:r>
      <w:bookmarkEnd w:id="2"/>
    </w:p>
    <w:p w14:paraId="63FD890B" w14:textId="1B13DA25"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Urbanization has fundamentally altered the dynamics between humans and wildlife, creating novel interspecies interactions that challenge traditional conservation paradigms (</w:t>
      </w:r>
      <w:proofErr w:type="spellStart"/>
      <w:r w:rsidRPr="00302F44">
        <w:rPr>
          <w:rFonts w:ascii="Times New Roman" w:hAnsi="Times New Roman" w:cs="Times New Roman"/>
          <w:sz w:val="24"/>
          <w:szCs w:val="24"/>
        </w:rPr>
        <w:t>Soulsbury</w:t>
      </w:r>
      <w:proofErr w:type="spellEnd"/>
      <w:r w:rsidRPr="00302F44">
        <w:rPr>
          <w:rFonts w:ascii="Times New Roman" w:hAnsi="Times New Roman" w:cs="Times New Roman"/>
          <w:sz w:val="24"/>
          <w:szCs w:val="24"/>
        </w:rPr>
        <w:t xml:space="preserve"> &amp; White, 2015). As cities expand into natural habitats, wildlife species increasingly adapt to urban environments, leading to complex patterns of coexistence, conflict</w:t>
      </w:r>
      <w:r>
        <w:rPr>
          <w:rFonts w:ascii="Times New Roman" w:hAnsi="Times New Roman" w:cs="Times New Roman"/>
          <w:sz w:val="24"/>
          <w:szCs w:val="24"/>
        </w:rPr>
        <w:t>,</w:t>
      </w:r>
      <w:r w:rsidRPr="00302F44">
        <w:rPr>
          <w:rFonts w:ascii="Times New Roman" w:hAnsi="Times New Roman" w:cs="Times New Roman"/>
          <w:sz w:val="24"/>
          <w:szCs w:val="24"/>
        </w:rPr>
        <w:t xml:space="preserve"> and mutual adaptation (Magle et al., 2012). Among these urban-adapted species, non-human primates present particularly intricate management challenges due to their cognitive sophistication, </w:t>
      </w:r>
      <w:proofErr w:type="spellStart"/>
      <w:r w:rsidRPr="00302F44">
        <w:rPr>
          <w:rFonts w:ascii="Times New Roman" w:hAnsi="Times New Roman" w:cs="Times New Roman"/>
          <w:sz w:val="24"/>
          <w:szCs w:val="24"/>
        </w:rPr>
        <w:t>behavioural</w:t>
      </w:r>
      <w:proofErr w:type="spellEnd"/>
      <w:r w:rsidRPr="00302F44">
        <w:rPr>
          <w:rFonts w:ascii="Times New Roman" w:hAnsi="Times New Roman" w:cs="Times New Roman"/>
          <w:sz w:val="24"/>
          <w:szCs w:val="24"/>
        </w:rPr>
        <w:t xml:space="preserve"> flexibility and close phylogenetic relationship to humans (Radhakrishna et al., 2013).</w:t>
      </w:r>
    </w:p>
    <w:p w14:paraId="107F5C5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human-primate interface in urban areas has intensified globally, with significant implications for public health, property damage, agricultural losses and human welfare (</w:t>
      </w:r>
      <w:proofErr w:type="spellStart"/>
      <w:r w:rsidRPr="00302F44">
        <w:rPr>
          <w:rFonts w:ascii="Times New Roman" w:hAnsi="Times New Roman" w:cs="Times New Roman"/>
          <w:sz w:val="24"/>
          <w:szCs w:val="24"/>
        </w:rPr>
        <w:t>Wierucka</w:t>
      </w:r>
      <w:proofErr w:type="spellEnd"/>
      <w:r w:rsidRPr="00302F44">
        <w:rPr>
          <w:rFonts w:ascii="Times New Roman" w:hAnsi="Times New Roman" w:cs="Times New Roman"/>
          <w:sz w:val="24"/>
          <w:szCs w:val="24"/>
        </w:rPr>
        <w:t xml:space="preserve"> et al., 2023). Understanding community perceptions and attitudes toward urban wildlife is fundamental to developing effective, socially acceptable management strategies (Basak et al., 2022). Public opinion shapes policy implementation, influences conservation outcomes, and determines the success of wildlife management interventions (Lee &amp; </w:t>
      </w:r>
      <w:proofErr w:type="spellStart"/>
      <w:r w:rsidRPr="00302F44">
        <w:rPr>
          <w:rFonts w:ascii="Times New Roman" w:hAnsi="Times New Roman" w:cs="Times New Roman"/>
          <w:sz w:val="24"/>
          <w:szCs w:val="24"/>
        </w:rPr>
        <w:t>Priston</w:t>
      </w:r>
      <w:proofErr w:type="spellEnd"/>
      <w:r w:rsidRPr="00302F44">
        <w:rPr>
          <w:rFonts w:ascii="Times New Roman" w:hAnsi="Times New Roman" w:cs="Times New Roman"/>
          <w:sz w:val="24"/>
          <w:szCs w:val="24"/>
        </w:rPr>
        <w:t>, 2005).</w:t>
      </w:r>
    </w:p>
    <w:p w14:paraId="01072EC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Bonnet macaques (</w:t>
      </w:r>
      <w:r w:rsidRPr="00302F44">
        <w:rPr>
          <w:rFonts w:ascii="Times New Roman" w:hAnsi="Times New Roman" w:cs="Times New Roman"/>
          <w:i/>
          <w:sz w:val="24"/>
          <w:szCs w:val="24"/>
        </w:rPr>
        <w:t>Macaca radiata</w:t>
      </w:r>
      <w:r w:rsidRPr="00302F44">
        <w:rPr>
          <w:rFonts w:ascii="Times New Roman" w:hAnsi="Times New Roman" w:cs="Times New Roman"/>
          <w:sz w:val="24"/>
          <w:szCs w:val="24"/>
        </w:rPr>
        <w:t xml:space="preserve">) have historically coexisted with human populations in southern India, with cultural attitudes ranging from reverence to tolerance (Chakravarthy &amp; Thyagaraj, 2005). However, urbanization has disrupted traditional coexistence patterns, creating conflict scenarios. Studies indicate that bonnet macaque populations in Karnataka face significant threats from habitat loss, human persecution and changing social dynamics (Kumara et al., 2010). Urban macaques exhibit distinct </w:t>
      </w:r>
      <w:proofErr w:type="spellStart"/>
      <w:r w:rsidRPr="00302F44">
        <w:rPr>
          <w:rFonts w:ascii="Times New Roman" w:hAnsi="Times New Roman" w:cs="Times New Roman"/>
          <w:sz w:val="24"/>
          <w:szCs w:val="24"/>
        </w:rPr>
        <w:t>behavioural</w:t>
      </w:r>
      <w:proofErr w:type="spellEnd"/>
      <w:r w:rsidRPr="00302F44">
        <w:rPr>
          <w:rFonts w:ascii="Times New Roman" w:hAnsi="Times New Roman" w:cs="Times New Roman"/>
          <w:sz w:val="24"/>
          <w:szCs w:val="24"/>
        </w:rPr>
        <w:t xml:space="preserve"> adaptations compared to their forest-dwelling counterparts, including modified dietary patterns, altered ranging behavior, and enhanced exploitation of human food resources (Sinha, 2001). These adaptations, while enabling survival in human-dominated landscapes, often bring macaques into direct conflict with residents through crop raiding, property damage, and aggressive food acquisition </w:t>
      </w:r>
      <w:proofErr w:type="spellStart"/>
      <w:r w:rsidRPr="00302F44">
        <w:rPr>
          <w:rFonts w:ascii="Times New Roman" w:hAnsi="Times New Roman" w:cs="Times New Roman"/>
          <w:sz w:val="24"/>
          <w:szCs w:val="24"/>
        </w:rPr>
        <w:t>behaviours</w:t>
      </w:r>
      <w:proofErr w:type="spellEnd"/>
      <w:r w:rsidRPr="00302F44">
        <w:rPr>
          <w:rFonts w:ascii="Times New Roman" w:hAnsi="Times New Roman" w:cs="Times New Roman"/>
          <w:sz w:val="24"/>
          <w:szCs w:val="24"/>
        </w:rPr>
        <w:t>.</w:t>
      </w:r>
    </w:p>
    <w:p w14:paraId="0B9B789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Food provisioning by humans significantly influences urban primate ecology and behavior (Sengupta et al., 2015). It can alter natural foraging patterns, increase population densities beyond habitat carrying capacity, habituate animals to human presence, and modify social dynamics within primate groups (Sengupta et al., 2015). Understanding provisioning practices and the motivations behind them is critical for developing effective management interventions.</w:t>
      </w:r>
    </w:p>
    <w:p w14:paraId="666D237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Cultural practices, religious beliefs, and community attitudes significantly influence provisioning </w:t>
      </w:r>
      <w:proofErr w:type="spellStart"/>
      <w:r w:rsidRPr="00302F44">
        <w:rPr>
          <w:rFonts w:ascii="Times New Roman" w:hAnsi="Times New Roman" w:cs="Times New Roman"/>
          <w:sz w:val="24"/>
          <w:szCs w:val="24"/>
        </w:rPr>
        <w:t>behaviours</w:t>
      </w:r>
      <w:proofErr w:type="spellEnd"/>
      <w:r w:rsidRPr="00302F44">
        <w:rPr>
          <w:rFonts w:ascii="Times New Roman" w:hAnsi="Times New Roman" w:cs="Times New Roman"/>
          <w:sz w:val="24"/>
          <w:szCs w:val="24"/>
        </w:rPr>
        <w:t xml:space="preserve"> in Indian contexts (</w:t>
      </w:r>
      <w:proofErr w:type="spellStart"/>
      <w:r w:rsidRPr="00302F44">
        <w:rPr>
          <w:rFonts w:ascii="Times New Roman" w:hAnsi="Times New Roman" w:cs="Times New Roman"/>
          <w:sz w:val="24"/>
          <w:szCs w:val="24"/>
        </w:rPr>
        <w:t>Karimullah</w:t>
      </w:r>
      <w:proofErr w:type="spellEnd"/>
      <w:r w:rsidRPr="00302F44">
        <w:rPr>
          <w:rFonts w:ascii="Times New Roman" w:hAnsi="Times New Roman" w:cs="Times New Roman"/>
          <w:sz w:val="24"/>
          <w:szCs w:val="24"/>
        </w:rPr>
        <w:t xml:space="preserve"> et al., 2022). Some communities view feeding monkeys as a religious act or expression of compassion, while others consider it a nuisance that exacerbates conflict (Ganguly &amp; Chauhan, 2019). These diverse perspectives must be understood and integrated into management strategies to ensure social acceptance and effectiveness.</w:t>
      </w:r>
    </w:p>
    <w:p w14:paraId="03F5D0C7" w14:textId="77777777" w:rsidR="00154F24" w:rsidRPr="00302F44" w:rsidRDefault="00811FC3" w:rsidP="00302F44">
      <w:pPr>
        <w:spacing w:before="240" w:line="271" w:lineRule="auto"/>
        <w:jc w:val="both"/>
        <w:rPr>
          <w:rFonts w:ascii="Times New Roman" w:hAnsi="Times New Roman" w:cs="Times New Roman"/>
          <w:sz w:val="24"/>
          <w:szCs w:val="24"/>
        </w:rPr>
      </w:pPr>
      <w:bookmarkStart w:id="3" w:name="bm_2_materials_and_methods"/>
      <w:r w:rsidRPr="00302F44">
        <w:rPr>
          <w:rFonts w:ascii="Times New Roman" w:hAnsi="Times New Roman" w:cs="Times New Roman"/>
          <w:b/>
          <w:sz w:val="24"/>
          <w:szCs w:val="24"/>
        </w:rPr>
        <w:t>2. MATERIALS AND METHODS</w:t>
      </w:r>
      <w:bookmarkEnd w:id="3"/>
    </w:p>
    <w:p w14:paraId="085723EF" w14:textId="77777777" w:rsidR="00154F24" w:rsidRPr="00302F44" w:rsidRDefault="00811FC3" w:rsidP="00302F44">
      <w:pPr>
        <w:spacing w:before="240" w:line="271" w:lineRule="auto"/>
        <w:jc w:val="both"/>
        <w:rPr>
          <w:rFonts w:ascii="Times New Roman" w:hAnsi="Times New Roman" w:cs="Times New Roman"/>
          <w:sz w:val="24"/>
          <w:szCs w:val="24"/>
        </w:rPr>
      </w:pPr>
      <w:bookmarkStart w:id="4" w:name="bm_2_1_study_area"/>
      <w:r w:rsidRPr="00302F44">
        <w:rPr>
          <w:rFonts w:ascii="Times New Roman" w:hAnsi="Times New Roman" w:cs="Times New Roman"/>
          <w:b/>
          <w:sz w:val="24"/>
          <w:szCs w:val="24"/>
        </w:rPr>
        <w:t>2.1 Study Area</w:t>
      </w:r>
      <w:bookmarkEnd w:id="4"/>
    </w:p>
    <w:p w14:paraId="120A3FC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lastRenderedPageBreak/>
        <w:t>The study was conducted in Bengaluru (12°58′N--13°00′N, 77°30′E--77°40′E), the capital city of Karnataka state, India. Situated at 920 meters above mean sea level on the Deccan Plateau of South India, Bengaluru covers approximately 741 km² and continues expanding due to modernization pressures. The Bangalore Metropolitan Region extends across 8,005 km² and is undergoing rapid urbanization (</w:t>
      </w:r>
      <w:proofErr w:type="spellStart"/>
      <w:r w:rsidRPr="00302F44">
        <w:rPr>
          <w:rFonts w:ascii="Times New Roman" w:eastAsia="Georgia" w:hAnsi="Times New Roman" w:cs="Times New Roman"/>
          <w:sz w:val="24"/>
          <w:szCs w:val="24"/>
        </w:rPr>
        <w:t>Bhogadi</w:t>
      </w:r>
      <w:proofErr w:type="spellEnd"/>
      <w:r w:rsidRPr="00302F44">
        <w:rPr>
          <w:rFonts w:ascii="Times New Roman" w:eastAsia="Georgia" w:hAnsi="Times New Roman" w:cs="Times New Roman"/>
          <w:sz w:val="24"/>
          <w:szCs w:val="24"/>
        </w:rPr>
        <w:t xml:space="preserve"> &amp; </w:t>
      </w:r>
      <w:proofErr w:type="spellStart"/>
      <w:r w:rsidRPr="00302F44">
        <w:rPr>
          <w:rFonts w:ascii="Times New Roman" w:eastAsia="Georgia" w:hAnsi="Times New Roman" w:cs="Times New Roman"/>
          <w:sz w:val="24"/>
          <w:szCs w:val="24"/>
        </w:rPr>
        <w:t>Chundeli</w:t>
      </w:r>
      <w:proofErr w:type="spellEnd"/>
      <w:r w:rsidRPr="00302F44">
        <w:rPr>
          <w:rFonts w:ascii="Times New Roman" w:eastAsia="Georgia" w:hAnsi="Times New Roman" w:cs="Times New Roman"/>
          <w:sz w:val="24"/>
          <w:szCs w:val="24"/>
        </w:rPr>
        <w:t>, 2023). Between 2003 and 2021, vegetation cover fell by over 50%, built-up areas doubled, and land surface temperatures rose from 26°C to 29°C (</w:t>
      </w:r>
      <w:proofErr w:type="spellStart"/>
      <w:r w:rsidRPr="00302F44">
        <w:rPr>
          <w:rFonts w:ascii="Times New Roman" w:eastAsia="Georgia" w:hAnsi="Times New Roman" w:cs="Times New Roman"/>
          <w:sz w:val="24"/>
          <w:szCs w:val="24"/>
        </w:rPr>
        <w:t>Bhogadi</w:t>
      </w:r>
      <w:proofErr w:type="spellEnd"/>
      <w:r w:rsidRPr="00302F44">
        <w:rPr>
          <w:rFonts w:ascii="Times New Roman" w:eastAsia="Georgia" w:hAnsi="Times New Roman" w:cs="Times New Roman"/>
          <w:sz w:val="24"/>
          <w:szCs w:val="24"/>
        </w:rPr>
        <w:t xml:space="preserve"> &amp; </w:t>
      </w:r>
      <w:proofErr w:type="spellStart"/>
      <w:r w:rsidRPr="00302F44">
        <w:rPr>
          <w:rFonts w:ascii="Times New Roman" w:eastAsia="Georgia" w:hAnsi="Times New Roman" w:cs="Times New Roman"/>
          <w:sz w:val="24"/>
          <w:szCs w:val="24"/>
        </w:rPr>
        <w:t>Chundeli</w:t>
      </w:r>
      <w:proofErr w:type="spellEnd"/>
      <w:r w:rsidRPr="00302F44">
        <w:rPr>
          <w:rFonts w:ascii="Times New Roman" w:eastAsia="Georgia" w:hAnsi="Times New Roman" w:cs="Times New Roman"/>
          <w:sz w:val="24"/>
          <w:szCs w:val="24"/>
        </w:rPr>
        <w:t>, 2023).</w:t>
      </w:r>
    </w:p>
    <w:p w14:paraId="2E3E42E3" w14:textId="77777777" w:rsidR="00154F24" w:rsidRPr="00302F44" w:rsidRDefault="00811FC3" w:rsidP="00302F44">
      <w:pPr>
        <w:spacing w:before="240" w:line="271" w:lineRule="auto"/>
        <w:jc w:val="both"/>
        <w:rPr>
          <w:rFonts w:ascii="Times New Roman" w:hAnsi="Times New Roman" w:cs="Times New Roman"/>
          <w:sz w:val="24"/>
          <w:szCs w:val="24"/>
        </w:rPr>
      </w:pPr>
      <w:bookmarkStart w:id="5" w:name="bm_2_2_sample_size_determination"/>
      <w:r w:rsidRPr="00302F44">
        <w:rPr>
          <w:rFonts w:ascii="Times New Roman" w:hAnsi="Times New Roman" w:cs="Times New Roman"/>
          <w:b/>
          <w:sz w:val="24"/>
          <w:szCs w:val="24"/>
        </w:rPr>
        <w:t>2.2 Sample Size Determination</w:t>
      </w:r>
      <w:bookmarkEnd w:id="5"/>
    </w:p>
    <w:p w14:paraId="2598C6C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Based on Bengaluru's 2011 census population of 8.5 million (Census of India, 2011), we calculated the required sample size using Cochran's formula (1977) for large population estimations. The theoretical minimum sample size was calculated to be 667 respondents at a 99% confidence level with 5% margin of error. The actual sample size obtained was 702 respondents, exceeding the minimum requirement and providing adequate statistical power for analysis.</w:t>
      </w:r>
    </w:p>
    <w:p w14:paraId="710E5844" w14:textId="77777777" w:rsidR="00154F24" w:rsidRPr="00302F44" w:rsidRDefault="00811FC3" w:rsidP="00302F44">
      <w:pPr>
        <w:spacing w:before="240" w:line="271" w:lineRule="auto"/>
        <w:jc w:val="both"/>
        <w:rPr>
          <w:rFonts w:ascii="Times New Roman" w:hAnsi="Times New Roman" w:cs="Times New Roman"/>
          <w:sz w:val="24"/>
          <w:szCs w:val="24"/>
        </w:rPr>
      </w:pPr>
      <w:bookmarkStart w:id="6" w:name="bm_2_3_data_collection"/>
      <w:r w:rsidRPr="00302F44">
        <w:rPr>
          <w:rFonts w:ascii="Times New Roman" w:hAnsi="Times New Roman" w:cs="Times New Roman"/>
          <w:b/>
          <w:sz w:val="24"/>
          <w:szCs w:val="24"/>
        </w:rPr>
        <w:t>2.3 Data Collection</w:t>
      </w:r>
      <w:bookmarkEnd w:id="6"/>
    </w:p>
    <w:p w14:paraId="4E5D2DB3" w14:textId="77777777" w:rsidR="00154F2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The </w:t>
      </w:r>
      <w:bookmarkStart w:id="7" w:name="_Hlk215941227"/>
      <w:r w:rsidRPr="00302F44">
        <w:rPr>
          <w:rFonts w:ascii="Times New Roman" w:hAnsi="Times New Roman" w:cs="Times New Roman"/>
          <w:sz w:val="24"/>
          <w:szCs w:val="24"/>
        </w:rPr>
        <w:t xml:space="preserve">questionnaire </w:t>
      </w:r>
      <w:bookmarkEnd w:id="7"/>
      <w:r w:rsidRPr="00302F44">
        <w:rPr>
          <w:rFonts w:ascii="Times New Roman" w:hAnsi="Times New Roman" w:cs="Times New Roman"/>
          <w:sz w:val="24"/>
          <w:szCs w:val="24"/>
        </w:rPr>
        <w:t>was prepared following STROBE (Strengthening the Reporting of Observational Studies in Epidemiology) guidelines for cross-sectional studies. Survey utility keys included types of human-monkey conflicts experienced, intensity and frequency of conflicts, specific damages reported (property, crops, personal injury), scale of property damage (low, medium, high), feeding practices (whether respondents feed monkeys), food type preferences, tolerance levels, psychological disturbance, disease transmission perceptions, and management strategy preferences.</w:t>
      </w:r>
    </w:p>
    <w:p w14:paraId="0D34BC96" w14:textId="77777777" w:rsidR="000809BD" w:rsidRPr="002C6BA4" w:rsidRDefault="000809BD" w:rsidP="000809BD">
      <w:pPr>
        <w:spacing w:after="0" w:line="240" w:lineRule="auto"/>
        <w:jc w:val="both"/>
        <w:rPr>
          <w:rFonts w:ascii="Times New Roman" w:hAnsi="Times New Roman" w:cs="Times New Roman"/>
          <w:sz w:val="24"/>
          <w:szCs w:val="24"/>
        </w:rPr>
      </w:pPr>
      <w:r w:rsidRPr="000809BD">
        <w:rPr>
          <w:rFonts w:ascii="Times New Roman" w:hAnsi="Times New Roman" w:cs="Times New Roman"/>
          <w:sz w:val="24"/>
          <w:szCs w:val="24"/>
          <w:highlight w:val="yellow"/>
        </w:rPr>
        <w:t>Based on Bengaluru's 2011 census population of 8.5 million (Census of India, 2011), we calculated the required sample size using Cochran's formula (1977) for large population estimations. The theoretical minimum sample size was calculated to be 667 respondents at a 99% confidence level with 5% margin of error. The actual sample size obtained was 702 respondents, exceeding the minimum requirement and providing adequate statistical power for analysis.</w:t>
      </w:r>
    </w:p>
    <w:p w14:paraId="2BD23449" w14:textId="77777777" w:rsidR="000809BD" w:rsidRDefault="000809BD" w:rsidP="000809BD">
      <w:pPr>
        <w:spacing w:after="0"/>
        <w:jc w:val="both"/>
        <w:rPr>
          <w:rFonts w:ascii="Times New Roman" w:hAnsi="Times New Roman" w:cs="Times New Roman"/>
          <w:sz w:val="24"/>
          <w:szCs w:val="24"/>
        </w:rPr>
      </w:pPr>
    </w:p>
    <w:p w14:paraId="67AF15C0" w14:textId="2AA234D9" w:rsidR="00154F24" w:rsidRPr="00302F44" w:rsidRDefault="00811FC3" w:rsidP="000809BD">
      <w:pPr>
        <w:spacing w:after="0"/>
        <w:jc w:val="both"/>
        <w:rPr>
          <w:rFonts w:ascii="Times New Roman" w:hAnsi="Times New Roman" w:cs="Times New Roman"/>
          <w:sz w:val="24"/>
          <w:szCs w:val="24"/>
        </w:rPr>
      </w:pPr>
      <w:r w:rsidRPr="00302F44">
        <w:rPr>
          <w:rFonts w:ascii="Times New Roman" w:hAnsi="Times New Roman" w:cs="Times New Roman"/>
          <w:sz w:val="24"/>
          <w:szCs w:val="24"/>
        </w:rPr>
        <w:t xml:space="preserve">Data collection utilized Google Forms, enabling efficient digital distribution, automated data compilation, and reduced transcription errors. Surveys were conducted between January 2024 and July 2025, providing temporal breadth to capture seasonal variations and ensuring representation across different time periods. Questionnaires were systematically distributed to public participants (aged 18 years and above) across various locations throughout the study area using random sampling methods. This approach targeted residents from all wards within the </w:t>
      </w:r>
      <w:proofErr w:type="spellStart"/>
      <w:r w:rsidRPr="00302F44">
        <w:rPr>
          <w:rFonts w:ascii="Times New Roman" w:hAnsi="Times New Roman" w:cs="Times New Roman"/>
          <w:sz w:val="24"/>
          <w:szCs w:val="24"/>
        </w:rPr>
        <w:t>Bruhat</w:t>
      </w:r>
      <w:proofErr w:type="spellEnd"/>
      <w:r w:rsidRPr="00302F44">
        <w:rPr>
          <w:rFonts w:ascii="Times New Roman" w:hAnsi="Times New Roman" w:cs="Times New Roman"/>
          <w:sz w:val="24"/>
          <w:szCs w:val="24"/>
        </w:rPr>
        <w:t xml:space="preserve"> Bengaluru </w:t>
      </w:r>
      <w:proofErr w:type="spellStart"/>
      <w:r w:rsidRPr="00302F44">
        <w:rPr>
          <w:rFonts w:ascii="Times New Roman" w:hAnsi="Times New Roman" w:cs="Times New Roman"/>
          <w:sz w:val="24"/>
          <w:szCs w:val="24"/>
        </w:rPr>
        <w:t>Mahanagara</w:t>
      </w:r>
      <w:proofErr w:type="spellEnd"/>
      <w:r w:rsidRPr="00302F44">
        <w:rPr>
          <w:rFonts w:ascii="Times New Roman" w:hAnsi="Times New Roman" w:cs="Times New Roman"/>
          <w:sz w:val="24"/>
          <w:szCs w:val="24"/>
        </w:rPr>
        <w:t xml:space="preserve"> </w:t>
      </w:r>
      <w:proofErr w:type="spellStart"/>
      <w:r w:rsidRPr="00302F44">
        <w:rPr>
          <w:rFonts w:ascii="Times New Roman" w:hAnsi="Times New Roman" w:cs="Times New Roman"/>
          <w:sz w:val="24"/>
          <w:szCs w:val="24"/>
        </w:rPr>
        <w:t>Palike</w:t>
      </w:r>
      <w:proofErr w:type="spellEnd"/>
      <w:r w:rsidRPr="00302F44">
        <w:rPr>
          <w:rFonts w:ascii="Times New Roman" w:hAnsi="Times New Roman" w:cs="Times New Roman"/>
          <w:sz w:val="24"/>
          <w:szCs w:val="24"/>
        </w:rPr>
        <w:t xml:space="preserve"> (BBMP) limits, ensuring geographical representation across the metropolitan area.</w:t>
      </w:r>
    </w:p>
    <w:p w14:paraId="42E24BE7" w14:textId="77777777" w:rsidR="00154F24" w:rsidRPr="00302F44" w:rsidRDefault="00811FC3" w:rsidP="00302F44">
      <w:pPr>
        <w:spacing w:before="240" w:line="271" w:lineRule="auto"/>
        <w:jc w:val="both"/>
        <w:rPr>
          <w:rFonts w:ascii="Times New Roman" w:hAnsi="Times New Roman" w:cs="Times New Roman"/>
          <w:sz w:val="24"/>
          <w:szCs w:val="24"/>
        </w:rPr>
      </w:pPr>
      <w:bookmarkStart w:id="8" w:name="bm_2_4_ethical_considerations"/>
      <w:r w:rsidRPr="00302F44">
        <w:rPr>
          <w:rFonts w:ascii="Times New Roman" w:hAnsi="Times New Roman" w:cs="Times New Roman"/>
          <w:b/>
          <w:sz w:val="24"/>
          <w:szCs w:val="24"/>
        </w:rPr>
        <w:t>2.4 Ethical Considerations</w:t>
      </w:r>
      <w:bookmarkEnd w:id="8"/>
    </w:p>
    <w:p w14:paraId="7E86BEF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All surveys were completely anonymous, with no personal identifying information collected or stored. This approach protected participant</w:t>
      </w:r>
      <w:bookmarkStart w:id="9" w:name="_GoBack"/>
      <w:bookmarkEnd w:id="9"/>
      <w:r w:rsidRPr="00302F44">
        <w:rPr>
          <w:rFonts w:ascii="Times New Roman" w:hAnsi="Times New Roman" w:cs="Times New Roman"/>
          <w:sz w:val="24"/>
          <w:szCs w:val="24"/>
        </w:rPr>
        <w:t xml:space="preserve"> privacy, encouraged honest responses, and ensured compliance with ethical research standards. Participation was voluntary, with implicit consent indicated through survey completion.</w:t>
      </w:r>
    </w:p>
    <w:p w14:paraId="125A33ED" w14:textId="77777777" w:rsidR="00154F24" w:rsidRPr="00302F44" w:rsidRDefault="00811FC3" w:rsidP="00302F44">
      <w:pPr>
        <w:spacing w:before="240" w:line="271" w:lineRule="auto"/>
        <w:jc w:val="both"/>
        <w:rPr>
          <w:rFonts w:ascii="Times New Roman" w:hAnsi="Times New Roman" w:cs="Times New Roman"/>
          <w:sz w:val="24"/>
          <w:szCs w:val="24"/>
        </w:rPr>
      </w:pPr>
      <w:bookmarkStart w:id="10" w:name="bm_2_5_statistical_analysis"/>
      <w:r w:rsidRPr="00302F44">
        <w:rPr>
          <w:rFonts w:ascii="Times New Roman" w:hAnsi="Times New Roman" w:cs="Times New Roman"/>
          <w:b/>
          <w:sz w:val="24"/>
          <w:szCs w:val="24"/>
        </w:rPr>
        <w:lastRenderedPageBreak/>
        <w:t>2.5 Statistical Analysis</w:t>
      </w:r>
      <w:bookmarkEnd w:id="10"/>
    </w:p>
    <w:p w14:paraId="2A9EB096" w14:textId="42FA0982"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Raw data from Google Forms </w:t>
      </w:r>
      <w:r w:rsidR="00302F44">
        <w:rPr>
          <w:rFonts w:ascii="Times New Roman" w:hAnsi="Times New Roman" w:cs="Times New Roman"/>
          <w:sz w:val="24"/>
          <w:szCs w:val="24"/>
        </w:rPr>
        <w:t>was</w:t>
      </w:r>
      <w:r w:rsidRPr="00302F44">
        <w:rPr>
          <w:rFonts w:ascii="Times New Roman" w:hAnsi="Times New Roman" w:cs="Times New Roman"/>
          <w:sz w:val="24"/>
          <w:szCs w:val="24"/>
        </w:rPr>
        <w:t xml:space="preserve"> extracted into CSV format for statistical processing. Multiple statistical techniques were employed to address different research questions:</w:t>
      </w:r>
      <w:r w:rsidR="00302F44">
        <w:rPr>
          <w:rFonts w:ascii="Times New Roman" w:hAnsi="Times New Roman" w:cs="Times New Roman"/>
          <w:sz w:val="24"/>
          <w:szCs w:val="24"/>
        </w:rPr>
        <w:t xml:space="preserve"> </w:t>
      </w:r>
      <w:r w:rsidRPr="00302F44">
        <w:rPr>
          <w:rFonts w:ascii="Times New Roman" w:hAnsi="Times New Roman" w:cs="Times New Roman"/>
          <w:bCs/>
          <w:sz w:val="24"/>
          <w:szCs w:val="24"/>
        </w:rPr>
        <w:t>Chi-square goodness-of-fit tests assessed whether observed distributions deviated from expected equal proportions across categories.</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Chi-square contingency tests examined associations between categorical variables such as feeding behavior and tolerance levels.</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Cramer's V quantified the strength of associations between categorical variables, with values of 0.1, 0.3, and 0.5 representing small, medium, and large effect sizes</w:t>
      </w:r>
      <w:r w:rsidR="00302F44">
        <w:rPr>
          <w:rFonts w:ascii="Times New Roman" w:hAnsi="Times New Roman" w:cs="Times New Roman"/>
          <w:bCs/>
          <w:sz w:val="24"/>
          <w:szCs w:val="24"/>
        </w:rPr>
        <w:t>,</w:t>
      </w:r>
      <w:r w:rsidRPr="00302F44">
        <w:rPr>
          <w:rFonts w:ascii="Times New Roman" w:hAnsi="Times New Roman" w:cs="Times New Roman"/>
          <w:bCs/>
          <w:sz w:val="24"/>
          <w:szCs w:val="24"/>
        </w:rPr>
        <w:t xml:space="preserve"> respectively.</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Odds ratios (OR) with 95% confidence intervals measured the strength of association between binary variables, particularly for disease transmission beliefs and feeding behavior.</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Cochran-Armitage trend tests evaluated linear trends across ordered categories, specifically examining whether feeding propensity increased systematically with tolerance level.</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Cohen's w measured effect sizes for chi-square tests, with thresholds of 0.1 (small), 0.3 (medium), and 0.5 (large).</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Post-hoc power analysis evaluated whether the achieved sample size provided adequate statistical power to detect meaningful effects.</w:t>
      </w:r>
      <w:r w:rsidR="00302F44">
        <w:rPr>
          <w:rFonts w:ascii="Times New Roman" w:hAnsi="Times New Roman" w:cs="Times New Roman"/>
          <w:bCs/>
          <w:sz w:val="24"/>
          <w:szCs w:val="24"/>
        </w:rPr>
        <w:t xml:space="preserve"> </w:t>
      </w:r>
      <w:r w:rsidRPr="00302F44">
        <w:rPr>
          <w:rFonts w:ascii="Times New Roman" w:hAnsi="Times New Roman" w:cs="Times New Roman"/>
          <w:sz w:val="24"/>
          <w:szCs w:val="24"/>
        </w:rPr>
        <w:t>Results were presented using tables for numerical summaries and appropriate graphical representations for key findings, facilitating clear communication of complex statistical relationships.</w:t>
      </w:r>
    </w:p>
    <w:p w14:paraId="24E9308D" w14:textId="77777777" w:rsidR="00154F24" w:rsidRPr="00302F44" w:rsidRDefault="00811FC3" w:rsidP="00302F44">
      <w:pPr>
        <w:spacing w:before="240" w:line="271" w:lineRule="auto"/>
        <w:jc w:val="both"/>
        <w:rPr>
          <w:rFonts w:ascii="Times New Roman" w:hAnsi="Times New Roman" w:cs="Times New Roman"/>
          <w:sz w:val="24"/>
          <w:szCs w:val="24"/>
        </w:rPr>
      </w:pPr>
      <w:bookmarkStart w:id="11" w:name="bm_3_results_and_discussion"/>
      <w:r w:rsidRPr="00302F44">
        <w:rPr>
          <w:rFonts w:ascii="Times New Roman" w:hAnsi="Times New Roman" w:cs="Times New Roman"/>
          <w:b/>
          <w:sz w:val="24"/>
          <w:szCs w:val="24"/>
        </w:rPr>
        <w:t>3. RESULTS AND DISCUSSION</w:t>
      </w:r>
      <w:bookmarkEnd w:id="11"/>
    </w:p>
    <w:p w14:paraId="20F864B2" w14:textId="77777777" w:rsidR="00154F24" w:rsidRPr="00302F44" w:rsidRDefault="00811FC3" w:rsidP="00302F44">
      <w:pPr>
        <w:spacing w:before="240" w:line="271" w:lineRule="auto"/>
        <w:jc w:val="both"/>
        <w:rPr>
          <w:rFonts w:ascii="Times New Roman" w:hAnsi="Times New Roman" w:cs="Times New Roman"/>
          <w:sz w:val="24"/>
          <w:szCs w:val="24"/>
        </w:rPr>
      </w:pPr>
      <w:bookmarkStart w:id="12" w:name="bm_3_1_prevalence_of_feeding"/>
      <w:r w:rsidRPr="00302F44">
        <w:rPr>
          <w:rFonts w:ascii="Times New Roman" w:hAnsi="Times New Roman" w:cs="Times New Roman"/>
          <w:b/>
          <w:sz w:val="24"/>
          <w:szCs w:val="24"/>
        </w:rPr>
        <w:t>3.1 Prevalence of Feeding</w:t>
      </w:r>
      <w:bookmarkEnd w:id="12"/>
    </w:p>
    <w:p w14:paraId="743BC179"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Of 701 respondents who answered the feeding question, 324 (46.2%) reported feeding monkeys, while 377 (53.8%) did not engage in provisioning behavior. A chi-square goodness-of-fit test revealed this distribution significantly deviated from equal proportions (χ² = 4.01,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 .045), indicating that non-feeding is moderately more prevalent than feeding in the community (Fig 1a, Table 1).</w:t>
      </w:r>
    </w:p>
    <w:p w14:paraId="337A43B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This finding aligns with global trends in urban primate interactions. The 46.2% feeding prevalence in Bengaluru falls within the range reported in other urban contexts: Shimla, India reported high provisioning rates (Chauhan &amp; </w:t>
      </w:r>
      <w:proofErr w:type="spellStart"/>
      <w:r w:rsidRPr="00302F44">
        <w:rPr>
          <w:rFonts w:ascii="Times New Roman" w:hAnsi="Times New Roman" w:cs="Times New Roman"/>
          <w:sz w:val="24"/>
          <w:szCs w:val="24"/>
        </w:rPr>
        <w:t>Pirta</w:t>
      </w:r>
      <w:proofErr w:type="spellEnd"/>
      <w:r w:rsidRPr="00302F44">
        <w:rPr>
          <w:rFonts w:ascii="Times New Roman" w:hAnsi="Times New Roman" w:cs="Times New Roman"/>
          <w:sz w:val="24"/>
          <w:szCs w:val="24"/>
        </w:rPr>
        <w:t>, 2010), while Singapore showed more varied patterns (Sha et al., 2009). The moderate prevalence suggests a community divided on provisioning practices, representing both an opportunity and challenge for management interventions.</w:t>
      </w:r>
    </w:p>
    <w:p w14:paraId="748531AD" w14:textId="77777777" w:rsidR="00154F24" w:rsidRPr="00302F44" w:rsidRDefault="00811FC3" w:rsidP="00302F44">
      <w:pPr>
        <w:spacing w:before="240" w:line="271" w:lineRule="auto"/>
        <w:jc w:val="both"/>
        <w:rPr>
          <w:rFonts w:ascii="Times New Roman" w:hAnsi="Times New Roman" w:cs="Times New Roman"/>
          <w:sz w:val="24"/>
          <w:szCs w:val="24"/>
        </w:rPr>
      </w:pPr>
      <w:bookmarkStart w:id="13" w:name="bm_3_2_food_type_preference"/>
      <w:r w:rsidRPr="00302F44">
        <w:rPr>
          <w:rFonts w:ascii="Times New Roman" w:hAnsi="Times New Roman" w:cs="Times New Roman"/>
          <w:b/>
          <w:sz w:val="24"/>
          <w:szCs w:val="24"/>
        </w:rPr>
        <w:t>3.2 Food Type Preference</w:t>
      </w:r>
      <w:bookmarkEnd w:id="13"/>
    </w:p>
    <w:p w14:paraId="34CFA46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the 399 respondents who provided food type information (including some who fed occasionally), fruits dominated provisioning practices with 332 responses (83.2%, 95% CI: 79.4%--87.0%). Other food types showed substantially lower frequencies: bakery items (39 responses, 9.8%), uncooked food (17 responses, 4.3%), and cooked food (11 responses, 2.8%).</w:t>
      </w:r>
    </w:p>
    <w:p w14:paraId="1CE29BE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A chi-square goodness-of-fit test strongly rejected the null hypothesis of equal preference across food types (χ² = 689.5, df = 3,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with a large effect size (Cohen's w = 0.83), demonstrating overwhelming preference for fruits over other provisioning options (Fig 1b, Table 1).</w:t>
      </w:r>
    </w:p>
    <w:p w14:paraId="3C846F6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lastRenderedPageBreak/>
        <w:t>This strong fruit preference reflects both practical considerations and cultural practices. Fruits are readily available, inexpensive, and perceived as "natural" food for primates. However, concentrated fruit provisioning can alter macaque dietary patterns and increase population densities beyond natural carrying capacity (Sengupta et al., 2015). The high sugar content in provisioned fruits may also contribute to health problems in urban macaque populations.</w:t>
      </w:r>
    </w:p>
    <w:p w14:paraId="3FB34F09" w14:textId="77777777" w:rsidR="00154F24" w:rsidRPr="00302F44" w:rsidRDefault="00811FC3" w:rsidP="00302F44">
      <w:pPr>
        <w:spacing w:before="240" w:line="271" w:lineRule="auto"/>
        <w:jc w:val="both"/>
        <w:rPr>
          <w:rFonts w:ascii="Times New Roman" w:hAnsi="Times New Roman" w:cs="Times New Roman"/>
          <w:sz w:val="24"/>
          <w:szCs w:val="24"/>
        </w:rPr>
      </w:pPr>
      <w:bookmarkStart w:id="14" w:name="bm_3_3_tolerance_level_towards_monkeys"/>
      <w:r w:rsidRPr="00302F44">
        <w:rPr>
          <w:rFonts w:ascii="Times New Roman" w:hAnsi="Times New Roman" w:cs="Times New Roman"/>
          <w:b/>
          <w:sz w:val="24"/>
          <w:szCs w:val="24"/>
        </w:rPr>
        <w:t>3.3 Tolerance Level Towards Monkeys</w:t>
      </w:r>
      <w:bookmarkEnd w:id="14"/>
    </w:p>
    <w:p w14:paraId="5CEBED1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Among 672 respondents, tolerance levels showed a skewed distribution with neutral tolerance by 471 respondents (70.1%), low tolerance by 126 respondents (18.8%), and high tolerance by 75 respondents (11.2%) towards monkey presence in their vicinity. Statistical testing confirmed this distribution significantly differed from equal proportions across categories (χ² = 234.8, df = 2,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with neutral tolerance strongly dominating community attitudes (Fig 1c, Table 2).</w:t>
      </w:r>
    </w:p>
    <w:p w14:paraId="61F2E5D1"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The predominance of neutral tolerance (70.1%) represents a critical "persuadable middle group" (Bjerke &amp; </w:t>
      </w:r>
      <w:proofErr w:type="spellStart"/>
      <w:r w:rsidRPr="00302F44">
        <w:rPr>
          <w:rFonts w:ascii="Times New Roman" w:eastAsia="Georgia" w:hAnsi="Times New Roman" w:cs="Times New Roman"/>
          <w:sz w:val="24"/>
          <w:szCs w:val="24"/>
        </w:rPr>
        <w:t>Østdahl</w:t>
      </w:r>
      <w:proofErr w:type="spellEnd"/>
      <w:r w:rsidRPr="00302F44">
        <w:rPr>
          <w:rFonts w:ascii="Times New Roman" w:eastAsia="Georgia" w:hAnsi="Times New Roman" w:cs="Times New Roman"/>
          <w:sz w:val="24"/>
          <w:szCs w:val="24"/>
        </w:rPr>
        <w:t>, 2004). This finding suggests that community attitudes are neither strongly positive nor negative, but rather conditional and potentially malleable. This neutral majority represents both opportunity and vulnerability—they may be persuaded toward greater acceptance through positive experiences and effective management, or toward intolerance through sustained negative interactions.</w:t>
      </w:r>
    </w:p>
    <w:p w14:paraId="3E675CB1" w14:textId="77777777" w:rsidR="00154F24" w:rsidRPr="00302F44" w:rsidRDefault="00811FC3" w:rsidP="00302F44">
      <w:pPr>
        <w:spacing w:before="240" w:line="271" w:lineRule="auto"/>
        <w:jc w:val="both"/>
        <w:rPr>
          <w:rFonts w:ascii="Times New Roman" w:hAnsi="Times New Roman" w:cs="Times New Roman"/>
          <w:sz w:val="24"/>
          <w:szCs w:val="24"/>
        </w:rPr>
      </w:pPr>
      <w:bookmarkStart w:id="15" w:name="bm_3_4_human_s_psychological_effe_fd523c"/>
      <w:r w:rsidRPr="00302F44">
        <w:rPr>
          <w:rFonts w:ascii="Times New Roman" w:hAnsi="Times New Roman" w:cs="Times New Roman"/>
          <w:b/>
          <w:sz w:val="24"/>
          <w:szCs w:val="24"/>
        </w:rPr>
        <w:t>3.4 Human's Psychological Effect Towards Monkeys</w:t>
      </w:r>
      <w:bookmarkEnd w:id="15"/>
    </w:p>
    <w:p w14:paraId="1E5BBD0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639 respondents reporting on psychological impact, moderate disturbance was reported by 329 respondents (51.5%), tolerable disturbance by 263 respondents (41.2%), and unbearable disturbance by 47 respondents (7.4%). These findings indicate that over half the community experiences moderate disruption to their peace of mind from monkey presence, while severe disturbance remains relatively uncommon (Fig 1d, Table 2).</w:t>
      </w:r>
    </w:p>
    <w:p w14:paraId="406EACE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The low proportion experiencing unbearable disturbance (7.4%) suggests that most residents have developed coping mechanisms for coexisting with urban macaques. However, the 51.5% experiencing moderate disturbance indicates that conflict is sufficiently frequent and disruptive to affect daily quality of life. </w:t>
      </w:r>
      <w:proofErr w:type="gramStart"/>
      <w:r w:rsidRPr="00302F44">
        <w:rPr>
          <w:rFonts w:ascii="Times New Roman" w:eastAsia="Georgia" w:hAnsi="Times New Roman" w:cs="Times New Roman"/>
          <w:sz w:val="24"/>
          <w:szCs w:val="24"/>
        </w:rPr>
        <w:t>This finding parallels</w:t>
      </w:r>
      <w:proofErr w:type="gramEnd"/>
      <w:r w:rsidRPr="00302F44">
        <w:rPr>
          <w:rFonts w:ascii="Times New Roman" w:eastAsia="Georgia" w:hAnsi="Times New Roman" w:cs="Times New Roman"/>
          <w:sz w:val="24"/>
          <w:szCs w:val="24"/>
        </w:rPr>
        <w:t xml:space="preserve"> research on urban wildlife conflicts in other contexts, where moderate but persistent disturbance erodes tolerance over time (König, 2008).</w:t>
      </w:r>
    </w:p>
    <w:p w14:paraId="70EADB39" w14:textId="77777777" w:rsidR="00154F24" w:rsidRPr="00302F44" w:rsidRDefault="00811FC3" w:rsidP="00302F44">
      <w:pPr>
        <w:spacing w:before="240" w:line="271" w:lineRule="auto"/>
        <w:jc w:val="both"/>
        <w:rPr>
          <w:rFonts w:ascii="Times New Roman" w:hAnsi="Times New Roman" w:cs="Times New Roman"/>
          <w:sz w:val="24"/>
          <w:szCs w:val="24"/>
        </w:rPr>
      </w:pPr>
      <w:bookmarkStart w:id="16" w:name="bm_3_5_perceptions_of_disease_tra_bceac2"/>
      <w:r w:rsidRPr="00302F44">
        <w:rPr>
          <w:rFonts w:ascii="Times New Roman" w:hAnsi="Times New Roman" w:cs="Times New Roman"/>
          <w:b/>
          <w:sz w:val="24"/>
          <w:szCs w:val="24"/>
        </w:rPr>
        <w:t>3.5 Perceptions of Disease Transmission</w:t>
      </w:r>
      <w:bookmarkEnd w:id="16"/>
    </w:p>
    <w:p w14:paraId="7CE90F5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Among 657 respondents, 381 (58.0%) reported "Don't know", 161 (24.5%) believed monkeys transmit diseases, and 115 (17.5%) believed they do not transmit diseases. The high proportion of uncertain respondents (χ² test for departure from equal distribution: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represents a critical knowledge gap with public health implications (Fig 1e, Table 2).</w:t>
      </w:r>
    </w:p>
    <w:p w14:paraId="13FE83B4" w14:textId="109E3A15" w:rsidR="00154F24" w:rsidRPr="00133690" w:rsidRDefault="00811FC3" w:rsidP="00133690">
      <w:pPr>
        <w:jc w:val="both"/>
      </w:pPr>
      <w:r w:rsidRPr="00302F44">
        <w:rPr>
          <w:rFonts w:ascii="Times New Roman" w:eastAsia="Georgia" w:hAnsi="Times New Roman" w:cs="Times New Roman"/>
          <w:sz w:val="24"/>
          <w:szCs w:val="24"/>
        </w:rPr>
        <w:t>This knowledge gap is concerning</w:t>
      </w:r>
      <w:r w:rsidR="0066197B">
        <w:rPr>
          <w:rFonts w:ascii="Times New Roman" w:eastAsia="Georgia" w:hAnsi="Times New Roman" w:cs="Times New Roman"/>
          <w:sz w:val="24"/>
          <w:szCs w:val="24"/>
        </w:rPr>
        <w:t>,</w:t>
      </w:r>
      <w:r w:rsidRPr="00302F44">
        <w:rPr>
          <w:rFonts w:ascii="Times New Roman" w:eastAsia="Georgia" w:hAnsi="Times New Roman" w:cs="Times New Roman"/>
          <w:sz w:val="24"/>
          <w:szCs w:val="24"/>
        </w:rPr>
        <w:t xml:space="preserve"> given well-documented zoonotic disease risks associated with human-primate contact. Macaques can transmit numerous pathogens</w:t>
      </w:r>
      <w:r w:rsidR="0066197B">
        <w:rPr>
          <w:rFonts w:ascii="Times New Roman" w:eastAsia="Georgia" w:hAnsi="Times New Roman" w:cs="Times New Roman"/>
          <w:sz w:val="24"/>
          <w:szCs w:val="24"/>
        </w:rPr>
        <w:t>,</w:t>
      </w:r>
      <w:r w:rsidRPr="00302F44">
        <w:rPr>
          <w:rFonts w:ascii="Times New Roman" w:eastAsia="Georgia" w:hAnsi="Times New Roman" w:cs="Times New Roman"/>
          <w:sz w:val="24"/>
          <w:szCs w:val="24"/>
        </w:rPr>
        <w:t xml:space="preserve"> including Herpes B virus, tuberculosis, and various parasites (Dittus et al., 2019). The 58.0% uncertainty suggests that public health messaging has been inadequate.</w:t>
      </w:r>
      <w:r w:rsidR="0066197B">
        <w:rPr>
          <w:rFonts w:ascii="Times New Roman" w:eastAsia="Georgia" w:hAnsi="Times New Roman" w:cs="Times New Roman"/>
          <w:sz w:val="24"/>
          <w:szCs w:val="24"/>
        </w:rPr>
        <w:t xml:space="preserve"> </w:t>
      </w:r>
      <w:proofErr w:type="spellStart"/>
      <w:r w:rsidR="0066197B" w:rsidRPr="00133690">
        <w:rPr>
          <w:rFonts w:ascii="Times New Roman" w:eastAsia="Times New Roman" w:hAnsi="Times New Roman" w:cs="Times New Roman"/>
          <w:sz w:val="24"/>
          <w:szCs w:val="24"/>
          <w:highlight w:val="yellow"/>
          <w:lang w:val="en-IN" w:eastAsia="en-IN" w:bidi="kn-IN"/>
        </w:rPr>
        <w:lastRenderedPageBreak/>
        <w:t>Suwanpakdee</w:t>
      </w:r>
      <w:proofErr w:type="spellEnd"/>
      <w:r w:rsidR="0066197B" w:rsidRPr="00133690">
        <w:rPr>
          <w:rFonts w:ascii="Times New Roman" w:eastAsia="Times New Roman" w:hAnsi="Times New Roman" w:cs="Times New Roman"/>
          <w:sz w:val="24"/>
          <w:szCs w:val="24"/>
          <w:highlight w:val="yellow"/>
          <w:lang w:val="en-IN" w:eastAsia="en-IN" w:bidi="kn-IN"/>
        </w:rPr>
        <w:t xml:space="preserve"> et al., 2025 </w:t>
      </w:r>
      <w:r w:rsidR="0066197B" w:rsidRPr="00133690">
        <w:rPr>
          <w:rFonts w:ascii="Times New Roman" w:hAnsi="Times New Roman" w:cs="Times New Roman"/>
          <w:color w:val="1B1B1B"/>
          <w:sz w:val="24"/>
          <w:szCs w:val="24"/>
          <w:highlight w:val="yellow"/>
          <w:shd w:val="clear" w:color="auto" w:fill="FFFFFF"/>
        </w:rPr>
        <w:t xml:space="preserve">found that 35.7% of free‐ranging macaques </w:t>
      </w:r>
      <w:proofErr w:type="spellStart"/>
      <w:r w:rsidR="0066197B" w:rsidRPr="00133690">
        <w:rPr>
          <w:rFonts w:ascii="Times New Roman" w:hAnsi="Times New Roman" w:cs="Times New Roman"/>
          <w:color w:val="1B1B1B"/>
          <w:sz w:val="24"/>
          <w:szCs w:val="24"/>
          <w:highlight w:val="yellow"/>
          <w:shd w:val="clear" w:color="auto" w:fill="FFFFFF"/>
        </w:rPr>
        <w:t>harbour</w:t>
      </w:r>
      <w:proofErr w:type="spellEnd"/>
      <w:r w:rsidR="0066197B" w:rsidRPr="00133690">
        <w:rPr>
          <w:rFonts w:ascii="Times New Roman" w:hAnsi="Times New Roman" w:cs="Times New Roman"/>
          <w:color w:val="1B1B1B"/>
          <w:sz w:val="24"/>
          <w:szCs w:val="24"/>
          <w:highlight w:val="yellow"/>
          <w:shd w:val="clear" w:color="auto" w:fill="FFFFFF"/>
        </w:rPr>
        <w:t xml:space="preserve"> potential zoonotic pathogens that pose significant health risks to humans. A diverse range of gastrointestinal parasites is present in long-tailed macaques in Bali, which could be transmitted to humans and other animals </w:t>
      </w:r>
      <w:r w:rsidR="007C4FEE" w:rsidRPr="00133690">
        <w:rPr>
          <w:rFonts w:ascii="Times New Roman" w:hAnsi="Times New Roman" w:cs="Times New Roman"/>
          <w:color w:val="1B1B1B"/>
          <w:sz w:val="24"/>
          <w:szCs w:val="24"/>
          <w:highlight w:val="yellow"/>
          <w:shd w:val="clear" w:color="auto" w:fill="FFFFFF"/>
        </w:rPr>
        <w:t>(</w:t>
      </w:r>
      <w:r w:rsidR="0066197B" w:rsidRPr="00133690">
        <w:rPr>
          <w:rFonts w:ascii="Times New Roman" w:hAnsi="Times New Roman" w:cs="Times New Roman"/>
          <w:color w:val="1B1B1B"/>
          <w:sz w:val="24"/>
          <w:szCs w:val="24"/>
          <w:highlight w:val="yellow"/>
          <w:shd w:val="clear" w:color="auto" w:fill="FFFFFF"/>
        </w:rPr>
        <w:t xml:space="preserve">Agustina </w:t>
      </w:r>
      <w:r w:rsidR="007C4FEE" w:rsidRPr="00133690">
        <w:rPr>
          <w:rFonts w:ascii="Times New Roman" w:hAnsi="Times New Roman" w:cs="Times New Roman"/>
          <w:color w:val="1B1B1B"/>
          <w:sz w:val="24"/>
          <w:szCs w:val="24"/>
          <w:highlight w:val="yellow"/>
          <w:shd w:val="clear" w:color="auto" w:fill="FFFFFF"/>
        </w:rPr>
        <w:t>et al., 2025).</w:t>
      </w:r>
      <w:r w:rsidR="00835EFB" w:rsidRPr="00133690">
        <w:rPr>
          <w:highlight w:val="yellow"/>
        </w:rPr>
        <w:t xml:space="preserve"> The visible signs of wounds/disease in bonnet monkeys in urban areas reported in Bangalore to be considered.</w:t>
      </w:r>
      <w:r w:rsidR="00133690" w:rsidRPr="00133690">
        <w:rPr>
          <w:highlight w:val="yellow"/>
        </w:rPr>
        <w:t xml:space="preserve"> </w:t>
      </w:r>
      <w:r w:rsidR="00133690" w:rsidRPr="00133690">
        <w:rPr>
          <w:rFonts w:ascii="Times New Roman" w:hAnsi="Times New Roman" w:cs="Times New Roman"/>
          <w:sz w:val="24"/>
          <w:szCs w:val="28"/>
          <w:highlight w:val="yellow"/>
        </w:rPr>
        <w:t>(</w:t>
      </w:r>
      <w:r w:rsidR="00835EFB" w:rsidRPr="00133690">
        <w:rPr>
          <w:rFonts w:ascii="Times New Roman" w:hAnsi="Times New Roman" w:cs="Times New Roman"/>
          <w:sz w:val="24"/>
          <w:szCs w:val="28"/>
          <w:highlight w:val="yellow"/>
        </w:rPr>
        <w:t>Kushal</w:t>
      </w:r>
      <w:r w:rsidR="00133690" w:rsidRPr="00133690">
        <w:rPr>
          <w:rFonts w:ascii="Times New Roman" w:hAnsi="Times New Roman" w:cs="Times New Roman"/>
          <w:sz w:val="24"/>
          <w:szCs w:val="28"/>
          <w:highlight w:val="yellow"/>
        </w:rPr>
        <w:t xml:space="preserve"> &amp; Usha., 2025)</w:t>
      </w:r>
      <w:r w:rsidR="00133690" w:rsidRPr="00133690">
        <w:rPr>
          <w:highlight w:val="yellow"/>
        </w:rPr>
        <w:t xml:space="preserve">. </w:t>
      </w:r>
      <w:r w:rsidRPr="00133690">
        <w:rPr>
          <w:rFonts w:ascii="Times New Roman" w:eastAsia="Georgia" w:hAnsi="Times New Roman" w:cs="Times New Roman"/>
          <w:sz w:val="24"/>
          <w:szCs w:val="24"/>
        </w:rPr>
        <w:t>This knowledge gap likely influences risk perception and behavior—individuals uncertain about disease transmission may engage in closer contact with macaques than those aware of risks.</w:t>
      </w:r>
    </w:p>
    <w:p w14:paraId="260F570D" w14:textId="77777777" w:rsidR="00154F24" w:rsidRPr="00302F44" w:rsidRDefault="00811FC3" w:rsidP="00302F44">
      <w:pPr>
        <w:spacing w:before="240" w:line="271" w:lineRule="auto"/>
        <w:jc w:val="both"/>
        <w:rPr>
          <w:rFonts w:ascii="Times New Roman" w:hAnsi="Times New Roman" w:cs="Times New Roman"/>
          <w:sz w:val="24"/>
          <w:szCs w:val="24"/>
        </w:rPr>
      </w:pPr>
      <w:bookmarkStart w:id="17" w:name="bm_3_6_types_of_damage_reported"/>
      <w:r w:rsidRPr="00302F44">
        <w:rPr>
          <w:rFonts w:ascii="Times New Roman" w:hAnsi="Times New Roman" w:cs="Times New Roman"/>
          <w:b/>
          <w:sz w:val="24"/>
          <w:szCs w:val="24"/>
        </w:rPr>
        <w:t>3.6 Types of Damage Reported</w:t>
      </w:r>
      <w:bookmarkEnd w:id="17"/>
    </w:p>
    <w:p w14:paraId="358B4C3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535 respondents reporting damage experiences, conflict types varied considerably. Food snatching emerged as the most commonly reported direct conflict with 179 responses (33.5%), while the large "other" category (214 responses, 40.0%) suggests diverse conflict types beyond those explicitly categorized. Garden damage (82 responses, 15.3%), crop damage (74 responses, 13.8%), property damage (57 responses, 10.7%), bite incidents (9 responses, 1.7%), and pet damage (7 responses, 1.3%) represented additional conflict dimensions (Fig 1g, Table 3).</w:t>
      </w:r>
    </w:p>
    <w:p w14:paraId="3BF7A03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predominance of food snatching (33.5%) is consistent with global urban macaque trends (Mangalam &amp; Singh, 2013). This behavior represents aggressive food acquisition that can be frightening and occasionally dangerous, particularly for children and elderly residents. Garden and crop damage (15.3% and 13.8% respectively) affect household economies, particularly among low-income groups (Bhaskaran &amp; Nilon, 2025).</w:t>
      </w:r>
    </w:p>
    <w:p w14:paraId="25C932D9" w14:textId="77777777" w:rsidR="00154F24" w:rsidRPr="00302F44" w:rsidRDefault="00811FC3" w:rsidP="00302F44">
      <w:pPr>
        <w:spacing w:before="240" w:line="271" w:lineRule="auto"/>
        <w:jc w:val="both"/>
        <w:rPr>
          <w:rFonts w:ascii="Times New Roman" w:hAnsi="Times New Roman" w:cs="Times New Roman"/>
          <w:sz w:val="24"/>
          <w:szCs w:val="24"/>
        </w:rPr>
      </w:pPr>
      <w:bookmarkStart w:id="18" w:name="bm_3_7_property_damage_scale_estimation"/>
      <w:r w:rsidRPr="00302F44">
        <w:rPr>
          <w:rFonts w:ascii="Times New Roman" w:hAnsi="Times New Roman" w:cs="Times New Roman"/>
          <w:b/>
          <w:sz w:val="24"/>
          <w:szCs w:val="24"/>
        </w:rPr>
        <w:t>3.7 Property Damage Scale Estimation</w:t>
      </w:r>
      <w:bookmarkEnd w:id="18"/>
    </w:p>
    <w:p w14:paraId="32B06767" w14:textId="7535D861"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627 respondents assessing property damage severity, low damage was reported by 382 respondents (60.9%), medium damage by 214 respondents (34.1%), and high damage by 31 respondents (4.9%). The predominance of low-severity damage indicates that while conflicts are common, severe property damage affects a relatively small proportion of the community (</w:t>
      </w:r>
      <w:r w:rsidR="00302F44">
        <w:rPr>
          <w:rFonts w:ascii="Times New Roman" w:hAnsi="Times New Roman" w:cs="Times New Roman"/>
          <w:sz w:val="24"/>
          <w:szCs w:val="24"/>
        </w:rPr>
        <w:t>Fig.</w:t>
      </w:r>
      <w:r w:rsidRPr="00302F44">
        <w:rPr>
          <w:rFonts w:ascii="Times New Roman" w:hAnsi="Times New Roman" w:cs="Times New Roman"/>
          <w:sz w:val="24"/>
          <w:szCs w:val="24"/>
        </w:rPr>
        <w:t xml:space="preserve"> 1f, Table 3).</w:t>
      </w:r>
    </w:p>
    <w:p w14:paraId="347BB994" w14:textId="514CD3B8"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This finding suggests that most human-monkey conflicts in Bengaluru are manageable rather than catastrophic. The low proportion reporting high damage (4.9%) indicates that devastating conflicts are relatively rare. However, the 34.1% reporting medium damage suggests a </w:t>
      </w:r>
      <w:r w:rsidR="00302F44" w:rsidRPr="00302F44">
        <w:rPr>
          <w:rFonts w:ascii="Times New Roman" w:hAnsi="Times New Roman" w:cs="Times New Roman"/>
          <w:sz w:val="24"/>
          <w:szCs w:val="24"/>
        </w:rPr>
        <w:t>substantial minority experience</w:t>
      </w:r>
      <w:r w:rsidRPr="00302F44">
        <w:rPr>
          <w:rFonts w:ascii="Times New Roman" w:hAnsi="Times New Roman" w:cs="Times New Roman"/>
          <w:sz w:val="24"/>
          <w:szCs w:val="24"/>
        </w:rPr>
        <w:t xml:space="preserve"> </w:t>
      </w:r>
      <w:r w:rsidR="00302F44" w:rsidRPr="00302F44">
        <w:rPr>
          <w:rFonts w:ascii="Times New Roman" w:hAnsi="Times New Roman" w:cs="Times New Roman"/>
          <w:sz w:val="24"/>
          <w:szCs w:val="24"/>
        </w:rPr>
        <w:t>economically significant loss</w:t>
      </w:r>
      <w:r w:rsidRPr="00302F44">
        <w:rPr>
          <w:rFonts w:ascii="Times New Roman" w:hAnsi="Times New Roman" w:cs="Times New Roman"/>
          <w:sz w:val="24"/>
          <w:szCs w:val="24"/>
        </w:rPr>
        <w:t>.</w:t>
      </w:r>
    </w:p>
    <w:p w14:paraId="098B3078" w14:textId="77777777" w:rsidR="00154F24" w:rsidRPr="00302F44" w:rsidRDefault="00811FC3" w:rsidP="00302F44">
      <w:pPr>
        <w:spacing w:before="240" w:line="271" w:lineRule="auto"/>
        <w:jc w:val="both"/>
        <w:rPr>
          <w:rFonts w:ascii="Times New Roman" w:hAnsi="Times New Roman" w:cs="Times New Roman"/>
          <w:sz w:val="24"/>
          <w:szCs w:val="24"/>
        </w:rPr>
      </w:pPr>
      <w:bookmarkStart w:id="19" w:name="bm_3_8_management_preferences_and_ef4450"/>
      <w:r w:rsidRPr="00302F44">
        <w:rPr>
          <w:rFonts w:ascii="Times New Roman" w:hAnsi="Times New Roman" w:cs="Times New Roman"/>
          <w:b/>
          <w:sz w:val="24"/>
          <w:szCs w:val="24"/>
        </w:rPr>
        <w:t>3.8 Management Preferences and Strategies</w:t>
      </w:r>
      <w:bookmarkEnd w:id="19"/>
    </w:p>
    <w:p w14:paraId="3BCF2CE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581 respondents suggesting conflict mitigation approaches, diverse strategies were reported. Non-feeding emerged as the most preferred approach (138 responses, 23.8%), followed by physical barriers such as iron grills (133 responses, 22.9%), using sticks (119 responses, 20.5%), other methods (118 responses, 20.3%), catch and release (77 responses, 13.3%), firecrackers (65 responses, 11.2%), water spray (58 responses, 10.0%), and dogs (42 responses, 7.2%). Lethal control (culling) was almost universally rejected with only 2 responses (0.3%) (Fig 1h, Table 4).</w:t>
      </w:r>
    </w:p>
    <w:p w14:paraId="15FB8F4A"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lastRenderedPageBreak/>
        <w:t>Management preferences reflected cultural values, with near-universal rejection of culling (0.3%) consistent with national attitudes toward primates (Radhakrishna et al., 2013). The preference for non-feeding (23.8%) and physical barriers (22.9%) indicates community recognition that provisioning contributes to conflict and that physical exclusion represents a practical solution. However, economic constraints may limit adoption of physical barriers, particularly among low-income households (</w:t>
      </w:r>
      <w:proofErr w:type="spellStart"/>
      <w:r w:rsidRPr="00302F44">
        <w:rPr>
          <w:rFonts w:ascii="Times New Roman" w:hAnsi="Times New Roman" w:cs="Times New Roman"/>
          <w:sz w:val="24"/>
          <w:szCs w:val="24"/>
        </w:rPr>
        <w:t>Karayathil</w:t>
      </w:r>
      <w:proofErr w:type="spellEnd"/>
      <w:r w:rsidRPr="00302F44">
        <w:rPr>
          <w:rFonts w:ascii="Times New Roman" w:hAnsi="Times New Roman" w:cs="Times New Roman"/>
          <w:sz w:val="24"/>
          <w:szCs w:val="24"/>
        </w:rPr>
        <w:t xml:space="preserve"> et al., 2023).</w:t>
      </w:r>
    </w:p>
    <w:p w14:paraId="6EB4C1C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13.3% supporting catch-and-release strategies reflects limited understanding of its efficacy. Research indicates relocated individuals may return or create new conflict sites, offering limited long-term solutions (Imam &amp; Ahmad, 2013). The low support for culling aligns with cultural values but highlights the challenge of managing overabundant populations without lethal control options.</w:t>
      </w:r>
    </w:p>
    <w:p w14:paraId="277ADC77" w14:textId="77777777" w:rsidR="00154F24" w:rsidRPr="00302F44" w:rsidRDefault="00811FC3" w:rsidP="00302F44">
      <w:pPr>
        <w:spacing w:before="240" w:line="271" w:lineRule="auto"/>
        <w:jc w:val="both"/>
        <w:rPr>
          <w:rFonts w:ascii="Times New Roman" w:hAnsi="Times New Roman" w:cs="Times New Roman"/>
          <w:sz w:val="24"/>
          <w:szCs w:val="24"/>
        </w:rPr>
      </w:pPr>
      <w:bookmarkStart w:id="20" w:name="bm_3_9_statistical_associations_a_d7df91"/>
      <w:r w:rsidRPr="00302F44">
        <w:rPr>
          <w:rFonts w:ascii="Times New Roman" w:hAnsi="Times New Roman" w:cs="Times New Roman"/>
          <w:b/>
          <w:sz w:val="24"/>
          <w:szCs w:val="24"/>
        </w:rPr>
        <w:t>3.9 Statistical Associations and Correlations</w:t>
      </w:r>
      <w:bookmarkEnd w:id="20"/>
    </w:p>
    <w:p w14:paraId="2F688DBC" w14:textId="77777777" w:rsidR="00154F24" w:rsidRPr="00302F44" w:rsidRDefault="00811FC3" w:rsidP="00302F44">
      <w:pPr>
        <w:spacing w:before="240" w:line="271" w:lineRule="auto"/>
        <w:jc w:val="both"/>
        <w:rPr>
          <w:rFonts w:ascii="Times New Roman" w:hAnsi="Times New Roman" w:cs="Times New Roman"/>
          <w:sz w:val="24"/>
          <w:szCs w:val="24"/>
        </w:rPr>
      </w:pPr>
      <w:bookmarkStart w:id="21" w:name="bm_3_9_1_feeding_versus_tolerance"/>
      <w:r w:rsidRPr="00302F44">
        <w:rPr>
          <w:rFonts w:ascii="Times New Roman" w:hAnsi="Times New Roman" w:cs="Times New Roman"/>
          <w:b/>
          <w:sz w:val="24"/>
          <w:szCs w:val="24"/>
        </w:rPr>
        <w:t>3.9.1 Feeding Versus Tolerance</w:t>
      </w:r>
      <w:bookmarkEnd w:id="21"/>
    </w:p>
    <w:p w14:paraId="59122A3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Statistical analysis of feeding </w:t>
      </w:r>
      <w:proofErr w:type="spellStart"/>
      <w:r w:rsidRPr="00302F44">
        <w:rPr>
          <w:rFonts w:ascii="Times New Roman" w:hAnsi="Times New Roman" w:cs="Times New Roman"/>
          <w:sz w:val="24"/>
          <w:szCs w:val="24"/>
        </w:rPr>
        <w:t>behaviour</w:t>
      </w:r>
      <w:proofErr w:type="spellEnd"/>
      <w:r w:rsidRPr="00302F44">
        <w:rPr>
          <w:rFonts w:ascii="Times New Roman" w:hAnsi="Times New Roman" w:cs="Times New Roman"/>
          <w:sz w:val="24"/>
          <w:szCs w:val="24"/>
        </w:rPr>
        <w:t xml:space="preserve"> and tolerance levels using Cramer's V revealed a moderate positive association (V = 0.31, </w:t>
      </w:r>
      <w:r w:rsidRPr="00302F44">
        <w:rPr>
          <w:rFonts w:ascii="Times New Roman" w:hAnsi="Times New Roman" w:cs="Times New Roman"/>
          <w:i/>
          <w:sz w:val="24"/>
          <w:szCs w:val="24"/>
        </w:rPr>
        <w:t>P</w:t>
      </w:r>
      <w:r w:rsidRPr="00302F44">
        <w:rPr>
          <w:rFonts w:ascii="Times New Roman" w:eastAsia="Georgia" w:hAnsi="Times New Roman" w:cs="Times New Roman"/>
          <w:sz w:val="24"/>
          <w:szCs w:val="24"/>
        </w:rPr>
        <w:t xml:space="preserve"> &lt; .001). Chi-square contingency analysis (χ² = 15.7, df = 2,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demonstrated that individuals who feed monkeys exhibit significantly higher tolerance levels. Specifically, feeders were 2.1 times more likely to express high tolerance compared to non-feeders (OR = 2.1, 95% CI: 1.3--3.4) (Table 5).</w:t>
      </w:r>
    </w:p>
    <w:p w14:paraId="28EAF778"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This moderate positive association between feeding and tolerance (Cramer's V = 0.31) aligns with findings on vervet monkeys in South Africa (Patterson et al., 2017). The relationship likely reflects bidirectional causation: individuals with higher tolerance may be more inclined to feed, while the act of feeding may increase positive feelings toward macaques. This association has important management implications—interventions targeting feeding behavior must recognize that provisioning often reflects positive attitudes that should be redirected rather than simply suppressed.</w:t>
      </w:r>
    </w:p>
    <w:p w14:paraId="59248EDC" w14:textId="77777777" w:rsidR="00154F24" w:rsidRPr="00302F44" w:rsidRDefault="00811FC3" w:rsidP="00302F44">
      <w:pPr>
        <w:spacing w:before="240" w:line="271" w:lineRule="auto"/>
        <w:jc w:val="both"/>
        <w:rPr>
          <w:rFonts w:ascii="Times New Roman" w:hAnsi="Times New Roman" w:cs="Times New Roman"/>
          <w:sz w:val="24"/>
          <w:szCs w:val="24"/>
        </w:rPr>
      </w:pPr>
      <w:bookmarkStart w:id="22" w:name="bm_3_9_2_tolerance_versus_disturb_dcd1f3"/>
      <w:r w:rsidRPr="00302F44">
        <w:rPr>
          <w:rFonts w:ascii="Times New Roman" w:hAnsi="Times New Roman" w:cs="Times New Roman"/>
          <w:b/>
          <w:sz w:val="24"/>
          <w:szCs w:val="24"/>
        </w:rPr>
        <w:t>3.9.2 Tolerance Versus Disturbance to Peace of Mind</w:t>
      </w:r>
      <w:bookmarkEnd w:id="22"/>
    </w:p>
    <w:p w14:paraId="6A8966B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A strong association emerged between tolerance levels and disturbance of peace of mind (Cramer's V = 0.48, </w:t>
      </w:r>
      <w:r w:rsidRPr="00302F44">
        <w:rPr>
          <w:rFonts w:ascii="Times New Roman" w:hAnsi="Times New Roman" w:cs="Times New Roman"/>
          <w:i/>
          <w:sz w:val="24"/>
          <w:szCs w:val="24"/>
        </w:rPr>
        <w:t>P</w:t>
      </w:r>
      <w:r w:rsidRPr="00302F44">
        <w:rPr>
          <w:rFonts w:ascii="Times New Roman" w:eastAsia="Georgia" w:hAnsi="Times New Roman" w:cs="Times New Roman"/>
          <w:sz w:val="24"/>
          <w:szCs w:val="24"/>
        </w:rPr>
        <w:t xml:space="preserve"> &lt; .001), indicating a moderate to strong effect. Chi-square analysis (χ² = 89.3, df = 4,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confirmed that higher tolerance correlates with reduced psychological disturbance, suggesting tolerance may serve as a protective psychological factor.</w:t>
      </w:r>
    </w:p>
    <w:p w14:paraId="3436375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strong association between tolerance and psychological disturbance (Cramer's V = 0.48) suggests recurring conflicts erode goodwill. Even tolerant individuals experience disturbance under sustained conflict, indicating that tolerance has limits. This finding emphasizes that management cannot rely solely on community tolerance but must actively reduce conflict frequency and severity.</w:t>
      </w:r>
    </w:p>
    <w:p w14:paraId="1EF53183" w14:textId="77777777" w:rsidR="00154F24" w:rsidRPr="00302F44" w:rsidRDefault="00811FC3" w:rsidP="00302F44">
      <w:pPr>
        <w:spacing w:before="240" w:line="271" w:lineRule="auto"/>
        <w:jc w:val="both"/>
        <w:rPr>
          <w:rFonts w:ascii="Times New Roman" w:hAnsi="Times New Roman" w:cs="Times New Roman"/>
          <w:sz w:val="24"/>
          <w:szCs w:val="24"/>
        </w:rPr>
      </w:pPr>
      <w:bookmarkStart w:id="23" w:name="bm_3_9_3_disease_beliefs_versus_f_9abeb4"/>
      <w:r w:rsidRPr="00302F44">
        <w:rPr>
          <w:rFonts w:ascii="Times New Roman" w:hAnsi="Times New Roman" w:cs="Times New Roman"/>
          <w:b/>
          <w:sz w:val="24"/>
          <w:szCs w:val="24"/>
        </w:rPr>
        <w:t xml:space="preserve">3.9.3 Disease Beliefs Versus Feeding </w:t>
      </w:r>
      <w:proofErr w:type="spellStart"/>
      <w:r w:rsidRPr="00302F44">
        <w:rPr>
          <w:rFonts w:ascii="Times New Roman" w:hAnsi="Times New Roman" w:cs="Times New Roman"/>
          <w:b/>
          <w:sz w:val="24"/>
          <w:szCs w:val="24"/>
        </w:rPr>
        <w:t>Behaviour</w:t>
      </w:r>
      <w:bookmarkEnd w:id="23"/>
      <w:proofErr w:type="spellEnd"/>
    </w:p>
    <w:p w14:paraId="3F79379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Disease transmission beliefs significantly influenced feeding decisions (χ² = 12.8,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.01). Among feeders, only 18% believed monkeys transmit diseases, compared to 29% among </w:t>
      </w:r>
      <w:r w:rsidRPr="00302F44">
        <w:rPr>
          <w:rFonts w:ascii="Times New Roman" w:hAnsi="Times New Roman" w:cs="Times New Roman"/>
          <w:sz w:val="24"/>
          <w:szCs w:val="24"/>
        </w:rPr>
        <w:lastRenderedPageBreak/>
        <w:t>non-feeders. Individuals believing in disease transmission were 46% less likely to feed monkeys (OR = 0.54, 95% CI: 0.37--0.78), indicating disease perception serves as a deterrent to provisioning behavior.</w:t>
      </w:r>
    </w:p>
    <w:p w14:paraId="2855B2BC" w14:textId="7B79A2EB"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Disease transmission uncertainty (58%) highlighted a critical knowledge gap, with risk perception influencing </w:t>
      </w:r>
      <w:proofErr w:type="spellStart"/>
      <w:r w:rsidRPr="00302F44">
        <w:rPr>
          <w:rFonts w:ascii="Times New Roman" w:hAnsi="Times New Roman" w:cs="Times New Roman"/>
          <w:sz w:val="24"/>
          <w:szCs w:val="24"/>
        </w:rPr>
        <w:t>behaviour</w:t>
      </w:r>
      <w:proofErr w:type="spellEnd"/>
      <w:r w:rsidRPr="00302F44">
        <w:rPr>
          <w:rFonts w:ascii="Times New Roman" w:hAnsi="Times New Roman" w:cs="Times New Roman"/>
          <w:sz w:val="24"/>
          <w:szCs w:val="24"/>
        </w:rPr>
        <w:t xml:space="preserve"> as predicted by the Health Belief Model (Dittus et al., 2019</w:t>
      </w:r>
      <w:r w:rsidR="00835EFB">
        <w:rPr>
          <w:rFonts w:ascii="Times New Roman" w:hAnsi="Times New Roman" w:cs="Times New Roman"/>
          <w:sz w:val="24"/>
          <w:szCs w:val="24"/>
        </w:rPr>
        <w:t>, Patra et al., 2024</w:t>
      </w:r>
      <w:r w:rsidRPr="00302F44">
        <w:rPr>
          <w:rFonts w:ascii="Times New Roman" w:hAnsi="Times New Roman" w:cs="Times New Roman"/>
          <w:sz w:val="24"/>
          <w:szCs w:val="24"/>
        </w:rPr>
        <w:t>). The finding that disease awareness reduces feeding (OR = 0.54) suggests that public health education could effectively modify provisioning behavior. However, messaging must be culturally sensitive to avoid alienating communities who view feeding as compassionate or religiously significant.</w:t>
      </w:r>
    </w:p>
    <w:p w14:paraId="7AB68FD7" w14:textId="77777777" w:rsidR="00154F24" w:rsidRPr="00302F44" w:rsidRDefault="00811FC3" w:rsidP="00302F44">
      <w:pPr>
        <w:spacing w:before="240" w:line="271" w:lineRule="auto"/>
        <w:jc w:val="both"/>
        <w:rPr>
          <w:rFonts w:ascii="Times New Roman" w:hAnsi="Times New Roman" w:cs="Times New Roman"/>
          <w:sz w:val="24"/>
          <w:szCs w:val="24"/>
        </w:rPr>
      </w:pPr>
      <w:bookmarkStart w:id="24" w:name="bm_3_10_trend_analysis_and_effect_sizes"/>
      <w:r w:rsidRPr="00302F44">
        <w:rPr>
          <w:rFonts w:ascii="Times New Roman" w:hAnsi="Times New Roman" w:cs="Times New Roman"/>
          <w:b/>
          <w:sz w:val="24"/>
          <w:szCs w:val="24"/>
        </w:rPr>
        <w:t>3.10 Trend Analysis and Effect Sizes</w:t>
      </w:r>
      <w:bookmarkEnd w:id="24"/>
    </w:p>
    <w:p w14:paraId="48B9182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Cochran-Armitage trend test revealed a significant linear relationship between ordered tolerance categories and feeding behavior (Z = 3.92,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demonstrating that feeding propensity increases systematically with tolerance level. This gradient effect suggests tolerance exists on a continuum rather than as discrete categories.</w:t>
      </w:r>
    </w:p>
    <w:p w14:paraId="7FDF688D"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Effect size analyses provided insights into the practical significance of observed relationships. Food preference showed Cohen's w = 0.83 (large effect), tolerance distribution showed Cohen's w = 0.59 (large effect), feeding-tolerance association showed Cohen's w = 0.15 (small effect), and tolerance-disturbance relationship showed Cohen's w = 0.26 (medium effect). While many relationships achieved statistical significance, effect sizes varied, with the strongest effects observed for within-variable distributions rather than between-variable associations.</w:t>
      </w:r>
    </w:p>
    <w:p w14:paraId="38BADCC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Post-hoc power analysis indicated that the achieved sample size (</w:t>
      </w:r>
      <w:r w:rsidRPr="00302F44">
        <w:rPr>
          <w:rFonts w:ascii="Times New Roman" w:hAnsi="Times New Roman" w:cs="Times New Roman"/>
          <w:i/>
          <w:sz w:val="24"/>
          <w:szCs w:val="24"/>
        </w:rPr>
        <w:t>n</w:t>
      </w:r>
      <w:r w:rsidRPr="00302F44">
        <w:rPr>
          <w:rFonts w:ascii="Times New Roman" w:eastAsia="Georgia" w:hAnsi="Times New Roman" w:cs="Times New Roman"/>
          <w:sz w:val="24"/>
          <w:szCs w:val="24"/>
        </w:rPr>
        <w:t xml:space="preserve"> = 702) provided adequate power (0.80) for detecting medium effects (Cohen's w ≥ 0.3) but showed reduced power (0.52) for small effects (w = 0.15). For future research targeting small effect sizes, a sample of approximately 1,200 respondents would be recommended to achieve 80% power.</w:t>
      </w:r>
    </w:p>
    <w:p w14:paraId="73B40246" w14:textId="77777777" w:rsidR="00154F24" w:rsidRPr="00302F44" w:rsidRDefault="00811FC3" w:rsidP="00302F44">
      <w:pPr>
        <w:spacing w:before="240" w:line="271" w:lineRule="auto"/>
        <w:jc w:val="both"/>
        <w:rPr>
          <w:rFonts w:ascii="Times New Roman" w:hAnsi="Times New Roman" w:cs="Times New Roman"/>
          <w:sz w:val="24"/>
          <w:szCs w:val="24"/>
        </w:rPr>
      </w:pPr>
      <w:bookmarkStart w:id="25" w:name="bm_3_11_comparative_context"/>
      <w:r w:rsidRPr="00302F44">
        <w:rPr>
          <w:rFonts w:ascii="Times New Roman" w:hAnsi="Times New Roman" w:cs="Times New Roman"/>
          <w:b/>
          <w:sz w:val="24"/>
          <w:szCs w:val="24"/>
        </w:rPr>
        <w:t>3.11 Comparative Context</w:t>
      </w:r>
      <w:bookmarkEnd w:id="25"/>
    </w:p>
    <w:p w14:paraId="5BC824A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Comparative insights from other urban primate studies contextualize Bengaluru's patterns. In Shimla, India, high provisioning rates and tourist-driven feeding created severe conflict scenarios (Chauhan &amp; </w:t>
      </w:r>
      <w:proofErr w:type="spellStart"/>
      <w:r w:rsidRPr="00302F44">
        <w:rPr>
          <w:rFonts w:ascii="Times New Roman" w:hAnsi="Times New Roman" w:cs="Times New Roman"/>
          <w:sz w:val="24"/>
          <w:szCs w:val="24"/>
        </w:rPr>
        <w:t>Pirta</w:t>
      </w:r>
      <w:proofErr w:type="spellEnd"/>
      <w:r w:rsidRPr="00302F44">
        <w:rPr>
          <w:rFonts w:ascii="Times New Roman" w:hAnsi="Times New Roman" w:cs="Times New Roman"/>
          <w:sz w:val="24"/>
          <w:szCs w:val="24"/>
        </w:rPr>
        <w:t>, 2010). Chitrakoot reported similar patterns of garden damage and food raiding (Chaturvedi &amp; Mishra, 2014). Singapore's long-term macaque management program demonstrated that education campaigns combined with enforcement can reduce feeding and associated conflicts (Sha et al., 2009). Malaysian research emphasized the importance of understanding local cultural contexts in designing effective interventions (</w:t>
      </w:r>
      <w:proofErr w:type="spellStart"/>
      <w:r w:rsidRPr="00302F44">
        <w:rPr>
          <w:rFonts w:ascii="Times New Roman" w:hAnsi="Times New Roman" w:cs="Times New Roman"/>
          <w:sz w:val="24"/>
          <w:szCs w:val="24"/>
        </w:rPr>
        <w:t>Karimullah</w:t>
      </w:r>
      <w:proofErr w:type="spellEnd"/>
      <w:r w:rsidRPr="00302F44">
        <w:rPr>
          <w:rFonts w:ascii="Times New Roman" w:hAnsi="Times New Roman" w:cs="Times New Roman"/>
          <w:sz w:val="24"/>
          <w:szCs w:val="24"/>
        </w:rPr>
        <w:t xml:space="preserve"> et al., 2022).</w:t>
      </w:r>
    </w:p>
    <w:p w14:paraId="2833D465" w14:textId="77777777" w:rsidR="00154F2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Bengaluru's environmental transformation further contextualizes these dynamics. The dramatic habitat loss between 2003 and 2021 (</w:t>
      </w:r>
      <w:proofErr w:type="spellStart"/>
      <w:r w:rsidRPr="00302F44">
        <w:rPr>
          <w:rFonts w:ascii="Times New Roman" w:hAnsi="Times New Roman" w:cs="Times New Roman"/>
          <w:sz w:val="24"/>
          <w:szCs w:val="24"/>
        </w:rPr>
        <w:t>Bhogadi</w:t>
      </w:r>
      <w:proofErr w:type="spellEnd"/>
      <w:r w:rsidRPr="00302F44">
        <w:rPr>
          <w:rFonts w:ascii="Times New Roman" w:hAnsi="Times New Roman" w:cs="Times New Roman"/>
          <w:sz w:val="24"/>
          <w:szCs w:val="24"/>
        </w:rPr>
        <w:t xml:space="preserve"> &amp; </w:t>
      </w:r>
      <w:proofErr w:type="spellStart"/>
      <w:r w:rsidRPr="00302F44">
        <w:rPr>
          <w:rFonts w:ascii="Times New Roman" w:hAnsi="Times New Roman" w:cs="Times New Roman"/>
          <w:sz w:val="24"/>
          <w:szCs w:val="24"/>
        </w:rPr>
        <w:t>Chundeli</w:t>
      </w:r>
      <w:proofErr w:type="spellEnd"/>
      <w:r w:rsidRPr="00302F44">
        <w:rPr>
          <w:rFonts w:ascii="Times New Roman" w:hAnsi="Times New Roman" w:cs="Times New Roman"/>
          <w:sz w:val="24"/>
          <w:szCs w:val="24"/>
        </w:rPr>
        <w:t>, 2023) has forced greater spatial overlap between humans and macaques, raising questions of ecological justice (</w:t>
      </w:r>
      <w:proofErr w:type="spellStart"/>
      <w:r w:rsidRPr="00302F44">
        <w:rPr>
          <w:rFonts w:ascii="Times New Roman" w:hAnsi="Times New Roman" w:cs="Times New Roman"/>
          <w:sz w:val="24"/>
          <w:szCs w:val="24"/>
        </w:rPr>
        <w:t>Nulkar</w:t>
      </w:r>
      <w:proofErr w:type="spellEnd"/>
      <w:r w:rsidRPr="00302F44">
        <w:rPr>
          <w:rFonts w:ascii="Times New Roman" w:hAnsi="Times New Roman" w:cs="Times New Roman"/>
          <w:sz w:val="24"/>
          <w:szCs w:val="24"/>
        </w:rPr>
        <w:t>, 2022). Urban expansion has eliminated natural foraging areas, potentially increasing macaque dependence on human food sources.</w:t>
      </w:r>
    </w:p>
    <w:p w14:paraId="7A890999" w14:textId="4BFF2466" w:rsidR="0016109E" w:rsidRDefault="0016109E" w:rsidP="00302F44">
      <w:pPr>
        <w:spacing w:before="240" w:line="271" w:lineRule="auto"/>
        <w:jc w:val="both"/>
        <w:rPr>
          <w:rFonts w:ascii="Times New Roman" w:hAnsi="Times New Roman" w:cs="Times New Roman"/>
          <w:sz w:val="24"/>
          <w:szCs w:val="24"/>
        </w:rPr>
      </w:pPr>
      <w:bookmarkStart w:id="26" w:name="bm_4_conclusion"/>
      <w:r w:rsidRPr="0016109E">
        <w:rPr>
          <w:rFonts w:ascii="Times New Roman" w:hAnsi="Times New Roman" w:cs="Times New Roman"/>
          <w:sz w:val="24"/>
          <w:szCs w:val="24"/>
          <w:highlight w:val="yellow"/>
        </w:rPr>
        <w:lastRenderedPageBreak/>
        <w:t>Language barriers, because not all respondents were fluent in English, difficulties recruiting impartial and fully responsive participants, ethical restrictions prohibiting forced completion</w:t>
      </w:r>
      <w:r>
        <w:rPr>
          <w:rFonts w:ascii="Times New Roman" w:hAnsi="Times New Roman" w:cs="Times New Roman"/>
          <w:sz w:val="24"/>
          <w:szCs w:val="24"/>
          <w:highlight w:val="yellow"/>
        </w:rPr>
        <w:t xml:space="preserve"> of all questions</w:t>
      </w:r>
      <w:r w:rsidRPr="0016109E">
        <w:rPr>
          <w:rFonts w:ascii="Times New Roman" w:hAnsi="Times New Roman" w:cs="Times New Roman"/>
          <w:sz w:val="24"/>
          <w:szCs w:val="24"/>
          <w:highlight w:val="yellow"/>
        </w:rPr>
        <w:t>, and a large random sample that increased effort and duration were the study's limitations.</w:t>
      </w:r>
    </w:p>
    <w:p w14:paraId="6767EE78" w14:textId="150BA36B" w:rsidR="00154F24" w:rsidRPr="00302F44" w:rsidRDefault="00811FC3" w:rsidP="00302F44">
      <w:pPr>
        <w:spacing w:before="240" w:line="271" w:lineRule="auto"/>
        <w:jc w:val="both"/>
        <w:rPr>
          <w:rFonts w:ascii="Times New Roman" w:hAnsi="Times New Roman" w:cs="Times New Roman"/>
          <w:sz w:val="24"/>
          <w:szCs w:val="24"/>
        </w:rPr>
      </w:pPr>
      <w:r w:rsidRPr="00302F44">
        <w:rPr>
          <w:rFonts w:ascii="Times New Roman" w:hAnsi="Times New Roman" w:cs="Times New Roman"/>
          <w:b/>
          <w:sz w:val="24"/>
          <w:szCs w:val="24"/>
        </w:rPr>
        <w:t>4. CONCLUSION</w:t>
      </w:r>
      <w:bookmarkEnd w:id="26"/>
    </w:p>
    <w:p w14:paraId="1934724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This study provides the first large-scale assessment of human-monkey interactions in urban Bengaluru, revealing nuanced coexistence marked by widespread feeding, predominantly neutral tolerance, and moderate psychological disturbance. Food snatching emerged as the most frequent conflict, while disease transmission uncertainty highlighted a critical public health knowledge gap. Feeding and tolerance were positively linked, whereas disease concern reduced feeding likelihood. The strong association between tolerance and disturbance indicates that even tolerant attitudes remain vulnerable under sustained conflict.</w:t>
      </w:r>
    </w:p>
    <w:p w14:paraId="0C0FB002" w14:textId="77777777" w:rsidR="00154F2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Management preferences overwhelmingly </w:t>
      </w:r>
      <w:proofErr w:type="spellStart"/>
      <w:r w:rsidRPr="00302F44">
        <w:rPr>
          <w:rFonts w:ascii="Times New Roman" w:hAnsi="Times New Roman" w:cs="Times New Roman"/>
          <w:sz w:val="24"/>
          <w:szCs w:val="24"/>
        </w:rPr>
        <w:t>favoured</w:t>
      </w:r>
      <w:proofErr w:type="spellEnd"/>
      <w:r w:rsidRPr="00302F44">
        <w:rPr>
          <w:rFonts w:ascii="Times New Roman" w:hAnsi="Times New Roman" w:cs="Times New Roman"/>
          <w:sz w:val="24"/>
          <w:szCs w:val="24"/>
        </w:rPr>
        <w:t xml:space="preserve"> non-lethal approaches, with cultural values reinforcing resistance to culling. Effective management requires culturally sensitive, evidence-based strategies addressing both ecological and social dimensions.</w:t>
      </w:r>
    </w:p>
    <w:p w14:paraId="1D101550" w14:textId="77777777" w:rsidR="00691797" w:rsidRPr="00B31BD2" w:rsidRDefault="00691797" w:rsidP="00691797">
      <w:pPr>
        <w:pStyle w:val="NormalWeb"/>
        <w:rPr>
          <w:color w:val="000000" w:themeColor="text1"/>
        </w:rPr>
      </w:pPr>
      <w:r w:rsidRPr="00B31BD2">
        <w:rPr>
          <w:rStyle w:val="Strong"/>
          <w:color w:val="000000" w:themeColor="text1"/>
        </w:rPr>
        <w:t>Limitations and Future Research</w:t>
      </w:r>
    </w:p>
    <w:p w14:paraId="0D0E4E8B" w14:textId="499DF470" w:rsidR="00691797" w:rsidRPr="00B31BD2" w:rsidRDefault="00691797" w:rsidP="00691797">
      <w:pPr>
        <w:pStyle w:val="NormalWeb"/>
        <w:rPr>
          <w:color w:val="000000" w:themeColor="text1"/>
        </w:rPr>
      </w:pPr>
      <w:r w:rsidRPr="00B31BD2">
        <w:rPr>
          <w:color w:val="000000" w:themeColor="text1"/>
        </w:rPr>
        <w:t xml:space="preserve">This study has several limitations that should be acknowledged when interpreting the findings. First, data were collected through an online questionnaire distributed via Google Forms, which necessarily excluded residents with limited digital access or low literacy. Although responses were obtained from across the BBMP area and the sample size was large, the resulting sample is best understood as a voluntary, non-probability sample rather than a strictly random one, which may limit the generalizability of prevalence estimates and associations. Second, all variables relied on self-reported experiences of feeding, conflict, psychological disturbance and disease perceptions. Such data are vulnerable to recall bias and social desirability effects, particularly for sensitive behaviours such as provisioning or </w:t>
      </w:r>
      <w:r w:rsidR="001349E7" w:rsidRPr="00B31BD2">
        <w:rPr>
          <w:color w:val="000000" w:themeColor="text1"/>
        </w:rPr>
        <w:t xml:space="preserve">the </w:t>
      </w:r>
      <w:r w:rsidRPr="00B31BD2">
        <w:rPr>
          <w:color w:val="000000" w:themeColor="text1"/>
        </w:rPr>
        <w:t>use of deterrent methods. Third, the cross-sectional design provides a snapshot of human–monkey interactions but cannot capture seasonal variation or establish causal relationships between attitudes, behaviours and conflict outcomes. Finally, language constraints and ethical requirements against forcing completion of every item led to some missing data, reducing power for certain subgroup analyses.</w:t>
      </w:r>
    </w:p>
    <w:p w14:paraId="78E7F1F9" w14:textId="77777777" w:rsidR="00691797" w:rsidRPr="00B31BD2" w:rsidRDefault="00691797" w:rsidP="00691797">
      <w:pPr>
        <w:pStyle w:val="NormalWeb"/>
        <w:rPr>
          <w:color w:val="000000" w:themeColor="text1"/>
        </w:rPr>
      </w:pPr>
      <w:r w:rsidRPr="00B31BD2">
        <w:rPr>
          <w:color w:val="000000" w:themeColor="text1"/>
        </w:rPr>
        <w:t xml:space="preserve">Future research should address these limitations through more diverse and rigorous designs. Mixed-method approaches that combine structured surveys with in-depth qualitative interviews would provide richer insights into cultural motivations, risk perceptions and moral reasoning around feeding. Longitudinal or repeated cross-sectional studies could track how conflict patterns and tolerance levels evolve in response to urban change and management interventions. Integrating ecological and epidemiological components—such as systematic behavioural observations, spatial mapping of hotspots and targeted health surveillance—would strengthen inferences about links between human practices, macaque behaviour and zoonotic risk. Comparative studies across Indian cities, and between different primate species, would further illuminate how local governance, </w:t>
      </w:r>
      <w:r w:rsidRPr="00B31BD2">
        <w:rPr>
          <w:color w:val="000000" w:themeColor="text1"/>
        </w:rPr>
        <w:lastRenderedPageBreak/>
        <w:t>urban form and cultural context shape the prospects for sustainable human–monkey coexistence.</w:t>
      </w:r>
    </w:p>
    <w:p w14:paraId="6A5CE61E" w14:textId="77777777" w:rsidR="00691797" w:rsidRPr="00B31BD2" w:rsidRDefault="00691797" w:rsidP="00302F44">
      <w:pPr>
        <w:spacing w:after="210"/>
        <w:jc w:val="both"/>
        <w:rPr>
          <w:rFonts w:ascii="Times New Roman" w:hAnsi="Times New Roman" w:cs="Times New Roman"/>
          <w:color w:val="000000" w:themeColor="text1"/>
          <w:sz w:val="24"/>
          <w:szCs w:val="24"/>
        </w:rPr>
      </w:pPr>
    </w:p>
    <w:p w14:paraId="50DFFD64" w14:textId="4C9F0669" w:rsidR="00154F24" w:rsidRPr="00B31BD2" w:rsidRDefault="00811FC3" w:rsidP="00302F44">
      <w:pPr>
        <w:pStyle w:val="ListParagraph"/>
        <w:numPr>
          <w:ilvl w:val="1"/>
          <w:numId w:val="2"/>
        </w:numPr>
        <w:spacing w:before="240" w:line="271" w:lineRule="auto"/>
        <w:jc w:val="both"/>
        <w:rPr>
          <w:rFonts w:ascii="Times New Roman" w:hAnsi="Times New Roman" w:cs="Times New Roman"/>
          <w:color w:val="000000" w:themeColor="text1"/>
          <w:sz w:val="24"/>
          <w:szCs w:val="24"/>
        </w:rPr>
      </w:pPr>
      <w:bookmarkStart w:id="27" w:name="bm_4_1_policy_recommendations"/>
      <w:r w:rsidRPr="00B31BD2">
        <w:rPr>
          <w:rFonts w:ascii="Times New Roman" w:hAnsi="Times New Roman" w:cs="Times New Roman"/>
          <w:b/>
          <w:color w:val="000000" w:themeColor="text1"/>
          <w:sz w:val="24"/>
          <w:szCs w:val="24"/>
        </w:rPr>
        <w:t>Policy Recommendations</w:t>
      </w:r>
      <w:bookmarkEnd w:id="27"/>
    </w:p>
    <w:p w14:paraId="57E899BE" w14:textId="44BAB426" w:rsidR="00691797" w:rsidRPr="00B31BD2" w:rsidRDefault="00691797" w:rsidP="00691797">
      <w:pPr>
        <w:spacing w:before="240" w:line="271" w:lineRule="auto"/>
        <w:jc w:val="both"/>
        <w:rPr>
          <w:rFonts w:ascii="Times New Roman" w:hAnsi="Times New Roman" w:cs="Times New Roman"/>
          <w:bCs/>
          <w:color w:val="000000" w:themeColor="text1"/>
          <w:sz w:val="24"/>
          <w:szCs w:val="24"/>
        </w:rPr>
      </w:pPr>
      <w:bookmarkStart w:id="28" w:name="ethical_approval"/>
      <w:r w:rsidRPr="00B31BD2">
        <w:rPr>
          <w:rFonts w:ascii="Times New Roman" w:hAnsi="Times New Roman" w:cs="Times New Roman"/>
          <w:bCs/>
          <w:color w:val="000000" w:themeColor="text1"/>
          <w:sz w:val="24"/>
          <w:szCs w:val="24"/>
        </w:rPr>
        <w:t xml:space="preserve">Policy responses to human–monkey interactions in Bengaluru should </w:t>
      </w:r>
      <w:proofErr w:type="spellStart"/>
      <w:r w:rsidRPr="00B31BD2">
        <w:rPr>
          <w:rFonts w:ascii="Times New Roman" w:hAnsi="Times New Roman" w:cs="Times New Roman"/>
          <w:bCs/>
          <w:color w:val="000000" w:themeColor="text1"/>
          <w:sz w:val="24"/>
          <w:szCs w:val="24"/>
        </w:rPr>
        <w:t>prioritise</w:t>
      </w:r>
      <w:proofErr w:type="spellEnd"/>
      <w:r w:rsidRPr="00B31BD2">
        <w:rPr>
          <w:rFonts w:ascii="Times New Roman" w:hAnsi="Times New Roman" w:cs="Times New Roman"/>
          <w:bCs/>
          <w:color w:val="000000" w:themeColor="text1"/>
          <w:sz w:val="24"/>
          <w:szCs w:val="24"/>
        </w:rPr>
        <w:t xml:space="preserve"> a combination of risk communication, </w:t>
      </w:r>
      <w:proofErr w:type="spellStart"/>
      <w:r w:rsidRPr="00B31BD2">
        <w:rPr>
          <w:rFonts w:ascii="Times New Roman" w:hAnsi="Times New Roman" w:cs="Times New Roman"/>
          <w:bCs/>
          <w:color w:val="000000" w:themeColor="text1"/>
          <w:sz w:val="24"/>
          <w:szCs w:val="24"/>
        </w:rPr>
        <w:t>behaviour</w:t>
      </w:r>
      <w:proofErr w:type="spellEnd"/>
      <w:r w:rsidRPr="00B31BD2">
        <w:rPr>
          <w:rFonts w:ascii="Times New Roman" w:hAnsi="Times New Roman" w:cs="Times New Roman"/>
          <w:bCs/>
          <w:color w:val="000000" w:themeColor="text1"/>
          <w:sz w:val="24"/>
          <w:szCs w:val="24"/>
        </w:rPr>
        <w:t xml:space="preserve"> change and urban planning measures that are sensitive to local cultural values. Targeted education on zoonotic risks, delivered through culturally trusted channels such as religious institutions, schools, resident associations and health workers, can correct misconceptions about disease transmission while avoiding the alienation of communities that value macaques. Rather than blanket feeding bans that are likely to be culturally unacceptable and difficult to enforce, context-specific feeding regulations should be developed around identified hotspots (e.g., temples, markets, waste-dump areas), balancing animal welfare considerations, public safety and religious practices. Clear signage, designated feeding zones where appropriate and the regulation of food waste around residential and commercial complexes can help reduce risky, opportunistic contact.</w:t>
      </w:r>
    </w:p>
    <w:p w14:paraId="753FBEC9" w14:textId="115EE6F7" w:rsidR="00A33463" w:rsidRPr="00B31BD2" w:rsidRDefault="00691797" w:rsidP="00691797">
      <w:pPr>
        <w:spacing w:before="240" w:line="271" w:lineRule="auto"/>
        <w:jc w:val="both"/>
        <w:rPr>
          <w:rFonts w:ascii="Times New Roman" w:hAnsi="Times New Roman" w:cs="Times New Roman"/>
          <w:bCs/>
          <w:color w:val="000000" w:themeColor="text1"/>
          <w:sz w:val="24"/>
          <w:szCs w:val="24"/>
        </w:rPr>
      </w:pPr>
      <w:r w:rsidRPr="00B31BD2">
        <w:rPr>
          <w:rFonts w:ascii="Times New Roman" w:hAnsi="Times New Roman" w:cs="Times New Roman"/>
          <w:bCs/>
          <w:color w:val="000000" w:themeColor="text1"/>
          <w:sz w:val="24"/>
          <w:szCs w:val="24"/>
        </w:rPr>
        <w:t xml:space="preserve">Complementary measures are needed at the household and city-planning levels. Targeted financial or technical support for installing monkey-proof storage, grills or nets would assist economically disadvantaged households facing recurrent medium to high property damage, and reduce the perceived need for harmful deterrents. Integrating habitat corridors, green buffers and canopy connectivity into urban planning can reduce forced spatial overlap and provide alternative foraging opportunities for macaques away from dense residential cores. Given that macaques rapidly learn and adapt to deterrent methods, management should follow an adaptive framework that monitors </w:t>
      </w:r>
      <w:proofErr w:type="spellStart"/>
      <w:r w:rsidRPr="00B31BD2">
        <w:rPr>
          <w:rFonts w:ascii="Times New Roman" w:hAnsi="Times New Roman" w:cs="Times New Roman"/>
          <w:bCs/>
          <w:color w:val="000000" w:themeColor="text1"/>
          <w:sz w:val="24"/>
          <w:szCs w:val="24"/>
        </w:rPr>
        <w:t>behavioural</w:t>
      </w:r>
      <w:proofErr w:type="spellEnd"/>
      <w:r w:rsidRPr="00B31BD2">
        <w:rPr>
          <w:rFonts w:ascii="Times New Roman" w:hAnsi="Times New Roman" w:cs="Times New Roman"/>
          <w:bCs/>
          <w:color w:val="000000" w:themeColor="text1"/>
          <w:sz w:val="24"/>
          <w:szCs w:val="24"/>
        </w:rPr>
        <w:t xml:space="preserve"> responses and iteratively refines interventions. Finally, participatory engagement with residents, temple authorities, conservation practitioners and municipal agencies is essential to build social legitimacy for management actions and ensure that policy design is informed by the diverse values, fears and expectations of urban communities.</w:t>
      </w:r>
    </w:p>
    <w:p w14:paraId="21B019F2" w14:textId="49DC7687" w:rsidR="00154F24" w:rsidRPr="00302F44" w:rsidRDefault="00811FC3" w:rsidP="00302F44">
      <w:pPr>
        <w:spacing w:before="240" w:line="271" w:lineRule="auto"/>
        <w:jc w:val="both"/>
        <w:rPr>
          <w:rFonts w:ascii="Times New Roman" w:hAnsi="Times New Roman" w:cs="Times New Roman"/>
          <w:sz w:val="24"/>
          <w:szCs w:val="24"/>
        </w:rPr>
      </w:pPr>
      <w:r w:rsidRPr="00302F44">
        <w:rPr>
          <w:rFonts w:ascii="Times New Roman" w:hAnsi="Times New Roman" w:cs="Times New Roman"/>
          <w:b/>
          <w:sz w:val="24"/>
          <w:szCs w:val="24"/>
        </w:rPr>
        <w:t>ETHICAL APPROVAL</w:t>
      </w:r>
      <w:bookmarkEnd w:id="28"/>
      <w:r w:rsidR="00B31BD2">
        <w:rPr>
          <w:rFonts w:ascii="Times New Roman" w:hAnsi="Times New Roman" w:cs="Times New Roman"/>
          <w:b/>
          <w:sz w:val="24"/>
          <w:szCs w:val="24"/>
        </w:rPr>
        <w:t xml:space="preserve"> and Consent:</w:t>
      </w:r>
    </w:p>
    <w:p w14:paraId="7BE02410" w14:textId="7FC96AC9" w:rsidR="00154F2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All surveys were completely anonymous with no personal identifying information collected or stored. Participation was voluntary</w:t>
      </w:r>
      <w:r w:rsidR="00BC3A3E">
        <w:rPr>
          <w:rFonts w:ascii="Times New Roman" w:hAnsi="Times New Roman" w:cs="Times New Roman"/>
          <w:sz w:val="24"/>
          <w:szCs w:val="24"/>
        </w:rPr>
        <w:t>,</w:t>
      </w:r>
      <w:r w:rsidRPr="00302F44">
        <w:rPr>
          <w:rFonts w:ascii="Times New Roman" w:hAnsi="Times New Roman" w:cs="Times New Roman"/>
          <w:sz w:val="24"/>
          <w:szCs w:val="24"/>
        </w:rPr>
        <w:t xml:space="preserve"> with implicit consent indicated through survey completion. The study followed ethical research standards for human </w:t>
      </w:r>
      <w:r w:rsidR="00BC3A3E" w:rsidRPr="00302F44">
        <w:rPr>
          <w:rFonts w:ascii="Times New Roman" w:hAnsi="Times New Roman" w:cs="Times New Roman"/>
          <w:sz w:val="24"/>
          <w:szCs w:val="24"/>
        </w:rPr>
        <w:t>subject’s</w:t>
      </w:r>
      <w:r w:rsidRPr="00302F44">
        <w:rPr>
          <w:rFonts w:ascii="Times New Roman" w:hAnsi="Times New Roman" w:cs="Times New Roman"/>
          <w:sz w:val="24"/>
          <w:szCs w:val="24"/>
        </w:rPr>
        <w:t xml:space="preserve"> research. All authors declare that ethical principles of human </w:t>
      </w:r>
      <w:r w:rsidR="00F25B23">
        <w:rPr>
          <w:rFonts w:ascii="Times New Roman" w:hAnsi="Times New Roman" w:cs="Times New Roman"/>
          <w:sz w:val="24"/>
          <w:szCs w:val="24"/>
        </w:rPr>
        <w:t>subjects’</w:t>
      </w:r>
      <w:r w:rsidRPr="00302F44">
        <w:rPr>
          <w:rFonts w:ascii="Times New Roman" w:hAnsi="Times New Roman" w:cs="Times New Roman"/>
          <w:sz w:val="24"/>
          <w:szCs w:val="24"/>
        </w:rPr>
        <w:t xml:space="preserve"> research were followed, protecting participant privacy and ensuring informed voluntary participation.</w:t>
      </w:r>
    </w:p>
    <w:p w14:paraId="1F0E1B30" w14:textId="0CC89A62" w:rsidR="000F0659" w:rsidRPr="00B31BD2" w:rsidRDefault="000F0659" w:rsidP="000F0659">
      <w:pPr>
        <w:rPr>
          <w:rFonts w:ascii="Times New Roman" w:hAnsi="Times New Roman" w:cs="Times New Roman"/>
          <w:b/>
        </w:rPr>
      </w:pPr>
      <w:r w:rsidRPr="00B31BD2">
        <w:rPr>
          <w:rFonts w:ascii="Times New Roman" w:hAnsi="Times New Roman" w:cs="Times New Roman"/>
          <w:b/>
        </w:rPr>
        <w:t>Disclaimer (Artificial intelligence)</w:t>
      </w:r>
    </w:p>
    <w:p w14:paraId="07857A6F" w14:textId="06786D80" w:rsidR="000F0659" w:rsidRPr="00F25B23" w:rsidRDefault="000F0659" w:rsidP="00F25B23">
      <w:pPr>
        <w:rPr>
          <w:rFonts w:ascii="Times New Roman" w:hAnsi="Times New Roman" w:cs="Times New Roman"/>
        </w:rPr>
      </w:pPr>
      <w:r w:rsidRPr="00F25B23">
        <w:rPr>
          <w:rFonts w:ascii="Times New Roman" w:hAnsi="Times New Roman" w:cs="Times New Roman"/>
        </w:rPr>
        <w:t xml:space="preserve">Author(s) hereby </w:t>
      </w:r>
      <w:r w:rsidR="00F25B23">
        <w:rPr>
          <w:rFonts w:ascii="Times New Roman" w:hAnsi="Times New Roman" w:cs="Times New Roman"/>
        </w:rPr>
        <w:t>declare</w:t>
      </w:r>
      <w:r w:rsidRPr="00F25B23">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r w:rsidR="00F25B23">
        <w:rPr>
          <w:rFonts w:ascii="Times New Roman" w:hAnsi="Times New Roman" w:cs="Times New Roman"/>
        </w:rPr>
        <w:t xml:space="preserve"> The application Grammarly was used for grammar checking and spelling errors.</w:t>
      </w:r>
    </w:p>
    <w:p w14:paraId="60D48122" w14:textId="77777777" w:rsidR="00154F24" w:rsidRPr="00302F44" w:rsidRDefault="00811FC3" w:rsidP="00302F44">
      <w:pPr>
        <w:spacing w:before="240" w:line="271" w:lineRule="auto"/>
        <w:jc w:val="both"/>
        <w:rPr>
          <w:rFonts w:ascii="Times New Roman" w:hAnsi="Times New Roman" w:cs="Times New Roman"/>
          <w:sz w:val="24"/>
          <w:szCs w:val="24"/>
        </w:rPr>
      </w:pPr>
      <w:bookmarkStart w:id="29" w:name="references"/>
      <w:r w:rsidRPr="00302F44">
        <w:rPr>
          <w:rFonts w:ascii="Times New Roman" w:hAnsi="Times New Roman" w:cs="Times New Roman"/>
          <w:b/>
          <w:sz w:val="24"/>
          <w:szCs w:val="24"/>
        </w:rPr>
        <w:lastRenderedPageBreak/>
        <w:t>REFERENCES</w:t>
      </w:r>
      <w:bookmarkEnd w:id="29"/>
    </w:p>
    <w:p w14:paraId="7A411747" w14:textId="5F7DAFCD" w:rsidR="0066197B" w:rsidRDefault="0066197B" w:rsidP="00302F44">
      <w:pPr>
        <w:spacing w:after="210"/>
        <w:jc w:val="both"/>
        <w:rPr>
          <w:rFonts w:ascii="Times New Roman" w:eastAsia="Georgia" w:hAnsi="Times New Roman" w:cs="Times New Roman"/>
          <w:sz w:val="24"/>
          <w:szCs w:val="24"/>
        </w:rPr>
      </w:pPr>
      <w:r w:rsidRPr="0066197B">
        <w:rPr>
          <w:rFonts w:ascii="Times New Roman" w:eastAsia="Georgia" w:hAnsi="Times New Roman" w:cs="Times New Roman"/>
          <w:sz w:val="24"/>
          <w:szCs w:val="24"/>
        </w:rPr>
        <w:t xml:space="preserve">Agustina KK, </w:t>
      </w:r>
      <w:proofErr w:type="spellStart"/>
      <w:r w:rsidRPr="0066197B">
        <w:rPr>
          <w:rFonts w:ascii="Times New Roman" w:eastAsia="Georgia" w:hAnsi="Times New Roman" w:cs="Times New Roman"/>
          <w:sz w:val="24"/>
          <w:szCs w:val="24"/>
        </w:rPr>
        <w:t>Sukada</w:t>
      </w:r>
      <w:proofErr w:type="spellEnd"/>
      <w:r w:rsidRPr="0066197B">
        <w:rPr>
          <w:rFonts w:ascii="Times New Roman" w:eastAsia="Georgia" w:hAnsi="Times New Roman" w:cs="Times New Roman"/>
          <w:sz w:val="24"/>
          <w:szCs w:val="24"/>
        </w:rPr>
        <w:t xml:space="preserve"> IM, </w:t>
      </w:r>
      <w:proofErr w:type="spellStart"/>
      <w:r w:rsidRPr="0066197B">
        <w:rPr>
          <w:rFonts w:ascii="Times New Roman" w:eastAsia="Georgia" w:hAnsi="Times New Roman" w:cs="Times New Roman"/>
          <w:sz w:val="24"/>
          <w:szCs w:val="24"/>
        </w:rPr>
        <w:t>Sibang</w:t>
      </w:r>
      <w:proofErr w:type="spellEnd"/>
      <w:r w:rsidRPr="0066197B">
        <w:rPr>
          <w:rFonts w:ascii="Times New Roman" w:eastAsia="Georgia" w:hAnsi="Times New Roman" w:cs="Times New Roman"/>
          <w:sz w:val="24"/>
          <w:szCs w:val="24"/>
        </w:rPr>
        <w:t xml:space="preserve"> NAAN, Tenaya IWM, </w:t>
      </w:r>
      <w:proofErr w:type="spellStart"/>
      <w:r w:rsidRPr="0066197B">
        <w:rPr>
          <w:rFonts w:ascii="Times New Roman" w:eastAsia="Georgia" w:hAnsi="Times New Roman" w:cs="Times New Roman"/>
          <w:sz w:val="24"/>
          <w:szCs w:val="24"/>
        </w:rPr>
        <w:t>Mufa</w:t>
      </w:r>
      <w:proofErr w:type="spellEnd"/>
      <w:r w:rsidRPr="0066197B">
        <w:rPr>
          <w:rFonts w:ascii="Times New Roman" w:eastAsia="Georgia" w:hAnsi="Times New Roman" w:cs="Times New Roman"/>
          <w:sz w:val="24"/>
          <w:szCs w:val="24"/>
        </w:rPr>
        <w:t xml:space="preserve"> RMD, </w:t>
      </w:r>
      <w:proofErr w:type="spellStart"/>
      <w:r w:rsidRPr="0066197B">
        <w:rPr>
          <w:rFonts w:ascii="Times New Roman" w:eastAsia="Georgia" w:hAnsi="Times New Roman" w:cs="Times New Roman"/>
          <w:sz w:val="24"/>
          <w:szCs w:val="24"/>
        </w:rPr>
        <w:t>Wardhana</w:t>
      </w:r>
      <w:proofErr w:type="spellEnd"/>
      <w:r w:rsidRPr="0066197B">
        <w:rPr>
          <w:rFonts w:ascii="Times New Roman" w:eastAsia="Georgia" w:hAnsi="Times New Roman" w:cs="Times New Roman"/>
          <w:sz w:val="24"/>
          <w:szCs w:val="24"/>
        </w:rPr>
        <w:t xml:space="preserve"> AH, </w:t>
      </w:r>
      <w:proofErr w:type="spellStart"/>
      <w:r w:rsidRPr="0066197B">
        <w:rPr>
          <w:rFonts w:ascii="Times New Roman" w:eastAsia="Georgia" w:hAnsi="Times New Roman" w:cs="Times New Roman"/>
          <w:sz w:val="24"/>
          <w:szCs w:val="24"/>
        </w:rPr>
        <w:t>Sawitri</w:t>
      </w:r>
      <w:proofErr w:type="spellEnd"/>
      <w:r w:rsidRPr="0066197B">
        <w:rPr>
          <w:rFonts w:ascii="Times New Roman" w:eastAsia="Georgia" w:hAnsi="Times New Roman" w:cs="Times New Roman"/>
          <w:sz w:val="24"/>
          <w:szCs w:val="24"/>
        </w:rPr>
        <w:t xml:space="preserve"> DH, </w:t>
      </w:r>
      <w:proofErr w:type="spellStart"/>
      <w:r w:rsidRPr="0066197B">
        <w:rPr>
          <w:rFonts w:ascii="Times New Roman" w:eastAsia="Georgia" w:hAnsi="Times New Roman" w:cs="Times New Roman"/>
          <w:sz w:val="24"/>
          <w:szCs w:val="24"/>
        </w:rPr>
        <w:t>Matsubayashi</w:t>
      </w:r>
      <w:proofErr w:type="spellEnd"/>
      <w:r w:rsidRPr="0066197B">
        <w:rPr>
          <w:rFonts w:ascii="Times New Roman" w:eastAsia="Georgia" w:hAnsi="Times New Roman" w:cs="Times New Roman"/>
          <w:sz w:val="24"/>
          <w:szCs w:val="24"/>
        </w:rPr>
        <w:t xml:space="preserve"> M and Oka IBM, </w:t>
      </w:r>
      <w:r>
        <w:rPr>
          <w:rFonts w:ascii="Times New Roman" w:eastAsia="Georgia" w:hAnsi="Times New Roman" w:cs="Times New Roman"/>
          <w:sz w:val="24"/>
          <w:szCs w:val="24"/>
        </w:rPr>
        <w:t>(</w:t>
      </w:r>
      <w:r w:rsidRPr="0066197B">
        <w:rPr>
          <w:rFonts w:ascii="Times New Roman" w:eastAsia="Georgia" w:hAnsi="Times New Roman" w:cs="Times New Roman"/>
          <w:sz w:val="24"/>
          <w:szCs w:val="24"/>
        </w:rPr>
        <w:t>2025</w:t>
      </w:r>
      <w:r>
        <w:rPr>
          <w:rFonts w:ascii="Times New Roman" w:eastAsia="Georgia" w:hAnsi="Times New Roman" w:cs="Times New Roman"/>
          <w:sz w:val="24"/>
          <w:szCs w:val="24"/>
        </w:rPr>
        <w:t>)</w:t>
      </w:r>
      <w:r w:rsidRPr="0066197B">
        <w:rPr>
          <w:rFonts w:ascii="Times New Roman" w:eastAsia="Georgia" w:hAnsi="Times New Roman" w:cs="Times New Roman"/>
          <w:sz w:val="24"/>
          <w:szCs w:val="24"/>
        </w:rPr>
        <w:t xml:space="preserve">. Gastrointestinal parasites in Bali’s long-tailed macaque (Macaca fascicularis): A zoonotic and public health concern. International Journal of Veterinary Science 14(4): 763-770. https://doi.org/10.47278/journal.ijvs/2025.022  </w:t>
      </w:r>
    </w:p>
    <w:p w14:paraId="536AD0FD" w14:textId="319D5F28"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Basak, S. M., Hossain, M. S., O'Mahony, D. T., Okarma, H., Widera, E., &amp; Wierzbowska, I. A. (2022). Public perceptions and attitudes toward urban wildlife encounters—A decade of change. </w:t>
      </w:r>
      <w:r w:rsidRPr="00302F44">
        <w:rPr>
          <w:rFonts w:ascii="Times New Roman" w:hAnsi="Times New Roman" w:cs="Times New Roman"/>
          <w:i/>
          <w:sz w:val="24"/>
          <w:szCs w:val="24"/>
        </w:rPr>
        <w:t>Science of the Total Environment</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834</w:t>
      </w:r>
      <w:r w:rsidRPr="00302F44">
        <w:rPr>
          <w:rFonts w:ascii="Times New Roman" w:hAnsi="Times New Roman" w:cs="Times New Roman"/>
          <w:sz w:val="24"/>
          <w:szCs w:val="24"/>
        </w:rPr>
        <w:t xml:space="preserve">, Article 155603. </w:t>
      </w:r>
      <w:hyperlink r:id="rId7">
        <w:r w:rsidRPr="00302F44">
          <w:rPr>
            <w:rFonts w:ascii="Times New Roman" w:hAnsi="Times New Roman" w:cs="Times New Roman"/>
            <w:color w:val="4472C4"/>
            <w:sz w:val="24"/>
            <w:szCs w:val="24"/>
          </w:rPr>
          <w:t>https://doi.org/10.1016/j.scitotenv.2022.155603</w:t>
        </w:r>
      </w:hyperlink>
    </w:p>
    <w:p w14:paraId="43E0595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Bhaskaran, V., &amp; Nilon, C. H. (2025). Exploring perceptions and attitudes towards wildlife in urban home gardens in Bengaluru, India. </w:t>
      </w:r>
      <w:r w:rsidRPr="00302F44">
        <w:rPr>
          <w:rFonts w:ascii="Times New Roman" w:hAnsi="Times New Roman" w:cs="Times New Roman"/>
          <w:i/>
          <w:sz w:val="24"/>
          <w:szCs w:val="24"/>
        </w:rPr>
        <w:t>Urban Ecosystems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28</w:t>
      </w:r>
      <w:r w:rsidRPr="00302F44">
        <w:rPr>
          <w:rFonts w:ascii="Times New Roman" w:hAnsi="Times New Roman" w:cs="Times New Roman"/>
          <w:sz w:val="24"/>
          <w:szCs w:val="24"/>
        </w:rPr>
        <w:t xml:space="preserve">, 107. </w:t>
      </w:r>
      <w:hyperlink r:id="rId8">
        <w:r w:rsidRPr="00302F44">
          <w:rPr>
            <w:rFonts w:ascii="Times New Roman" w:hAnsi="Times New Roman" w:cs="Times New Roman"/>
            <w:color w:val="4472C4"/>
            <w:sz w:val="24"/>
            <w:szCs w:val="24"/>
          </w:rPr>
          <w:t>https://doi.org/10.1007/s11252-025-01723-5</w:t>
        </w:r>
      </w:hyperlink>
    </w:p>
    <w:p w14:paraId="10D154BA"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Bhogadi</w:t>
      </w:r>
      <w:proofErr w:type="spellEnd"/>
      <w:r w:rsidRPr="00302F44">
        <w:rPr>
          <w:rFonts w:ascii="Times New Roman" w:hAnsi="Times New Roman" w:cs="Times New Roman"/>
          <w:sz w:val="24"/>
          <w:szCs w:val="24"/>
        </w:rPr>
        <w:t xml:space="preserve">, N. K. N., &amp; </w:t>
      </w:r>
      <w:proofErr w:type="spellStart"/>
      <w:r w:rsidRPr="00302F44">
        <w:rPr>
          <w:rFonts w:ascii="Times New Roman" w:hAnsi="Times New Roman" w:cs="Times New Roman"/>
          <w:sz w:val="24"/>
          <w:szCs w:val="24"/>
        </w:rPr>
        <w:t>Chundeli</w:t>
      </w:r>
      <w:proofErr w:type="spellEnd"/>
      <w:r w:rsidRPr="00302F44">
        <w:rPr>
          <w:rFonts w:ascii="Times New Roman" w:hAnsi="Times New Roman" w:cs="Times New Roman"/>
          <w:sz w:val="24"/>
          <w:szCs w:val="24"/>
        </w:rPr>
        <w:t xml:space="preserve">, F. A. (2023). Assessing LULC changes and LST through NDVI and NDBI spatial indicators: A case of Bengaluru, India. </w:t>
      </w:r>
      <w:proofErr w:type="spellStart"/>
      <w:r w:rsidRPr="00302F44">
        <w:rPr>
          <w:rFonts w:ascii="Times New Roman" w:hAnsi="Times New Roman" w:cs="Times New Roman"/>
          <w:i/>
          <w:sz w:val="24"/>
          <w:szCs w:val="24"/>
        </w:rPr>
        <w:t>GeoJournal</w:t>
      </w:r>
      <w:proofErr w:type="spellEnd"/>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88</w:t>
      </w:r>
      <w:r w:rsidRPr="00302F44">
        <w:rPr>
          <w:rFonts w:ascii="Times New Roman" w:hAnsi="Times New Roman" w:cs="Times New Roman"/>
          <w:sz w:val="24"/>
          <w:szCs w:val="24"/>
        </w:rPr>
        <w:t xml:space="preserve">, 1--16. </w:t>
      </w:r>
      <w:hyperlink r:id="rId9">
        <w:r w:rsidRPr="00302F44">
          <w:rPr>
            <w:rFonts w:ascii="Times New Roman" w:hAnsi="Times New Roman" w:cs="Times New Roman"/>
            <w:color w:val="4472C4"/>
            <w:sz w:val="24"/>
            <w:szCs w:val="24"/>
          </w:rPr>
          <w:t>https://doi.org/10.1007/s10708-023-10862-1</w:t>
        </w:r>
      </w:hyperlink>
    </w:p>
    <w:p w14:paraId="49AC146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Bjerke, T., &amp; </w:t>
      </w:r>
      <w:proofErr w:type="spellStart"/>
      <w:r w:rsidRPr="00302F44">
        <w:rPr>
          <w:rFonts w:ascii="Times New Roman" w:eastAsia="Georgia" w:hAnsi="Times New Roman" w:cs="Times New Roman"/>
          <w:sz w:val="24"/>
          <w:szCs w:val="24"/>
        </w:rPr>
        <w:t>Østdahl</w:t>
      </w:r>
      <w:proofErr w:type="spellEnd"/>
      <w:r w:rsidRPr="00302F44">
        <w:rPr>
          <w:rFonts w:ascii="Times New Roman" w:eastAsia="Georgia" w:hAnsi="Times New Roman" w:cs="Times New Roman"/>
          <w:sz w:val="24"/>
          <w:szCs w:val="24"/>
        </w:rPr>
        <w:t xml:space="preserve">, T. (2004). Animal-related attitudes and activities in an urban population. </w:t>
      </w:r>
      <w:proofErr w:type="spellStart"/>
      <w:r w:rsidRPr="00302F44">
        <w:rPr>
          <w:rFonts w:ascii="Times New Roman" w:hAnsi="Times New Roman" w:cs="Times New Roman"/>
          <w:i/>
          <w:sz w:val="24"/>
          <w:szCs w:val="24"/>
        </w:rPr>
        <w:t>Anthrozoös</w:t>
      </w:r>
      <w:proofErr w:type="spellEnd"/>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17</w:t>
      </w:r>
      <w:r w:rsidRPr="00302F44">
        <w:rPr>
          <w:rFonts w:ascii="Times New Roman" w:hAnsi="Times New Roman" w:cs="Times New Roman"/>
          <w:sz w:val="24"/>
          <w:szCs w:val="24"/>
        </w:rPr>
        <w:t xml:space="preserve">(2), 109--129. </w:t>
      </w:r>
      <w:hyperlink r:id="rId10">
        <w:r w:rsidRPr="00302F44">
          <w:rPr>
            <w:rFonts w:ascii="Times New Roman" w:hAnsi="Times New Roman" w:cs="Times New Roman"/>
            <w:color w:val="4472C4"/>
            <w:sz w:val="24"/>
            <w:szCs w:val="24"/>
          </w:rPr>
          <w:t>https://doi.org/10.2752/089279304786991783</w:t>
        </w:r>
      </w:hyperlink>
    </w:p>
    <w:p w14:paraId="69985D8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Census of India. (2011). </w:t>
      </w:r>
      <w:r w:rsidRPr="00302F44">
        <w:rPr>
          <w:rFonts w:ascii="Times New Roman" w:hAnsi="Times New Roman" w:cs="Times New Roman"/>
          <w:i/>
          <w:sz w:val="24"/>
          <w:szCs w:val="24"/>
        </w:rPr>
        <w:t>Census of India 2011: Provisional population totals</w:t>
      </w:r>
      <w:r w:rsidRPr="00302F44">
        <w:rPr>
          <w:rFonts w:ascii="Times New Roman" w:hAnsi="Times New Roman" w:cs="Times New Roman"/>
          <w:sz w:val="24"/>
          <w:szCs w:val="24"/>
        </w:rPr>
        <w:t>. Office of the Registrar General and Census Commissioner, India, Ministry of Home Affairs, Government of India.</w:t>
      </w:r>
    </w:p>
    <w:p w14:paraId="154A072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Chakravarthy, A. K., &amp; </w:t>
      </w:r>
      <w:proofErr w:type="spellStart"/>
      <w:r w:rsidRPr="00302F44">
        <w:rPr>
          <w:rFonts w:ascii="Times New Roman" w:hAnsi="Times New Roman" w:cs="Times New Roman"/>
          <w:sz w:val="24"/>
          <w:szCs w:val="24"/>
        </w:rPr>
        <w:t>Thyagaraj</w:t>
      </w:r>
      <w:proofErr w:type="spellEnd"/>
      <w:r w:rsidRPr="00302F44">
        <w:rPr>
          <w:rFonts w:ascii="Times New Roman" w:hAnsi="Times New Roman" w:cs="Times New Roman"/>
          <w:sz w:val="24"/>
          <w:szCs w:val="24"/>
        </w:rPr>
        <w:t>, K. S. (2005). Coexistence of bonnet macaques (</w:t>
      </w:r>
      <w:r w:rsidRPr="00302F44">
        <w:rPr>
          <w:rFonts w:ascii="Times New Roman" w:hAnsi="Times New Roman" w:cs="Times New Roman"/>
          <w:i/>
          <w:sz w:val="24"/>
          <w:szCs w:val="24"/>
        </w:rPr>
        <w:t>Macaca radiata</w:t>
      </w:r>
      <w:r w:rsidRPr="00302F44">
        <w:rPr>
          <w:rFonts w:ascii="Times New Roman" w:hAnsi="Times New Roman" w:cs="Times New Roman"/>
          <w:sz w:val="24"/>
          <w:szCs w:val="24"/>
        </w:rPr>
        <w:t xml:space="preserve">) with humans in urban and semi-urban environments in Karnataka, India. </w:t>
      </w:r>
      <w:r w:rsidRPr="00302F44">
        <w:rPr>
          <w:rFonts w:ascii="Times New Roman" w:hAnsi="Times New Roman" w:cs="Times New Roman"/>
          <w:i/>
          <w:sz w:val="24"/>
          <w:szCs w:val="24"/>
        </w:rPr>
        <w:t>Primate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20</w:t>
      </w:r>
      <w:r w:rsidRPr="00302F44">
        <w:rPr>
          <w:rFonts w:ascii="Times New Roman" w:hAnsi="Times New Roman" w:cs="Times New Roman"/>
          <w:sz w:val="24"/>
          <w:szCs w:val="24"/>
        </w:rPr>
        <w:t>, 109--114.</w:t>
      </w:r>
    </w:p>
    <w:p w14:paraId="540017BD"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Chaturvedi, S. K., &amp; Mishra, M. K. (2014). Study of man-monkey conflict and its management in Chitrakoot, Madhya Pradesh, India. </w:t>
      </w:r>
      <w:r w:rsidRPr="00302F44">
        <w:rPr>
          <w:rFonts w:ascii="Times New Roman" w:hAnsi="Times New Roman" w:cs="Times New Roman"/>
          <w:i/>
          <w:sz w:val="24"/>
          <w:szCs w:val="24"/>
        </w:rPr>
        <w:t>International Journal of Global Science Research</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w:t>
      </w:r>
      <w:r w:rsidRPr="00302F44">
        <w:rPr>
          <w:rFonts w:ascii="Times New Roman" w:hAnsi="Times New Roman" w:cs="Times New Roman"/>
          <w:sz w:val="24"/>
          <w:szCs w:val="24"/>
        </w:rPr>
        <w:t>(2), 107--110.</w:t>
      </w:r>
    </w:p>
    <w:p w14:paraId="229B8195" w14:textId="649D147E"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Chauhan, A., &amp; </w:t>
      </w:r>
      <w:proofErr w:type="spellStart"/>
      <w:r w:rsidRPr="00302F44">
        <w:rPr>
          <w:rFonts w:ascii="Times New Roman" w:hAnsi="Times New Roman" w:cs="Times New Roman"/>
          <w:sz w:val="24"/>
          <w:szCs w:val="24"/>
        </w:rPr>
        <w:t>Pirta</w:t>
      </w:r>
      <w:proofErr w:type="spellEnd"/>
      <w:r w:rsidRPr="00302F44">
        <w:rPr>
          <w:rFonts w:ascii="Times New Roman" w:hAnsi="Times New Roman" w:cs="Times New Roman"/>
          <w:sz w:val="24"/>
          <w:szCs w:val="24"/>
        </w:rPr>
        <w:t xml:space="preserve">, R. S. (2010). Public opinion regarding human-monkey conflict in Shimla, Himachal Pradesh. </w:t>
      </w:r>
      <w:r w:rsidRPr="00302F44">
        <w:rPr>
          <w:rFonts w:ascii="Times New Roman" w:hAnsi="Times New Roman" w:cs="Times New Roman"/>
          <w:i/>
          <w:sz w:val="24"/>
          <w:szCs w:val="24"/>
        </w:rPr>
        <w:t>Journal of Human Ecology</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30</w:t>
      </w:r>
      <w:r w:rsidRPr="00302F44">
        <w:rPr>
          <w:rFonts w:ascii="Times New Roman" w:hAnsi="Times New Roman" w:cs="Times New Roman"/>
          <w:sz w:val="24"/>
          <w:szCs w:val="24"/>
        </w:rPr>
        <w:t xml:space="preserve">(2), 105--109. </w:t>
      </w:r>
      <w:hyperlink r:id="rId11" w:history="1">
        <w:r w:rsidR="00FF1A79" w:rsidRPr="00056089">
          <w:rPr>
            <w:rStyle w:val="Hyperlink"/>
            <w:rFonts w:ascii="Times New Roman" w:hAnsi="Times New Roman" w:cs="Times New Roman"/>
            <w:sz w:val="24"/>
            <w:szCs w:val="24"/>
          </w:rPr>
          <w:t>https://doi.org/10.1080/09709274.2010.1190627</w:t>
        </w:r>
        <w:r w:rsidR="00FF1A79" w:rsidRPr="00056089">
          <w:rPr>
            <w:rStyle w:val="Hyperlink"/>
          </w:rPr>
          <w:t>9</w:t>
        </w:r>
      </w:hyperlink>
      <w:r w:rsidR="00FF1A79">
        <w:t xml:space="preserve"> </w:t>
      </w:r>
    </w:p>
    <w:p w14:paraId="42C6F564"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Cochran, W. G. (1977). </w:t>
      </w:r>
      <w:r w:rsidRPr="00302F44">
        <w:rPr>
          <w:rFonts w:ascii="Times New Roman" w:hAnsi="Times New Roman" w:cs="Times New Roman"/>
          <w:i/>
          <w:sz w:val="24"/>
          <w:szCs w:val="24"/>
        </w:rPr>
        <w:t>Sampling techniques</w:t>
      </w:r>
      <w:r w:rsidRPr="00302F44">
        <w:rPr>
          <w:rFonts w:ascii="Times New Roman" w:hAnsi="Times New Roman" w:cs="Times New Roman"/>
          <w:sz w:val="24"/>
          <w:szCs w:val="24"/>
        </w:rPr>
        <w:t xml:space="preserve"> (3rd ed.). John Wiley &amp; Sons.</w:t>
      </w:r>
    </w:p>
    <w:p w14:paraId="65C0C30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Dittus, W. P. J., Gunathilake, S., &amp; Felder, M. (2019). Assessing public perceptions and solutions to human-monkey conflict from 50 years in Sri Lanka. </w:t>
      </w:r>
      <w:r w:rsidRPr="00302F44">
        <w:rPr>
          <w:rFonts w:ascii="Times New Roman" w:hAnsi="Times New Roman" w:cs="Times New Roman"/>
          <w:i/>
          <w:sz w:val="24"/>
          <w:szCs w:val="24"/>
        </w:rPr>
        <w:t xml:space="preserve">Folia </w:t>
      </w:r>
      <w:proofErr w:type="spellStart"/>
      <w:r w:rsidRPr="00302F44">
        <w:rPr>
          <w:rFonts w:ascii="Times New Roman" w:hAnsi="Times New Roman" w:cs="Times New Roman"/>
          <w:i/>
          <w:sz w:val="24"/>
          <w:szCs w:val="24"/>
        </w:rPr>
        <w:t>Primatologica</w:t>
      </w:r>
      <w:proofErr w:type="spellEnd"/>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90</w:t>
      </w:r>
      <w:r w:rsidRPr="00302F44">
        <w:rPr>
          <w:rFonts w:ascii="Times New Roman" w:hAnsi="Times New Roman" w:cs="Times New Roman"/>
          <w:sz w:val="24"/>
          <w:szCs w:val="24"/>
        </w:rPr>
        <w:t xml:space="preserve">(2), 89--108. </w:t>
      </w:r>
      <w:hyperlink r:id="rId12">
        <w:r w:rsidRPr="00302F44">
          <w:rPr>
            <w:rFonts w:ascii="Times New Roman" w:hAnsi="Times New Roman" w:cs="Times New Roman"/>
            <w:color w:val="4472C4"/>
            <w:sz w:val="24"/>
            <w:szCs w:val="24"/>
          </w:rPr>
          <w:t>https://doi.org/10.1159/000496025</w:t>
        </w:r>
      </w:hyperlink>
    </w:p>
    <w:p w14:paraId="6F731C73" w14:textId="230262D5" w:rsidR="00FF1A79" w:rsidRPr="00FF1A79" w:rsidRDefault="00FF1A79" w:rsidP="00302F44">
      <w:pPr>
        <w:spacing w:after="210"/>
        <w:jc w:val="both"/>
        <w:rPr>
          <w:rFonts w:ascii="Noto Sans" w:hAnsi="Noto Sans" w:cs="Noto Sans"/>
          <w:sz w:val="18"/>
          <w:szCs w:val="18"/>
          <w:shd w:val="clear" w:color="auto" w:fill="FFFFFF"/>
        </w:rPr>
      </w:pPr>
      <w:r w:rsidRPr="00FF1A79">
        <w:rPr>
          <w:rFonts w:ascii="Noto Sans" w:hAnsi="Noto Sans" w:cs="Noto Sans"/>
          <w:sz w:val="18"/>
          <w:szCs w:val="18"/>
          <w:shd w:val="clear" w:color="auto" w:fill="FFFFFF"/>
        </w:rPr>
        <w:t xml:space="preserve">Ganguly, I. G., &amp; Chauhan, N. S. (2019). How perception of local people towards rhesus macaque (Macaca mulatta) can influence on decision-making of human-macaque conflict </w:t>
      </w:r>
      <w:proofErr w:type="gramStart"/>
      <w:r w:rsidRPr="00FF1A79">
        <w:rPr>
          <w:rFonts w:ascii="Noto Sans" w:hAnsi="Noto Sans" w:cs="Noto Sans"/>
          <w:sz w:val="18"/>
          <w:szCs w:val="18"/>
          <w:shd w:val="clear" w:color="auto" w:fill="FFFFFF"/>
        </w:rPr>
        <w:t>mitigation?.</w:t>
      </w:r>
      <w:proofErr w:type="gramEnd"/>
      <w:r w:rsidRPr="00FF1A79">
        <w:rPr>
          <w:rFonts w:ascii="Noto Sans" w:hAnsi="Noto Sans" w:cs="Noto Sans"/>
          <w:sz w:val="18"/>
          <w:szCs w:val="18"/>
          <w:shd w:val="clear" w:color="auto" w:fill="FFFFFF"/>
        </w:rPr>
        <w:t> </w:t>
      </w:r>
      <w:r w:rsidRPr="00FF1A79">
        <w:rPr>
          <w:rFonts w:ascii="Noto Sans" w:hAnsi="Noto Sans" w:cs="Noto Sans"/>
          <w:i/>
          <w:iCs/>
          <w:sz w:val="18"/>
          <w:szCs w:val="18"/>
          <w:shd w:val="clear" w:color="auto" w:fill="FFFFFF"/>
        </w:rPr>
        <w:t>Journal of Wildlife and Biodiversity</w:t>
      </w:r>
      <w:r w:rsidRPr="00FF1A79">
        <w:rPr>
          <w:rFonts w:ascii="Noto Sans" w:hAnsi="Noto Sans" w:cs="Noto Sans"/>
          <w:sz w:val="18"/>
          <w:szCs w:val="18"/>
          <w:shd w:val="clear" w:color="auto" w:fill="FFFFFF"/>
        </w:rPr>
        <w:t>, </w:t>
      </w:r>
      <w:r w:rsidRPr="00FF1A79">
        <w:rPr>
          <w:rFonts w:ascii="Noto Sans" w:hAnsi="Noto Sans" w:cs="Noto Sans"/>
          <w:i/>
          <w:iCs/>
          <w:sz w:val="18"/>
          <w:szCs w:val="18"/>
          <w:shd w:val="clear" w:color="auto" w:fill="FFFFFF"/>
        </w:rPr>
        <w:t>3</w:t>
      </w:r>
      <w:r w:rsidRPr="00FF1A79">
        <w:rPr>
          <w:rFonts w:ascii="Noto Sans" w:hAnsi="Noto Sans" w:cs="Noto Sans"/>
          <w:sz w:val="18"/>
          <w:szCs w:val="18"/>
          <w:shd w:val="clear" w:color="auto" w:fill="FFFFFF"/>
        </w:rPr>
        <w:t xml:space="preserve">(2), 52–62. </w:t>
      </w:r>
      <w:hyperlink r:id="rId13" w:history="1">
        <w:r w:rsidRPr="00FF1A79">
          <w:rPr>
            <w:rStyle w:val="Hyperlink"/>
            <w:rFonts w:ascii="Noto Sans" w:hAnsi="Noto Sans" w:cs="Noto Sans"/>
            <w:sz w:val="18"/>
            <w:szCs w:val="18"/>
            <w:shd w:val="clear" w:color="auto" w:fill="FFFFFF"/>
          </w:rPr>
          <w:t>https://doi.org/10.22120/jwb.2019.35090</w:t>
        </w:r>
      </w:hyperlink>
      <w:r w:rsidRPr="00FF1A79">
        <w:rPr>
          <w:rFonts w:ascii="Noto Sans" w:hAnsi="Noto Sans" w:cs="Noto Sans"/>
          <w:sz w:val="18"/>
          <w:szCs w:val="18"/>
          <w:shd w:val="clear" w:color="auto" w:fill="FFFFFF"/>
        </w:rPr>
        <w:t xml:space="preserve"> .</w:t>
      </w:r>
    </w:p>
    <w:p w14:paraId="192FF80D" w14:textId="7D8EEEFB"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lastRenderedPageBreak/>
        <w:t>Imam, E., &amp; Ahmad, A. (2013). Population status of Rhesus monkey (</w:t>
      </w:r>
      <w:r w:rsidRPr="00302F44">
        <w:rPr>
          <w:rFonts w:ascii="Times New Roman" w:hAnsi="Times New Roman" w:cs="Times New Roman"/>
          <w:i/>
          <w:sz w:val="24"/>
          <w:szCs w:val="24"/>
        </w:rPr>
        <w:t>Macaca mulatta</w:t>
      </w:r>
      <w:r w:rsidRPr="00302F44">
        <w:rPr>
          <w:rFonts w:ascii="Times New Roman" w:hAnsi="Times New Roman" w:cs="Times New Roman"/>
          <w:sz w:val="24"/>
          <w:szCs w:val="24"/>
        </w:rPr>
        <w:t xml:space="preserve">) and their menace: A threat for future conservation. </w:t>
      </w:r>
      <w:r w:rsidRPr="00302F44">
        <w:rPr>
          <w:rFonts w:ascii="Times New Roman" w:hAnsi="Times New Roman" w:cs="Times New Roman"/>
          <w:i/>
          <w:sz w:val="24"/>
          <w:szCs w:val="24"/>
        </w:rPr>
        <w:t>International Journal of Environmental Sciences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w:t>
      </w:r>
      <w:r w:rsidRPr="00302F44">
        <w:rPr>
          <w:rFonts w:ascii="Times New Roman" w:hAnsi="Times New Roman" w:cs="Times New Roman"/>
          <w:sz w:val="24"/>
          <w:szCs w:val="24"/>
        </w:rPr>
        <w:t>(4), 1279--1289.</w:t>
      </w:r>
    </w:p>
    <w:p w14:paraId="604BC0E5"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Karayathil</w:t>
      </w:r>
      <w:proofErr w:type="spellEnd"/>
      <w:r w:rsidRPr="00302F44">
        <w:rPr>
          <w:rFonts w:ascii="Times New Roman" w:hAnsi="Times New Roman" w:cs="Times New Roman"/>
          <w:sz w:val="24"/>
          <w:szCs w:val="24"/>
        </w:rPr>
        <w:t xml:space="preserve">, A. K., </w:t>
      </w:r>
      <w:proofErr w:type="spellStart"/>
      <w:r w:rsidRPr="00302F44">
        <w:rPr>
          <w:rFonts w:ascii="Times New Roman" w:hAnsi="Times New Roman" w:cs="Times New Roman"/>
          <w:sz w:val="24"/>
          <w:szCs w:val="24"/>
        </w:rPr>
        <w:t>Gurusiddappa</w:t>
      </w:r>
      <w:proofErr w:type="spellEnd"/>
      <w:r w:rsidRPr="00302F44">
        <w:rPr>
          <w:rFonts w:ascii="Times New Roman" w:hAnsi="Times New Roman" w:cs="Times New Roman"/>
          <w:sz w:val="24"/>
          <w:szCs w:val="24"/>
        </w:rPr>
        <w:t>, L. H., &amp; Shivasundari, R. S. M. (2023). Human-monkey (</w:t>
      </w:r>
      <w:r w:rsidRPr="00302F44">
        <w:rPr>
          <w:rFonts w:ascii="Times New Roman" w:hAnsi="Times New Roman" w:cs="Times New Roman"/>
          <w:i/>
          <w:sz w:val="24"/>
          <w:szCs w:val="24"/>
        </w:rPr>
        <w:t>Macaca radiata</w:t>
      </w:r>
      <w:r w:rsidRPr="00302F44">
        <w:rPr>
          <w:rFonts w:ascii="Times New Roman" w:eastAsia="Georgia" w:hAnsi="Times New Roman" w:cs="Times New Roman"/>
          <w:sz w:val="24"/>
          <w:szCs w:val="24"/>
        </w:rPr>
        <w:t xml:space="preserve">) conflict in Chamundi Hill—Mysuru, Karnataka. </w:t>
      </w:r>
      <w:r w:rsidRPr="00302F44">
        <w:rPr>
          <w:rFonts w:ascii="Times New Roman" w:hAnsi="Times New Roman" w:cs="Times New Roman"/>
          <w:i/>
          <w:sz w:val="24"/>
          <w:szCs w:val="24"/>
        </w:rPr>
        <w:t>World Journal of Environmental Biosciences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12</w:t>
      </w:r>
      <w:r w:rsidRPr="00302F44">
        <w:rPr>
          <w:rFonts w:ascii="Times New Roman" w:hAnsi="Times New Roman" w:cs="Times New Roman"/>
          <w:sz w:val="24"/>
          <w:szCs w:val="24"/>
        </w:rPr>
        <w:t xml:space="preserve">(2), 19--25. </w:t>
      </w:r>
      <w:hyperlink r:id="rId14">
        <w:r w:rsidRPr="00302F44">
          <w:rPr>
            <w:rFonts w:ascii="Times New Roman" w:hAnsi="Times New Roman" w:cs="Times New Roman"/>
            <w:color w:val="4472C4"/>
            <w:sz w:val="24"/>
            <w:szCs w:val="24"/>
          </w:rPr>
          <w:t>https://doi.org/10.51847/dpGQL4yAXY</w:t>
        </w:r>
      </w:hyperlink>
    </w:p>
    <w:p w14:paraId="5533F78B"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Karimullah</w:t>
      </w:r>
      <w:proofErr w:type="spellEnd"/>
      <w:r w:rsidRPr="00302F44">
        <w:rPr>
          <w:rFonts w:ascii="Times New Roman" w:hAnsi="Times New Roman" w:cs="Times New Roman"/>
          <w:sz w:val="24"/>
          <w:szCs w:val="24"/>
        </w:rPr>
        <w:t xml:space="preserve">, K., </w:t>
      </w:r>
      <w:proofErr w:type="spellStart"/>
      <w:r w:rsidRPr="00302F44">
        <w:rPr>
          <w:rFonts w:ascii="Times New Roman" w:hAnsi="Times New Roman" w:cs="Times New Roman"/>
          <w:sz w:val="24"/>
          <w:szCs w:val="24"/>
        </w:rPr>
        <w:t>Widdig</w:t>
      </w:r>
      <w:proofErr w:type="spellEnd"/>
      <w:r w:rsidRPr="00302F44">
        <w:rPr>
          <w:rFonts w:ascii="Times New Roman" w:hAnsi="Times New Roman" w:cs="Times New Roman"/>
          <w:sz w:val="24"/>
          <w:szCs w:val="24"/>
        </w:rPr>
        <w:t xml:space="preserve">, A., Mohd Sah, S. A., &amp; Amici, F. (2022). Understanding potential conflicts between human and non-human-primates: A large-scale survey in Malaysia. </w:t>
      </w:r>
      <w:r w:rsidRPr="00302F44">
        <w:rPr>
          <w:rFonts w:ascii="Times New Roman" w:hAnsi="Times New Roman" w:cs="Times New Roman"/>
          <w:i/>
          <w:sz w:val="24"/>
          <w:szCs w:val="24"/>
        </w:rPr>
        <w:t>Biodiversity and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31</w:t>
      </w:r>
      <w:r w:rsidRPr="00302F44">
        <w:rPr>
          <w:rFonts w:ascii="Times New Roman" w:hAnsi="Times New Roman" w:cs="Times New Roman"/>
          <w:sz w:val="24"/>
          <w:szCs w:val="24"/>
        </w:rPr>
        <w:t xml:space="preserve">, 1249--1266. </w:t>
      </w:r>
      <w:hyperlink r:id="rId15">
        <w:r w:rsidRPr="00302F44">
          <w:rPr>
            <w:rFonts w:ascii="Times New Roman" w:hAnsi="Times New Roman" w:cs="Times New Roman"/>
            <w:color w:val="4472C4"/>
            <w:sz w:val="24"/>
            <w:szCs w:val="24"/>
          </w:rPr>
          <w:t>https://doi.org/10.1007/s10531-022-02386-w</w:t>
        </w:r>
      </w:hyperlink>
    </w:p>
    <w:p w14:paraId="45AC6DF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König, A. (2008). Fears, attitudes and opinions of suburban residents with regards to their urban foxes: A case study in the community of Grünwald—a suburb of Munich. </w:t>
      </w:r>
      <w:r w:rsidRPr="00302F44">
        <w:rPr>
          <w:rFonts w:ascii="Times New Roman" w:hAnsi="Times New Roman" w:cs="Times New Roman"/>
          <w:i/>
          <w:sz w:val="24"/>
          <w:szCs w:val="24"/>
        </w:rPr>
        <w:t>European Journal of Wildlife Research</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54</w:t>
      </w:r>
      <w:r w:rsidRPr="00302F44">
        <w:rPr>
          <w:rFonts w:ascii="Times New Roman" w:hAnsi="Times New Roman" w:cs="Times New Roman"/>
          <w:sz w:val="24"/>
          <w:szCs w:val="24"/>
        </w:rPr>
        <w:t xml:space="preserve">, 101--109. </w:t>
      </w:r>
      <w:hyperlink r:id="rId16">
        <w:r w:rsidRPr="00302F44">
          <w:rPr>
            <w:rFonts w:ascii="Times New Roman" w:hAnsi="Times New Roman" w:cs="Times New Roman"/>
            <w:color w:val="4472C4"/>
            <w:sz w:val="24"/>
            <w:szCs w:val="24"/>
          </w:rPr>
          <w:t>https://doi.org/10.1007/s10344-007-0117-z</w:t>
        </w:r>
      </w:hyperlink>
    </w:p>
    <w:p w14:paraId="030411E6" w14:textId="77777777" w:rsidR="00154F2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Kumara, H. N., Singh, M., Kumar, S., &amp; Sinha, A. (2010). Distribution, abundance, group size and demography of dark-bellied bonnet macaque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radiata </w:t>
      </w:r>
      <w:proofErr w:type="spellStart"/>
      <w:r w:rsidRPr="00302F44">
        <w:rPr>
          <w:rFonts w:ascii="Times New Roman" w:hAnsi="Times New Roman" w:cs="Times New Roman"/>
          <w:i/>
          <w:sz w:val="24"/>
          <w:szCs w:val="24"/>
        </w:rPr>
        <w:t>radiata</w:t>
      </w:r>
      <w:proofErr w:type="spellEnd"/>
      <w:r w:rsidRPr="00302F44">
        <w:rPr>
          <w:rFonts w:ascii="Times New Roman" w:hAnsi="Times New Roman" w:cs="Times New Roman"/>
          <w:sz w:val="24"/>
          <w:szCs w:val="24"/>
        </w:rPr>
        <w:t xml:space="preserve"> in Karnataka, South India. </w:t>
      </w:r>
      <w:r w:rsidRPr="00302F44">
        <w:rPr>
          <w:rFonts w:ascii="Times New Roman" w:hAnsi="Times New Roman" w:cs="Times New Roman"/>
          <w:i/>
          <w:sz w:val="24"/>
          <w:szCs w:val="24"/>
        </w:rPr>
        <w:t>Current Science</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99</w:t>
      </w:r>
      <w:r w:rsidRPr="00302F44">
        <w:rPr>
          <w:rFonts w:ascii="Times New Roman" w:hAnsi="Times New Roman" w:cs="Times New Roman"/>
          <w:sz w:val="24"/>
          <w:szCs w:val="24"/>
        </w:rPr>
        <w:t>(5), 663--667.</w:t>
      </w:r>
    </w:p>
    <w:p w14:paraId="183CABFE" w14:textId="33E3EFC9" w:rsidR="00835EFB" w:rsidRPr="00835EFB" w:rsidRDefault="00835EFB" w:rsidP="00302F44">
      <w:pPr>
        <w:spacing w:after="210"/>
        <w:jc w:val="both"/>
        <w:rPr>
          <w:rFonts w:ascii="Times New Roman" w:hAnsi="Times New Roman" w:cs="Times New Roman"/>
          <w:sz w:val="32"/>
          <w:szCs w:val="32"/>
        </w:rPr>
      </w:pPr>
      <w:r w:rsidRPr="00835EFB">
        <w:rPr>
          <w:rFonts w:ascii="Times New Roman" w:hAnsi="Times New Roman" w:cs="Times New Roman"/>
          <w:color w:val="222222"/>
          <w:sz w:val="24"/>
          <w:szCs w:val="24"/>
          <w:shd w:val="clear" w:color="auto" w:fill="FFFFFF"/>
        </w:rPr>
        <w:t xml:space="preserve">Kushal, N., and </w:t>
      </w:r>
      <w:proofErr w:type="spellStart"/>
      <w:r w:rsidRPr="00835EFB">
        <w:rPr>
          <w:rFonts w:ascii="Times New Roman" w:hAnsi="Times New Roman" w:cs="Times New Roman"/>
          <w:color w:val="222222"/>
          <w:sz w:val="24"/>
          <w:szCs w:val="24"/>
          <w:shd w:val="clear" w:color="auto" w:fill="FFFFFF"/>
        </w:rPr>
        <w:t>Duraiswamy</w:t>
      </w:r>
      <w:proofErr w:type="spellEnd"/>
      <w:r w:rsidRPr="00835EFB">
        <w:rPr>
          <w:rFonts w:ascii="Times New Roman" w:hAnsi="Times New Roman" w:cs="Times New Roman"/>
          <w:color w:val="222222"/>
          <w:sz w:val="24"/>
          <w:szCs w:val="24"/>
          <w:shd w:val="clear" w:color="auto" w:fill="FFFFFF"/>
        </w:rPr>
        <w:t xml:space="preserve"> Usha </w:t>
      </w:r>
      <w:proofErr w:type="spellStart"/>
      <w:r w:rsidRPr="00835EFB">
        <w:rPr>
          <w:rFonts w:ascii="Times New Roman" w:hAnsi="Times New Roman" w:cs="Times New Roman"/>
          <w:color w:val="222222"/>
          <w:sz w:val="24"/>
          <w:szCs w:val="24"/>
          <w:shd w:val="clear" w:color="auto" w:fill="FFFFFF"/>
        </w:rPr>
        <w:t>Anandhi</w:t>
      </w:r>
      <w:proofErr w:type="spellEnd"/>
      <w:r w:rsidRPr="00835EFB">
        <w:rPr>
          <w:rFonts w:ascii="Times New Roman" w:hAnsi="Times New Roman" w:cs="Times New Roman"/>
          <w:color w:val="222222"/>
          <w:sz w:val="24"/>
          <w:szCs w:val="24"/>
          <w:shd w:val="clear" w:color="auto" w:fill="FFFFFF"/>
        </w:rPr>
        <w:t>. "Baseline Data of Hematology and Serum Biochemistry of Bonnet Macaque (Macaca radiata radiata) From Bengaluru Urban Wild Populations, Karnataka, India." </w:t>
      </w:r>
      <w:r w:rsidRPr="00835EFB">
        <w:rPr>
          <w:rFonts w:ascii="Times New Roman" w:hAnsi="Times New Roman" w:cs="Times New Roman"/>
          <w:i/>
          <w:iCs/>
          <w:color w:val="222222"/>
          <w:sz w:val="24"/>
          <w:szCs w:val="24"/>
          <w:shd w:val="clear" w:color="auto" w:fill="FFFFFF"/>
        </w:rPr>
        <w:t>Journal of Medical Primatology</w:t>
      </w:r>
      <w:r w:rsidRPr="00835EFB">
        <w:rPr>
          <w:rFonts w:ascii="Times New Roman" w:hAnsi="Times New Roman" w:cs="Times New Roman"/>
          <w:color w:val="222222"/>
          <w:sz w:val="24"/>
          <w:szCs w:val="24"/>
          <w:shd w:val="clear" w:color="auto" w:fill="FFFFFF"/>
        </w:rPr>
        <w:t> 54.6 (2025): e70044.</w:t>
      </w:r>
      <w:hyperlink r:id="rId17" w:history="1">
        <w:r>
          <w:rPr>
            <w:rStyle w:val="Hyperlink"/>
            <w:rFonts w:ascii="Open Sans" w:hAnsi="Open Sans" w:cs="Open Sans"/>
            <w:b/>
            <w:bCs/>
            <w:color w:val="123D80"/>
            <w:szCs w:val="21"/>
            <w:shd w:val="clear" w:color="auto" w:fill="FFFFFF"/>
          </w:rPr>
          <w:t>https://doi.org/10.1111/jmp.70044</w:t>
        </w:r>
      </w:hyperlink>
    </w:p>
    <w:p w14:paraId="4E2F649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Lee, P. C., &amp; </w:t>
      </w:r>
      <w:proofErr w:type="spellStart"/>
      <w:r w:rsidRPr="00302F44">
        <w:rPr>
          <w:rFonts w:ascii="Times New Roman" w:hAnsi="Times New Roman" w:cs="Times New Roman"/>
          <w:sz w:val="24"/>
          <w:szCs w:val="24"/>
        </w:rPr>
        <w:t>Priston</w:t>
      </w:r>
      <w:proofErr w:type="spellEnd"/>
      <w:r w:rsidRPr="00302F44">
        <w:rPr>
          <w:rFonts w:ascii="Times New Roman" w:hAnsi="Times New Roman" w:cs="Times New Roman"/>
          <w:sz w:val="24"/>
          <w:szCs w:val="24"/>
        </w:rPr>
        <w:t xml:space="preserve">, N. E. C. (2005). Human attitudes to primates: Perceptions of pests, conflict and consequences for primate conservation. In J. D. Paterson &amp; J. Wallis (Eds.), </w:t>
      </w:r>
      <w:r w:rsidRPr="00302F44">
        <w:rPr>
          <w:rFonts w:ascii="Times New Roman" w:hAnsi="Times New Roman" w:cs="Times New Roman"/>
          <w:i/>
          <w:sz w:val="24"/>
          <w:szCs w:val="24"/>
        </w:rPr>
        <w:t>Commensalism and conflict: The human-primate interface</w:t>
      </w:r>
      <w:r w:rsidRPr="00302F44">
        <w:rPr>
          <w:rFonts w:ascii="Times New Roman" w:hAnsi="Times New Roman" w:cs="Times New Roman"/>
          <w:sz w:val="24"/>
          <w:szCs w:val="24"/>
        </w:rPr>
        <w:t xml:space="preserve"> (pp. 1--23). American Society of Primatologists.</w:t>
      </w:r>
    </w:p>
    <w:p w14:paraId="0B33E6D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Magle, S. B., Hunt, V. M., Vernon, M., &amp; Crooks, K. R. (2012). Urban wildlife research: Past, present, and future. </w:t>
      </w:r>
      <w:r w:rsidRPr="00302F44">
        <w:rPr>
          <w:rFonts w:ascii="Times New Roman" w:hAnsi="Times New Roman" w:cs="Times New Roman"/>
          <w:i/>
          <w:sz w:val="24"/>
          <w:szCs w:val="24"/>
        </w:rPr>
        <w:t>Biological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155</w:t>
      </w:r>
      <w:r w:rsidRPr="00302F44">
        <w:rPr>
          <w:rFonts w:ascii="Times New Roman" w:hAnsi="Times New Roman" w:cs="Times New Roman"/>
          <w:sz w:val="24"/>
          <w:szCs w:val="24"/>
        </w:rPr>
        <w:t xml:space="preserve">, 23--32. </w:t>
      </w:r>
      <w:hyperlink r:id="rId18">
        <w:r w:rsidRPr="00302F44">
          <w:rPr>
            <w:rFonts w:ascii="Times New Roman" w:hAnsi="Times New Roman" w:cs="Times New Roman"/>
            <w:color w:val="4472C4"/>
            <w:sz w:val="24"/>
            <w:szCs w:val="24"/>
          </w:rPr>
          <w:t>https://doi.org/10.1016/j.biocon.2012.06.018</w:t>
        </w:r>
      </w:hyperlink>
    </w:p>
    <w:p w14:paraId="612C27CA"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Mangalam, M., &amp; Singh, M. (2013). Flexibility in food extraction techniques in urban free-ranging bonnet macaques, </w:t>
      </w:r>
      <w:r w:rsidRPr="00302F44">
        <w:rPr>
          <w:rFonts w:ascii="Times New Roman" w:hAnsi="Times New Roman" w:cs="Times New Roman"/>
          <w:i/>
          <w:sz w:val="24"/>
          <w:szCs w:val="24"/>
        </w:rPr>
        <w:t>Macaca radiata</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PLOS ONE</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8</w:t>
      </w:r>
      <w:r w:rsidRPr="00302F44">
        <w:rPr>
          <w:rFonts w:ascii="Times New Roman" w:hAnsi="Times New Roman" w:cs="Times New Roman"/>
          <w:sz w:val="24"/>
          <w:szCs w:val="24"/>
        </w:rPr>
        <w:t xml:space="preserve">(12), Article e85497. </w:t>
      </w:r>
      <w:hyperlink r:id="rId19">
        <w:r w:rsidRPr="00302F44">
          <w:rPr>
            <w:rFonts w:ascii="Times New Roman" w:hAnsi="Times New Roman" w:cs="Times New Roman"/>
            <w:color w:val="4472C4"/>
            <w:sz w:val="24"/>
            <w:szCs w:val="24"/>
          </w:rPr>
          <w:t>https://doi.org/10.1371/journal.pone.0085497</w:t>
        </w:r>
      </w:hyperlink>
    </w:p>
    <w:p w14:paraId="75FF4E1D"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eastAsia="Georgia" w:hAnsi="Times New Roman" w:cs="Times New Roman"/>
          <w:sz w:val="24"/>
          <w:szCs w:val="24"/>
        </w:rPr>
        <w:t>Nulkar</w:t>
      </w:r>
      <w:proofErr w:type="spellEnd"/>
      <w:r w:rsidRPr="00302F44">
        <w:rPr>
          <w:rFonts w:ascii="Times New Roman" w:eastAsia="Georgia" w:hAnsi="Times New Roman" w:cs="Times New Roman"/>
          <w:sz w:val="24"/>
          <w:szCs w:val="24"/>
        </w:rPr>
        <w:t xml:space="preserve">, G. (2022). Silent conflicts—Human-wildlife interactions in urban spaces. </w:t>
      </w:r>
      <w:r w:rsidRPr="00302F44">
        <w:rPr>
          <w:rFonts w:ascii="Times New Roman" w:hAnsi="Times New Roman" w:cs="Times New Roman"/>
          <w:i/>
          <w:sz w:val="24"/>
          <w:szCs w:val="24"/>
        </w:rPr>
        <w:t>Journal of Environmental Sciences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25</w:t>
      </w:r>
      <w:r w:rsidRPr="00302F44">
        <w:rPr>
          <w:rFonts w:ascii="Times New Roman" w:hAnsi="Times New Roman" w:cs="Times New Roman"/>
          <w:sz w:val="24"/>
          <w:szCs w:val="24"/>
        </w:rPr>
        <w:t xml:space="preserve">(4). </w:t>
      </w:r>
      <w:hyperlink r:id="rId20">
        <w:r w:rsidRPr="00302F44">
          <w:rPr>
            <w:rFonts w:ascii="Times New Roman" w:hAnsi="Times New Roman" w:cs="Times New Roman"/>
            <w:color w:val="4472C4"/>
            <w:sz w:val="24"/>
            <w:szCs w:val="24"/>
          </w:rPr>
          <w:t>https://doi.org/10.54081/JES.025/04</w:t>
        </w:r>
      </w:hyperlink>
    </w:p>
    <w:p w14:paraId="4E8BC209" w14:textId="604062D8" w:rsidR="00B2096A" w:rsidRDefault="00811FC3" w:rsidP="00B2096A">
      <w:pPr>
        <w:spacing w:after="210"/>
        <w:jc w:val="both"/>
      </w:pPr>
      <w:r w:rsidRPr="00302F44">
        <w:rPr>
          <w:rFonts w:ascii="Times New Roman" w:hAnsi="Times New Roman" w:cs="Times New Roman"/>
          <w:sz w:val="24"/>
          <w:szCs w:val="24"/>
        </w:rPr>
        <w:t xml:space="preserve">Patterson, L., Kalle, R., &amp; Downs, C. (2017). A citizen science survey: Perceptions and attitudes of urban residents towards vervet monkeys. </w:t>
      </w:r>
      <w:r w:rsidRPr="00302F44">
        <w:rPr>
          <w:rFonts w:ascii="Times New Roman" w:hAnsi="Times New Roman" w:cs="Times New Roman"/>
          <w:i/>
          <w:sz w:val="24"/>
          <w:szCs w:val="24"/>
        </w:rPr>
        <w:t>Urban Ecosystems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20</w:t>
      </w:r>
      <w:r w:rsidRPr="00302F44">
        <w:rPr>
          <w:rFonts w:ascii="Times New Roman" w:hAnsi="Times New Roman" w:cs="Times New Roman"/>
          <w:sz w:val="24"/>
          <w:szCs w:val="24"/>
        </w:rPr>
        <w:t xml:space="preserve">, 617--628. </w:t>
      </w:r>
      <w:hyperlink r:id="rId21">
        <w:r w:rsidRPr="00302F44">
          <w:rPr>
            <w:rFonts w:ascii="Times New Roman" w:hAnsi="Times New Roman" w:cs="Times New Roman"/>
            <w:color w:val="4472C4"/>
            <w:sz w:val="24"/>
            <w:szCs w:val="24"/>
          </w:rPr>
          <w:t>https://doi.org/10.1007/s11252-016-0619-0</w:t>
        </w:r>
      </w:hyperlink>
    </w:p>
    <w:p w14:paraId="3256B213" w14:textId="20548DE7" w:rsidR="00B2096A" w:rsidRPr="00B2096A" w:rsidRDefault="00B2096A" w:rsidP="00B2096A">
      <w:pPr>
        <w:spacing w:after="210"/>
        <w:jc w:val="both"/>
        <w:rPr>
          <w:rFonts w:ascii="Times New Roman" w:hAnsi="Times New Roman" w:cs="Times New Roman"/>
          <w:sz w:val="40"/>
          <w:szCs w:val="40"/>
        </w:rPr>
      </w:pPr>
      <w:r w:rsidRPr="00B2096A">
        <w:rPr>
          <w:rFonts w:ascii="Times New Roman" w:hAnsi="Times New Roman" w:cs="Times New Roman"/>
          <w:sz w:val="24"/>
          <w:szCs w:val="24"/>
        </w:rPr>
        <w:t xml:space="preserve">Patra, </w:t>
      </w:r>
      <w:proofErr w:type="spellStart"/>
      <w:r w:rsidRPr="00B2096A">
        <w:rPr>
          <w:rFonts w:ascii="Times New Roman" w:hAnsi="Times New Roman" w:cs="Times New Roman"/>
          <w:sz w:val="24"/>
          <w:szCs w:val="24"/>
        </w:rPr>
        <w:t>Joydeb</w:t>
      </w:r>
      <w:proofErr w:type="spellEnd"/>
      <w:r w:rsidRPr="00B2096A">
        <w:rPr>
          <w:rFonts w:ascii="Times New Roman" w:hAnsi="Times New Roman" w:cs="Times New Roman"/>
          <w:sz w:val="24"/>
          <w:szCs w:val="24"/>
        </w:rPr>
        <w:t xml:space="preserve">, </w:t>
      </w:r>
      <w:proofErr w:type="spellStart"/>
      <w:r w:rsidRPr="00B2096A">
        <w:rPr>
          <w:rFonts w:ascii="Times New Roman" w:hAnsi="Times New Roman" w:cs="Times New Roman"/>
          <w:sz w:val="24"/>
          <w:szCs w:val="24"/>
        </w:rPr>
        <w:t>Prodipta</w:t>
      </w:r>
      <w:proofErr w:type="spellEnd"/>
      <w:r w:rsidRPr="00B2096A">
        <w:rPr>
          <w:rFonts w:ascii="Times New Roman" w:hAnsi="Times New Roman" w:cs="Times New Roman"/>
          <w:sz w:val="24"/>
          <w:szCs w:val="24"/>
        </w:rPr>
        <w:t xml:space="preserve"> Barman, and Tamal Gupta. </w:t>
      </w:r>
      <w:r>
        <w:rPr>
          <w:rFonts w:ascii="Times New Roman" w:hAnsi="Times New Roman" w:cs="Times New Roman"/>
          <w:sz w:val="24"/>
          <w:szCs w:val="24"/>
        </w:rPr>
        <w:t>(</w:t>
      </w:r>
      <w:r w:rsidRPr="00B2096A">
        <w:rPr>
          <w:rFonts w:ascii="Times New Roman" w:hAnsi="Times New Roman" w:cs="Times New Roman"/>
          <w:sz w:val="24"/>
          <w:szCs w:val="24"/>
        </w:rPr>
        <w:t>2024</w:t>
      </w:r>
      <w:r>
        <w:rPr>
          <w:rFonts w:ascii="Times New Roman" w:hAnsi="Times New Roman" w:cs="Times New Roman"/>
          <w:sz w:val="24"/>
          <w:szCs w:val="24"/>
        </w:rPr>
        <w:t>)</w:t>
      </w:r>
      <w:r w:rsidRPr="00B2096A">
        <w:rPr>
          <w:rFonts w:ascii="Times New Roman" w:hAnsi="Times New Roman" w:cs="Times New Roman"/>
          <w:sz w:val="24"/>
          <w:szCs w:val="24"/>
        </w:rPr>
        <w:t xml:space="preserve">. “Human-Wildlife Interactions and Zoonotic Risks in Urban India: A Socio-Zoological Perspective”. UTTAR PRADESH </w:t>
      </w:r>
      <w:r w:rsidRPr="00B2096A">
        <w:rPr>
          <w:rFonts w:ascii="Times New Roman" w:hAnsi="Times New Roman" w:cs="Times New Roman"/>
          <w:sz w:val="24"/>
          <w:szCs w:val="24"/>
        </w:rPr>
        <w:lastRenderedPageBreak/>
        <w:t xml:space="preserve">JOURNAL OF ZOOLOGY 45 (22):185-92. https://doi.org/10.56557/upjoz/2024/v45i224672. </w:t>
      </w:r>
    </w:p>
    <w:p w14:paraId="58E66B1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Radhakrishna, S., Huffman, M. A., &amp; Sinha, A. (2013). The macaque connection: Cooperation and conflict between humans and macaques. In S. Radhakrishna, M. A. Huffman, &amp; A. Sinha (Eds.), </w:t>
      </w:r>
      <w:r w:rsidRPr="00302F44">
        <w:rPr>
          <w:rFonts w:ascii="Times New Roman" w:hAnsi="Times New Roman" w:cs="Times New Roman"/>
          <w:i/>
          <w:sz w:val="24"/>
          <w:szCs w:val="24"/>
        </w:rPr>
        <w:t>The macaque connection: Cooperation and conflict between humans and macaques</w:t>
      </w:r>
      <w:r w:rsidRPr="00302F44">
        <w:rPr>
          <w:rFonts w:ascii="Times New Roman" w:hAnsi="Times New Roman" w:cs="Times New Roman"/>
          <w:sz w:val="24"/>
          <w:szCs w:val="24"/>
        </w:rPr>
        <w:t xml:space="preserve"> (pp. 1--30). Springer. </w:t>
      </w:r>
      <w:hyperlink r:id="rId22">
        <w:r w:rsidRPr="00302F44">
          <w:rPr>
            <w:rFonts w:ascii="Times New Roman" w:hAnsi="Times New Roman" w:cs="Times New Roman"/>
            <w:color w:val="4472C4"/>
            <w:sz w:val="24"/>
            <w:szCs w:val="24"/>
          </w:rPr>
          <w:t>https://doi.org/10.1007/978-1-4614-3967-7</w:t>
        </w:r>
      </w:hyperlink>
    </w:p>
    <w:p w14:paraId="1AA7410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Sengupta, A., McConkey, K. R., &amp; Radhakrishna, S. (2015). Primates, provisioning and plants: Impacts of human cultural </w:t>
      </w:r>
      <w:proofErr w:type="spellStart"/>
      <w:r w:rsidRPr="00302F44">
        <w:rPr>
          <w:rFonts w:ascii="Times New Roman" w:hAnsi="Times New Roman" w:cs="Times New Roman"/>
          <w:sz w:val="24"/>
          <w:szCs w:val="24"/>
        </w:rPr>
        <w:t>behaviours</w:t>
      </w:r>
      <w:proofErr w:type="spellEnd"/>
      <w:r w:rsidRPr="00302F44">
        <w:rPr>
          <w:rFonts w:ascii="Times New Roman" w:hAnsi="Times New Roman" w:cs="Times New Roman"/>
          <w:sz w:val="24"/>
          <w:szCs w:val="24"/>
        </w:rPr>
        <w:t xml:space="preserve"> on primate ecological functions. </w:t>
      </w:r>
      <w:r w:rsidRPr="00302F44">
        <w:rPr>
          <w:rFonts w:ascii="Times New Roman" w:hAnsi="Times New Roman" w:cs="Times New Roman"/>
          <w:i/>
          <w:sz w:val="24"/>
          <w:szCs w:val="24"/>
        </w:rPr>
        <w:t>PLOS ONE</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10</w:t>
      </w:r>
      <w:r w:rsidRPr="00302F44">
        <w:rPr>
          <w:rFonts w:ascii="Times New Roman" w:hAnsi="Times New Roman" w:cs="Times New Roman"/>
          <w:sz w:val="24"/>
          <w:szCs w:val="24"/>
        </w:rPr>
        <w:t xml:space="preserve">(11), Article e0140961. </w:t>
      </w:r>
      <w:hyperlink r:id="rId23">
        <w:r w:rsidRPr="00302F44">
          <w:rPr>
            <w:rFonts w:ascii="Times New Roman" w:hAnsi="Times New Roman" w:cs="Times New Roman"/>
            <w:color w:val="4472C4"/>
            <w:sz w:val="24"/>
            <w:szCs w:val="24"/>
          </w:rPr>
          <w:t>https://doi.org/10.1371/journal.pone.0140961</w:t>
        </w:r>
      </w:hyperlink>
    </w:p>
    <w:p w14:paraId="1D756934"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Sha, J. C. M., Gumert, M. D., Lee, B. P. Y.-H., Jones-Engel, L., Chan, S., &amp; Fuentes, A. (2009). Macaque-human interactions and the societal perceptions of macaques in Singapore. </w:t>
      </w:r>
      <w:r w:rsidRPr="00302F44">
        <w:rPr>
          <w:rFonts w:ascii="Times New Roman" w:hAnsi="Times New Roman" w:cs="Times New Roman"/>
          <w:i/>
          <w:sz w:val="24"/>
          <w:szCs w:val="24"/>
        </w:rPr>
        <w:t>American Journal of Primatology</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71</w:t>
      </w:r>
      <w:r w:rsidRPr="00302F44">
        <w:rPr>
          <w:rFonts w:ascii="Times New Roman" w:hAnsi="Times New Roman" w:cs="Times New Roman"/>
          <w:sz w:val="24"/>
          <w:szCs w:val="24"/>
        </w:rPr>
        <w:t xml:space="preserve">(10), 825--839. </w:t>
      </w:r>
      <w:hyperlink r:id="rId24">
        <w:r w:rsidRPr="00302F44">
          <w:rPr>
            <w:rFonts w:ascii="Times New Roman" w:hAnsi="Times New Roman" w:cs="Times New Roman"/>
            <w:color w:val="4472C4"/>
            <w:sz w:val="24"/>
            <w:szCs w:val="24"/>
          </w:rPr>
          <w:t>https://doi.org/10.1002/ajp.20710</w:t>
        </w:r>
      </w:hyperlink>
    </w:p>
    <w:p w14:paraId="27254E95"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Sinha, A. (2001). </w:t>
      </w:r>
      <w:r w:rsidRPr="00302F44">
        <w:rPr>
          <w:rFonts w:ascii="Times New Roman" w:hAnsi="Times New Roman" w:cs="Times New Roman"/>
          <w:i/>
          <w:sz w:val="24"/>
          <w:szCs w:val="24"/>
        </w:rPr>
        <w:t>A natural history of the Indian bonnet macaque</w:t>
      </w:r>
      <w:r w:rsidRPr="00302F44">
        <w:rPr>
          <w:rFonts w:ascii="Times New Roman" w:hAnsi="Times New Roman" w:cs="Times New Roman"/>
          <w:sz w:val="24"/>
          <w:szCs w:val="24"/>
        </w:rPr>
        <w:t xml:space="preserve"> (NIAS Report R2). National Institute of Advanced Studies. </w:t>
      </w:r>
      <w:hyperlink r:id="rId25">
        <w:r w:rsidRPr="00302F44">
          <w:rPr>
            <w:rFonts w:ascii="Times New Roman" w:hAnsi="Times New Roman" w:cs="Times New Roman"/>
            <w:color w:val="4472C4"/>
            <w:sz w:val="24"/>
            <w:szCs w:val="24"/>
          </w:rPr>
          <w:t>http://eprints.nias.res.in/65/1/asinha4.pdf</w:t>
        </w:r>
      </w:hyperlink>
    </w:p>
    <w:p w14:paraId="5D4480E5" w14:textId="77777777" w:rsidR="00154F24" w:rsidRDefault="00811FC3" w:rsidP="00302F44">
      <w:pPr>
        <w:spacing w:after="210"/>
        <w:jc w:val="both"/>
      </w:pPr>
      <w:proofErr w:type="spellStart"/>
      <w:r w:rsidRPr="00302F44">
        <w:rPr>
          <w:rFonts w:ascii="Times New Roman" w:hAnsi="Times New Roman" w:cs="Times New Roman"/>
          <w:sz w:val="24"/>
          <w:szCs w:val="24"/>
        </w:rPr>
        <w:t>Soulsbury</w:t>
      </w:r>
      <w:proofErr w:type="spellEnd"/>
      <w:r w:rsidRPr="00302F44">
        <w:rPr>
          <w:rFonts w:ascii="Times New Roman" w:hAnsi="Times New Roman" w:cs="Times New Roman"/>
          <w:sz w:val="24"/>
          <w:szCs w:val="24"/>
        </w:rPr>
        <w:t xml:space="preserve">, C. D., &amp; White, P. C. L. (2015). Human-wildlife interactions in urban areas: A review of conflicts, benefits and opportunities. </w:t>
      </w:r>
      <w:r w:rsidRPr="00302F44">
        <w:rPr>
          <w:rFonts w:ascii="Times New Roman" w:hAnsi="Times New Roman" w:cs="Times New Roman"/>
          <w:i/>
          <w:sz w:val="24"/>
          <w:szCs w:val="24"/>
        </w:rPr>
        <w:t>Wildlife Research</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42</w:t>
      </w:r>
      <w:r w:rsidRPr="00302F44">
        <w:rPr>
          <w:rFonts w:ascii="Times New Roman" w:hAnsi="Times New Roman" w:cs="Times New Roman"/>
          <w:sz w:val="24"/>
          <w:szCs w:val="24"/>
        </w:rPr>
        <w:t xml:space="preserve">(7), 541--553. </w:t>
      </w:r>
      <w:hyperlink r:id="rId26">
        <w:r w:rsidRPr="00302F44">
          <w:rPr>
            <w:rFonts w:ascii="Times New Roman" w:hAnsi="Times New Roman" w:cs="Times New Roman"/>
            <w:color w:val="4472C4"/>
            <w:sz w:val="24"/>
            <w:szCs w:val="24"/>
          </w:rPr>
          <w:t>https://doi.org/10.1071/WR14229</w:t>
        </w:r>
      </w:hyperlink>
    </w:p>
    <w:p w14:paraId="579BE750" w14:textId="6B3C218F" w:rsidR="0066197B" w:rsidRDefault="0066197B" w:rsidP="0066197B">
      <w:pPr>
        <w:spacing w:line="276" w:lineRule="auto"/>
        <w:rPr>
          <w:rFonts w:ascii="Times New Roman" w:eastAsia="Times New Roman" w:hAnsi="Times New Roman" w:cs="Times New Roman"/>
          <w:sz w:val="24"/>
          <w:szCs w:val="24"/>
          <w:lang w:val="en-IN" w:eastAsia="en-IN" w:bidi="kn-IN"/>
        </w:rPr>
      </w:pPr>
      <w:proofErr w:type="spellStart"/>
      <w:r w:rsidRPr="0066197B">
        <w:rPr>
          <w:rFonts w:ascii="Times New Roman" w:eastAsia="Times New Roman" w:hAnsi="Times New Roman" w:cs="Times New Roman"/>
          <w:sz w:val="24"/>
          <w:szCs w:val="24"/>
          <w:lang w:val="en-IN" w:eastAsia="en-IN" w:bidi="kn-IN"/>
        </w:rPr>
        <w:t>Suwanpakdee</w:t>
      </w:r>
      <w:proofErr w:type="spellEnd"/>
      <w:r w:rsidRPr="0066197B">
        <w:rPr>
          <w:rFonts w:ascii="Times New Roman" w:eastAsia="Times New Roman" w:hAnsi="Times New Roman" w:cs="Times New Roman"/>
          <w:sz w:val="24"/>
          <w:szCs w:val="24"/>
          <w:lang w:val="en-IN" w:eastAsia="en-IN" w:bidi="kn-IN"/>
        </w:rPr>
        <w:t xml:space="preserve">, S., Bhusri, B., Saechin, A., </w:t>
      </w:r>
      <w:proofErr w:type="spellStart"/>
      <w:r w:rsidRPr="0066197B">
        <w:rPr>
          <w:rFonts w:ascii="Times New Roman" w:eastAsia="Times New Roman" w:hAnsi="Times New Roman" w:cs="Times New Roman"/>
          <w:sz w:val="24"/>
          <w:szCs w:val="24"/>
          <w:lang w:val="en-IN" w:eastAsia="en-IN" w:bidi="kn-IN"/>
        </w:rPr>
        <w:t>Mongkolphan</w:t>
      </w:r>
      <w:proofErr w:type="spellEnd"/>
      <w:r w:rsidRPr="0066197B">
        <w:rPr>
          <w:rFonts w:ascii="Times New Roman" w:eastAsia="Times New Roman" w:hAnsi="Times New Roman" w:cs="Times New Roman"/>
          <w:sz w:val="24"/>
          <w:szCs w:val="24"/>
          <w:lang w:val="en-IN" w:eastAsia="en-IN" w:bidi="kn-IN"/>
        </w:rPr>
        <w:t xml:space="preserve">, C., </w:t>
      </w:r>
      <w:proofErr w:type="spellStart"/>
      <w:r w:rsidRPr="0066197B">
        <w:rPr>
          <w:rFonts w:ascii="Times New Roman" w:eastAsia="Times New Roman" w:hAnsi="Times New Roman" w:cs="Times New Roman"/>
          <w:sz w:val="24"/>
          <w:szCs w:val="24"/>
          <w:lang w:val="en-IN" w:eastAsia="en-IN" w:bidi="kn-IN"/>
        </w:rPr>
        <w:t>Tangsudjai</w:t>
      </w:r>
      <w:proofErr w:type="spellEnd"/>
      <w:r w:rsidRPr="0066197B">
        <w:rPr>
          <w:rFonts w:ascii="Times New Roman" w:eastAsia="Times New Roman" w:hAnsi="Times New Roman" w:cs="Times New Roman"/>
          <w:sz w:val="24"/>
          <w:szCs w:val="24"/>
          <w:lang w:val="en-IN" w:eastAsia="en-IN" w:bidi="kn-IN"/>
        </w:rPr>
        <w:t xml:space="preserve">, S., Suksai, P., </w:t>
      </w:r>
      <w:proofErr w:type="spellStart"/>
      <w:r w:rsidRPr="0066197B">
        <w:rPr>
          <w:rFonts w:ascii="Times New Roman" w:eastAsia="Times New Roman" w:hAnsi="Times New Roman" w:cs="Times New Roman"/>
          <w:sz w:val="24"/>
          <w:szCs w:val="24"/>
          <w:lang w:val="en-IN" w:eastAsia="en-IN" w:bidi="kn-IN"/>
        </w:rPr>
        <w:t>Kaewchot</w:t>
      </w:r>
      <w:proofErr w:type="spellEnd"/>
      <w:r w:rsidRPr="0066197B">
        <w:rPr>
          <w:rFonts w:ascii="Times New Roman" w:eastAsia="Times New Roman" w:hAnsi="Times New Roman" w:cs="Times New Roman"/>
          <w:sz w:val="24"/>
          <w:szCs w:val="24"/>
          <w:lang w:val="en-IN" w:eastAsia="en-IN" w:bidi="kn-IN"/>
        </w:rPr>
        <w:t xml:space="preserve">, S., </w:t>
      </w:r>
      <w:proofErr w:type="spellStart"/>
      <w:r w:rsidRPr="0066197B">
        <w:rPr>
          <w:rFonts w:ascii="Times New Roman" w:eastAsia="Times New Roman" w:hAnsi="Times New Roman" w:cs="Times New Roman"/>
          <w:sz w:val="24"/>
          <w:szCs w:val="24"/>
          <w:lang w:val="en-IN" w:eastAsia="en-IN" w:bidi="kn-IN"/>
        </w:rPr>
        <w:t>Sariwongchan</w:t>
      </w:r>
      <w:proofErr w:type="spellEnd"/>
      <w:r w:rsidRPr="0066197B">
        <w:rPr>
          <w:rFonts w:ascii="Times New Roman" w:eastAsia="Times New Roman" w:hAnsi="Times New Roman" w:cs="Times New Roman"/>
          <w:sz w:val="24"/>
          <w:szCs w:val="24"/>
          <w:lang w:val="en-IN" w:eastAsia="en-IN" w:bidi="kn-IN"/>
        </w:rPr>
        <w:t xml:space="preserve">, R., </w:t>
      </w:r>
      <w:proofErr w:type="spellStart"/>
      <w:r w:rsidRPr="0066197B">
        <w:rPr>
          <w:rFonts w:ascii="Times New Roman" w:eastAsia="Times New Roman" w:hAnsi="Times New Roman" w:cs="Times New Roman"/>
          <w:sz w:val="24"/>
          <w:szCs w:val="24"/>
          <w:lang w:val="en-IN" w:eastAsia="en-IN" w:bidi="kn-IN"/>
        </w:rPr>
        <w:t>Sereerak</w:t>
      </w:r>
      <w:proofErr w:type="spellEnd"/>
      <w:r w:rsidRPr="0066197B">
        <w:rPr>
          <w:rFonts w:ascii="Times New Roman" w:eastAsia="Times New Roman" w:hAnsi="Times New Roman" w:cs="Times New Roman"/>
          <w:sz w:val="24"/>
          <w:szCs w:val="24"/>
          <w:lang w:val="en-IN" w:eastAsia="en-IN" w:bidi="kn-IN"/>
        </w:rPr>
        <w:t xml:space="preserve">, P., &amp; Sariya, L. (2025). Potential Zoonotic Infections Transmitted by Free‐Ranging Macaques in Human–Monkey Conflict Areas in Thailand. </w:t>
      </w:r>
      <w:r w:rsidRPr="0066197B">
        <w:rPr>
          <w:rFonts w:ascii="Times New Roman" w:eastAsia="Times New Roman" w:hAnsi="Times New Roman" w:cs="Times New Roman"/>
          <w:i/>
          <w:iCs/>
          <w:sz w:val="24"/>
          <w:szCs w:val="24"/>
          <w:lang w:val="en-IN" w:eastAsia="en-IN" w:bidi="kn-IN"/>
        </w:rPr>
        <w:t>Zoonoses and Public Health</w:t>
      </w:r>
      <w:r w:rsidRPr="0066197B">
        <w:rPr>
          <w:rFonts w:ascii="Times New Roman" w:eastAsia="Times New Roman" w:hAnsi="Times New Roman" w:cs="Times New Roman"/>
          <w:sz w:val="24"/>
          <w:szCs w:val="24"/>
          <w:lang w:val="en-IN" w:eastAsia="en-IN" w:bidi="kn-IN"/>
        </w:rPr>
        <w:t xml:space="preserve">, </w:t>
      </w:r>
      <w:r w:rsidRPr="0066197B">
        <w:rPr>
          <w:rFonts w:ascii="Times New Roman" w:eastAsia="Times New Roman" w:hAnsi="Times New Roman" w:cs="Times New Roman"/>
          <w:i/>
          <w:iCs/>
          <w:sz w:val="24"/>
          <w:szCs w:val="24"/>
          <w:lang w:val="en-IN" w:eastAsia="en-IN" w:bidi="kn-IN"/>
        </w:rPr>
        <w:t>72</w:t>
      </w:r>
      <w:r w:rsidRPr="0066197B">
        <w:rPr>
          <w:rFonts w:ascii="Times New Roman" w:eastAsia="Times New Roman" w:hAnsi="Times New Roman" w:cs="Times New Roman"/>
          <w:sz w:val="24"/>
          <w:szCs w:val="24"/>
          <w:lang w:val="en-IN" w:eastAsia="en-IN" w:bidi="kn-IN"/>
        </w:rPr>
        <w:t xml:space="preserve">(4), 349. </w:t>
      </w:r>
      <w:hyperlink r:id="rId27" w:history="1">
        <w:r w:rsidRPr="00056089">
          <w:rPr>
            <w:rStyle w:val="Hyperlink"/>
            <w:rFonts w:ascii="Times New Roman" w:eastAsia="Times New Roman" w:hAnsi="Times New Roman" w:cs="Times New Roman"/>
            <w:sz w:val="24"/>
            <w:szCs w:val="24"/>
            <w:lang w:val="en-IN" w:eastAsia="en-IN" w:bidi="kn-IN"/>
          </w:rPr>
          <w:t>https://doi.org/10.1111/zph.13211</w:t>
        </w:r>
      </w:hyperlink>
    </w:p>
    <w:p w14:paraId="241FC660" w14:textId="77777777" w:rsidR="0066197B" w:rsidRPr="0066197B" w:rsidRDefault="0066197B" w:rsidP="0066197B">
      <w:pPr>
        <w:spacing w:line="276" w:lineRule="auto"/>
        <w:rPr>
          <w:rFonts w:ascii="Times New Roman" w:eastAsia="Times New Roman" w:hAnsi="Times New Roman" w:cs="Times New Roman"/>
          <w:sz w:val="24"/>
          <w:szCs w:val="24"/>
          <w:lang w:val="en-IN" w:eastAsia="en-IN" w:bidi="kn-IN"/>
        </w:rPr>
      </w:pPr>
    </w:p>
    <w:p w14:paraId="2811B812" w14:textId="189A64EB" w:rsidR="00154F24" w:rsidRDefault="00811FC3" w:rsidP="00302F44">
      <w:pPr>
        <w:spacing w:after="210"/>
        <w:jc w:val="both"/>
      </w:pPr>
      <w:proofErr w:type="spellStart"/>
      <w:r w:rsidRPr="00302F44">
        <w:rPr>
          <w:rFonts w:ascii="Times New Roman" w:hAnsi="Times New Roman" w:cs="Times New Roman"/>
          <w:sz w:val="24"/>
          <w:szCs w:val="24"/>
        </w:rPr>
        <w:t>Wierucka</w:t>
      </w:r>
      <w:proofErr w:type="spellEnd"/>
      <w:r w:rsidRPr="00302F44">
        <w:rPr>
          <w:rFonts w:ascii="Times New Roman" w:hAnsi="Times New Roman" w:cs="Times New Roman"/>
          <w:sz w:val="24"/>
          <w:szCs w:val="24"/>
        </w:rPr>
        <w:t xml:space="preserve">, K., Hatten, C. E. R., Murphy, D., Allcock, J. A., Andersson, A. A., Bojan, J. W. N., Kong, T. C., Kwok, J. K., Lam, J. Y. K., Ma, C. H., Phalke, S., Tilley, H. B., Wang, R. S., Wang, Y., Webster, S. J., Mumby, H. S., &amp; Dingle, C. (2023). Human-wildlife interactions in urban Asia. </w:t>
      </w:r>
      <w:r w:rsidRPr="00302F44">
        <w:rPr>
          <w:rFonts w:ascii="Times New Roman" w:hAnsi="Times New Roman" w:cs="Times New Roman"/>
          <w:i/>
          <w:sz w:val="24"/>
          <w:szCs w:val="24"/>
        </w:rPr>
        <w:t>Global Ecology and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46</w:t>
      </w:r>
      <w:r w:rsidRPr="00302F44">
        <w:rPr>
          <w:rFonts w:ascii="Times New Roman" w:hAnsi="Times New Roman" w:cs="Times New Roman"/>
          <w:sz w:val="24"/>
          <w:szCs w:val="24"/>
        </w:rPr>
        <w:t xml:space="preserve">, Article e02596. </w:t>
      </w:r>
      <w:hyperlink r:id="rId28">
        <w:r w:rsidRPr="00302F44">
          <w:rPr>
            <w:rFonts w:ascii="Times New Roman" w:hAnsi="Times New Roman" w:cs="Times New Roman"/>
            <w:color w:val="4472C4"/>
            <w:sz w:val="24"/>
            <w:szCs w:val="24"/>
          </w:rPr>
          <w:t>https://doi.org/10.1016/j.gecco.2023.e02596</w:t>
        </w:r>
      </w:hyperlink>
    </w:p>
    <w:p w14:paraId="492647E7" w14:textId="0B9B01FE" w:rsidR="001C3709" w:rsidRPr="00B31BD2" w:rsidRDefault="001C3709" w:rsidP="00302F44">
      <w:pPr>
        <w:spacing w:after="210"/>
        <w:jc w:val="both"/>
      </w:pPr>
      <w:r w:rsidRPr="001C3709">
        <w:rPr>
          <w:rFonts w:ascii="Times New Roman" w:hAnsi="Times New Roman" w:cs="Times New Roman"/>
          <w:sz w:val="24"/>
          <w:szCs w:val="24"/>
        </w:rPr>
        <w:t>STROBE-checklist-v4-cross-sectional.pdf</w:t>
      </w:r>
      <w:r w:rsidR="00B31BD2" w:rsidRPr="00B31BD2">
        <w:t xml:space="preserve"> </w:t>
      </w:r>
      <w:r w:rsidR="00B31BD2" w:rsidRPr="00B31BD2">
        <w:rPr>
          <w:rFonts w:ascii="Times New Roman" w:hAnsi="Times New Roman" w:cs="Times New Roman"/>
          <w:sz w:val="24"/>
          <w:szCs w:val="24"/>
        </w:rPr>
        <w:t>https://www.strobe-statement.org/checklists/</w:t>
      </w:r>
      <w:r w:rsidR="00B31BD2">
        <w:t xml:space="preserve"> </w:t>
      </w:r>
    </w:p>
    <w:p w14:paraId="4ACF4D13" w14:textId="77777777" w:rsidR="00154F24" w:rsidRPr="00302F44" w:rsidRDefault="00811FC3" w:rsidP="00302F44">
      <w:pPr>
        <w:spacing w:before="240" w:line="271" w:lineRule="auto"/>
        <w:jc w:val="both"/>
        <w:rPr>
          <w:rFonts w:ascii="Times New Roman" w:hAnsi="Times New Roman" w:cs="Times New Roman"/>
          <w:sz w:val="24"/>
          <w:szCs w:val="24"/>
        </w:rPr>
      </w:pPr>
      <w:bookmarkStart w:id="30" w:name="tables_and_figures"/>
      <w:r w:rsidRPr="00302F44">
        <w:rPr>
          <w:rFonts w:ascii="Times New Roman" w:hAnsi="Times New Roman" w:cs="Times New Roman"/>
          <w:b/>
          <w:sz w:val="24"/>
          <w:szCs w:val="24"/>
        </w:rPr>
        <w:t>TABLES AND FIGURES</w:t>
      </w:r>
      <w:bookmarkEnd w:id="30"/>
    </w:p>
    <w:tbl>
      <w:tblPr>
        <w:tblStyle w:val="NormalGrid"/>
        <w:tblW w:w="0" w:type="auto"/>
        <w:jc w:val="center"/>
        <w:tblCellSpacing w:w="0" w:type="dxa"/>
        <w:tblLook w:val="04A0" w:firstRow="1" w:lastRow="0" w:firstColumn="1" w:lastColumn="0" w:noHBand="0" w:noVBand="1"/>
      </w:tblPr>
      <w:tblGrid>
        <w:gridCol w:w="3132"/>
        <w:gridCol w:w="1826"/>
        <w:gridCol w:w="700"/>
        <w:gridCol w:w="1473"/>
        <w:gridCol w:w="1539"/>
      </w:tblGrid>
      <w:tr w:rsidR="00154F24" w:rsidRPr="00302F44" w14:paraId="698B71F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DCCB72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Variable</w:t>
            </w:r>
          </w:p>
        </w:tc>
        <w:tc>
          <w:tcPr>
            <w:tcW w:w="0" w:type="auto"/>
            <w:tcBorders>
              <w:top w:val="single" w:sz="8" w:space="0" w:color="000000"/>
              <w:bottom w:val="single" w:sz="8" w:space="0" w:color="000000"/>
              <w:right w:val="single" w:sz="8" w:space="0" w:color="000000"/>
            </w:tcBorders>
            <w:vAlign w:val="center"/>
          </w:tcPr>
          <w:p w14:paraId="019A560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Category</w:t>
            </w:r>
          </w:p>
        </w:tc>
        <w:tc>
          <w:tcPr>
            <w:tcW w:w="0" w:type="auto"/>
            <w:tcBorders>
              <w:top w:val="single" w:sz="8" w:space="0" w:color="000000"/>
              <w:bottom w:val="single" w:sz="8" w:space="0" w:color="000000"/>
              <w:right w:val="single" w:sz="8" w:space="0" w:color="000000"/>
            </w:tcBorders>
            <w:vAlign w:val="center"/>
          </w:tcPr>
          <w:p w14:paraId="18E38A7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6C42A52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c>
          <w:tcPr>
            <w:tcW w:w="0" w:type="auto"/>
            <w:tcBorders>
              <w:top w:val="single" w:sz="8" w:space="0" w:color="000000"/>
              <w:bottom w:val="single" w:sz="8" w:space="0" w:color="000000"/>
              <w:right w:val="single" w:sz="8" w:space="0" w:color="000000"/>
            </w:tcBorders>
            <w:vAlign w:val="center"/>
          </w:tcPr>
          <w:p w14:paraId="53C5E26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95% CI</w:t>
            </w:r>
          </w:p>
        </w:tc>
      </w:tr>
      <w:tr w:rsidR="00154F24" w:rsidRPr="00302F44" w14:paraId="204277F7" w14:textId="77777777">
        <w:trPr>
          <w:cantSplit/>
          <w:tblCellSpacing w:w="0" w:type="dxa"/>
          <w:jc w:val="center"/>
        </w:trPr>
        <w:tc>
          <w:tcPr>
            <w:tcW w:w="0" w:type="auto"/>
            <w:tcBorders>
              <w:left w:val="single" w:sz="8" w:space="0" w:color="000000"/>
              <w:right w:val="single" w:sz="8" w:space="0" w:color="000000"/>
            </w:tcBorders>
            <w:vAlign w:val="center"/>
          </w:tcPr>
          <w:p w14:paraId="259F134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 xml:space="preserve">Feeding </w:t>
            </w:r>
            <w:proofErr w:type="spellStart"/>
            <w:r w:rsidRPr="00302F44">
              <w:rPr>
                <w:rFonts w:ascii="Times New Roman" w:hAnsi="Times New Roman" w:cs="Times New Roman"/>
                <w:b/>
                <w:sz w:val="24"/>
                <w:szCs w:val="24"/>
              </w:rPr>
              <w:t>Behaviour</w:t>
            </w:r>
            <w:proofErr w:type="spellEnd"/>
            <w:r w:rsidRPr="00302F44">
              <w:rPr>
                <w:rFonts w:ascii="Times New Roman" w:hAnsi="Times New Roman" w:cs="Times New Roman"/>
                <w:sz w:val="24"/>
                <w:szCs w:val="24"/>
              </w:rPr>
              <w:t xml:space="preserve"> (n=701)</w:t>
            </w:r>
          </w:p>
        </w:tc>
        <w:tc>
          <w:tcPr>
            <w:tcW w:w="0" w:type="auto"/>
            <w:tcBorders>
              <w:bottom w:val="single" w:sz="8" w:space="0" w:color="000000"/>
              <w:right w:val="single" w:sz="8" w:space="0" w:color="000000"/>
            </w:tcBorders>
            <w:vAlign w:val="center"/>
          </w:tcPr>
          <w:p w14:paraId="62B4484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Feed monkeys</w:t>
            </w:r>
          </w:p>
        </w:tc>
        <w:tc>
          <w:tcPr>
            <w:tcW w:w="0" w:type="auto"/>
            <w:tcBorders>
              <w:bottom w:val="single" w:sz="8" w:space="0" w:color="000000"/>
              <w:right w:val="single" w:sz="8" w:space="0" w:color="000000"/>
            </w:tcBorders>
            <w:vAlign w:val="center"/>
          </w:tcPr>
          <w:p w14:paraId="394523A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324</w:t>
            </w:r>
          </w:p>
        </w:tc>
        <w:tc>
          <w:tcPr>
            <w:tcW w:w="0" w:type="auto"/>
            <w:tcBorders>
              <w:bottom w:val="single" w:sz="8" w:space="0" w:color="000000"/>
              <w:right w:val="single" w:sz="8" w:space="0" w:color="000000"/>
            </w:tcBorders>
            <w:vAlign w:val="center"/>
          </w:tcPr>
          <w:p w14:paraId="2C74C9E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46.2%</w:t>
            </w:r>
          </w:p>
        </w:tc>
        <w:tc>
          <w:tcPr>
            <w:tcW w:w="0" w:type="auto"/>
            <w:tcBorders>
              <w:bottom w:val="single" w:sz="8" w:space="0" w:color="000000"/>
              <w:right w:val="single" w:sz="8" w:space="0" w:color="000000"/>
            </w:tcBorders>
            <w:vAlign w:val="center"/>
          </w:tcPr>
          <w:p w14:paraId="17728AC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42.5--49.9%</w:t>
            </w:r>
          </w:p>
        </w:tc>
      </w:tr>
      <w:tr w:rsidR="00154F24" w:rsidRPr="00302F44" w14:paraId="624797F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10114C0"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185D14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Don't feed</w:t>
            </w:r>
          </w:p>
        </w:tc>
        <w:tc>
          <w:tcPr>
            <w:tcW w:w="0" w:type="auto"/>
            <w:tcBorders>
              <w:bottom w:val="single" w:sz="8" w:space="0" w:color="000000"/>
              <w:right w:val="single" w:sz="8" w:space="0" w:color="000000"/>
            </w:tcBorders>
            <w:vAlign w:val="center"/>
          </w:tcPr>
          <w:p w14:paraId="55BB891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377</w:t>
            </w:r>
          </w:p>
        </w:tc>
        <w:tc>
          <w:tcPr>
            <w:tcW w:w="0" w:type="auto"/>
            <w:tcBorders>
              <w:bottom w:val="single" w:sz="8" w:space="0" w:color="000000"/>
              <w:right w:val="single" w:sz="8" w:space="0" w:color="000000"/>
            </w:tcBorders>
            <w:vAlign w:val="center"/>
          </w:tcPr>
          <w:p w14:paraId="1686CC1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53.8%</w:t>
            </w:r>
          </w:p>
        </w:tc>
        <w:tc>
          <w:tcPr>
            <w:tcW w:w="0" w:type="auto"/>
            <w:tcBorders>
              <w:bottom w:val="single" w:sz="8" w:space="0" w:color="000000"/>
              <w:right w:val="single" w:sz="8" w:space="0" w:color="000000"/>
            </w:tcBorders>
            <w:vAlign w:val="center"/>
          </w:tcPr>
          <w:p w14:paraId="4C51341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50.1--57.5%</w:t>
            </w:r>
          </w:p>
        </w:tc>
      </w:tr>
      <w:tr w:rsidR="00154F24" w:rsidRPr="00302F44" w14:paraId="4ADFDD5D" w14:textId="77777777">
        <w:trPr>
          <w:cantSplit/>
          <w:tblCellSpacing w:w="0" w:type="dxa"/>
          <w:jc w:val="center"/>
        </w:trPr>
        <w:tc>
          <w:tcPr>
            <w:tcW w:w="0" w:type="auto"/>
            <w:tcBorders>
              <w:left w:val="single" w:sz="8" w:space="0" w:color="000000"/>
              <w:right w:val="single" w:sz="8" w:space="0" w:color="000000"/>
            </w:tcBorders>
            <w:vAlign w:val="center"/>
          </w:tcPr>
          <w:p w14:paraId="6F9CC6A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lastRenderedPageBreak/>
              <w:t>Food Type</w:t>
            </w:r>
            <w:r w:rsidRPr="00302F44">
              <w:rPr>
                <w:rFonts w:ascii="Times New Roman" w:hAnsi="Times New Roman" w:cs="Times New Roman"/>
                <w:sz w:val="24"/>
                <w:szCs w:val="24"/>
              </w:rPr>
              <w:t xml:space="preserve"> (n=399)</w:t>
            </w:r>
          </w:p>
        </w:tc>
        <w:tc>
          <w:tcPr>
            <w:tcW w:w="0" w:type="auto"/>
            <w:tcBorders>
              <w:bottom w:val="single" w:sz="8" w:space="0" w:color="000000"/>
              <w:right w:val="single" w:sz="8" w:space="0" w:color="000000"/>
            </w:tcBorders>
            <w:vAlign w:val="center"/>
          </w:tcPr>
          <w:p w14:paraId="6C7CCC4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Fruits</w:t>
            </w:r>
          </w:p>
        </w:tc>
        <w:tc>
          <w:tcPr>
            <w:tcW w:w="0" w:type="auto"/>
            <w:tcBorders>
              <w:bottom w:val="single" w:sz="8" w:space="0" w:color="000000"/>
              <w:right w:val="single" w:sz="8" w:space="0" w:color="000000"/>
            </w:tcBorders>
            <w:vAlign w:val="center"/>
          </w:tcPr>
          <w:p w14:paraId="0AB6A0A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332</w:t>
            </w:r>
          </w:p>
        </w:tc>
        <w:tc>
          <w:tcPr>
            <w:tcW w:w="0" w:type="auto"/>
            <w:tcBorders>
              <w:bottom w:val="single" w:sz="8" w:space="0" w:color="000000"/>
              <w:right w:val="single" w:sz="8" w:space="0" w:color="000000"/>
            </w:tcBorders>
            <w:vAlign w:val="center"/>
          </w:tcPr>
          <w:p w14:paraId="1B3D27A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83.2%</w:t>
            </w:r>
          </w:p>
        </w:tc>
        <w:tc>
          <w:tcPr>
            <w:tcW w:w="0" w:type="auto"/>
            <w:tcBorders>
              <w:bottom w:val="single" w:sz="8" w:space="0" w:color="000000"/>
              <w:right w:val="single" w:sz="8" w:space="0" w:color="000000"/>
            </w:tcBorders>
            <w:vAlign w:val="center"/>
          </w:tcPr>
          <w:p w14:paraId="1427832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79.4--87.0%</w:t>
            </w:r>
          </w:p>
        </w:tc>
      </w:tr>
      <w:tr w:rsidR="00154F24" w:rsidRPr="00302F44" w14:paraId="617AFB44" w14:textId="77777777">
        <w:trPr>
          <w:cantSplit/>
          <w:tblCellSpacing w:w="0" w:type="dxa"/>
          <w:jc w:val="center"/>
        </w:trPr>
        <w:tc>
          <w:tcPr>
            <w:tcW w:w="0" w:type="auto"/>
            <w:tcBorders>
              <w:left w:val="single" w:sz="8" w:space="0" w:color="000000"/>
              <w:right w:val="single" w:sz="8" w:space="0" w:color="000000"/>
            </w:tcBorders>
            <w:vAlign w:val="center"/>
          </w:tcPr>
          <w:p w14:paraId="093C2356"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32458F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Bakery items</w:t>
            </w:r>
          </w:p>
        </w:tc>
        <w:tc>
          <w:tcPr>
            <w:tcW w:w="0" w:type="auto"/>
            <w:tcBorders>
              <w:bottom w:val="single" w:sz="8" w:space="0" w:color="000000"/>
              <w:right w:val="single" w:sz="8" w:space="0" w:color="000000"/>
            </w:tcBorders>
            <w:vAlign w:val="center"/>
          </w:tcPr>
          <w:p w14:paraId="04758A1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39</w:t>
            </w:r>
          </w:p>
        </w:tc>
        <w:tc>
          <w:tcPr>
            <w:tcW w:w="0" w:type="auto"/>
            <w:tcBorders>
              <w:bottom w:val="single" w:sz="8" w:space="0" w:color="000000"/>
              <w:right w:val="single" w:sz="8" w:space="0" w:color="000000"/>
            </w:tcBorders>
            <w:vAlign w:val="center"/>
          </w:tcPr>
          <w:p w14:paraId="2C4075F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9.8%</w:t>
            </w:r>
          </w:p>
        </w:tc>
        <w:tc>
          <w:tcPr>
            <w:tcW w:w="0" w:type="auto"/>
            <w:tcBorders>
              <w:bottom w:val="single" w:sz="8" w:space="0" w:color="000000"/>
              <w:right w:val="single" w:sz="8" w:space="0" w:color="000000"/>
            </w:tcBorders>
            <w:vAlign w:val="center"/>
          </w:tcPr>
          <w:p w14:paraId="3FF97E9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7.0--12.6%</w:t>
            </w:r>
          </w:p>
        </w:tc>
      </w:tr>
      <w:tr w:rsidR="00154F24" w:rsidRPr="00302F44" w14:paraId="7E32ADF3" w14:textId="77777777">
        <w:trPr>
          <w:cantSplit/>
          <w:tblCellSpacing w:w="0" w:type="dxa"/>
          <w:jc w:val="center"/>
        </w:trPr>
        <w:tc>
          <w:tcPr>
            <w:tcW w:w="0" w:type="auto"/>
            <w:tcBorders>
              <w:left w:val="single" w:sz="8" w:space="0" w:color="000000"/>
              <w:right w:val="single" w:sz="8" w:space="0" w:color="000000"/>
            </w:tcBorders>
            <w:vAlign w:val="center"/>
          </w:tcPr>
          <w:p w14:paraId="46063C50"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844B66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Uncooked food</w:t>
            </w:r>
          </w:p>
        </w:tc>
        <w:tc>
          <w:tcPr>
            <w:tcW w:w="0" w:type="auto"/>
            <w:tcBorders>
              <w:bottom w:val="single" w:sz="8" w:space="0" w:color="000000"/>
              <w:right w:val="single" w:sz="8" w:space="0" w:color="000000"/>
            </w:tcBorders>
            <w:vAlign w:val="center"/>
          </w:tcPr>
          <w:p w14:paraId="7F15A7F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14:paraId="7CD98AF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4.3%</w:t>
            </w:r>
          </w:p>
        </w:tc>
        <w:tc>
          <w:tcPr>
            <w:tcW w:w="0" w:type="auto"/>
            <w:tcBorders>
              <w:bottom w:val="single" w:sz="8" w:space="0" w:color="000000"/>
              <w:right w:val="single" w:sz="8" w:space="0" w:color="000000"/>
            </w:tcBorders>
            <w:vAlign w:val="center"/>
          </w:tcPr>
          <w:p w14:paraId="40B516A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2.4--6.2%</w:t>
            </w:r>
          </w:p>
        </w:tc>
      </w:tr>
      <w:tr w:rsidR="00154F24" w:rsidRPr="00302F44" w14:paraId="0925FDD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94846B3"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4CD31F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Cooked food</w:t>
            </w:r>
          </w:p>
        </w:tc>
        <w:tc>
          <w:tcPr>
            <w:tcW w:w="0" w:type="auto"/>
            <w:tcBorders>
              <w:bottom w:val="single" w:sz="8" w:space="0" w:color="000000"/>
              <w:right w:val="single" w:sz="8" w:space="0" w:color="000000"/>
            </w:tcBorders>
            <w:vAlign w:val="center"/>
          </w:tcPr>
          <w:p w14:paraId="2F01E09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14:paraId="7610D15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2.8%</w:t>
            </w:r>
          </w:p>
        </w:tc>
        <w:tc>
          <w:tcPr>
            <w:tcW w:w="0" w:type="auto"/>
            <w:tcBorders>
              <w:bottom w:val="single" w:sz="8" w:space="0" w:color="000000"/>
              <w:right w:val="single" w:sz="8" w:space="0" w:color="000000"/>
            </w:tcBorders>
            <w:vAlign w:val="center"/>
          </w:tcPr>
          <w:p w14:paraId="7E3D1A4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1.2--4.4%</w:t>
            </w:r>
          </w:p>
        </w:tc>
      </w:tr>
    </w:tbl>
    <w:p w14:paraId="11891308" w14:textId="77777777" w:rsidR="00154F24" w:rsidRPr="00302F44" w:rsidRDefault="00154F24" w:rsidP="00302F44">
      <w:pPr>
        <w:jc w:val="both"/>
        <w:rPr>
          <w:rFonts w:ascii="Times New Roman" w:hAnsi="Times New Roman" w:cs="Times New Roman"/>
          <w:sz w:val="24"/>
          <w:szCs w:val="24"/>
        </w:rPr>
      </w:pPr>
    </w:p>
    <w:p w14:paraId="52ABC42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 xml:space="preserve">Table 1: Table 1. Feeding </w:t>
      </w:r>
      <w:proofErr w:type="spellStart"/>
      <w:r w:rsidRPr="00302F44">
        <w:rPr>
          <w:rFonts w:ascii="Times New Roman" w:hAnsi="Times New Roman" w:cs="Times New Roman"/>
          <w:sz w:val="24"/>
          <w:szCs w:val="24"/>
        </w:rPr>
        <w:t>Behaviour</w:t>
      </w:r>
      <w:proofErr w:type="spellEnd"/>
      <w:r w:rsidRPr="00302F44">
        <w:rPr>
          <w:rFonts w:ascii="Times New Roman" w:hAnsi="Times New Roman" w:cs="Times New Roman"/>
          <w:sz w:val="24"/>
          <w:szCs w:val="24"/>
        </w:rPr>
        <w:t xml:space="preserve"> and Food Type Distribution</w:t>
      </w:r>
    </w:p>
    <w:tbl>
      <w:tblPr>
        <w:tblStyle w:val="NormalGrid"/>
        <w:tblW w:w="0" w:type="auto"/>
        <w:jc w:val="center"/>
        <w:tblCellSpacing w:w="0" w:type="dxa"/>
        <w:tblLook w:val="04A0" w:firstRow="1" w:lastRow="0" w:firstColumn="1" w:lastColumn="0" w:noHBand="0" w:noVBand="1"/>
      </w:tblPr>
      <w:tblGrid>
        <w:gridCol w:w="2954"/>
        <w:gridCol w:w="2160"/>
        <w:gridCol w:w="700"/>
        <w:gridCol w:w="1473"/>
        <w:gridCol w:w="1383"/>
      </w:tblGrid>
      <w:tr w:rsidR="00154F24" w:rsidRPr="00302F44" w14:paraId="7E6B63D0"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2916A2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Variable</w:t>
            </w:r>
          </w:p>
        </w:tc>
        <w:tc>
          <w:tcPr>
            <w:tcW w:w="0" w:type="auto"/>
            <w:tcBorders>
              <w:top w:val="single" w:sz="8" w:space="0" w:color="000000"/>
              <w:bottom w:val="single" w:sz="8" w:space="0" w:color="000000"/>
              <w:right w:val="single" w:sz="8" w:space="0" w:color="000000"/>
            </w:tcBorders>
            <w:vAlign w:val="center"/>
          </w:tcPr>
          <w:p w14:paraId="3FA3484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Category</w:t>
            </w:r>
          </w:p>
        </w:tc>
        <w:tc>
          <w:tcPr>
            <w:tcW w:w="0" w:type="auto"/>
            <w:tcBorders>
              <w:top w:val="single" w:sz="8" w:space="0" w:color="000000"/>
              <w:bottom w:val="single" w:sz="8" w:space="0" w:color="000000"/>
              <w:right w:val="single" w:sz="8" w:space="0" w:color="000000"/>
            </w:tcBorders>
            <w:vAlign w:val="center"/>
          </w:tcPr>
          <w:p w14:paraId="7618459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1C31EF5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c>
          <w:tcPr>
            <w:tcW w:w="0" w:type="auto"/>
            <w:tcBorders>
              <w:top w:val="single" w:sz="8" w:space="0" w:color="000000"/>
              <w:bottom w:val="single" w:sz="8" w:space="0" w:color="000000"/>
              <w:right w:val="single" w:sz="8" w:space="0" w:color="000000"/>
            </w:tcBorders>
            <w:vAlign w:val="center"/>
          </w:tcPr>
          <w:p w14:paraId="42B6EB3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95% CI</w:t>
            </w:r>
          </w:p>
        </w:tc>
      </w:tr>
      <w:tr w:rsidR="00154F24" w:rsidRPr="00302F44" w14:paraId="497313D7" w14:textId="77777777">
        <w:trPr>
          <w:cantSplit/>
          <w:tblCellSpacing w:w="0" w:type="dxa"/>
          <w:jc w:val="center"/>
        </w:trPr>
        <w:tc>
          <w:tcPr>
            <w:tcW w:w="0" w:type="auto"/>
            <w:tcBorders>
              <w:left w:val="single" w:sz="8" w:space="0" w:color="000000"/>
              <w:right w:val="single" w:sz="8" w:space="0" w:color="000000"/>
            </w:tcBorders>
            <w:vAlign w:val="center"/>
          </w:tcPr>
          <w:p w14:paraId="78E12EE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Tolerance Level</w:t>
            </w:r>
            <w:r w:rsidRPr="00302F44">
              <w:rPr>
                <w:rFonts w:ascii="Times New Roman" w:hAnsi="Times New Roman" w:cs="Times New Roman"/>
                <w:sz w:val="24"/>
                <w:szCs w:val="24"/>
              </w:rPr>
              <w:t xml:space="preserve"> (n=672)</w:t>
            </w:r>
          </w:p>
        </w:tc>
        <w:tc>
          <w:tcPr>
            <w:tcW w:w="0" w:type="auto"/>
            <w:tcBorders>
              <w:bottom w:val="single" w:sz="8" w:space="0" w:color="000000"/>
              <w:right w:val="single" w:sz="8" w:space="0" w:color="000000"/>
            </w:tcBorders>
            <w:vAlign w:val="center"/>
          </w:tcPr>
          <w:p w14:paraId="71D135F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Neutral</w:t>
            </w:r>
          </w:p>
        </w:tc>
        <w:tc>
          <w:tcPr>
            <w:tcW w:w="0" w:type="auto"/>
            <w:tcBorders>
              <w:bottom w:val="single" w:sz="8" w:space="0" w:color="000000"/>
              <w:right w:val="single" w:sz="8" w:space="0" w:color="000000"/>
            </w:tcBorders>
            <w:vAlign w:val="center"/>
          </w:tcPr>
          <w:p w14:paraId="02116F0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471</w:t>
            </w:r>
          </w:p>
        </w:tc>
        <w:tc>
          <w:tcPr>
            <w:tcW w:w="0" w:type="auto"/>
            <w:tcBorders>
              <w:bottom w:val="single" w:sz="8" w:space="0" w:color="000000"/>
              <w:right w:val="single" w:sz="8" w:space="0" w:color="000000"/>
            </w:tcBorders>
            <w:vAlign w:val="center"/>
          </w:tcPr>
          <w:p w14:paraId="71DC141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70.1%</w:t>
            </w:r>
          </w:p>
        </w:tc>
        <w:tc>
          <w:tcPr>
            <w:tcW w:w="0" w:type="auto"/>
            <w:tcBorders>
              <w:bottom w:val="single" w:sz="8" w:space="0" w:color="000000"/>
              <w:right w:val="single" w:sz="8" w:space="0" w:color="000000"/>
            </w:tcBorders>
            <w:vAlign w:val="center"/>
          </w:tcPr>
          <w:p w14:paraId="22FC707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66.4--73.8%</w:t>
            </w:r>
          </w:p>
        </w:tc>
      </w:tr>
      <w:tr w:rsidR="00154F24" w:rsidRPr="00302F44" w14:paraId="1C4E55EE" w14:textId="77777777">
        <w:trPr>
          <w:cantSplit/>
          <w:tblCellSpacing w:w="0" w:type="dxa"/>
          <w:jc w:val="center"/>
        </w:trPr>
        <w:tc>
          <w:tcPr>
            <w:tcW w:w="0" w:type="auto"/>
            <w:tcBorders>
              <w:left w:val="single" w:sz="8" w:space="0" w:color="000000"/>
              <w:right w:val="single" w:sz="8" w:space="0" w:color="000000"/>
            </w:tcBorders>
            <w:vAlign w:val="center"/>
          </w:tcPr>
          <w:p w14:paraId="5ECD090D"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AE131C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Low</w:t>
            </w:r>
          </w:p>
        </w:tc>
        <w:tc>
          <w:tcPr>
            <w:tcW w:w="0" w:type="auto"/>
            <w:tcBorders>
              <w:bottom w:val="single" w:sz="8" w:space="0" w:color="000000"/>
              <w:right w:val="single" w:sz="8" w:space="0" w:color="000000"/>
            </w:tcBorders>
            <w:vAlign w:val="center"/>
          </w:tcPr>
          <w:p w14:paraId="2C3F9B6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126</w:t>
            </w:r>
          </w:p>
        </w:tc>
        <w:tc>
          <w:tcPr>
            <w:tcW w:w="0" w:type="auto"/>
            <w:tcBorders>
              <w:bottom w:val="single" w:sz="8" w:space="0" w:color="000000"/>
              <w:right w:val="single" w:sz="8" w:space="0" w:color="000000"/>
            </w:tcBorders>
            <w:vAlign w:val="center"/>
          </w:tcPr>
          <w:p w14:paraId="1F3883E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18.8%</w:t>
            </w:r>
          </w:p>
        </w:tc>
        <w:tc>
          <w:tcPr>
            <w:tcW w:w="0" w:type="auto"/>
            <w:tcBorders>
              <w:bottom w:val="single" w:sz="8" w:space="0" w:color="000000"/>
              <w:right w:val="single" w:sz="8" w:space="0" w:color="000000"/>
            </w:tcBorders>
            <w:vAlign w:val="center"/>
          </w:tcPr>
          <w:p w14:paraId="5629CA9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15.8--21.8%</w:t>
            </w:r>
          </w:p>
        </w:tc>
      </w:tr>
      <w:tr w:rsidR="00154F24" w:rsidRPr="00302F44" w14:paraId="1C5EAF8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435917"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26BD81B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High</w:t>
            </w:r>
          </w:p>
        </w:tc>
        <w:tc>
          <w:tcPr>
            <w:tcW w:w="0" w:type="auto"/>
            <w:tcBorders>
              <w:bottom w:val="single" w:sz="8" w:space="0" w:color="000000"/>
              <w:right w:val="single" w:sz="8" w:space="0" w:color="000000"/>
            </w:tcBorders>
            <w:vAlign w:val="center"/>
          </w:tcPr>
          <w:p w14:paraId="4F26832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75</w:t>
            </w:r>
          </w:p>
        </w:tc>
        <w:tc>
          <w:tcPr>
            <w:tcW w:w="0" w:type="auto"/>
            <w:tcBorders>
              <w:bottom w:val="single" w:sz="8" w:space="0" w:color="000000"/>
              <w:right w:val="single" w:sz="8" w:space="0" w:color="000000"/>
            </w:tcBorders>
            <w:vAlign w:val="center"/>
          </w:tcPr>
          <w:p w14:paraId="13824D0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11.2%</w:t>
            </w:r>
          </w:p>
        </w:tc>
        <w:tc>
          <w:tcPr>
            <w:tcW w:w="0" w:type="auto"/>
            <w:tcBorders>
              <w:bottom w:val="single" w:sz="8" w:space="0" w:color="000000"/>
              <w:right w:val="single" w:sz="8" w:space="0" w:color="000000"/>
            </w:tcBorders>
            <w:vAlign w:val="center"/>
          </w:tcPr>
          <w:p w14:paraId="08D2DC6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8.8--13.6%</w:t>
            </w:r>
          </w:p>
        </w:tc>
      </w:tr>
      <w:tr w:rsidR="00154F24" w:rsidRPr="00302F44" w14:paraId="672B3394" w14:textId="77777777">
        <w:trPr>
          <w:cantSplit/>
          <w:tblCellSpacing w:w="0" w:type="dxa"/>
          <w:jc w:val="center"/>
        </w:trPr>
        <w:tc>
          <w:tcPr>
            <w:tcW w:w="0" w:type="auto"/>
            <w:tcBorders>
              <w:left w:val="single" w:sz="8" w:space="0" w:color="000000"/>
              <w:right w:val="single" w:sz="8" w:space="0" w:color="000000"/>
            </w:tcBorders>
            <w:vAlign w:val="center"/>
          </w:tcPr>
          <w:p w14:paraId="7781239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Peace of Mind</w:t>
            </w:r>
            <w:r w:rsidRPr="00302F44">
              <w:rPr>
                <w:rFonts w:ascii="Times New Roman" w:hAnsi="Times New Roman" w:cs="Times New Roman"/>
                <w:sz w:val="24"/>
                <w:szCs w:val="24"/>
              </w:rPr>
              <w:t xml:space="preserve"> (n=639)</w:t>
            </w:r>
          </w:p>
        </w:tc>
        <w:tc>
          <w:tcPr>
            <w:tcW w:w="0" w:type="auto"/>
            <w:tcBorders>
              <w:bottom w:val="single" w:sz="8" w:space="0" w:color="000000"/>
              <w:right w:val="single" w:sz="8" w:space="0" w:color="000000"/>
            </w:tcBorders>
            <w:vAlign w:val="center"/>
          </w:tcPr>
          <w:p w14:paraId="303F254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Moderate disturbance</w:t>
            </w:r>
          </w:p>
        </w:tc>
        <w:tc>
          <w:tcPr>
            <w:tcW w:w="0" w:type="auto"/>
            <w:tcBorders>
              <w:bottom w:val="single" w:sz="8" w:space="0" w:color="000000"/>
              <w:right w:val="single" w:sz="8" w:space="0" w:color="000000"/>
            </w:tcBorders>
            <w:vAlign w:val="center"/>
          </w:tcPr>
          <w:p w14:paraId="018520E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329</w:t>
            </w:r>
          </w:p>
        </w:tc>
        <w:tc>
          <w:tcPr>
            <w:tcW w:w="0" w:type="auto"/>
            <w:tcBorders>
              <w:bottom w:val="single" w:sz="8" w:space="0" w:color="000000"/>
              <w:right w:val="single" w:sz="8" w:space="0" w:color="000000"/>
            </w:tcBorders>
            <w:vAlign w:val="center"/>
          </w:tcPr>
          <w:p w14:paraId="6B4B31A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51.5%</w:t>
            </w:r>
          </w:p>
        </w:tc>
        <w:tc>
          <w:tcPr>
            <w:tcW w:w="0" w:type="auto"/>
            <w:tcBorders>
              <w:bottom w:val="single" w:sz="8" w:space="0" w:color="000000"/>
              <w:right w:val="single" w:sz="8" w:space="0" w:color="000000"/>
            </w:tcBorders>
            <w:vAlign w:val="center"/>
          </w:tcPr>
          <w:p w14:paraId="3EBCAC4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47.7--55.3%</w:t>
            </w:r>
          </w:p>
        </w:tc>
      </w:tr>
      <w:tr w:rsidR="00154F24" w:rsidRPr="00302F44" w14:paraId="23DD2043" w14:textId="77777777">
        <w:trPr>
          <w:cantSplit/>
          <w:tblCellSpacing w:w="0" w:type="dxa"/>
          <w:jc w:val="center"/>
        </w:trPr>
        <w:tc>
          <w:tcPr>
            <w:tcW w:w="0" w:type="auto"/>
            <w:tcBorders>
              <w:left w:val="single" w:sz="8" w:space="0" w:color="000000"/>
              <w:right w:val="single" w:sz="8" w:space="0" w:color="000000"/>
            </w:tcBorders>
            <w:vAlign w:val="center"/>
          </w:tcPr>
          <w:p w14:paraId="7F66AFA5"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216D48F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Tolerable</w:t>
            </w:r>
          </w:p>
        </w:tc>
        <w:tc>
          <w:tcPr>
            <w:tcW w:w="0" w:type="auto"/>
            <w:tcBorders>
              <w:bottom w:val="single" w:sz="8" w:space="0" w:color="000000"/>
              <w:right w:val="single" w:sz="8" w:space="0" w:color="000000"/>
            </w:tcBorders>
            <w:vAlign w:val="center"/>
          </w:tcPr>
          <w:p w14:paraId="78945D6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263</w:t>
            </w:r>
          </w:p>
        </w:tc>
        <w:tc>
          <w:tcPr>
            <w:tcW w:w="0" w:type="auto"/>
            <w:tcBorders>
              <w:bottom w:val="single" w:sz="8" w:space="0" w:color="000000"/>
              <w:right w:val="single" w:sz="8" w:space="0" w:color="000000"/>
            </w:tcBorders>
            <w:vAlign w:val="center"/>
          </w:tcPr>
          <w:p w14:paraId="6ED125E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41.2%</w:t>
            </w:r>
          </w:p>
        </w:tc>
        <w:tc>
          <w:tcPr>
            <w:tcW w:w="0" w:type="auto"/>
            <w:tcBorders>
              <w:bottom w:val="single" w:sz="8" w:space="0" w:color="000000"/>
              <w:right w:val="single" w:sz="8" w:space="0" w:color="000000"/>
            </w:tcBorders>
            <w:vAlign w:val="center"/>
          </w:tcPr>
          <w:p w14:paraId="68A8840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37.4--45.0%</w:t>
            </w:r>
          </w:p>
        </w:tc>
      </w:tr>
      <w:tr w:rsidR="00154F24" w:rsidRPr="00302F44" w14:paraId="38CACC5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2B7484"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F21E56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Unbearable</w:t>
            </w:r>
          </w:p>
        </w:tc>
        <w:tc>
          <w:tcPr>
            <w:tcW w:w="0" w:type="auto"/>
            <w:tcBorders>
              <w:bottom w:val="single" w:sz="8" w:space="0" w:color="000000"/>
              <w:right w:val="single" w:sz="8" w:space="0" w:color="000000"/>
            </w:tcBorders>
            <w:vAlign w:val="center"/>
          </w:tcPr>
          <w:p w14:paraId="726AD7E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47</w:t>
            </w:r>
          </w:p>
        </w:tc>
        <w:tc>
          <w:tcPr>
            <w:tcW w:w="0" w:type="auto"/>
            <w:tcBorders>
              <w:bottom w:val="single" w:sz="8" w:space="0" w:color="000000"/>
              <w:right w:val="single" w:sz="8" w:space="0" w:color="000000"/>
            </w:tcBorders>
            <w:vAlign w:val="center"/>
          </w:tcPr>
          <w:p w14:paraId="07EA25F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7.4%</w:t>
            </w:r>
          </w:p>
        </w:tc>
        <w:tc>
          <w:tcPr>
            <w:tcW w:w="0" w:type="auto"/>
            <w:tcBorders>
              <w:bottom w:val="single" w:sz="8" w:space="0" w:color="000000"/>
              <w:right w:val="single" w:sz="8" w:space="0" w:color="000000"/>
            </w:tcBorders>
            <w:vAlign w:val="center"/>
          </w:tcPr>
          <w:p w14:paraId="3CC0500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5.4--9.4%</w:t>
            </w:r>
          </w:p>
        </w:tc>
      </w:tr>
      <w:tr w:rsidR="00154F24" w:rsidRPr="00302F44" w14:paraId="004B60E9" w14:textId="77777777">
        <w:trPr>
          <w:cantSplit/>
          <w:tblCellSpacing w:w="0" w:type="dxa"/>
          <w:jc w:val="center"/>
        </w:trPr>
        <w:tc>
          <w:tcPr>
            <w:tcW w:w="0" w:type="auto"/>
            <w:tcBorders>
              <w:left w:val="single" w:sz="8" w:space="0" w:color="000000"/>
              <w:right w:val="single" w:sz="8" w:space="0" w:color="000000"/>
            </w:tcBorders>
            <w:vAlign w:val="center"/>
          </w:tcPr>
          <w:p w14:paraId="570E47D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Disease Transmission</w:t>
            </w:r>
            <w:r w:rsidRPr="00302F44">
              <w:rPr>
                <w:rFonts w:ascii="Times New Roman" w:hAnsi="Times New Roman" w:cs="Times New Roman"/>
                <w:sz w:val="24"/>
                <w:szCs w:val="24"/>
              </w:rPr>
              <w:t xml:space="preserve"> (n=657)</w:t>
            </w:r>
          </w:p>
        </w:tc>
        <w:tc>
          <w:tcPr>
            <w:tcW w:w="0" w:type="auto"/>
            <w:tcBorders>
              <w:bottom w:val="single" w:sz="8" w:space="0" w:color="000000"/>
              <w:right w:val="single" w:sz="8" w:space="0" w:color="000000"/>
            </w:tcBorders>
            <w:vAlign w:val="center"/>
          </w:tcPr>
          <w:p w14:paraId="59E64D2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Don't know</w:t>
            </w:r>
          </w:p>
        </w:tc>
        <w:tc>
          <w:tcPr>
            <w:tcW w:w="0" w:type="auto"/>
            <w:tcBorders>
              <w:bottom w:val="single" w:sz="8" w:space="0" w:color="000000"/>
              <w:right w:val="single" w:sz="8" w:space="0" w:color="000000"/>
            </w:tcBorders>
            <w:vAlign w:val="center"/>
          </w:tcPr>
          <w:p w14:paraId="732AD9C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381</w:t>
            </w:r>
          </w:p>
        </w:tc>
        <w:tc>
          <w:tcPr>
            <w:tcW w:w="0" w:type="auto"/>
            <w:tcBorders>
              <w:bottom w:val="single" w:sz="8" w:space="0" w:color="000000"/>
              <w:right w:val="single" w:sz="8" w:space="0" w:color="000000"/>
            </w:tcBorders>
            <w:vAlign w:val="center"/>
          </w:tcPr>
          <w:p w14:paraId="4DF0ECB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58.0%</w:t>
            </w:r>
          </w:p>
        </w:tc>
        <w:tc>
          <w:tcPr>
            <w:tcW w:w="0" w:type="auto"/>
            <w:tcBorders>
              <w:bottom w:val="single" w:sz="8" w:space="0" w:color="000000"/>
              <w:right w:val="single" w:sz="8" w:space="0" w:color="000000"/>
            </w:tcBorders>
            <w:vAlign w:val="center"/>
          </w:tcPr>
          <w:p w14:paraId="2EB5675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54.2--61.8%</w:t>
            </w:r>
          </w:p>
        </w:tc>
      </w:tr>
      <w:tr w:rsidR="00154F24" w:rsidRPr="00302F44" w14:paraId="4330EE16" w14:textId="77777777">
        <w:trPr>
          <w:cantSplit/>
          <w:tblCellSpacing w:w="0" w:type="dxa"/>
          <w:jc w:val="center"/>
        </w:trPr>
        <w:tc>
          <w:tcPr>
            <w:tcW w:w="0" w:type="auto"/>
            <w:tcBorders>
              <w:left w:val="single" w:sz="8" w:space="0" w:color="000000"/>
              <w:right w:val="single" w:sz="8" w:space="0" w:color="000000"/>
            </w:tcBorders>
            <w:vAlign w:val="center"/>
          </w:tcPr>
          <w:p w14:paraId="66D1835D"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0EA973E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Yes</w:t>
            </w:r>
          </w:p>
        </w:tc>
        <w:tc>
          <w:tcPr>
            <w:tcW w:w="0" w:type="auto"/>
            <w:tcBorders>
              <w:bottom w:val="single" w:sz="8" w:space="0" w:color="000000"/>
              <w:right w:val="single" w:sz="8" w:space="0" w:color="000000"/>
            </w:tcBorders>
            <w:vAlign w:val="center"/>
          </w:tcPr>
          <w:p w14:paraId="15CF78F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161</w:t>
            </w:r>
          </w:p>
        </w:tc>
        <w:tc>
          <w:tcPr>
            <w:tcW w:w="0" w:type="auto"/>
            <w:tcBorders>
              <w:bottom w:val="single" w:sz="8" w:space="0" w:color="000000"/>
              <w:right w:val="single" w:sz="8" w:space="0" w:color="000000"/>
            </w:tcBorders>
            <w:vAlign w:val="center"/>
          </w:tcPr>
          <w:p w14:paraId="535FBF9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24.5%</w:t>
            </w:r>
          </w:p>
        </w:tc>
        <w:tc>
          <w:tcPr>
            <w:tcW w:w="0" w:type="auto"/>
            <w:tcBorders>
              <w:bottom w:val="single" w:sz="8" w:space="0" w:color="000000"/>
              <w:right w:val="single" w:sz="8" w:space="0" w:color="000000"/>
            </w:tcBorders>
            <w:vAlign w:val="center"/>
          </w:tcPr>
          <w:p w14:paraId="1B450DD9"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21.1--27.9%</w:t>
            </w:r>
          </w:p>
        </w:tc>
      </w:tr>
      <w:tr w:rsidR="00154F24" w:rsidRPr="00302F44" w14:paraId="2539825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72A9AEF"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48868D9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No</w:t>
            </w:r>
          </w:p>
        </w:tc>
        <w:tc>
          <w:tcPr>
            <w:tcW w:w="0" w:type="auto"/>
            <w:tcBorders>
              <w:bottom w:val="single" w:sz="8" w:space="0" w:color="000000"/>
              <w:right w:val="single" w:sz="8" w:space="0" w:color="000000"/>
            </w:tcBorders>
            <w:vAlign w:val="center"/>
          </w:tcPr>
          <w:p w14:paraId="6CF3316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115</w:t>
            </w:r>
          </w:p>
        </w:tc>
        <w:tc>
          <w:tcPr>
            <w:tcW w:w="0" w:type="auto"/>
            <w:tcBorders>
              <w:bottom w:val="single" w:sz="8" w:space="0" w:color="000000"/>
              <w:right w:val="single" w:sz="8" w:space="0" w:color="000000"/>
            </w:tcBorders>
            <w:vAlign w:val="center"/>
          </w:tcPr>
          <w:p w14:paraId="48BBEC5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17.5%</w:t>
            </w:r>
          </w:p>
        </w:tc>
        <w:tc>
          <w:tcPr>
            <w:tcW w:w="0" w:type="auto"/>
            <w:tcBorders>
              <w:bottom w:val="single" w:sz="8" w:space="0" w:color="000000"/>
              <w:right w:val="single" w:sz="8" w:space="0" w:color="000000"/>
            </w:tcBorders>
            <w:vAlign w:val="center"/>
          </w:tcPr>
          <w:p w14:paraId="6C662229"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14.6--20.4%</w:t>
            </w:r>
          </w:p>
        </w:tc>
      </w:tr>
    </w:tbl>
    <w:p w14:paraId="2A494E58" w14:textId="77777777" w:rsidR="00154F24" w:rsidRPr="00302F44" w:rsidRDefault="00154F24" w:rsidP="00302F44">
      <w:pPr>
        <w:jc w:val="both"/>
        <w:rPr>
          <w:rFonts w:ascii="Times New Roman" w:hAnsi="Times New Roman" w:cs="Times New Roman"/>
          <w:sz w:val="24"/>
          <w:szCs w:val="24"/>
        </w:rPr>
      </w:pPr>
    </w:p>
    <w:p w14:paraId="594F558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2: Table 2. Community Attitudes and Perceptions</w:t>
      </w:r>
    </w:p>
    <w:tbl>
      <w:tblPr>
        <w:tblStyle w:val="NormalGrid"/>
        <w:tblW w:w="0" w:type="auto"/>
        <w:jc w:val="center"/>
        <w:tblCellSpacing w:w="0" w:type="dxa"/>
        <w:tblLook w:val="04A0" w:firstRow="1" w:lastRow="0" w:firstColumn="1" w:lastColumn="0" w:noHBand="0" w:noVBand="1"/>
      </w:tblPr>
      <w:tblGrid>
        <w:gridCol w:w="3608"/>
        <w:gridCol w:w="1973"/>
        <w:gridCol w:w="700"/>
        <w:gridCol w:w="1473"/>
      </w:tblGrid>
      <w:tr w:rsidR="00154F24" w:rsidRPr="00302F44" w14:paraId="452BDD9C"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3918B9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Variable</w:t>
            </w:r>
          </w:p>
        </w:tc>
        <w:tc>
          <w:tcPr>
            <w:tcW w:w="0" w:type="auto"/>
            <w:tcBorders>
              <w:top w:val="single" w:sz="8" w:space="0" w:color="000000"/>
              <w:bottom w:val="single" w:sz="8" w:space="0" w:color="000000"/>
              <w:right w:val="single" w:sz="8" w:space="0" w:color="000000"/>
            </w:tcBorders>
            <w:vAlign w:val="center"/>
          </w:tcPr>
          <w:p w14:paraId="11A4EE6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Category</w:t>
            </w:r>
          </w:p>
        </w:tc>
        <w:tc>
          <w:tcPr>
            <w:tcW w:w="0" w:type="auto"/>
            <w:tcBorders>
              <w:top w:val="single" w:sz="8" w:space="0" w:color="000000"/>
              <w:bottom w:val="single" w:sz="8" w:space="0" w:color="000000"/>
              <w:right w:val="single" w:sz="8" w:space="0" w:color="000000"/>
            </w:tcBorders>
            <w:vAlign w:val="center"/>
          </w:tcPr>
          <w:p w14:paraId="7F59E6D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36FA8E2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r>
      <w:tr w:rsidR="00154F24" w:rsidRPr="00302F44" w14:paraId="485CF7C9" w14:textId="77777777">
        <w:trPr>
          <w:cantSplit/>
          <w:tblCellSpacing w:w="0" w:type="dxa"/>
          <w:jc w:val="center"/>
        </w:trPr>
        <w:tc>
          <w:tcPr>
            <w:tcW w:w="0" w:type="auto"/>
            <w:tcBorders>
              <w:left w:val="single" w:sz="8" w:space="0" w:color="000000"/>
              <w:right w:val="single" w:sz="8" w:space="0" w:color="000000"/>
            </w:tcBorders>
            <w:vAlign w:val="center"/>
          </w:tcPr>
          <w:p w14:paraId="3EE17E0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Damage Type</w:t>
            </w:r>
            <w:r w:rsidRPr="00302F44">
              <w:rPr>
                <w:rFonts w:ascii="Times New Roman" w:hAnsi="Times New Roman" w:cs="Times New Roman"/>
                <w:sz w:val="24"/>
                <w:szCs w:val="24"/>
              </w:rPr>
              <w:t xml:space="preserve"> (n=535)</w:t>
            </w:r>
          </w:p>
        </w:tc>
        <w:tc>
          <w:tcPr>
            <w:tcW w:w="0" w:type="auto"/>
            <w:tcBorders>
              <w:bottom w:val="single" w:sz="8" w:space="0" w:color="000000"/>
              <w:right w:val="single" w:sz="8" w:space="0" w:color="000000"/>
            </w:tcBorders>
            <w:vAlign w:val="center"/>
          </w:tcPr>
          <w:p w14:paraId="6BAD33B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Food snatching</w:t>
            </w:r>
          </w:p>
        </w:tc>
        <w:tc>
          <w:tcPr>
            <w:tcW w:w="0" w:type="auto"/>
            <w:tcBorders>
              <w:bottom w:val="single" w:sz="8" w:space="0" w:color="000000"/>
              <w:right w:val="single" w:sz="8" w:space="0" w:color="000000"/>
            </w:tcBorders>
            <w:vAlign w:val="center"/>
          </w:tcPr>
          <w:p w14:paraId="6EA553B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179</w:t>
            </w:r>
          </w:p>
        </w:tc>
        <w:tc>
          <w:tcPr>
            <w:tcW w:w="0" w:type="auto"/>
            <w:tcBorders>
              <w:bottom w:val="single" w:sz="8" w:space="0" w:color="000000"/>
              <w:right w:val="single" w:sz="8" w:space="0" w:color="000000"/>
            </w:tcBorders>
            <w:vAlign w:val="center"/>
          </w:tcPr>
          <w:p w14:paraId="5789465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33.5%</w:t>
            </w:r>
          </w:p>
        </w:tc>
      </w:tr>
      <w:tr w:rsidR="00154F24" w:rsidRPr="00302F44" w14:paraId="4AEB47EB" w14:textId="77777777">
        <w:trPr>
          <w:cantSplit/>
          <w:tblCellSpacing w:w="0" w:type="dxa"/>
          <w:jc w:val="center"/>
        </w:trPr>
        <w:tc>
          <w:tcPr>
            <w:tcW w:w="0" w:type="auto"/>
            <w:tcBorders>
              <w:left w:val="single" w:sz="8" w:space="0" w:color="000000"/>
              <w:right w:val="single" w:sz="8" w:space="0" w:color="000000"/>
            </w:tcBorders>
            <w:vAlign w:val="center"/>
          </w:tcPr>
          <w:p w14:paraId="319AB4FC"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71DEEA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Other</w:t>
            </w:r>
          </w:p>
        </w:tc>
        <w:tc>
          <w:tcPr>
            <w:tcW w:w="0" w:type="auto"/>
            <w:tcBorders>
              <w:bottom w:val="single" w:sz="8" w:space="0" w:color="000000"/>
              <w:right w:val="single" w:sz="8" w:space="0" w:color="000000"/>
            </w:tcBorders>
            <w:vAlign w:val="center"/>
          </w:tcPr>
          <w:p w14:paraId="725964F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214</w:t>
            </w:r>
          </w:p>
        </w:tc>
        <w:tc>
          <w:tcPr>
            <w:tcW w:w="0" w:type="auto"/>
            <w:tcBorders>
              <w:bottom w:val="single" w:sz="8" w:space="0" w:color="000000"/>
              <w:right w:val="single" w:sz="8" w:space="0" w:color="000000"/>
            </w:tcBorders>
            <w:vAlign w:val="center"/>
          </w:tcPr>
          <w:p w14:paraId="6A8351F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40.0%</w:t>
            </w:r>
          </w:p>
        </w:tc>
      </w:tr>
      <w:tr w:rsidR="00154F24" w:rsidRPr="00302F44" w14:paraId="3F2E0523" w14:textId="77777777">
        <w:trPr>
          <w:cantSplit/>
          <w:tblCellSpacing w:w="0" w:type="dxa"/>
          <w:jc w:val="center"/>
        </w:trPr>
        <w:tc>
          <w:tcPr>
            <w:tcW w:w="0" w:type="auto"/>
            <w:tcBorders>
              <w:left w:val="single" w:sz="8" w:space="0" w:color="000000"/>
              <w:right w:val="single" w:sz="8" w:space="0" w:color="000000"/>
            </w:tcBorders>
            <w:vAlign w:val="center"/>
          </w:tcPr>
          <w:p w14:paraId="3F32D325"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BDB04F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Garden damage</w:t>
            </w:r>
          </w:p>
        </w:tc>
        <w:tc>
          <w:tcPr>
            <w:tcW w:w="0" w:type="auto"/>
            <w:tcBorders>
              <w:bottom w:val="single" w:sz="8" w:space="0" w:color="000000"/>
              <w:right w:val="single" w:sz="8" w:space="0" w:color="000000"/>
            </w:tcBorders>
            <w:vAlign w:val="center"/>
          </w:tcPr>
          <w:p w14:paraId="3C59448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82</w:t>
            </w:r>
          </w:p>
        </w:tc>
        <w:tc>
          <w:tcPr>
            <w:tcW w:w="0" w:type="auto"/>
            <w:tcBorders>
              <w:bottom w:val="single" w:sz="8" w:space="0" w:color="000000"/>
              <w:right w:val="single" w:sz="8" w:space="0" w:color="000000"/>
            </w:tcBorders>
            <w:vAlign w:val="center"/>
          </w:tcPr>
          <w:p w14:paraId="47A5D01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15.3%</w:t>
            </w:r>
          </w:p>
        </w:tc>
      </w:tr>
      <w:tr w:rsidR="00154F24" w:rsidRPr="00302F44" w14:paraId="6EA52563" w14:textId="77777777">
        <w:trPr>
          <w:cantSplit/>
          <w:tblCellSpacing w:w="0" w:type="dxa"/>
          <w:jc w:val="center"/>
        </w:trPr>
        <w:tc>
          <w:tcPr>
            <w:tcW w:w="0" w:type="auto"/>
            <w:tcBorders>
              <w:left w:val="single" w:sz="8" w:space="0" w:color="000000"/>
              <w:right w:val="single" w:sz="8" w:space="0" w:color="000000"/>
            </w:tcBorders>
            <w:vAlign w:val="center"/>
          </w:tcPr>
          <w:p w14:paraId="6387DB51"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DF596D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Crop damage</w:t>
            </w:r>
          </w:p>
        </w:tc>
        <w:tc>
          <w:tcPr>
            <w:tcW w:w="0" w:type="auto"/>
            <w:tcBorders>
              <w:bottom w:val="single" w:sz="8" w:space="0" w:color="000000"/>
              <w:right w:val="single" w:sz="8" w:space="0" w:color="000000"/>
            </w:tcBorders>
            <w:vAlign w:val="center"/>
          </w:tcPr>
          <w:p w14:paraId="01A82C2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74</w:t>
            </w:r>
          </w:p>
        </w:tc>
        <w:tc>
          <w:tcPr>
            <w:tcW w:w="0" w:type="auto"/>
            <w:tcBorders>
              <w:bottom w:val="single" w:sz="8" w:space="0" w:color="000000"/>
              <w:right w:val="single" w:sz="8" w:space="0" w:color="000000"/>
            </w:tcBorders>
            <w:vAlign w:val="center"/>
          </w:tcPr>
          <w:p w14:paraId="2BB234E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13.8%</w:t>
            </w:r>
          </w:p>
        </w:tc>
      </w:tr>
      <w:tr w:rsidR="00154F24" w:rsidRPr="00302F44" w14:paraId="68184848" w14:textId="77777777">
        <w:trPr>
          <w:cantSplit/>
          <w:tblCellSpacing w:w="0" w:type="dxa"/>
          <w:jc w:val="center"/>
        </w:trPr>
        <w:tc>
          <w:tcPr>
            <w:tcW w:w="0" w:type="auto"/>
            <w:tcBorders>
              <w:left w:val="single" w:sz="8" w:space="0" w:color="000000"/>
              <w:right w:val="single" w:sz="8" w:space="0" w:color="000000"/>
            </w:tcBorders>
            <w:vAlign w:val="center"/>
          </w:tcPr>
          <w:p w14:paraId="509842A2"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C41263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Property damage</w:t>
            </w:r>
          </w:p>
        </w:tc>
        <w:tc>
          <w:tcPr>
            <w:tcW w:w="0" w:type="auto"/>
            <w:tcBorders>
              <w:bottom w:val="single" w:sz="8" w:space="0" w:color="000000"/>
              <w:right w:val="single" w:sz="8" w:space="0" w:color="000000"/>
            </w:tcBorders>
            <w:vAlign w:val="center"/>
          </w:tcPr>
          <w:p w14:paraId="6A64760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57</w:t>
            </w:r>
          </w:p>
        </w:tc>
        <w:tc>
          <w:tcPr>
            <w:tcW w:w="0" w:type="auto"/>
            <w:tcBorders>
              <w:bottom w:val="single" w:sz="8" w:space="0" w:color="000000"/>
              <w:right w:val="single" w:sz="8" w:space="0" w:color="000000"/>
            </w:tcBorders>
            <w:vAlign w:val="center"/>
          </w:tcPr>
          <w:p w14:paraId="2B11E20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10.7%</w:t>
            </w:r>
          </w:p>
        </w:tc>
      </w:tr>
      <w:tr w:rsidR="00154F24" w:rsidRPr="00302F44" w14:paraId="5FED229B" w14:textId="77777777">
        <w:trPr>
          <w:cantSplit/>
          <w:tblCellSpacing w:w="0" w:type="dxa"/>
          <w:jc w:val="center"/>
        </w:trPr>
        <w:tc>
          <w:tcPr>
            <w:tcW w:w="0" w:type="auto"/>
            <w:tcBorders>
              <w:left w:val="single" w:sz="8" w:space="0" w:color="000000"/>
              <w:right w:val="single" w:sz="8" w:space="0" w:color="000000"/>
            </w:tcBorders>
            <w:vAlign w:val="center"/>
          </w:tcPr>
          <w:p w14:paraId="0699DF08"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80DE67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Bite</w:t>
            </w:r>
          </w:p>
        </w:tc>
        <w:tc>
          <w:tcPr>
            <w:tcW w:w="0" w:type="auto"/>
            <w:tcBorders>
              <w:bottom w:val="single" w:sz="8" w:space="0" w:color="000000"/>
              <w:right w:val="single" w:sz="8" w:space="0" w:color="000000"/>
            </w:tcBorders>
            <w:vAlign w:val="center"/>
          </w:tcPr>
          <w:p w14:paraId="284F0B5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7B72031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w:t>
            </w:r>
          </w:p>
        </w:tc>
      </w:tr>
      <w:tr w:rsidR="00154F24" w:rsidRPr="00302F44" w14:paraId="5D41104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557664"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4ABAB4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Pet damage</w:t>
            </w:r>
          </w:p>
        </w:tc>
        <w:tc>
          <w:tcPr>
            <w:tcW w:w="0" w:type="auto"/>
            <w:tcBorders>
              <w:bottom w:val="single" w:sz="8" w:space="0" w:color="000000"/>
              <w:right w:val="single" w:sz="8" w:space="0" w:color="000000"/>
            </w:tcBorders>
            <w:vAlign w:val="center"/>
          </w:tcPr>
          <w:p w14:paraId="18D596A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550288A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w:t>
            </w:r>
          </w:p>
        </w:tc>
      </w:tr>
      <w:tr w:rsidR="00154F24" w:rsidRPr="00302F44" w14:paraId="52CF8986" w14:textId="77777777">
        <w:trPr>
          <w:cantSplit/>
          <w:tblCellSpacing w:w="0" w:type="dxa"/>
          <w:jc w:val="center"/>
        </w:trPr>
        <w:tc>
          <w:tcPr>
            <w:tcW w:w="0" w:type="auto"/>
            <w:tcBorders>
              <w:left w:val="single" w:sz="8" w:space="0" w:color="000000"/>
              <w:right w:val="single" w:sz="8" w:space="0" w:color="000000"/>
            </w:tcBorders>
            <w:vAlign w:val="center"/>
          </w:tcPr>
          <w:p w14:paraId="241B95E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Property Damage Scale</w:t>
            </w:r>
            <w:r w:rsidRPr="00302F44">
              <w:rPr>
                <w:rFonts w:ascii="Times New Roman" w:hAnsi="Times New Roman" w:cs="Times New Roman"/>
                <w:sz w:val="24"/>
                <w:szCs w:val="24"/>
              </w:rPr>
              <w:t xml:space="preserve"> (n=627)</w:t>
            </w:r>
          </w:p>
        </w:tc>
        <w:tc>
          <w:tcPr>
            <w:tcW w:w="0" w:type="auto"/>
            <w:tcBorders>
              <w:bottom w:val="single" w:sz="8" w:space="0" w:color="000000"/>
              <w:right w:val="single" w:sz="8" w:space="0" w:color="000000"/>
            </w:tcBorders>
            <w:vAlign w:val="center"/>
          </w:tcPr>
          <w:p w14:paraId="51523AF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Low</w:t>
            </w:r>
          </w:p>
        </w:tc>
        <w:tc>
          <w:tcPr>
            <w:tcW w:w="0" w:type="auto"/>
            <w:tcBorders>
              <w:bottom w:val="single" w:sz="8" w:space="0" w:color="000000"/>
              <w:right w:val="single" w:sz="8" w:space="0" w:color="000000"/>
            </w:tcBorders>
            <w:vAlign w:val="center"/>
          </w:tcPr>
          <w:p w14:paraId="5AAC3E1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382</w:t>
            </w:r>
          </w:p>
        </w:tc>
        <w:tc>
          <w:tcPr>
            <w:tcW w:w="0" w:type="auto"/>
            <w:tcBorders>
              <w:bottom w:val="single" w:sz="8" w:space="0" w:color="000000"/>
              <w:right w:val="single" w:sz="8" w:space="0" w:color="000000"/>
            </w:tcBorders>
            <w:vAlign w:val="center"/>
          </w:tcPr>
          <w:p w14:paraId="1CD5D81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60.9%</w:t>
            </w:r>
          </w:p>
        </w:tc>
      </w:tr>
      <w:tr w:rsidR="00154F24" w:rsidRPr="00302F44" w14:paraId="138B7F56" w14:textId="77777777">
        <w:trPr>
          <w:cantSplit/>
          <w:tblCellSpacing w:w="0" w:type="dxa"/>
          <w:jc w:val="center"/>
        </w:trPr>
        <w:tc>
          <w:tcPr>
            <w:tcW w:w="0" w:type="auto"/>
            <w:tcBorders>
              <w:left w:val="single" w:sz="8" w:space="0" w:color="000000"/>
              <w:right w:val="single" w:sz="8" w:space="0" w:color="000000"/>
            </w:tcBorders>
            <w:vAlign w:val="center"/>
          </w:tcPr>
          <w:p w14:paraId="7EDBC918"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0BEA1B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Medium</w:t>
            </w:r>
          </w:p>
        </w:tc>
        <w:tc>
          <w:tcPr>
            <w:tcW w:w="0" w:type="auto"/>
            <w:tcBorders>
              <w:bottom w:val="single" w:sz="8" w:space="0" w:color="000000"/>
              <w:right w:val="single" w:sz="8" w:space="0" w:color="000000"/>
            </w:tcBorders>
            <w:vAlign w:val="center"/>
          </w:tcPr>
          <w:p w14:paraId="3C4FD1F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214</w:t>
            </w:r>
          </w:p>
        </w:tc>
        <w:tc>
          <w:tcPr>
            <w:tcW w:w="0" w:type="auto"/>
            <w:tcBorders>
              <w:bottom w:val="single" w:sz="8" w:space="0" w:color="000000"/>
              <w:right w:val="single" w:sz="8" w:space="0" w:color="000000"/>
            </w:tcBorders>
            <w:vAlign w:val="center"/>
          </w:tcPr>
          <w:p w14:paraId="5D369F5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34.1%</w:t>
            </w:r>
          </w:p>
        </w:tc>
      </w:tr>
      <w:tr w:rsidR="00154F24" w:rsidRPr="00302F44" w14:paraId="76D8576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A0B897"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5D67B7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High</w:t>
            </w:r>
          </w:p>
        </w:tc>
        <w:tc>
          <w:tcPr>
            <w:tcW w:w="0" w:type="auto"/>
            <w:tcBorders>
              <w:bottom w:val="single" w:sz="8" w:space="0" w:color="000000"/>
              <w:right w:val="single" w:sz="8" w:space="0" w:color="000000"/>
            </w:tcBorders>
            <w:vAlign w:val="center"/>
          </w:tcPr>
          <w:p w14:paraId="204B01F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31</w:t>
            </w:r>
          </w:p>
        </w:tc>
        <w:tc>
          <w:tcPr>
            <w:tcW w:w="0" w:type="auto"/>
            <w:tcBorders>
              <w:bottom w:val="single" w:sz="8" w:space="0" w:color="000000"/>
              <w:right w:val="single" w:sz="8" w:space="0" w:color="000000"/>
            </w:tcBorders>
            <w:vAlign w:val="center"/>
          </w:tcPr>
          <w:p w14:paraId="7897E92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4.9%</w:t>
            </w:r>
          </w:p>
        </w:tc>
      </w:tr>
    </w:tbl>
    <w:p w14:paraId="649D18C0" w14:textId="77777777" w:rsidR="00154F24" w:rsidRPr="00302F44" w:rsidRDefault="00154F24" w:rsidP="00302F44">
      <w:pPr>
        <w:jc w:val="both"/>
        <w:rPr>
          <w:rFonts w:ascii="Times New Roman" w:hAnsi="Times New Roman" w:cs="Times New Roman"/>
          <w:sz w:val="24"/>
          <w:szCs w:val="24"/>
        </w:rPr>
      </w:pPr>
    </w:p>
    <w:p w14:paraId="79CB68F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3: Table 3. Conflict Types and Property Damage</w:t>
      </w:r>
    </w:p>
    <w:tbl>
      <w:tblPr>
        <w:tblStyle w:val="NormalGrid"/>
        <w:tblW w:w="0" w:type="auto"/>
        <w:jc w:val="center"/>
        <w:tblCellSpacing w:w="0" w:type="dxa"/>
        <w:tblLook w:val="04A0" w:firstRow="1" w:lastRow="0" w:firstColumn="1" w:lastColumn="0" w:noHBand="0" w:noVBand="1"/>
      </w:tblPr>
      <w:tblGrid>
        <w:gridCol w:w="2427"/>
        <w:gridCol w:w="700"/>
        <w:gridCol w:w="1473"/>
      </w:tblGrid>
      <w:tr w:rsidR="00154F24" w:rsidRPr="00302F44" w14:paraId="2444935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B86EF8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Strategy</w:t>
            </w:r>
          </w:p>
        </w:tc>
        <w:tc>
          <w:tcPr>
            <w:tcW w:w="0" w:type="auto"/>
            <w:tcBorders>
              <w:top w:val="single" w:sz="8" w:space="0" w:color="000000"/>
              <w:bottom w:val="single" w:sz="8" w:space="0" w:color="000000"/>
              <w:right w:val="single" w:sz="8" w:space="0" w:color="000000"/>
            </w:tcBorders>
            <w:vAlign w:val="center"/>
          </w:tcPr>
          <w:p w14:paraId="529FC43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5637585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r>
      <w:tr w:rsidR="00154F24" w:rsidRPr="00302F44" w14:paraId="5FAFE3A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D6327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Not feeding monkeys</w:t>
            </w:r>
          </w:p>
        </w:tc>
        <w:tc>
          <w:tcPr>
            <w:tcW w:w="0" w:type="auto"/>
            <w:tcBorders>
              <w:bottom w:val="single" w:sz="8" w:space="0" w:color="000000"/>
              <w:right w:val="single" w:sz="8" w:space="0" w:color="000000"/>
            </w:tcBorders>
            <w:vAlign w:val="center"/>
          </w:tcPr>
          <w:p w14:paraId="355C189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138</w:t>
            </w:r>
          </w:p>
        </w:tc>
        <w:tc>
          <w:tcPr>
            <w:tcW w:w="0" w:type="auto"/>
            <w:tcBorders>
              <w:bottom w:val="single" w:sz="8" w:space="0" w:color="000000"/>
              <w:right w:val="single" w:sz="8" w:space="0" w:color="000000"/>
            </w:tcBorders>
            <w:vAlign w:val="center"/>
          </w:tcPr>
          <w:p w14:paraId="292731D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23.8%</w:t>
            </w:r>
          </w:p>
        </w:tc>
      </w:tr>
      <w:tr w:rsidR="00154F24" w:rsidRPr="00302F44" w14:paraId="2A71B08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9BDD36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Iron grills/barriers</w:t>
            </w:r>
          </w:p>
        </w:tc>
        <w:tc>
          <w:tcPr>
            <w:tcW w:w="0" w:type="auto"/>
            <w:tcBorders>
              <w:bottom w:val="single" w:sz="8" w:space="0" w:color="000000"/>
              <w:right w:val="single" w:sz="8" w:space="0" w:color="000000"/>
            </w:tcBorders>
            <w:vAlign w:val="center"/>
          </w:tcPr>
          <w:p w14:paraId="026551F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133</w:t>
            </w:r>
          </w:p>
        </w:tc>
        <w:tc>
          <w:tcPr>
            <w:tcW w:w="0" w:type="auto"/>
            <w:tcBorders>
              <w:bottom w:val="single" w:sz="8" w:space="0" w:color="000000"/>
              <w:right w:val="single" w:sz="8" w:space="0" w:color="000000"/>
            </w:tcBorders>
            <w:vAlign w:val="center"/>
          </w:tcPr>
          <w:p w14:paraId="0407631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22.9%</w:t>
            </w:r>
          </w:p>
        </w:tc>
      </w:tr>
      <w:tr w:rsidR="00154F24" w:rsidRPr="00302F44" w14:paraId="00A2B96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68DA12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Using sticks</w:t>
            </w:r>
          </w:p>
        </w:tc>
        <w:tc>
          <w:tcPr>
            <w:tcW w:w="0" w:type="auto"/>
            <w:tcBorders>
              <w:bottom w:val="single" w:sz="8" w:space="0" w:color="000000"/>
              <w:right w:val="single" w:sz="8" w:space="0" w:color="000000"/>
            </w:tcBorders>
            <w:vAlign w:val="center"/>
          </w:tcPr>
          <w:p w14:paraId="626BD3E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119</w:t>
            </w:r>
          </w:p>
        </w:tc>
        <w:tc>
          <w:tcPr>
            <w:tcW w:w="0" w:type="auto"/>
            <w:tcBorders>
              <w:bottom w:val="single" w:sz="8" w:space="0" w:color="000000"/>
              <w:right w:val="single" w:sz="8" w:space="0" w:color="000000"/>
            </w:tcBorders>
            <w:vAlign w:val="center"/>
          </w:tcPr>
          <w:p w14:paraId="5DAE3E8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20.5%</w:t>
            </w:r>
          </w:p>
        </w:tc>
      </w:tr>
      <w:tr w:rsidR="00154F24" w:rsidRPr="00302F44" w14:paraId="2B234E3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AFB33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Other methods</w:t>
            </w:r>
          </w:p>
        </w:tc>
        <w:tc>
          <w:tcPr>
            <w:tcW w:w="0" w:type="auto"/>
            <w:tcBorders>
              <w:bottom w:val="single" w:sz="8" w:space="0" w:color="000000"/>
              <w:right w:val="single" w:sz="8" w:space="0" w:color="000000"/>
            </w:tcBorders>
            <w:vAlign w:val="center"/>
          </w:tcPr>
          <w:p w14:paraId="587BC03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118</w:t>
            </w:r>
          </w:p>
        </w:tc>
        <w:tc>
          <w:tcPr>
            <w:tcW w:w="0" w:type="auto"/>
            <w:tcBorders>
              <w:bottom w:val="single" w:sz="8" w:space="0" w:color="000000"/>
              <w:right w:val="single" w:sz="8" w:space="0" w:color="000000"/>
            </w:tcBorders>
            <w:vAlign w:val="center"/>
          </w:tcPr>
          <w:p w14:paraId="1E89E50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20.3%</w:t>
            </w:r>
          </w:p>
        </w:tc>
      </w:tr>
      <w:tr w:rsidR="00154F24" w:rsidRPr="00302F44" w14:paraId="2680F9F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7BD78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Catch and release</w:t>
            </w:r>
          </w:p>
        </w:tc>
        <w:tc>
          <w:tcPr>
            <w:tcW w:w="0" w:type="auto"/>
            <w:tcBorders>
              <w:bottom w:val="single" w:sz="8" w:space="0" w:color="000000"/>
              <w:right w:val="single" w:sz="8" w:space="0" w:color="000000"/>
            </w:tcBorders>
            <w:vAlign w:val="center"/>
          </w:tcPr>
          <w:p w14:paraId="1E07A66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77</w:t>
            </w:r>
          </w:p>
        </w:tc>
        <w:tc>
          <w:tcPr>
            <w:tcW w:w="0" w:type="auto"/>
            <w:tcBorders>
              <w:bottom w:val="single" w:sz="8" w:space="0" w:color="000000"/>
              <w:right w:val="single" w:sz="8" w:space="0" w:color="000000"/>
            </w:tcBorders>
            <w:vAlign w:val="center"/>
          </w:tcPr>
          <w:p w14:paraId="2687101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13.3%</w:t>
            </w:r>
          </w:p>
        </w:tc>
      </w:tr>
      <w:tr w:rsidR="00154F24" w:rsidRPr="00302F44" w14:paraId="7C33F9E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01D6F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Firecrackers</w:t>
            </w:r>
          </w:p>
        </w:tc>
        <w:tc>
          <w:tcPr>
            <w:tcW w:w="0" w:type="auto"/>
            <w:tcBorders>
              <w:bottom w:val="single" w:sz="8" w:space="0" w:color="000000"/>
              <w:right w:val="single" w:sz="8" w:space="0" w:color="000000"/>
            </w:tcBorders>
            <w:vAlign w:val="center"/>
          </w:tcPr>
          <w:p w14:paraId="0A9F921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65</w:t>
            </w:r>
          </w:p>
        </w:tc>
        <w:tc>
          <w:tcPr>
            <w:tcW w:w="0" w:type="auto"/>
            <w:tcBorders>
              <w:bottom w:val="single" w:sz="8" w:space="0" w:color="000000"/>
              <w:right w:val="single" w:sz="8" w:space="0" w:color="000000"/>
            </w:tcBorders>
            <w:vAlign w:val="center"/>
          </w:tcPr>
          <w:p w14:paraId="26B4ABE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11.2%</w:t>
            </w:r>
          </w:p>
        </w:tc>
      </w:tr>
      <w:tr w:rsidR="00154F24" w:rsidRPr="00302F44" w14:paraId="60DCC00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106570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Water spray</w:t>
            </w:r>
          </w:p>
        </w:tc>
        <w:tc>
          <w:tcPr>
            <w:tcW w:w="0" w:type="auto"/>
            <w:tcBorders>
              <w:bottom w:val="single" w:sz="8" w:space="0" w:color="000000"/>
              <w:right w:val="single" w:sz="8" w:space="0" w:color="000000"/>
            </w:tcBorders>
            <w:vAlign w:val="center"/>
          </w:tcPr>
          <w:p w14:paraId="1B46629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58</w:t>
            </w:r>
          </w:p>
        </w:tc>
        <w:tc>
          <w:tcPr>
            <w:tcW w:w="0" w:type="auto"/>
            <w:tcBorders>
              <w:bottom w:val="single" w:sz="8" w:space="0" w:color="000000"/>
              <w:right w:val="single" w:sz="8" w:space="0" w:color="000000"/>
            </w:tcBorders>
            <w:vAlign w:val="center"/>
          </w:tcPr>
          <w:p w14:paraId="7642199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10.0%</w:t>
            </w:r>
          </w:p>
        </w:tc>
      </w:tr>
      <w:tr w:rsidR="00154F24" w:rsidRPr="00302F44" w14:paraId="24B4DE0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FBF7DE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Dogs</w:t>
            </w:r>
          </w:p>
        </w:tc>
        <w:tc>
          <w:tcPr>
            <w:tcW w:w="0" w:type="auto"/>
            <w:tcBorders>
              <w:bottom w:val="single" w:sz="8" w:space="0" w:color="000000"/>
              <w:right w:val="single" w:sz="8" w:space="0" w:color="000000"/>
            </w:tcBorders>
            <w:vAlign w:val="center"/>
          </w:tcPr>
          <w:p w14:paraId="404E951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42</w:t>
            </w:r>
          </w:p>
        </w:tc>
        <w:tc>
          <w:tcPr>
            <w:tcW w:w="0" w:type="auto"/>
            <w:tcBorders>
              <w:bottom w:val="single" w:sz="8" w:space="0" w:color="000000"/>
              <w:right w:val="single" w:sz="8" w:space="0" w:color="000000"/>
            </w:tcBorders>
            <w:vAlign w:val="center"/>
          </w:tcPr>
          <w:p w14:paraId="21BB2CD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7.2%</w:t>
            </w:r>
          </w:p>
        </w:tc>
      </w:tr>
      <w:tr w:rsidR="00154F24" w:rsidRPr="00302F44" w14:paraId="56F04F0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B6477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Culling</w:t>
            </w:r>
          </w:p>
        </w:tc>
        <w:tc>
          <w:tcPr>
            <w:tcW w:w="0" w:type="auto"/>
            <w:tcBorders>
              <w:bottom w:val="single" w:sz="8" w:space="0" w:color="000000"/>
              <w:right w:val="single" w:sz="8" w:space="0" w:color="000000"/>
            </w:tcBorders>
            <w:vAlign w:val="center"/>
          </w:tcPr>
          <w:p w14:paraId="70DFD44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55DE946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0.3%</w:t>
            </w:r>
          </w:p>
        </w:tc>
      </w:tr>
    </w:tbl>
    <w:p w14:paraId="5C153D19" w14:textId="77777777" w:rsidR="00154F24" w:rsidRPr="00302F44" w:rsidRDefault="00154F24" w:rsidP="00302F44">
      <w:pPr>
        <w:jc w:val="both"/>
        <w:rPr>
          <w:rFonts w:ascii="Times New Roman" w:hAnsi="Times New Roman" w:cs="Times New Roman"/>
          <w:sz w:val="24"/>
          <w:szCs w:val="24"/>
        </w:rPr>
      </w:pPr>
    </w:p>
    <w:p w14:paraId="35D5DBB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4: Table 4. Management Strategies Preferred by Community</w:t>
      </w:r>
    </w:p>
    <w:tbl>
      <w:tblPr>
        <w:tblStyle w:val="NormalGrid"/>
        <w:tblW w:w="0" w:type="auto"/>
        <w:jc w:val="center"/>
        <w:tblCellSpacing w:w="0" w:type="dxa"/>
        <w:tblLook w:val="04A0" w:firstRow="1" w:lastRow="0" w:firstColumn="1" w:lastColumn="0" w:noHBand="0" w:noVBand="1"/>
      </w:tblPr>
      <w:tblGrid>
        <w:gridCol w:w="1600"/>
        <w:gridCol w:w="1934"/>
        <w:gridCol w:w="1127"/>
        <w:gridCol w:w="1880"/>
        <w:gridCol w:w="887"/>
      </w:tblGrid>
      <w:tr w:rsidR="00154F24" w:rsidRPr="00302F44" w14:paraId="4EC0ED6D"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5A1FEA" w14:textId="77777777" w:rsidR="00154F24" w:rsidRPr="00302F44" w:rsidRDefault="00154F24" w:rsidP="00302F44">
            <w:pPr>
              <w:jc w:val="both"/>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p w14:paraId="6487558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High Tolerance</w:t>
            </w:r>
          </w:p>
        </w:tc>
        <w:tc>
          <w:tcPr>
            <w:tcW w:w="0" w:type="auto"/>
            <w:tcBorders>
              <w:top w:val="single" w:sz="8" w:space="0" w:color="000000"/>
              <w:bottom w:val="single" w:sz="8" w:space="0" w:color="000000"/>
              <w:right w:val="single" w:sz="8" w:space="0" w:color="000000"/>
            </w:tcBorders>
            <w:vAlign w:val="center"/>
          </w:tcPr>
          <w:p w14:paraId="36EA2AF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Neutral</w:t>
            </w:r>
          </w:p>
        </w:tc>
        <w:tc>
          <w:tcPr>
            <w:tcW w:w="0" w:type="auto"/>
            <w:tcBorders>
              <w:top w:val="single" w:sz="8" w:space="0" w:color="000000"/>
              <w:bottom w:val="single" w:sz="8" w:space="0" w:color="000000"/>
              <w:right w:val="single" w:sz="8" w:space="0" w:color="000000"/>
            </w:tcBorders>
            <w:vAlign w:val="center"/>
          </w:tcPr>
          <w:p w14:paraId="507EFB4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Low Tolerance</w:t>
            </w:r>
          </w:p>
        </w:tc>
        <w:tc>
          <w:tcPr>
            <w:tcW w:w="0" w:type="auto"/>
            <w:tcBorders>
              <w:top w:val="single" w:sz="8" w:space="0" w:color="000000"/>
              <w:bottom w:val="single" w:sz="8" w:space="0" w:color="000000"/>
              <w:right w:val="single" w:sz="8" w:space="0" w:color="000000"/>
            </w:tcBorders>
            <w:vAlign w:val="center"/>
          </w:tcPr>
          <w:p w14:paraId="327BB44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Total</w:t>
            </w:r>
          </w:p>
        </w:tc>
      </w:tr>
      <w:tr w:rsidR="00154F24" w:rsidRPr="00302F44" w14:paraId="68C0591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A61475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Feeders</w:t>
            </w:r>
          </w:p>
        </w:tc>
        <w:tc>
          <w:tcPr>
            <w:tcW w:w="0" w:type="auto"/>
            <w:tcBorders>
              <w:bottom w:val="single" w:sz="8" w:space="0" w:color="000000"/>
              <w:right w:val="single" w:sz="8" w:space="0" w:color="000000"/>
            </w:tcBorders>
            <w:vAlign w:val="center"/>
          </w:tcPr>
          <w:p w14:paraId="60F9A44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45</w:t>
            </w:r>
          </w:p>
        </w:tc>
        <w:tc>
          <w:tcPr>
            <w:tcW w:w="0" w:type="auto"/>
            <w:tcBorders>
              <w:bottom w:val="single" w:sz="8" w:space="0" w:color="000000"/>
              <w:right w:val="single" w:sz="8" w:space="0" w:color="000000"/>
            </w:tcBorders>
            <w:vAlign w:val="center"/>
          </w:tcPr>
          <w:p w14:paraId="6420E87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198</w:t>
            </w:r>
          </w:p>
        </w:tc>
        <w:tc>
          <w:tcPr>
            <w:tcW w:w="0" w:type="auto"/>
            <w:tcBorders>
              <w:bottom w:val="single" w:sz="8" w:space="0" w:color="000000"/>
              <w:right w:val="single" w:sz="8" w:space="0" w:color="000000"/>
            </w:tcBorders>
            <w:vAlign w:val="center"/>
          </w:tcPr>
          <w:p w14:paraId="5D8272B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48</w:t>
            </w:r>
          </w:p>
        </w:tc>
        <w:tc>
          <w:tcPr>
            <w:tcW w:w="0" w:type="auto"/>
            <w:tcBorders>
              <w:bottom w:val="single" w:sz="8" w:space="0" w:color="000000"/>
              <w:right w:val="single" w:sz="8" w:space="0" w:color="000000"/>
            </w:tcBorders>
            <w:vAlign w:val="center"/>
          </w:tcPr>
          <w:p w14:paraId="7078E399"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291</w:t>
            </w:r>
          </w:p>
        </w:tc>
      </w:tr>
      <w:tr w:rsidR="00154F24" w:rsidRPr="00302F44" w14:paraId="08AE5AB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26D8F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Non-feeders</w:t>
            </w:r>
          </w:p>
        </w:tc>
        <w:tc>
          <w:tcPr>
            <w:tcW w:w="0" w:type="auto"/>
            <w:tcBorders>
              <w:bottom w:val="single" w:sz="8" w:space="0" w:color="000000"/>
              <w:right w:val="single" w:sz="8" w:space="0" w:color="000000"/>
            </w:tcBorders>
            <w:vAlign w:val="center"/>
          </w:tcPr>
          <w:p w14:paraId="0B5D6C9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30</w:t>
            </w:r>
          </w:p>
        </w:tc>
        <w:tc>
          <w:tcPr>
            <w:tcW w:w="0" w:type="auto"/>
            <w:tcBorders>
              <w:bottom w:val="single" w:sz="8" w:space="0" w:color="000000"/>
              <w:right w:val="single" w:sz="8" w:space="0" w:color="000000"/>
            </w:tcBorders>
            <w:vAlign w:val="center"/>
          </w:tcPr>
          <w:p w14:paraId="1A1CC5C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273</w:t>
            </w:r>
          </w:p>
        </w:tc>
        <w:tc>
          <w:tcPr>
            <w:tcW w:w="0" w:type="auto"/>
            <w:tcBorders>
              <w:bottom w:val="single" w:sz="8" w:space="0" w:color="000000"/>
              <w:right w:val="single" w:sz="8" w:space="0" w:color="000000"/>
            </w:tcBorders>
            <w:vAlign w:val="center"/>
          </w:tcPr>
          <w:p w14:paraId="5CDC886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78</w:t>
            </w:r>
          </w:p>
        </w:tc>
        <w:tc>
          <w:tcPr>
            <w:tcW w:w="0" w:type="auto"/>
            <w:tcBorders>
              <w:bottom w:val="single" w:sz="8" w:space="0" w:color="000000"/>
              <w:right w:val="single" w:sz="8" w:space="0" w:color="000000"/>
            </w:tcBorders>
            <w:vAlign w:val="center"/>
          </w:tcPr>
          <w:p w14:paraId="136AF10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381</w:t>
            </w:r>
          </w:p>
        </w:tc>
      </w:tr>
    </w:tbl>
    <w:p w14:paraId="23D9D90C" w14:textId="77777777" w:rsidR="00154F24" w:rsidRPr="00302F44" w:rsidRDefault="00154F24" w:rsidP="00302F44">
      <w:pPr>
        <w:jc w:val="both"/>
        <w:rPr>
          <w:rFonts w:ascii="Times New Roman" w:hAnsi="Times New Roman" w:cs="Times New Roman"/>
          <w:sz w:val="24"/>
          <w:szCs w:val="24"/>
        </w:rPr>
      </w:pPr>
    </w:p>
    <w:p w14:paraId="7768634B" w14:textId="77777777" w:rsidR="00154F2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5: Table 5. Feeding Versus Tolerance Levels</w:t>
      </w:r>
    </w:p>
    <w:p w14:paraId="008051CE" w14:textId="77777777" w:rsidR="00302F44" w:rsidRDefault="00302F44" w:rsidP="00302F44">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005"/>
        <w:gridCol w:w="3005"/>
        <w:gridCol w:w="3006"/>
      </w:tblGrid>
      <w:tr w:rsidR="00302F44" w14:paraId="413EAE06" w14:textId="77777777" w:rsidTr="003279D5">
        <w:trPr>
          <w:trHeight w:val="3219"/>
        </w:trPr>
        <w:tc>
          <w:tcPr>
            <w:tcW w:w="3005" w:type="dxa"/>
          </w:tcPr>
          <w:p w14:paraId="0EB02282" w14:textId="77777777" w:rsidR="00302F44" w:rsidRDefault="00302F44" w:rsidP="003279D5">
            <w:r>
              <w:rPr>
                <w:noProof/>
                <w:lang w:eastAsia="en-IN"/>
              </w:rPr>
              <w:lastRenderedPageBreak/>
              <w:drawing>
                <wp:inline distT="0" distB="0" distL="0" distR="0" wp14:anchorId="0E77F629" wp14:editId="2B2B32C6">
                  <wp:extent cx="1632703" cy="1547820"/>
                  <wp:effectExtent l="0" t="0" r="5715" b="14605"/>
                  <wp:docPr id="112989972" name="Chart 1">
                    <a:extLst xmlns:a="http://schemas.openxmlformats.org/drawingml/2006/main">
                      <a:ext uri="{FF2B5EF4-FFF2-40B4-BE49-F238E27FC236}">
                        <a16:creationId xmlns:a16="http://schemas.microsoft.com/office/drawing/2014/main" id="{B141DFE5-4F6C-A595-99E1-8F3A811217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6288542" w14:textId="0D31A511" w:rsidR="00302F44" w:rsidRDefault="00D925A9" w:rsidP="003279D5">
            <w:r>
              <w:rPr>
                <w:rFonts w:ascii="Times New Roman" w:hAnsi="Times New Roman" w:cs="Times New Roman"/>
                <w:b/>
                <w:bCs/>
              </w:rPr>
              <w:t xml:space="preserve">Fig </w:t>
            </w:r>
            <w:r w:rsidR="00302F44" w:rsidRPr="0057633A">
              <w:rPr>
                <w:rFonts w:ascii="Times New Roman" w:hAnsi="Times New Roman" w:cs="Times New Roman"/>
                <w:b/>
                <w:bCs/>
              </w:rPr>
              <w:t>1a</w:t>
            </w:r>
            <w:r w:rsidR="00302F44">
              <w:t xml:space="preserve">. </w:t>
            </w:r>
            <w:r w:rsidR="00302F44" w:rsidRPr="000A1F95">
              <w:rPr>
                <w:rFonts w:ascii="Times New Roman" w:hAnsi="Times New Roman" w:cs="Times New Roman"/>
              </w:rPr>
              <w:t>Prevalence of Feeding in Monkeys by Humans</w:t>
            </w:r>
            <w:r w:rsidR="00302F44">
              <w:t xml:space="preserve"> </w:t>
            </w:r>
          </w:p>
        </w:tc>
        <w:tc>
          <w:tcPr>
            <w:tcW w:w="3005" w:type="dxa"/>
          </w:tcPr>
          <w:p w14:paraId="2B8CF903" w14:textId="77777777" w:rsidR="00302F44" w:rsidRDefault="00302F44" w:rsidP="003279D5">
            <w:r>
              <w:rPr>
                <w:noProof/>
                <w:lang w:eastAsia="en-IN"/>
              </w:rPr>
              <w:drawing>
                <wp:inline distT="0" distB="0" distL="0" distR="0" wp14:anchorId="3347B264" wp14:editId="609385B6">
                  <wp:extent cx="2173295" cy="1552354"/>
                  <wp:effectExtent l="0" t="0" r="17780" b="10160"/>
                  <wp:docPr id="596757674" name="Chart 1">
                    <a:extLst xmlns:a="http://schemas.openxmlformats.org/drawingml/2006/main">
                      <a:ext uri="{FF2B5EF4-FFF2-40B4-BE49-F238E27FC236}">
                        <a16:creationId xmlns:a16="http://schemas.microsoft.com/office/drawing/2014/main" id="{E6D083B5-2FFC-E487-3A01-92796FF7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39BF3B" w14:textId="12D4000C" w:rsidR="00302F44" w:rsidRPr="00F344ED" w:rsidRDefault="00D925A9" w:rsidP="003279D5">
            <w:pPr>
              <w:rPr>
                <w:rFonts w:ascii="Times New Roman" w:hAnsi="Times New Roman" w:cs="Times New Roman"/>
                <w:b/>
                <w:bCs/>
              </w:rPr>
            </w:pPr>
            <w:r>
              <w:rPr>
                <w:rFonts w:ascii="Times New Roman" w:hAnsi="Times New Roman" w:cs="Times New Roman"/>
                <w:b/>
                <w:bCs/>
              </w:rPr>
              <w:t xml:space="preserve">Fig </w:t>
            </w:r>
            <w:r w:rsidR="00302F44" w:rsidRPr="00F344ED">
              <w:rPr>
                <w:rFonts w:ascii="Times New Roman" w:hAnsi="Times New Roman" w:cs="Times New Roman"/>
                <w:b/>
                <w:bCs/>
              </w:rPr>
              <w:t xml:space="preserve">1b. </w:t>
            </w:r>
            <w:r w:rsidR="00302F44" w:rsidRPr="00F344ED">
              <w:rPr>
                <w:rFonts w:ascii="Times New Roman" w:hAnsi="Times New Roman" w:cs="Times New Roman"/>
              </w:rPr>
              <w:t>Food type provisioning by Humans.</w:t>
            </w:r>
          </w:p>
        </w:tc>
        <w:tc>
          <w:tcPr>
            <w:tcW w:w="3006" w:type="dxa"/>
          </w:tcPr>
          <w:p w14:paraId="746A1DC9" w14:textId="77777777" w:rsidR="00302F44" w:rsidRDefault="00302F44" w:rsidP="003279D5">
            <w:r>
              <w:rPr>
                <w:noProof/>
                <w:lang w:eastAsia="en-IN"/>
              </w:rPr>
              <w:drawing>
                <wp:inline distT="0" distB="0" distL="0" distR="0" wp14:anchorId="167D79BA" wp14:editId="66B3898B">
                  <wp:extent cx="1657350" cy="1562100"/>
                  <wp:effectExtent l="38100" t="0" r="0" b="0"/>
                  <wp:docPr id="2082117641" name="Chart 1">
                    <a:extLst xmlns:a="http://schemas.openxmlformats.org/drawingml/2006/main">
                      <a:ext uri="{FF2B5EF4-FFF2-40B4-BE49-F238E27FC236}">
                        <a16:creationId xmlns:a16="http://schemas.microsoft.com/office/drawing/2014/main" id="{B22CDBA5-CA0D-CBB3-9C75-EA22F863A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05A2AE" w14:textId="150A306C" w:rsidR="00302F44" w:rsidRPr="00FA412E" w:rsidRDefault="00D925A9" w:rsidP="003279D5">
            <w:pPr>
              <w:spacing w:line="360" w:lineRule="auto"/>
              <w:rPr>
                <w:rFonts w:ascii="Times New Roman" w:hAnsi="Times New Roman" w:cs="Times New Roman"/>
                <w:b/>
                <w:bCs/>
                <w:sz w:val="24"/>
                <w:szCs w:val="24"/>
              </w:rPr>
            </w:pPr>
            <w:r>
              <w:rPr>
                <w:rFonts w:ascii="Times New Roman" w:hAnsi="Times New Roman" w:cs="Times New Roman"/>
                <w:b/>
                <w:bCs/>
              </w:rPr>
              <w:t xml:space="preserve">Fig </w:t>
            </w:r>
            <w:r w:rsidR="00302F44" w:rsidRPr="00FA412E">
              <w:rPr>
                <w:rFonts w:ascii="Times New Roman" w:hAnsi="Times New Roman" w:cs="Times New Roman"/>
                <w:b/>
                <w:bCs/>
              </w:rPr>
              <w:t>1c.</w:t>
            </w:r>
            <w:r w:rsidR="00302F44">
              <w:rPr>
                <w:rFonts w:ascii="Times New Roman" w:hAnsi="Times New Roman" w:cs="Times New Roman"/>
                <w:b/>
                <w:bCs/>
              </w:rPr>
              <w:t xml:space="preserve"> </w:t>
            </w:r>
            <w:r w:rsidR="00302F44" w:rsidRPr="00FA412E">
              <w:rPr>
                <w:rFonts w:ascii="Times New Roman" w:hAnsi="Times New Roman" w:cs="Times New Roman"/>
              </w:rPr>
              <w:t>Tolerance level towards Monkeys.</w:t>
            </w:r>
            <w:r w:rsidR="00302F44">
              <w:rPr>
                <w:rFonts w:ascii="Times New Roman" w:hAnsi="Times New Roman" w:cs="Times New Roman"/>
                <w:b/>
                <w:bCs/>
              </w:rPr>
              <w:t xml:space="preserve"> </w:t>
            </w:r>
          </w:p>
        </w:tc>
      </w:tr>
      <w:tr w:rsidR="00302F44" w14:paraId="01127D4B" w14:textId="77777777" w:rsidTr="003279D5">
        <w:trPr>
          <w:trHeight w:val="3219"/>
        </w:trPr>
        <w:tc>
          <w:tcPr>
            <w:tcW w:w="3005" w:type="dxa"/>
          </w:tcPr>
          <w:p w14:paraId="1CA6FA98" w14:textId="77777777" w:rsidR="00302F44" w:rsidRDefault="00302F44" w:rsidP="003279D5">
            <w:r w:rsidRPr="00CD7CA9">
              <w:rPr>
                <w:b/>
                <w:bCs/>
                <w:noProof/>
                <w:lang w:eastAsia="en-IN"/>
              </w:rPr>
              <w:drawing>
                <wp:anchor distT="0" distB="0" distL="114300" distR="114300" simplePos="0" relativeHeight="251659264" behindDoc="1" locked="0" layoutInCell="1" allowOverlap="1" wp14:anchorId="10B08373" wp14:editId="5EAF801B">
                  <wp:simplePos x="0" y="0"/>
                  <wp:positionH relativeFrom="column">
                    <wp:posOffset>-46355</wp:posOffset>
                  </wp:positionH>
                  <wp:positionV relativeFrom="paragraph">
                    <wp:posOffset>635</wp:posOffset>
                  </wp:positionV>
                  <wp:extent cx="1847850" cy="1511300"/>
                  <wp:effectExtent l="19050" t="0" r="0" b="12700"/>
                  <wp:wrapTight wrapText="bothSides">
                    <wp:wrapPolygon edited="0">
                      <wp:start x="-223" y="0"/>
                      <wp:lineTo x="-223" y="21509"/>
                      <wp:lineTo x="21377" y="21509"/>
                      <wp:lineTo x="21377" y="0"/>
                      <wp:lineTo x="-223" y="0"/>
                    </wp:wrapPolygon>
                  </wp:wrapTight>
                  <wp:docPr id="77509096" name="Chart 1">
                    <a:extLst xmlns:a="http://schemas.openxmlformats.org/drawingml/2006/main">
                      <a:ext uri="{FF2B5EF4-FFF2-40B4-BE49-F238E27FC236}">
                        <a16:creationId xmlns:a16="http://schemas.microsoft.com/office/drawing/2014/main" id="{01EFFB69-21E9-F07A-61EE-CD2AF61A5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Pr="00CD7CA9">
              <w:rPr>
                <w:b/>
                <w:bCs/>
              </w:rPr>
              <w:t>1d.</w:t>
            </w:r>
            <w:r>
              <w:t xml:space="preserve"> </w:t>
            </w:r>
            <w:r w:rsidRPr="00CD7CA9">
              <w:rPr>
                <w:rFonts w:ascii="Times New Roman" w:hAnsi="Times New Roman" w:cs="Times New Roman"/>
              </w:rPr>
              <w:t>Human’s Psychological effect towards Monkeys</w:t>
            </w:r>
            <w:r>
              <w:t xml:space="preserve">. </w:t>
            </w:r>
          </w:p>
        </w:tc>
        <w:tc>
          <w:tcPr>
            <w:tcW w:w="3005" w:type="dxa"/>
          </w:tcPr>
          <w:p w14:paraId="4CE84799" w14:textId="77777777" w:rsidR="00302F44" w:rsidRDefault="00302F44" w:rsidP="003279D5">
            <w:r>
              <w:rPr>
                <w:noProof/>
                <w:lang w:eastAsia="en-IN"/>
              </w:rPr>
              <w:drawing>
                <wp:inline distT="0" distB="0" distL="0" distR="0" wp14:anchorId="0DD287E5" wp14:editId="60B407DF">
                  <wp:extent cx="1765300" cy="1524000"/>
                  <wp:effectExtent l="0" t="0" r="6350" b="0"/>
                  <wp:docPr id="520234195" name="Chart 1">
                    <a:extLst xmlns:a="http://schemas.openxmlformats.org/drawingml/2006/main">
                      <a:ext uri="{FF2B5EF4-FFF2-40B4-BE49-F238E27FC236}">
                        <a16:creationId xmlns:a16="http://schemas.microsoft.com/office/drawing/2014/main" id="{BACB7741-BDAD-6A8B-CEBA-606A1FC75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60FA322" w14:textId="77777777" w:rsidR="00302F44" w:rsidRPr="00CD7CA9" w:rsidRDefault="00302F44" w:rsidP="003279D5">
            <w:pPr>
              <w:rPr>
                <w:rFonts w:ascii="Times New Roman" w:hAnsi="Times New Roman" w:cs="Times New Roman"/>
              </w:rPr>
            </w:pPr>
            <w:r w:rsidRPr="00CD7CA9">
              <w:rPr>
                <w:rFonts w:ascii="Times New Roman" w:hAnsi="Times New Roman" w:cs="Times New Roman"/>
                <w:b/>
                <w:bCs/>
              </w:rPr>
              <w:t>1e.</w:t>
            </w:r>
            <w:r w:rsidRPr="00CD7CA9">
              <w:rPr>
                <w:rFonts w:ascii="Times New Roman" w:hAnsi="Times New Roman" w:cs="Times New Roman"/>
              </w:rPr>
              <w:t xml:space="preserve"> Disease transmission perception.</w:t>
            </w:r>
          </w:p>
        </w:tc>
        <w:tc>
          <w:tcPr>
            <w:tcW w:w="3006" w:type="dxa"/>
          </w:tcPr>
          <w:p w14:paraId="20F20E12" w14:textId="77777777" w:rsidR="00302F44" w:rsidRPr="00CD7CA9" w:rsidRDefault="00302F44" w:rsidP="003279D5">
            <w:pPr>
              <w:rPr>
                <w:rFonts w:ascii="Times New Roman" w:hAnsi="Times New Roman" w:cs="Times New Roman"/>
              </w:rPr>
            </w:pPr>
            <w:r w:rsidRPr="00CD7CA9">
              <w:rPr>
                <w:rFonts w:ascii="Times New Roman" w:hAnsi="Times New Roman" w:cs="Times New Roman"/>
                <w:b/>
                <w:bCs/>
                <w:noProof/>
                <w:lang w:eastAsia="en-IN"/>
              </w:rPr>
              <w:drawing>
                <wp:anchor distT="0" distB="0" distL="114300" distR="114300" simplePos="0" relativeHeight="251660288" behindDoc="1" locked="0" layoutInCell="1" allowOverlap="1" wp14:anchorId="759EF23D" wp14:editId="6DC01481">
                  <wp:simplePos x="0" y="0"/>
                  <wp:positionH relativeFrom="column">
                    <wp:posOffset>4445</wp:posOffset>
                  </wp:positionH>
                  <wp:positionV relativeFrom="paragraph">
                    <wp:posOffset>45085</wp:posOffset>
                  </wp:positionV>
                  <wp:extent cx="1758950" cy="1462405"/>
                  <wp:effectExtent l="0" t="0" r="50800" b="4445"/>
                  <wp:wrapTight wrapText="bothSides">
                    <wp:wrapPolygon edited="0">
                      <wp:start x="0" y="0"/>
                      <wp:lineTo x="0" y="21384"/>
                      <wp:lineTo x="21990" y="21384"/>
                      <wp:lineTo x="21990" y="0"/>
                      <wp:lineTo x="0" y="0"/>
                    </wp:wrapPolygon>
                  </wp:wrapTight>
                  <wp:docPr id="139911537" name="Chart 1">
                    <a:extLst xmlns:a="http://schemas.openxmlformats.org/drawingml/2006/main">
                      <a:ext uri="{FF2B5EF4-FFF2-40B4-BE49-F238E27FC236}">
                        <a16:creationId xmlns:a16="http://schemas.microsoft.com/office/drawing/2014/main" id="{435675C7-9983-DD63-5554-A6FCAB9EC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Pr="00CD7CA9">
              <w:rPr>
                <w:rFonts w:ascii="Times New Roman" w:hAnsi="Times New Roman" w:cs="Times New Roman"/>
                <w:b/>
                <w:bCs/>
              </w:rPr>
              <w:t>1f</w:t>
            </w:r>
            <w:r w:rsidRPr="00CD7CA9">
              <w:rPr>
                <w:rFonts w:ascii="Times New Roman" w:hAnsi="Times New Roman" w:cs="Times New Roman"/>
              </w:rPr>
              <w:t xml:space="preserve">. Levels of Property damage. </w:t>
            </w:r>
          </w:p>
        </w:tc>
      </w:tr>
      <w:tr w:rsidR="00302F44" w14:paraId="408FE828" w14:textId="77777777" w:rsidTr="003279D5">
        <w:trPr>
          <w:trHeight w:val="3219"/>
        </w:trPr>
        <w:tc>
          <w:tcPr>
            <w:tcW w:w="9016" w:type="dxa"/>
            <w:gridSpan w:val="3"/>
          </w:tcPr>
          <w:p w14:paraId="3D5D54ED" w14:textId="77777777" w:rsidR="00302F44" w:rsidRPr="00107F75" w:rsidRDefault="00302F44" w:rsidP="003279D5">
            <w:pPr>
              <w:rPr>
                <w:rFonts w:ascii="Times New Roman" w:hAnsi="Times New Roman" w:cs="Times New Roman"/>
              </w:rPr>
            </w:pPr>
            <w:r w:rsidRPr="00107F75">
              <w:rPr>
                <w:rFonts w:ascii="Times New Roman" w:hAnsi="Times New Roman" w:cs="Times New Roman"/>
                <w:b/>
                <w:bCs/>
                <w:noProof/>
                <w:lang w:eastAsia="en-IN"/>
              </w:rPr>
              <w:drawing>
                <wp:anchor distT="0" distB="0" distL="114300" distR="114300" simplePos="0" relativeHeight="251661312" behindDoc="1" locked="0" layoutInCell="1" allowOverlap="1" wp14:anchorId="7CDF8CEC" wp14:editId="272E47E0">
                  <wp:simplePos x="0" y="0"/>
                  <wp:positionH relativeFrom="column">
                    <wp:posOffset>-20955</wp:posOffset>
                  </wp:positionH>
                  <wp:positionV relativeFrom="paragraph">
                    <wp:posOffset>49530</wp:posOffset>
                  </wp:positionV>
                  <wp:extent cx="4826000" cy="2825750"/>
                  <wp:effectExtent l="0" t="0" r="12700" b="12700"/>
                  <wp:wrapTight wrapText="bothSides">
                    <wp:wrapPolygon edited="0">
                      <wp:start x="0" y="0"/>
                      <wp:lineTo x="0" y="21551"/>
                      <wp:lineTo x="21572" y="21551"/>
                      <wp:lineTo x="21572" y="0"/>
                      <wp:lineTo x="0" y="0"/>
                    </wp:wrapPolygon>
                  </wp:wrapTight>
                  <wp:docPr id="1832603861" name="Chart 1">
                    <a:extLst xmlns:a="http://schemas.openxmlformats.org/drawingml/2006/main">
                      <a:ext uri="{FF2B5EF4-FFF2-40B4-BE49-F238E27FC236}">
                        <a16:creationId xmlns:a16="http://schemas.microsoft.com/office/drawing/2014/main" id="{E3EC959B-EC9B-161D-0086-EDD9869B0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Pr="00107F75">
              <w:rPr>
                <w:rFonts w:ascii="Times New Roman" w:hAnsi="Times New Roman" w:cs="Times New Roman"/>
                <w:b/>
                <w:bCs/>
              </w:rPr>
              <w:t>1 g.</w:t>
            </w:r>
            <w:r w:rsidRPr="00107F75">
              <w:rPr>
                <w:rFonts w:ascii="Times New Roman" w:hAnsi="Times New Roman" w:cs="Times New Roman"/>
              </w:rPr>
              <w:t xml:space="preserve"> Types of Damage reported by Humans. </w:t>
            </w:r>
          </w:p>
        </w:tc>
      </w:tr>
      <w:tr w:rsidR="00302F44" w14:paraId="74236F76" w14:textId="77777777" w:rsidTr="003279D5">
        <w:trPr>
          <w:trHeight w:val="3219"/>
        </w:trPr>
        <w:tc>
          <w:tcPr>
            <w:tcW w:w="9016" w:type="dxa"/>
            <w:gridSpan w:val="3"/>
          </w:tcPr>
          <w:p w14:paraId="6BCA2696" w14:textId="77777777" w:rsidR="00302F44" w:rsidRDefault="00302F44" w:rsidP="003279D5">
            <w:pPr>
              <w:rPr>
                <w:rFonts w:ascii="Times New Roman" w:hAnsi="Times New Roman" w:cs="Times New Roman"/>
                <w:b/>
                <w:bCs/>
                <w:noProof/>
                <w:lang w:eastAsia="en-IN"/>
              </w:rPr>
            </w:pPr>
            <w:r>
              <w:rPr>
                <w:noProof/>
                <w:lang w:eastAsia="en-IN"/>
              </w:rPr>
              <w:lastRenderedPageBreak/>
              <w:drawing>
                <wp:anchor distT="0" distB="0" distL="114300" distR="114300" simplePos="0" relativeHeight="251662336" behindDoc="1" locked="0" layoutInCell="1" allowOverlap="1" wp14:anchorId="358825E1" wp14:editId="432209D8">
                  <wp:simplePos x="0" y="0"/>
                  <wp:positionH relativeFrom="column">
                    <wp:posOffset>-65405</wp:posOffset>
                  </wp:positionH>
                  <wp:positionV relativeFrom="paragraph">
                    <wp:posOffset>51435</wp:posOffset>
                  </wp:positionV>
                  <wp:extent cx="4362450" cy="3003550"/>
                  <wp:effectExtent l="0" t="0" r="0" b="6350"/>
                  <wp:wrapTight wrapText="bothSides">
                    <wp:wrapPolygon edited="0">
                      <wp:start x="0" y="0"/>
                      <wp:lineTo x="0" y="21509"/>
                      <wp:lineTo x="21506" y="21509"/>
                      <wp:lineTo x="21506" y="0"/>
                      <wp:lineTo x="0" y="0"/>
                    </wp:wrapPolygon>
                  </wp:wrapTight>
                  <wp:docPr id="1243757842" name="Chart 1">
                    <a:extLst xmlns:a="http://schemas.openxmlformats.org/drawingml/2006/main">
                      <a:ext uri="{FF2B5EF4-FFF2-40B4-BE49-F238E27FC236}">
                        <a16:creationId xmlns:a16="http://schemas.microsoft.com/office/drawing/2014/main" id="{1BC7B909-B6E3-35CC-8AEF-0EA261315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45374373" w14:textId="77777777" w:rsidR="00302F44" w:rsidRPr="00D76940" w:rsidRDefault="00302F44" w:rsidP="003279D5">
            <w:pPr>
              <w:rPr>
                <w:rFonts w:ascii="Times New Roman" w:hAnsi="Times New Roman" w:cs="Times New Roman"/>
                <w:noProof/>
                <w:lang w:eastAsia="en-IN"/>
              </w:rPr>
            </w:pPr>
            <w:r w:rsidRPr="00D76940">
              <w:rPr>
                <w:rFonts w:ascii="Times New Roman" w:hAnsi="Times New Roman" w:cs="Times New Roman"/>
                <w:b/>
                <w:bCs/>
                <w:sz w:val="24"/>
                <w:szCs w:val="24"/>
              </w:rPr>
              <w:t>1h.</w:t>
            </w:r>
            <w:r>
              <w:rPr>
                <w:rFonts w:ascii="Times New Roman" w:hAnsi="Times New Roman" w:cs="Times New Roman"/>
                <w:b/>
                <w:bCs/>
                <w:sz w:val="24"/>
                <w:szCs w:val="24"/>
              </w:rPr>
              <w:t xml:space="preserve"> </w:t>
            </w:r>
            <w:r w:rsidRPr="00D76940">
              <w:rPr>
                <w:rFonts w:ascii="Times New Roman" w:hAnsi="Times New Roman" w:cs="Times New Roman"/>
                <w:sz w:val="24"/>
                <w:szCs w:val="24"/>
              </w:rPr>
              <w:t>Types of management practice preferences and strategies used by Humans.</w:t>
            </w:r>
          </w:p>
        </w:tc>
      </w:tr>
    </w:tbl>
    <w:p w14:paraId="1826F10E" w14:textId="54A8192E" w:rsidR="00154F24" w:rsidRPr="00E359A3" w:rsidRDefault="00154F24" w:rsidP="00E359A3">
      <w:pPr>
        <w:jc w:val="both"/>
        <w:rPr>
          <w:rFonts w:ascii="Times New Roman" w:hAnsi="Times New Roman" w:cs="Times New Roman"/>
          <w:b/>
          <w:bCs/>
          <w:sz w:val="24"/>
          <w:szCs w:val="24"/>
        </w:rPr>
      </w:pPr>
    </w:p>
    <w:sectPr w:rsidR="00154F24" w:rsidRPr="00E359A3">
      <w:headerReference w:type="even" r:id="rId37"/>
      <w:headerReference w:type="default" r:id="rId38"/>
      <w:footerReference w:type="even" r:id="rId39"/>
      <w:footerReference w:type="default" r:id="rId40"/>
      <w:headerReference w:type="first" r:id="rId41"/>
      <w:footerReference w:type="first" r:id="rId42"/>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4A369" w14:textId="77777777" w:rsidR="008A1762" w:rsidRDefault="008A1762" w:rsidP="00A33463">
      <w:pPr>
        <w:spacing w:after="0" w:line="240" w:lineRule="auto"/>
      </w:pPr>
      <w:r>
        <w:separator/>
      </w:r>
    </w:p>
  </w:endnote>
  <w:endnote w:type="continuationSeparator" w:id="0">
    <w:p w14:paraId="79AF0FCC" w14:textId="77777777" w:rsidR="008A1762" w:rsidRDefault="008A1762" w:rsidP="00A3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3391" w14:textId="77777777" w:rsidR="00A33463" w:rsidRDefault="00A3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937" w14:textId="77777777" w:rsidR="00A33463" w:rsidRDefault="00A33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81C9" w14:textId="77777777" w:rsidR="00A33463" w:rsidRDefault="00A3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E4892" w14:textId="77777777" w:rsidR="008A1762" w:rsidRDefault="008A1762" w:rsidP="00A33463">
      <w:pPr>
        <w:spacing w:after="0" w:line="240" w:lineRule="auto"/>
      </w:pPr>
      <w:r>
        <w:separator/>
      </w:r>
    </w:p>
  </w:footnote>
  <w:footnote w:type="continuationSeparator" w:id="0">
    <w:p w14:paraId="732AC281" w14:textId="77777777" w:rsidR="008A1762" w:rsidRDefault="008A1762" w:rsidP="00A3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1D5E" w14:textId="52F66D20" w:rsidR="00A33463" w:rsidRDefault="008A1762">
    <w:pPr>
      <w:pStyle w:val="Header"/>
    </w:pPr>
    <w:r>
      <w:rPr>
        <w:noProof/>
      </w:rPr>
      <w:pict w14:anchorId="244DA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63"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5BDC" w14:textId="22FA16CA" w:rsidR="00A33463" w:rsidRDefault="008A1762">
    <w:pPr>
      <w:pStyle w:val="Header"/>
    </w:pPr>
    <w:r>
      <w:rPr>
        <w:noProof/>
      </w:rPr>
      <w:pict w14:anchorId="33641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64"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F216" w14:textId="2B72BB39" w:rsidR="00A33463" w:rsidRDefault="008A1762">
    <w:pPr>
      <w:pStyle w:val="Header"/>
    </w:pPr>
    <w:r>
      <w:rPr>
        <w:noProof/>
      </w:rPr>
      <w:pict w14:anchorId="66462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62"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C5A31"/>
    <w:multiLevelType w:val="multilevel"/>
    <w:tmpl w:val="A1C448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D7E4361"/>
    <w:multiLevelType w:val="hybridMultilevel"/>
    <w:tmpl w:val="5D3651FE"/>
    <w:lvl w:ilvl="0" w:tplc="E82EC66C">
      <w:start w:val="1"/>
      <w:numFmt w:val="decimal"/>
      <w:lvlText w:val="%1."/>
      <w:lvlJc w:val="left"/>
      <w:pPr>
        <w:tabs>
          <w:tab w:val="num" w:pos="1080"/>
        </w:tabs>
        <w:ind w:left="720" w:hanging="360"/>
      </w:pPr>
    </w:lvl>
    <w:lvl w:ilvl="1" w:tplc="9FA4E938">
      <w:numFmt w:val="decimal"/>
      <w:lvlText w:val=""/>
      <w:lvlJc w:val="left"/>
    </w:lvl>
    <w:lvl w:ilvl="2" w:tplc="8AFED1C4">
      <w:numFmt w:val="decimal"/>
      <w:lvlText w:val=""/>
      <w:lvlJc w:val="left"/>
    </w:lvl>
    <w:lvl w:ilvl="3" w:tplc="C4DCAA0A">
      <w:numFmt w:val="decimal"/>
      <w:lvlText w:val=""/>
      <w:lvlJc w:val="left"/>
    </w:lvl>
    <w:lvl w:ilvl="4" w:tplc="E05828A2">
      <w:numFmt w:val="decimal"/>
      <w:lvlText w:val=""/>
      <w:lvlJc w:val="left"/>
    </w:lvl>
    <w:lvl w:ilvl="5" w:tplc="13CA6BE0">
      <w:numFmt w:val="decimal"/>
      <w:lvlText w:val=""/>
      <w:lvlJc w:val="left"/>
    </w:lvl>
    <w:lvl w:ilvl="6" w:tplc="0554E714">
      <w:numFmt w:val="decimal"/>
      <w:lvlText w:val=""/>
      <w:lvlJc w:val="left"/>
    </w:lvl>
    <w:lvl w:ilvl="7" w:tplc="B2342B5A">
      <w:numFmt w:val="decimal"/>
      <w:lvlText w:val=""/>
      <w:lvlJc w:val="left"/>
    </w:lvl>
    <w:lvl w:ilvl="8" w:tplc="847AA1F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24"/>
    <w:rsid w:val="00002AC0"/>
    <w:rsid w:val="000809BD"/>
    <w:rsid w:val="00090AAC"/>
    <w:rsid w:val="000E77F2"/>
    <w:rsid w:val="000F0659"/>
    <w:rsid w:val="001234C0"/>
    <w:rsid w:val="00133690"/>
    <w:rsid w:val="001349E7"/>
    <w:rsid w:val="00154F24"/>
    <w:rsid w:val="0016109E"/>
    <w:rsid w:val="001C3709"/>
    <w:rsid w:val="002531E7"/>
    <w:rsid w:val="002F68E8"/>
    <w:rsid w:val="00302F44"/>
    <w:rsid w:val="00316791"/>
    <w:rsid w:val="004E30B0"/>
    <w:rsid w:val="005401FF"/>
    <w:rsid w:val="0066197B"/>
    <w:rsid w:val="00691797"/>
    <w:rsid w:val="0073678D"/>
    <w:rsid w:val="00753F08"/>
    <w:rsid w:val="007738FA"/>
    <w:rsid w:val="007C4FEE"/>
    <w:rsid w:val="007F2AEE"/>
    <w:rsid w:val="00811FC3"/>
    <w:rsid w:val="00835EFB"/>
    <w:rsid w:val="008543BC"/>
    <w:rsid w:val="008A1762"/>
    <w:rsid w:val="008E4DC8"/>
    <w:rsid w:val="00913367"/>
    <w:rsid w:val="00987545"/>
    <w:rsid w:val="00A33463"/>
    <w:rsid w:val="00A74484"/>
    <w:rsid w:val="00B2096A"/>
    <w:rsid w:val="00B31BD2"/>
    <w:rsid w:val="00B347D3"/>
    <w:rsid w:val="00BC3A3E"/>
    <w:rsid w:val="00D925A9"/>
    <w:rsid w:val="00DA3806"/>
    <w:rsid w:val="00E0541F"/>
    <w:rsid w:val="00E359A3"/>
    <w:rsid w:val="00F25B23"/>
    <w:rsid w:val="00F874DE"/>
    <w:rsid w:val="00FF1A7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4DB341"/>
  <w15:docId w15:val="{0CA20427-D039-47A0-97A1-89F8A288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302F44"/>
    <w:pPr>
      <w:ind w:left="720"/>
      <w:contextualSpacing/>
    </w:pPr>
  </w:style>
  <w:style w:type="table" w:styleId="TableGrid">
    <w:name w:val="Table Grid"/>
    <w:basedOn w:val="TableNormal"/>
    <w:uiPriority w:val="39"/>
    <w:rsid w:val="00302F44"/>
    <w:pPr>
      <w:spacing w:after="0" w:line="240" w:lineRule="auto"/>
    </w:pPr>
    <w:rPr>
      <w:rFonts w:asciiTheme="minorHAnsi"/>
      <w:kern w:val="2"/>
      <w:sz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463"/>
  </w:style>
  <w:style w:type="paragraph" w:styleId="Footer">
    <w:name w:val="footer"/>
    <w:basedOn w:val="Normal"/>
    <w:link w:val="FooterChar"/>
    <w:uiPriority w:val="99"/>
    <w:unhideWhenUsed/>
    <w:rsid w:val="00A3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463"/>
  </w:style>
  <w:style w:type="character" w:styleId="Hyperlink">
    <w:name w:val="Hyperlink"/>
    <w:basedOn w:val="DefaultParagraphFont"/>
    <w:uiPriority w:val="99"/>
    <w:unhideWhenUsed/>
    <w:rsid w:val="0066197B"/>
    <w:rPr>
      <w:color w:val="0563C1" w:themeColor="hyperlink"/>
      <w:u w:val="single"/>
    </w:rPr>
  </w:style>
  <w:style w:type="character" w:styleId="UnresolvedMention">
    <w:name w:val="Unresolved Mention"/>
    <w:basedOn w:val="DefaultParagraphFont"/>
    <w:uiPriority w:val="99"/>
    <w:semiHidden/>
    <w:unhideWhenUsed/>
    <w:rsid w:val="0066197B"/>
    <w:rPr>
      <w:color w:val="605E5C"/>
      <w:shd w:val="clear" w:color="auto" w:fill="E1DFDD"/>
    </w:rPr>
  </w:style>
  <w:style w:type="paragraph" w:customStyle="1" w:styleId="Default">
    <w:name w:val="Default"/>
    <w:rsid w:val="00B2096A"/>
    <w:pPr>
      <w:autoSpaceDE w:val="0"/>
      <w:autoSpaceDN w:val="0"/>
      <w:adjustRightInd w:val="0"/>
      <w:spacing w:after="0" w:line="240" w:lineRule="auto"/>
    </w:pPr>
    <w:rPr>
      <w:rFonts w:ascii="Arial" w:hAnsi="Arial" w:cs="Arial"/>
      <w:color w:val="000000"/>
      <w:sz w:val="24"/>
      <w:szCs w:val="24"/>
      <w:lang w:val="en-IN" w:bidi="kn-IN"/>
    </w:rPr>
  </w:style>
  <w:style w:type="paragraph" w:styleId="NormalWeb">
    <w:name w:val="Normal (Web)"/>
    <w:basedOn w:val="Normal"/>
    <w:uiPriority w:val="99"/>
    <w:semiHidden/>
    <w:unhideWhenUsed/>
    <w:rsid w:val="0069179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91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2120/jwb.2019.35090" TargetMode="External"/><Relationship Id="rId18" Type="http://schemas.openxmlformats.org/officeDocument/2006/relationships/hyperlink" Target="https://doi.org/10.1016/j.biocon.2012.06.018" TargetMode="External"/><Relationship Id="rId26" Type="http://schemas.openxmlformats.org/officeDocument/2006/relationships/hyperlink" Target="https://doi.org/10.1071/WR14229" TargetMode="External"/><Relationship Id="rId39" Type="http://schemas.openxmlformats.org/officeDocument/2006/relationships/footer" Target="footer1.xml"/><Relationship Id="rId21" Type="http://schemas.openxmlformats.org/officeDocument/2006/relationships/hyperlink" Target="https://doi.org/10.1007/s11252-016-0619-0" TargetMode="External"/><Relationship Id="rId34" Type="http://schemas.openxmlformats.org/officeDocument/2006/relationships/chart" Target="charts/chart6.xml"/><Relationship Id="rId42" Type="http://schemas.openxmlformats.org/officeDocument/2006/relationships/footer" Target="footer3.xml"/><Relationship Id="rId7" Type="http://schemas.openxmlformats.org/officeDocument/2006/relationships/hyperlink" Target="https://doi.org/10.1016/j.scitotenv.2022.155603" TargetMode="External"/><Relationship Id="rId2" Type="http://schemas.openxmlformats.org/officeDocument/2006/relationships/styles" Target="styles.xml"/><Relationship Id="rId16" Type="http://schemas.openxmlformats.org/officeDocument/2006/relationships/hyperlink" Target="https://doi.org/10.1007/s10344-007-0117-z" TargetMode="External"/><Relationship Id="rId20" Type="http://schemas.openxmlformats.org/officeDocument/2006/relationships/hyperlink" Target="https://doi.org/10.54081/JES.025/04" TargetMode="External"/><Relationship Id="rId29" Type="http://schemas.openxmlformats.org/officeDocument/2006/relationships/chart" Target="charts/chart1.xm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709274.2010.11906279" TargetMode="External"/><Relationship Id="rId24" Type="http://schemas.openxmlformats.org/officeDocument/2006/relationships/hyperlink" Target="https://doi.org/10.1002/ajp.20710" TargetMode="External"/><Relationship Id="rId32" Type="http://schemas.openxmlformats.org/officeDocument/2006/relationships/chart" Target="charts/chart4.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531-022-02386-w" TargetMode="External"/><Relationship Id="rId23" Type="http://schemas.openxmlformats.org/officeDocument/2006/relationships/hyperlink" Target="https://doi.org/10.1371/journal.pone.0140961" TargetMode="External"/><Relationship Id="rId28" Type="http://schemas.openxmlformats.org/officeDocument/2006/relationships/hyperlink" Target="https://doi.org/10.1016/j.gecco.2023.e02596" TargetMode="External"/><Relationship Id="rId36" Type="http://schemas.openxmlformats.org/officeDocument/2006/relationships/chart" Target="charts/chart8.xml"/><Relationship Id="rId10" Type="http://schemas.openxmlformats.org/officeDocument/2006/relationships/hyperlink" Target="https://doi.org/10.2752/089279304786991783" TargetMode="External"/><Relationship Id="rId19" Type="http://schemas.openxmlformats.org/officeDocument/2006/relationships/hyperlink" Target="https://doi.org/10.1371/journal.pone.0085497" TargetMode="External"/><Relationship Id="rId31" Type="http://schemas.openxmlformats.org/officeDocument/2006/relationships/chart" Target="charts/chart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0708-023-10862-1" TargetMode="External"/><Relationship Id="rId14" Type="http://schemas.openxmlformats.org/officeDocument/2006/relationships/hyperlink" Target="https://doi.org/10.51847/dpGQL4yAXY" TargetMode="External"/><Relationship Id="rId22" Type="http://schemas.openxmlformats.org/officeDocument/2006/relationships/hyperlink" Target="https://doi.org/10.1007/978-1-4614-3967-7" TargetMode="External"/><Relationship Id="rId27" Type="http://schemas.openxmlformats.org/officeDocument/2006/relationships/hyperlink" Target="https://doi.org/10.1111/zph.13211" TargetMode="Externa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fontTable" Target="fontTable.xml"/><Relationship Id="rId8" Type="http://schemas.openxmlformats.org/officeDocument/2006/relationships/hyperlink" Target="https://doi.org/10.1007/s11252-025-01723-5" TargetMode="External"/><Relationship Id="rId3" Type="http://schemas.openxmlformats.org/officeDocument/2006/relationships/settings" Target="settings.xml"/><Relationship Id="rId12" Type="http://schemas.openxmlformats.org/officeDocument/2006/relationships/hyperlink" Target="https://doi.org/10.1159/000496025" TargetMode="External"/><Relationship Id="rId17" Type="http://schemas.openxmlformats.org/officeDocument/2006/relationships/hyperlink" Target="https://doi.org/10.1111/jmp.70044" TargetMode="External"/><Relationship Id="rId25" Type="http://schemas.openxmlformats.org/officeDocument/2006/relationships/hyperlink" Target="http://eprints.nias.res.in/65/1/asinha4.pdf" TargetMode="External"/><Relationship Id="rId33" Type="http://schemas.openxmlformats.org/officeDocument/2006/relationships/chart" Target="charts/chart5.xm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4b4bef6ed396b48d/Desktop/Set%204%5eJ5%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367741955242765E-2"/>
          <c:y val="0.12730121906694367"/>
          <c:w val="0.86790948097648823"/>
          <c:h val="0.83341206272071966"/>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05C-44AD-AA83-8C8807ABDCE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05C-44AD-AA83-8C8807ABDCE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Data.xlsx]Sheet2'!$E$2:$E$3</c:f>
              <c:strCache>
                <c:ptCount val="2"/>
                <c:pt idx="0">
                  <c:v>Yes</c:v>
                </c:pt>
                <c:pt idx="1">
                  <c:v>No</c:v>
                </c:pt>
              </c:strCache>
            </c:strRef>
          </c:cat>
          <c:val>
            <c:numRef>
              <c:f>'[Set 4^J5 Data.xlsx]Sheet2'!$F$2:$F$3</c:f>
              <c:numCache>
                <c:formatCode>General</c:formatCode>
                <c:ptCount val="2"/>
                <c:pt idx="0">
                  <c:v>324</c:v>
                </c:pt>
                <c:pt idx="1">
                  <c:v>377</c:v>
                </c:pt>
              </c:numCache>
            </c:numRef>
          </c:val>
          <c:extLst>
            <c:ext xmlns:c16="http://schemas.microsoft.com/office/drawing/2014/chart" uri="{C3380CC4-5D6E-409C-BE32-E72D297353CC}">
              <c16:uniqueId val="{00000004-F05C-44AD-AA83-8C8807ABDCE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787430683918669E-2"/>
          <c:y val="6.3591375955256005E-2"/>
          <c:w val="0.8574154268121511"/>
          <c:h val="0.89187597458664636"/>
        </c:manualLayout>
      </c:layout>
      <c:pie3DChart>
        <c:varyColors val="1"/>
        <c:ser>
          <c:idx val="0"/>
          <c:order val="0"/>
          <c:dPt>
            <c:idx val="0"/>
            <c:bubble3D val="0"/>
            <c:explosion val="1"/>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90B-4B9A-A588-8749C689A3C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90B-4B9A-A588-8749C689A3C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90B-4B9A-A588-8749C689A3C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90B-4B9A-A588-8749C689A3C9}"/>
              </c:ext>
            </c:extLst>
          </c:dPt>
          <c:dLbls>
            <c:dLbl>
              <c:idx val="1"/>
              <c:layout>
                <c:manualLayout>
                  <c:x val="0.12304219570449661"/>
                  <c:y val="-4.68072219286828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0B-4B9A-A588-8749C689A3C9}"/>
                </c:ext>
              </c:extLst>
            </c:dLbl>
            <c:dLbl>
              <c:idx val="2"/>
              <c:layout>
                <c:manualLayout>
                  <c:x val="7.7893390152648087E-3"/>
                  <c:y val="0.1830057863061716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0B-4B9A-A588-8749C689A3C9}"/>
                </c:ext>
              </c:extLst>
            </c:dLbl>
            <c:dLbl>
              <c:idx val="3"/>
              <c:layout>
                <c:manualLayout>
                  <c:x val="0.15268273376990937"/>
                  <c:y val="7.47361367063159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90B-4B9A-A588-8749C689A3C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Data.xlsx]Sheet2'!$E$5:$E$8</c:f>
              <c:strCache>
                <c:ptCount val="4"/>
                <c:pt idx="0">
                  <c:v>Fruits </c:v>
                </c:pt>
                <c:pt idx="1">
                  <c:v>Cooked food </c:v>
                </c:pt>
                <c:pt idx="2">
                  <c:v>Uncooked </c:v>
                </c:pt>
                <c:pt idx="3">
                  <c:v>Bakery </c:v>
                </c:pt>
              </c:strCache>
            </c:strRef>
          </c:cat>
          <c:val>
            <c:numRef>
              <c:f>'[Set 4^J5 Data.xlsx]Sheet2'!$F$5:$F$8</c:f>
              <c:numCache>
                <c:formatCode>General</c:formatCode>
                <c:ptCount val="4"/>
                <c:pt idx="0">
                  <c:v>332</c:v>
                </c:pt>
                <c:pt idx="1">
                  <c:v>11</c:v>
                </c:pt>
                <c:pt idx="2">
                  <c:v>17</c:v>
                </c:pt>
                <c:pt idx="3">
                  <c:v>39</c:v>
                </c:pt>
              </c:numCache>
            </c:numRef>
          </c:val>
          <c:extLst>
            <c:ext xmlns:c16="http://schemas.microsoft.com/office/drawing/2014/chart" uri="{C3380CC4-5D6E-409C-BE32-E72D297353CC}">
              <c16:uniqueId val="{00000008-A90B-4B9A-A588-8749C689A3C9}"/>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484447850251628"/>
          <c:y val="0.21383816384654045"/>
          <c:w val="0.27594787392964615"/>
          <c:h val="0.5087967318324162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95612151929284706"/>
          <c:h val="0.9976269124895973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559-4231-BF55-B52D3734D26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559-4231-BF55-B52D3734D26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559-4231-BF55-B52D3734D267}"/>
              </c:ext>
            </c:extLst>
          </c:dPt>
          <c:dLbls>
            <c:dLbl>
              <c:idx val="0"/>
              <c:layout>
                <c:manualLayout>
                  <c:x val="-6.5574898737050885E-2"/>
                  <c:y val="9.59973020132259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559-4231-BF55-B52D3734D267}"/>
                </c:ext>
              </c:extLst>
            </c:dLbl>
            <c:dLbl>
              <c:idx val="2"/>
              <c:layout>
                <c:manualLayout>
                  <c:x val="6.7712769599452202E-2"/>
                  <c:y val="0.12522656366067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559-4231-BF55-B52D3734D26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Data.xlsx]Sheet2'!$E$10:$E$12</c:f>
              <c:strCache>
                <c:ptCount val="3"/>
                <c:pt idx="0">
                  <c:v>High </c:v>
                </c:pt>
                <c:pt idx="1">
                  <c:v>Neutral </c:v>
                </c:pt>
                <c:pt idx="2">
                  <c:v>Low</c:v>
                </c:pt>
              </c:strCache>
            </c:strRef>
          </c:cat>
          <c:val>
            <c:numRef>
              <c:f>'[Set 4^J5 Data.xlsx]Sheet2'!$F$10:$F$12</c:f>
              <c:numCache>
                <c:formatCode>General</c:formatCode>
                <c:ptCount val="3"/>
                <c:pt idx="0">
                  <c:v>75</c:v>
                </c:pt>
                <c:pt idx="1">
                  <c:v>471</c:v>
                </c:pt>
                <c:pt idx="2">
                  <c:v>126</c:v>
                </c:pt>
              </c:numCache>
            </c:numRef>
          </c:val>
          <c:extLst>
            <c:ext xmlns:c16="http://schemas.microsoft.com/office/drawing/2014/chart" uri="{C3380CC4-5D6E-409C-BE32-E72D297353CC}">
              <c16:uniqueId val="{00000006-1559-4231-BF55-B52D3734D26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280387365372443"/>
          <c:y val="0.56986684591255365"/>
          <c:w val="0.25696141430597036"/>
          <c:h val="0.428821084864391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5914490951788935E-3"/>
          <c:y val="5.7968711765435443E-2"/>
          <c:w val="0.93757197746342957"/>
          <c:h val="0.89791668761711296"/>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6CF-4473-89F1-262AD98BEEF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6CF-4473-89F1-262AD98BEEF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6CF-4473-89F1-262AD98BEEF5}"/>
              </c:ext>
            </c:extLst>
          </c:dPt>
          <c:dLbls>
            <c:dLbl>
              <c:idx val="1"/>
              <c:layout>
                <c:manualLayout>
                  <c:x val="0.427575831371594"/>
                  <c:y val="-0.138505260371865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6CF-4473-89F1-262AD98BEEF5}"/>
                </c:ext>
              </c:extLst>
            </c:dLbl>
            <c:dLbl>
              <c:idx val="2"/>
              <c:layout>
                <c:manualLayout>
                  <c:x val="4.6428703248031493E-2"/>
                  <c:y val="0.1113318923369872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6CF-4473-89F1-262AD98BEEF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Data.xlsx]Sheet2'!$E$14:$E$16</c:f>
              <c:strCache>
                <c:ptCount val="3"/>
                <c:pt idx="0">
                  <c:v>Tolerable </c:v>
                </c:pt>
                <c:pt idx="1">
                  <c:v>Moderate</c:v>
                </c:pt>
                <c:pt idx="2">
                  <c:v>Unbarable</c:v>
                </c:pt>
              </c:strCache>
            </c:strRef>
          </c:cat>
          <c:val>
            <c:numRef>
              <c:f>'[Set 4^J5 Data.xlsx]Sheet2'!$F$14:$F$16</c:f>
              <c:numCache>
                <c:formatCode>General</c:formatCode>
                <c:ptCount val="3"/>
                <c:pt idx="0">
                  <c:v>263</c:v>
                </c:pt>
                <c:pt idx="1">
                  <c:v>329</c:v>
                </c:pt>
                <c:pt idx="2">
                  <c:v>47</c:v>
                </c:pt>
              </c:numCache>
            </c:numRef>
          </c:val>
          <c:extLst>
            <c:ext xmlns:c16="http://schemas.microsoft.com/office/drawing/2014/chart" uri="{C3380CC4-5D6E-409C-BE32-E72D297353CC}">
              <c16:uniqueId val="{00000006-F6CF-4473-89F1-262AD98BEEF5}"/>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1.8731498768839464E-2"/>
          <c:y val="0.3075570700721233"/>
          <c:w val="0.37474307979543792"/>
          <c:h val="0.620502878316681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93231081585739E-2"/>
          <c:y val="8.3937339411520914E-2"/>
          <c:w val="0.94869739478957926"/>
          <c:h val="0.8424109407376709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A44-41A0-9DBE-9347C4FD0F6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A44-41A0-9DBE-9347C4FD0F6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A44-41A0-9DBE-9347C4FD0F6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Data.xlsx]Sheet2'!$E$18:$E$20</c:f>
              <c:strCache>
                <c:ptCount val="3"/>
                <c:pt idx="0">
                  <c:v>Yes</c:v>
                </c:pt>
                <c:pt idx="1">
                  <c:v>No</c:v>
                </c:pt>
                <c:pt idx="2">
                  <c:v>Don’t Know</c:v>
                </c:pt>
              </c:strCache>
            </c:strRef>
          </c:cat>
          <c:val>
            <c:numRef>
              <c:f>'[Set 4^J5 Data.xlsx]Sheet2'!$F$18:$F$20</c:f>
              <c:numCache>
                <c:formatCode>General</c:formatCode>
                <c:ptCount val="3"/>
                <c:pt idx="0">
                  <c:v>161</c:v>
                </c:pt>
                <c:pt idx="1">
                  <c:v>115</c:v>
                </c:pt>
                <c:pt idx="2">
                  <c:v>381</c:v>
                </c:pt>
              </c:numCache>
            </c:numRef>
          </c:val>
          <c:extLst>
            <c:ext xmlns:c16="http://schemas.microsoft.com/office/drawing/2014/chart" uri="{C3380CC4-5D6E-409C-BE32-E72D297353CC}">
              <c16:uniqueId val="{00000006-3A44-41A0-9DBE-9347C4FD0F6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3.1866883373045329E-2"/>
          <c:y val="0.53250029009531707"/>
          <c:w val="0.23038526434195725"/>
          <c:h val="0.4612284922717993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728958834702934E-2"/>
          <c:y val="0.30153965452891784"/>
          <c:w val="0.88903015271623897"/>
          <c:h val="0.60837551771744136"/>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33F-4965-B110-93A97E0A02B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33F-4965-B110-93A97E0A02B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33F-4965-B110-93A97E0A02B7}"/>
              </c:ext>
            </c:extLst>
          </c:dPt>
          <c:dLbls>
            <c:dLbl>
              <c:idx val="0"/>
              <c:layout>
                <c:manualLayout>
                  <c:x val="-4.878048780487805E-2"/>
                  <c:y val="0.1485761452744531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33F-4965-B110-93A97E0A02B7}"/>
                </c:ext>
              </c:extLst>
            </c:dLbl>
            <c:dLbl>
              <c:idx val="1"/>
              <c:layout>
                <c:manualLayout>
                  <c:x val="2.4096385542168676E-2"/>
                  <c:y val="0.3714403631861328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36947791164658633"/>
                      <c:h val="0.28093305299280841"/>
                    </c:manualLayout>
                  </c15:layout>
                </c:ext>
                <c:ext xmlns:c16="http://schemas.microsoft.com/office/drawing/2014/chart" uri="{C3380CC4-5D6E-409C-BE32-E72D297353CC}">
                  <c16:uniqueId val="{00000003-C33F-4965-B110-93A97E0A02B7}"/>
                </c:ext>
              </c:extLst>
            </c:dLbl>
            <c:dLbl>
              <c:idx val="2"/>
              <c:layout>
                <c:manualLayout>
                  <c:x val="0.10691079277740885"/>
                  <c:y val="1.126929913785539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77235772357724"/>
                      <c:h val="0.28093305299280841"/>
                    </c:manualLayout>
                  </c15:layout>
                </c:ext>
                <c:ext xmlns:c16="http://schemas.microsoft.com/office/drawing/2014/chart" uri="{C3380CC4-5D6E-409C-BE32-E72D297353CC}">
                  <c16:uniqueId val="{00000005-C33F-4965-B110-93A97E0A02B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'[Set 4^J5 Data.xlsx]Sheet4'!$E$10:$E$12</c:f>
              <c:strCache>
                <c:ptCount val="3"/>
                <c:pt idx="0">
                  <c:v>Low</c:v>
                </c:pt>
                <c:pt idx="1">
                  <c:v>Medium </c:v>
                </c:pt>
                <c:pt idx="2">
                  <c:v>High</c:v>
                </c:pt>
              </c:strCache>
            </c:strRef>
          </c:cat>
          <c:val>
            <c:numRef>
              <c:f>'[Set 4^J5 Data.xlsx]Sheet4'!$F$10:$F$12</c:f>
              <c:numCache>
                <c:formatCode>General</c:formatCode>
                <c:ptCount val="3"/>
                <c:pt idx="0">
                  <c:v>382</c:v>
                </c:pt>
                <c:pt idx="1">
                  <c:v>214</c:v>
                </c:pt>
                <c:pt idx="2">
                  <c:v>31</c:v>
                </c:pt>
              </c:numCache>
            </c:numRef>
          </c:val>
          <c:extLst>
            <c:ext xmlns:c16="http://schemas.microsoft.com/office/drawing/2014/chart" uri="{C3380CC4-5D6E-409C-BE32-E72D297353CC}">
              <c16:uniqueId val="{00000006-C33F-4965-B110-93A97E0A02B7}"/>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0"/>
    </c:view3D>
    <c:floor>
      <c:thickness val="0"/>
      <c:spPr>
        <a:solidFill>
          <a:schemeClr val="accent6">
            <a:alpha val="30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6">
                <a:lumMod val="20000"/>
                <a:lumOff val="80000"/>
              </a:schemeClr>
            </a:solidFill>
            <a:ln>
              <a:noFill/>
            </a:ln>
            <a:effectLst/>
            <a:sp3d/>
          </c:spPr>
          <c:invertIfNegative val="0"/>
          <c:cat>
            <c:multiLvlStrRef>
              <c:f>'[Set 4^J5 Data.xlsx]Sheet4'!$B$3:$E$9</c:f>
              <c:multiLvlStrCache>
                <c:ptCount val="7"/>
                <c:lvl>
                  <c:pt idx="0">
                    <c:v>Food Snatching </c:v>
                  </c:pt>
                  <c:pt idx="1">
                    <c:v>Crop damage </c:v>
                  </c:pt>
                  <c:pt idx="2">
                    <c:v>Garden damage</c:v>
                  </c:pt>
                  <c:pt idx="3">
                    <c:v>Bite</c:v>
                  </c:pt>
                  <c:pt idx="4">
                    <c:v>Property </c:v>
                  </c:pt>
                  <c:pt idx="5">
                    <c:v>to Pet</c:v>
                  </c:pt>
                  <c:pt idx="6">
                    <c:v>Others</c:v>
                  </c:pt>
                </c:lvl>
                <c:lvl>
                  <c:pt idx="0">
                    <c:v>Damaged caused (n=535)</c:v>
                  </c:pt>
                </c:lvl>
              </c:multiLvlStrCache>
            </c:multiLvlStrRef>
          </c:cat>
          <c:val>
            <c:numRef>
              <c:f>'[Set 4^J5 Data.xlsx]Sheet4'!$F$3:$F$9</c:f>
              <c:numCache>
                <c:formatCode>General</c:formatCode>
                <c:ptCount val="7"/>
                <c:pt idx="0">
                  <c:v>179</c:v>
                </c:pt>
                <c:pt idx="1">
                  <c:v>74</c:v>
                </c:pt>
                <c:pt idx="2">
                  <c:v>82</c:v>
                </c:pt>
                <c:pt idx="3">
                  <c:v>9</c:v>
                </c:pt>
                <c:pt idx="4">
                  <c:v>57</c:v>
                </c:pt>
                <c:pt idx="5">
                  <c:v>7</c:v>
                </c:pt>
                <c:pt idx="6">
                  <c:v>214</c:v>
                </c:pt>
              </c:numCache>
            </c:numRef>
          </c:val>
          <c:extLst>
            <c:ext xmlns:c16="http://schemas.microsoft.com/office/drawing/2014/chart" uri="{C3380CC4-5D6E-409C-BE32-E72D297353CC}">
              <c16:uniqueId val="{00000000-7C3B-481B-9B25-21E3ECC1BF69}"/>
            </c:ext>
          </c:extLst>
        </c:ser>
        <c:dLbls>
          <c:showLegendKey val="0"/>
          <c:showVal val="0"/>
          <c:showCatName val="0"/>
          <c:showSerName val="0"/>
          <c:showPercent val="0"/>
          <c:showBubbleSize val="0"/>
        </c:dLbls>
        <c:gapWidth val="154"/>
        <c:gapDepth val="0"/>
        <c:shape val="box"/>
        <c:axId val="2112946848"/>
        <c:axId val="2112957888"/>
        <c:axId val="0"/>
      </c:bar3DChart>
      <c:catAx>
        <c:axId val="2112946848"/>
        <c:scaling>
          <c:orientation val="minMax"/>
        </c:scaling>
        <c:delete val="0"/>
        <c:axPos val="l"/>
        <c:majorGridlines>
          <c:spPr>
            <a:ln w="9525" cap="flat" cmpd="sng" algn="ctr">
              <a:solidFill>
                <a:schemeClr val="l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all" spc="150" normalizeH="0" baseline="0">
                <a:solidFill>
                  <a:schemeClr val="lt1"/>
                </a:solidFill>
                <a:latin typeface="+mn-lt"/>
                <a:ea typeface="+mn-ea"/>
                <a:cs typeface="+mn-cs"/>
              </a:defRPr>
            </a:pPr>
            <a:endParaRPr lang="en-US"/>
          </a:p>
        </c:txPr>
        <c:crossAx val="2112957888"/>
        <c:crosses val="autoZero"/>
        <c:auto val="1"/>
        <c:lblAlgn val="ctr"/>
        <c:lblOffset val="100"/>
        <c:noMultiLvlLbl val="0"/>
      </c:catAx>
      <c:valAx>
        <c:axId val="2112957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2112946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solidFill>
    <a:ln w="9525" cap="flat" cmpd="sng" algn="ctr">
      <a:solidFill>
        <a:schemeClr val="accent6"/>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'[Set 4^J5 Data.xlsx]Sheet4'!$B$13:$E$21</c:f>
              <c:strCache>
                <c:ptCount val="9"/>
                <c:pt idx="0">
                  <c:v>Not feeding </c:v>
                </c:pt>
                <c:pt idx="1">
                  <c:v>catch and release</c:v>
                </c:pt>
                <c:pt idx="2">
                  <c:v>crackers</c:v>
                </c:pt>
                <c:pt idx="3">
                  <c:v>Iron grills</c:v>
                </c:pt>
                <c:pt idx="4">
                  <c:v>Culling </c:v>
                </c:pt>
                <c:pt idx="5">
                  <c:v>water spray</c:v>
                </c:pt>
                <c:pt idx="6">
                  <c:v>Using sticks</c:v>
                </c:pt>
                <c:pt idx="7">
                  <c:v>Dogs</c:v>
                </c:pt>
                <c:pt idx="8">
                  <c:v>Others</c:v>
                </c:pt>
              </c:strCache>
              <c:extLst/>
            </c:strRef>
          </c:cat>
          <c:val>
            <c:numRef>
              <c:f>'[Set 4^J5 Data.xlsx]Sheet4'!$F$13:$F$21</c:f>
              <c:numCache>
                <c:formatCode>General</c:formatCode>
                <c:ptCount val="9"/>
                <c:pt idx="0">
                  <c:v>138</c:v>
                </c:pt>
                <c:pt idx="1">
                  <c:v>77</c:v>
                </c:pt>
                <c:pt idx="2">
                  <c:v>65</c:v>
                </c:pt>
                <c:pt idx="3">
                  <c:v>133</c:v>
                </c:pt>
                <c:pt idx="4">
                  <c:v>2</c:v>
                </c:pt>
                <c:pt idx="5">
                  <c:v>58</c:v>
                </c:pt>
                <c:pt idx="6">
                  <c:v>119</c:v>
                </c:pt>
                <c:pt idx="7">
                  <c:v>42</c:v>
                </c:pt>
                <c:pt idx="8">
                  <c:v>118</c:v>
                </c:pt>
              </c:numCache>
            </c:numRef>
          </c:val>
          <c:extLst>
            <c:ext xmlns:c16="http://schemas.microsoft.com/office/drawing/2014/chart" uri="{C3380CC4-5D6E-409C-BE32-E72D297353CC}">
              <c16:uniqueId val="{00000000-F6E0-4E50-99D2-0462D58500FB}"/>
            </c:ext>
          </c:extLst>
        </c:ser>
        <c:dLbls>
          <c:dLblPos val="outEnd"/>
          <c:showLegendKey val="0"/>
          <c:showVal val="1"/>
          <c:showCatName val="0"/>
          <c:showSerName val="0"/>
          <c:showPercent val="0"/>
          <c:showBubbleSize val="0"/>
        </c:dLbls>
        <c:gapWidth val="227"/>
        <c:overlap val="-48"/>
        <c:axId val="1510214640"/>
        <c:axId val="1510225200"/>
      </c:barChart>
      <c:catAx>
        <c:axId val="15102146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510225200"/>
        <c:crosses val="autoZero"/>
        <c:auto val="1"/>
        <c:lblAlgn val="ctr"/>
        <c:lblOffset val="100"/>
        <c:noMultiLvlLbl val="0"/>
      </c:catAx>
      <c:valAx>
        <c:axId val="15102252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21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5">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lumMod val="20000"/>
          <a:lumOff val="80000"/>
        </a:schemeClr>
      </a:solidFill>
    </cs:spPr>
  </cs:dataPoint>
  <cs:dataPoint3D>
    <cs:lnRef idx="0"/>
    <cs:fillRef idx="0">
      <cs:styleClr val="auto"/>
    </cs:fillRef>
    <cs:effectRef idx="0"/>
    <cs:fontRef idx="minor">
      <a:schemeClr val="dk1"/>
    </cs:fontRef>
    <cs:spPr>
      <a:solidFill>
        <a:schemeClr val="phClr">
          <a:lumMod val="20000"/>
          <a:lumOff val="80000"/>
        </a:schemeClr>
      </a:solidFill>
      <a:sp3d/>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styleClr val="0"/>
    </cs:fillRef>
    <cs:effectRef idx="0"/>
    <cs:fontRef idx="minor">
      <a:schemeClr val="dk1"/>
    </cs:fontRef>
    <cs:spPr>
      <a:solidFill>
        <a:schemeClr val="phClr">
          <a:alpha val="30000"/>
        </a:schemeClr>
      </a:solidFill>
      <a:sp3d/>
    </cs:spPr>
  </cs:floor>
  <cs:gridlineMajor>
    <cs:lnRef idx="0">
      <cs:styleClr val="0"/>
    </cs:lnRef>
    <cs:fillRef idx="0"/>
    <cs:effectRef idx="0"/>
    <cs:fontRef idx="minor">
      <a:schemeClr val="dk1"/>
    </cs:fontRef>
    <cs:spPr>
      <a:ln w="9525" cap="flat" cmpd="sng" algn="ctr">
        <a:solidFill>
          <a:schemeClr val="lt1">
            <a:lumMod val="60000"/>
            <a:lumOff val="40000"/>
          </a:schemeClr>
        </a:solidFill>
        <a:round/>
      </a:ln>
    </cs:spPr>
  </cs:gridlineMajor>
  <cs:gridlineMinor>
    <cs:lnRef idx="0">
      <cs:styleClr val="0"/>
    </cs:lnRef>
    <cs:fillRef idx="0"/>
    <cs:effectRef idx="0"/>
    <cs:fontRef idx="minor">
      <a:schemeClr val="dk1"/>
    </cs:fontRef>
    <cs:spPr>
      <a:ln>
        <a:solidFill>
          <a:schemeClr val="lt1">
            <a:lumMod val="50000"/>
            <a:lumOff val="5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0.0599</cdr:x>
      <cdr:y>0.01067</cdr:y>
    </cdr:from>
    <cdr:to>
      <cdr:x>0.4739</cdr:x>
      <cdr:y>0.12381</cdr:y>
    </cdr:to>
    <cdr:sp macro="" textlink="">
      <cdr:nvSpPr>
        <cdr:cNvPr id="2" name="TextBox 1">
          <a:extLst xmlns:a="http://schemas.openxmlformats.org/drawingml/2006/main">
            <a:ext uri="{FF2B5EF4-FFF2-40B4-BE49-F238E27FC236}">
              <a16:creationId xmlns:a16="http://schemas.microsoft.com/office/drawing/2014/main" id="{E4F6B2B2-E4F4-3D0F-234A-DC18C7E78B63}"/>
            </a:ext>
          </a:extLst>
        </cdr:cNvPr>
        <cdr:cNvSpPr txBox="1"/>
      </cdr:nvSpPr>
      <cdr:spPr>
        <a:xfrm xmlns:a="http://schemas.openxmlformats.org/drawingml/2006/main">
          <a:off x="94704" y="16413"/>
          <a:ext cx="654596" cy="174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kern="1200">
              <a:latin typeface="Times New Roman" panose="02020603050405020304" pitchFamily="18" charset="0"/>
              <a:cs typeface="Times New Roman" panose="02020603050405020304" pitchFamily="18" charset="0"/>
            </a:rPr>
            <a:t>n</a:t>
          </a:r>
          <a:r>
            <a:rPr lang="en-IN" sz="800" kern="1200" baseline="0">
              <a:latin typeface="Times New Roman" panose="02020603050405020304" pitchFamily="18" charset="0"/>
              <a:cs typeface="Times New Roman" panose="02020603050405020304" pitchFamily="18" charset="0"/>
            </a:rPr>
            <a:t> = 627</a:t>
          </a:r>
        </a:p>
        <a:p xmlns:a="http://schemas.openxmlformats.org/drawingml/2006/main">
          <a:endParaRPr lang="en-IN"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17</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Editor-1183</cp:lastModifiedBy>
  <cp:revision>26</cp:revision>
  <dcterms:created xsi:type="dcterms:W3CDTF">2025-11-20T07:32:00Z</dcterms:created>
  <dcterms:modified xsi:type="dcterms:W3CDTF">2025-12-06T13:50:00Z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2757bda4-9b18-4f2f-9b55-8bd5fa3d669a</vt:lpwstr>
  </property>
</Properties>
</file>