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8E7D9" w14:textId="109D28C8" w:rsidR="00142B2C" w:rsidRPr="004939F9" w:rsidRDefault="00142B2C" w:rsidP="00CF5C49">
      <w:pPr>
        <w:spacing w:line="360" w:lineRule="auto"/>
        <w:jc w:val="center"/>
        <w:rPr>
          <w:rFonts w:ascii="Times New Roman" w:hAnsi="Times New Roman" w:cs="Times New Roman"/>
          <w:b/>
          <w:bCs/>
          <w:sz w:val="24"/>
          <w:szCs w:val="24"/>
        </w:rPr>
      </w:pPr>
      <w:r w:rsidRPr="004939F9">
        <w:rPr>
          <w:rFonts w:ascii="Times New Roman" w:hAnsi="Times New Roman" w:cs="Times New Roman"/>
          <w:b/>
          <w:bCs/>
          <w:sz w:val="24"/>
          <w:szCs w:val="24"/>
        </w:rPr>
        <w:t>Moderating Effect of Firm Size on the Relationship between Financial Metrics and Share Price of Listed Agriculture and Consumer Goods Firms in Nigeria.</w:t>
      </w:r>
    </w:p>
    <w:p w14:paraId="2D52B56D" w14:textId="00D17C64" w:rsidR="00516623" w:rsidRPr="004939F9" w:rsidRDefault="007F3C52" w:rsidP="00B621B5">
      <w:pPr>
        <w:spacing w:after="0" w:line="360" w:lineRule="auto"/>
        <w:rPr>
          <w:rFonts w:ascii="Times New Roman" w:hAnsi="Times New Roman" w:cs="Times New Roman"/>
          <w:b/>
          <w:bCs/>
          <w:sz w:val="24"/>
          <w:szCs w:val="24"/>
        </w:rPr>
      </w:pPr>
      <w:r w:rsidRPr="004939F9">
        <w:rPr>
          <w:rFonts w:ascii="Times New Roman" w:hAnsi="Times New Roman" w:cs="Times New Roman"/>
          <w:b/>
          <w:bCs/>
          <w:sz w:val="24"/>
          <w:szCs w:val="24"/>
        </w:rPr>
        <w:t>Abstract</w:t>
      </w:r>
    </w:p>
    <w:p w14:paraId="340A7B38" w14:textId="646C80ED" w:rsidR="00E1735F" w:rsidRPr="00896BDD" w:rsidRDefault="005E7ABC" w:rsidP="00A453BD">
      <w:pPr>
        <w:spacing w:line="240" w:lineRule="auto"/>
        <w:jc w:val="both"/>
        <w:rPr>
          <w:rFonts w:ascii="Times New Roman" w:hAnsi="Times New Roman" w:cs="Times New Roman"/>
          <w:i/>
          <w:iCs/>
          <w:color w:val="FF0000"/>
          <w:sz w:val="24"/>
          <w:szCs w:val="24"/>
        </w:rPr>
      </w:pPr>
      <w:r w:rsidRPr="004939F9">
        <w:rPr>
          <w:rFonts w:ascii="Times New Roman" w:hAnsi="Times New Roman" w:cs="Times New Roman"/>
          <w:i/>
          <w:iCs/>
          <w:sz w:val="24"/>
          <w:szCs w:val="24"/>
        </w:rPr>
        <w:t xml:space="preserve">In view of </w:t>
      </w:r>
      <w:r w:rsidR="003F6D9F" w:rsidRPr="004939F9">
        <w:rPr>
          <w:rFonts w:ascii="Times New Roman" w:hAnsi="Times New Roman" w:cs="Times New Roman"/>
          <w:i/>
          <w:iCs/>
          <w:sz w:val="24"/>
          <w:szCs w:val="24"/>
        </w:rPr>
        <w:t>scholars</w:t>
      </w:r>
      <w:r w:rsidR="00944319" w:rsidRPr="004939F9">
        <w:rPr>
          <w:rFonts w:ascii="Times New Roman" w:hAnsi="Times New Roman" w:cs="Times New Roman"/>
          <w:i/>
          <w:iCs/>
          <w:sz w:val="24"/>
          <w:szCs w:val="24"/>
        </w:rPr>
        <w:t>-</w:t>
      </w:r>
      <w:r w:rsidR="003F6D9F" w:rsidRPr="004939F9">
        <w:rPr>
          <w:rFonts w:ascii="Times New Roman" w:hAnsi="Times New Roman" w:cs="Times New Roman"/>
          <w:i/>
          <w:iCs/>
          <w:sz w:val="24"/>
          <w:szCs w:val="24"/>
        </w:rPr>
        <w:t>established</w:t>
      </w:r>
      <w:r w:rsidRPr="004939F9">
        <w:rPr>
          <w:rFonts w:ascii="Times New Roman" w:hAnsi="Times New Roman" w:cs="Times New Roman"/>
          <w:i/>
          <w:iCs/>
          <w:sz w:val="24"/>
          <w:szCs w:val="24"/>
        </w:rPr>
        <w:t xml:space="preserve"> link between firm si</w:t>
      </w:r>
      <w:r w:rsidR="00D41E52" w:rsidRPr="004939F9">
        <w:rPr>
          <w:rFonts w:ascii="Times New Roman" w:hAnsi="Times New Roman" w:cs="Times New Roman"/>
          <w:i/>
          <w:iCs/>
          <w:sz w:val="24"/>
          <w:szCs w:val="24"/>
        </w:rPr>
        <w:t xml:space="preserve">ze and share price and </w:t>
      </w:r>
      <w:r w:rsidR="006239DC" w:rsidRPr="004939F9">
        <w:rPr>
          <w:rFonts w:ascii="Times New Roman" w:hAnsi="Times New Roman" w:cs="Times New Roman"/>
          <w:i/>
          <w:iCs/>
          <w:sz w:val="24"/>
          <w:szCs w:val="24"/>
        </w:rPr>
        <w:t xml:space="preserve">the </w:t>
      </w:r>
      <w:r w:rsidR="00A453BD" w:rsidRPr="004939F9">
        <w:rPr>
          <w:rFonts w:ascii="Times New Roman" w:hAnsi="Times New Roman" w:cs="Times New Roman"/>
          <w:i/>
          <w:iCs/>
          <w:sz w:val="24"/>
          <w:szCs w:val="24"/>
        </w:rPr>
        <w:t xml:space="preserve">suggested </w:t>
      </w:r>
      <w:r w:rsidR="009F45EF" w:rsidRPr="004939F9">
        <w:rPr>
          <w:rFonts w:ascii="Times New Roman" w:hAnsi="Times New Roman" w:cs="Times New Roman"/>
          <w:i/>
          <w:iCs/>
          <w:sz w:val="24"/>
          <w:szCs w:val="24"/>
        </w:rPr>
        <w:t>dual causal</w:t>
      </w:r>
      <w:r w:rsidR="00A44E97" w:rsidRPr="004939F9">
        <w:rPr>
          <w:rFonts w:ascii="Times New Roman" w:hAnsi="Times New Roman" w:cs="Times New Roman"/>
          <w:i/>
          <w:iCs/>
          <w:sz w:val="24"/>
          <w:szCs w:val="24"/>
        </w:rPr>
        <w:t>ity</w:t>
      </w:r>
      <w:r w:rsidR="00E7406D" w:rsidRPr="004939F9">
        <w:rPr>
          <w:rFonts w:ascii="Times New Roman" w:hAnsi="Times New Roman" w:cs="Times New Roman"/>
          <w:i/>
          <w:iCs/>
          <w:sz w:val="24"/>
          <w:szCs w:val="24"/>
        </w:rPr>
        <w:t xml:space="preserve"> </w:t>
      </w:r>
      <w:r w:rsidR="002815E4" w:rsidRPr="004939F9">
        <w:rPr>
          <w:rFonts w:ascii="Times New Roman" w:hAnsi="Times New Roman" w:cs="Times New Roman"/>
          <w:i/>
          <w:iCs/>
          <w:sz w:val="24"/>
          <w:szCs w:val="24"/>
        </w:rPr>
        <w:t xml:space="preserve">nexus between </w:t>
      </w:r>
      <w:r w:rsidR="00E7406D" w:rsidRPr="004939F9">
        <w:rPr>
          <w:rFonts w:ascii="Times New Roman" w:hAnsi="Times New Roman" w:cs="Times New Roman"/>
          <w:i/>
          <w:iCs/>
          <w:sz w:val="24"/>
          <w:szCs w:val="24"/>
        </w:rPr>
        <w:t>firm si</w:t>
      </w:r>
      <w:r w:rsidR="00DA153F" w:rsidRPr="004939F9">
        <w:rPr>
          <w:rFonts w:ascii="Times New Roman" w:hAnsi="Times New Roman" w:cs="Times New Roman"/>
          <w:i/>
          <w:iCs/>
          <w:sz w:val="24"/>
          <w:szCs w:val="24"/>
        </w:rPr>
        <w:t xml:space="preserve">ze </w:t>
      </w:r>
      <w:r w:rsidR="003423CF" w:rsidRPr="004939F9">
        <w:rPr>
          <w:rFonts w:ascii="Times New Roman" w:hAnsi="Times New Roman" w:cs="Times New Roman"/>
          <w:i/>
          <w:iCs/>
          <w:sz w:val="24"/>
          <w:szCs w:val="24"/>
        </w:rPr>
        <w:t xml:space="preserve">and financial </w:t>
      </w:r>
      <w:r w:rsidR="00023682" w:rsidRPr="004939F9">
        <w:rPr>
          <w:rFonts w:ascii="Times New Roman" w:hAnsi="Times New Roman" w:cs="Times New Roman"/>
          <w:i/>
          <w:iCs/>
          <w:sz w:val="24"/>
          <w:szCs w:val="24"/>
        </w:rPr>
        <w:t>performance</w:t>
      </w:r>
      <w:r w:rsidR="00200DE8" w:rsidRPr="004939F9">
        <w:rPr>
          <w:rFonts w:ascii="Times New Roman" w:hAnsi="Times New Roman" w:cs="Times New Roman"/>
          <w:i/>
          <w:iCs/>
          <w:sz w:val="24"/>
          <w:szCs w:val="24"/>
        </w:rPr>
        <w:t xml:space="preserve">, </w:t>
      </w:r>
      <w:r w:rsidR="004C555D">
        <w:rPr>
          <w:rFonts w:ascii="Times New Roman" w:hAnsi="Times New Roman" w:cs="Times New Roman"/>
          <w:i/>
          <w:iCs/>
          <w:sz w:val="24"/>
          <w:szCs w:val="24"/>
        </w:rPr>
        <w:t>the study</w:t>
      </w:r>
      <w:r w:rsidR="003F6D9F" w:rsidRPr="004939F9">
        <w:rPr>
          <w:rFonts w:ascii="Times New Roman" w:hAnsi="Times New Roman" w:cs="Times New Roman"/>
          <w:i/>
          <w:iCs/>
          <w:sz w:val="24"/>
          <w:szCs w:val="24"/>
        </w:rPr>
        <w:t xml:space="preserve"> </w:t>
      </w:r>
      <w:r w:rsidR="00200DE8" w:rsidRPr="004939F9">
        <w:rPr>
          <w:rFonts w:ascii="Times New Roman" w:hAnsi="Times New Roman" w:cs="Times New Roman"/>
          <w:i/>
          <w:iCs/>
          <w:sz w:val="24"/>
          <w:szCs w:val="24"/>
        </w:rPr>
        <w:t>examined the moderating effect of firm size</w:t>
      </w:r>
      <w:r w:rsidR="00590148" w:rsidRPr="004939F9">
        <w:rPr>
          <w:rFonts w:ascii="Times New Roman" w:hAnsi="Times New Roman" w:cs="Times New Roman"/>
          <w:i/>
          <w:iCs/>
          <w:sz w:val="24"/>
          <w:szCs w:val="24"/>
        </w:rPr>
        <w:t xml:space="preserve"> on the relationship between financial</w:t>
      </w:r>
      <w:r w:rsidR="001C7C63" w:rsidRPr="004939F9">
        <w:rPr>
          <w:rFonts w:ascii="Times New Roman" w:hAnsi="Times New Roman" w:cs="Times New Roman"/>
          <w:i/>
          <w:iCs/>
          <w:sz w:val="24"/>
          <w:szCs w:val="24"/>
        </w:rPr>
        <w:t xml:space="preserve"> </w:t>
      </w:r>
      <w:r w:rsidR="00023682" w:rsidRPr="004939F9">
        <w:rPr>
          <w:rFonts w:ascii="Times New Roman" w:hAnsi="Times New Roman" w:cs="Times New Roman"/>
          <w:i/>
          <w:iCs/>
          <w:sz w:val="24"/>
          <w:szCs w:val="24"/>
        </w:rPr>
        <w:t>metrics</w:t>
      </w:r>
      <w:r w:rsidR="00590148" w:rsidRPr="004939F9">
        <w:rPr>
          <w:rFonts w:ascii="Times New Roman" w:hAnsi="Times New Roman" w:cs="Times New Roman"/>
          <w:i/>
          <w:iCs/>
          <w:sz w:val="24"/>
          <w:szCs w:val="24"/>
        </w:rPr>
        <w:t xml:space="preserve"> and share prices of liste</w:t>
      </w:r>
      <w:r w:rsidR="00392314" w:rsidRPr="004939F9">
        <w:rPr>
          <w:rFonts w:ascii="Times New Roman" w:hAnsi="Times New Roman" w:cs="Times New Roman"/>
          <w:i/>
          <w:iCs/>
          <w:sz w:val="24"/>
          <w:szCs w:val="24"/>
        </w:rPr>
        <w:t>d agriculture and consumer goods firms in Nigeria.</w:t>
      </w:r>
      <w:r w:rsidR="00F71F3F" w:rsidRPr="004939F9">
        <w:rPr>
          <w:rFonts w:ascii="Times New Roman" w:hAnsi="Times New Roman" w:cs="Times New Roman"/>
          <w:i/>
          <w:iCs/>
          <w:sz w:val="24"/>
          <w:szCs w:val="24"/>
        </w:rPr>
        <w:t xml:space="preserve"> </w:t>
      </w:r>
      <w:r w:rsidR="00497386">
        <w:rPr>
          <w:rFonts w:ascii="Times New Roman" w:hAnsi="Times New Roman" w:cs="Times New Roman"/>
          <w:i/>
          <w:iCs/>
          <w:sz w:val="24"/>
          <w:szCs w:val="24"/>
        </w:rPr>
        <w:t>It</w:t>
      </w:r>
      <w:r w:rsidR="002D7345">
        <w:rPr>
          <w:rFonts w:ascii="Times New Roman" w:hAnsi="Times New Roman" w:cs="Times New Roman"/>
          <w:i/>
          <w:iCs/>
          <w:sz w:val="24"/>
          <w:szCs w:val="24"/>
        </w:rPr>
        <w:t xml:space="preserve"> </w:t>
      </w:r>
      <w:r w:rsidR="00E36A43" w:rsidRPr="004939F9">
        <w:rPr>
          <w:rFonts w:ascii="Times New Roman" w:hAnsi="Times New Roman" w:cs="Times New Roman"/>
          <w:i/>
          <w:iCs/>
          <w:sz w:val="24"/>
          <w:szCs w:val="24"/>
        </w:rPr>
        <w:t xml:space="preserve">controlled for the </w:t>
      </w:r>
      <w:r w:rsidR="00B70771">
        <w:rPr>
          <w:rFonts w:ascii="Times New Roman" w:hAnsi="Times New Roman" w:cs="Times New Roman"/>
          <w:i/>
          <w:iCs/>
          <w:sz w:val="24"/>
          <w:szCs w:val="24"/>
        </w:rPr>
        <w:t>pervasive</w:t>
      </w:r>
      <w:r w:rsidR="00B54D31" w:rsidRPr="004939F9">
        <w:rPr>
          <w:rFonts w:ascii="Times New Roman" w:hAnsi="Times New Roman" w:cs="Times New Roman"/>
          <w:i/>
          <w:iCs/>
          <w:sz w:val="24"/>
          <w:szCs w:val="24"/>
        </w:rPr>
        <w:t xml:space="preserve"> macroeconomic variables</w:t>
      </w:r>
      <w:r w:rsidR="00A91086" w:rsidRPr="004939F9">
        <w:rPr>
          <w:rFonts w:ascii="Times New Roman" w:hAnsi="Times New Roman" w:cs="Times New Roman"/>
          <w:i/>
          <w:iCs/>
          <w:sz w:val="24"/>
          <w:szCs w:val="24"/>
        </w:rPr>
        <w:t xml:space="preserve"> of inflation, interest rate and exchange rate</w:t>
      </w:r>
      <w:r w:rsidR="00A22C47" w:rsidRPr="004939F9">
        <w:rPr>
          <w:rFonts w:ascii="Times New Roman" w:hAnsi="Times New Roman" w:cs="Times New Roman"/>
          <w:i/>
          <w:iCs/>
          <w:sz w:val="24"/>
          <w:szCs w:val="24"/>
        </w:rPr>
        <w:t xml:space="preserve">. </w:t>
      </w:r>
      <w:r w:rsidR="00796945" w:rsidRPr="004939F9">
        <w:rPr>
          <w:rFonts w:ascii="Times New Roman" w:hAnsi="Times New Roman" w:cs="Times New Roman"/>
          <w:i/>
          <w:iCs/>
          <w:sz w:val="24"/>
          <w:szCs w:val="24"/>
        </w:rPr>
        <w:t xml:space="preserve">Using purposive sampling </w:t>
      </w:r>
      <w:r w:rsidR="0041315F" w:rsidRPr="004939F9">
        <w:rPr>
          <w:rFonts w:ascii="Times New Roman" w:hAnsi="Times New Roman" w:cs="Times New Roman"/>
          <w:i/>
          <w:iCs/>
          <w:sz w:val="24"/>
          <w:szCs w:val="24"/>
        </w:rPr>
        <w:t>technique,</w:t>
      </w:r>
      <w:r w:rsidR="0003599D" w:rsidRPr="004939F9">
        <w:rPr>
          <w:rFonts w:ascii="Times New Roman" w:hAnsi="Times New Roman" w:cs="Times New Roman"/>
          <w:i/>
          <w:iCs/>
          <w:sz w:val="24"/>
          <w:szCs w:val="24"/>
        </w:rPr>
        <w:t xml:space="preserve"> a sample of 20 </w:t>
      </w:r>
      <w:r w:rsidR="00E279D9" w:rsidRPr="004939F9">
        <w:rPr>
          <w:rFonts w:ascii="Times New Roman" w:hAnsi="Times New Roman" w:cs="Times New Roman"/>
          <w:i/>
          <w:iCs/>
          <w:sz w:val="24"/>
          <w:szCs w:val="24"/>
        </w:rPr>
        <w:t>out</w:t>
      </w:r>
      <w:r w:rsidR="0003599D" w:rsidRPr="004939F9">
        <w:rPr>
          <w:rFonts w:ascii="Times New Roman" w:hAnsi="Times New Roman" w:cs="Times New Roman"/>
          <w:i/>
          <w:iCs/>
          <w:sz w:val="24"/>
          <w:szCs w:val="24"/>
        </w:rPr>
        <w:t xml:space="preserve"> of the</w:t>
      </w:r>
      <w:r w:rsidR="0041733F" w:rsidRPr="004939F9">
        <w:rPr>
          <w:rFonts w:ascii="Times New Roman" w:hAnsi="Times New Roman" w:cs="Times New Roman"/>
          <w:i/>
          <w:iCs/>
          <w:sz w:val="24"/>
          <w:szCs w:val="24"/>
        </w:rPr>
        <w:t xml:space="preserve"> 26 firms </w:t>
      </w:r>
      <w:r w:rsidR="0002315B">
        <w:rPr>
          <w:rFonts w:ascii="Times New Roman" w:hAnsi="Times New Roman" w:cs="Times New Roman"/>
          <w:i/>
          <w:iCs/>
          <w:sz w:val="24"/>
          <w:szCs w:val="24"/>
        </w:rPr>
        <w:t>of study</w:t>
      </w:r>
      <w:r w:rsidR="00F70875">
        <w:rPr>
          <w:rFonts w:ascii="Times New Roman" w:hAnsi="Times New Roman" w:cs="Times New Roman"/>
          <w:i/>
          <w:iCs/>
          <w:sz w:val="24"/>
          <w:szCs w:val="24"/>
        </w:rPr>
        <w:t xml:space="preserve"> was</w:t>
      </w:r>
      <w:r w:rsidR="007C18BA">
        <w:rPr>
          <w:rFonts w:ascii="Times New Roman" w:hAnsi="Times New Roman" w:cs="Times New Roman"/>
          <w:i/>
          <w:iCs/>
          <w:sz w:val="24"/>
          <w:szCs w:val="24"/>
        </w:rPr>
        <w:t xml:space="preserve"> </w:t>
      </w:r>
      <w:r w:rsidR="00F70875" w:rsidRPr="004939F9">
        <w:rPr>
          <w:rFonts w:ascii="Times New Roman" w:hAnsi="Times New Roman" w:cs="Times New Roman"/>
          <w:i/>
          <w:iCs/>
          <w:sz w:val="24"/>
          <w:szCs w:val="24"/>
        </w:rPr>
        <w:t>obtained</w:t>
      </w:r>
      <w:r w:rsidR="00232FAC" w:rsidRPr="004939F9">
        <w:rPr>
          <w:rFonts w:ascii="Times New Roman" w:hAnsi="Times New Roman" w:cs="Times New Roman"/>
          <w:i/>
          <w:iCs/>
          <w:sz w:val="24"/>
          <w:szCs w:val="24"/>
        </w:rPr>
        <w:t>. Secondary data were</w:t>
      </w:r>
      <w:r w:rsidR="00F03E5C" w:rsidRPr="004939F9">
        <w:rPr>
          <w:rFonts w:ascii="Times New Roman" w:hAnsi="Times New Roman" w:cs="Times New Roman"/>
          <w:i/>
          <w:iCs/>
          <w:sz w:val="24"/>
          <w:szCs w:val="24"/>
        </w:rPr>
        <w:t xml:space="preserve"> sourced from annual published </w:t>
      </w:r>
      <w:r w:rsidR="00D66F41" w:rsidRPr="004939F9">
        <w:rPr>
          <w:rFonts w:ascii="Times New Roman" w:hAnsi="Times New Roman" w:cs="Times New Roman"/>
          <w:i/>
          <w:iCs/>
          <w:sz w:val="24"/>
          <w:szCs w:val="24"/>
        </w:rPr>
        <w:t>financial statements of the firms,</w:t>
      </w:r>
      <w:r w:rsidR="00834A64" w:rsidRPr="004939F9">
        <w:rPr>
          <w:rFonts w:ascii="Times New Roman" w:hAnsi="Times New Roman" w:cs="Times New Roman"/>
          <w:i/>
          <w:iCs/>
          <w:sz w:val="24"/>
          <w:szCs w:val="24"/>
        </w:rPr>
        <w:t xml:space="preserve"> while the </w:t>
      </w:r>
      <w:r w:rsidR="000B2D86" w:rsidRPr="004939F9">
        <w:rPr>
          <w:rFonts w:ascii="Times New Roman" w:hAnsi="Times New Roman" w:cs="Times New Roman"/>
          <w:i/>
          <w:iCs/>
          <w:sz w:val="24"/>
          <w:szCs w:val="24"/>
        </w:rPr>
        <w:t>macroeconomic data were</w:t>
      </w:r>
      <w:r w:rsidR="0041733F" w:rsidRPr="004939F9">
        <w:rPr>
          <w:rFonts w:ascii="Times New Roman" w:hAnsi="Times New Roman" w:cs="Times New Roman"/>
          <w:i/>
          <w:iCs/>
          <w:sz w:val="24"/>
          <w:szCs w:val="24"/>
        </w:rPr>
        <w:t xml:space="preserve"> </w:t>
      </w:r>
      <w:r w:rsidR="000B2D86" w:rsidRPr="004939F9">
        <w:rPr>
          <w:rFonts w:ascii="Times New Roman" w:hAnsi="Times New Roman" w:cs="Times New Roman"/>
          <w:i/>
          <w:iCs/>
          <w:sz w:val="24"/>
          <w:szCs w:val="24"/>
        </w:rPr>
        <w:t>obtained from the National Bure</w:t>
      </w:r>
      <w:r w:rsidR="002D32DF" w:rsidRPr="004939F9">
        <w:rPr>
          <w:rFonts w:ascii="Times New Roman" w:hAnsi="Times New Roman" w:cs="Times New Roman"/>
          <w:i/>
          <w:iCs/>
          <w:sz w:val="24"/>
          <w:szCs w:val="24"/>
        </w:rPr>
        <w:t>au of Statistics and the Central Bank of Nigeria.</w:t>
      </w:r>
      <w:r w:rsidR="005307BF" w:rsidRPr="004939F9">
        <w:rPr>
          <w:rFonts w:ascii="Times New Roman" w:hAnsi="Times New Roman" w:cs="Times New Roman"/>
          <w:i/>
          <w:iCs/>
          <w:sz w:val="24"/>
          <w:szCs w:val="24"/>
        </w:rPr>
        <w:t xml:space="preserve"> </w:t>
      </w:r>
      <w:r w:rsidR="00544AA8" w:rsidRPr="004939F9">
        <w:rPr>
          <w:rFonts w:ascii="Times New Roman" w:hAnsi="Times New Roman" w:cs="Times New Roman"/>
          <w:i/>
          <w:iCs/>
          <w:sz w:val="24"/>
          <w:szCs w:val="24"/>
        </w:rPr>
        <w:t>G</w:t>
      </w:r>
      <w:r w:rsidR="00E74358" w:rsidRPr="004939F9">
        <w:rPr>
          <w:rFonts w:ascii="Times New Roman" w:hAnsi="Times New Roman" w:cs="Times New Roman"/>
          <w:i/>
          <w:iCs/>
          <w:sz w:val="24"/>
          <w:szCs w:val="24"/>
        </w:rPr>
        <w:t>eneralized l</w:t>
      </w:r>
      <w:r w:rsidR="001A3AFE">
        <w:rPr>
          <w:rFonts w:ascii="Times New Roman" w:hAnsi="Times New Roman" w:cs="Times New Roman"/>
          <w:i/>
          <w:iCs/>
          <w:sz w:val="24"/>
          <w:szCs w:val="24"/>
        </w:rPr>
        <w:t xml:space="preserve">east </w:t>
      </w:r>
      <w:r w:rsidR="0014556D">
        <w:rPr>
          <w:rFonts w:ascii="Times New Roman" w:hAnsi="Times New Roman" w:cs="Times New Roman"/>
          <w:i/>
          <w:iCs/>
          <w:sz w:val="24"/>
          <w:szCs w:val="24"/>
        </w:rPr>
        <w:t>squares</w:t>
      </w:r>
      <w:r w:rsidR="00944319" w:rsidRPr="004939F9">
        <w:rPr>
          <w:rFonts w:ascii="Times New Roman" w:hAnsi="Times New Roman" w:cs="Times New Roman"/>
          <w:i/>
          <w:iCs/>
          <w:sz w:val="24"/>
          <w:szCs w:val="24"/>
        </w:rPr>
        <w:t xml:space="preserve"> regression analysis was performed with the aid of STATA 17</w:t>
      </w:r>
      <w:r w:rsidR="00E332D0" w:rsidRPr="004939F9">
        <w:rPr>
          <w:rFonts w:ascii="Times New Roman" w:hAnsi="Times New Roman" w:cs="Times New Roman"/>
          <w:i/>
          <w:iCs/>
          <w:sz w:val="24"/>
          <w:szCs w:val="24"/>
        </w:rPr>
        <w:t xml:space="preserve">. </w:t>
      </w:r>
      <w:r w:rsidR="008E39E4" w:rsidRPr="009D66F5">
        <w:rPr>
          <w:rFonts w:ascii="Times New Roman" w:hAnsi="Times New Roman" w:cs="Times New Roman"/>
          <w:i/>
          <w:iCs/>
          <w:sz w:val="24"/>
          <w:szCs w:val="24"/>
        </w:rPr>
        <w:t xml:space="preserve">The outcome indicated that return on equity, </w:t>
      </w:r>
      <w:r w:rsidR="008E39E4">
        <w:rPr>
          <w:rFonts w:ascii="Times New Roman" w:hAnsi="Times New Roman" w:cs="Times New Roman"/>
          <w:i/>
          <w:iCs/>
          <w:sz w:val="24"/>
          <w:szCs w:val="24"/>
        </w:rPr>
        <w:t>earnings per share</w:t>
      </w:r>
      <w:r w:rsidR="008E39E4" w:rsidRPr="009D66F5">
        <w:rPr>
          <w:rFonts w:ascii="Times New Roman" w:hAnsi="Times New Roman" w:cs="Times New Roman"/>
          <w:i/>
          <w:iCs/>
          <w:sz w:val="24"/>
          <w:szCs w:val="24"/>
        </w:rPr>
        <w:t xml:space="preserve">, and </w:t>
      </w:r>
      <w:r w:rsidR="008E39E4">
        <w:rPr>
          <w:rFonts w:ascii="Times New Roman" w:hAnsi="Times New Roman" w:cs="Times New Roman"/>
          <w:i/>
          <w:iCs/>
          <w:sz w:val="24"/>
          <w:szCs w:val="24"/>
        </w:rPr>
        <w:t>firm size</w:t>
      </w:r>
      <w:r w:rsidR="008E39E4" w:rsidRPr="009D66F5">
        <w:rPr>
          <w:rFonts w:ascii="Times New Roman" w:hAnsi="Times New Roman" w:cs="Times New Roman"/>
          <w:i/>
          <w:iCs/>
          <w:sz w:val="24"/>
          <w:szCs w:val="24"/>
        </w:rPr>
        <w:t>, each has a significant</w:t>
      </w:r>
      <w:r w:rsidR="008E39E4">
        <w:rPr>
          <w:rFonts w:ascii="Times New Roman" w:hAnsi="Times New Roman" w:cs="Times New Roman"/>
          <w:i/>
          <w:iCs/>
          <w:sz w:val="24"/>
          <w:szCs w:val="24"/>
        </w:rPr>
        <w:t xml:space="preserve"> positive</w:t>
      </w:r>
      <w:r w:rsidR="008E39E4" w:rsidRPr="009D66F5">
        <w:rPr>
          <w:rFonts w:ascii="Times New Roman" w:hAnsi="Times New Roman" w:cs="Times New Roman"/>
          <w:i/>
          <w:iCs/>
          <w:sz w:val="24"/>
          <w:szCs w:val="24"/>
        </w:rPr>
        <w:t xml:space="preserve"> effect on share prices of listed agriculture and consumer goods firms in Nigeria while</w:t>
      </w:r>
      <w:r w:rsidR="008E39E4">
        <w:rPr>
          <w:rFonts w:ascii="Times New Roman" w:hAnsi="Times New Roman" w:cs="Times New Roman"/>
          <w:i/>
          <w:iCs/>
          <w:sz w:val="24"/>
          <w:szCs w:val="24"/>
        </w:rPr>
        <w:t xml:space="preserve"> current ratio, debt-equity ratio, and</w:t>
      </w:r>
      <w:r w:rsidR="008E39E4" w:rsidRPr="009D66F5">
        <w:rPr>
          <w:rFonts w:ascii="Times New Roman" w:hAnsi="Times New Roman" w:cs="Times New Roman"/>
          <w:i/>
          <w:iCs/>
          <w:sz w:val="24"/>
          <w:szCs w:val="24"/>
        </w:rPr>
        <w:t xml:space="preserve"> total assets turnover</w:t>
      </w:r>
      <w:r w:rsidR="008E39E4">
        <w:rPr>
          <w:rFonts w:ascii="Times New Roman" w:hAnsi="Times New Roman" w:cs="Times New Roman"/>
          <w:i/>
          <w:iCs/>
          <w:sz w:val="24"/>
          <w:szCs w:val="24"/>
        </w:rPr>
        <w:t xml:space="preserve"> each</w:t>
      </w:r>
      <w:r w:rsidR="008E39E4" w:rsidRPr="009D66F5">
        <w:rPr>
          <w:rFonts w:ascii="Times New Roman" w:hAnsi="Times New Roman" w:cs="Times New Roman"/>
          <w:i/>
          <w:iCs/>
          <w:sz w:val="24"/>
          <w:szCs w:val="24"/>
        </w:rPr>
        <w:t xml:space="preserve"> has a </w:t>
      </w:r>
      <w:r w:rsidR="008E39E4">
        <w:rPr>
          <w:rFonts w:ascii="Times New Roman" w:hAnsi="Times New Roman" w:cs="Times New Roman"/>
          <w:i/>
          <w:iCs/>
          <w:sz w:val="24"/>
          <w:szCs w:val="24"/>
        </w:rPr>
        <w:t>no</w:t>
      </w:r>
      <w:r w:rsidR="008E39E4" w:rsidRPr="009D66F5">
        <w:rPr>
          <w:rFonts w:ascii="Times New Roman" w:hAnsi="Times New Roman" w:cs="Times New Roman"/>
          <w:i/>
          <w:iCs/>
          <w:sz w:val="24"/>
          <w:szCs w:val="24"/>
        </w:rPr>
        <w:t>n</w:t>
      </w:r>
      <w:r w:rsidR="008E39E4">
        <w:rPr>
          <w:rFonts w:ascii="Times New Roman" w:hAnsi="Times New Roman" w:cs="Times New Roman"/>
          <w:i/>
          <w:iCs/>
          <w:sz w:val="24"/>
          <w:szCs w:val="24"/>
        </w:rPr>
        <w:t>-</w:t>
      </w:r>
      <w:r w:rsidR="008E39E4" w:rsidRPr="009D66F5">
        <w:rPr>
          <w:rFonts w:ascii="Times New Roman" w:hAnsi="Times New Roman" w:cs="Times New Roman"/>
          <w:i/>
          <w:iCs/>
          <w:sz w:val="24"/>
          <w:szCs w:val="24"/>
        </w:rPr>
        <w:t>significant effect on the share prices. Furthermore, firm size has a significant moderating effect on the relationship between financial metrics (proxied by current ratio, and earnings per share) and share prices of listed agriculture and consumer goods firms in Nigeria.</w:t>
      </w:r>
      <w:r w:rsidR="008E39E4">
        <w:rPr>
          <w:rFonts w:ascii="Times New Roman" w:hAnsi="Times New Roman" w:cs="Times New Roman"/>
          <w:i/>
          <w:iCs/>
          <w:sz w:val="24"/>
          <w:szCs w:val="24"/>
        </w:rPr>
        <w:t xml:space="preserve"> In the same vein, </w:t>
      </w:r>
      <w:r w:rsidR="008E39E4" w:rsidRPr="009D66F5">
        <w:rPr>
          <w:rFonts w:ascii="Times New Roman" w:hAnsi="Times New Roman" w:cs="Times New Roman"/>
          <w:i/>
          <w:iCs/>
          <w:sz w:val="24"/>
          <w:szCs w:val="24"/>
        </w:rPr>
        <w:t>firm size has a</w:t>
      </w:r>
      <w:r w:rsidR="008E39E4">
        <w:rPr>
          <w:rFonts w:ascii="Times New Roman" w:hAnsi="Times New Roman" w:cs="Times New Roman"/>
          <w:i/>
          <w:iCs/>
          <w:sz w:val="24"/>
          <w:szCs w:val="24"/>
        </w:rPr>
        <w:t xml:space="preserve"> non-</w:t>
      </w:r>
      <w:r w:rsidR="008E39E4" w:rsidRPr="009D66F5">
        <w:rPr>
          <w:rFonts w:ascii="Times New Roman" w:hAnsi="Times New Roman" w:cs="Times New Roman"/>
          <w:i/>
          <w:iCs/>
          <w:sz w:val="24"/>
          <w:szCs w:val="24"/>
        </w:rPr>
        <w:t>significant moderating effect on the relationship between financial metrics (proxied by current ratio,</w:t>
      </w:r>
      <w:r w:rsidR="008E39E4">
        <w:rPr>
          <w:rFonts w:ascii="Times New Roman" w:hAnsi="Times New Roman" w:cs="Times New Roman"/>
          <w:i/>
          <w:iCs/>
          <w:sz w:val="24"/>
          <w:szCs w:val="24"/>
        </w:rPr>
        <w:t xml:space="preserve"> debt-equity ratio, </w:t>
      </w:r>
      <w:r w:rsidR="008E39E4" w:rsidRPr="009D66F5">
        <w:rPr>
          <w:rFonts w:ascii="Times New Roman" w:hAnsi="Times New Roman" w:cs="Times New Roman"/>
          <w:i/>
          <w:iCs/>
          <w:sz w:val="24"/>
          <w:szCs w:val="24"/>
        </w:rPr>
        <w:t xml:space="preserve">and </w:t>
      </w:r>
      <w:r w:rsidR="008E39E4">
        <w:rPr>
          <w:rFonts w:ascii="Times New Roman" w:hAnsi="Times New Roman" w:cs="Times New Roman"/>
          <w:i/>
          <w:iCs/>
          <w:sz w:val="24"/>
          <w:szCs w:val="24"/>
        </w:rPr>
        <w:t>total assets turnover</w:t>
      </w:r>
      <w:r w:rsidR="008E39E4" w:rsidRPr="009D66F5">
        <w:rPr>
          <w:rFonts w:ascii="Times New Roman" w:hAnsi="Times New Roman" w:cs="Times New Roman"/>
          <w:i/>
          <w:iCs/>
          <w:sz w:val="24"/>
          <w:szCs w:val="24"/>
        </w:rPr>
        <w:t>) and share prices of listed agriculture and consumer goods firms in Nigeria.</w:t>
      </w:r>
      <w:r w:rsidR="008E39E4">
        <w:rPr>
          <w:rFonts w:ascii="Times New Roman" w:hAnsi="Times New Roman" w:cs="Times New Roman"/>
          <w:i/>
          <w:iCs/>
          <w:sz w:val="24"/>
          <w:szCs w:val="24"/>
        </w:rPr>
        <w:t xml:space="preserve"> </w:t>
      </w:r>
      <w:r w:rsidR="008E39E4" w:rsidRPr="009D66F5">
        <w:rPr>
          <w:rFonts w:ascii="Times New Roman" w:hAnsi="Times New Roman" w:cs="Times New Roman"/>
          <w:i/>
          <w:iCs/>
          <w:sz w:val="24"/>
          <w:szCs w:val="24"/>
        </w:rPr>
        <w:t xml:space="preserve">Therefore, it </w:t>
      </w:r>
      <w:r w:rsidR="008E39E4">
        <w:rPr>
          <w:rFonts w:ascii="Times New Roman" w:hAnsi="Times New Roman" w:cs="Times New Roman"/>
          <w:i/>
          <w:iCs/>
          <w:sz w:val="24"/>
          <w:szCs w:val="24"/>
        </w:rPr>
        <w:t>wa</w:t>
      </w:r>
      <w:r w:rsidR="008E39E4" w:rsidRPr="009D66F5">
        <w:rPr>
          <w:rFonts w:ascii="Times New Roman" w:hAnsi="Times New Roman" w:cs="Times New Roman"/>
          <w:i/>
          <w:iCs/>
          <w:sz w:val="24"/>
          <w:szCs w:val="24"/>
        </w:rPr>
        <w:t xml:space="preserve">s recommended that </w:t>
      </w:r>
      <w:r w:rsidR="008E39E4">
        <w:rPr>
          <w:rFonts w:ascii="Times New Roman" w:hAnsi="Times New Roman" w:cs="Times New Roman"/>
          <w:i/>
          <w:iCs/>
          <w:sz w:val="24"/>
          <w:szCs w:val="24"/>
        </w:rPr>
        <w:t>Security and Exchange Commission</w:t>
      </w:r>
      <w:r w:rsidR="008E39E4" w:rsidRPr="009D66F5">
        <w:rPr>
          <w:rFonts w:ascii="Times New Roman" w:hAnsi="Times New Roman" w:cs="Times New Roman"/>
          <w:i/>
          <w:iCs/>
          <w:sz w:val="24"/>
          <w:szCs w:val="24"/>
        </w:rPr>
        <w:t xml:space="preserve"> should prioritize the appropriate disclosure of the</w:t>
      </w:r>
      <w:r w:rsidR="008E39E4">
        <w:rPr>
          <w:rFonts w:ascii="Times New Roman" w:hAnsi="Times New Roman" w:cs="Times New Roman"/>
          <w:i/>
          <w:iCs/>
          <w:sz w:val="24"/>
          <w:szCs w:val="24"/>
        </w:rPr>
        <w:t xml:space="preserve"> identified key </w:t>
      </w:r>
      <w:r w:rsidR="008E39E4" w:rsidRPr="009D66F5">
        <w:rPr>
          <w:rFonts w:ascii="Times New Roman" w:hAnsi="Times New Roman" w:cs="Times New Roman"/>
          <w:i/>
          <w:iCs/>
          <w:sz w:val="24"/>
          <w:szCs w:val="24"/>
        </w:rPr>
        <w:t>metrics in the financial statements. Furthermore, investors should consider the moderating effect of firm size on</w:t>
      </w:r>
      <w:r w:rsidR="008E39E4">
        <w:rPr>
          <w:rFonts w:ascii="Times New Roman" w:hAnsi="Times New Roman" w:cs="Times New Roman"/>
          <w:i/>
          <w:iCs/>
          <w:sz w:val="24"/>
          <w:szCs w:val="24"/>
        </w:rPr>
        <w:t xml:space="preserve"> the</w:t>
      </w:r>
      <w:r w:rsidR="008E39E4" w:rsidRPr="009D66F5">
        <w:rPr>
          <w:rFonts w:ascii="Times New Roman" w:hAnsi="Times New Roman" w:cs="Times New Roman"/>
          <w:i/>
          <w:iCs/>
          <w:sz w:val="24"/>
          <w:szCs w:val="24"/>
        </w:rPr>
        <w:t xml:space="preserve"> financial metrics to better understand how different metrics impact share prices for firms of varying sizes and adjust their investment strategy accordingly.</w:t>
      </w:r>
      <w:r w:rsidR="00737E6A" w:rsidRPr="00896BDD">
        <w:rPr>
          <w:rFonts w:ascii="Times New Roman" w:hAnsi="Times New Roman" w:cs="Times New Roman"/>
          <w:i/>
          <w:iCs/>
          <w:color w:val="FF0000"/>
          <w:sz w:val="24"/>
          <w:szCs w:val="24"/>
        </w:rPr>
        <w:t xml:space="preserve"> </w:t>
      </w:r>
    </w:p>
    <w:p w14:paraId="525A9429" w14:textId="59569AFA" w:rsidR="00C9674E" w:rsidRPr="004939F9" w:rsidRDefault="00C561DE" w:rsidP="00CF5C49">
      <w:pPr>
        <w:spacing w:line="360" w:lineRule="auto"/>
        <w:rPr>
          <w:rFonts w:ascii="Times New Roman" w:hAnsi="Times New Roman" w:cs="Times New Roman"/>
        </w:rPr>
      </w:pPr>
      <w:r w:rsidRPr="004939F9">
        <w:rPr>
          <w:rFonts w:ascii="Times New Roman" w:hAnsi="Times New Roman" w:cs="Times New Roman"/>
          <w:b/>
          <w:bCs/>
        </w:rPr>
        <w:t>K</w:t>
      </w:r>
      <w:r w:rsidR="00A57E2D" w:rsidRPr="004939F9">
        <w:rPr>
          <w:rFonts w:ascii="Times New Roman" w:hAnsi="Times New Roman" w:cs="Times New Roman"/>
          <w:b/>
          <w:bCs/>
        </w:rPr>
        <w:t>eywords</w:t>
      </w:r>
      <w:r w:rsidR="00B43936" w:rsidRPr="004939F9">
        <w:rPr>
          <w:rFonts w:ascii="Times New Roman" w:hAnsi="Times New Roman" w:cs="Times New Roman"/>
        </w:rPr>
        <w:t>: Financial metrics, Financial Performa</w:t>
      </w:r>
      <w:r w:rsidR="002E5F8E" w:rsidRPr="004939F9">
        <w:rPr>
          <w:rFonts w:ascii="Times New Roman" w:hAnsi="Times New Roman" w:cs="Times New Roman"/>
        </w:rPr>
        <w:t>nce, Share Price</w:t>
      </w:r>
      <w:r w:rsidR="00A97487" w:rsidRPr="004939F9">
        <w:rPr>
          <w:rFonts w:ascii="Times New Roman" w:hAnsi="Times New Roman" w:cs="Times New Roman"/>
        </w:rPr>
        <w:t>, Firm Size</w:t>
      </w:r>
      <w:r w:rsidR="00870736" w:rsidRPr="004939F9">
        <w:rPr>
          <w:rFonts w:ascii="Times New Roman" w:hAnsi="Times New Roman" w:cs="Times New Roman"/>
        </w:rPr>
        <w:t xml:space="preserve">, Earnings </w:t>
      </w:r>
      <w:r w:rsidR="005A50E2" w:rsidRPr="004939F9">
        <w:rPr>
          <w:rFonts w:ascii="Times New Roman" w:hAnsi="Times New Roman" w:cs="Times New Roman"/>
        </w:rPr>
        <w:t>Per Share</w:t>
      </w:r>
    </w:p>
    <w:p w14:paraId="1124A00C" w14:textId="2E9ADC50" w:rsidR="004E4A90" w:rsidRPr="00356E60" w:rsidRDefault="004E4A90" w:rsidP="00356E60">
      <w:pPr>
        <w:pStyle w:val="Heading1"/>
        <w:rPr>
          <w:rFonts w:asciiTheme="majorBidi" w:hAnsiTheme="majorBidi"/>
          <w:b/>
          <w:bCs/>
          <w:color w:val="auto"/>
          <w:sz w:val="24"/>
          <w:szCs w:val="24"/>
        </w:rPr>
      </w:pPr>
      <w:r w:rsidRPr="00356E60">
        <w:rPr>
          <w:rFonts w:asciiTheme="majorBidi" w:hAnsiTheme="majorBidi"/>
          <w:b/>
          <w:bCs/>
          <w:color w:val="auto"/>
          <w:sz w:val="24"/>
          <w:szCs w:val="24"/>
        </w:rPr>
        <w:t>1</w:t>
      </w:r>
      <w:r w:rsidR="004175CD" w:rsidRPr="00356E60">
        <w:rPr>
          <w:rFonts w:asciiTheme="majorBidi" w:hAnsiTheme="majorBidi"/>
          <w:b/>
          <w:bCs/>
          <w:color w:val="auto"/>
          <w:sz w:val="24"/>
          <w:szCs w:val="24"/>
        </w:rPr>
        <w:t>.0</w:t>
      </w:r>
      <w:r w:rsidR="00A95073" w:rsidRPr="00356E60">
        <w:rPr>
          <w:rFonts w:asciiTheme="majorBidi" w:hAnsiTheme="majorBidi"/>
          <w:b/>
          <w:bCs/>
          <w:color w:val="auto"/>
          <w:sz w:val="24"/>
          <w:szCs w:val="24"/>
        </w:rPr>
        <w:tab/>
        <w:t>Introduction</w:t>
      </w:r>
    </w:p>
    <w:p w14:paraId="10BD4FCB" w14:textId="77777777" w:rsidR="007A1A94" w:rsidRPr="007A1A94" w:rsidRDefault="007A1A94" w:rsidP="007A1A94">
      <w:pPr>
        <w:spacing w:line="360" w:lineRule="auto"/>
        <w:jc w:val="both"/>
        <w:rPr>
          <w:rFonts w:ascii="Times New Roman" w:hAnsi="Times New Roman" w:cs="Times New Roman"/>
          <w:sz w:val="24"/>
          <w:szCs w:val="24"/>
        </w:rPr>
      </w:pPr>
      <w:r w:rsidRPr="007A1A94">
        <w:rPr>
          <w:rFonts w:ascii="Times New Roman" w:hAnsi="Times New Roman" w:cs="Times New Roman"/>
          <w:sz w:val="24"/>
          <w:szCs w:val="24"/>
        </w:rPr>
        <w:t xml:space="preserve">Understanding the determinants of share price </w:t>
      </w:r>
      <w:proofErr w:type="spellStart"/>
      <w:r w:rsidRPr="007A1A94">
        <w:rPr>
          <w:rFonts w:ascii="Times New Roman" w:hAnsi="Times New Roman" w:cs="Times New Roman"/>
          <w:sz w:val="24"/>
          <w:szCs w:val="24"/>
        </w:rPr>
        <w:t>behaviour</w:t>
      </w:r>
      <w:proofErr w:type="spellEnd"/>
      <w:r w:rsidRPr="007A1A94">
        <w:rPr>
          <w:rFonts w:ascii="Times New Roman" w:hAnsi="Times New Roman" w:cs="Times New Roman"/>
          <w:sz w:val="24"/>
          <w:szCs w:val="24"/>
        </w:rPr>
        <w:t xml:space="preserve"> remains a central concern in financial economics, given its implications for firm valuation, capital allocation, and investor decision-making. In both developed and emerging capital markets, share prices reflect not only </w:t>
      </w:r>
      <w:proofErr w:type="spellStart"/>
      <w:r w:rsidRPr="007A1A94">
        <w:rPr>
          <w:rFonts w:ascii="Times New Roman" w:hAnsi="Times New Roman" w:cs="Times New Roman"/>
          <w:sz w:val="24"/>
          <w:szCs w:val="24"/>
        </w:rPr>
        <w:t>realised</w:t>
      </w:r>
      <w:proofErr w:type="spellEnd"/>
      <w:r w:rsidRPr="007A1A94">
        <w:rPr>
          <w:rFonts w:ascii="Times New Roman" w:hAnsi="Times New Roman" w:cs="Times New Roman"/>
          <w:sz w:val="24"/>
          <w:szCs w:val="24"/>
        </w:rPr>
        <w:t xml:space="preserve"> firm performance but also investors’ expectations regarding future cash flows, risk, and growth opportunities. Consequently, identifying the firm-specific factors that systematically influence share price dynamics is essential for achieving accurate valuation and optimal risk-adjusted investment returns.</w:t>
      </w:r>
    </w:p>
    <w:p w14:paraId="49AAE421" w14:textId="77777777" w:rsidR="007A1A94" w:rsidRPr="007A1A94" w:rsidRDefault="007A1A94" w:rsidP="007A1A94">
      <w:pPr>
        <w:spacing w:line="360" w:lineRule="auto"/>
        <w:jc w:val="both"/>
        <w:rPr>
          <w:rFonts w:ascii="Times New Roman" w:hAnsi="Times New Roman" w:cs="Times New Roman"/>
          <w:sz w:val="24"/>
          <w:szCs w:val="24"/>
        </w:rPr>
      </w:pPr>
      <w:r w:rsidRPr="007A1A94">
        <w:rPr>
          <w:rFonts w:ascii="Times New Roman" w:hAnsi="Times New Roman" w:cs="Times New Roman"/>
          <w:sz w:val="24"/>
          <w:szCs w:val="24"/>
        </w:rPr>
        <w:t>Share price represents the market value of a firm’s equity at a given point in time and is determined through the interaction of demand and supply in the capital market. Investors form price expectations by processing publicly available financial information, macroeconomic signals, and firm characteristics that shape perceptions of profitability and risk (</w:t>
      </w:r>
      <w:proofErr w:type="spellStart"/>
      <w:r w:rsidRPr="007A1A94">
        <w:rPr>
          <w:rFonts w:ascii="Times New Roman" w:hAnsi="Times New Roman" w:cs="Times New Roman"/>
          <w:sz w:val="24"/>
          <w:szCs w:val="24"/>
        </w:rPr>
        <w:t>Hutasoit</w:t>
      </w:r>
      <w:proofErr w:type="spellEnd"/>
      <w:r w:rsidRPr="007A1A94">
        <w:rPr>
          <w:rFonts w:ascii="Times New Roman" w:hAnsi="Times New Roman" w:cs="Times New Roman"/>
          <w:sz w:val="24"/>
          <w:szCs w:val="24"/>
        </w:rPr>
        <w:t xml:space="preserve"> et al., 2022). From a valuation perspective, share price is widely regarded as an aggregate indicator of a firm’s historical </w:t>
      </w:r>
      <w:r w:rsidRPr="007A1A94">
        <w:rPr>
          <w:rFonts w:ascii="Times New Roman" w:hAnsi="Times New Roman" w:cs="Times New Roman"/>
          <w:sz w:val="24"/>
          <w:szCs w:val="24"/>
        </w:rPr>
        <w:lastRenderedPageBreak/>
        <w:t>performance and anticipated future prospects (</w:t>
      </w:r>
      <w:proofErr w:type="spellStart"/>
      <w:r w:rsidRPr="007A1A94">
        <w:rPr>
          <w:rFonts w:ascii="Times New Roman" w:hAnsi="Times New Roman" w:cs="Times New Roman"/>
          <w:sz w:val="24"/>
          <w:szCs w:val="24"/>
        </w:rPr>
        <w:t>Edokpa</w:t>
      </w:r>
      <w:proofErr w:type="spellEnd"/>
      <w:r w:rsidRPr="007A1A94">
        <w:rPr>
          <w:rFonts w:ascii="Times New Roman" w:hAnsi="Times New Roman" w:cs="Times New Roman"/>
          <w:sz w:val="24"/>
          <w:szCs w:val="24"/>
        </w:rPr>
        <w:t xml:space="preserve"> et al., 2024). However, empirical evidence on the drivers of share prices remains inconclusive, with prior studies reporting mixed and sometimes contradictory findings across markets, sectors, and methodological approaches (Nazir, 2022; Akbar, 2023; </w:t>
      </w:r>
      <w:proofErr w:type="spellStart"/>
      <w:r w:rsidRPr="007A1A94">
        <w:rPr>
          <w:rFonts w:ascii="Times New Roman" w:hAnsi="Times New Roman" w:cs="Times New Roman"/>
          <w:sz w:val="24"/>
          <w:szCs w:val="24"/>
        </w:rPr>
        <w:t>Maringka</w:t>
      </w:r>
      <w:proofErr w:type="spellEnd"/>
      <w:r w:rsidRPr="007A1A94">
        <w:rPr>
          <w:rFonts w:ascii="Times New Roman" w:hAnsi="Times New Roman" w:cs="Times New Roman"/>
          <w:sz w:val="24"/>
          <w:szCs w:val="24"/>
        </w:rPr>
        <w:t xml:space="preserve">, 2024; </w:t>
      </w:r>
      <w:proofErr w:type="spellStart"/>
      <w:r w:rsidRPr="007A1A94">
        <w:rPr>
          <w:rFonts w:ascii="Times New Roman" w:hAnsi="Times New Roman" w:cs="Times New Roman"/>
          <w:sz w:val="24"/>
          <w:szCs w:val="24"/>
        </w:rPr>
        <w:t>Salouhi</w:t>
      </w:r>
      <w:proofErr w:type="spellEnd"/>
      <w:r w:rsidRPr="007A1A94">
        <w:rPr>
          <w:rFonts w:ascii="Times New Roman" w:hAnsi="Times New Roman" w:cs="Times New Roman"/>
          <w:sz w:val="24"/>
          <w:szCs w:val="24"/>
        </w:rPr>
        <w:t xml:space="preserve"> &amp; Bakari, 2024).</w:t>
      </w:r>
    </w:p>
    <w:p w14:paraId="3BFEA778" w14:textId="77777777" w:rsidR="007A1A94" w:rsidRPr="007A1A94" w:rsidRDefault="007A1A94" w:rsidP="007A1A94">
      <w:pPr>
        <w:spacing w:line="360" w:lineRule="auto"/>
        <w:jc w:val="both"/>
        <w:rPr>
          <w:rFonts w:ascii="Times New Roman" w:hAnsi="Times New Roman" w:cs="Times New Roman"/>
          <w:sz w:val="24"/>
          <w:szCs w:val="24"/>
        </w:rPr>
      </w:pPr>
      <w:r w:rsidRPr="007A1A94">
        <w:rPr>
          <w:rFonts w:ascii="Times New Roman" w:hAnsi="Times New Roman" w:cs="Times New Roman"/>
          <w:sz w:val="24"/>
          <w:szCs w:val="24"/>
        </w:rPr>
        <w:t xml:space="preserve">Financial metrics constitute the primary channel through which firm performance is communicated to the capital market. These metrics provide structured and </w:t>
      </w:r>
      <w:proofErr w:type="spellStart"/>
      <w:r w:rsidRPr="007A1A94">
        <w:rPr>
          <w:rFonts w:ascii="Times New Roman" w:hAnsi="Times New Roman" w:cs="Times New Roman"/>
          <w:sz w:val="24"/>
          <w:szCs w:val="24"/>
        </w:rPr>
        <w:t>standardised</w:t>
      </w:r>
      <w:proofErr w:type="spellEnd"/>
      <w:r w:rsidRPr="007A1A94">
        <w:rPr>
          <w:rFonts w:ascii="Times New Roman" w:hAnsi="Times New Roman" w:cs="Times New Roman"/>
          <w:sz w:val="24"/>
          <w:szCs w:val="24"/>
        </w:rPr>
        <w:t xml:space="preserve"> information that enables investors to evaluate a firm’s profitability, liquidity, leverage, operational efficiency, and earnings-generating capacity. Chan et al. (2017) </w:t>
      </w:r>
      <w:proofErr w:type="spellStart"/>
      <w:r w:rsidRPr="007A1A94">
        <w:rPr>
          <w:rFonts w:ascii="Times New Roman" w:hAnsi="Times New Roman" w:cs="Times New Roman"/>
          <w:sz w:val="24"/>
          <w:szCs w:val="24"/>
        </w:rPr>
        <w:t>emphasise</w:t>
      </w:r>
      <w:proofErr w:type="spellEnd"/>
      <w:r w:rsidRPr="007A1A94">
        <w:rPr>
          <w:rFonts w:ascii="Times New Roman" w:hAnsi="Times New Roman" w:cs="Times New Roman"/>
          <w:sz w:val="24"/>
          <w:szCs w:val="24"/>
        </w:rPr>
        <w:t xml:space="preserve"> that financial performance indicators are central to assessing corporate success and sustainability. In practice, performance evaluation requires a multidimensional approach rather than reliance on isolated indicators. Consistent with this view, the Corporate Finance Institute (CFI, 2024) classifies financial performance measures into profitability, liquidity, leverage, activity, and market-based ratios. Despite this classification, much of the existing literature adopts a narrow focus by examining selected metrics in isolation, thereby limiting the comprehensiveness of valuation inferences. This study addresses this limitation by jointly </w:t>
      </w:r>
      <w:proofErr w:type="spellStart"/>
      <w:r w:rsidRPr="007A1A94">
        <w:rPr>
          <w:rFonts w:ascii="Times New Roman" w:hAnsi="Times New Roman" w:cs="Times New Roman"/>
          <w:sz w:val="24"/>
          <w:szCs w:val="24"/>
        </w:rPr>
        <w:t>analysing</w:t>
      </w:r>
      <w:proofErr w:type="spellEnd"/>
      <w:r w:rsidRPr="007A1A94">
        <w:rPr>
          <w:rFonts w:ascii="Times New Roman" w:hAnsi="Times New Roman" w:cs="Times New Roman"/>
          <w:sz w:val="24"/>
          <w:szCs w:val="24"/>
        </w:rPr>
        <w:t xml:space="preserve"> return on equity, current ratio, debt–equity ratio, total assets turnover, and earnings per share as representative indicators of the major dimensions of financial performance.</w:t>
      </w:r>
    </w:p>
    <w:p w14:paraId="336B8C7F" w14:textId="77777777" w:rsidR="007A1A94" w:rsidRPr="007A1A94" w:rsidRDefault="007A1A94" w:rsidP="007A1A94">
      <w:pPr>
        <w:spacing w:line="360" w:lineRule="auto"/>
        <w:jc w:val="both"/>
        <w:rPr>
          <w:rFonts w:ascii="Times New Roman" w:hAnsi="Times New Roman" w:cs="Times New Roman"/>
          <w:sz w:val="24"/>
          <w:szCs w:val="24"/>
        </w:rPr>
      </w:pPr>
      <w:r w:rsidRPr="007A1A94">
        <w:rPr>
          <w:rFonts w:ascii="Times New Roman" w:hAnsi="Times New Roman" w:cs="Times New Roman"/>
          <w:sz w:val="24"/>
          <w:szCs w:val="24"/>
        </w:rPr>
        <w:t xml:space="preserve">Beyond financial metrics, firm size represents a critical structural characteristic that shapes how financial information is interpreted by the market. Larger firms typically enjoy greater visibility, analyst coverage, operational diversification, and access to capital, which may reduce information asymmetry and perceived risk. As a result, financial signals emanating from large firms may be priced differently from similar signals issued by smaller firms. While firm size has been shown to influence firm value and share prices directly (Akbar, 2023; </w:t>
      </w:r>
      <w:proofErr w:type="spellStart"/>
      <w:r w:rsidRPr="007A1A94">
        <w:rPr>
          <w:rFonts w:ascii="Times New Roman" w:hAnsi="Times New Roman" w:cs="Times New Roman"/>
          <w:sz w:val="24"/>
          <w:szCs w:val="24"/>
        </w:rPr>
        <w:t>Moseri</w:t>
      </w:r>
      <w:proofErr w:type="spellEnd"/>
      <w:r w:rsidRPr="007A1A94">
        <w:rPr>
          <w:rFonts w:ascii="Times New Roman" w:hAnsi="Times New Roman" w:cs="Times New Roman"/>
          <w:sz w:val="24"/>
          <w:szCs w:val="24"/>
        </w:rPr>
        <w:t xml:space="preserve"> et al., 2024; Ramadhani et al., 2024), empirical evidence also suggests a bidirectional relationship between size and performance (Olaniyi et al., 2017; Ribera &amp; Sanz, 2021). However, existing studies largely treat firm size as a control variable rather than examining its potential role in conditioning the relationship between financial performance metrics and share prices. This omission is particularly relevant in emerging markets, where information asymmetry and firm heterogeneity are more pronounced.</w:t>
      </w:r>
    </w:p>
    <w:p w14:paraId="3FF9BF2D" w14:textId="77777777" w:rsidR="007A1A94" w:rsidRPr="007A1A94" w:rsidRDefault="007A1A94" w:rsidP="007A1A94">
      <w:pPr>
        <w:spacing w:line="360" w:lineRule="auto"/>
        <w:jc w:val="both"/>
        <w:rPr>
          <w:rFonts w:ascii="Times New Roman" w:hAnsi="Times New Roman" w:cs="Times New Roman"/>
          <w:sz w:val="24"/>
          <w:szCs w:val="24"/>
        </w:rPr>
      </w:pPr>
      <w:r w:rsidRPr="007A1A94">
        <w:rPr>
          <w:rFonts w:ascii="Times New Roman" w:hAnsi="Times New Roman" w:cs="Times New Roman"/>
          <w:sz w:val="24"/>
          <w:szCs w:val="24"/>
        </w:rPr>
        <w:t xml:space="preserve">The relevance of these issues is amplified in the context of Nigeria’s agriculture and consumer goods sectors, which together constitute a significant segment of the agribusiness value chain. These sectors are strategically important for food security, employment generation, and inflation management, especially in an economy where food inflation remains a dominant driver of headline </w:t>
      </w:r>
      <w:r w:rsidRPr="007A1A94">
        <w:rPr>
          <w:rFonts w:ascii="Times New Roman" w:hAnsi="Times New Roman" w:cs="Times New Roman"/>
          <w:sz w:val="24"/>
          <w:szCs w:val="24"/>
        </w:rPr>
        <w:lastRenderedPageBreak/>
        <w:t>inflation. Efficient capital allocation to well-performing agribusiness firms depends on accurate market valuation, which in turn hinges on how investors interpret firm-level financial information. Consequently, understanding the determinants of share prices within this context has both financial and policy relevance.</w:t>
      </w:r>
    </w:p>
    <w:p w14:paraId="6B27EF6C" w14:textId="77777777" w:rsidR="007A1A94" w:rsidRPr="007A1A94" w:rsidRDefault="007A1A94" w:rsidP="007A1A94">
      <w:pPr>
        <w:spacing w:line="360" w:lineRule="auto"/>
        <w:jc w:val="both"/>
        <w:rPr>
          <w:rFonts w:ascii="Times New Roman" w:hAnsi="Times New Roman" w:cs="Times New Roman"/>
          <w:sz w:val="24"/>
          <w:szCs w:val="24"/>
        </w:rPr>
      </w:pPr>
      <w:r w:rsidRPr="007A1A94">
        <w:rPr>
          <w:rFonts w:ascii="Times New Roman" w:hAnsi="Times New Roman" w:cs="Times New Roman"/>
          <w:sz w:val="24"/>
          <w:szCs w:val="24"/>
        </w:rPr>
        <w:t xml:space="preserve">Macroeconomic conditions further complicate share price formation in emerging markets. Inflation, interest rates, and exchange rates influence firms’ operating costs, financing decisions, and earnings capacity, thereby affecting investor expectations and valuation outcomes. Prior studies document mixed evidence regarding the impact of these macroeconomic variables on share prices (Batubara &amp; </w:t>
      </w:r>
      <w:proofErr w:type="spellStart"/>
      <w:r w:rsidRPr="007A1A94">
        <w:rPr>
          <w:rFonts w:ascii="Times New Roman" w:hAnsi="Times New Roman" w:cs="Times New Roman"/>
          <w:sz w:val="24"/>
          <w:szCs w:val="24"/>
        </w:rPr>
        <w:t>Ardian</w:t>
      </w:r>
      <w:proofErr w:type="spellEnd"/>
      <w:r w:rsidRPr="007A1A94">
        <w:rPr>
          <w:rFonts w:ascii="Times New Roman" w:hAnsi="Times New Roman" w:cs="Times New Roman"/>
          <w:sz w:val="24"/>
          <w:szCs w:val="24"/>
        </w:rPr>
        <w:t xml:space="preserve">, 2024; </w:t>
      </w:r>
      <w:proofErr w:type="spellStart"/>
      <w:r w:rsidRPr="007A1A94">
        <w:rPr>
          <w:rFonts w:ascii="Times New Roman" w:hAnsi="Times New Roman" w:cs="Times New Roman"/>
          <w:sz w:val="24"/>
          <w:szCs w:val="24"/>
        </w:rPr>
        <w:t>Amril</w:t>
      </w:r>
      <w:proofErr w:type="spellEnd"/>
      <w:r w:rsidRPr="007A1A94">
        <w:rPr>
          <w:rFonts w:ascii="Times New Roman" w:hAnsi="Times New Roman" w:cs="Times New Roman"/>
          <w:sz w:val="24"/>
          <w:szCs w:val="24"/>
        </w:rPr>
        <w:t xml:space="preserve"> et al., 2024), suggesting that failure to control for them may lead to biased or incomplete conclusions. Accordingly, this study incorporates key macroeconomic controls to mitigate omitted variable bias and enhance the robustness of empirical inferences (Angrist &amp; </w:t>
      </w:r>
      <w:proofErr w:type="spellStart"/>
      <w:r w:rsidRPr="007A1A94">
        <w:rPr>
          <w:rFonts w:ascii="Times New Roman" w:hAnsi="Times New Roman" w:cs="Times New Roman"/>
          <w:sz w:val="24"/>
          <w:szCs w:val="24"/>
        </w:rPr>
        <w:t>Pischke</w:t>
      </w:r>
      <w:proofErr w:type="spellEnd"/>
      <w:r w:rsidRPr="007A1A94">
        <w:rPr>
          <w:rFonts w:ascii="Times New Roman" w:hAnsi="Times New Roman" w:cs="Times New Roman"/>
          <w:sz w:val="24"/>
          <w:szCs w:val="24"/>
        </w:rPr>
        <w:t xml:space="preserve">, 2009; </w:t>
      </w:r>
      <w:proofErr w:type="spellStart"/>
      <w:r w:rsidRPr="007A1A94">
        <w:rPr>
          <w:rFonts w:ascii="Times New Roman" w:hAnsi="Times New Roman" w:cs="Times New Roman"/>
          <w:sz w:val="24"/>
          <w:szCs w:val="24"/>
        </w:rPr>
        <w:t>Shadish</w:t>
      </w:r>
      <w:proofErr w:type="spellEnd"/>
      <w:r w:rsidRPr="007A1A94">
        <w:rPr>
          <w:rFonts w:ascii="Times New Roman" w:hAnsi="Times New Roman" w:cs="Times New Roman"/>
          <w:sz w:val="24"/>
          <w:szCs w:val="24"/>
        </w:rPr>
        <w:t xml:space="preserve"> et al., 2002).</w:t>
      </w:r>
    </w:p>
    <w:p w14:paraId="7618E669" w14:textId="77777777" w:rsidR="007A1A94" w:rsidRPr="007A1A94" w:rsidRDefault="007A1A94" w:rsidP="007A1A94">
      <w:pPr>
        <w:spacing w:line="360" w:lineRule="auto"/>
        <w:jc w:val="both"/>
        <w:rPr>
          <w:rFonts w:ascii="Times New Roman" w:hAnsi="Times New Roman" w:cs="Times New Roman"/>
          <w:sz w:val="24"/>
          <w:szCs w:val="24"/>
        </w:rPr>
      </w:pPr>
      <w:r w:rsidRPr="007A1A94">
        <w:rPr>
          <w:rFonts w:ascii="Times New Roman" w:hAnsi="Times New Roman" w:cs="Times New Roman"/>
          <w:sz w:val="24"/>
          <w:szCs w:val="24"/>
        </w:rPr>
        <w:t xml:space="preserve">Against this background, this study extends the literature by examining whether firm size moderates the relationship between financial performance metrics and share prices in listed agriculture and consumer goods firms in Nigeria. Anchored in the clean surplus valuation framework (Ohlson, 1995) and complemented by </w:t>
      </w:r>
      <w:proofErr w:type="spellStart"/>
      <w:r w:rsidRPr="007A1A94">
        <w:rPr>
          <w:rFonts w:ascii="Times New Roman" w:hAnsi="Times New Roman" w:cs="Times New Roman"/>
          <w:sz w:val="24"/>
          <w:szCs w:val="24"/>
        </w:rPr>
        <w:t>signalling</w:t>
      </w:r>
      <w:proofErr w:type="spellEnd"/>
      <w:r w:rsidRPr="007A1A94">
        <w:rPr>
          <w:rFonts w:ascii="Times New Roman" w:hAnsi="Times New Roman" w:cs="Times New Roman"/>
          <w:sz w:val="24"/>
          <w:szCs w:val="24"/>
        </w:rPr>
        <w:t xml:space="preserve"> and information asymmetry perspectives, the study argues that the market valuation of financial metrics is not uniform across firms but may vary systematically with firm size. By adopting a comprehensive set of financial performance indicators and explicitly modelling firm size as a moderating variable while controlling for macroeconomic conditions, the study provides new sector-specific evidence from an emerging market context.</w:t>
      </w:r>
    </w:p>
    <w:p w14:paraId="74BD611D" w14:textId="37E7A3FE" w:rsidR="004E4A90" w:rsidRPr="007A1A94" w:rsidRDefault="007A1A94" w:rsidP="007A1A94">
      <w:pPr>
        <w:spacing w:line="360" w:lineRule="auto"/>
        <w:jc w:val="both"/>
        <w:rPr>
          <w:rFonts w:ascii="Times New Roman" w:hAnsi="Times New Roman" w:cs="Times New Roman"/>
          <w:sz w:val="24"/>
          <w:szCs w:val="24"/>
        </w:rPr>
      </w:pPr>
      <w:r w:rsidRPr="007A1A94">
        <w:rPr>
          <w:rFonts w:ascii="Times New Roman" w:hAnsi="Times New Roman" w:cs="Times New Roman"/>
          <w:sz w:val="24"/>
          <w:szCs w:val="24"/>
        </w:rPr>
        <w:t>Specifically, the study investigates the effects of return on equity, current ratio, debt–equity ratio, total assets turnover, and earnings per share on share prices, and evaluates whether firm size conditions these relationships. In doing so, the study contributes to valuation literature by offering a more nuanced understanding of how firm characteristics shape the pricing of financial information. The findings are expected to inform investors, corporate managers, and regulators seeking to improve capital market efficiency and support sustainable investment in Nigeria’s agribusiness sector</w:t>
      </w:r>
      <w:r w:rsidR="004E4A90" w:rsidRPr="004939F9">
        <w:rPr>
          <w:rFonts w:ascii="Times New Roman" w:hAnsi="Times New Roman" w:cs="Times New Roman"/>
          <w:sz w:val="24"/>
          <w:szCs w:val="24"/>
        </w:rPr>
        <w:t>.</w:t>
      </w:r>
    </w:p>
    <w:p w14:paraId="5713962E" w14:textId="488F38BB" w:rsidR="0021345D" w:rsidRPr="00463231" w:rsidRDefault="0021345D" w:rsidP="00463231">
      <w:pPr>
        <w:pStyle w:val="Heading1"/>
        <w:rPr>
          <w:rFonts w:asciiTheme="majorBidi" w:hAnsiTheme="majorBidi"/>
          <w:b/>
          <w:bCs/>
          <w:color w:val="auto"/>
          <w:sz w:val="24"/>
          <w:szCs w:val="24"/>
        </w:rPr>
      </w:pPr>
      <w:r w:rsidRPr="00463231">
        <w:rPr>
          <w:rFonts w:asciiTheme="majorBidi" w:hAnsiTheme="majorBidi"/>
          <w:b/>
          <w:bCs/>
          <w:color w:val="auto"/>
          <w:sz w:val="24"/>
          <w:szCs w:val="24"/>
        </w:rPr>
        <w:lastRenderedPageBreak/>
        <w:t>2.</w:t>
      </w:r>
      <w:r w:rsidR="008E1E49" w:rsidRPr="00463231">
        <w:rPr>
          <w:rFonts w:asciiTheme="majorBidi" w:hAnsiTheme="majorBidi"/>
          <w:b/>
          <w:bCs/>
          <w:color w:val="auto"/>
          <w:sz w:val="24"/>
          <w:szCs w:val="24"/>
        </w:rPr>
        <w:t>0</w:t>
      </w:r>
      <w:r w:rsidRPr="00463231">
        <w:rPr>
          <w:rFonts w:asciiTheme="majorBidi" w:hAnsiTheme="majorBidi"/>
          <w:b/>
          <w:bCs/>
          <w:color w:val="auto"/>
          <w:sz w:val="24"/>
          <w:szCs w:val="24"/>
        </w:rPr>
        <w:tab/>
      </w:r>
      <w:r w:rsidR="008E1E49" w:rsidRPr="00463231">
        <w:rPr>
          <w:rFonts w:asciiTheme="majorBidi" w:hAnsiTheme="majorBidi"/>
          <w:b/>
          <w:bCs/>
          <w:color w:val="auto"/>
          <w:sz w:val="24"/>
          <w:szCs w:val="24"/>
        </w:rPr>
        <w:t>Literature</w:t>
      </w:r>
      <w:r w:rsidR="00452C98" w:rsidRPr="00463231">
        <w:rPr>
          <w:rFonts w:asciiTheme="majorBidi" w:hAnsiTheme="majorBidi"/>
          <w:b/>
          <w:bCs/>
          <w:color w:val="auto"/>
          <w:sz w:val="24"/>
          <w:szCs w:val="24"/>
        </w:rPr>
        <w:t xml:space="preserve"> </w:t>
      </w:r>
      <w:r w:rsidR="009C1BF4" w:rsidRPr="00463231">
        <w:rPr>
          <w:rFonts w:asciiTheme="majorBidi" w:hAnsiTheme="majorBidi"/>
          <w:b/>
          <w:bCs/>
          <w:color w:val="auto"/>
          <w:sz w:val="24"/>
          <w:szCs w:val="24"/>
        </w:rPr>
        <w:t>Review</w:t>
      </w:r>
      <w:r w:rsidR="008E1E49" w:rsidRPr="00463231">
        <w:rPr>
          <w:rFonts w:asciiTheme="majorBidi" w:hAnsiTheme="majorBidi"/>
          <w:b/>
          <w:bCs/>
          <w:color w:val="auto"/>
          <w:sz w:val="24"/>
          <w:szCs w:val="24"/>
        </w:rPr>
        <w:t xml:space="preserve"> and </w:t>
      </w:r>
      <w:r w:rsidR="00DC1425" w:rsidRPr="00463231">
        <w:rPr>
          <w:rFonts w:asciiTheme="majorBidi" w:hAnsiTheme="majorBidi"/>
          <w:b/>
          <w:bCs/>
          <w:color w:val="auto"/>
          <w:sz w:val="24"/>
          <w:szCs w:val="24"/>
        </w:rPr>
        <w:t>Hypothesis</w:t>
      </w:r>
      <w:r w:rsidR="008E1E49" w:rsidRPr="00463231">
        <w:rPr>
          <w:rFonts w:asciiTheme="majorBidi" w:hAnsiTheme="majorBidi"/>
          <w:b/>
          <w:bCs/>
          <w:color w:val="auto"/>
          <w:sz w:val="24"/>
          <w:szCs w:val="24"/>
        </w:rPr>
        <w:t xml:space="preserve"> Development</w:t>
      </w:r>
    </w:p>
    <w:p w14:paraId="35A752A4" w14:textId="77777777" w:rsidR="006B62A3" w:rsidRPr="00463231" w:rsidRDefault="006B62A3" w:rsidP="00463231">
      <w:pPr>
        <w:pStyle w:val="Heading2"/>
        <w:rPr>
          <w:rFonts w:asciiTheme="majorBidi" w:hAnsiTheme="majorBidi"/>
          <w:b/>
          <w:bCs/>
          <w:color w:val="auto"/>
          <w:sz w:val="24"/>
          <w:szCs w:val="24"/>
        </w:rPr>
      </w:pPr>
      <w:r w:rsidRPr="00463231">
        <w:rPr>
          <w:rFonts w:asciiTheme="majorBidi" w:hAnsiTheme="majorBidi"/>
          <w:b/>
          <w:bCs/>
          <w:color w:val="auto"/>
          <w:sz w:val="24"/>
          <w:szCs w:val="24"/>
        </w:rPr>
        <w:t>2.1 Theoretical Foundation and Conceptual Framework</w:t>
      </w:r>
    </w:p>
    <w:p w14:paraId="1B270DC6" w14:textId="4E5D7755" w:rsidR="006170D4" w:rsidRPr="006170D4" w:rsidRDefault="00E57FC2" w:rsidP="00AE4586">
      <w:pPr>
        <w:spacing w:line="360" w:lineRule="auto"/>
        <w:jc w:val="both"/>
        <w:rPr>
          <w:rFonts w:ascii="Times New Roman" w:hAnsi="Times New Roman" w:cs="Times New Roman"/>
          <w:sz w:val="24"/>
          <w:szCs w:val="24"/>
        </w:rPr>
      </w:pPr>
      <w:r w:rsidRPr="00E57FC2">
        <w:rPr>
          <w:rFonts w:ascii="Times New Roman" w:hAnsi="Times New Roman" w:cs="Times New Roman"/>
          <w:sz w:val="24"/>
          <w:szCs w:val="24"/>
        </w:rPr>
        <w:t>T</w:t>
      </w:r>
      <w:r w:rsidR="006170D4" w:rsidRPr="006170D4">
        <w:rPr>
          <w:rFonts w:ascii="Times New Roman" w:hAnsi="Times New Roman" w:cs="Times New Roman"/>
          <w:sz w:val="24"/>
          <w:szCs w:val="24"/>
        </w:rPr>
        <w:t xml:space="preserve">his study is anchored in Ohlson’s (1995) Clean Surplus Valuation Theory, which provides a formal accounting-based framework linking firm market value to book value and the present value of expected abnormal earnings. Within this valuation structure, accounting information plays a central role in shaping investor expectations regarding future profitability, risk, and long-term sustainability. Consequently, variations in firm-level financial metrics are expected to be </w:t>
      </w:r>
      <w:proofErr w:type="spellStart"/>
      <w:r w:rsidR="006170D4" w:rsidRPr="006170D4">
        <w:rPr>
          <w:rFonts w:ascii="Times New Roman" w:hAnsi="Times New Roman" w:cs="Times New Roman"/>
          <w:sz w:val="24"/>
          <w:szCs w:val="24"/>
        </w:rPr>
        <w:t>capitalised</w:t>
      </w:r>
      <w:proofErr w:type="spellEnd"/>
      <w:r w:rsidR="006170D4" w:rsidRPr="006170D4">
        <w:rPr>
          <w:rFonts w:ascii="Times New Roman" w:hAnsi="Times New Roman" w:cs="Times New Roman"/>
          <w:sz w:val="24"/>
          <w:szCs w:val="24"/>
        </w:rPr>
        <w:t xml:space="preserve"> into share prices as new information is incorporated by the market.</w:t>
      </w:r>
      <w:r w:rsidR="00AE4586">
        <w:rPr>
          <w:rFonts w:ascii="Times New Roman" w:hAnsi="Times New Roman" w:cs="Times New Roman"/>
          <w:sz w:val="24"/>
          <w:szCs w:val="24"/>
        </w:rPr>
        <w:t xml:space="preserve"> </w:t>
      </w:r>
      <w:r w:rsidR="00AE4586" w:rsidRPr="00AE4586">
        <w:rPr>
          <w:rFonts w:ascii="Times New Roman" w:hAnsi="Times New Roman" w:cs="Times New Roman"/>
          <w:sz w:val="24"/>
          <w:szCs w:val="24"/>
          <w:highlight w:val="yellow"/>
        </w:rPr>
        <w:t>In a similar vein, market-relevant accounting metrics are fundamental to value creation, as firms that communicate performance signals capable of enhancing profitability and reducing investment risk are more likely to generate stronger shareholder value (Petersen et al., 2009).</w:t>
      </w:r>
    </w:p>
    <w:p w14:paraId="44483494"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Despite its strong theoretical appeal, the clean surplus framework implicitly assumes homogeneous information environments and uniform investor interpretation of accounting signals. This assumption is unlikely to hold in emerging market contexts, where firms differ substantially in disclosure quality, analyst coverage, institutional monitoring, and market visibility. Such heterogeneity introduces variation in how accounting information is interpreted and priced, thereby limiting the explanatory power of valuation models that ignore firm-specific informational frictions.</w:t>
      </w:r>
    </w:p>
    <w:p w14:paraId="2115EED4"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 xml:space="preserve">To address this limitation, the study integrates </w:t>
      </w:r>
      <w:proofErr w:type="spellStart"/>
      <w:r w:rsidRPr="006170D4">
        <w:rPr>
          <w:rFonts w:ascii="Times New Roman" w:hAnsi="Times New Roman" w:cs="Times New Roman"/>
          <w:sz w:val="24"/>
          <w:szCs w:val="24"/>
        </w:rPr>
        <w:t>Signalling</w:t>
      </w:r>
      <w:proofErr w:type="spellEnd"/>
      <w:r w:rsidRPr="006170D4">
        <w:rPr>
          <w:rFonts w:ascii="Times New Roman" w:hAnsi="Times New Roman" w:cs="Times New Roman"/>
          <w:sz w:val="24"/>
          <w:szCs w:val="24"/>
        </w:rPr>
        <w:t xml:space="preserve"> Theory and Information Asymmetry Theory. </w:t>
      </w:r>
      <w:proofErr w:type="spellStart"/>
      <w:r w:rsidRPr="006170D4">
        <w:rPr>
          <w:rFonts w:ascii="Times New Roman" w:hAnsi="Times New Roman" w:cs="Times New Roman"/>
          <w:sz w:val="24"/>
          <w:szCs w:val="24"/>
        </w:rPr>
        <w:t>Signalling</w:t>
      </w:r>
      <w:proofErr w:type="spellEnd"/>
      <w:r w:rsidRPr="006170D4">
        <w:rPr>
          <w:rFonts w:ascii="Times New Roman" w:hAnsi="Times New Roman" w:cs="Times New Roman"/>
          <w:sz w:val="24"/>
          <w:szCs w:val="24"/>
        </w:rPr>
        <w:t xml:space="preserve"> theory posits that financial metrics convey information about firm quality, managerial competence, and growth prospects to external investors, particularly when direct observation of firm fundamentals is costly. Information asymmetry theory further suggests that the credibility, clarity, and valuation relevance of these signals depend on firm characteristics that shape the information environment. Among these characteristics, firm size occupies a central position, as larger firms typically exhibit superior disclosure practices, greater analyst following, and stronger reputational capital, all of which reduce information asymmetry.</w:t>
      </w:r>
    </w:p>
    <w:p w14:paraId="5474C1DF" w14:textId="6B91A13B" w:rsidR="006170D4" w:rsidRDefault="006170D4" w:rsidP="00E57FC2">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 xml:space="preserve">These theoretical perspectives are jointly </w:t>
      </w:r>
      <w:proofErr w:type="spellStart"/>
      <w:r w:rsidRPr="006170D4">
        <w:rPr>
          <w:rFonts w:ascii="Times New Roman" w:hAnsi="Times New Roman" w:cs="Times New Roman"/>
          <w:sz w:val="24"/>
          <w:szCs w:val="24"/>
        </w:rPr>
        <w:t>operationalised</w:t>
      </w:r>
      <w:proofErr w:type="spellEnd"/>
      <w:r w:rsidRPr="006170D4">
        <w:rPr>
          <w:rFonts w:ascii="Times New Roman" w:hAnsi="Times New Roman" w:cs="Times New Roman"/>
          <w:sz w:val="24"/>
          <w:szCs w:val="24"/>
        </w:rPr>
        <w:t xml:space="preserve"> in the conceptual framework illustrated in </w:t>
      </w:r>
      <w:r w:rsidR="00426EEB" w:rsidRPr="00426EEB">
        <w:rPr>
          <w:rFonts w:ascii="Times New Roman" w:hAnsi="Times New Roman" w:cs="Times New Roman"/>
          <w:b/>
          <w:bCs/>
          <w:sz w:val="24"/>
          <w:szCs w:val="24"/>
        </w:rPr>
        <w:t>Figure 1</w:t>
      </w:r>
      <w:r w:rsidRPr="006170D4">
        <w:rPr>
          <w:rFonts w:ascii="Times New Roman" w:hAnsi="Times New Roman" w:cs="Times New Roman"/>
          <w:sz w:val="24"/>
          <w:szCs w:val="24"/>
        </w:rPr>
        <w:t xml:space="preserve">. Financial metrics capturing profitability, liquidity, leverage, operational efficiency, and earnings performance are modelled as direct determinants of share price. Firm size is incorporated both as a direct valuation factor and as a moderating variable that conditions the strength and direction of the relationship between financial metrics and share price. The framework </w:t>
      </w:r>
      <w:r w:rsidRPr="006170D4">
        <w:rPr>
          <w:rFonts w:ascii="Times New Roman" w:hAnsi="Times New Roman" w:cs="Times New Roman"/>
          <w:sz w:val="24"/>
          <w:szCs w:val="24"/>
        </w:rPr>
        <w:lastRenderedPageBreak/>
        <w:t xml:space="preserve">therefore </w:t>
      </w:r>
      <w:proofErr w:type="spellStart"/>
      <w:r w:rsidRPr="006170D4">
        <w:rPr>
          <w:rFonts w:ascii="Times New Roman" w:hAnsi="Times New Roman" w:cs="Times New Roman"/>
          <w:sz w:val="24"/>
          <w:szCs w:val="24"/>
        </w:rPr>
        <w:t>recognises</w:t>
      </w:r>
      <w:proofErr w:type="spellEnd"/>
      <w:r w:rsidRPr="006170D4">
        <w:rPr>
          <w:rFonts w:ascii="Times New Roman" w:hAnsi="Times New Roman" w:cs="Times New Roman"/>
          <w:sz w:val="24"/>
          <w:szCs w:val="24"/>
        </w:rPr>
        <w:t xml:space="preserve"> that financial information is not priced uniformly across firms; rather, valuation effects are systematically shaped by firm size–related information asymmetries.</w:t>
      </w:r>
    </w:p>
    <w:p w14:paraId="3C47287D" w14:textId="74A033AC" w:rsidR="00426EEB" w:rsidRDefault="00426EEB" w:rsidP="00E57FC2">
      <w:pPr>
        <w:spacing w:line="360" w:lineRule="auto"/>
        <w:jc w:val="both"/>
        <w:rPr>
          <w:rFonts w:ascii="Times New Roman" w:hAnsi="Times New Roman" w:cs="Times New Roman"/>
          <w:sz w:val="24"/>
          <w:szCs w:val="24"/>
        </w:rPr>
      </w:pPr>
      <w:r w:rsidRPr="00B2041F">
        <w:rPr>
          <w:noProof/>
        </w:rPr>
        <w:drawing>
          <wp:inline distT="0" distB="0" distL="0" distR="0" wp14:anchorId="40EB42D3" wp14:editId="1C6F5D84">
            <wp:extent cx="3110882" cy="17020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8525" cy="1750040"/>
                    </a:xfrm>
                    <a:prstGeom prst="rect">
                      <a:avLst/>
                    </a:prstGeom>
                    <a:noFill/>
                  </pic:spPr>
                </pic:pic>
              </a:graphicData>
            </a:graphic>
          </wp:inline>
        </w:drawing>
      </w:r>
    </w:p>
    <w:p w14:paraId="5ED1D77F" w14:textId="762AB0D2" w:rsidR="00426EEB" w:rsidRPr="006170D4" w:rsidRDefault="00426EEB" w:rsidP="00426EEB">
      <w:pPr>
        <w:spacing w:line="360" w:lineRule="auto"/>
        <w:rPr>
          <w:rFonts w:ascii="Times New Roman" w:hAnsi="Times New Roman" w:cs="Times New Roman"/>
          <w:sz w:val="20"/>
          <w:szCs w:val="20"/>
        </w:rPr>
      </w:pPr>
      <w:r>
        <w:rPr>
          <w:rFonts w:ascii="Times New Roman" w:hAnsi="Times New Roman" w:cs="Times New Roman"/>
          <w:sz w:val="20"/>
          <w:szCs w:val="20"/>
        </w:rPr>
        <w:t>Figure 1</w:t>
      </w:r>
      <w:r w:rsidRPr="00B2041F">
        <w:rPr>
          <w:rFonts w:ascii="Times New Roman" w:hAnsi="Times New Roman" w:cs="Times New Roman"/>
          <w:sz w:val="20"/>
          <w:szCs w:val="20"/>
        </w:rPr>
        <w:t xml:space="preserve"> Conceptual framework developed by the researchers</w:t>
      </w:r>
    </w:p>
    <w:p w14:paraId="1E3E6659" w14:textId="77777777" w:rsidR="006170D4" w:rsidRPr="00392041" w:rsidRDefault="006170D4" w:rsidP="00392041">
      <w:pPr>
        <w:pStyle w:val="Heading2"/>
        <w:rPr>
          <w:rFonts w:asciiTheme="majorBidi" w:hAnsiTheme="majorBidi"/>
          <w:b/>
          <w:bCs/>
          <w:color w:val="auto"/>
          <w:sz w:val="24"/>
          <w:szCs w:val="24"/>
        </w:rPr>
      </w:pPr>
      <w:r w:rsidRPr="00392041">
        <w:rPr>
          <w:rFonts w:asciiTheme="majorBidi" w:hAnsiTheme="majorBidi"/>
          <w:b/>
          <w:bCs/>
          <w:color w:val="auto"/>
          <w:sz w:val="24"/>
          <w:szCs w:val="24"/>
        </w:rPr>
        <w:t>2.2 Financial Metrics and Share Price: Conceptual Linkage</w:t>
      </w:r>
    </w:p>
    <w:p w14:paraId="5AE9321B" w14:textId="573C6712" w:rsidR="006170D4" w:rsidRDefault="007B340C" w:rsidP="007B340C">
      <w:pPr>
        <w:spacing w:line="360" w:lineRule="auto"/>
        <w:jc w:val="both"/>
        <w:rPr>
          <w:rFonts w:ascii="Times New Roman" w:hAnsi="Times New Roman" w:cs="Times New Roman"/>
          <w:sz w:val="24"/>
          <w:szCs w:val="24"/>
        </w:rPr>
      </w:pPr>
      <w:r w:rsidRPr="007B340C">
        <w:rPr>
          <w:rFonts w:ascii="Times New Roman" w:hAnsi="Times New Roman" w:cs="Times New Roman"/>
          <w:sz w:val="24"/>
          <w:szCs w:val="24"/>
        </w:rPr>
        <w:t xml:space="preserve">Consistent with the conceptual framework, share price represents the dependent variable reflecting the market’s aggregate assessment of firm value. In semi-strong efficient markets, publicly available accounting information is rapidly incorporated into share prices as investors revise expectations regarding future cash flows and risk (Damodaran, 2015). </w:t>
      </w:r>
      <w:r w:rsidRPr="007B340C">
        <w:rPr>
          <w:rFonts w:ascii="Times New Roman" w:hAnsi="Times New Roman" w:cs="Times New Roman"/>
          <w:sz w:val="24"/>
          <w:szCs w:val="24"/>
          <w:highlight w:val="yellow"/>
        </w:rPr>
        <w:t>Financial metrics therefore serve as the primary transmission mechanism through which firm performance is translated into market valuation. This view aligns with contemporary asset pricing evidence, where profitability and investment-related characteristics significantly explain cross-sectional variations in stock returns and valuation outcomes, including in emerging markets (Fama &amp; French, 2015)</w:t>
      </w:r>
      <w:r w:rsidR="00DE7541" w:rsidRPr="007B340C">
        <w:rPr>
          <w:rFonts w:ascii="Times New Roman" w:hAnsi="Times New Roman" w:cs="Times New Roman"/>
          <w:sz w:val="24"/>
          <w:szCs w:val="24"/>
          <w:highlight w:val="yellow"/>
        </w:rPr>
        <w:t>.</w:t>
      </w:r>
    </w:p>
    <w:p w14:paraId="4E684106" w14:textId="4852A393" w:rsidR="006170D4" w:rsidRPr="006170D4" w:rsidRDefault="00C92205" w:rsidP="00C92205">
      <w:pPr>
        <w:spacing w:line="360" w:lineRule="auto"/>
        <w:jc w:val="both"/>
        <w:rPr>
          <w:rFonts w:ascii="Times New Roman" w:hAnsi="Times New Roman" w:cs="Times New Roman"/>
          <w:sz w:val="24"/>
          <w:szCs w:val="24"/>
        </w:rPr>
      </w:pPr>
      <w:r w:rsidRPr="00C92205">
        <w:rPr>
          <w:rFonts w:ascii="Times New Roman" w:hAnsi="Times New Roman" w:cs="Times New Roman"/>
          <w:sz w:val="24"/>
          <w:szCs w:val="24"/>
          <w:highlight w:val="yellow"/>
        </w:rPr>
        <w:t xml:space="preserve">Petersen et al. (2009) </w:t>
      </w:r>
      <w:proofErr w:type="spellStart"/>
      <w:r w:rsidRPr="00C92205">
        <w:rPr>
          <w:rFonts w:ascii="Times New Roman" w:hAnsi="Times New Roman" w:cs="Times New Roman"/>
          <w:sz w:val="24"/>
          <w:szCs w:val="24"/>
          <w:highlight w:val="yellow"/>
        </w:rPr>
        <w:t>emphasise</w:t>
      </w:r>
      <w:proofErr w:type="spellEnd"/>
      <w:r w:rsidRPr="00C92205">
        <w:rPr>
          <w:rFonts w:ascii="Times New Roman" w:hAnsi="Times New Roman" w:cs="Times New Roman"/>
          <w:sz w:val="24"/>
          <w:szCs w:val="24"/>
          <w:highlight w:val="yellow"/>
        </w:rPr>
        <w:t xml:space="preserve"> that firms differ in the financial indicators that best capture their value-creation processes, implying that the use of a single metric may not sufficiently reflect the multifaceted nature of performance. A multidimensional approach is therefore required to avoid biased valuation signals and to ensure a more accurate reflection of economic reality.</w:t>
      </w:r>
      <w:r>
        <w:rPr>
          <w:rFonts w:ascii="Times New Roman" w:hAnsi="Times New Roman" w:cs="Times New Roman"/>
          <w:sz w:val="24"/>
          <w:szCs w:val="24"/>
        </w:rPr>
        <w:t xml:space="preserve"> </w:t>
      </w:r>
      <w:r w:rsidR="006170D4" w:rsidRPr="006170D4">
        <w:rPr>
          <w:rFonts w:ascii="Times New Roman" w:hAnsi="Times New Roman" w:cs="Times New Roman"/>
          <w:sz w:val="24"/>
          <w:szCs w:val="24"/>
        </w:rPr>
        <w:t xml:space="preserve">A key limitation of prior empirical studies is their tendency to examine financial indicators in isolation, thereby overlooking the multidimensional nature of firm performance. Such an approach may obscure the relative and joint valuation effects of different performance dimensions. The present study addresses this gap by jointly </w:t>
      </w:r>
      <w:proofErr w:type="spellStart"/>
      <w:r w:rsidR="006170D4" w:rsidRPr="006170D4">
        <w:rPr>
          <w:rFonts w:ascii="Times New Roman" w:hAnsi="Times New Roman" w:cs="Times New Roman"/>
          <w:sz w:val="24"/>
          <w:szCs w:val="24"/>
        </w:rPr>
        <w:t>analysing</w:t>
      </w:r>
      <w:proofErr w:type="spellEnd"/>
      <w:r w:rsidR="006170D4" w:rsidRPr="006170D4">
        <w:rPr>
          <w:rFonts w:ascii="Times New Roman" w:hAnsi="Times New Roman" w:cs="Times New Roman"/>
          <w:sz w:val="24"/>
          <w:szCs w:val="24"/>
        </w:rPr>
        <w:t xml:space="preserve"> financial metrics spanning profitability, liquidity, leverage, operational efficiency, and earnings performance. This multidimensional structure is explicitly reflected in </w:t>
      </w:r>
      <w:r w:rsidR="00426EEB">
        <w:rPr>
          <w:rFonts w:ascii="Times New Roman" w:hAnsi="Times New Roman" w:cs="Times New Roman"/>
          <w:sz w:val="24"/>
          <w:szCs w:val="24"/>
        </w:rPr>
        <w:t>Figure 1</w:t>
      </w:r>
      <w:r w:rsidR="006170D4" w:rsidRPr="006170D4">
        <w:rPr>
          <w:rFonts w:ascii="Times New Roman" w:hAnsi="Times New Roman" w:cs="Times New Roman"/>
          <w:sz w:val="24"/>
          <w:szCs w:val="24"/>
        </w:rPr>
        <w:t>, which allows for both direct valuation effects and conditional effects moderated by firm size.</w:t>
      </w:r>
    </w:p>
    <w:p w14:paraId="109361D1" w14:textId="77777777" w:rsidR="006170D4" w:rsidRPr="00392041" w:rsidRDefault="006170D4" w:rsidP="00392041">
      <w:pPr>
        <w:pStyle w:val="Heading2"/>
        <w:rPr>
          <w:rFonts w:asciiTheme="majorBidi" w:hAnsiTheme="majorBidi"/>
          <w:b/>
          <w:bCs/>
          <w:color w:val="auto"/>
          <w:sz w:val="24"/>
          <w:szCs w:val="24"/>
        </w:rPr>
      </w:pPr>
      <w:r w:rsidRPr="00392041">
        <w:rPr>
          <w:rFonts w:asciiTheme="majorBidi" w:hAnsiTheme="majorBidi"/>
          <w:b/>
          <w:bCs/>
          <w:color w:val="auto"/>
          <w:sz w:val="24"/>
          <w:szCs w:val="24"/>
        </w:rPr>
        <w:lastRenderedPageBreak/>
        <w:t>2.3 Profitability (Return on Equity) and Share Price</w:t>
      </w:r>
    </w:p>
    <w:p w14:paraId="011C5237"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 xml:space="preserve">Return on equity (ROE) captures a firm’s effectiveness in generating profits from shareholders’ invested capital and occupies a central position in valuation theory. Within the clean surplus framework, higher ROE enhances expected abnormal earnings, thereby increasing firm value. From a </w:t>
      </w:r>
      <w:proofErr w:type="spellStart"/>
      <w:r w:rsidRPr="006170D4">
        <w:rPr>
          <w:rFonts w:ascii="Times New Roman" w:hAnsi="Times New Roman" w:cs="Times New Roman"/>
          <w:sz w:val="24"/>
          <w:szCs w:val="24"/>
        </w:rPr>
        <w:t>signalling</w:t>
      </w:r>
      <w:proofErr w:type="spellEnd"/>
      <w:r w:rsidRPr="006170D4">
        <w:rPr>
          <w:rFonts w:ascii="Times New Roman" w:hAnsi="Times New Roman" w:cs="Times New Roman"/>
          <w:sz w:val="24"/>
          <w:szCs w:val="24"/>
        </w:rPr>
        <w:t xml:space="preserve"> perspective, strong ROE conveys information about managerial efficiency, competitive advantage, and strategic discipline, which should elicit </w:t>
      </w:r>
      <w:proofErr w:type="spellStart"/>
      <w:r w:rsidRPr="006170D4">
        <w:rPr>
          <w:rFonts w:ascii="Times New Roman" w:hAnsi="Times New Roman" w:cs="Times New Roman"/>
          <w:sz w:val="24"/>
          <w:szCs w:val="24"/>
        </w:rPr>
        <w:t>favourable</w:t>
      </w:r>
      <w:proofErr w:type="spellEnd"/>
      <w:r w:rsidRPr="006170D4">
        <w:rPr>
          <w:rFonts w:ascii="Times New Roman" w:hAnsi="Times New Roman" w:cs="Times New Roman"/>
          <w:sz w:val="24"/>
          <w:szCs w:val="24"/>
        </w:rPr>
        <w:t xml:space="preserve"> market responses.</w:t>
      </w:r>
    </w:p>
    <w:p w14:paraId="368ABFCE" w14:textId="5F4159C6"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Empirical evidence generally supports a positive relationship between ROE and share price, although the magnitude of this effect varies across institutional settings. Studies conducted in emerging markets report significant positive associations (</w:t>
      </w:r>
      <w:proofErr w:type="spellStart"/>
      <w:r w:rsidRPr="006170D4">
        <w:rPr>
          <w:rFonts w:ascii="Times New Roman" w:hAnsi="Times New Roman" w:cs="Times New Roman"/>
          <w:sz w:val="24"/>
          <w:szCs w:val="24"/>
        </w:rPr>
        <w:t>Nugra</w:t>
      </w:r>
      <w:r w:rsidR="00416B24">
        <w:rPr>
          <w:rFonts w:ascii="Times New Roman" w:hAnsi="Times New Roman" w:cs="Times New Roman"/>
          <w:sz w:val="24"/>
          <w:szCs w:val="24"/>
        </w:rPr>
        <w:t>h</w:t>
      </w:r>
      <w:r w:rsidRPr="006170D4">
        <w:rPr>
          <w:rFonts w:ascii="Times New Roman" w:hAnsi="Times New Roman" w:cs="Times New Roman"/>
          <w:sz w:val="24"/>
          <w:szCs w:val="24"/>
        </w:rPr>
        <w:t>a</w:t>
      </w:r>
      <w:proofErr w:type="spellEnd"/>
      <w:r w:rsidRPr="006170D4">
        <w:rPr>
          <w:rFonts w:ascii="Times New Roman" w:hAnsi="Times New Roman" w:cs="Times New Roman"/>
          <w:sz w:val="24"/>
          <w:szCs w:val="24"/>
        </w:rPr>
        <w:t xml:space="preserve"> et al., 2024; </w:t>
      </w:r>
      <w:proofErr w:type="spellStart"/>
      <w:r w:rsidRPr="006170D4">
        <w:rPr>
          <w:rFonts w:ascii="Times New Roman" w:hAnsi="Times New Roman" w:cs="Times New Roman"/>
          <w:sz w:val="24"/>
          <w:szCs w:val="24"/>
        </w:rPr>
        <w:t>Salouhi</w:t>
      </w:r>
      <w:proofErr w:type="spellEnd"/>
      <w:r w:rsidRPr="006170D4">
        <w:rPr>
          <w:rFonts w:ascii="Times New Roman" w:hAnsi="Times New Roman" w:cs="Times New Roman"/>
          <w:sz w:val="24"/>
          <w:szCs w:val="24"/>
        </w:rPr>
        <w:t xml:space="preserve"> &amp; Bakari, 2024; Abel et al., 2024), while weaker or insignificant effects have been documented in specific sectors or periods </w:t>
      </w:r>
      <w:proofErr w:type="spellStart"/>
      <w:r w:rsidRPr="006170D4">
        <w:rPr>
          <w:rFonts w:ascii="Times New Roman" w:hAnsi="Times New Roman" w:cs="Times New Roman"/>
          <w:sz w:val="24"/>
          <w:szCs w:val="24"/>
        </w:rPr>
        <w:t>characterised</w:t>
      </w:r>
      <w:proofErr w:type="spellEnd"/>
      <w:r w:rsidRPr="006170D4">
        <w:rPr>
          <w:rFonts w:ascii="Times New Roman" w:hAnsi="Times New Roman" w:cs="Times New Roman"/>
          <w:sz w:val="24"/>
          <w:szCs w:val="24"/>
        </w:rPr>
        <w:t xml:space="preserve"> by heightened uncertainty (Subedi, 2024). These mixed findings suggest that profitability signals may not be priced uniformly across firms.</w:t>
      </w:r>
    </w:p>
    <w:p w14:paraId="03ED01AE" w14:textId="790C70C3"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 xml:space="preserve">As illustrated in </w:t>
      </w:r>
      <w:r w:rsidR="00426EEB">
        <w:rPr>
          <w:rFonts w:ascii="Times New Roman" w:hAnsi="Times New Roman" w:cs="Times New Roman"/>
          <w:sz w:val="24"/>
          <w:szCs w:val="24"/>
        </w:rPr>
        <w:t>Figure 1</w:t>
      </w:r>
      <w:r w:rsidRPr="006170D4">
        <w:rPr>
          <w:rFonts w:ascii="Times New Roman" w:hAnsi="Times New Roman" w:cs="Times New Roman"/>
          <w:sz w:val="24"/>
          <w:szCs w:val="24"/>
        </w:rPr>
        <w:t>, ROE is expected to exert a direct positive effect on share price, with firm size potentially conditioning its valuation relevance.</w:t>
      </w:r>
    </w:p>
    <w:p w14:paraId="07C744DD" w14:textId="17B69615" w:rsidR="006170D4" w:rsidRPr="006170D4" w:rsidRDefault="006170D4" w:rsidP="00426EEB">
      <w:pPr>
        <w:spacing w:line="360" w:lineRule="auto"/>
        <w:jc w:val="both"/>
        <w:rPr>
          <w:rFonts w:ascii="Times New Roman" w:hAnsi="Times New Roman" w:cs="Times New Roman"/>
          <w:sz w:val="24"/>
          <w:szCs w:val="24"/>
        </w:rPr>
      </w:pPr>
      <w:r w:rsidRPr="006170D4">
        <w:rPr>
          <w:rFonts w:ascii="Times New Roman" w:hAnsi="Times New Roman" w:cs="Times New Roman"/>
          <w:b/>
          <w:bCs/>
          <w:sz w:val="24"/>
          <w:szCs w:val="24"/>
        </w:rPr>
        <w:t>H1:</w:t>
      </w:r>
      <w:r w:rsidRPr="006170D4">
        <w:rPr>
          <w:rFonts w:ascii="Times New Roman" w:hAnsi="Times New Roman" w:cs="Times New Roman"/>
          <w:sz w:val="24"/>
          <w:szCs w:val="24"/>
        </w:rPr>
        <w:t xml:space="preserve"> Return on equity has a positive and significant effect on the share prices of listed agriculture and consumer goods firms in Nigeria.</w:t>
      </w:r>
    </w:p>
    <w:p w14:paraId="02A980E5" w14:textId="77777777" w:rsidR="006170D4" w:rsidRPr="00392041" w:rsidRDefault="006170D4" w:rsidP="00392041">
      <w:pPr>
        <w:pStyle w:val="Heading2"/>
        <w:rPr>
          <w:rFonts w:asciiTheme="majorBidi" w:hAnsiTheme="majorBidi"/>
          <w:b/>
          <w:bCs/>
          <w:color w:val="auto"/>
          <w:sz w:val="24"/>
          <w:szCs w:val="24"/>
        </w:rPr>
      </w:pPr>
      <w:r w:rsidRPr="00392041">
        <w:rPr>
          <w:rFonts w:asciiTheme="majorBidi" w:hAnsiTheme="majorBidi"/>
          <w:b/>
          <w:bCs/>
          <w:color w:val="auto"/>
          <w:sz w:val="24"/>
          <w:szCs w:val="24"/>
        </w:rPr>
        <w:t>2.4 Liquidity (Current Ratio) and Share Price</w:t>
      </w:r>
    </w:p>
    <w:p w14:paraId="3BC283EB"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Liquidity, proxied by the current ratio, reflects a firm’s capacity to meet short-term obligations and maintain operational continuity. From a risk-based valuation perspective, adequate liquidity reduces financial distress risk and enhances firm resilience. However, excessively high liquidity may signal inefficient asset deployment or limited growth opportunities, generating ambiguous valuation implications.</w:t>
      </w:r>
    </w:p>
    <w:p w14:paraId="304BA717"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Prior empirical findings on the liquidity–share price relationship remain inconclusive. While some studies report positive valuation effects (</w:t>
      </w:r>
      <w:proofErr w:type="spellStart"/>
      <w:r w:rsidRPr="006170D4">
        <w:rPr>
          <w:rFonts w:ascii="Times New Roman" w:hAnsi="Times New Roman" w:cs="Times New Roman"/>
          <w:sz w:val="24"/>
          <w:szCs w:val="24"/>
        </w:rPr>
        <w:t>Dimyati</w:t>
      </w:r>
      <w:proofErr w:type="spellEnd"/>
      <w:r w:rsidRPr="006170D4">
        <w:rPr>
          <w:rFonts w:ascii="Times New Roman" w:hAnsi="Times New Roman" w:cs="Times New Roman"/>
          <w:sz w:val="24"/>
          <w:szCs w:val="24"/>
        </w:rPr>
        <w:t>, 2023), others document insignificant or negative relationships (Meliza et al., 2024; Nugroho et al., 2023). These inconsistencies suggest that the market interpretation of liquidity signals depends on firm-specific characteristics.</w:t>
      </w:r>
    </w:p>
    <w:p w14:paraId="6155EA3B"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Consistent with the conceptual framework, liquidity is expected to influence share prices directly, with firm size shaping how liquidity information is interpreted by investors.</w:t>
      </w:r>
    </w:p>
    <w:p w14:paraId="1C8BFE0D" w14:textId="0B51C726" w:rsidR="006170D4" w:rsidRPr="006170D4" w:rsidRDefault="006170D4" w:rsidP="00426EEB">
      <w:pPr>
        <w:spacing w:line="360" w:lineRule="auto"/>
        <w:jc w:val="both"/>
        <w:rPr>
          <w:rFonts w:ascii="Times New Roman" w:hAnsi="Times New Roman" w:cs="Times New Roman"/>
          <w:sz w:val="24"/>
          <w:szCs w:val="24"/>
        </w:rPr>
      </w:pPr>
      <w:r w:rsidRPr="006170D4">
        <w:rPr>
          <w:rFonts w:ascii="Times New Roman" w:hAnsi="Times New Roman" w:cs="Times New Roman"/>
          <w:b/>
          <w:bCs/>
          <w:sz w:val="24"/>
          <w:szCs w:val="24"/>
        </w:rPr>
        <w:t>H2:</w:t>
      </w:r>
      <w:r w:rsidRPr="006170D4">
        <w:rPr>
          <w:rFonts w:ascii="Times New Roman" w:hAnsi="Times New Roman" w:cs="Times New Roman"/>
          <w:sz w:val="24"/>
          <w:szCs w:val="24"/>
        </w:rPr>
        <w:t xml:space="preserve"> Current ratio has a significant effect on the share prices of listed agriculture and consumer goods firms in Nigeria.</w:t>
      </w:r>
    </w:p>
    <w:p w14:paraId="419DEC80" w14:textId="77777777" w:rsidR="006170D4" w:rsidRPr="00A3045E" w:rsidRDefault="006170D4" w:rsidP="00A3045E">
      <w:pPr>
        <w:pStyle w:val="Heading2"/>
        <w:rPr>
          <w:rFonts w:asciiTheme="majorBidi" w:hAnsiTheme="majorBidi"/>
          <w:b/>
          <w:bCs/>
          <w:color w:val="auto"/>
          <w:sz w:val="24"/>
          <w:szCs w:val="24"/>
        </w:rPr>
      </w:pPr>
      <w:r w:rsidRPr="00A3045E">
        <w:rPr>
          <w:rFonts w:asciiTheme="majorBidi" w:hAnsiTheme="majorBidi"/>
          <w:b/>
          <w:bCs/>
          <w:color w:val="auto"/>
          <w:sz w:val="24"/>
          <w:szCs w:val="24"/>
        </w:rPr>
        <w:lastRenderedPageBreak/>
        <w:t>2.5 Leverage (Debt–Equity Ratio) and Share Price</w:t>
      </w:r>
    </w:p>
    <w:p w14:paraId="6286B1AE"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The debt–equity ratio captures a firm’s capital structure and financial risk exposure. While leverage may enhance firm value through tax shields and growth financing, excessive debt increases bankruptcy risk and earnings volatility. Within the clean surplus framework, leverage influences both expected abnormal earnings and the risk-adjusted discount rate applied by investors.</w:t>
      </w:r>
    </w:p>
    <w:p w14:paraId="645B4F7A"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Empirical evidence on leverage and share price is mixed. Positive valuation effects are observed where debt supports productive investment and expansion (</w:t>
      </w:r>
      <w:proofErr w:type="spellStart"/>
      <w:r w:rsidRPr="006170D4">
        <w:rPr>
          <w:rFonts w:ascii="Times New Roman" w:hAnsi="Times New Roman" w:cs="Times New Roman"/>
          <w:sz w:val="24"/>
          <w:szCs w:val="24"/>
        </w:rPr>
        <w:t>Amril</w:t>
      </w:r>
      <w:proofErr w:type="spellEnd"/>
      <w:r w:rsidRPr="006170D4">
        <w:rPr>
          <w:rFonts w:ascii="Times New Roman" w:hAnsi="Times New Roman" w:cs="Times New Roman"/>
          <w:sz w:val="24"/>
          <w:szCs w:val="24"/>
        </w:rPr>
        <w:t xml:space="preserve"> et al., 2024), whereas negative or insignificant effects emerge in high-risk environments (</w:t>
      </w:r>
      <w:proofErr w:type="spellStart"/>
      <w:r w:rsidRPr="006170D4">
        <w:rPr>
          <w:rFonts w:ascii="Times New Roman" w:hAnsi="Times New Roman" w:cs="Times New Roman"/>
          <w:sz w:val="24"/>
          <w:szCs w:val="24"/>
        </w:rPr>
        <w:t>Handayani</w:t>
      </w:r>
      <w:proofErr w:type="spellEnd"/>
      <w:r w:rsidRPr="006170D4">
        <w:rPr>
          <w:rFonts w:ascii="Times New Roman" w:hAnsi="Times New Roman" w:cs="Times New Roman"/>
          <w:sz w:val="24"/>
          <w:szCs w:val="24"/>
        </w:rPr>
        <w:t xml:space="preserve"> &amp; </w:t>
      </w:r>
      <w:proofErr w:type="spellStart"/>
      <w:r w:rsidRPr="006170D4">
        <w:rPr>
          <w:rFonts w:ascii="Times New Roman" w:hAnsi="Times New Roman" w:cs="Times New Roman"/>
          <w:sz w:val="24"/>
          <w:szCs w:val="24"/>
        </w:rPr>
        <w:t>Winingrum</w:t>
      </w:r>
      <w:proofErr w:type="spellEnd"/>
      <w:r w:rsidRPr="006170D4">
        <w:rPr>
          <w:rFonts w:ascii="Times New Roman" w:hAnsi="Times New Roman" w:cs="Times New Roman"/>
          <w:sz w:val="24"/>
          <w:szCs w:val="24"/>
        </w:rPr>
        <w:t xml:space="preserve">, 2023; </w:t>
      </w:r>
      <w:proofErr w:type="spellStart"/>
      <w:r w:rsidRPr="006170D4">
        <w:rPr>
          <w:rFonts w:ascii="Times New Roman" w:hAnsi="Times New Roman" w:cs="Times New Roman"/>
          <w:sz w:val="24"/>
          <w:szCs w:val="24"/>
        </w:rPr>
        <w:t>Idawati</w:t>
      </w:r>
      <w:proofErr w:type="spellEnd"/>
      <w:r w:rsidRPr="006170D4">
        <w:rPr>
          <w:rFonts w:ascii="Times New Roman" w:hAnsi="Times New Roman" w:cs="Times New Roman"/>
          <w:sz w:val="24"/>
          <w:szCs w:val="24"/>
        </w:rPr>
        <w:t xml:space="preserve"> &amp; </w:t>
      </w:r>
      <w:proofErr w:type="spellStart"/>
      <w:r w:rsidRPr="006170D4">
        <w:rPr>
          <w:rFonts w:ascii="Times New Roman" w:hAnsi="Times New Roman" w:cs="Times New Roman"/>
          <w:sz w:val="24"/>
          <w:szCs w:val="24"/>
        </w:rPr>
        <w:t>Paramananda</w:t>
      </w:r>
      <w:proofErr w:type="spellEnd"/>
      <w:r w:rsidRPr="006170D4">
        <w:rPr>
          <w:rFonts w:ascii="Times New Roman" w:hAnsi="Times New Roman" w:cs="Times New Roman"/>
          <w:sz w:val="24"/>
          <w:szCs w:val="24"/>
        </w:rPr>
        <w:t>, 2022). These divergent findings imply that leverage signals are context-dependent and may be interpreted differently across firms.</w:t>
      </w:r>
    </w:p>
    <w:p w14:paraId="1E04F169" w14:textId="0820F33B"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 xml:space="preserve">As depicted in </w:t>
      </w:r>
      <w:r w:rsidR="00426EEB">
        <w:rPr>
          <w:rFonts w:ascii="Times New Roman" w:hAnsi="Times New Roman" w:cs="Times New Roman"/>
          <w:sz w:val="24"/>
          <w:szCs w:val="24"/>
        </w:rPr>
        <w:t>Figure 1</w:t>
      </w:r>
      <w:r w:rsidRPr="006170D4">
        <w:rPr>
          <w:rFonts w:ascii="Times New Roman" w:hAnsi="Times New Roman" w:cs="Times New Roman"/>
          <w:sz w:val="24"/>
          <w:szCs w:val="24"/>
        </w:rPr>
        <w:t>, leverage is modelled as a direct determinant of share price, with firm size potentially moderating its valuation impact.</w:t>
      </w:r>
    </w:p>
    <w:p w14:paraId="35481FD9" w14:textId="1EF7048C" w:rsidR="006170D4" w:rsidRPr="006170D4" w:rsidRDefault="006170D4" w:rsidP="00426EEB">
      <w:pPr>
        <w:spacing w:line="360" w:lineRule="auto"/>
        <w:jc w:val="both"/>
        <w:rPr>
          <w:rFonts w:ascii="Times New Roman" w:hAnsi="Times New Roman" w:cs="Times New Roman"/>
          <w:sz w:val="24"/>
          <w:szCs w:val="24"/>
        </w:rPr>
      </w:pPr>
      <w:r w:rsidRPr="006170D4">
        <w:rPr>
          <w:rFonts w:ascii="Times New Roman" w:hAnsi="Times New Roman" w:cs="Times New Roman"/>
          <w:b/>
          <w:bCs/>
          <w:sz w:val="24"/>
          <w:szCs w:val="24"/>
        </w:rPr>
        <w:t>H3:</w:t>
      </w:r>
      <w:r w:rsidRPr="006170D4">
        <w:rPr>
          <w:rFonts w:ascii="Times New Roman" w:hAnsi="Times New Roman" w:cs="Times New Roman"/>
          <w:sz w:val="24"/>
          <w:szCs w:val="24"/>
        </w:rPr>
        <w:t xml:space="preserve"> Debt–equity ratio has a significant effect on the share prices of listed agriculture and consumer goods firms in Nigeria.</w:t>
      </w:r>
    </w:p>
    <w:p w14:paraId="2AFA89D8" w14:textId="77777777" w:rsidR="006170D4" w:rsidRPr="00A3045E" w:rsidRDefault="006170D4" w:rsidP="00A3045E">
      <w:pPr>
        <w:pStyle w:val="Heading2"/>
        <w:rPr>
          <w:rFonts w:asciiTheme="majorBidi" w:hAnsiTheme="majorBidi"/>
          <w:b/>
          <w:bCs/>
          <w:color w:val="auto"/>
          <w:sz w:val="24"/>
          <w:szCs w:val="24"/>
        </w:rPr>
      </w:pPr>
      <w:r w:rsidRPr="00A3045E">
        <w:rPr>
          <w:rFonts w:asciiTheme="majorBidi" w:hAnsiTheme="majorBidi"/>
          <w:b/>
          <w:bCs/>
          <w:color w:val="auto"/>
          <w:sz w:val="24"/>
          <w:szCs w:val="24"/>
        </w:rPr>
        <w:t>2.6 Operational Efficiency (Total Assets Turnover) and Share Price</w:t>
      </w:r>
    </w:p>
    <w:p w14:paraId="6886FE48"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 xml:space="preserve">Total assets turnover (TAT) measures the efficiency with which firms </w:t>
      </w:r>
      <w:proofErr w:type="spellStart"/>
      <w:r w:rsidRPr="006170D4">
        <w:rPr>
          <w:rFonts w:ascii="Times New Roman" w:hAnsi="Times New Roman" w:cs="Times New Roman"/>
          <w:sz w:val="24"/>
          <w:szCs w:val="24"/>
        </w:rPr>
        <w:t>utilise</w:t>
      </w:r>
      <w:proofErr w:type="spellEnd"/>
      <w:r w:rsidRPr="006170D4">
        <w:rPr>
          <w:rFonts w:ascii="Times New Roman" w:hAnsi="Times New Roman" w:cs="Times New Roman"/>
          <w:sz w:val="24"/>
          <w:szCs w:val="24"/>
        </w:rPr>
        <w:t xml:space="preserve"> assets to generate revenue. Higher asset turnover is generally associated with effective resource </w:t>
      </w:r>
      <w:proofErr w:type="spellStart"/>
      <w:r w:rsidRPr="006170D4">
        <w:rPr>
          <w:rFonts w:ascii="Times New Roman" w:hAnsi="Times New Roman" w:cs="Times New Roman"/>
          <w:sz w:val="24"/>
          <w:szCs w:val="24"/>
        </w:rPr>
        <w:t>utilisation</w:t>
      </w:r>
      <w:proofErr w:type="spellEnd"/>
      <w:r w:rsidRPr="006170D4">
        <w:rPr>
          <w:rFonts w:ascii="Times New Roman" w:hAnsi="Times New Roman" w:cs="Times New Roman"/>
          <w:sz w:val="24"/>
          <w:szCs w:val="24"/>
        </w:rPr>
        <w:t xml:space="preserve"> and operational competence. However, high turnover may also reflect low-margin business models, resulting in ambiguous valuation effects.</w:t>
      </w:r>
    </w:p>
    <w:p w14:paraId="1DD5EFB1"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Empirical studies provide inconsistent evidence on the TAT–share price relationship. Several studies report insignificant or negative effects (Meliza et al., 2024; Rohana, 2023), while others find significant associations in sector-specific contexts (</w:t>
      </w:r>
      <w:proofErr w:type="spellStart"/>
      <w:r w:rsidRPr="006170D4">
        <w:rPr>
          <w:rFonts w:ascii="Times New Roman" w:hAnsi="Times New Roman" w:cs="Times New Roman"/>
          <w:sz w:val="24"/>
          <w:szCs w:val="24"/>
        </w:rPr>
        <w:t>Handayani</w:t>
      </w:r>
      <w:proofErr w:type="spellEnd"/>
      <w:r w:rsidRPr="006170D4">
        <w:rPr>
          <w:rFonts w:ascii="Times New Roman" w:hAnsi="Times New Roman" w:cs="Times New Roman"/>
          <w:sz w:val="24"/>
          <w:szCs w:val="24"/>
        </w:rPr>
        <w:t xml:space="preserve"> &amp; </w:t>
      </w:r>
      <w:proofErr w:type="spellStart"/>
      <w:r w:rsidRPr="006170D4">
        <w:rPr>
          <w:rFonts w:ascii="Times New Roman" w:hAnsi="Times New Roman" w:cs="Times New Roman"/>
          <w:sz w:val="24"/>
          <w:szCs w:val="24"/>
        </w:rPr>
        <w:t>Winingrum</w:t>
      </w:r>
      <w:proofErr w:type="spellEnd"/>
      <w:r w:rsidRPr="006170D4">
        <w:rPr>
          <w:rFonts w:ascii="Times New Roman" w:hAnsi="Times New Roman" w:cs="Times New Roman"/>
          <w:sz w:val="24"/>
          <w:szCs w:val="24"/>
        </w:rPr>
        <w:t>, 2023). These findings suggest that efficiency metrics may play a secondary role in valuation relative to profitability and earnings performance.</w:t>
      </w:r>
    </w:p>
    <w:p w14:paraId="3359237B"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 xml:space="preserve">In line with the conceptual framework, TAT is </w:t>
      </w:r>
      <w:proofErr w:type="spellStart"/>
      <w:r w:rsidRPr="006170D4">
        <w:rPr>
          <w:rFonts w:ascii="Times New Roman" w:hAnsi="Times New Roman" w:cs="Times New Roman"/>
          <w:sz w:val="24"/>
          <w:szCs w:val="24"/>
        </w:rPr>
        <w:t>hypothesised</w:t>
      </w:r>
      <w:proofErr w:type="spellEnd"/>
      <w:r w:rsidRPr="006170D4">
        <w:rPr>
          <w:rFonts w:ascii="Times New Roman" w:hAnsi="Times New Roman" w:cs="Times New Roman"/>
          <w:sz w:val="24"/>
          <w:szCs w:val="24"/>
        </w:rPr>
        <w:t xml:space="preserve"> to exert a direct effect on share price, subject to moderation by firm size.</w:t>
      </w:r>
    </w:p>
    <w:p w14:paraId="55FED4FD" w14:textId="4996C046" w:rsidR="006170D4" w:rsidRPr="006170D4" w:rsidRDefault="006170D4" w:rsidP="00A37468">
      <w:pPr>
        <w:spacing w:line="360" w:lineRule="auto"/>
        <w:jc w:val="both"/>
        <w:rPr>
          <w:rFonts w:ascii="Times New Roman" w:hAnsi="Times New Roman" w:cs="Times New Roman"/>
          <w:sz w:val="24"/>
          <w:szCs w:val="24"/>
        </w:rPr>
      </w:pPr>
      <w:r w:rsidRPr="006170D4">
        <w:rPr>
          <w:rFonts w:ascii="Times New Roman" w:hAnsi="Times New Roman" w:cs="Times New Roman"/>
          <w:b/>
          <w:bCs/>
          <w:sz w:val="24"/>
          <w:szCs w:val="24"/>
        </w:rPr>
        <w:t>H4:</w:t>
      </w:r>
      <w:r w:rsidRPr="006170D4">
        <w:rPr>
          <w:rFonts w:ascii="Times New Roman" w:hAnsi="Times New Roman" w:cs="Times New Roman"/>
          <w:sz w:val="24"/>
          <w:szCs w:val="24"/>
        </w:rPr>
        <w:t xml:space="preserve"> Total assets turnover has a significant effect on the share prices of listed agriculture and consumer goods firms in Nigeria.</w:t>
      </w:r>
    </w:p>
    <w:p w14:paraId="2C3DE0ED" w14:textId="77777777" w:rsidR="006170D4" w:rsidRPr="00A3045E" w:rsidRDefault="006170D4" w:rsidP="00A3045E">
      <w:pPr>
        <w:pStyle w:val="Heading2"/>
        <w:rPr>
          <w:rFonts w:asciiTheme="majorBidi" w:hAnsiTheme="majorBidi"/>
          <w:b/>
          <w:bCs/>
          <w:color w:val="auto"/>
          <w:sz w:val="24"/>
          <w:szCs w:val="24"/>
        </w:rPr>
      </w:pPr>
      <w:r w:rsidRPr="00A3045E">
        <w:rPr>
          <w:rFonts w:asciiTheme="majorBidi" w:hAnsiTheme="majorBidi"/>
          <w:b/>
          <w:bCs/>
          <w:color w:val="auto"/>
          <w:sz w:val="24"/>
          <w:szCs w:val="24"/>
        </w:rPr>
        <w:lastRenderedPageBreak/>
        <w:t>2.7 Earnings per Share and Share Price</w:t>
      </w:r>
    </w:p>
    <w:p w14:paraId="5CEAB6F8"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Earnings per share (EPS) represents the portion of earnings attributable to each outstanding share and constitutes a core input in equity valuation. Under clean surplus theory, EPS directly informs expectations of future abnormal earnings and dividend-paying capacity, making it one of the most influential drivers of share price.</w:t>
      </w:r>
    </w:p>
    <w:p w14:paraId="337A1DE3"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Empirical evidence consistently supports a positive EPS–share price relationship across markets (</w:t>
      </w:r>
      <w:proofErr w:type="spellStart"/>
      <w:r w:rsidRPr="006170D4">
        <w:rPr>
          <w:rFonts w:ascii="Times New Roman" w:hAnsi="Times New Roman" w:cs="Times New Roman"/>
          <w:sz w:val="24"/>
          <w:szCs w:val="24"/>
        </w:rPr>
        <w:t>Moseri</w:t>
      </w:r>
      <w:proofErr w:type="spellEnd"/>
      <w:r w:rsidRPr="006170D4">
        <w:rPr>
          <w:rFonts w:ascii="Times New Roman" w:hAnsi="Times New Roman" w:cs="Times New Roman"/>
          <w:sz w:val="24"/>
          <w:szCs w:val="24"/>
        </w:rPr>
        <w:t xml:space="preserve"> et al., 2024; Ramadhani et al., 2024; Thapa &amp; Paudel, 2024). Nevertheless, the informational content of EPS may vary across firms depending on size, disclosure practices, and market visibility.</w:t>
      </w:r>
    </w:p>
    <w:p w14:paraId="6ED9667A" w14:textId="279F1F7D"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 xml:space="preserve">Consistent with </w:t>
      </w:r>
      <w:r w:rsidR="00426EEB">
        <w:rPr>
          <w:rFonts w:ascii="Times New Roman" w:hAnsi="Times New Roman" w:cs="Times New Roman"/>
          <w:sz w:val="24"/>
          <w:szCs w:val="24"/>
        </w:rPr>
        <w:t>Figure 1</w:t>
      </w:r>
      <w:r w:rsidRPr="006170D4">
        <w:rPr>
          <w:rFonts w:ascii="Times New Roman" w:hAnsi="Times New Roman" w:cs="Times New Roman"/>
          <w:sz w:val="24"/>
          <w:szCs w:val="24"/>
        </w:rPr>
        <w:t>, EPS is expected to exert a strong direct effect on share price, with firm size conditioning the strength of this relationship.</w:t>
      </w:r>
    </w:p>
    <w:p w14:paraId="3BF6B265" w14:textId="58394616" w:rsidR="006170D4" w:rsidRPr="006170D4" w:rsidRDefault="006170D4" w:rsidP="00A37468">
      <w:pPr>
        <w:spacing w:line="360" w:lineRule="auto"/>
        <w:jc w:val="both"/>
        <w:rPr>
          <w:rFonts w:ascii="Times New Roman" w:hAnsi="Times New Roman" w:cs="Times New Roman"/>
          <w:sz w:val="24"/>
          <w:szCs w:val="24"/>
        </w:rPr>
      </w:pPr>
      <w:r w:rsidRPr="006170D4">
        <w:rPr>
          <w:rFonts w:ascii="Times New Roman" w:hAnsi="Times New Roman" w:cs="Times New Roman"/>
          <w:b/>
          <w:bCs/>
          <w:sz w:val="24"/>
          <w:szCs w:val="24"/>
        </w:rPr>
        <w:t>H5:</w:t>
      </w:r>
      <w:r w:rsidRPr="006170D4">
        <w:rPr>
          <w:rFonts w:ascii="Times New Roman" w:hAnsi="Times New Roman" w:cs="Times New Roman"/>
          <w:sz w:val="24"/>
          <w:szCs w:val="24"/>
        </w:rPr>
        <w:t xml:space="preserve"> Earnings per share has a positive and significant effect on the share prices of listed agriculture and consumer goods firms in Nigeria.</w:t>
      </w:r>
    </w:p>
    <w:p w14:paraId="02269DC5" w14:textId="77777777" w:rsidR="006170D4" w:rsidRPr="006E01A4" w:rsidRDefault="006170D4" w:rsidP="006E01A4">
      <w:pPr>
        <w:pStyle w:val="Heading2"/>
        <w:rPr>
          <w:rFonts w:asciiTheme="majorBidi" w:hAnsiTheme="majorBidi"/>
          <w:b/>
          <w:bCs/>
          <w:color w:val="auto"/>
          <w:sz w:val="24"/>
          <w:szCs w:val="24"/>
        </w:rPr>
      </w:pPr>
      <w:r w:rsidRPr="006E01A4">
        <w:rPr>
          <w:rFonts w:asciiTheme="majorBidi" w:hAnsiTheme="majorBidi"/>
          <w:b/>
          <w:bCs/>
          <w:color w:val="auto"/>
          <w:sz w:val="24"/>
          <w:szCs w:val="24"/>
        </w:rPr>
        <w:t>2.8 Moderating Role of Firm Size</w:t>
      </w:r>
    </w:p>
    <w:p w14:paraId="1E7F3036"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Firm size fundamentally shapes how financial information is interpreted and priced by the market. Larger firms typically benefit from lower information asymmetry due to superior disclosure quality, stronger analyst coverage, and enhanced reputational capital. As a result, financial performance signals from large firms may be partially anticipated and already embedded in share prices, reducing their marginal valuation impact. In contrast, similar signals from smaller firms may convey greater informational novelty and elicit stronger market reactions.</w:t>
      </w:r>
    </w:p>
    <w:p w14:paraId="10695074" w14:textId="5B82EC4D"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 xml:space="preserve">As explicitly modelled in </w:t>
      </w:r>
      <w:r w:rsidR="00426EEB">
        <w:rPr>
          <w:rFonts w:ascii="Times New Roman" w:hAnsi="Times New Roman" w:cs="Times New Roman"/>
          <w:sz w:val="24"/>
          <w:szCs w:val="24"/>
        </w:rPr>
        <w:t>Figure 1</w:t>
      </w:r>
      <w:r w:rsidRPr="006170D4">
        <w:rPr>
          <w:rFonts w:ascii="Times New Roman" w:hAnsi="Times New Roman" w:cs="Times New Roman"/>
          <w:sz w:val="24"/>
          <w:szCs w:val="24"/>
        </w:rPr>
        <w:t xml:space="preserve">, firm size moderates the relationship between financial metrics and share price by conditioning the credibility and informational content of accounting signals. Although substantial evidence exists on the direct relationship between firm size and firm value (Ribera &amp; Sanz, 2021; </w:t>
      </w:r>
      <w:proofErr w:type="spellStart"/>
      <w:r w:rsidRPr="006170D4">
        <w:rPr>
          <w:rFonts w:ascii="Times New Roman" w:hAnsi="Times New Roman" w:cs="Times New Roman"/>
          <w:sz w:val="24"/>
          <w:szCs w:val="24"/>
        </w:rPr>
        <w:t>Moseri</w:t>
      </w:r>
      <w:proofErr w:type="spellEnd"/>
      <w:r w:rsidRPr="006170D4">
        <w:rPr>
          <w:rFonts w:ascii="Times New Roman" w:hAnsi="Times New Roman" w:cs="Times New Roman"/>
          <w:sz w:val="24"/>
          <w:szCs w:val="24"/>
        </w:rPr>
        <w:t xml:space="preserve"> et al., 2024), limited empirical attention has been paid to its moderating role, particularly within emerging market agribusiness and consumer goods contexts.</w:t>
      </w:r>
    </w:p>
    <w:p w14:paraId="1D7D5B56" w14:textId="408B099C" w:rsidR="004E48F8" w:rsidRPr="00426EEB" w:rsidRDefault="006170D4" w:rsidP="00426EEB">
      <w:pPr>
        <w:spacing w:line="360" w:lineRule="auto"/>
        <w:jc w:val="both"/>
        <w:rPr>
          <w:rFonts w:ascii="Times New Roman" w:hAnsi="Times New Roman" w:cs="Times New Roman"/>
          <w:sz w:val="24"/>
          <w:szCs w:val="24"/>
        </w:rPr>
      </w:pPr>
      <w:r w:rsidRPr="006170D4">
        <w:rPr>
          <w:rFonts w:ascii="Times New Roman" w:hAnsi="Times New Roman" w:cs="Times New Roman"/>
          <w:b/>
          <w:bCs/>
          <w:sz w:val="24"/>
          <w:szCs w:val="24"/>
        </w:rPr>
        <w:t>H6:</w:t>
      </w:r>
      <w:r w:rsidRPr="006170D4">
        <w:rPr>
          <w:rFonts w:ascii="Times New Roman" w:hAnsi="Times New Roman" w:cs="Times New Roman"/>
          <w:sz w:val="24"/>
          <w:szCs w:val="24"/>
        </w:rPr>
        <w:t xml:space="preserve"> Firm size significantly moderates the relationship between financial metrics and the share prices of listed agriculture and consumer goods firms in Nigeria.</w:t>
      </w:r>
    </w:p>
    <w:p w14:paraId="5107119B" w14:textId="2909B64D" w:rsidR="0021345D" w:rsidRPr="00463231" w:rsidRDefault="0021345D" w:rsidP="00463231">
      <w:pPr>
        <w:pStyle w:val="Heading1"/>
        <w:rPr>
          <w:rFonts w:asciiTheme="majorBidi" w:hAnsiTheme="majorBidi"/>
          <w:b/>
          <w:bCs/>
          <w:color w:val="auto"/>
          <w:sz w:val="24"/>
          <w:szCs w:val="24"/>
        </w:rPr>
      </w:pPr>
      <w:r w:rsidRPr="00463231">
        <w:rPr>
          <w:rFonts w:asciiTheme="majorBidi" w:hAnsiTheme="majorBidi"/>
          <w:b/>
          <w:bCs/>
          <w:color w:val="auto"/>
          <w:sz w:val="24"/>
          <w:szCs w:val="24"/>
        </w:rPr>
        <w:t>3.</w:t>
      </w:r>
      <w:r w:rsidR="00D433ED" w:rsidRPr="00463231">
        <w:rPr>
          <w:rFonts w:asciiTheme="majorBidi" w:hAnsiTheme="majorBidi"/>
          <w:b/>
          <w:bCs/>
          <w:color w:val="auto"/>
          <w:sz w:val="24"/>
          <w:szCs w:val="24"/>
        </w:rPr>
        <w:t>0</w:t>
      </w:r>
      <w:r w:rsidRPr="00463231">
        <w:rPr>
          <w:rFonts w:asciiTheme="majorBidi" w:hAnsiTheme="majorBidi"/>
          <w:b/>
          <w:bCs/>
          <w:color w:val="auto"/>
          <w:sz w:val="24"/>
          <w:szCs w:val="24"/>
        </w:rPr>
        <w:tab/>
      </w:r>
      <w:r w:rsidR="00F23E6A" w:rsidRPr="00463231">
        <w:rPr>
          <w:rFonts w:asciiTheme="majorBidi" w:hAnsiTheme="majorBidi"/>
          <w:b/>
          <w:bCs/>
          <w:color w:val="auto"/>
          <w:sz w:val="24"/>
          <w:szCs w:val="24"/>
        </w:rPr>
        <w:t>Methods</w:t>
      </w:r>
    </w:p>
    <w:p w14:paraId="2CE50046" w14:textId="77777777" w:rsidR="00DE5ABA" w:rsidRPr="00DE5ABA" w:rsidRDefault="00DE5ABA" w:rsidP="00DE5ABA">
      <w:pPr>
        <w:spacing w:line="360" w:lineRule="auto"/>
        <w:jc w:val="both"/>
        <w:rPr>
          <w:rFonts w:ascii="Times New Roman" w:hAnsi="Times New Roman" w:cs="Times New Roman"/>
          <w:sz w:val="24"/>
          <w:szCs w:val="24"/>
        </w:rPr>
      </w:pPr>
      <w:r w:rsidRPr="00DE5ABA">
        <w:rPr>
          <w:rFonts w:ascii="Times New Roman" w:hAnsi="Times New Roman" w:cs="Times New Roman"/>
          <w:sz w:val="24"/>
          <w:szCs w:val="24"/>
        </w:rPr>
        <w:t xml:space="preserve">This study adopts an ex post facto research design, which is appropriate for </w:t>
      </w:r>
      <w:proofErr w:type="spellStart"/>
      <w:r w:rsidRPr="00DE5ABA">
        <w:rPr>
          <w:rFonts w:ascii="Times New Roman" w:hAnsi="Times New Roman" w:cs="Times New Roman"/>
          <w:sz w:val="24"/>
          <w:szCs w:val="24"/>
        </w:rPr>
        <w:t>analysing</w:t>
      </w:r>
      <w:proofErr w:type="spellEnd"/>
      <w:r w:rsidRPr="00DE5ABA">
        <w:rPr>
          <w:rFonts w:ascii="Times New Roman" w:hAnsi="Times New Roman" w:cs="Times New Roman"/>
          <w:sz w:val="24"/>
          <w:szCs w:val="24"/>
        </w:rPr>
        <w:t xml:space="preserve"> historical firm-level financial data where the researcher has no control over the explanatory variables. The </w:t>
      </w:r>
      <w:r w:rsidRPr="00DE5ABA">
        <w:rPr>
          <w:rFonts w:ascii="Times New Roman" w:hAnsi="Times New Roman" w:cs="Times New Roman"/>
          <w:sz w:val="24"/>
          <w:szCs w:val="24"/>
        </w:rPr>
        <w:lastRenderedPageBreak/>
        <w:t xml:space="preserve">design enables the examination of empirical relationships between financial performance metrics and share prices using archival data and is consistent with established practice in capital market and valuation studies. By relying on observed outcomes rather than experimental manipulation, the approach reflects actual market </w:t>
      </w:r>
      <w:proofErr w:type="spellStart"/>
      <w:r w:rsidRPr="00DE5ABA">
        <w:rPr>
          <w:rFonts w:ascii="Times New Roman" w:hAnsi="Times New Roman" w:cs="Times New Roman"/>
          <w:sz w:val="24"/>
          <w:szCs w:val="24"/>
        </w:rPr>
        <w:t>behaviour</w:t>
      </w:r>
      <w:proofErr w:type="spellEnd"/>
      <w:r w:rsidRPr="00DE5ABA">
        <w:rPr>
          <w:rFonts w:ascii="Times New Roman" w:hAnsi="Times New Roman" w:cs="Times New Roman"/>
          <w:sz w:val="24"/>
          <w:szCs w:val="24"/>
        </w:rPr>
        <w:t xml:space="preserve"> and enhances external validity.</w:t>
      </w:r>
    </w:p>
    <w:p w14:paraId="68483DDE" w14:textId="77777777" w:rsidR="00DE5ABA" w:rsidRPr="00DE5ABA" w:rsidRDefault="00DE5ABA" w:rsidP="00DE5ABA">
      <w:pPr>
        <w:spacing w:line="360" w:lineRule="auto"/>
        <w:jc w:val="both"/>
        <w:rPr>
          <w:rFonts w:ascii="Times New Roman" w:hAnsi="Times New Roman" w:cs="Times New Roman"/>
          <w:sz w:val="24"/>
          <w:szCs w:val="24"/>
        </w:rPr>
      </w:pPr>
      <w:r w:rsidRPr="00DE5ABA">
        <w:rPr>
          <w:rFonts w:ascii="Times New Roman" w:hAnsi="Times New Roman" w:cs="Times New Roman"/>
          <w:sz w:val="24"/>
          <w:szCs w:val="24"/>
        </w:rPr>
        <w:t xml:space="preserve">The population of the study consists of all listed agriculture and consumer goods firms on the Nigerian Exchange (NGX) during the study period. At the start of the study, this population comprised five agriculture firms and twenty-one consumer goods firms. From this population, a final sample of twenty firms was selected using a purposive sampling technique, based on the availability of complete financial data and continuous listing status throughout the study window. Firms with substantial data gaps or those listed after the commencement of the study period were excluded to ensure consistency in longitudinal analysis and to </w:t>
      </w:r>
      <w:proofErr w:type="spellStart"/>
      <w:r w:rsidRPr="00DE5ABA">
        <w:rPr>
          <w:rFonts w:ascii="Times New Roman" w:hAnsi="Times New Roman" w:cs="Times New Roman"/>
          <w:sz w:val="24"/>
          <w:szCs w:val="24"/>
        </w:rPr>
        <w:t>minimise</w:t>
      </w:r>
      <w:proofErr w:type="spellEnd"/>
      <w:r w:rsidRPr="00DE5ABA">
        <w:rPr>
          <w:rFonts w:ascii="Times New Roman" w:hAnsi="Times New Roman" w:cs="Times New Roman"/>
          <w:sz w:val="24"/>
          <w:szCs w:val="24"/>
        </w:rPr>
        <w:t xml:space="preserve"> estimation bias arising from unbalanced observations.</w:t>
      </w:r>
    </w:p>
    <w:p w14:paraId="367A4F95" w14:textId="77777777" w:rsidR="00DE5ABA" w:rsidRPr="00DE5ABA" w:rsidRDefault="00DE5ABA" w:rsidP="00DE5ABA">
      <w:pPr>
        <w:spacing w:line="360" w:lineRule="auto"/>
        <w:jc w:val="both"/>
        <w:rPr>
          <w:rFonts w:ascii="Times New Roman" w:hAnsi="Times New Roman" w:cs="Times New Roman"/>
          <w:sz w:val="24"/>
          <w:szCs w:val="24"/>
        </w:rPr>
      </w:pPr>
      <w:r w:rsidRPr="00DE5ABA">
        <w:rPr>
          <w:rFonts w:ascii="Times New Roman" w:hAnsi="Times New Roman" w:cs="Times New Roman"/>
          <w:sz w:val="24"/>
          <w:szCs w:val="24"/>
        </w:rPr>
        <w:t>Secondary data were extracted from audited annual financial statements of the sampled firms over a twelve-year period from 2012 to 2023, yielding a firm-year panel dataset. Annual closing share prices were obtained from the Nigerian Exchange (NGX) to ensure market-consistent valuation measures. To account for macroeconomic conditions that may influence equity prices beyond firm-specific fundamentals, inflation data were sourced from the National Bureau of Statistics (NBS), while interest rate and exchange rate data were obtained from the Central Bank of Nigeria (CBN). These macroeconomic variables are included as control variables to mitigate omitted variable bias and isolate firm-level valuation effects. All statistical analyses were conducted using STATA version 17.</w:t>
      </w:r>
    </w:p>
    <w:p w14:paraId="0D4BCA1E" w14:textId="28C411A1" w:rsidR="00DE5ABA" w:rsidRPr="00DE5ABA" w:rsidRDefault="00DE5ABA" w:rsidP="00DE5ABA">
      <w:pPr>
        <w:spacing w:line="360" w:lineRule="auto"/>
        <w:jc w:val="both"/>
        <w:rPr>
          <w:rFonts w:ascii="Times New Roman" w:hAnsi="Times New Roman" w:cs="Times New Roman"/>
          <w:sz w:val="24"/>
          <w:szCs w:val="24"/>
        </w:rPr>
      </w:pPr>
      <w:r w:rsidRPr="00DE5ABA">
        <w:rPr>
          <w:rFonts w:ascii="Times New Roman" w:hAnsi="Times New Roman" w:cs="Times New Roman"/>
          <w:sz w:val="24"/>
          <w:szCs w:val="24"/>
        </w:rPr>
        <w:t xml:space="preserve">The variables employed in the study were </w:t>
      </w:r>
      <w:proofErr w:type="spellStart"/>
      <w:r w:rsidRPr="00DE5ABA">
        <w:rPr>
          <w:rFonts w:ascii="Times New Roman" w:hAnsi="Times New Roman" w:cs="Times New Roman"/>
          <w:sz w:val="24"/>
          <w:szCs w:val="24"/>
        </w:rPr>
        <w:t>operationalised</w:t>
      </w:r>
      <w:proofErr w:type="spellEnd"/>
      <w:r w:rsidRPr="00DE5ABA">
        <w:rPr>
          <w:rFonts w:ascii="Times New Roman" w:hAnsi="Times New Roman" w:cs="Times New Roman"/>
          <w:sz w:val="24"/>
          <w:szCs w:val="24"/>
        </w:rPr>
        <w:t xml:space="preserve"> following established practice in the corporate finance and capital markets literature. Share price serves as the dependent variable, while profitability, liquidity, leverage, operational efficiency, and earnings performance constitute the core explanatory variables. Firm size is incorporated as a moderating variable to capture heterogeneity in information environments and valuation dynamics. The measurement of each variable is presented in </w:t>
      </w:r>
      <w:r w:rsidR="00687812" w:rsidRPr="00687812">
        <w:rPr>
          <w:rFonts w:ascii="Times New Roman" w:hAnsi="Times New Roman" w:cs="Times New Roman"/>
          <w:b/>
          <w:bCs/>
          <w:sz w:val="24"/>
          <w:szCs w:val="24"/>
        </w:rPr>
        <w:t>Table</w:t>
      </w:r>
      <w:r w:rsidR="007161A3" w:rsidRPr="00687812">
        <w:rPr>
          <w:rFonts w:ascii="Times New Roman" w:hAnsi="Times New Roman" w:cs="Times New Roman"/>
          <w:b/>
          <w:bCs/>
          <w:sz w:val="24"/>
          <w:szCs w:val="24"/>
        </w:rPr>
        <w:t xml:space="preserve"> </w:t>
      </w:r>
      <w:r w:rsidR="001B4BDC">
        <w:rPr>
          <w:rFonts w:ascii="Times New Roman" w:hAnsi="Times New Roman" w:cs="Times New Roman"/>
          <w:b/>
          <w:bCs/>
          <w:sz w:val="24"/>
          <w:szCs w:val="24"/>
        </w:rPr>
        <w:t>1</w:t>
      </w:r>
      <w:r w:rsidRPr="00DE5ABA">
        <w:rPr>
          <w:rFonts w:ascii="Times New Roman" w:hAnsi="Times New Roman" w:cs="Times New Roman"/>
          <w:sz w:val="24"/>
          <w:szCs w:val="24"/>
        </w:rPr>
        <w:t>.</w:t>
      </w:r>
    </w:p>
    <w:p w14:paraId="2F95A336" w14:textId="4AC57B58" w:rsidR="00DE5ABA" w:rsidRPr="00DE5ABA" w:rsidRDefault="00E34DE2" w:rsidP="00DE5AB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Table</w:t>
      </w:r>
      <w:r w:rsidR="007161A3">
        <w:rPr>
          <w:rFonts w:ascii="Times New Roman" w:hAnsi="Times New Roman" w:cs="Times New Roman"/>
          <w:b/>
          <w:bCs/>
          <w:sz w:val="24"/>
          <w:szCs w:val="24"/>
        </w:rPr>
        <w:t xml:space="preserve"> </w:t>
      </w:r>
      <w:r>
        <w:rPr>
          <w:rFonts w:ascii="Times New Roman" w:hAnsi="Times New Roman" w:cs="Times New Roman"/>
          <w:b/>
          <w:bCs/>
          <w:sz w:val="24"/>
          <w:szCs w:val="24"/>
        </w:rPr>
        <w:t>1</w:t>
      </w:r>
      <w:r w:rsidR="00DE5ABA" w:rsidRPr="00DE5ABA">
        <w:rPr>
          <w:rFonts w:ascii="Times New Roman" w:hAnsi="Times New Roman" w:cs="Times New Roman"/>
          <w:b/>
          <w:bCs/>
          <w:sz w:val="24"/>
          <w:szCs w:val="24"/>
        </w:rPr>
        <w:t>: Variables and Measurement</w:t>
      </w:r>
    </w:p>
    <w:tbl>
      <w:tblPr>
        <w:tblStyle w:val="TableGrid"/>
        <w:tblW w:w="0" w:type="auto"/>
        <w:tblLook w:val="04A0" w:firstRow="1" w:lastRow="0" w:firstColumn="1" w:lastColumn="0" w:noHBand="0" w:noVBand="1"/>
      </w:tblPr>
      <w:tblGrid>
        <w:gridCol w:w="1858"/>
        <w:gridCol w:w="1514"/>
        <w:gridCol w:w="2835"/>
        <w:gridCol w:w="3143"/>
      </w:tblGrid>
      <w:tr w:rsidR="00DE5ABA" w:rsidRPr="00DE5ABA" w14:paraId="7C2A512B" w14:textId="77777777" w:rsidTr="0097499C">
        <w:tc>
          <w:tcPr>
            <w:tcW w:w="0" w:type="auto"/>
            <w:hideMark/>
          </w:tcPr>
          <w:p w14:paraId="1AA31EF1" w14:textId="77777777" w:rsidR="00DE5ABA" w:rsidRPr="00DE5ABA" w:rsidRDefault="00DE5ABA" w:rsidP="00DE5ABA">
            <w:pPr>
              <w:spacing w:after="160" w:line="360" w:lineRule="auto"/>
              <w:jc w:val="both"/>
              <w:rPr>
                <w:rFonts w:ascii="Times New Roman" w:hAnsi="Times New Roman" w:cs="Times New Roman"/>
                <w:b/>
                <w:bCs/>
                <w:sz w:val="24"/>
                <w:szCs w:val="24"/>
              </w:rPr>
            </w:pPr>
            <w:r w:rsidRPr="00DE5ABA">
              <w:rPr>
                <w:rFonts w:ascii="Times New Roman" w:hAnsi="Times New Roman" w:cs="Times New Roman"/>
                <w:b/>
                <w:bCs/>
                <w:sz w:val="24"/>
                <w:szCs w:val="24"/>
              </w:rPr>
              <w:t>Variable</w:t>
            </w:r>
          </w:p>
        </w:tc>
        <w:tc>
          <w:tcPr>
            <w:tcW w:w="0" w:type="auto"/>
            <w:hideMark/>
          </w:tcPr>
          <w:p w14:paraId="7EE6D299" w14:textId="77777777" w:rsidR="00DE5ABA" w:rsidRPr="00DE5ABA" w:rsidRDefault="00DE5ABA" w:rsidP="00DE5ABA">
            <w:pPr>
              <w:spacing w:after="160" w:line="360" w:lineRule="auto"/>
              <w:jc w:val="both"/>
              <w:rPr>
                <w:rFonts w:ascii="Times New Roman" w:hAnsi="Times New Roman" w:cs="Times New Roman"/>
                <w:b/>
                <w:bCs/>
                <w:sz w:val="24"/>
                <w:szCs w:val="24"/>
              </w:rPr>
            </w:pPr>
            <w:r w:rsidRPr="00DE5ABA">
              <w:rPr>
                <w:rFonts w:ascii="Times New Roman" w:hAnsi="Times New Roman" w:cs="Times New Roman"/>
                <w:b/>
                <w:bCs/>
                <w:sz w:val="24"/>
                <w:szCs w:val="24"/>
              </w:rPr>
              <w:t>Variable Type</w:t>
            </w:r>
          </w:p>
        </w:tc>
        <w:tc>
          <w:tcPr>
            <w:tcW w:w="0" w:type="auto"/>
            <w:hideMark/>
          </w:tcPr>
          <w:p w14:paraId="782A299F" w14:textId="77777777" w:rsidR="00DE5ABA" w:rsidRPr="00DE5ABA" w:rsidRDefault="00DE5ABA" w:rsidP="00DE5ABA">
            <w:pPr>
              <w:spacing w:after="160" w:line="360" w:lineRule="auto"/>
              <w:jc w:val="both"/>
              <w:rPr>
                <w:rFonts w:ascii="Times New Roman" w:hAnsi="Times New Roman" w:cs="Times New Roman"/>
                <w:b/>
                <w:bCs/>
                <w:sz w:val="24"/>
                <w:szCs w:val="24"/>
              </w:rPr>
            </w:pPr>
            <w:r w:rsidRPr="00DE5ABA">
              <w:rPr>
                <w:rFonts w:ascii="Times New Roman" w:hAnsi="Times New Roman" w:cs="Times New Roman"/>
                <w:b/>
                <w:bCs/>
                <w:sz w:val="24"/>
                <w:szCs w:val="24"/>
              </w:rPr>
              <w:t>Measurement</w:t>
            </w:r>
          </w:p>
        </w:tc>
        <w:tc>
          <w:tcPr>
            <w:tcW w:w="0" w:type="auto"/>
            <w:hideMark/>
          </w:tcPr>
          <w:p w14:paraId="048BA44A" w14:textId="77777777" w:rsidR="00DE5ABA" w:rsidRPr="00DE5ABA" w:rsidRDefault="00DE5ABA" w:rsidP="00DE5ABA">
            <w:pPr>
              <w:spacing w:after="160" w:line="360" w:lineRule="auto"/>
              <w:jc w:val="both"/>
              <w:rPr>
                <w:rFonts w:ascii="Times New Roman" w:hAnsi="Times New Roman" w:cs="Times New Roman"/>
                <w:b/>
                <w:bCs/>
                <w:sz w:val="24"/>
                <w:szCs w:val="24"/>
              </w:rPr>
            </w:pPr>
            <w:r w:rsidRPr="00DE5ABA">
              <w:rPr>
                <w:rFonts w:ascii="Times New Roman" w:hAnsi="Times New Roman" w:cs="Times New Roman"/>
                <w:b/>
                <w:bCs/>
                <w:sz w:val="24"/>
                <w:szCs w:val="24"/>
              </w:rPr>
              <w:t>Supporting Literature</w:t>
            </w:r>
          </w:p>
        </w:tc>
      </w:tr>
      <w:tr w:rsidR="00DE5ABA" w:rsidRPr="00DE5ABA" w14:paraId="1AFCCAD0" w14:textId="77777777" w:rsidTr="0097499C">
        <w:tc>
          <w:tcPr>
            <w:tcW w:w="0" w:type="auto"/>
            <w:hideMark/>
          </w:tcPr>
          <w:p w14:paraId="7E78D7DA"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lastRenderedPageBreak/>
              <w:t>Share Price (SHP)</w:t>
            </w:r>
          </w:p>
        </w:tc>
        <w:tc>
          <w:tcPr>
            <w:tcW w:w="0" w:type="auto"/>
            <w:hideMark/>
          </w:tcPr>
          <w:p w14:paraId="7CFDC27F"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Dependent</w:t>
            </w:r>
          </w:p>
        </w:tc>
        <w:tc>
          <w:tcPr>
            <w:tcW w:w="0" w:type="auto"/>
            <w:hideMark/>
          </w:tcPr>
          <w:p w14:paraId="2E1B8F87"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Annual closing share price</w:t>
            </w:r>
          </w:p>
        </w:tc>
        <w:tc>
          <w:tcPr>
            <w:tcW w:w="0" w:type="auto"/>
            <w:hideMark/>
          </w:tcPr>
          <w:p w14:paraId="725DFE97" w14:textId="77777777" w:rsidR="00DE5ABA" w:rsidRPr="00DE5ABA" w:rsidRDefault="00DE5ABA" w:rsidP="00DE5ABA">
            <w:pPr>
              <w:spacing w:after="160" w:line="360" w:lineRule="auto"/>
              <w:jc w:val="both"/>
              <w:rPr>
                <w:rFonts w:ascii="Times New Roman" w:hAnsi="Times New Roman" w:cs="Times New Roman"/>
                <w:sz w:val="24"/>
                <w:szCs w:val="24"/>
              </w:rPr>
            </w:pPr>
            <w:proofErr w:type="spellStart"/>
            <w:r w:rsidRPr="00DE5ABA">
              <w:rPr>
                <w:rFonts w:ascii="Times New Roman" w:hAnsi="Times New Roman" w:cs="Times New Roman"/>
                <w:sz w:val="24"/>
                <w:szCs w:val="24"/>
              </w:rPr>
              <w:t>Salouhi</w:t>
            </w:r>
            <w:proofErr w:type="spellEnd"/>
            <w:r w:rsidRPr="00DE5ABA">
              <w:rPr>
                <w:rFonts w:ascii="Times New Roman" w:hAnsi="Times New Roman" w:cs="Times New Roman"/>
                <w:sz w:val="24"/>
                <w:szCs w:val="24"/>
              </w:rPr>
              <w:t xml:space="preserve"> &amp; Al-Bakri (2022); Akbar (2023)</w:t>
            </w:r>
          </w:p>
        </w:tc>
      </w:tr>
      <w:tr w:rsidR="00DE5ABA" w:rsidRPr="00DE5ABA" w14:paraId="3994DCAF" w14:textId="77777777" w:rsidTr="0097499C">
        <w:tc>
          <w:tcPr>
            <w:tcW w:w="0" w:type="auto"/>
            <w:hideMark/>
          </w:tcPr>
          <w:p w14:paraId="6EFD4D06"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Return on Equity (ROE)</w:t>
            </w:r>
          </w:p>
        </w:tc>
        <w:tc>
          <w:tcPr>
            <w:tcW w:w="0" w:type="auto"/>
            <w:hideMark/>
          </w:tcPr>
          <w:p w14:paraId="0680D99E"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Independent</w:t>
            </w:r>
          </w:p>
        </w:tc>
        <w:tc>
          <w:tcPr>
            <w:tcW w:w="0" w:type="auto"/>
            <w:hideMark/>
          </w:tcPr>
          <w:p w14:paraId="18292E62"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Profit after tax ÷ Total equity</w:t>
            </w:r>
          </w:p>
        </w:tc>
        <w:tc>
          <w:tcPr>
            <w:tcW w:w="0" w:type="auto"/>
            <w:hideMark/>
          </w:tcPr>
          <w:p w14:paraId="7EE530FA" w14:textId="77777777" w:rsidR="00DE5ABA" w:rsidRPr="00DE5ABA" w:rsidRDefault="00DE5ABA" w:rsidP="00DE5ABA">
            <w:pPr>
              <w:spacing w:after="160" w:line="360" w:lineRule="auto"/>
              <w:jc w:val="both"/>
              <w:rPr>
                <w:rFonts w:ascii="Times New Roman" w:hAnsi="Times New Roman" w:cs="Times New Roman"/>
                <w:sz w:val="24"/>
                <w:szCs w:val="24"/>
              </w:rPr>
            </w:pPr>
            <w:proofErr w:type="spellStart"/>
            <w:r w:rsidRPr="00AE4586">
              <w:rPr>
                <w:rFonts w:ascii="Times New Roman" w:hAnsi="Times New Roman" w:cs="Times New Roman"/>
                <w:sz w:val="24"/>
                <w:szCs w:val="24"/>
                <w:lang w:val="fr-FR"/>
              </w:rPr>
              <w:t>Oktoriza</w:t>
            </w:r>
            <w:proofErr w:type="spellEnd"/>
            <w:r w:rsidRPr="00AE4586">
              <w:rPr>
                <w:rFonts w:ascii="Times New Roman" w:hAnsi="Times New Roman" w:cs="Times New Roman"/>
                <w:sz w:val="24"/>
                <w:szCs w:val="24"/>
                <w:lang w:val="fr-FR"/>
              </w:rPr>
              <w:t xml:space="preserve"> et al. (2023</w:t>
            </w:r>
            <w:proofErr w:type="gramStart"/>
            <w:r w:rsidRPr="00AE4586">
              <w:rPr>
                <w:rFonts w:ascii="Times New Roman" w:hAnsi="Times New Roman" w:cs="Times New Roman"/>
                <w:sz w:val="24"/>
                <w:szCs w:val="24"/>
                <w:lang w:val="fr-FR"/>
              </w:rPr>
              <w:t>);</w:t>
            </w:r>
            <w:proofErr w:type="gramEnd"/>
            <w:r w:rsidRPr="00AE4586">
              <w:rPr>
                <w:rFonts w:ascii="Times New Roman" w:hAnsi="Times New Roman" w:cs="Times New Roman"/>
                <w:sz w:val="24"/>
                <w:szCs w:val="24"/>
                <w:lang w:val="fr-FR"/>
              </w:rPr>
              <w:t xml:space="preserve"> </w:t>
            </w:r>
            <w:proofErr w:type="spellStart"/>
            <w:r w:rsidRPr="00AE4586">
              <w:rPr>
                <w:rFonts w:ascii="Times New Roman" w:hAnsi="Times New Roman" w:cs="Times New Roman"/>
                <w:sz w:val="24"/>
                <w:szCs w:val="24"/>
                <w:lang w:val="fr-FR"/>
              </w:rPr>
              <w:t>Nugraha</w:t>
            </w:r>
            <w:proofErr w:type="spellEnd"/>
            <w:r w:rsidRPr="00AE4586">
              <w:rPr>
                <w:rFonts w:ascii="Times New Roman" w:hAnsi="Times New Roman" w:cs="Times New Roman"/>
                <w:sz w:val="24"/>
                <w:szCs w:val="24"/>
                <w:lang w:val="fr-FR"/>
              </w:rPr>
              <w:t xml:space="preserve"> et al. </w:t>
            </w:r>
            <w:r w:rsidRPr="00DE5ABA">
              <w:rPr>
                <w:rFonts w:ascii="Times New Roman" w:hAnsi="Times New Roman" w:cs="Times New Roman"/>
                <w:sz w:val="24"/>
                <w:szCs w:val="24"/>
              </w:rPr>
              <w:t>(2024); Subedi (2024)</w:t>
            </w:r>
          </w:p>
        </w:tc>
      </w:tr>
      <w:tr w:rsidR="00DE5ABA" w:rsidRPr="00DE5ABA" w14:paraId="117303D8" w14:textId="77777777" w:rsidTr="0097499C">
        <w:tc>
          <w:tcPr>
            <w:tcW w:w="0" w:type="auto"/>
            <w:hideMark/>
          </w:tcPr>
          <w:p w14:paraId="1EE2F4C7"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Current Ratio (CUR)</w:t>
            </w:r>
          </w:p>
        </w:tc>
        <w:tc>
          <w:tcPr>
            <w:tcW w:w="0" w:type="auto"/>
            <w:hideMark/>
          </w:tcPr>
          <w:p w14:paraId="03D5298C"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Independent</w:t>
            </w:r>
          </w:p>
        </w:tc>
        <w:tc>
          <w:tcPr>
            <w:tcW w:w="0" w:type="auto"/>
            <w:hideMark/>
          </w:tcPr>
          <w:p w14:paraId="23A79CA1"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Current assets ÷ Current liabilities</w:t>
            </w:r>
          </w:p>
        </w:tc>
        <w:tc>
          <w:tcPr>
            <w:tcW w:w="0" w:type="auto"/>
            <w:hideMark/>
          </w:tcPr>
          <w:p w14:paraId="70308BE0" w14:textId="77777777" w:rsidR="00DE5ABA" w:rsidRPr="00DE5ABA" w:rsidRDefault="00DE5ABA" w:rsidP="00DE5ABA">
            <w:pPr>
              <w:spacing w:after="160" w:line="360" w:lineRule="auto"/>
              <w:jc w:val="both"/>
              <w:rPr>
                <w:rFonts w:ascii="Times New Roman" w:hAnsi="Times New Roman" w:cs="Times New Roman"/>
                <w:sz w:val="24"/>
                <w:szCs w:val="24"/>
              </w:rPr>
            </w:pPr>
            <w:proofErr w:type="spellStart"/>
            <w:r w:rsidRPr="00DE5ABA">
              <w:rPr>
                <w:rFonts w:ascii="Times New Roman" w:hAnsi="Times New Roman" w:cs="Times New Roman"/>
                <w:sz w:val="24"/>
                <w:szCs w:val="24"/>
              </w:rPr>
              <w:t>Salouhi</w:t>
            </w:r>
            <w:proofErr w:type="spellEnd"/>
            <w:r w:rsidRPr="00DE5ABA">
              <w:rPr>
                <w:rFonts w:ascii="Times New Roman" w:hAnsi="Times New Roman" w:cs="Times New Roman"/>
                <w:sz w:val="24"/>
                <w:szCs w:val="24"/>
              </w:rPr>
              <w:t xml:space="preserve"> &amp; Al-Bakri (2022)</w:t>
            </w:r>
          </w:p>
        </w:tc>
      </w:tr>
      <w:tr w:rsidR="00DE5ABA" w:rsidRPr="00DE5ABA" w14:paraId="505F674B" w14:textId="77777777" w:rsidTr="0097499C">
        <w:tc>
          <w:tcPr>
            <w:tcW w:w="0" w:type="auto"/>
            <w:hideMark/>
          </w:tcPr>
          <w:p w14:paraId="04672580"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Debt–Equity Ratio (DER)</w:t>
            </w:r>
          </w:p>
        </w:tc>
        <w:tc>
          <w:tcPr>
            <w:tcW w:w="0" w:type="auto"/>
            <w:hideMark/>
          </w:tcPr>
          <w:p w14:paraId="0416638A"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Independent</w:t>
            </w:r>
          </w:p>
        </w:tc>
        <w:tc>
          <w:tcPr>
            <w:tcW w:w="0" w:type="auto"/>
            <w:hideMark/>
          </w:tcPr>
          <w:p w14:paraId="69F555E9"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Total liabilities ÷ Total equity</w:t>
            </w:r>
          </w:p>
        </w:tc>
        <w:tc>
          <w:tcPr>
            <w:tcW w:w="0" w:type="auto"/>
            <w:hideMark/>
          </w:tcPr>
          <w:p w14:paraId="03EDAF01" w14:textId="77777777" w:rsidR="00DE5ABA" w:rsidRPr="00DE5ABA" w:rsidRDefault="00DE5ABA" w:rsidP="00DE5ABA">
            <w:pPr>
              <w:spacing w:after="160" w:line="360" w:lineRule="auto"/>
              <w:jc w:val="both"/>
              <w:rPr>
                <w:rFonts w:ascii="Times New Roman" w:hAnsi="Times New Roman" w:cs="Times New Roman"/>
                <w:sz w:val="24"/>
                <w:szCs w:val="24"/>
              </w:rPr>
            </w:pPr>
            <w:proofErr w:type="spellStart"/>
            <w:r w:rsidRPr="00AE4586">
              <w:rPr>
                <w:rFonts w:ascii="Times New Roman" w:hAnsi="Times New Roman" w:cs="Times New Roman"/>
                <w:sz w:val="24"/>
                <w:szCs w:val="24"/>
                <w:lang w:val="fr-FR"/>
              </w:rPr>
              <w:t>Nugraha</w:t>
            </w:r>
            <w:proofErr w:type="spellEnd"/>
            <w:r w:rsidRPr="00AE4586">
              <w:rPr>
                <w:rFonts w:ascii="Times New Roman" w:hAnsi="Times New Roman" w:cs="Times New Roman"/>
                <w:sz w:val="24"/>
                <w:szCs w:val="24"/>
                <w:lang w:val="fr-FR"/>
              </w:rPr>
              <w:t xml:space="preserve"> et al. (2024</w:t>
            </w:r>
            <w:proofErr w:type="gramStart"/>
            <w:r w:rsidRPr="00AE4586">
              <w:rPr>
                <w:rFonts w:ascii="Times New Roman" w:hAnsi="Times New Roman" w:cs="Times New Roman"/>
                <w:sz w:val="24"/>
                <w:szCs w:val="24"/>
                <w:lang w:val="fr-FR"/>
              </w:rPr>
              <w:t>);</w:t>
            </w:r>
            <w:proofErr w:type="gramEnd"/>
            <w:r w:rsidRPr="00AE4586">
              <w:rPr>
                <w:rFonts w:ascii="Times New Roman" w:hAnsi="Times New Roman" w:cs="Times New Roman"/>
                <w:sz w:val="24"/>
                <w:szCs w:val="24"/>
                <w:lang w:val="fr-FR"/>
              </w:rPr>
              <w:t xml:space="preserve"> </w:t>
            </w:r>
            <w:proofErr w:type="spellStart"/>
            <w:r w:rsidRPr="00AE4586">
              <w:rPr>
                <w:rFonts w:ascii="Times New Roman" w:hAnsi="Times New Roman" w:cs="Times New Roman"/>
                <w:sz w:val="24"/>
                <w:szCs w:val="24"/>
                <w:lang w:val="fr-FR"/>
              </w:rPr>
              <w:t>Putri</w:t>
            </w:r>
            <w:proofErr w:type="spellEnd"/>
            <w:r w:rsidRPr="00AE4586">
              <w:rPr>
                <w:rFonts w:ascii="Times New Roman" w:hAnsi="Times New Roman" w:cs="Times New Roman"/>
                <w:sz w:val="24"/>
                <w:szCs w:val="24"/>
                <w:lang w:val="fr-FR"/>
              </w:rPr>
              <w:t xml:space="preserve"> et al. </w:t>
            </w:r>
            <w:r w:rsidRPr="00DE5ABA">
              <w:rPr>
                <w:rFonts w:ascii="Times New Roman" w:hAnsi="Times New Roman" w:cs="Times New Roman"/>
                <w:sz w:val="24"/>
                <w:szCs w:val="24"/>
              </w:rPr>
              <w:t>(2024)</w:t>
            </w:r>
          </w:p>
        </w:tc>
      </w:tr>
      <w:tr w:rsidR="00DE5ABA" w:rsidRPr="00DE5ABA" w14:paraId="6B7D8EBB" w14:textId="77777777" w:rsidTr="0097499C">
        <w:tc>
          <w:tcPr>
            <w:tcW w:w="0" w:type="auto"/>
            <w:hideMark/>
          </w:tcPr>
          <w:p w14:paraId="770A8F58"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Total Assets Turnover (TAT)</w:t>
            </w:r>
          </w:p>
        </w:tc>
        <w:tc>
          <w:tcPr>
            <w:tcW w:w="0" w:type="auto"/>
            <w:hideMark/>
          </w:tcPr>
          <w:p w14:paraId="6B2A20C5"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Independent</w:t>
            </w:r>
          </w:p>
        </w:tc>
        <w:tc>
          <w:tcPr>
            <w:tcW w:w="0" w:type="auto"/>
            <w:hideMark/>
          </w:tcPr>
          <w:p w14:paraId="4A3824DF"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Net sales ÷ Total assets</w:t>
            </w:r>
          </w:p>
        </w:tc>
        <w:tc>
          <w:tcPr>
            <w:tcW w:w="0" w:type="auto"/>
            <w:hideMark/>
          </w:tcPr>
          <w:p w14:paraId="66EB49DD" w14:textId="77777777" w:rsidR="00DE5ABA" w:rsidRPr="00DE5ABA" w:rsidRDefault="00DE5ABA" w:rsidP="00DE5ABA">
            <w:pPr>
              <w:spacing w:after="160" w:line="360" w:lineRule="auto"/>
              <w:jc w:val="both"/>
              <w:rPr>
                <w:rFonts w:ascii="Times New Roman" w:hAnsi="Times New Roman" w:cs="Times New Roman"/>
                <w:sz w:val="24"/>
                <w:szCs w:val="24"/>
              </w:rPr>
            </w:pPr>
            <w:proofErr w:type="spellStart"/>
            <w:r w:rsidRPr="00DE5ABA">
              <w:rPr>
                <w:rFonts w:ascii="Times New Roman" w:hAnsi="Times New Roman" w:cs="Times New Roman"/>
                <w:sz w:val="24"/>
                <w:szCs w:val="24"/>
              </w:rPr>
              <w:t>Nustron</w:t>
            </w:r>
            <w:proofErr w:type="spellEnd"/>
            <w:r w:rsidRPr="00DE5ABA">
              <w:rPr>
                <w:rFonts w:ascii="Times New Roman" w:hAnsi="Times New Roman" w:cs="Times New Roman"/>
                <w:sz w:val="24"/>
                <w:szCs w:val="24"/>
              </w:rPr>
              <w:t xml:space="preserve"> et al. (2022)</w:t>
            </w:r>
          </w:p>
        </w:tc>
      </w:tr>
      <w:tr w:rsidR="00DE5ABA" w:rsidRPr="00DE5ABA" w14:paraId="2D5806D9" w14:textId="77777777" w:rsidTr="0097499C">
        <w:tc>
          <w:tcPr>
            <w:tcW w:w="0" w:type="auto"/>
            <w:hideMark/>
          </w:tcPr>
          <w:p w14:paraId="4AD987E8"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Earnings per Share (EPS)</w:t>
            </w:r>
          </w:p>
        </w:tc>
        <w:tc>
          <w:tcPr>
            <w:tcW w:w="0" w:type="auto"/>
            <w:hideMark/>
          </w:tcPr>
          <w:p w14:paraId="163F9F62"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Independent</w:t>
            </w:r>
          </w:p>
        </w:tc>
        <w:tc>
          <w:tcPr>
            <w:tcW w:w="0" w:type="auto"/>
            <w:hideMark/>
          </w:tcPr>
          <w:p w14:paraId="21D22CC0"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Profit after tax ÷ Number of outstanding shares</w:t>
            </w:r>
          </w:p>
        </w:tc>
        <w:tc>
          <w:tcPr>
            <w:tcW w:w="0" w:type="auto"/>
            <w:hideMark/>
          </w:tcPr>
          <w:p w14:paraId="170B736E" w14:textId="77777777" w:rsidR="00DE5ABA" w:rsidRPr="00DE5ABA" w:rsidRDefault="00DE5ABA" w:rsidP="00DE5ABA">
            <w:pPr>
              <w:spacing w:after="160" w:line="360" w:lineRule="auto"/>
              <w:jc w:val="both"/>
              <w:rPr>
                <w:rFonts w:ascii="Times New Roman" w:hAnsi="Times New Roman" w:cs="Times New Roman"/>
                <w:sz w:val="24"/>
                <w:szCs w:val="24"/>
              </w:rPr>
            </w:pPr>
            <w:r w:rsidRPr="00AE4586">
              <w:rPr>
                <w:rFonts w:ascii="Times New Roman" w:hAnsi="Times New Roman" w:cs="Times New Roman"/>
                <w:sz w:val="24"/>
                <w:szCs w:val="24"/>
                <w:lang w:val="fr-FR"/>
              </w:rPr>
              <w:t>Nazir (2022</w:t>
            </w:r>
            <w:proofErr w:type="gramStart"/>
            <w:r w:rsidRPr="00AE4586">
              <w:rPr>
                <w:rFonts w:ascii="Times New Roman" w:hAnsi="Times New Roman" w:cs="Times New Roman"/>
                <w:sz w:val="24"/>
                <w:szCs w:val="24"/>
                <w:lang w:val="fr-FR"/>
              </w:rPr>
              <w:t>);</w:t>
            </w:r>
            <w:proofErr w:type="gramEnd"/>
            <w:r w:rsidRPr="00AE4586">
              <w:rPr>
                <w:rFonts w:ascii="Times New Roman" w:hAnsi="Times New Roman" w:cs="Times New Roman"/>
                <w:sz w:val="24"/>
                <w:szCs w:val="24"/>
                <w:lang w:val="fr-FR"/>
              </w:rPr>
              <w:t xml:space="preserve"> </w:t>
            </w:r>
            <w:proofErr w:type="spellStart"/>
            <w:r w:rsidRPr="00AE4586">
              <w:rPr>
                <w:rFonts w:ascii="Times New Roman" w:hAnsi="Times New Roman" w:cs="Times New Roman"/>
                <w:sz w:val="24"/>
                <w:szCs w:val="24"/>
                <w:lang w:val="fr-FR"/>
              </w:rPr>
              <w:t>Nugraha</w:t>
            </w:r>
            <w:proofErr w:type="spellEnd"/>
            <w:r w:rsidRPr="00AE4586">
              <w:rPr>
                <w:rFonts w:ascii="Times New Roman" w:hAnsi="Times New Roman" w:cs="Times New Roman"/>
                <w:sz w:val="24"/>
                <w:szCs w:val="24"/>
                <w:lang w:val="fr-FR"/>
              </w:rPr>
              <w:t xml:space="preserve"> et al. (2024</w:t>
            </w:r>
            <w:proofErr w:type="gramStart"/>
            <w:r w:rsidRPr="00AE4586">
              <w:rPr>
                <w:rFonts w:ascii="Times New Roman" w:hAnsi="Times New Roman" w:cs="Times New Roman"/>
                <w:sz w:val="24"/>
                <w:szCs w:val="24"/>
                <w:lang w:val="fr-FR"/>
              </w:rPr>
              <w:t>);</w:t>
            </w:r>
            <w:proofErr w:type="gramEnd"/>
            <w:r w:rsidRPr="00AE4586">
              <w:rPr>
                <w:rFonts w:ascii="Times New Roman" w:hAnsi="Times New Roman" w:cs="Times New Roman"/>
                <w:sz w:val="24"/>
                <w:szCs w:val="24"/>
                <w:lang w:val="fr-FR"/>
              </w:rPr>
              <w:t xml:space="preserve"> </w:t>
            </w:r>
            <w:proofErr w:type="spellStart"/>
            <w:r w:rsidRPr="00AE4586">
              <w:rPr>
                <w:rFonts w:ascii="Times New Roman" w:hAnsi="Times New Roman" w:cs="Times New Roman"/>
                <w:sz w:val="24"/>
                <w:szCs w:val="24"/>
                <w:lang w:val="fr-FR"/>
              </w:rPr>
              <w:t>Putri</w:t>
            </w:r>
            <w:proofErr w:type="spellEnd"/>
            <w:r w:rsidRPr="00AE4586">
              <w:rPr>
                <w:rFonts w:ascii="Times New Roman" w:hAnsi="Times New Roman" w:cs="Times New Roman"/>
                <w:sz w:val="24"/>
                <w:szCs w:val="24"/>
                <w:lang w:val="fr-FR"/>
              </w:rPr>
              <w:t xml:space="preserve"> et al. </w:t>
            </w:r>
            <w:r w:rsidRPr="00DE5ABA">
              <w:rPr>
                <w:rFonts w:ascii="Times New Roman" w:hAnsi="Times New Roman" w:cs="Times New Roman"/>
                <w:sz w:val="24"/>
                <w:szCs w:val="24"/>
              </w:rPr>
              <w:t>(2024)</w:t>
            </w:r>
          </w:p>
        </w:tc>
      </w:tr>
      <w:tr w:rsidR="00DE5ABA" w:rsidRPr="00DE5ABA" w14:paraId="50609734" w14:textId="77777777" w:rsidTr="0097499C">
        <w:tc>
          <w:tcPr>
            <w:tcW w:w="0" w:type="auto"/>
            <w:hideMark/>
          </w:tcPr>
          <w:p w14:paraId="250B7C0A"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Firm Size (FSZ)</w:t>
            </w:r>
          </w:p>
        </w:tc>
        <w:tc>
          <w:tcPr>
            <w:tcW w:w="0" w:type="auto"/>
            <w:hideMark/>
          </w:tcPr>
          <w:p w14:paraId="44A250DE"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Moderator</w:t>
            </w:r>
          </w:p>
        </w:tc>
        <w:tc>
          <w:tcPr>
            <w:tcW w:w="0" w:type="auto"/>
            <w:hideMark/>
          </w:tcPr>
          <w:p w14:paraId="22052832"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Natural logarithm of total assets</w:t>
            </w:r>
          </w:p>
        </w:tc>
        <w:tc>
          <w:tcPr>
            <w:tcW w:w="0" w:type="auto"/>
            <w:hideMark/>
          </w:tcPr>
          <w:p w14:paraId="3AE3CDF2"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Nazir (2022); Sulaiman &amp; Khalid (2024); Akbar (2023)</w:t>
            </w:r>
          </w:p>
        </w:tc>
      </w:tr>
    </w:tbl>
    <w:p w14:paraId="24957B03" w14:textId="77777777" w:rsidR="00DE5ABA" w:rsidRPr="00DE5ABA" w:rsidRDefault="00DE5ABA" w:rsidP="00DE5ABA">
      <w:pPr>
        <w:spacing w:line="360" w:lineRule="auto"/>
        <w:jc w:val="both"/>
        <w:rPr>
          <w:rFonts w:ascii="Times New Roman" w:hAnsi="Times New Roman" w:cs="Times New Roman"/>
          <w:sz w:val="24"/>
          <w:szCs w:val="24"/>
        </w:rPr>
      </w:pPr>
      <w:r w:rsidRPr="00DE5ABA">
        <w:rPr>
          <w:rFonts w:ascii="Times New Roman" w:hAnsi="Times New Roman" w:cs="Times New Roman"/>
          <w:i/>
          <w:iCs/>
          <w:sz w:val="24"/>
          <w:szCs w:val="24"/>
        </w:rPr>
        <w:t>Source: Author’s computation.</w:t>
      </w:r>
    </w:p>
    <w:p w14:paraId="159CE2C2" w14:textId="77777777" w:rsidR="00DE5ABA" w:rsidRPr="00DE5ABA" w:rsidRDefault="00DE5ABA" w:rsidP="00DE5ABA">
      <w:pPr>
        <w:spacing w:line="360" w:lineRule="auto"/>
        <w:jc w:val="both"/>
        <w:rPr>
          <w:rFonts w:ascii="Times New Roman" w:hAnsi="Times New Roman" w:cs="Times New Roman"/>
          <w:sz w:val="24"/>
          <w:szCs w:val="24"/>
        </w:rPr>
      </w:pPr>
      <w:r w:rsidRPr="00DE5ABA">
        <w:rPr>
          <w:rFonts w:ascii="Times New Roman" w:hAnsi="Times New Roman" w:cs="Times New Roman"/>
          <w:sz w:val="24"/>
          <w:szCs w:val="24"/>
        </w:rPr>
        <w:t xml:space="preserve">Firm size is measured as the natural logarithm of total assets to </w:t>
      </w:r>
      <w:proofErr w:type="spellStart"/>
      <w:r w:rsidRPr="00DE5ABA">
        <w:rPr>
          <w:rFonts w:ascii="Times New Roman" w:hAnsi="Times New Roman" w:cs="Times New Roman"/>
          <w:sz w:val="24"/>
          <w:szCs w:val="24"/>
        </w:rPr>
        <w:t>normalise</w:t>
      </w:r>
      <w:proofErr w:type="spellEnd"/>
      <w:r w:rsidRPr="00DE5ABA">
        <w:rPr>
          <w:rFonts w:ascii="Times New Roman" w:hAnsi="Times New Roman" w:cs="Times New Roman"/>
          <w:sz w:val="24"/>
          <w:szCs w:val="24"/>
        </w:rPr>
        <w:t xml:space="preserve"> scale effects, reduce heteroscedasticity, and ensure comparability across firms of differing magnitudes.</w:t>
      </w:r>
    </w:p>
    <w:p w14:paraId="3EB3D696" w14:textId="4BF6E00E" w:rsidR="00DE5ABA" w:rsidRPr="00DE7541" w:rsidRDefault="00DE7541" w:rsidP="00DE7541">
      <w:pPr>
        <w:spacing w:line="360" w:lineRule="auto"/>
        <w:jc w:val="both"/>
        <w:rPr>
          <w:rFonts w:ascii="Times New Roman" w:hAnsi="Times New Roman" w:cs="Times New Roman"/>
          <w:sz w:val="24"/>
          <w:szCs w:val="24"/>
        </w:rPr>
      </w:pPr>
      <w:r w:rsidRPr="00DE7541">
        <w:rPr>
          <w:rFonts w:ascii="Times New Roman" w:hAnsi="Times New Roman" w:cs="Times New Roman"/>
          <w:sz w:val="24"/>
          <w:szCs w:val="24"/>
          <w:highlight w:val="yellow"/>
        </w:rPr>
        <w:t xml:space="preserve">To examine the </w:t>
      </w:r>
      <w:proofErr w:type="spellStart"/>
      <w:r w:rsidRPr="00DE7541">
        <w:rPr>
          <w:rFonts w:ascii="Times New Roman" w:hAnsi="Times New Roman" w:cs="Times New Roman"/>
          <w:sz w:val="24"/>
          <w:szCs w:val="24"/>
          <w:highlight w:val="yellow"/>
        </w:rPr>
        <w:t>hypothesised</w:t>
      </w:r>
      <w:proofErr w:type="spellEnd"/>
      <w:r w:rsidRPr="00DE7541">
        <w:rPr>
          <w:rFonts w:ascii="Times New Roman" w:hAnsi="Times New Roman" w:cs="Times New Roman"/>
          <w:sz w:val="24"/>
          <w:szCs w:val="24"/>
          <w:highlight w:val="yellow"/>
        </w:rPr>
        <w:t xml:space="preserve"> relationships and the moderating role of firm size, a moderated panel regression model was estimated using </w:t>
      </w:r>
      <w:proofErr w:type="spellStart"/>
      <w:r w:rsidRPr="00DE7541">
        <w:rPr>
          <w:rFonts w:ascii="Times New Roman" w:hAnsi="Times New Roman" w:cs="Times New Roman"/>
          <w:sz w:val="24"/>
          <w:szCs w:val="24"/>
          <w:highlight w:val="yellow"/>
        </w:rPr>
        <w:t>Generalised</w:t>
      </w:r>
      <w:proofErr w:type="spellEnd"/>
      <w:r w:rsidRPr="00DE7541">
        <w:rPr>
          <w:rFonts w:ascii="Times New Roman" w:hAnsi="Times New Roman" w:cs="Times New Roman"/>
          <w:sz w:val="24"/>
          <w:szCs w:val="24"/>
          <w:highlight w:val="yellow"/>
        </w:rPr>
        <w:t xml:space="preserve"> Least Squares. This approach corrects for heteroscedasticity and serial correlation that commonly arise in long firm-year panels. The application of panel GLS is theoretically grounded in econometric recommendations by Wooldridge (2010), who </w:t>
      </w:r>
      <w:proofErr w:type="spellStart"/>
      <w:r w:rsidRPr="00DE7541">
        <w:rPr>
          <w:rFonts w:ascii="Times New Roman" w:hAnsi="Times New Roman" w:cs="Times New Roman"/>
          <w:sz w:val="24"/>
          <w:szCs w:val="24"/>
          <w:highlight w:val="yellow"/>
        </w:rPr>
        <w:t>emphasised</w:t>
      </w:r>
      <w:proofErr w:type="spellEnd"/>
      <w:r w:rsidRPr="00DE7541">
        <w:rPr>
          <w:rFonts w:ascii="Times New Roman" w:hAnsi="Times New Roman" w:cs="Times New Roman"/>
          <w:sz w:val="24"/>
          <w:szCs w:val="24"/>
          <w:highlight w:val="yellow"/>
        </w:rPr>
        <w:t xml:space="preserve"> the efficiency gains and robustness advantages of GLS when dealing with financial panel datasets. The analytical model is specified as follows:</w:t>
      </w:r>
    </w:p>
    <w:p w14:paraId="143C157B" w14:textId="3519B30D" w:rsidR="00DE5ABA" w:rsidRPr="00DE5ABA" w:rsidRDefault="005E2BA7" w:rsidP="00DE5ABA">
      <w:pPr>
        <w:spacing w:line="36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m:rPr>
                  <m:nor/>
                </m:rPr>
                <w:rPr>
                  <w:rFonts w:ascii="Times New Roman" w:hAnsi="Times New Roman" w:cs="Times New Roman"/>
                  <w:sz w:val="24"/>
                  <w:szCs w:val="24"/>
                </w:rPr>
                <m:t>SHP</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ROE</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CUR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DER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TAT</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EPS</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FSZ</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7</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INF</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8</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INR</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9</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EXR</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10</m:t>
              </m:r>
            </m:sub>
          </m:sSub>
          <m:r>
            <w:rPr>
              <w:rFonts w:ascii="Cambria Math" w:hAnsi="Cambria Math" w:cs="Times New Roman"/>
              <w:sz w:val="24"/>
              <w:szCs w:val="24"/>
            </w:rPr>
            <m:t>(</m:t>
          </m:r>
          <m:r>
            <m:rPr>
              <m:nor/>
            </m:rPr>
            <w:rPr>
              <w:rFonts w:ascii="Times New Roman" w:hAnsi="Times New Roman" w:cs="Times New Roman"/>
              <w:sz w:val="24"/>
              <w:szCs w:val="24"/>
            </w:rPr>
            <m:t>FSZ</m:t>
          </m:r>
          <m:r>
            <w:rPr>
              <w:rFonts w:ascii="Cambria Math" w:hAnsi="Cambria Math" w:cs="Times New Roman"/>
              <w:sz w:val="24"/>
              <w:szCs w:val="24"/>
            </w:rPr>
            <m:t>×</m:t>
          </m:r>
          <m:r>
            <m:rPr>
              <m:nor/>
            </m:rPr>
            <w:rPr>
              <w:rFonts w:ascii="Times New Roman" w:hAnsi="Times New Roman" w:cs="Times New Roman"/>
              <w:sz w:val="24"/>
              <w:szCs w:val="24"/>
            </w:rPr>
            <m:t>ROE</m:t>
          </m:r>
          <m:sSub>
            <m:sSubPr>
              <m:ctrlPr>
                <w:rPr>
                  <w:rFonts w:ascii="Cambria Math" w:hAnsi="Cambria Math" w:cs="Times New Roman"/>
                  <w:sz w:val="24"/>
                  <w:szCs w:val="24"/>
                </w:rPr>
              </m:ctrlPr>
            </m:sSubPr>
            <m:e>
              <m:r>
                <w:rPr>
                  <w:rFonts w:ascii="Cambria Math" w:hAnsi="Cambria Math" w:cs="Times New Roman"/>
                  <w:sz w:val="24"/>
                  <w:szCs w:val="24"/>
                </w:rPr>
                <m:t>)</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11</m:t>
              </m:r>
            </m:sub>
          </m:sSub>
          <m:r>
            <w:rPr>
              <w:rFonts w:ascii="Cambria Math" w:hAnsi="Cambria Math" w:cs="Times New Roman"/>
              <w:sz w:val="24"/>
              <w:szCs w:val="24"/>
            </w:rPr>
            <m:t>(</m:t>
          </m:r>
          <m:r>
            <m:rPr>
              <m:nor/>
            </m:rPr>
            <w:rPr>
              <w:rFonts w:ascii="Times New Roman" w:hAnsi="Times New Roman" w:cs="Times New Roman"/>
              <w:sz w:val="24"/>
              <w:szCs w:val="24"/>
            </w:rPr>
            <m:t>FSZ</m:t>
          </m:r>
          <m:r>
            <w:rPr>
              <w:rFonts w:ascii="Cambria Math" w:hAnsi="Cambria Math" w:cs="Times New Roman"/>
              <w:sz w:val="24"/>
              <w:szCs w:val="24"/>
            </w:rPr>
            <m:t>×</m:t>
          </m:r>
          <m:r>
            <m:rPr>
              <m:nor/>
            </m:rPr>
            <w:rPr>
              <w:rFonts w:ascii="Times New Roman" w:hAnsi="Times New Roman" w:cs="Times New Roman"/>
              <w:sz w:val="24"/>
              <w:szCs w:val="24"/>
            </w:rPr>
            <m:t>CUR</m:t>
          </m:r>
          <m:sSub>
            <m:sSubPr>
              <m:ctrlPr>
                <w:rPr>
                  <w:rFonts w:ascii="Cambria Math" w:hAnsi="Cambria Math" w:cs="Times New Roman"/>
                  <w:sz w:val="24"/>
                  <w:szCs w:val="24"/>
                </w:rPr>
              </m:ctrlPr>
            </m:sSubPr>
            <m:e>
              <m:r>
                <w:rPr>
                  <w:rFonts w:ascii="Cambria Math" w:hAnsi="Cambria Math" w:cs="Times New Roman"/>
                  <w:sz w:val="24"/>
                  <w:szCs w:val="24"/>
                </w:rPr>
                <m:t>)</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12</m:t>
              </m:r>
            </m:sub>
          </m:sSub>
          <m:r>
            <w:rPr>
              <w:rFonts w:ascii="Cambria Math" w:hAnsi="Cambria Math" w:cs="Times New Roman"/>
              <w:sz w:val="24"/>
              <w:szCs w:val="24"/>
            </w:rPr>
            <m:t>(</m:t>
          </m:r>
          <m:r>
            <m:rPr>
              <m:nor/>
            </m:rPr>
            <w:rPr>
              <w:rFonts w:ascii="Times New Roman" w:hAnsi="Times New Roman" w:cs="Times New Roman"/>
              <w:sz w:val="24"/>
              <w:szCs w:val="24"/>
            </w:rPr>
            <m:t>FSZ</m:t>
          </m:r>
          <m:r>
            <w:rPr>
              <w:rFonts w:ascii="Cambria Math" w:hAnsi="Cambria Math" w:cs="Times New Roman"/>
              <w:sz w:val="24"/>
              <w:szCs w:val="24"/>
            </w:rPr>
            <m:t>×</m:t>
          </m:r>
          <m:r>
            <m:rPr>
              <m:nor/>
            </m:rPr>
            <w:rPr>
              <w:rFonts w:ascii="Times New Roman" w:hAnsi="Times New Roman" w:cs="Times New Roman"/>
              <w:sz w:val="24"/>
              <w:szCs w:val="24"/>
            </w:rPr>
            <m:t>DER</m:t>
          </m:r>
          <m:sSub>
            <m:sSubPr>
              <m:ctrlPr>
                <w:rPr>
                  <w:rFonts w:ascii="Cambria Math" w:hAnsi="Cambria Math" w:cs="Times New Roman"/>
                  <w:sz w:val="24"/>
                  <w:szCs w:val="24"/>
                </w:rPr>
              </m:ctrlPr>
            </m:sSubPr>
            <m:e>
              <m:r>
                <w:rPr>
                  <w:rFonts w:ascii="Cambria Math" w:hAnsi="Cambria Math" w:cs="Times New Roman"/>
                  <w:sz w:val="24"/>
                  <w:szCs w:val="24"/>
                </w:rPr>
                <m:t>)</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13</m:t>
              </m:r>
            </m:sub>
          </m:sSub>
          <m:r>
            <w:rPr>
              <w:rFonts w:ascii="Cambria Math" w:hAnsi="Cambria Math" w:cs="Times New Roman"/>
              <w:sz w:val="24"/>
              <w:szCs w:val="24"/>
            </w:rPr>
            <m:t>(</m:t>
          </m:r>
          <m:r>
            <m:rPr>
              <m:nor/>
            </m:rPr>
            <w:rPr>
              <w:rFonts w:ascii="Times New Roman" w:hAnsi="Times New Roman" w:cs="Times New Roman"/>
              <w:sz w:val="24"/>
              <w:szCs w:val="24"/>
            </w:rPr>
            <m:t>FSZ</m:t>
          </m:r>
          <m:r>
            <w:rPr>
              <w:rFonts w:ascii="Cambria Math" w:hAnsi="Cambria Math" w:cs="Times New Roman"/>
              <w:sz w:val="24"/>
              <w:szCs w:val="24"/>
            </w:rPr>
            <m:t>×</m:t>
          </m:r>
          <m:r>
            <m:rPr>
              <m:nor/>
            </m:rPr>
            <w:rPr>
              <w:rFonts w:ascii="Times New Roman" w:hAnsi="Times New Roman" w:cs="Times New Roman"/>
              <w:sz w:val="24"/>
              <w:szCs w:val="24"/>
            </w:rPr>
            <m:t>TAT</m:t>
          </m:r>
          <m:sSub>
            <m:sSubPr>
              <m:ctrlPr>
                <w:rPr>
                  <w:rFonts w:ascii="Cambria Math" w:hAnsi="Cambria Math" w:cs="Times New Roman"/>
                  <w:sz w:val="24"/>
                  <w:szCs w:val="24"/>
                </w:rPr>
              </m:ctrlPr>
            </m:sSubPr>
            <m:e>
              <m:r>
                <w:rPr>
                  <w:rFonts w:ascii="Cambria Math" w:hAnsi="Cambria Math" w:cs="Times New Roman"/>
                  <w:sz w:val="24"/>
                  <w:szCs w:val="24"/>
                </w:rPr>
                <m:t>)</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14</m:t>
              </m:r>
            </m:sub>
          </m:sSub>
          <m:r>
            <w:rPr>
              <w:rFonts w:ascii="Cambria Math" w:hAnsi="Cambria Math" w:cs="Times New Roman"/>
              <w:sz w:val="24"/>
              <w:szCs w:val="24"/>
            </w:rPr>
            <m:t>(</m:t>
          </m:r>
          <m:r>
            <m:rPr>
              <m:nor/>
            </m:rPr>
            <w:rPr>
              <w:rFonts w:ascii="Times New Roman" w:hAnsi="Times New Roman" w:cs="Times New Roman"/>
              <w:sz w:val="24"/>
              <w:szCs w:val="24"/>
            </w:rPr>
            <m:t>FSZ</m:t>
          </m:r>
          <m:r>
            <w:rPr>
              <w:rFonts w:ascii="Cambria Math" w:hAnsi="Cambria Math" w:cs="Times New Roman"/>
              <w:sz w:val="24"/>
              <w:szCs w:val="24"/>
            </w:rPr>
            <m:t>×</m:t>
          </m:r>
          <m:r>
            <m:rPr>
              <m:nor/>
            </m:rPr>
            <w:rPr>
              <w:rFonts w:ascii="Times New Roman" w:hAnsi="Times New Roman" w:cs="Times New Roman"/>
              <w:sz w:val="24"/>
              <w:szCs w:val="24"/>
            </w:rPr>
            <m:t>EPS</m:t>
          </m:r>
          <m:sSub>
            <m:sSubPr>
              <m:ctrlPr>
                <w:rPr>
                  <w:rFonts w:ascii="Cambria Math" w:hAnsi="Cambria Math" w:cs="Times New Roman"/>
                  <w:sz w:val="24"/>
                  <w:szCs w:val="24"/>
                </w:rPr>
              </m:ctrlPr>
            </m:sSubPr>
            <m:e>
              <m:r>
                <w:rPr>
                  <w:rFonts w:ascii="Cambria Math" w:hAnsi="Cambria Math" w:cs="Times New Roman"/>
                  <w:sz w:val="24"/>
                  <w:szCs w:val="24"/>
                </w:rPr>
                <m:t>)</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r>
            <m:rPr>
              <m:sty m:val="p"/>
            </m:rPr>
            <w:rPr>
              <w:rFonts w:ascii="Times New Roman" w:hAnsi="Times New Roman" w:cs="Times New Roman"/>
              <w:sz w:val="24"/>
              <w:szCs w:val="24"/>
            </w:rPr>
            <w:br/>
          </m:r>
        </m:oMath>
      </m:oMathPara>
    </w:p>
    <w:p w14:paraId="6010D31E" w14:textId="7605A798" w:rsidR="00DE5ABA" w:rsidRPr="00DE5ABA" w:rsidRDefault="00DE5ABA" w:rsidP="00DE5ABA">
      <w:pPr>
        <w:spacing w:line="360" w:lineRule="auto"/>
        <w:jc w:val="both"/>
        <w:rPr>
          <w:rFonts w:ascii="Times New Roman" w:hAnsi="Times New Roman" w:cs="Times New Roman"/>
          <w:sz w:val="24"/>
          <w:szCs w:val="24"/>
        </w:rPr>
      </w:pPr>
      <w:r w:rsidRPr="00DE5ABA">
        <w:rPr>
          <w:rFonts w:ascii="Times New Roman" w:hAnsi="Times New Roman" w:cs="Times New Roman"/>
          <w:sz w:val="24"/>
          <w:szCs w:val="24"/>
        </w:rPr>
        <w:t xml:space="preserve">where </w:t>
      </w:r>
      <m:oMath>
        <m:r>
          <w:rPr>
            <w:rFonts w:ascii="Cambria Math" w:hAnsi="Cambria Math" w:cs="Times New Roman"/>
            <w:sz w:val="24"/>
            <w:szCs w:val="24"/>
          </w:rPr>
          <m:t>i</m:t>
        </m:r>
      </m:oMath>
      <w:r w:rsidRPr="00DE5ABA">
        <w:rPr>
          <w:rFonts w:ascii="Times New Roman" w:hAnsi="Times New Roman" w:cs="Times New Roman"/>
          <w:sz w:val="24"/>
          <w:szCs w:val="24"/>
        </w:rPr>
        <w:t xml:space="preserve">denotes firm and </w:t>
      </w:r>
      <m:oMath>
        <m:r>
          <w:rPr>
            <w:rFonts w:ascii="Cambria Math" w:hAnsi="Cambria Math" w:cs="Times New Roman"/>
            <w:sz w:val="24"/>
            <w:szCs w:val="24"/>
          </w:rPr>
          <m:t>t</m:t>
        </m:r>
      </m:oMath>
      <w:r w:rsidRPr="00DE5ABA">
        <w:rPr>
          <w:rFonts w:ascii="Times New Roman" w:hAnsi="Times New Roman" w:cs="Times New Roman"/>
          <w:sz w:val="24"/>
          <w:szCs w:val="24"/>
        </w:rPr>
        <w:t xml:space="preserve">denotes year. SHP represents share price; ROE is return on equity; CUR is current ratio; DER is debt–equity ratio; TAT is total assets turnover; EPS is earnings per share; FSZ denotes firm size; INF represents inflation; INR denotes interest rate; and EXR represents exchange rate. The error term </w:t>
      </w:r>
      <m:oMath>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Pr="00DE5ABA">
        <w:rPr>
          <w:rFonts w:ascii="Times New Roman" w:hAnsi="Times New Roman" w:cs="Times New Roman"/>
          <w:sz w:val="24"/>
          <w:szCs w:val="24"/>
        </w:rPr>
        <w:t>captures unobserved firm-specific and time-varying effects.</w:t>
      </w:r>
    </w:p>
    <w:p w14:paraId="014C504E" w14:textId="5FBCB0E2" w:rsidR="0021345D" w:rsidRPr="007161A3" w:rsidRDefault="00DE5ABA" w:rsidP="007161A3">
      <w:pPr>
        <w:spacing w:line="360" w:lineRule="auto"/>
        <w:jc w:val="both"/>
        <w:rPr>
          <w:rFonts w:ascii="Times New Roman" w:hAnsi="Times New Roman" w:cs="Times New Roman"/>
          <w:sz w:val="24"/>
          <w:szCs w:val="24"/>
        </w:rPr>
      </w:pPr>
      <w:r w:rsidRPr="00DE5ABA">
        <w:rPr>
          <w:rFonts w:ascii="Times New Roman" w:hAnsi="Times New Roman" w:cs="Times New Roman"/>
          <w:sz w:val="24"/>
          <w:szCs w:val="24"/>
        </w:rPr>
        <w:t xml:space="preserve">The coefficients on the financial metrics capture their direct valuation effects, while the interaction terms measure the extent to which firm size conditions the pricing of financial information. Consistent with valuation and </w:t>
      </w:r>
      <w:proofErr w:type="spellStart"/>
      <w:r w:rsidRPr="00DE5ABA">
        <w:rPr>
          <w:rFonts w:ascii="Times New Roman" w:hAnsi="Times New Roman" w:cs="Times New Roman"/>
          <w:sz w:val="24"/>
          <w:szCs w:val="24"/>
        </w:rPr>
        <w:t>signalling</w:t>
      </w:r>
      <w:proofErr w:type="spellEnd"/>
      <w:r w:rsidRPr="00DE5ABA">
        <w:rPr>
          <w:rFonts w:ascii="Times New Roman" w:hAnsi="Times New Roman" w:cs="Times New Roman"/>
          <w:sz w:val="24"/>
          <w:szCs w:val="24"/>
        </w:rPr>
        <w:t xml:space="preserve"> theory, profitability and earnings measures are expected to exhibit positive valuation effects, while the signs of liquidity, leverage, and efficiency variables are theoretically ambiguous and therefore subject to empirical determination</w:t>
      </w:r>
      <w:r w:rsidR="00771BED" w:rsidRPr="004939F9">
        <w:rPr>
          <w:rFonts w:ascii="Times New Roman" w:hAnsi="Times New Roman" w:cs="Times New Roman"/>
          <w:sz w:val="24"/>
          <w:szCs w:val="24"/>
        </w:rPr>
        <w:t xml:space="preserve">. </w:t>
      </w:r>
    </w:p>
    <w:p w14:paraId="10277745" w14:textId="713D8895" w:rsidR="00377167" w:rsidRPr="00C57653" w:rsidRDefault="00377167" w:rsidP="00C57653">
      <w:pPr>
        <w:pStyle w:val="Heading1"/>
        <w:rPr>
          <w:rFonts w:asciiTheme="majorBidi" w:hAnsiTheme="majorBidi"/>
          <w:b/>
          <w:bCs/>
          <w:color w:val="auto"/>
          <w:sz w:val="24"/>
          <w:szCs w:val="24"/>
        </w:rPr>
      </w:pPr>
      <w:r w:rsidRPr="00C57653">
        <w:rPr>
          <w:rFonts w:asciiTheme="majorBidi" w:hAnsiTheme="majorBidi"/>
          <w:b/>
          <w:bCs/>
          <w:color w:val="auto"/>
          <w:sz w:val="24"/>
          <w:szCs w:val="24"/>
        </w:rPr>
        <w:t>4.0</w:t>
      </w:r>
      <w:r w:rsidRPr="00C57653">
        <w:rPr>
          <w:rFonts w:asciiTheme="majorBidi" w:hAnsiTheme="majorBidi"/>
          <w:b/>
          <w:bCs/>
          <w:color w:val="auto"/>
          <w:sz w:val="24"/>
          <w:szCs w:val="24"/>
        </w:rPr>
        <w:tab/>
      </w:r>
      <w:r w:rsidR="00C57653" w:rsidRPr="00C57653">
        <w:rPr>
          <w:rFonts w:asciiTheme="majorBidi" w:hAnsiTheme="majorBidi"/>
          <w:b/>
          <w:bCs/>
          <w:color w:val="auto"/>
          <w:sz w:val="24"/>
          <w:szCs w:val="24"/>
        </w:rPr>
        <w:t>Results and Discussion</w:t>
      </w:r>
    </w:p>
    <w:p w14:paraId="4D1E2D8F" w14:textId="77777777" w:rsidR="00C57653" w:rsidRPr="00C57653" w:rsidRDefault="00C57653" w:rsidP="00C57653">
      <w:pPr>
        <w:pStyle w:val="Heading2"/>
        <w:rPr>
          <w:rFonts w:asciiTheme="majorBidi" w:hAnsiTheme="majorBidi"/>
          <w:b/>
          <w:bCs/>
          <w:color w:val="auto"/>
          <w:sz w:val="24"/>
          <w:szCs w:val="24"/>
        </w:rPr>
      </w:pPr>
      <w:r w:rsidRPr="00C57653">
        <w:rPr>
          <w:rFonts w:asciiTheme="majorBidi" w:hAnsiTheme="majorBidi"/>
          <w:b/>
          <w:bCs/>
          <w:color w:val="auto"/>
          <w:sz w:val="24"/>
          <w:szCs w:val="24"/>
        </w:rPr>
        <w:t>4.1 Descriptive Statistics</w:t>
      </w:r>
    </w:p>
    <w:p w14:paraId="71D8EA2D" w14:textId="1CD26A33" w:rsidR="009F4327" w:rsidRPr="009F4327" w:rsidRDefault="00C57653" w:rsidP="009F4327">
      <w:pPr>
        <w:spacing w:line="360" w:lineRule="auto"/>
        <w:jc w:val="both"/>
        <w:rPr>
          <w:rFonts w:ascii="Times New Roman" w:hAnsi="Times New Roman" w:cs="Times New Roman"/>
          <w:sz w:val="24"/>
          <w:szCs w:val="24"/>
        </w:rPr>
      </w:pPr>
      <w:r w:rsidRPr="00C57653">
        <w:rPr>
          <w:rFonts w:ascii="Times New Roman" w:hAnsi="Times New Roman" w:cs="Times New Roman"/>
          <w:b/>
          <w:bCs/>
          <w:sz w:val="24"/>
          <w:szCs w:val="24"/>
        </w:rPr>
        <w:t>Table 2</w:t>
      </w:r>
      <w:r w:rsidRPr="00C57653">
        <w:rPr>
          <w:rFonts w:ascii="Times New Roman" w:hAnsi="Times New Roman" w:cs="Times New Roman"/>
          <w:sz w:val="24"/>
          <w:szCs w:val="24"/>
        </w:rPr>
        <w:t xml:space="preserve"> reports the descriptive statistics for all variables employed in the study based on 240 firm-year observations drawn from listed agriculture and consumer goods firms in Nigeria over the period 2012–2023. Share price (SHP) exhibits substantial dispersion, with a mean value of 92.39 and a standard deviation of 271.43, reflecting wide heterogeneity in firm valuation within the sample. The minimum share price of 0.20 is associated with FTN Cocoa Processors Plc in the agriculture sector, while the maximum value of 1,556.50 corresponds to Nestlé Nigeria Plc in the consumer goods sector. This wide range underscores pronounced firm-level differences in scale, performance, and market perception.</w:t>
      </w:r>
    </w:p>
    <w:p w14:paraId="299CA547" w14:textId="11D6FA61" w:rsidR="009F4327" w:rsidRDefault="009F4327" w:rsidP="009F4327">
      <w:pPr>
        <w:spacing w:after="0" w:line="360" w:lineRule="auto"/>
        <w:jc w:val="both"/>
        <w:rPr>
          <w:rFonts w:ascii="Times New Roman" w:hAnsi="Times New Roman" w:cs="Times New Roman"/>
          <w:sz w:val="24"/>
          <w:szCs w:val="24"/>
        </w:rPr>
      </w:pPr>
      <w:r w:rsidRPr="009F4327">
        <w:rPr>
          <w:rFonts w:ascii="Times New Roman" w:hAnsi="Times New Roman" w:cs="Times New Roman"/>
          <w:b/>
          <w:bCs/>
          <w:sz w:val="24"/>
          <w:szCs w:val="24"/>
        </w:rPr>
        <w:t>Table 2</w:t>
      </w:r>
      <w:r>
        <w:rPr>
          <w:rFonts w:ascii="Times New Roman" w:hAnsi="Times New Roman" w:cs="Times New Roman"/>
          <w:sz w:val="24"/>
          <w:szCs w:val="24"/>
        </w:rPr>
        <w:t xml:space="preserve">: </w:t>
      </w:r>
      <w:r w:rsidRPr="004939F9">
        <w:rPr>
          <w:rFonts w:ascii="Times New Roman" w:hAnsi="Times New Roman" w:cs="Times New Roman"/>
          <w:sz w:val="24"/>
          <w:szCs w:val="24"/>
        </w:rPr>
        <w:t>Descriptive Statistics</w:t>
      </w:r>
    </w:p>
    <w:tbl>
      <w:tblPr>
        <w:tblW w:w="0" w:type="auto"/>
        <w:tblInd w:w="435" w:type="dxa"/>
        <w:tblLayout w:type="fixed"/>
        <w:tblCellMar>
          <w:left w:w="0" w:type="dxa"/>
          <w:right w:w="0" w:type="dxa"/>
        </w:tblCellMar>
        <w:tblLook w:val="01E0" w:firstRow="1" w:lastRow="1" w:firstColumn="1" w:lastColumn="1" w:noHBand="0" w:noVBand="0"/>
      </w:tblPr>
      <w:tblGrid>
        <w:gridCol w:w="1490"/>
        <w:gridCol w:w="1487"/>
        <w:gridCol w:w="1324"/>
        <w:gridCol w:w="1024"/>
        <w:gridCol w:w="1104"/>
        <w:gridCol w:w="1053"/>
      </w:tblGrid>
      <w:tr w:rsidR="009F4327" w:rsidRPr="00171BBB" w14:paraId="4CC40ADB" w14:textId="77777777" w:rsidTr="005E2BA7">
        <w:trPr>
          <w:trHeight w:hRule="exact" w:val="294"/>
        </w:trPr>
        <w:tc>
          <w:tcPr>
            <w:tcW w:w="1490" w:type="dxa"/>
            <w:tcBorders>
              <w:top w:val="single" w:sz="4" w:space="0" w:color="auto"/>
              <w:left w:val="nil"/>
              <w:bottom w:val="single" w:sz="4" w:space="0" w:color="auto"/>
            </w:tcBorders>
          </w:tcPr>
          <w:p w14:paraId="797D620A" w14:textId="77777777" w:rsidR="009F4327" w:rsidRPr="00171BBB" w:rsidRDefault="009F4327" w:rsidP="005E2BA7">
            <w:pPr>
              <w:pStyle w:val="TableParagraph"/>
              <w:spacing w:before="2"/>
              <w:ind w:left="441"/>
              <w:rPr>
                <w:rFonts w:ascii="Times New Roman" w:eastAsia="Courier New" w:hAnsi="Times New Roman" w:cs="Times New Roman"/>
                <w:sz w:val="18"/>
                <w:szCs w:val="24"/>
              </w:rPr>
            </w:pPr>
            <w:r w:rsidRPr="00171BBB">
              <w:rPr>
                <w:rFonts w:ascii="Times New Roman" w:hAnsi="Times New Roman" w:cs="Times New Roman"/>
                <w:spacing w:val="6"/>
                <w:sz w:val="18"/>
                <w:szCs w:val="24"/>
              </w:rPr>
              <w:t>V</w:t>
            </w:r>
            <w:r w:rsidRPr="00171BBB">
              <w:rPr>
                <w:rFonts w:ascii="Times New Roman" w:hAnsi="Times New Roman" w:cs="Times New Roman"/>
                <w:spacing w:val="8"/>
                <w:sz w:val="18"/>
                <w:szCs w:val="24"/>
              </w:rPr>
              <w:t>a</w:t>
            </w:r>
            <w:r w:rsidRPr="00171BBB">
              <w:rPr>
                <w:rFonts w:ascii="Times New Roman" w:hAnsi="Times New Roman" w:cs="Times New Roman"/>
                <w:spacing w:val="6"/>
                <w:sz w:val="18"/>
                <w:szCs w:val="24"/>
              </w:rPr>
              <w:t>r</w:t>
            </w:r>
            <w:r w:rsidRPr="00171BBB">
              <w:rPr>
                <w:rFonts w:ascii="Times New Roman" w:hAnsi="Times New Roman" w:cs="Times New Roman"/>
                <w:spacing w:val="8"/>
                <w:sz w:val="18"/>
                <w:szCs w:val="24"/>
              </w:rPr>
              <w:t>i</w:t>
            </w:r>
            <w:r w:rsidRPr="00171BBB">
              <w:rPr>
                <w:rFonts w:ascii="Times New Roman" w:hAnsi="Times New Roman" w:cs="Times New Roman"/>
                <w:spacing w:val="6"/>
                <w:sz w:val="18"/>
                <w:szCs w:val="24"/>
              </w:rPr>
              <w:t>a</w:t>
            </w:r>
            <w:r w:rsidRPr="00171BBB">
              <w:rPr>
                <w:rFonts w:ascii="Times New Roman" w:hAnsi="Times New Roman" w:cs="Times New Roman"/>
                <w:spacing w:val="8"/>
                <w:sz w:val="18"/>
                <w:szCs w:val="24"/>
              </w:rPr>
              <w:t>b</w:t>
            </w:r>
            <w:r w:rsidRPr="00171BBB">
              <w:rPr>
                <w:rFonts w:ascii="Times New Roman" w:hAnsi="Times New Roman" w:cs="Times New Roman"/>
                <w:spacing w:val="6"/>
                <w:sz w:val="18"/>
                <w:szCs w:val="24"/>
              </w:rPr>
              <w:t>l</w:t>
            </w:r>
            <w:r w:rsidRPr="00171BBB">
              <w:rPr>
                <w:rFonts w:ascii="Times New Roman" w:hAnsi="Times New Roman" w:cs="Times New Roman"/>
                <w:sz w:val="18"/>
                <w:szCs w:val="24"/>
              </w:rPr>
              <w:t>e</w:t>
            </w:r>
          </w:p>
        </w:tc>
        <w:tc>
          <w:tcPr>
            <w:tcW w:w="1487" w:type="dxa"/>
            <w:tcBorders>
              <w:top w:val="single" w:sz="4" w:space="0" w:color="auto"/>
              <w:bottom w:val="single" w:sz="4" w:space="0" w:color="auto"/>
              <w:right w:val="nil"/>
            </w:tcBorders>
          </w:tcPr>
          <w:p w14:paraId="5A272440" w14:textId="77777777" w:rsidR="009F4327" w:rsidRPr="00171BBB" w:rsidRDefault="009F4327" w:rsidP="005E2BA7">
            <w:pPr>
              <w:pStyle w:val="TableParagraph"/>
              <w:spacing w:before="2"/>
              <w:ind w:left="935"/>
              <w:rPr>
                <w:rFonts w:ascii="Times New Roman" w:eastAsia="Courier New" w:hAnsi="Times New Roman" w:cs="Times New Roman"/>
                <w:sz w:val="18"/>
                <w:szCs w:val="24"/>
              </w:rPr>
            </w:pPr>
            <w:proofErr w:type="spellStart"/>
            <w:r w:rsidRPr="00171BBB">
              <w:rPr>
                <w:rFonts w:ascii="Times New Roman" w:hAnsi="Times New Roman" w:cs="Times New Roman"/>
                <w:spacing w:val="4"/>
                <w:sz w:val="18"/>
                <w:szCs w:val="24"/>
              </w:rPr>
              <w:t>Obs</w:t>
            </w:r>
            <w:proofErr w:type="spellEnd"/>
          </w:p>
        </w:tc>
        <w:tc>
          <w:tcPr>
            <w:tcW w:w="1324" w:type="dxa"/>
            <w:tcBorders>
              <w:top w:val="single" w:sz="4" w:space="0" w:color="auto"/>
              <w:left w:val="nil"/>
              <w:bottom w:val="single" w:sz="4" w:space="0" w:color="auto"/>
              <w:right w:val="nil"/>
            </w:tcBorders>
          </w:tcPr>
          <w:p w14:paraId="2AA68697" w14:textId="77777777" w:rsidR="009F4327" w:rsidRPr="00171BBB" w:rsidRDefault="009F4327" w:rsidP="005E2BA7">
            <w:pPr>
              <w:pStyle w:val="TableParagraph"/>
              <w:spacing w:before="2"/>
              <w:ind w:left="666"/>
              <w:rPr>
                <w:rFonts w:ascii="Times New Roman" w:eastAsia="Courier New" w:hAnsi="Times New Roman" w:cs="Times New Roman"/>
                <w:sz w:val="18"/>
                <w:szCs w:val="24"/>
              </w:rPr>
            </w:pPr>
            <w:r w:rsidRPr="00171BBB">
              <w:rPr>
                <w:rFonts w:ascii="Times New Roman" w:hAnsi="Times New Roman" w:cs="Times New Roman"/>
                <w:spacing w:val="6"/>
                <w:sz w:val="18"/>
                <w:szCs w:val="24"/>
              </w:rPr>
              <w:t>M</w:t>
            </w:r>
            <w:r w:rsidRPr="00171BBB">
              <w:rPr>
                <w:rFonts w:ascii="Times New Roman" w:hAnsi="Times New Roman" w:cs="Times New Roman"/>
                <w:spacing w:val="8"/>
                <w:sz w:val="18"/>
                <w:szCs w:val="24"/>
              </w:rPr>
              <w:t>e</w:t>
            </w:r>
            <w:r w:rsidRPr="00171BBB">
              <w:rPr>
                <w:rFonts w:ascii="Times New Roman" w:hAnsi="Times New Roman" w:cs="Times New Roman"/>
                <w:spacing w:val="6"/>
                <w:sz w:val="18"/>
                <w:szCs w:val="24"/>
              </w:rPr>
              <w:t>a</w:t>
            </w:r>
            <w:r w:rsidRPr="00171BBB">
              <w:rPr>
                <w:rFonts w:ascii="Times New Roman" w:hAnsi="Times New Roman" w:cs="Times New Roman"/>
                <w:sz w:val="18"/>
                <w:szCs w:val="24"/>
              </w:rPr>
              <w:t>n</w:t>
            </w:r>
          </w:p>
        </w:tc>
        <w:tc>
          <w:tcPr>
            <w:tcW w:w="1024" w:type="dxa"/>
            <w:tcBorders>
              <w:top w:val="single" w:sz="4" w:space="0" w:color="auto"/>
              <w:left w:val="nil"/>
              <w:bottom w:val="single" w:sz="4" w:space="0" w:color="auto"/>
              <w:right w:val="nil"/>
            </w:tcBorders>
          </w:tcPr>
          <w:p w14:paraId="51861271" w14:textId="77777777" w:rsidR="009F4327" w:rsidRPr="00171BBB" w:rsidRDefault="009F4327" w:rsidP="005E2BA7">
            <w:pPr>
              <w:pStyle w:val="TableParagraph"/>
              <w:spacing w:before="2"/>
              <w:ind w:left="224" w:right="-19"/>
              <w:rPr>
                <w:rFonts w:ascii="Times New Roman" w:eastAsia="Courier New" w:hAnsi="Times New Roman" w:cs="Times New Roman"/>
                <w:sz w:val="18"/>
                <w:szCs w:val="24"/>
              </w:rPr>
            </w:pPr>
            <w:r w:rsidRPr="00171BBB">
              <w:rPr>
                <w:rFonts w:ascii="Times New Roman" w:hAnsi="Times New Roman" w:cs="Times New Roman"/>
                <w:spacing w:val="5"/>
                <w:sz w:val="18"/>
                <w:szCs w:val="24"/>
              </w:rPr>
              <w:t>Std.</w:t>
            </w:r>
            <w:r w:rsidRPr="00171BBB">
              <w:rPr>
                <w:rFonts w:ascii="Times New Roman" w:hAnsi="Times New Roman" w:cs="Times New Roman"/>
                <w:spacing w:val="16"/>
                <w:sz w:val="18"/>
                <w:szCs w:val="24"/>
              </w:rPr>
              <w:t xml:space="preserve"> </w:t>
            </w:r>
            <w:r w:rsidRPr="00171BBB">
              <w:rPr>
                <w:rFonts w:ascii="Times New Roman" w:hAnsi="Times New Roman" w:cs="Times New Roman"/>
                <w:spacing w:val="5"/>
                <w:sz w:val="18"/>
                <w:szCs w:val="24"/>
              </w:rPr>
              <w:t>Dev.</w:t>
            </w:r>
          </w:p>
        </w:tc>
        <w:tc>
          <w:tcPr>
            <w:tcW w:w="1104" w:type="dxa"/>
            <w:tcBorders>
              <w:top w:val="single" w:sz="4" w:space="0" w:color="auto"/>
              <w:left w:val="nil"/>
              <w:bottom w:val="single" w:sz="4" w:space="0" w:color="auto"/>
              <w:right w:val="nil"/>
            </w:tcBorders>
          </w:tcPr>
          <w:p w14:paraId="1F7E4CBF" w14:textId="77777777" w:rsidR="009F4327" w:rsidRPr="00171BBB" w:rsidRDefault="009F4327" w:rsidP="005E2BA7">
            <w:pPr>
              <w:pStyle w:val="TableParagraph"/>
              <w:spacing w:before="2"/>
              <w:ind w:left="722"/>
              <w:rPr>
                <w:rFonts w:ascii="Times New Roman" w:eastAsia="Courier New" w:hAnsi="Times New Roman" w:cs="Times New Roman"/>
                <w:sz w:val="18"/>
                <w:szCs w:val="24"/>
              </w:rPr>
            </w:pPr>
            <w:r w:rsidRPr="00171BBB">
              <w:rPr>
                <w:rFonts w:ascii="Times New Roman" w:hAnsi="Times New Roman" w:cs="Times New Roman"/>
                <w:spacing w:val="6"/>
                <w:sz w:val="18"/>
                <w:szCs w:val="24"/>
              </w:rPr>
              <w:t>Mi</w:t>
            </w:r>
            <w:r w:rsidRPr="00171BBB">
              <w:rPr>
                <w:rFonts w:ascii="Times New Roman" w:hAnsi="Times New Roman" w:cs="Times New Roman"/>
                <w:sz w:val="18"/>
                <w:szCs w:val="24"/>
              </w:rPr>
              <w:t>n</w:t>
            </w:r>
          </w:p>
        </w:tc>
        <w:tc>
          <w:tcPr>
            <w:tcW w:w="1053" w:type="dxa"/>
            <w:tcBorders>
              <w:top w:val="single" w:sz="4" w:space="0" w:color="auto"/>
              <w:left w:val="nil"/>
              <w:bottom w:val="single" w:sz="4" w:space="0" w:color="auto"/>
              <w:right w:val="nil"/>
            </w:tcBorders>
          </w:tcPr>
          <w:p w14:paraId="4B53111B" w14:textId="77777777" w:rsidR="009F4327" w:rsidRPr="00171BBB" w:rsidRDefault="009F4327" w:rsidP="005E2BA7">
            <w:pPr>
              <w:pStyle w:val="TableParagraph"/>
              <w:spacing w:before="2"/>
              <w:ind w:right="6"/>
              <w:jc w:val="right"/>
              <w:rPr>
                <w:rFonts w:ascii="Times New Roman" w:eastAsia="Courier New" w:hAnsi="Times New Roman" w:cs="Times New Roman"/>
                <w:sz w:val="18"/>
                <w:szCs w:val="24"/>
              </w:rPr>
            </w:pPr>
            <w:r w:rsidRPr="00171BBB">
              <w:rPr>
                <w:rFonts w:ascii="Times New Roman" w:hAnsi="Times New Roman" w:cs="Times New Roman"/>
                <w:spacing w:val="6"/>
                <w:sz w:val="18"/>
                <w:szCs w:val="24"/>
              </w:rPr>
              <w:t>Ma</w:t>
            </w:r>
            <w:r w:rsidRPr="00171BBB">
              <w:rPr>
                <w:rFonts w:ascii="Times New Roman" w:hAnsi="Times New Roman" w:cs="Times New Roman"/>
                <w:sz w:val="18"/>
                <w:szCs w:val="24"/>
              </w:rPr>
              <w:t>x</w:t>
            </w:r>
          </w:p>
        </w:tc>
      </w:tr>
      <w:tr w:rsidR="009F4327" w:rsidRPr="00171BBB" w14:paraId="1268AF06" w14:textId="77777777" w:rsidTr="005E2BA7">
        <w:trPr>
          <w:trHeight w:hRule="exact" w:val="282"/>
        </w:trPr>
        <w:tc>
          <w:tcPr>
            <w:tcW w:w="1490" w:type="dxa"/>
            <w:tcBorders>
              <w:top w:val="single" w:sz="4" w:space="0" w:color="auto"/>
              <w:left w:val="nil"/>
              <w:bottom w:val="nil"/>
            </w:tcBorders>
          </w:tcPr>
          <w:p w14:paraId="17E1496E" w14:textId="77777777" w:rsidR="009F4327" w:rsidRPr="00171BBB" w:rsidRDefault="009F4327" w:rsidP="005E2BA7">
            <w:pPr>
              <w:pStyle w:val="TableParagraph"/>
              <w:spacing w:before="97" w:line="185" w:lineRule="exact"/>
              <w:ind w:right="167"/>
              <w:jc w:val="right"/>
              <w:rPr>
                <w:rFonts w:ascii="Times New Roman" w:eastAsia="Courier New" w:hAnsi="Times New Roman" w:cs="Times New Roman"/>
                <w:sz w:val="18"/>
                <w:szCs w:val="24"/>
              </w:rPr>
            </w:pPr>
            <w:r w:rsidRPr="00171BBB">
              <w:rPr>
                <w:rFonts w:ascii="Times New Roman" w:hAnsi="Times New Roman" w:cs="Times New Roman"/>
                <w:spacing w:val="4"/>
                <w:sz w:val="18"/>
                <w:szCs w:val="24"/>
              </w:rPr>
              <w:t>SHP</w:t>
            </w:r>
          </w:p>
        </w:tc>
        <w:tc>
          <w:tcPr>
            <w:tcW w:w="1487" w:type="dxa"/>
            <w:tcBorders>
              <w:top w:val="single" w:sz="4" w:space="0" w:color="auto"/>
              <w:bottom w:val="nil"/>
              <w:right w:val="nil"/>
            </w:tcBorders>
          </w:tcPr>
          <w:p w14:paraId="38CABA95" w14:textId="77777777" w:rsidR="009F4327" w:rsidRPr="00171BBB" w:rsidRDefault="009F4327" w:rsidP="005E2BA7">
            <w:pPr>
              <w:pStyle w:val="TableParagraph"/>
              <w:spacing w:before="94" w:line="188" w:lineRule="exact"/>
              <w:ind w:left="934"/>
              <w:rPr>
                <w:rFonts w:ascii="Times New Roman" w:eastAsia="Courier New" w:hAnsi="Times New Roman" w:cs="Times New Roman"/>
                <w:sz w:val="18"/>
                <w:szCs w:val="24"/>
              </w:rPr>
            </w:pPr>
            <w:r w:rsidRPr="00171BBB">
              <w:rPr>
                <w:rFonts w:ascii="Times New Roman" w:hAnsi="Times New Roman" w:cs="Times New Roman"/>
                <w:spacing w:val="4"/>
                <w:sz w:val="18"/>
                <w:szCs w:val="24"/>
              </w:rPr>
              <w:t>240</w:t>
            </w:r>
          </w:p>
        </w:tc>
        <w:tc>
          <w:tcPr>
            <w:tcW w:w="1324" w:type="dxa"/>
            <w:tcBorders>
              <w:top w:val="single" w:sz="4" w:space="0" w:color="auto"/>
              <w:left w:val="nil"/>
              <w:bottom w:val="nil"/>
              <w:right w:val="nil"/>
            </w:tcBorders>
          </w:tcPr>
          <w:p w14:paraId="5464B3C1" w14:textId="77777777" w:rsidR="009F4327" w:rsidRPr="00171BBB" w:rsidRDefault="009F4327" w:rsidP="005E2BA7">
            <w:pPr>
              <w:pStyle w:val="TableParagraph"/>
              <w:spacing w:before="94"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92.38863</w:t>
            </w:r>
          </w:p>
        </w:tc>
        <w:tc>
          <w:tcPr>
            <w:tcW w:w="1024" w:type="dxa"/>
            <w:tcBorders>
              <w:top w:val="single" w:sz="4" w:space="0" w:color="auto"/>
              <w:left w:val="nil"/>
              <w:bottom w:val="nil"/>
              <w:right w:val="nil"/>
            </w:tcBorders>
          </w:tcPr>
          <w:p w14:paraId="3650D3D9" w14:textId="77777777" w:rsidR="009F4327" w:rsidRPr="00171BBB" w:rsidRDefault="009F4327" w:rsidP="005E2BA7">
            <w:pPr>
              <w:pStyle w:val="TableParagraph"/>
              <w:spacing w:before="94"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271.4272</w:t>
            </w:r>
          </w:p>
        </w:tc>
        <w:tc>
          <w:tcPr>
            <w:tcW w:w="1104" w:type="dxa"/>
            <w:tcBorders>
              <w:top w:val="single" w:sz="4" w:space="0" w:color="auto"/>
              <w:left w:val="nil"/>
              <w:bottom w:val="nil"/>
              <w:right w:val="nil"/>
            </w:tcBorders>
          </w:tcPr>
          <w:p w14:paraId="55DBF26A" w14:textId="77777777" w:rsidR="009F4327" w:rsidRPr="00171BBB" w:rsidRDefault="009F4327" w:rsidP="005E2BA7">
            <w:pPr>
              <w:pStyle w:val="TableParagraph"/>
              <w:spacing w:before="94" w:line="188" w:lineRule="exact"/>
              <w:ind w:right="167"/>
              <w:jc w:val="right"/>
              <w:rPr>
                <w:rFonts w:ascii="Times New Roman" w:eastAsia="Courier New" w:hAnsi="Times New Roman" w:cs="Times New Roman"/>
                <w:sz w:val="18"/>
                <w:szCs w:val="24"/>
              </w:rPr>
            </w:pPr>
            <w:r w:rsidRPr="00171BBB">
              <w:rPr>
                <w:rFonts w:ascii="Times New Roman" w:hAnsi="Times New Roman" w:cs="Times New Roman"/>
                <w:spacing w:val="3"/>
                <w:sz w:val="18"/>
                <w:szCs w:val="24"/>
              </w:rPr>
              <w:t>.2</w:t>
            </w:r>
          </w:p>
        </w:tc>
        <w:tc>
          <w:tcPr>
            <w:tcW w:w="1053" w:type="dxa"/>
            <w:tcBorders>
              <w:top w:val="single" w:sz="4" w:space="0" w:color="auto"/>
              <w:left w:val="nil"/>
              <w:bottom w:val="nil"/>
              <w:right w:val="nil"/>
            </w:tcBorders>
          </w:tcPr>
          <w:p w14:paraId="71EFAA64" w14:textId="77777777" w:rsidR="009F4327" w:rsidRPr="00171BBB" w:rsidRDefault="009F4327" w:rsidP="005E2BA7">
            <w:pPr>
              <w:pStyle w:val="TableParagraph"/>
              <w:spacing w:before="94" w:line="188" w:lineRule="exact"/>
              <w:rPr>
                <w:rFonts w:ascii="Times New Roman" w:eastAsia="Courier New" w:hAnsi="Times New Roman" w:cs="Times New Roman"/>
                <w:sz w:val="18"/>
                <w:szCs w:val="24"/>
              </w:rPr>
            </w:pPr>
            <w:r w:rsidRPr="00171BBB">
              <w:rPr>
                <w:rFonts w:ascii="Times New Roman" w:hAnsi="Times New Roman" w:cs="Times New Roman"/>
                <w:spacing w:val="5"/>
                <w:sz w:val="18"/>
                <w:szCs w:val="24"/>
              </w:rPr>
              <w:t xml:space="preserve">        1556.5</w:t>
            </w:r>
          </w:p>
        </w:tc>
      </w:tr>
      <w:tr w:rsidR="009F4327" w:rsidRPr="00171BBB" w14:paraId="09A6F37C" w14:textId="77777777" w:rsidTr="005E2BA7">
        <w:trPr>
          <w:trHeight w:hRule="exact" w:val="194"/>
        </w:trPr>
        <w:tc>
          <w:tcPr>
            <w:tcW w:w="1490" w:type="dxa"/>
            <w:tcBorders>
              <w:top w:val="nil"/>
              <w:left w:val="nil"/>
              <w:bottom w:val="nil"/>
            </w:tcBorders>
          </w:tcPr>
          <w:p w14:paraId="550F33D9" w14:textId="77777777" w:rsidR="009F4327" w:rsidRPr="00171BBB" w:rsidRDefault="009F4327" w:rsidP="005E2BA7">
            <w:pPr>
              <w:pStyle w:val="TableParagraph"/>
              <w:spacing w:before="9" w:line="185" w:lineRule="exact"/>
              <w:ind w:right="167"/>
              <w:jc w:val="right"/>
              <w:rPr>
                <w:rFonts w:ascii="Times New Roman" w:eastAsia="Courier New" w:hAnsi="Times New Roman" w:cs="Times New Roman"/>
                <w:sz w:val="18"/>
                <w:szCs w:val="24"/>
              </w:rPr>
            </w:pPr>
            <w:r w:rsidRPr="00171BBB">
              <w:rPr>
                <w:rFonts w:ascii="Times New Roman" w:hAnsi="Times New Roman" w:cs="Times New Roman"/>
                <w:spacing w:val="4"/>
                <w:sz w:val="18"/>
                <w:szCs w:val="24"/>
              </w:rPr>
              <w:t>ROE</w:t>
            </w:r>
          </w:p>
        </w:tc>
        <w:tc>
          <w:tcPr>
            <w:tcW w:w="1487" w:type="dxa"/>
            <w:tcBorders>
              <w:top w:val="nil"/>
              <w:bottom w:val="nil"/>
              <w:right w:val="nil"/>
            </w:tcBorders>
          </w:tcPr>
          <w:p w14:paraId="4344EE4A" w14:textId="77777777" w:rsidR="009F4327" w:rsidRPr="00171BBB" w:rsidRDefault="009F4327" w:rsidP="005E2BA7">
            <w:pPr>
              <w:pStyle w:val="TableParagraph"/>
              <w:spacing w:before="6" w:line="188" w:lineRule="exact"/>
              <w:ind w:left="934"/>
              <w:rPr>
                <w:rFonts w:ascii="Times New Roman" w:eastAsia="Courier New" w:hAnsi="Times New Roman" w:cs="Times New Roman"/>
                <w:sz w:val="18"/>
                <w:szCs w:val="24"/>
              </w:rPr>
            </w:pPr>
            <w:r w:rsidRPr="00171BBB">
              <w:rPr>
                <w:rFonts w:ascii="Times New Roman" w:hAnsi="Times New Roman" w:cs="Times New Roman"/>
                <w:spacing w:val="4"/>
                <w:sz w:val="18"/>
                <w:szCs w:val="24"/>
              </w:rPr>
              <w:t>240</w:t>
            </w:r>
          </w:p>
        </w:tc>
        <w:tc>
          <w:tcPr>
            <w:tcW w:w="1324" w:type="dxa"/>
            <w:tcBorders>
              <w:top w:val="nil"/>
              <w:left w:val="nil"/>
              <w:bottom w:val="nil"/>
              <w:right w:val="nil"/>
            </w:tcBorders>
          </w:tcPr>
          <w:p w14:paraId="46765A49" w14:textId="77777777" w:rsidR="009F4327" w:rsidRPr="00171BBB" w:rsidRDefault="009F4327" w:rsidP="005E2BA7">
            <w:pPr>
              <w:pStyle w:val="TableParagraph"/>
              <w:spacing w:before="6"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.1271585</w:t>
            </w:r>
          </w:p>
        </w:tc>
        <w:tc>
          <w:tcPr>
            <w:tcW w:w="1024" w:type="dxa"/>
            <w:tcBorders>
              <w:top w:val="nil"/>
              <w:left w:val="nil"/>
              <w:bottom w:val="nil"/>
              <w:right w:val="nil"/>
            </w:tcBorders>
          </w:tcPr>
          <w:p w14:paraId="45726E59" w14:textId="77777777" w:rsidR="009F4327" w:rsidRPr="00171BBB" w:rsidRDefault="009F4327" w:rsidP="005E2BA7">
            <w:pPr>
              <w:pStyle w:val="TableParagraph"/>
              <w:spacing w:before="6"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.2524563</w:t>
            </w:r>
          </w:p>
        </w:tc>
        <w:tc>
          <w:tcPr>
            <w:tcW w:w="1104" w:type="dxa"/>
            <w:tcBorders>
              <w:top w:val="nil"/>
              <w:left w:val="nil"/>
              <w:bottom w:val="nil"/>
              <w:right w:val="nil"/>
            </w:tcBorders>
          </w:tcPr>
          <w:p w14:paraId="52001F47" w14:textId="77777777" w:rsidR="009F4327" w:rsidRPr="00171BBB" w:rsidRDefault="009F4327" w:rsidP="005E2BA7">
            <w:pPr>
              <w:pStyle w:val="TableParagraph"/>
              <w:spacing w:before="6" w:line="188" w:lineRule="exact"/>
              <w:ind w:left="169"/>
              <w:rPr>
                <w:rFonts w:ascii="Times New Roman" w:eastAsia="Courier New" w:hAnsi="Times New Roman" w:cs="Times New Roman"/>
                <w:sz w:val="18"/>
                <w:szCs w:val="24"/>
              </w:rPr>
            </w:pPr>
            <w:r w:rsidRPr="00171BBB">
              <w:rPr>
                <w:rFonts w:ascii="Times New Roman" w:hAnsi="Times New Roman" w:cs="Times New Roman"/>
                <w:spacing w:val="6"/>
                <w:sz w:val="18"/>
                <w:szCs w:val="24"/>
              </w:rPr>
              <w:t xml:space="preserve">   -.485452</w:t>
            </w:r>
          </w:p>
        </w:tc>
        <w:tc>
          <w:tcPr>
            <w:tcW w:w="1053" w:type="dxa"/>
            <w:tcBorders>
              <w:top w:val="nil"/>
              <w:left w:val="nil"/>
              <w:bottom w:val="nil"/>
              <w:right w:val="nil"/>
            </w:tcBorders>
          </w:tcPr>
          <w:p w14:paraId="69BCC38D" w14:textId="77777777" w:rsidR="009F4327" w:rsidRPr="00171BBB" w:rsidRDefault="009F4327" w:rsidP="005E2BA7">
            <w:pPr>
              <w:pStyle w:val="TableParagraph"/>
              <w:spacing w:before="6" w:line="188" w:lineRule="exact"/>
              <w:ind w:left="169"/>
              <w:rPr>
                <w:rFonts w:ascii="Times New Roman" w:eastAsia="Courier New" w:hAnsi="Times New Roman" w:cs="Times New Roman"/>
                <w:sz w:val="18"/>
                <w:szCs w:val="24"/>
              </w:rPr>
            </w:pPr>
            <w:r w:rsidRPr="00171BBB">
              <w:rPr>
                <w:rFonts w:ascii="Times New Roman" w:hAnsi="Times New Roman" w:cs="Times New Roman"/>
                <w:spacing w:val="6"/>
                <w:sz w:val="18"/>
                <w:szCs w:val="24"/>
              </w:rPr>
              <w:t>0.7000893</w:t>
            </w:r>
          </w:p>
        </w:tc>
      </w:tr>
      <w:tr w:rsidR="009F4327" w:rsidRPr="00171BBB" w14:paraId="6B0AE62E" w14:textId="77777777" w:rsidTr="005E2BA7">
        <w:trPr>
          <w:trHeight w:hRule="exact" w:val="194"/>
        </w:trPr>
        <w:tc>
          <w:tcPr>
            <w:tcW w:w="1490" w:type="dxa"/>
            <w:tcBorders>
              <w:top w:val="nil"/>
              <w:left w:val="nil"/>
              <w:bottom w:val="nil"/>
            </w:tcBorders>
          </w:tcPr>
          <w:p w14:paraId="64D787CE" w14:textId="77777777" w:rsidR="009F4327" w:rsidRPr="00171BBB" w:rsidRDefault="009F4327" w:rsidP="005E2BA7">
            <w:pPr>
              <w:pStyle w:val="TableParagraph"/>
              <w:spacing w:before="9" w:line="185" w:lineRule="exact"/>
              <w:ind w:right="167"/>
              <w:jc w:val="right"/>
              <w:rPr>
                <w:rFonts w:ascii="Times New Roman" w:eastAsia="Courier New" w:hAnsi="Times New Roman" w:cs="Times New Roman"/>
                <w:sz w:val="18"/>
                <w:szCs w:val="24"/>
              </w:rPr>
            </w:pPr>
            <w:r w:rsidRPr="00171BBB">
              <w:rPr>
                <w:rFonts w:ascii="Times New Roman" w:hAnsi="Times New Roman" w:cs="Times New Roman"/>
                <w:spacing w:val="4"/>
                <w:sz w:val="18"/>
                <w:szCs w:val="24"/>
              </w:rPr>
              <w:t>CUR</w:t>
            </w:r>
          </w:p>
        </w:tc>
        <w:tc>
          <w:tcPr>
            <w:tcW w:w="1487" w:type="dxa"/>
            <w:tcBorders>
              <w:top w:val="nil"/>
              <w:bottom w:val="nil"/>
              <w:right w:val="nil"/>
            </w:tcBorders>
          </w:tcPr>
          <w:p w14:paraId="3B81C6AC" w14:textId="77777777" w:rsidR="009F4327" w:rsidRPr="00171BBB" w:rsidRDefault="009F4327" w:rsidP="005E2BA7">
            <w:pPr>
              <w:pStyle w:val="TableParagraph"/>
              <w:spacing w:before="6" w:line="188" w:lineRule="exact"/>
              <w:ind w:left="934"/>
              <w:rPr>
                <w:rFonts w:ascii="Times New Roman" w:eastAsia="Courier New" w:hAnsi="Times New Roman" w:cs="Times New Roman"/>
                <w:sz w:val="18"/>
                <w:szCs w:val="24"/>
              </w:rPr>
            </w:pPr>
            <w:r w:rsidRPr="00171BBB">
              <w:rPr>
                <w:rFonts w:ascii="Times New Roman" w:hAnsi="Times New Roman" w:cs="Times New Roman"/>
                <w:spacing w:val="4"/>
                <w:sz w:val="18"/>
                <w:szCs w:val="24"/>
              </w:rPr>
              <w:t>240</w:t>
            </w:r>
          </w:p>
        </w:tc>
        <w:tc>
          <w:tcPr>
            <w:tcW w:w="1324" w:type="dxa"/>
            <w:tcBorders>
              <w:top w:val="nil"/>
              <w:left w:val="nil"/>
              <w:bottom w:val="nil"/>
              <w:right w:val="nil"/>
            </w:tcBorders>
          </w:tcPr>
          <w:p w14:paraId="7CAF9058" w14:textId="77777777" w:rsidR="009F4327" w:rsidRPr="00171BBB" w:rsidRDefault="009F4327" w:rsidP="005E2BA7">
            <w:pPr>
              <w:pStyle w:val="TableParagraph"/>
              <w:spacing w:before="6"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1.151341</w:t>
            </w:r>
          </w:p>
        </w:tc>
        <w:tc>
          <w:tcPr>
            <w:tcW w:w="1024" w:type="dxa"/>
            <w:tcBorders>
              <w:top w:val="nil"/>
              <w:left w:val="nil"/>
              <w:bottom w:val="nil"/>
              <w:right w:val="nil"/>
            </w:tcBorders>
          </w:tcPr>
          <w:p w14:paraId="76417454" w14:textId="77777777" w:rsidR="009F4327" w:rsidRPr="00171BBB" w:rsidRDefault="009F4327" w:rsidP="005E2BA7">
            <w:pPr>
              <w:pStyle w:val="TableParagraph"/>
              <w:spacing w:before="6" w:line="188" w:lineRule="exact"/>
              <w:ind w:left="210"/>
              <w:rPr>
                <w:rFonts w:ascii="Times New Roman" w:eastAsia="Courier New" w:hAnsi="Times New Roman" w:cs="Times New Roman"/>
                <w:sz w:val="18"/>
                <w:szCs w:val="24"/>
              </w:rPr>
            </w:pPr>
            <w:r w:rsidRPr="00171BBB">
              <w:rPr>
                <w:rFonts w:ascii="Times New Roman" w:hAnsi="Times New Roman" w:cs="Times New Roman"/>
                <w:spacing w:val="7"/>
                <w:sz w:val="18"/>
                <w:szCs w:val="24"/>
              </w:rPr>
              <w:t>.5554952</w:t>
            </w:r>
          </w:p>
        </w:tc>
        <w:tc>
          <w:tcPr>
            <w:tcW w:w="1104" w:type="dxa"/>
            <w:tcBorders>
              <w:top w:val="nil"/>
              <w:left w:val="nil"/>
              <w:bottom w:val="nil"/>
              <w:right w:val="nil"/>
            </w:tcBorders>
          </w:tcPr>
          <w:p w14:paraId="4818BE2A" w14:textId="77777777" w:rsidR="009F4327" w:rsidRPr="00171BBB" w:rsidRDefault="009F4327" w:rsidP="005E2BA7">
            <w:pPr>
              <w:pStyle w:val="TableParagraph"/>
              <w:spacing w:before="6" w:line="188" w:lineRule="exact"/>
              <w:ind w:left="169"/>
              <w:rPr>
                <w:rFonts w:ascii="Times New Roman" w:eastAsia="Courier New" w:hAnsi="Times New Roman" w:cs="Times New Roman"/>
                <w:sz w:val="18"/>
                <w:szCs w:val="24"/>
              </w:rPr>
            </w:pPr>
            <w:r w:rsidRPr="00171BBB">
              <w:rPr>
                <w:rFonts w:ascii="Times New Roman" w:hAnsi="Times New Roman" w:cs="Times New Roman"/>
                <w:spacing w:val="6"/>
                <w:sz w:val="18"/>
                <w:szCs w:val="24"/>
              </w:rPr>
              <w:t xml:space="preserve">  .4107514</w:t>
            </w:r>
          </w:p>
        </w:tc>
        <w:tc>
          <w:tcPr>
            <w:tcW w:w="1053" w:type="dxa"/>
            <w:tcBorders>
              <w:top w:val="nil"/>
              <w:left w:val="nil"/>
              <w:bottom w:val="nil"/>
              <w:right w:val="nil"/>
            </w:tcBorders>
          </w:tcPr>
          <w:p w14:paraId="784430A3" w14:textId="77777777" w:rsidR="009F4327" w:rsidRPr="00171BBB" w:rsidRDefault="009F4327" w:rsidP="005E2BA7">
            <w:pPr>
              <w:pStyle w:val="TableParagraph"/>
              <w:spacing w:before="6" w:line="188" w:lineRule="exact"/>
              <w:ind w:left="169"/>
              <w:rPr>
                <w:rFonts w:ascii="Times New Roman" w:eastAsia="Courier New" w:hAnsi="Times New Roman" w:cs="Times New Roman"/>
                <w:sz w:val="18"/>
                <w:szCs w:val="24"/>
              </w:rPr>
            </w:pPr>
            <w:r w:rsidRPr="00171BBB">
              <w:rPr>
                <w:rFonts w:ascii="Times New Roman" w:hAnsi="Times New Roman" w:cs="Times New Roman"/>
                <w:spacing w:val="6"/>
                <w:sz w:val="18"/>
                <w:szCs w:val="24"/>
              </w:rPr>
              <w:t>2.50246</w:t>
            </w:r>
          </w:p>
        </w:tc>
      </w:tr>
      <w:tr w:rsidR="009F4327" w:rsidRPr="00171BBB" w14:paraId="597F10FB" w14:textId="77777777" w:rsidTr="005E2BA7">
        <w:trPr>
          <w:trHeight w:hRule="exact" w:val="194"/>
        </w:trPr>
        <w:tc>
          <w:tcPr>
            <w:tcW w:w="1490" w:type="dxa"/>
            <w:tcBorders>
              <w:top w:val="nil"/>
              <w:left w:val="nil"/>
            </w:tcBorders>
          </w:tcPr>
          <w:p w14:paraId="1C2D746A" w14:textId="77777777" w:rsidR="009F4327" w:rsidRPr="00171BBB" w:rsidRDefault="009F4327" w:rsidP="005E2BA7">
            <w:pPr>
              <w:pStyle w:val="TableParagraph"/>
              <w:spacing w:before="9" w:line="185" w:lineRule="exact"/>
              <w:ind w:right="167"/>
              <w:jc w:val="right"/>
              <w:rPr>
                <w:rFonts w:ascii="Times New Roman" w:eastAsia="Courier New" w:hAnsi="Times New Roman" w:cs="Times New Roman"/>
                <w:sz w:val="18"/>
                <w:szCs w:val="24"/>
              </w:rPr>
            </w:pPr>
            <w:r w:rsidRPr="00171BBB">
              <w:rPr>
                <w:rFonts w:ascii="Times New Roman" w:hAnsi="Times New Roman" w:cs="Times New Roman"/>
                <w:spacing w:val="4"/>
                <w:sz w:val="18"/>
                <w:szCs w:val="24"/>
              </w:rPr>
              <w:t>DER</w:t>
            </w:r>
          </w:p>
        </w:tc>
        <w:tc>
          <w:tcPr>
            <w:tcW w:w="1487" w:type="dxa"/>
            <w:tcBorders>
              <w:top w:val="nil"/>
              <w:right w:val="nil"/>
            </w:tcBorders>
          </w:tcPr>
          <w:p w14:paraId="16D7CA2C" w14:textId="77777777" w:rsidR="009F4327" w:rsidRPr="00171BBB" w:rsidRDefault="009F4327" w:rsidP="005E2BA7">
            <w:pPr>
              <w:pStyle w:val="TableParagraph"/>
              <w:spacing w:before="6" w:line="188" w:lineRule="exact"/>
              <w:ind w:left="934"/>
              <w:rPr>
                <w:rFonts w:ascii="Times New Roman" w:eastAsia="Courier New" w:hAnsi="Times New Roman" w:cs="Times New Roman"/>
                <w:sz w:val="18"/>
                <w:szCs w:val="24"/>
              </w:rPr>
            </w:pPr>
            <w:r w:rsidRPr="00171BBB">
              <w:rPr>
                <w:rFonts w:ascii="Times New Roman" w:hAnsi="Times New Roman" w:cs="Times New Roman"/>
                <w:spacing w:val="4"/>
                <w:sz w:val="18"/>
                <w:szCs w:val="24"/>
              </w:rPr>
              <w:t>240</w:t>
            </w:r>
          </w:p>
        </w:tc>
        <w:tc>
          <w:tcPr>
            <w:tcW w:w="1324" w:type="dxa"/>
            <w:tcBorders>
              <w:top w:val="nil"/>
              <w:left w:val="nil"/>
              <w:right w:val="nil"/>
            </w:tcBorders>
          </w:tcPr>
          <w:p w14:paraId="6F73AE48" w14:textId="77777777" w:rsidR="009F4327" w:rsidRPr="00171BBB" w:rsidRDefault="009F4327" w:rsidP="005E2BA7">
            <w:pPr>
              <w:pStyle w:val="TableParagraph"/>
              <w:spacing w:before="6"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2.088467</w:t>
            </w:r>
          </w:p>
        </w:tc>
        <w:tc>
          <w:tcPr>
            <w:tcW w:w="1024" w:type="dxa"/>
            <w:tcBorders>
              <w:top w:val="nil"/>
              <w:left w:val="nil"/>
              <w:right w:val="nil"/>
            </w:tcBorders>
          </w:tcPr>
          <w:p w14:paraId="43F1F81E" w14:textId="77777777" w:rsidR="009F4327" w:rsidRPr="00171BBB" w:rsidRDefault="009F4327" w:rsidP="005E2BA7">
            <w:pPr>
              <w:pStyle w:val="TableParagraph"/>
              <w:spacing w:before="6"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1.889837</w:t>
            </w:r>
          </w:p>
        </w:tc>
        <w:tc>
          <w:tcPr>
            <w:tcW w:w="1104" w:type="dxa"/>
            <w:tcBorders>
              <w:top w:val="nil"/>
              <w:left w:val="nil"/>
              <w:right w:val="nil"/>
            </w:tcBorders>
          </w:tcPr>
          <w:p w14:paraId="34C86965" w14:textId="77777777" w:rsidR="009F4327" w:rsidRPr="00171BBB" w:rsidRDefault="009F4327" w:rsidP="005E2BA7">
            <w:pPr>
              <w:pStyle w:val="TableParagraph"/>
              <w:spacing w:before="6" w:line="188" w:lineRule="exact"/>
              <w:ind w:left="58"/>
              <w:rPr>
                <w:rFonts w:ascii="Times New Roman" w:eastAsia="Courier New" w:hAnsi="Times New Roman" w:cs="Times New Roman"/>
                <w:sz w:val="18"/>
                <w:szCs w:val="24"/>
              </w:rPr>
            </w:pPr>
            <w:r w:rsidRPr="00171BBB">
              <w:rPr>
                <w:rFonts w:ascii="Times New Roman" w:hAnsi="Times New Roman" w:cs="Times New Roman"/>
                <w:spacing w:val="6"/>
                <w:sz w:val="18"/>
                <w:szCs w:val="24"/>
              </w:rPr>
              <w:t xml:space="preserve">   .3100538</w:t>
            </w:r>
          </w:p>
        </w:tc>
        <w:tc>
          <w:tcPr>
            <w:tcW w:w="1053" w:type="dxa"/>
            <w:tcBorders>
              <w:top w:val="nil"/>
              <w:left w:val="nil"/>
              <w:right w:val="nil"/>
            </w:tcBorders>
          </w:tcPr>
          <w:p w14:paraId="07802102" w14:textId="77777777" w:rsidR="009F4327" w:rsidRPr="00171BBB" w:rsidRDefault="009F4327" w:rsidP="005E2BA7">
            <w:pPr>
              <w:pStyle w:val="TableParagraph"/>
              <w:spacing w:before="6" w:line="188" w:lineRule="exact"/>
              <w:ind w:left="169"/>
              <w:rPr>
                <w:rFonts w:ascii="Times New Roman" w:eastAsia="Courier New" w:hAnsi="Times New Roman" w:cs="Times New Roman"/>
                <w:sz w:val="18"/>
                <w:szCs w:val="24"/>
              </w:rPr>
            </w:pPr>
            <w:r w:rsidRPr="00171BBB">
              <w:rPr>
                <w:rFonts w:ascii="Times New Roman" w:hAnsi="Times New Roman" w:cs="Times New Roman"/>
                <w:spacing w:val="6"/>
                <w:sz w:val="18"/>
                <w:szCs w:val="24"/>
              </w:rPr>
              <w:t>8.024084</w:t>
            </w:r>
          </w:p>
        </w:tc>
      </w:tr>
      <w:tr w:rsidR="009F4327" w:rsidRPr="00171BBB" w14:paraId="7CBA262C" w14:textId="77777777" w:rsidTr="005E2BA7">
        <w:trPr>
          <w:trHeight w:hRule="exact" w:val="189"/>
        </w:trPr>
        <w:tc>
          <w:tcPr>
            <w:tcW w:w="1490" w:type="dxa"/>
            <w:tcBorders>
              <w:top w:val="nil"/>
              <w:left w:val="nil"/>
            </w:tcBorders>
          </w:tcPr>
          <w:p w14:paraId="7ABB636B" w14:textId="77777777" w:rsidR="009F4327" w:rsidRPr="00171BBB" w:rsidRDefault="009F4327" w:rsidP="005E2BA7">
            <w:pPr>
              <w:pStyle w:val="TableParagraph"/>
              <w:spacing w:before="9"/>
              <w:ind w:right="167"/>
              <w:jc w:val="right"/>
              <w:rPr>
                <w:rFonts w:ascii="Times New Roman" w:eastAsia="Courier New" w:hAnsi="Times New Roman" w:cs="Times New Roman"/>
                <w:sz w:val="18"/>
                <w:szCs w:val="24"/>
              </w:rPr>
            </w:pPr>
            <w:r w:rsidRPr="00171BBB">
              <w:rPr>
                <w:rFonts w:ascii="Times New Roman" w:hAnsi="Times New Roman" w:cs="Times New Roman"/>
                <w:spacing w:val="4"/>
                <w:sz w:val="18"/>
                <w:szCs w:val="24"/>
              </w:rPr>
              <w:t>TAT</w:t>
            </w:r>
          </w:p>
        </w:tc>
        <w:tc>
          <w:tcPr>
            <w:tcW w:w="1487" w:type="dxa"/>
            <w:tcBorders>
              <w:top w:val="nil"/>
            </w:tcBorders>
          </w:tcPr>
          <w:p w14:paraId="01E1F1D7" w14:textId="77777777" w:rsidR="009F4327" w:rsidRPr="00171BBB" w:rsidRDefault="009F4327" w:rsidP="005E2BA7">
            <w:pPr>
              <w:pStyle w:val="TableParagraph"/>
              <w:spacing w:before="6"/>
              <w:ind w:left="934"/>
              <w:rPr>
                <w:rFonts w:ascii="Times New Roman" w:eastAsia="Courier New" w:hAnsi="Times New Roman" w:cs="Times New Roman"/>
                <w:sz w:val="18"/>
                <w:szCs w:val="24"/>
              </w:rPr>
            </w:pPr>
            <w:r w:rsidRPr="00171BBB">
              <w:rPr>
                <w:rFonts w:ascii="Times New Roman" w:hAnsi="Times New Roman" w:cs="Times New Roman"/>
                <w:spacing w:val="4"/>
                <w:sz w:val="18"/>
                <w:szCs w:val="24"/>
              </w:rPr>
              <w:t>240</w:t>
            </w:r>
          </w:p>
        </w:tc>
        <w:tc>
          <w:tcPr>
            <w:tcW w:w="1324" w:type="dxa"/>
            <w:tcBorders>
              <w:top w:val="nil"/>
            </w:tcBorders>
          </w:tcPr>
          <w:p w14:paraId="54078338" w14:textId="77777777" w:rsidR="009F4327" w:rsidRPr="00171BBB" w:rsidRDefault="009F4327" w:rsidP="005E2BA7">
            <w:pPr>
              <w:pStyle w:val="TableParagraph"/>
              <w:spacing w:before="6"/>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.903722</w:t>
            </w:r>
          </w:p>
        </w:tc>
        <w:tc>
          <w:tcPr>
            <w:tcW w:w="1024" w:type="dxa"/>
            <w:tcBorders>
              <w:top w:val="nil"/>
            </w:tcBorders>
          </w:tcPr>
          <w:p w14:paraId="3F41EB70" w14:textId="77777777" w:rsidR="009F4327" w:rsidRPr="00171BBB" w:rsidRDefault="009F4327" w:rsidP="005E2BA7">
            <w:pPr>
              <w:pStyle w:val="TableParagraph"/>
              <w:spacing w:before="6"/>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.4686788</w:t>
            </w:r>
          </w:p>
        </w:tc>
        <w:tc>
          <w:tcPr>
            <w:tcW w:w="1104" w:type="dxa"/>
            <w:tcBorders>
              <w:top w:val="nil"/>
            </w:tcBorders>
          </w:tcPr>
          <w:p w14:paraId="5EF20E56" w14:textId="77777777" w:rsidR="009F4327" w:rsidRPr="00171BBB" w:rsidRDefault="009F4327" w:rsidP="005E2BA7">
            <w:pPr>
              <w:pStyle w:val="TableParagraph"/>
              <w:spacing w:before="6"/>
              <w:ind w:left="169"/>
              <w:rPr>
                <w:rFonts w:ascii="Times New Roman" w:eastAsia="Courier New" w:hAnsi="Times New Roman" w:cs="Times New Roman"/>
                <w:sz w:val="18"/>
                <w:szCs w:val="24"/>
              </w:rPr>
            </w:pPr>
            <w:r w:rsidRPr="00171BBB">
              <w:rPr>
                <w:rFonts w:ascii="Times New Roman" w:hAnsi="Times New Roman" w:cs="Times New Roman"/>
                <w:spacing w:val="6"/>
                <w:sz w:val="18"/>
                <w:szCs w:val="24"/>
              </w:rPr>
              <w:t xml:space="preserve">  .1347892</w:t>
            </w:r>
          </w:p>
        </w:tc>
        <w:tc>
          <w:tcPr>
            <w:tcW w:w="1053" w:type="dxa"/>
            <w:tcBorders>
              <w:top w:val="nil"/>
              <w:right w:val="nil"/>
            </w:tcBorders>
          </w:tcPr>
          <w:p w14:paraId="071CF39B" w14:textId="77777777" w:rsidR="009F4327" w:rsidRPr="00171BBB" w:rsidRDefault="009F4327" w:rsidP="005E2BA7">
            <w:pPr>
              <w:pStyle w:val="TableParagraph"/>
              <w:spacing w:before="6"/>
              <w:ind w:left="169"/>
              <w:rPr>
                <w:rFonts w:ascii="Times New Roman" w:eastAsia="Courier New" w:hAnsi="Times New Roman" w:cs="Times New Roman"/>
                <w:sz w:val="18"/>
                <w:szCs w:val="24"/>
              </w:rPr>
            </w:pPr>
            <w:r w:rsidRPr="00171BBB">
              <w:rPr>
                <w:rFonts w:ascii="Times New Roman" w:hAnsi="Times New Roman" w:cs="Times New Roman"/>
                <w:spacing w:val="6"/>
                <w:sz w:val="18"/>
                <w:szCs w:val="24"/>
              </w:rPr>
              <w:t>1.973822</w:t>
            </w:r>
          </w:p>
        </w:tc>
      </w:tr>
      <w:tr w:rsidR="009F4327" w:rsidRPr="00171BBB" w14:paraId="3C7613CC" w14:textId="77777777" w:rsidTr="005E2BA7">
        <w:trPr>
          <w:trHeight w:hRule="exact" w:val="282"/>
        </w:trPr>
        <w:tc>
          <w:tcPr>
            <w:tcW w:w="1490" w:type="dxa"/>
            <w:tcBorders>
              <w:left w:val="nil"/>
              <w:bottom w:val="nil"/>
            </w:tcBorders>
          </w:tcPr>
          <w:p w14:paraId="0C574DEA" w14:textId="77777777" w:rsidR="009F4327" w:rsidRPr="00171BBB" w:rsidRDefault="009F4327" w:rsidP="005E2BA7">
            <w:pPr>
              <w:pStyle w:val="TableParagraph"/>
              <w:spacing w:before="97" w:line="185" w:lineRule="exact"/>
              <w:ind w:right="167"/>
              <w:jc w:val="right"/>
              <w:rPr>
                <w:rFonts w:ascii="Times New Roman" w:eastAsia="Courier New" w:hAnsi="Times New Roman" w:cs="Times New Roman"/>
                <w:sz w:val="18"/>
                <w:szCs w:val="24"/>
              </w:rPr>
            </w:pPr>
            <w:r w:rsidRPr="00171BBB">
              <w:rPr>
                <w:rFonts w:ascii="Times New Roman" w:hAnsi="Times New Roman" w:cs="Times New Roman"/>
                <w:spacing w:val="4"/>
                <w:sz w:val="18"/>
                <w:szCs w:val="24"/>
              </w:rPr>
              <w:t>EPS</w:t>
            </w:r>
          </w:p>
        </w:tc>
        <w:tc>
          <w:tcPr>
            <w:tcW w:w="1487" w:type="dxa"/>
            <w:tcBorders>
              <w:bottom w:val="nil"/>
              <w:right w:val="nil"/>
            </w:tcBorders>
          </w:tcPr>
          <w:p w14:paraId="0C54BB17" w14:textId="77777777" w:rsidR="009F4327" w:rsidRPr="00171BBB" w:rsidRDefault="009F4327" w:rsidP="005E2BA7">
            <w:pPr>
              <w:pStyle w:val="TableParagraph"/>
              <w:spacing w:before="94" w:line="188" w:lineRule="exact"/>
              <w:ind w:left="934"/>
              <w:rPr>
                <w:rFonts w:ascii="Times New Roman" w:eastAsia="Courier New" w:hAnsi="Times New Roman" w:cs="Times New Roman"/>
                <w:sz w:val="18"/>
                <w:szCs w:val="24"/>
              </w:rPr>
            </w:pPr>
            <w:r w:rsidRPr="00171BBB">
              <w:rPr>
                <w:rFonts w:ascii="Times New Roman" w:hAnsi="Times New Roman" w:cs="Times New Roman"/>
                <w:spacing w:val="4"/>
                <w:sz w:val="18"/>
                <w:szCs w:val="24"/>
              </w:rPr>
              <w:t>240</w:t>
            </w:r>
          </w:p>
        </w:tc>
        <w:tc>
          <w:tcPr>
            <w:tcW w:w="1324" w:type="dxa"/>
            <w:tcBorders>
              <w:left w:val="nil"/>
              <w:bottom w:val="nil"/>
              <w:right w:val="nil"/>
            </w:tcBorders>
          </w:tcPr>
          <w:p w14:paraId="299A13DC" w14:textId="77777777" w:rsidR="009F4327" w:rsidRPr="00171BBB" w:rsidRDefault="009F4327" w:rsidP="005E2BA7">
            <w:pPr>
              <w:pStyle w:val="TableParagraph"/>
              <w:spacing w:before="94"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3.003179</w:t>
            </w:r>
          </w:p>
        </w:tc>
        <w:tc>
          <w:tcPr>
            <w:tcW w:w="1024" w:type="dxa"/>
            <w:tcBorders>
              <w:left w:val="nil"/>
              <w:bottom w:val="nil"/>
              <w:right w:val="nil"/>
            </w:tcBorders>
          </w:tcPr>
          <w:p w14:paraId="16F8A2BC" w14:textId="77777777" w:rsidR="009F4327" w:rsidRPr="00171BBB" w:rsidRDefault="009F4327" w:rsidP="005E2BA7">
            <w:pPr>
              <w:pStyle w:val="TableParagraph"/>
              <w:spacing w:before="94"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11.84249</w:t>
            </w:r>
          </w:p>
        </w:tc>
        <w:tc>
          <w:tcPr>
            <w:tcW w:w="1104" w:type="dxa"/>
            <w:tcBorders>
              <w:left w:val="nil"/>
              <w:bottom w:val="nil"/>
              <w:right w:val="nil"/>
            </w:tcBorders>
          </w:tcPr>
          <w:p w14:paraId="5B87C888" w14:textId="77777777" w:rsidR="009F4327" w:rsidRPr="00171BBB" w:rsidRDefault="009F4327" w:rsidP="005E2BA7">
            <w:pPr>
              <w:pStyle w:val="TableParagraph"/>
              <w:spacing w:before="94" w:line="188" w:lineRule="exact"/>
              <w:ind w:left="58"/>
              <w:rPr>
                <w:rFonts w:ascii="Times New Roman" w:eastAsia="Courier New" w:hAnsi="Times New Roman" w:cs="Times New Roman"/>
                <w:sz w:val="18"/>
                <w:szCs w:val="24"/>
              </w:rPr>
            </w:pPr>
            <w:r w:rsidRPr="00171BBB">
              <w:rPr>
                <w:rFonts w:ascii="Times New Roman" w:hAnsi="Times New Roman" w:cs="Times New Roman"/>
                <w:spacing w:val="6"/>
                <w:sz w:val="18"/>
                <w:szCs w:val="24"/>
              </w:rPr>
              <w:t xml:space="preserve">  -100.2626</w:t>
            </w:r>
          </w:p>
        </w:tc>
        <w:tc>
          <w:tcPr>
            <w:tcW w:w="1053" w:type="dxa"/>
            <w:tcBorders>
              <w:left w:val="nil"/>
              <w:bottom w:val="nil"/>
              <w:right w:val="nil"/>
            </w:tcBorders>
          </w:tcPr>
          <w:p w14:paraId="0324F921" w14:textId="77777777" w:rsidR="009F4327" w:rsidRPr="00171BBB" w:rsidRDefault="009F4327" w:rsidP="005E2BA7">
            <w:pPr>
              <w:pStyle w:val="TableParagraph"/>
              <w:spacing w:before="94" w:line="188" w:lineRule="exact"/>
              <w:ind w:left="169"/>
              <w:rPr>
                <w:rFonts w:ascii="Times New Roman" w:eastAsia="Courier New" w:hAnsi="Times New Roman" w:cs="Times New Roman"/>
                <w:sz w:val="18"/>
                <w:szCs w:val="24"/>
              </w:rPr>
            </w:pPr>
            <w:r w:rsidRPr="00171BBB">
              <w:rPr>
                <w:rFonts w:ascii="Times New Roman" w:hAnsi="Times New Roman" w:cs="Times New Roman"/>
                <w:spacing w:val="6"/>
                <w:sz w:val="18"/>
                <w:szCs w:val="24"/>
              </w:rPr>
              <w:t>61.77394</w:t>
            </w:r>
          </w:p>
        </w:tc>
      </w:tr>
      <w:tr w:rsidR="009F4327" w:rsidRPr="00171BBB" w14:paraId="467A304A" w14:textId="77777777" w:rsidTr="005E2BA7">
        <w:trPr>
          <w:trHeight w:hRule="exact" w:val="194"/>
        </w:trPr>
        <w:tc>
          <w:tcPr>
            <w:tcW w:w="1490" w:type="dxa"/>
            <w:tcBorders>
              <w:top w:val="nil"/>
              <w:left w:val="nil"/>
              <w:bottom w:val="nil"/>
            </w:tcBorders>
          </w:tcPr>
          <w:p w14:paraId="18E2446B" w14:textId="77777777" w:rsidR="009F4327" w:rsidRPr="00171BBB" w:rsidRDefault="009F4327" w:rsidP="005E2BA7">
            <w:pPr>
              <w:pStyle w:val="TableParagraph"/>
              <w:spacing w:before="9" w:line="185" w:lineRule="exact"/>
              <w:ind w:right="167"/>
              <w:jc w:val="right"/>
              <w:rPr>
                <w:rFonts w:ascii="Times New Roman" w:eastAsia="Courier New" w:hAnsi="Times New Roman" w:cs="Times New Roman"/>
                <w:sz w:val="18"/>
                <w:szCs w:val="24"/>
              </w:rPr>
            </w:pPr>
            <w:r w:rsidRPr="00171BBB">
              <w:rPr>
                <w:rFonts w:ascii="Times New Roman" w:hAnsi="Times New Roman" w:cs="Times New Roman"/>
                <w:spacing w:val="4"/>
                <w:sz w:val="18"/>
                <w:szCs w:val="24"/>
              </w:rPr>
              <w:t>FSZ</w:t>
            </w:r>
          </w:p>
        </w:tc>
        <w:tc>
          <w:tcPr>
            <w:tcW w:w="1487" w:type="dxa"/>
            <w:tcBorders>
              <w:top w:val="nil"/>
              <w:bottom w:val="nil"/>
              <w:right w:val="nil"/>
            </w:tcBorders>
          </w:tcPr>
          <w:p w14:paraId="3B67760B" w14:textId="77777777" w:rsidR="009F4327" w:rsidRPr="00171BBB" w:rsidRDefault="009F4327" w:rsidP="005E2BA7">
            <w:pPr>
              <w:pStyle w:val="TableParagraph"/>
              <w:spacing w:before="6" w:line="188" w:lineRule="exact"/>
              <w:ind w:left="934"/>
              <w:rPr>
                <w:rFonts w:ascii="Times New Roman" w:eastAsia="Courier New" w:hAnsi="Times New Roman" w:cs="Times New Roman"/>
                <w:sz w:val="18"/>
                <w:szCs w:val="24"/>
              </w:rPr>
            </w:pPr>
            <w:r w:rsidRPr="00171BBB">
              <w:rPr>
                <w:rFonts w:ascii="Times New Roman" w:hAnsi="Times New Roman" w:cs="Times New Roman"/>
                <w:spacing w:val="4"/>
                <w:sz w:val="18"/>
                <w:szCs w:val="24"/>
              </w:rPr>
              <w:t>240</w:t>
            </w:r>
          </w:p>
        </w:tc>
        <w:tc>
          <w:tcPr>
            <w:tcW w:w="1324" w:type="dxa"/>
            <w:tcBorders>
              <w:top w:val="nil"/>
              <w:left w:val="nil"/>
              <w:bottom w:val="nil"/>
              <w:right w:val="nil"/>
            </w:tcBorders>
          </w:tcPr>
          <w:p w14:paraId="0B284E2E" w14:textId="77777777" w:rsidR="009F4327" w:rsidRPr="00171BBB" w:rsidRDefault="009F4327" w:rsidP="005E2BA7">
            <w:pPr>
              <w:pStyle w:val="TableParagraph"/>
              <w:spacing w:before="6"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17.36831</w:t>
            </w:r>
          </w:p>
        </w:tc>
        <w:tc>
          <w:tcPr>
            <w:tcW w:w="1024" w:type="dxa"/>
            <w:tcBorders>
              <w:top w:val="nil"/>
              <w:left w:val="nil"/>
              <w:bottom w:val="nil"/>
              <w:right w:val="nil"/>
            </w:tcBorders>
          </w:tcPr>
          <w:p w14:paraId="244BE772" w14:textId="77777777" w:rsidR="009F4327" w:rsidRPr="00171BBB" w:rsidRDefault="009F4327" w:rsidP="005E2BA7">
            <w:pPr>
              <w:pStyle w:val="TableParagraph"/>
              <w:spacing w:before="6"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1.807143</w:t>
            </w:r>
          </w:p>
        </w:tc>
        <w:tc>
          <w:tcPr>
            <w:tcW w:w="1104" w:type="dxa"/>
            <w:tcBorders>
              <w:top w:val="nil"/>
              <w:left w:val="nil"/>
              <w:bottom w:val="nil"/>
              <w:right w:val="nil"/>
            </w:tcBorders>
          </w:tcPr>
          <w:p w14:paraId="0EFAC4C1" w14:textId="77777777" w:rsidR="009F4327" w:rsidRPr="00171BBB" w:rsidRDefault="009F4327" w:rsidP="005E2BA7">
            <w:pPr>
              <w:pStyle w:val="TableParagraph"/>
              <w:spacing w:before="6" w:line="188" w:lineRule="exact"/>
              <w:ind w:left="279"/>
              <w:rPr>
                <w:rFonts w:ascii="Times New Roman" w:eastAsia="Courier New" w:hAnsi="Times New Roman" w:cs="Times New Roman"/>
                <w:sz w:val="18"/>
                <w:szCs w:val="24"/>
              </w:rPr>
            </w:pPr>
            <w:r w:rsidRPr="00171BBB">
              <w:rPr>
                <w:rFonts w:ascii="Times New Roman" w:hAnsi="Times New Roman" w:cs="Times New Roman"/>
                <w:spacing w:val="7"/>
                <w:sz w:val="18"/>
                <w:szCs w:val="24"/>
              </w:rPr>
              <w:t>12.478</w:t>
            </w:r>
            <w:r w:rsidRPr="00171BBB">
              <w:rPr>
                <w:rFonts w:ascii="Times New Roman" w:hAnsi="Times New Roman" w:cs="Times New Roman"/>
                <w:sz w:val="18"/>
                <w:szCs w:val="24"/>
              </w:rPr>
              <w:t>9</w:t>
            </w:r>
          </w:p>
        </w:tc>
        <w:tc>
          <w:tcPr>
            <w:tcW w:w="1053" w:type="dxa"/>
            <w:tcBorders>
              <w:top w:val="nil"/>
              <w:left w:val="nil"/>
              <w:bottom w:val="nil"/>
              <w:right w:val="nil"/>
            </w:tcBorders>
          </w:tcPr>
          <w:p w14:paraId="455AC667" w14:textId="77777777" w:rsidR="009F4327" w:rsidRPr="00171BBB" w:rsidRDefault="009F4327" w:rsidP="005E2BA7">
            <w:pPr>
              <w:pStyle w:val="TableParagraph"/>
              <w:spacing w:before="6" w:line="188" w:lineRule="exact"/>
              <w:ind w:left="169"/>
              <w:rPr>
                <w:rFonts w:ascii="Times New Roman" w:eastAsia="Courier New" w:hAnsi="Times New Roman" w:cs="Times New Roman"/>
                <w:sz w:val="18"/>
                <w:szCs w:val="24"/>
              </w:rPr>
            </w:pPr>
            <w:r w:rsidRPr="00171BBB">
              <w:rPr>
                <w:rFonts w:ascii="Times New Roman" w:hAnsi="Times New Roman" w:cs="Times New Roman"/>
                <w:spacing w:val="6"/>
                <w:sz w:val="18"/>
                <w:szCs w:val="24"/>
              </w:rPr>
              <w:t>20.81621</w:t>
            </w:r>
          </w:p>
        </w:tc>
      </w:tr>
      <w:tr w:rsidR="009F4327" w:rsidRPr="00171BBB" w14:paraId="475241F9" w14:textId="77777777" w:rsidTr="005E2BA7">
        <w:trPr>
          <w:trHeight w:hRule="exact" w:val="194"/>
        </w:trPr>
        <w:tc>
          <w:tcPr>
            <w:tcW w:w="1490" w:type="dxa"/>
            <w:tcBorders>
              <w:top w:val="nil"/>
              <w:left w:val="nil"/>
              <w:bottom w:val="nil"/>
            </w:tcBorders>
          </w:tcPr>
          <w:p w14:paraId="589B5CAD" w14:textId="77777777" w:rsidR="009F4327" w:rsidRPr="00171BBB" w:rsidRDefault="009F4327" w:rsidP="005E2BA7">
            <w:pPr>
              <w:pStyle w:val="TableParagraph"/>
              <w:spacing w:before="9" w:line="185" w:lineRule="exact"/>
              <w:ind w:right="167"/>
              <w:jc w:val="right"/>
              <w:rPr>
                <w:rFonts w:ascii="Times New Roman" w:eastAsia="Courier New" w:hAnsi="Times New Roman" w:cs="Times New Roman"/>
                <w:sz w:val="18"/>
                <w:szCs w:val="24"/>
              </w:rPr>
            </w:pPr>
            <w:r w:rsidRPr="00171BBB">
              <w:rPr>
                <w:rFonts w:ascii="Times New Roman" w:hAnsi="Times New Roman" w:cs="Times New Roman"/>
                <w:spacing w:val="4"/>
                <w:sz w:val="18"/>
                <w:szCs w:val="24"/>
              </w:rPr>
              <w:t>INF</w:t>
            </w:r>
          </w:p>
        </w:tc>
        <w:tc>
          <w:tcPr>
            <w:tcW w:w="1487" w:type="dxa"/>
            <w:tcBorders>
              <w:top w:val="nil"/>
              <w:bottom w:val="nil"/>
              <w:right w:val="nil"/>
            </w:tcBorders>
          </w:tcPr>
          <w:p w14:paraId="5B3F31DC" w14:textId="77777777" w:rsidR="009F4327" w:rsidRPr="00171BBB" w:rsidRDefault="009F4327" w:rsidP="005E2BA7">
            <w:pPr>
              <w:pStyle w:val="TableParagraph"/>
              <w:spacing w:before="6" w:line="188" w:lineRule="exact"/>
              <w:ind w:left="934"/>
              <w:rPr>
                <w:rFonts w:ascii="Times New Roman" w:eastAsia="Courier New" w:hAnsi="Times New Roman" w:cs="Times New Roman"/>
                <w:sz w:val="18"/>
                <w:szCs w:val="24"/>
              </w:rPr>
            </w:pPr>
            <w:r w:rsidRPr="00171BBB">
              <w:rPr>
                <w:rFonts w:ascii="Times New Roman" w:hAnsi="Times New Roman" w:cs="Times New Roman"/>
                <w:spacing w:val="4"/>
                <w:sz w:val="18"/>
                <w:szCs w:val="24"/>
              </w:rPr>
              <w:t>240</w:t>
            </w:r>
          </w:p>
        </w:tc>
        <w:tc>
          <w:tcPr>
            <w:tcW w:w="1324" w:type="dxa"/>
            <w:tcBorders>
              <w:top w:val="nil"/>
              <w:left w:val="nil"/>
              <w:bottom w:val="nil"/>
              <w:right w:val="nil"/>
            </w:tcBorders>
          </w:tcPr>
          <w:p w14:paraId="2268BD09" w14:textId="77777777" w:rsidR="009F4327" w:rsidRPr="00171BBB" w:rsidRDefault="009F4327" w:rsidP="005E2BA7">
            <w:pPr>
              <w:pStyle w:val="TableParagraph"/>
              <w:spacing w:before="6" w:line="188" w:lineRule="exact"/>
              <w:ind w:left="445"/>
              <w:rPr>
                <w:rFonts w:ascii="Times New Roman" w:eastAsia="Courier New" w:hAnsi="Times New Roman" w:cs="Times New Roman"/>
                <w:sz w:val="18"/>
                <w:szCs w:val="24"/>
              </w:rPr>
            </w:pPr>
            <w:r w:rsidRPr="00171BBB">
              <w:rPr>
                <w:rFonts w:ascii="Times New Roman" w:hAnsi="Times New Roman" w:cs="Times New Roman"/>
                <w:spacing w:val="5"/>
                <w:sz w:val="18"/>
                <w:szCs w:val="24"/>
              </w:rPr>
              <w:t>14.715</w:t>
            </w:r>
          </w:p>
        </w:tc>
        <w:tc>
          <w:tcPr>
            <w:tcW w:w="1024" w:type="dxa"/>
            <w:tcBorders>
              <w:top w:val="nil"/>
              <w:left w:val="nil"/>
              <w:bottom w:val="nil"/>
              <w:right w:val="nil"/>
            </w:tcBorders>
          </w:tcPr>
          <w:p w14:paraId="2728BC44" w14:textId="77777777" w:rsidR="009F4327" w:rsidRPr="00171BBB" w:rsidRDefault="009F4327" w:rsidP="005E2BA7">
            <w:pPr>
              <w:pStyle w:val="TableParagraph"/>
              <w:spacing w:before="6"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5.819029</w:t>
            </w:r>
          </w:p>
        </w:tc>
        <w:tc>
          <w:tcPr>
            <w:tcW w:w="1104" w:type="dxa"/>
            <w:tcBorders>
              <w:top w:val="nil"/>
              <w:left w:val="nil"/>
              <w:bottom w:val="nil"/>
              <w:right w:val="nil"/>
            </w:tcBorders>
          </w:tcPr>
          <w:p w14:paraId="60CB46CE" w14:textId="77777777" w:rsidR="009F4327" w:rsidRPr="00171BBB" w:rsidRDefault="009F4327" w:rsidP="005E2BA7">
            <w:pPr>
              <w:pStyle w:val="TableParagraph"/>
              <w:spacing w:before="6" w:line="188" w:lineRule="exact"/>
              <w:ind w:right="167"/>
              <w:jc w:val="center"/>
              <w:rPr>
                <w:rFonts w:ascii="Times New Roman" w:eastAsia="Courier New" w:hAnsi="Times New Roman" w:cs="Times New Roman"/>
                <w:sz w:val="18"/>
                <w:szCs w:val="24"/>
              </w:rPr>
            </w:pPr>
            <w:r w:rsidRPr="00171BBB">
              <w:rPr>
                <w:rFonts w:ascii="Times New Roman" w:hAnsi="Times New Roman" w:cs="Times New Roman"/>
                <w:sz w:val="18"/>
                <w:szCs w:val="24"/>
              </w:rPr>
              <w:t xml:space="preserve">                8</w:t>
            </w:r>
          </w:p>
        </w:tc>
        <w:tc>
          <w:tcPr>
            <w:tcW w:w="1053" w:type="dxa"/>
            <w:tcBorders>
              <w:top w:val="nil"/>
              <w:left w:val="nil"/>
              <w:bottom w:val="nil"/>
              <w:right w:val="nil"/>
            </w:tcBorders>
          </w:tcPr>
          <w:p w14:paraId="71683F53" w14:textId="77777777" w:rsidR="009F4327" w:rsidRPr="00171BBB" w:rsidRDefault="009F4327" w:rsidP="005E2BA7">
            <w:pPr>
              <w:pStyle w:val="TableParagraph"/>
              <w:spacing w:before="6" w:line="188" w:lineRule="exact"/>
              <w:rPr>
                <w:rFonts w:ascii="Times New Roman" w:eastAsia="Courier New" w:hAnsi="Times New Roman" w:cs="Times New Roman"/>
                <w:sz w:val="18"/>
                <w:szCs w:val="24"/>
              </w:rPr>
            </w:pPr>
            <w:r w:rsidRPr="00171BBB">
              <w:rPr>
                <w:rFonts w:ascii="Times New Roman" w:hAnsi="Times New Roman" w:cs="Times New Roman"/>
                <w:spacing w:val="5"/>
                <w:sz w:val="18"/>
                <w:szCs w:val="24"/>
              </w:rPr>
              <w:t xml:space="preserve">         28.92</w:t>
            </w:r>
          </w:p>
        </w:tc>
      </w:tr>
      <w:tr w:rsidR="009F4327" w:rsidRPr="00171BBB" w14:paraId="50CA22DD" w14:textId="77777777" w:rsidTr="005E2BA7">
        <w:trPr>
          <w:trHeight w:hRule="exact" w:val="194"/>
        </w:trPr>
        <w:tc>
          <w:tcPr>
            <w:tcW w:w="1490" w:type="dxa"/>
            <w:tcBorders>
              <w:top w:val="nil"/>
              <w:left w:val="nil"/>
            </w:tcBorders>
          </w:tcPr>
          <w:p w14:paraId="39B9B9CF" w14:textId="77777777" w:rsidR="009F4327" w:rsidRPr="00171BBB" w:rsidRDefault="009F4327" w:rsidP="005E2BA7">
            <w:pPr>
              <w:pStyle w:val="TableParagraph"/>
              <w:spacing w:before="9" w:line="185" w:lineRule="exact"/>
              <w:ind w:right="167"/>
              <w:jc w:val="right"/>
              <w:rPr>
                <w:rFonts w:ascii="Times New Roman" w:eastAsia="Courier New" w:hAnsi="Times New Roman" w:cs="Times New Roman"/>
                <w:sz w:val="18"/>
                <w:szCs w:val="24"/>
              </w:rPr>
            </w:pPr>
            <w:r w:rsidRPr="00171BBB">
              <w:rPr>
                <w:rFonts w:ascii="Times New Roman" w:hAnsi="Times New Roman" w:cs="Times New Roman"/>
                <w:spacing w:val="4"/>
                <w:sz w:val="18"/>
                <w:szCs w:val="24"/>
              </w:rPr>
              <w:t>INR</w:t>
            </w:r>
          </w:p>
        </w:tc>
        <w:tc>
          <w:tcPr>
            <w:tcW w:w="1487" w:type="dxa"/>
            <w:tcBorders>
              <w:top w:val="nil"/>
              <w:right w:val="nil"/>
            </w:tcBorders>
          </w:tcPr>
          <w:p w14:paraId="251A1790" w14:textId="77777777" w:rsidR="009F4327" w:rsidRPr="00171BBB" w:rsidRDefault="009F4327" w:rsidP="005E2BA7">
            <w:pPr>
              <w:pStyle w:val="TableParagraph"/>
              <w:spacing w:before="6" w:line="188" w:lineRule="exact"/>
              <w:ind w:left="934"/>
              <w:rPr>
                <w:rFonts w:ascii="Times New Roman" w:eastAsia="Courier New" w:hAnsi="Times New Roman" w:cs="Times New Roman"/>
                <w:sz w:val="18"/>
                <w:szCs w:val="24"/>
              </w:rPr>
            </w:pPr>
            <w:r w:rsidRPr="00171BBB">
              <w:rPr>
                <w:rFonts w:ascii="Times New Roman" w:hAnsi="Times New Roman" w:cs="Times New Roman"/>
                <w:spacing w:val="4"/>
                <w:sz w:val="18"/>
                <w:szCs w:val="24"/>
              </w:rPr>
              <w:t>240</w:t>
            </w:r>
          </w:p>
        </w:tc>
        <w:tc>
          <w:tcPr>
            <w:tcW w:w="1324" w:type="dxa"/>
            <w:tcBorders>
              <w:top w:val="nil"/>
              <w:left w:val="nil"/>
              <w:right w:val="nil"/>
            </w:tcBorders>
          </w:tcPr>
          <w:p w14:paraId="7506AF39" w14:textId="77777777" w:rsidR="009F4327" w:rsidRPr="00171BBB" w:rsidRDefault="009F4327" w:rsidP="005E2BA7">
            <w:pPr>
              <w:pStyle w:val="TableParagraph"/>
              <w:spacing w:before="6"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13.47917</w:t>
            </w:r>
          </w:p>
        </w:tc>
        <w:tc>
          <w:tcPr>
            <w:tcW w:w="1024" w:type="dxa"/>
            <w:tcBorders>
              <w:top w:val="nil"/>
              <w:left w:val="nil"/>
              <w:right w:val="nil"/>
            </w:tcBorders>
          </w:tcPr>
          <w:p w14:paraId="1C7D1B97" w14:textId="77777777" w:rsidR="009F4327" w:rsidRPr="00171BBB" w:rsidRDefault="009F4327" w:rsidP="005E2BA7">
            <w:pPr>
              <w:pStyle w:val="TableParagraph"/>
              <w:spacing w:before="6"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2.170693</w:t>
            </w:r>
          </w:p>
        </w:tc>
        <w:tc>
          <w:tcPr>
            <w:tcW w:w="1104" w:type="dxa"/>
            <w:tcBorders>
              <w:top w:val="nil"/>
              <w:left w:val="nil"/>
              <w:right w:val="nil"/>
            </w:tcBorders>
          </w:tcPr>
          <w:p w14:paraId="06982954" w14:textId="77777777" w:rsidR="009F4327" w:rsidRPr="00171BBB" w:rsidRDefault="009F4327" w:rsidP="005E2BA7">
            <w:pPr>
              <w:pStyle w:val="TableParagraph"/>
              <w:spacing w:before="6" w:line="188" w:lineRule="exact"/>
              <w:ind w:right="167"/>
              <w:jc w:val="center"/>
              <w:rPr>
                <w:rFonts w:ascii="Times New Roman" w:eastAsia="Courier New" w:hAnsi="Times New Roman" w:cs="Times New Roman"/>
                <w:sz w:val="18"/>
                <w:szCs w:val="24"/>
              </w:rPr>
            </w:pPr>
            <w:r w:rsidRPr="00171BBB">
              <w:rPr>
                <w:rFonts w:ascii="Times New Roman" w:hAnsi="Times New Roman" w:cs="Times New Roman"/>
                <w:spacing w:val="3"/>
                <w:sz w:val="18"/>
                <w:szCs w:val="24"/>
              </w:rPr>
              <w:t xml:space="preserve">              11</w:t>
            </w:r>
          </w:p>
        </w:tc>
        <w:tc>
          <w:tcPr>
            <w:tcW w:w="1053" w:type="dxa"/>
            <w:tcBorders>
              <w:top w:val="nil"/>
              <w:left w:val="nil"/>
              <w:right w:val="nil"/>
            </w:tcBorders>
          </w:tcPr>
          <w:p w14:paraId="16763B35" w14:textId="77777777" w:rsidR="009F4327" w:rsidRPr="00171BBB" w:rsidRDefault="009F4327" w:rsidP="005E2BA7">
            <w:pPr>
              <w:pStyle w:val="TableParagraph"/>
              <w:spacing w:before="6" w:line="188" w:lineRule="exact"/>
              <w:rPr>
                <w:rFonts w:ascii="Times New Roman" w:eastAsia="Courier New" w:hAnsi="Times New Roman" w:cs="Times New Roman"/>
                <w:sz w:val="18"/>
                <w:szCs w:val="24"/>
              </w:rPr>
            </w:pPr>
            <w:r w:rsidRPr="00171BBB">
              <w:rPr>
                <w:rFonts w:ascii="Times New Roman" w:hAnsi="Times New Roman" w:cs="Times New Roman"/>
                <w:spacing w:val="5"/>
                <w:sz w:val="18"/>
                <w:szCs w:val="24"/>
              </w:rPr>
              <w:t xml:space="preserve">         18.75</w:t>
            </w:r>
          </w:p>
        </w:tc>
      </w:tr>
      <w:tr w:rsidR="009F4327" w:rsidRPr="00171BBB" w14:paraId="44A97E3C" w14:textId="77777777" w:rsidTr="005E2BA7">
        <w:trPr>
          <w:trHeight w:hRule="exact" w:val="201"/>
        </w:trPr>
        <w:tc>
          <w:tcPr>
            <w:tcW w:w="1490" w:type="dxa"/>
            <w:tcBorders>
              <w:top w:val="nil"/>
              <w:left w:val="nil"/>
              <w:bottom w:val="single" w:sz="4" w:space="0" w:color="auto"/>
            </w:tcBorders>
          </w:tcPr>
          <w:p w14:paraId="75A8647B" w14:textId="77777777" w:rsidR="009F4327" w:rsidRPr="00171BBB" w:rsidRDefault="009F4327" w:rsidP="005E2BA7">
            <w:pPr>
              <w:pStyle w:val="TableParagraph"/>
              <w:spacing w:before="9" w:line="192" w:lineRule="exact"/>
              <w:ind w:right="167"/>
              <w:jc w:val="right"/>
              <w:rPr>
                <w:rFonts w:ascii="Times New Roman" w:eastAsia="Courier New" w:hAnsi="Times New Roman" w:cs="Times New Roman"/>
                <w:sz w:val="18"/>
                <w:szCs w:val="24"/>
              </w:rPr>
            </w:pPr>
            <w:r w:rsidRPr="00171BBB">
              <w:rPr>
                <w:rFonts w:ascii="Times New Roman" w:hAnsi="Times New Roman" w:cs="Times New Roman"/>
                <w:spacing w:val="4"/>
                <w:sz w:val="18"/>
                <w:szCs w:val="24"/>
              </w:rPr>
              <w:t>EXR</w:t>
            </w:r>
          </w:p>
        </w:tc>
        <w:tc>
          <w:tcPr>
            <w:tcW w:w="1487" w:type="dxa"/>
            <w:tcBorders>
              <w:top w:val="nil"/>
              <w:bottom w:val="single" w:sz="4" w:space="0" w:color="auto"/>
              <w:right w:val="nil"/>
            </w:tcBorders>
          </w:tcPr>
          <w:p w14:paraId="5823A79C" w14:textId="77777777" w:rsidR="009F4327" w:rsidRPr="00171BBB" w:rsidRDefault="009F4327" w:rsidP="005E2BA7">
            <w:pPr>
              <w:pStyle w:val="TableParagraph"/>
              <w:spacing w:before="6"/>
              <w:ind w:left="934"/>
              <w:rPr>
                <w:rFonts w:ascii="Times New Roman" w:eastAsia="Courier New" w:hAnsi="Times New Roman" w:cs="Times New Roman"/>
                <w:sz w:val="18"/>
                <w:szCs w:val="24"/>
              </w:rPr>
            </w:pPr>
            <w:r w:rsidRPr="00171BBB">
              <w:rPr>
                <w:rFonts w:ascii="Times New Roman" w:hAnsi="Times New Roman" w:cs="Times New Roman"/>
                <w:spacing w:val="4"/>
                <w:sz w:val="18"/>
                <w:szCs w:val="24"/>
              </w:rPr>
              <w:t>240</w:t>
            </w:r>
          </w:p>
        </w:tc>
        <w:tc>
          <w:tcPr>
            <w:tcW w:w="1324" w:type="dxa"/>
            <w:tcBorders>
              <w:top w:val="nil"/>
              <w:left w:val="nil"/>
              <w:bottom w:val="single" w:sz="4" w:space="0" w:color="auto"/>
              <w:right w:val="nil"/>
            </w:tcBorders>
          </w:tcPr>
          <w:p w14:paraId="6AE1FF49" w14:textId="77777777" w:rsidR="009F4327" w:rsidRPr="00171BBB" w:rsidRDefault="009F4327" w:rsidP="005E2BA7">
            <w:pPr>
              <w:pStyle w:val="TableParagraph"/>
              <w:spacing w:before="6"/>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336.9758</w:t>
            </w:r>
          </w:p>
        </w:tc>
        <w:tc>
          <w:tcPr>
            <w:tcW w:w="1024" w:type="dxa"/>
            <w:tcBorders>
              <w:top w:val="nil"/>
              <w:left w:val="nil"/>
              <w:bottom w:val="single" w:sz="4" w:space="0" w:color="auto"/>
              <w:right w:val="nil"/>
            </w:tcBorders>
          </w:tcPr>
          <w:p w14:paraId="7B0B77C5" w14:textId="77777777" w:rsidR="009F4327" w:rsidRPr="00171BBB" w:rsidRDefault="009F4327" w:rsidP="005E2BA7">
            <w:pPr>
              <w:pStyle w:val="TableParagraph"/>
              <w:spacing w:before="6"/>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197.5421</w:t>
            </w:r>
          </w:p>
        </w:tc>
        <w:tc>
          <w:tcPr>
            <w:tcW w:w="1104" w:type="dxa"/>
            <w:tcBorders>
              <w:top w:val="nil"/>
              <w:left w:val="nil"/>
              <w:bottom w:val="single" w:sz="4" w:space="0" w:color="auto"/>
              <w:right w:val="nil"/>
            </w:tcBorders>
          </w:tcPr>
          <w:p w14:paraId="01FEC245" w14:textId="77777777" w:rsidR="009F4327" w:rsidRPr="00171BBB" w:rsidRDefault="009F4327" w:rsidP="005E2BA7">
            <w:pPr>
              <w:pStyle w:val="TableParagraph"/>
              <w:spacing w:before="6"/>
              <w:ind w:left="500"/>
              <w:rPr>
                <w:rFonts w:ascii="Times New Roman" w:eastAsia="Courier New" w:hAnsi="Times New Roman" w:cs="Times New Roman"/>
                <w:sz w:val="18"/>
                <w:szCs w:val="24"/>
              </w:rPr>
            </w:pPr>
            <w:r w:rsidRPr="00171BBB">
              <w:rPr>
                <w:rFonts w:ascii="Times New Roman" w:hAnsi="Times New Roman" w:cs="Times New Roman"/>
                <w:spacing w:val="5"/>
                <w:sz w:val="18"/>
                <w:szCs w:val="24"/>
              </w:rPr>
              <w:t>157.3</w:t>
            </w:r>
          </w:p>
        </w:tc>
        <w:tc>
          <w:tcPr>
            <w:tcW w:w="1053" w:type="dxa"/>
            <w:tcBorders>
              <w:top w:val="nil"/>
              <w:left w:val="nil"/>
              <w:bottom w:val="single" w:sz="4" w:space="0" w:color="auto"/>
              <w:right w:val="nil"/>
            </w:tcBorders>
          </w:tcPr>
          <w:p w14:paraId="256F94BB" w14:textId="77777777" w:rsidR="009F4327" w:rsidRPr="00171BBB" w:rsidRDefault="009F4327" w:rsidP="005E2BA7">
            <w:pPr>
              <w:pStyle w:val="TableParagraph"/>
              <w:spacing w:before="6"/>
              <w:rPr>
                <w:rFonts w:ascii="Times New Roman" w:eastAsia="Courier New" w:hAnsi="Times New Roman" w:cs="Times New Roman"/>
                <w:sz w:val="18"/>
                <w:szCs w:val="24"/>
              </w:rPr>
            </w:pPr>
            <w:r w:rsidRPr="00171BBB">
              <w:rPr>
                <w:rFonts w:ascii="Times New Roman" w:hAnsi="Times New Roman" w:cs="Times New Roman"/>
                <w:spacing w:val="5"/>
                <w:sz w:val="18"/>
                <w:szCs w:val="24"/>
              </w:rPr>
              <w:t xml:space="preserve">        897.61</w:t>
            </w:r>
          </w:p>
        </w:tc>
      </w:tr>
    </w:tbl>
    <w:p w14:paraId="7FC2DE59" w14:textId="1C7E44DF" w:rsidR="009F4327" w:rsidRPr="00C57653" w:rsidRDefault="009F4327" w:rsidP="009F4327">
      <w:pPr>
        <w:ind w:right="900"/>
        <w:rPr>
          <w:rFonts w:ascii="Times New Roman" w:hAnsi="Times New Roman" w:cs="Times New Roman"/>
          <w:sz w:val="20"/>
          <w:szCs w:val="20"/>
        </w:rPr>
      </w:pPr>
      <w:r w:rsidRPr="004939F9">
        <w:rPr>
          <w:rFonts w:ascii="Times New Roman" w:hAnsi="Times New Roman" w:cs="Times New Roman"/>
          <w:sz w:val="24"/>
          <w:szCs w:val="24"/>
        </w:rPr>
        <w:tab/>
      </w:r>
      <w:r w:rsidRPr="004939F9">
        <w:rPr>
          <w:rFonts w:ascii="Times New Roman" w:hAnsi="Times New Roman" w:cs="Times New Roman"/>
          <w:sz w:val="20"/>
          <w:szCs w:val="20"/>
        </w:rPr>
        <w:t>Source: Output of STATA 17</w:t>
      </w:r>
    </w:p>
    <w:p w14:paraId="72ABE738" w14:textId="77777777" w:rsidR="00C57653" w:rsidRPr="00C57653" w:rsidRDefault="00C57653" w:rsidP="00C57653">
      <w:pPr>
        <w:spacing w:line="360" w:lineRule="auto"/>
        <w:jc w:val="both"/>
        <w:rPr>
          <w:rFonts w:ascii="Times New Roman" w:hAnsi="Times New Roman" w:cs="Times New Roman"/>
          <w:sz w:val="24"/>
          <w:szCs w:val="24"/>
        </w:rPr>
      </w:pPr>
      <w:r w:rsidRPr="00C57653">
        <w:rPr>
          <w:rFonts w:ascii="Times New Roman" w:hAnsi="Times New Roman" w:cs="Times New Roman"/>
          <w:sz w:val="24"/>
          <w:szCs w:val="24"/>
        </w:rPr>
        <w:t xml:space="preserve">Return on equity (ROE) displays a mean of 0.13 but includes negative values, indicating periods of losses for some firms, particularly FTN Cocoa Processors Plc. Similarly, earnings per share (EPS) records a wide dispersion, ranging from –100.26 to 61.77, reflecting significant earnings </w:t>
      </w:r>
      <w:r w:rsidRPr="00C57653">
        <w:rPr>
          <w:rFonts w:ascii="Times New Roman" w:hAnsi="Times New Roman" w:cs="Times New Roman"/>
          <w:sz w:val="24"/>
          <w:szCs w:val="24"/>
        </w:rPr>
        <w:lastRenderedPageBreak/>
        <w:t xml:space="preserve">volatility across firms and years. The debt–equity ratio (DER) also shows notable variation, with a maximum of 8.02, </w:t>
      </w:r>
      <w:proofErr w:type="spellStart"/>
      <w:r w:rsidRPr="00C57653">
        <w:rPr>
          <w:rFonts w:ascii="Times New Roman" w:hAnsi="Times New Roman" w:cs="Times New Roman"/>
          <w:sz w:val="24"/>
          <w:szCs w:val="24"/>
        </w:rPr>
        <w:t>signalling</w:t>
      </w:r>
      <w:proofErr w:type="spellEnd"/>
      <w:r w:rsidRPr="00C57653">
        <w:rPr>
          <w:rFonts w:ascii="Times New Roman" w:hAnsi="Times New Roman" w:cs="Times New Roman"/>
          <w:sz w:val="24"/>
          <w:szCs w:val="24"/>
        </w:rPr>
        <w:t xml:space="preserve"> episodes of high leverage among certain firms, notably Cadbury Nigeria Plc.</w:t>
      </w:r>
    </w:p>
    <w:p w14:paraId="24EC5A53" w14:textId="4BDDDA97" w:rsidR="009F4327" w:rsidRPr="00C37D21" w:rsidRDefault="00C57653" w:rsidP="00C37D21">
      <w:pPr>
        <w:spacing w:line="360" w:lineRule="auto"/>
        <w:jc w:val="both"/>
        <w:rPr>
          <w:rFonts w:ascii="Times New Roman" w:hAnsi="Times New Roman" w:cs="Times New Roman"/>
          <w:sz w:val="24"/>
          <w:szCs w:val="24"/>
        </w:rPr>
      </w:pPr>
      <w:r w:rsidRPr="00C57653">
        <w:rPr>
          <w:rFonts w:ascii="Times New Roman" w:hAnsi="Times New Roman" w:cs="Times New Roman"/>
          <w:sz w:val="24"/>
          <w:szCs w:val="24"/>
        </w:rPr>
        <w:t>Liquidity, proxied by the current ratio (CUR), has a mean slightly above unity, suggesting that, on average, firms are able to meet short-term obligations, though the dispersion indicates heterogeneous liquidity management practices. Firm size (FSZ), measured as the natural logarithm of total assets, shows moderate variability, confirming the presence of both relatively small and large firms within the sample. Macroeconomic variables, particularly exchange rate (EXR) and inflation (INF), exhibit substantial variation over the study period, reflecting Nigeria’s volatile macroeconomic environment.</w:t>
      </w:r>
      <w:r w:rsidR="009F4327">
        <w:rPr>
          <w:rFonts w:ascii="Times New Roman" w:hAnsi="Times New Roman" w:cs="Times New Roman"/>
          <w:sz w:val="24"/>
          <w:szCs w:val="24"/>
        </w:rPr>
        <w:t xml:space="preserve"> </w:t>
      </w:r>
      <w:r w:rsidRPr="00C57653">
        <w:rPr>
          <w:rFonts w:ascii="Times New Roman" w:hAnsi="Times New Roman" w:cs="Times New Roman"/>
          <w:sz w:val="24"/>
          <w:szCs w:val="24"/>
        </w:rPr>
        <w:t>Overall, the descriptive statistics confirm the presence of sufficient cross-sectional and time-series variation required for reliable panel regression analysis.</w:t>
      </w:r>
    </w:p>
    <w:p w14:paraId="34EEA4D2" w14:textId="21E38DC5" w:rsidR="00D13DE5" w:rsidRPr="00C57653" w:rsidRDefault="00D13DE5" w:rsidP="00776FDA">
      <w:pPr>
        <w:pStyle w:val="Heading2"/>
        <w:rPr>
          <w:rFonts w:asciiTheme="majorBidi" w:hAnsiTheme="majorBidi"/>
          <w:b/>
          <w:bCs/>
          <w:color w:val="auto"/>
          <w:sz w:val="24"/>
          <w:szCs w:val="24"/>
        </w:rPr>
      </w:pPr>
      <w:r w:rsidRPr="00C57653">
        <w:rPr>
          <w:rFonts w:asciiTheme="majorBidi" w:hAnsiTheme="majorBidi"/>
          <w:b/>
          <w:bCs/>
          <w:color w:val="auto"/>
          <w:sz w:val="24"/>
          <w:szCs w:val="24"/>
        </w:rPr>
        <w:t>4.</w:t>
      </w:r>
      <w:r w:rsidR="00A52D48">
        <w:rPr>
          <w:rFonts w:asciiTheme="majorBidi" w:hAnsiTheme="majorBidi"/>
          <w:b/>
          <w:bCs/>
          <w:color w:val="auto"/>
          <w:sz w:val="24"/>
          <w:szCs w:val="24"/>
        </w:rPr>
        <w:t>2</w:t>
      </w:r>
      <w:r w:rsidRPr="00C57653">
        <w:rPr>
          <w:rFonts w:asciiTheme="majorBidi" w:hAnsiTheme="majorBidi"/>
          <w:b/>
          <w:bCs/>
          <w:color w:val="auto"/>
          <w:sz w:val="24"/>
          <w:szCs w:val="24"/>
        </w:rPr>
        <w:t xml:space="preserve"> </w:t>
      </w:r>
      <w:r w:rsidR="00776FDA" w:rsidRPr="00776FDA">
        <w:rPr>
          <w:rFonts w:asciiTheme="majorBidi" w:hAnsiTheme="majorBidi"/>
          <w:b/>
          <w:bCs/>
          <w:color w:val="auto"/>
          <w:sz w:val="24"/>
          <w:szCs w:val="24"/>
        </w:rPr>
        <w:t>Correlation Matrix and Multicollinearity Diagnostics</w:t>
      </w:r>
    </w:p>
    <w:p w14:paraId="516EC84C" w14:textId="77777777" w:rsidR="009F4327" w:rsidRDefault="009F4327" w:rsidP="005F7C46">
      <w:pPr>
        <w:jc w:val="both"/>
        <w:rPr>
          <w:rFonts w:ascii="Times New Roman" w:hAnsi="Times New Roman" w:cs="Times New Roman"/>
          <w:sz w:val="24"/>
          <w:szCs w:val="24"/>
        </w:rPr>
      </w:pPr>
    </w:p>
    <w:p w14:paraId="65E7567B" w14:textId="77777777" w:rsidR="00776FDA" w:rsidRPr="00776FDA" w:rsidRDefault="00776FDA" w:rsidP="00776FDA">
      <w:pPr>
        <w:spacing w:line="360" w:lineRule="auto"/>
        <w:jc w:val="both"/>
        <w:rPr>
          <w:rFonts w:ascii="Times New Roman" w:hAnsi="Times New Roman" w:cs="Times New Roman"/>
          <w:sz w:val="24"/>
          <w:szCs w:val="24"/>
        </w:rPr>
      </w:pPr>
      <w:r w:rsidRPr="00776FDA">
        <w:rPr>
          <w:rFonts w:ascii="Times New Roman" w:hAnsi="Times New Roman" w:cs="Times New Roman"/>
          <w:sz w:val="24"/>
          <w:szCs w:val="24"/>
        </w:rPr>
        <w:t>Table 3 presents the Pearson correlation matrix for the study variables. Share price (LSHP) is positively correlated with ROE, EPS, and firm size (FSZ), providing preliminary support for valuation theory, which predicts that profitability, earnings capacity, and scale are positively priced by the market. The correlation between LSHP and ROE (r = 0.51, p &lt; 0.01) and between LSHP and EPS (r = 0.41, p &lt; 0.01) suggests economically meaningful associations, though correlation alone does not imply causality.</w:t>
      </w:r>
    </w:p>
    <w:p w14:paraId="26FED355" w14:textId="0014AA36" w:rsidR="00175EC7" w:rsidRDefault="00175EC7" w:rsidP="00CF5C49">
      <w:pPr>
        <w:spacing w:line="360" w:lineRule="auto"/>
        <w:jc w:val="both"/>
        <w:rPr>
          <w:rFonts w:ascii="Times New Roman" w:hAnsi="Times New Roman" w:cs="Times New Roman"/>
          <w:sz w:val="24"/>
          <w:szCs w:val="24"/>
        </w:rPr>
      </w:pPr>
      <w:r w:rsidRPr="008116F3">
        <w:rPr>
          <w:rFonts w:ascii="Times New Roman" w:hAnsi="Times New Roman" w:cs="Times New Roman"/>
          <w:b/>
          <w:bCs/>
          <w:sz w:val="24"/>
          <w:szCs w:val="24"/>
        </w:rPr>
        <w:t>Table</w:t>
      </w:r>
      <w:r w:rsidR="00776FDA" w:rsidRPr="008116F3">
        <w:rPr>
          <w:rFonts w:ascii="Times New Roman" w:hAnsi="Times New Roman" w:cs="Times New Roman"/>
          <w:b/>
          <w:bCs/>
          <w:sz w:val="24"/>
          <w:szCs w:val="24"/>
        </w:rPr>
        <w:t xml:space="preserve"> </w:t>
      </w:r>
      <w:r w:rsidR="00F12264" w:rsidRPr="008116F3">
        <w:rPr>
          <w:rFonts w:ascii="Times New Roman" w:hAnsi="Times New Roman" w:cs="Times New Roman"/>
          <w:b/>
          <w:bCs/>
          <w:sz w:val="24"/>
          <w:szCs w:val="24"/>
        </w:rPr>
        <w:t>3</w:t>
      </w:r>
      <w:r w:rsidR="008116F3">
        <w:rPr>
          <w:rFonts w:ascii="Times New Roman" w:hAnsi="Times New Roman" w:cs="Times New Roman"/>
          <w:sz w:val="24"/>
          <w:szCs w:val="24"/>
        </w:rPr>
        <w:t xml:space="preserve">: </w:t>
      </w:r>
      <w:r w:rsidR="004F74CE" w:rsidRPr="004939F9">
        <w:rPr>
          <w:rFonts w:ascii="Times New Roman" w:hAnsi="Times New Roman" w:cs="Times New Roman"/>
          <w:sz w:val="24"/>
          <w:szCs w:val="24"/>
        </w:rPr>
        <w:t>Collinearity Matrix</w:t>
      </w:r>
    </w:p>
    <w:tbl>
      <w:tblPr>
        <w:tblW w:w="0" w:type="auto"/>
        <w:tblLook w:val="04A0" w:firstRow="1" w:lastRow="0" w:firstColumn="1" w:lastColumn="0" w:noHBand="0" w:noVBand="1"/>
      </w:tblPr>
      <w:tblGrid>
        <w:gridCol w:w="657"/>
        <w:gridCol w:w="801"/>
        <w:gridCol w:w="861"/>
        <w:gridCol w:w="861"/>
        <w:gridCol w:w="801"/>
        <w:gridCol w:w="861"/>
        <w:gridCol w:w="801"/>
        <w:gridCol w:w="801"/>
        <w:gridCol w:w="801"/>
        <w:gridCol w:w="801"/>
        <w:gridCol w:w="711"/>
      </w:tblGrid>
      <w:tr w:rsidR="00691375" w:rsidRPr="0091096D" w14:paraId="37469AB3" w14:textId="77777777" w:rsidTr="00724758">
        <w:trPr>
          <w:trHeight w:val="300"/>
        </w:trPr>
        <w:tc>
          <w:tcPr>
            <w:tcW w:w="0" w:type="auto"/>
            <w:tcBorders>
              <w:top w:val="single" w:sz="4" w:space="0" w:color="auto"/>
              <w:left w:val="nil"/>
              <w:bottom w:val="single" w:sz="4" w:space="0" w:color="auto"/>
              <w:right w:val="nil"/>
            </w:tcBorders>
            <w:noWrap/>
            <w:vAlign w:val="bottom"/>
            <w:hideMark/>
          </w:tcPr>
          <w:p w14:paraId="32F9982D" w14:textId="77777777" w:rsidR="00691375" w:rsidRPr="0091096D" w:rsidRDefault="00691375" w:rsidP="005E2BA7">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 </w:t>
            </w:r>
          </w:p>
        </w:tc>
        <w:tc>
          <w:tcPr>
            <w:tcW w:w="801" w:type="dxa"/>
            <w:tcBorders>
              <w:top w:val="single" w:sz="4" w:space="0" w:color="auto"/>
              <w:left w:val="nil"/>
              <w:bottom w:val="single" w:sz="4" w:space="0" w:color="auto"/>
              <w:right w:val="nil"/>
            </w:tcBorders>
            <w:noWrap/>
            <w:vAlign w:val="bottom"/>
            <w:hideMark/>
          </w:tcPr>
          <w:p w14:paraId="2C4FB6A3" w14:textId="77777777" w:rsidR="00691375" w:rsidRPr="0091096D" w:rsidRDefault="00691375" w:rsidP="005E2BA7">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LSHP</w:t>
            </w:r>
          </w:p>
        </w:tc>
        <w:tc>
          <w:tcPr>
            <w:tcW w:w="0" w:type="auto"/>
            <w:tcBorders>
              <w:top w:val="single" w:sz="4" w:space="0" w:color="auto"/>
              <w:left w:val="nil"/>
              <w:bottom w:val="single" w:sz="4" w:space="0" w:color="auto"/>
              <w:right w:val="nil"/>
            </w:tcBorders>
            <w:noWrap/>
            <w:vAlign w:val="bottom"/>
            <w:hideMark/>
          </w:tcPr>
          <w:p w14:paraId="091E5F37" w14:textId="77777777" w:rsidR="00691375" w:rsidRPr="0091096D" w:rsidRDefault="00691375" w:rsidP="005E2BA7">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ROE</w:t>
            </w:r>
          </w:p>
        </w:tc>
        <w:tc>
          <w:tcPr>
            <w:tcW w:w="0" w:type="auto"/>
            <w:tcBorders>
              <w:top w:val="single" w:sz="4" w:space="0" w:color="auto"/>
              <w:left w:val="nil"/>
              <w:bottom w:val="single" w:sz="4" w:space="0" w:color="auto"/>
              <w:right w:val="nil"/>
            </w:tcBorders>
            <w:noWrap/>
            <w:vAlign w:val="bottom"/>
            <w:hideMark/>
          </w:tcPr>
          <w:p w14:paraId="6D3765D8" w14:textId="77777777" w:rsidR="00691375" w:rsidRPr="0091096D" w:rsidRDefault="00691375" w:rsidP="005E2BA7">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CUR</w:t>
            </w:r>
          </w:p>
        </w:tc>
        <w:tc>
          <w:tcPr>
            <w:tcW w:w="0" w:type="auto"/>
            <w:tcBorders>
              <w:top w:val="single" w:sz="4" w:space="0" w:color="auto"/>
              <w:left w:val="nil"/>
              <w:bottom w:val="single" w:sz="4" w:space="0" w:color="auto"/>
              <w:right w:val="nil"/>
            </w:tcBorders>
            <w:noWrap/>
            <w:vAlign w:val="bottom"/>
            <w:hideMark/>
          </w:tcPr>
          <w:p w14:paraId="014AF766" w14:textId="77777777" w:rsidR="00691375" w:rsidRPr="0091096D" w:rsidRDefault="00691375" w:rsidP="005E2BA7">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DER</w:t>
            </w:r>
          </w:p>
        </w:tc>
        <w:tc>
          <w:tcPr>
            <w:tcW w:w="0" w:type="auto"/>
            <w:tcBorders>
              <w:top w:val="single" w:sz="4" w:space="0" w:color="auto"/>
              <w:left w:val="nil"/>
              <w:bottom w:val="single" w:sz="4" w:space="0" w:color="auto"/>
              <w:right w:val="nil"/>
            </w:tcBorders>
            <w:noWrap/>
            <w:vAlign w:val="bottom"/>
            <w:hideMark/>
          </w:tcPr>
          <w:p w14:paraId="3401B522" w14:textId="77777777" w:rsidR="00691375" w:rsidRPr="0091096D" w:rsidRDefault="00691375" w:rsidP="005E2BA7">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TAT</w:t>
            </w:r>
          </w:p>
        </w:tc>
        <w:tc>
          <w:tcPr>
            <w:tcW w:w="0" w:type="auto"/>
            <w:tcBorders>
              <w:top w:val="single" w:sz="4" w:space="0" w:color="auto"/>
              <w:left w:val="nil"/>
              <w:bottom w:val="single" w:sz="4" w:space="0" w:color="auto"/>
              <w:right w:val="nil"/>
            </w:tcBorders>
            <w:noWrap/>
            <w:vAlign w:val="bottom"/>
            <w:hideMark/>
          </w:tcPr>
          <w:p w14:paraId="408EB238" w14:textId="77777777" w:rsidR="00691375" w:rsidRPr="0091096D" w:rsidRDefault="00691375" w:rsidP="005E2BA7">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EPS</w:t>
            </w:r>
          </w:p>
        </w:tc>
        <w:tc>
          <w:tcPr>
            <w:tcW w:w="0" w:type="auto"/>
            <w:tcBorders>
              <w:top w:val="single" w:sz="4" w:space="0" w:color="auto"/>
              <w:left w:val="nil"/>
              <w:bottom w:val="single" w:sz="4" w:space="0" w:color="auto"/>
              <w:right w:val="nil"/>
            </w:tcBorders>
            <w:noWrap/>
            <w:vAlign w:val="bottom"/>
            <w:hideMark/>
          </w:tcPr>
          <w:p w14:paraId="3D57DDA8" w14:textId="77777777" w:rsidR="00691375" w:rsidRPr="0091096D" w:rsidRDefault="00691375" w:rsidP="005E2BA7">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FSZ</w:t>
            </w:r>
          </w:p>
        </w:tc>
        <w:tc>
          <w:tcPr>
            <w:tcW w:w="0" w:type="auto"/>
            <w:tcBorders>
              <w:top w:val="single" w:sz="4" w:space="0" w:color="auto"/>
              <w:left w:val="nil"/>
              <w:bottom w:val="single" w:sz="4" w:space="0" w:color="auto"/>
              <w:right w:val="nil"/>
            </w:tcBorders>
            <w:noWrap/>
            <w:vAlign w:val="bottom"/>
            <w:hideMark/>
          </w:tcPr>
          <w:p w14:paraId="6EDF46F4" w14:textId="77777777" w:rsidR="00691375" w:rsidRPr="0091096D" w:rsidRDefault="00691375" w:rsidP="005E2BA7">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INF</w:t>
            </w:r>
          </w:p>
        </w:tc>
        <w:tc>
          <w:tcPr>
            <w:tcW w:w="0" w:type="auto"/>
            <w:tcBorders>
              <w:top w:val="single" w:sz="4" w:space="0" w:color="auto"/>
              <w:left w:val="nil"/>
              <w:bottom w:val="single" w:sz="4" w:space="0" w:color="auto"/>
              <w:right w:val="nil"/>
            </w:tcBorders>
            <w:noWrap/>
            <w:vAlign w:val="bottom"/>
            <w:hideMark/>
          </w:tcPr>
          <w:p w14:paraId="06B1DF14" w14:textId="77777777" w:rsidR="00691375" w:rsidRPr="0091096D" w:rsidRDefault="00691375" w:rsidP="005E2BA7">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INR</w:t>
            </w:r>
          </w:p>
        </w:tc>
        <w:tc>
          <w:tcPr>
            <w:tcW w:w="0" w:type="auto"/>
            <w:tcBorders>
              <w:top w:val="single" w:sz="4" w:space="0" w:color="auto"/>
              <w:left w:val="nil"/>
              <w:bottom w:val="single" w:sz="4" w:space="0" w:color="auto"/>
              <w:right w:val="nil"/>
            </w:tcBorders>
            <w:noWrap/>
            <w:vAlign w:val="bottom"/>
            <w:hideMark/>
          </w:tcPr>
          <w:p w14:paraId="70C7AD0C" w14:textId="77777777" w:rsidR="00691375" w:rsidRPr="0091096D" w:rsidRDefault="00691375" w:rsidP="005E2BA7">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EXR</w:t>
            </w:r>
          </w:p>
        </w:tc>
      </w:tr>
      <w:tr w:rsidR="00691375" w:rsidRPr="0091096D" w14:paraId="7D418308" w14:textId="77777777" w:rsidTr="00724758">
        <w:trPr>
          <w:trHeight w:val="300"/>
        </w:trPr>
        <w:tc>
          <w:tcPr>
            <w:tcW w:w="0" w:type="auto"/>
            <w:tcBorders>
              <w:top w:val="nil"/>
              <w:left w:val="nil"/>
              <w:bottom w:val="nil"/>
              <w:right w:val="nil"/>
            </w:tcBorders>
            <w:noWrap/>
            <w:vAlign w:val="bottom"/>
            <w:hideMark/>
          </w:tcPr>
          <w:p w14:paraId="2AA989E3" w14:textId="77777777" w:rsidR="00691375" w:rsidRPr="0091096D" w:rsidRDefault="00691375" w:rsidP="005E2BA7">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LSHP</w:t>
            </w:r>
          </w:p>
        </w:tc>
        <w:tc>
          <w:tcPr>
            <w:tcW w:w="801" w:type="dxa"/>
            <w:tcBorders>
              <w:top w:val="nil"/>
              <w:left w:val="nil"/>
              <w:bottom w:val="nil"/>
              <w:right w:val="nil"/>
            </w:tcBorders>
            <w:noWrap/>
            <w:vAlign w:val="bottom"/>
            <w:hideMark/>
          </w:tcPr>
          <w:p w14:paraId="451BA088"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1.0000</w:t>
            </w:r>
          </w:p>
        </w:tc>
        <w:tc>
          <w:tcPr>
            <w:tcW w:w="0" w:type="auto"/>
            <w:tcBorders>
              <w:top w:val="nil"/>
              <w:left w:val="nil"/>
              <w:bottom w:val="nil"/>
              <w:right w:val="nil"/>
            </w:tcBorders>
            <w:noWrap/>
            <w:vAlign w:val="bottom"/>
            <w:hideMark/>
          </w:tcPr>
          <w:p w14:paraId="4FEA5DCB"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6D1D0D29" w14:textId="77777777" w:rsidR="00691375" w:rsidRPr="0091096D" w:rsidRDefault="00691375" w:rsidP="005E2BA7">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0E8EC4A0" w14:textId="77777777" w:rsidR="00691375" w:rsidRPr="0091096D" w:rsidRDefault="00691375" w:rsidP="005E2BA7">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1619E2CD" w14:textId="77777777" w:rsidR="00691375" w:rsidRPr="0091096D" w:rsidRDefault="00691375" w:rsidP="005E2BA7">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7A1EA08B" w14:textId="77777777" w:rsidR="00691375" w:rsidRPr="0091096D" w:rsidRDefault="00691375" w:rsidP="005E2BA7">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0401FF0B" w14:textId="77777777" w:rsidR="00691375" w:rsidRPr="0091096D" w:rsidRDefault="00691375" w:rsidP="005E2BA7">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5BA1F6ED" w14:textId="77777777" w:rsidR="00691375" w:rsidRPr="0091096D" w:rsidRDefault="00691375" w:rsidP="005E2BA7">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6F8AC932" w14:textId="77777777" w:rsidR="00691375" w:rsidRPr="0091096D" w:rsidRDefault="00691375" w:rsidP="005E2BA7">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3A5580F8" w14:textId="77777777" w:rsidR="00691375" w:rsidRPr="0091096D" w:rsidRDefault="00691375" w:rsidP="005E2BA7">
            <w:pPr>
              <w:spacing w:after="0" w:line="240" w:lineRule="auto"/>
              <w:rPr>
                <w:rFonts w:ascii="Times New Roman" w:eastAsia="Times New Roman" w:hAnsi="Times New Roman" w:cs="Times New Roman"/>
                <w:sz w:val="20"/>
                <w:szCs w:val="20"/>
              </w:rPr>
            </w:pPr>
          </w:p>
        </w:tc>
      </w:tr>
      <w:tr w:rsidR="00691375" w:rsidRPr="0091096D" w14:paraId="46FFC4F5" w14:textId="77777777" w:rsidTr="00724758">
        <w:trPr>
          <w:trHeight w:val="300"/>
        </w:trPr>
        <w:tc>
          <w:tcPr>
            <w:tcW w:w="0" w:type="auto"/>
            <w:tcBorders>
              <w:top w:val="nil"/>
              <w:left w:val="nil"/>
              <w:bottom w:val="nil"/>
              <w:right w:val="nil"/>
            </w:tcBorders>
            <w:noWrap/>
            <w:vAlign w:val="bottom"/>
            <w:hideMark/>
          </w:tcPr>
          <w:p w14:paraId="554CBB0C" w14:textId="77777777" w:rsidR="00691375" w:rsidRPr="0091096D" w:rsidRDefault="00691375" w:rsidP="005E2BA7">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ROE</w:t>
            </w:r>
          </w:p>
        </w:tc>
        <w:tc>
          <w:tcPr>
            <w:tcW w:w="801" w:type="dxa"/>
            <w:tcBorders>
              <w:top w:val="nil"/>
              <w:left w:val="nil"/>
              <w:bottom w:val="nil"/>
              <w:right w:val="nil"/>
            </w:tcBorders>
            <w:noWrap/>
            <w:vAlign w:val="bottom"/>
            <w:hideMark/>
          </w:tcPr>
          <w:p w14:paraId="7BB09FFC"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0.5120*</w:t>
            </w:r>
          </w:p>
        </w:tc>
        <w:tc>
          <w:tcPr>
            <w:tcW w:w="0" w:type="auto"/>
            <w:tcBorders>
              <w:top w:val="nil"/>
              <w:left w:val="nil"/>
              <w:bottom w:val="nil"/>
              <w:right w:val="nil"/>
            </w:tcBorders>
            <w:noWrap/>
            <w:vAlign w:val="bottom"/>
            <w:hideMark/>
          </w:tcPr>
          <w:p w14:paraId="41F68494"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1.0000</w:t>
            </w:r>
          </w:p>
        </w:tc>
        <w:tc>
          <w:tcPr>
            <w:tcW w:w="0" w:type="auto"/>
            <w:tcBorders>
              <w:top w:val="nil"/>
              <w:left w:val="nil"/>
              <w:bottom w:val="nil"/>
              <w:right w:val="nil"/>
            </w:tcBorders>
            <w:noWrap/>
            <w:vAlign w:val="bottom"/>
            <w:hideMark/>
          </w:tcPr>
          <w:p w14:paraId="2948E953"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6D2BDA89"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466B9B40"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292FCC3B"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29BAAF14"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79DB5C37"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6F6DB4E5"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5EC1AC67"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r>
      <w:tr w:rsidR="00691375" w:rsidRPr="0091096D" w14:paraId="40496768" w14:textId="77777777" w:rsidTr="00724758">
        <w:trPr>
          <w:trHeight w:val="300"/>
        </w:trPr>
        <w:tc>
          <w:tcPr>
            <w:tcW w:w="0" w:type="auto"/>
            <w:tcBorders>
              <w:top w:val="nil"/>
              <w:left w:val="nil"/>
              <w:bottom w:val="nil"/>
              <w:right w:val="nil"/>
            </w:tcBorders>
            <w:noWrap/>
            <w:vAlign w:val="bottom"/>
            <w:hideMark/>
          </w:tcPr>
          <w:p w14:paraId="5D33C72A" w14:textId="77777777" w:rsidR="00691375" w:rsidRPr="0091096D" w:rsidRDefault="00691375" w:rsidP="005E2BA7">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266C8022"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0.0000</w:t>
            </w:r>
          </w:p>
        </w:tc>
        <w:tc>
          <w:tcPr>
            <w:tcW w:w="0" w:type="auto"/>
            <w:tcBorders>
              <w:top w:val="nil"/>
              <w:left w:val="nil"/>
              <w:bottom w:val="nil"/>
              <w:right w:val="nil"/>
            </w:tcBorders>
            <w:noWrap/>
            <w:vAlign w:val="bottom"/>
            <w:hideMark/>
          </w:tcPr>
          <w:p w14:paraId="2B7C6514"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5E3E8A1A"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2044FF7C"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1209EB14"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218C0621"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13D3EBBE"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4407A400"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742B74E1"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422FD69F"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r>
      <w:tr w:rsidR="00691375" w:rsidRPr="0091096D" w14:paraId="418A55B3" w14:textId="77777777" w:rsidTr="00724758">
        <w:trPr>
          <w:trHeight w:val="300"/>
        </w:trPr>
        <w:tc>
          <w:tcPr>
            <w:tcW w:w="0" w:type="auto"/>
            <w:tcBorders>
              <w:top w:val="nil"/>
              <w:left w:val="nil"/>
              <w:bottom w:val="nil"/>
              <w:right w:val="nil"/>
            </w:tcBorders>
            <w:noWrap/>
            <w:vAlign w:val="bottom"/>
            <w:hideMark/>
          </w:tcPr>
          <w:p w14:paraId="5B10CBDC" w14:textId="77777777" w:rsidR="00691375" w:rsidRPr="0091096D" w:rsidRDefault="00691375" w:rsidP="005E2BA7">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CUR</w:t>
            </w:r>
          </w:p>
        </w:tc>
        <w:tc>
          <w:tcPr>
            <w:tcW w:w="801" w:type="dxa"/>
            <w:tcBorders>
              <w:top w:val="nil"/>
              <w:left w:val="nil"/>
              <w:bottom w:val="nil"/>
              <w:right w:val="nil"/>
            </w:tcBorders>
            <w:noWrap/>
            <w:vAlign w:val="bottom"/>
            <w:hideMark/>
          </w:tcPr>
          <w:p w14:paraId="2E6990EA"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-0.0026</w:t>
            </w:r>
          </w:p>
        </w:tc>
        <w:tc>
          <w:tcPr>
            <w:tcW w:w="0" w:type="auto"/>
            <w:tcBorders>
              <w:top w:val="nil"/>
              <w:left w:val="nil"/>
              <w:bottom w:val="nil"/>
              <w:right w:val="nil"/>
            </w:tcBorders>
            <w:noWrap/>
            <w:vAlign w:val="bottom"/>
            <w:hideMark/>
          </w:tcPr>
          <w:p w14:paraId="22E91A41"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0.1412*</w:t>
            </w:r>
          </w:p>
        </w:tc>
        <w:tc>
          <w:tcPr>
            <w:tcW w:w="0" w:type="auto"/>
            <w:tcBorders>
              <w:top w:val="nil"/>
              <w:left w:val="nil"/>
              <w:bottom w:val="nil"/>
              <w:right w:val="nil"/>
            </w:tcBorders>
            <w:noWrap/>
            <w:vAlign w:val="bottom"/>
            <w:hideMark/>
          </w:tcPr>
          <w:p w14:paraId="63A100C2"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1.0000</w:t>
            </w:r>
          </w:p>
        </w:tc>
        <w:tc>
          <w:tcPr>
            <w:tcW w:w="0" w:type="auto"/>
            <w:tcBorders>
              <w:top w:val="nil"/>
              <w:left w:val="nil"/>
              <w:bottom w:val="nil"/>
              <w:right w:val="nil"/>
            </w:tcBorders>
            <w:noWrap/>
            <w:vAlign w:val="bottom"/>
            <w:hideMark/>
          </w:tcPr>
          <w:p w14:paraId="32A707D1"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4CE3A1A2"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53BCB358"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09391B9A"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6EE4943F"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521822A8"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02F664EC"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r>
      <w:tr w:rsidR="00691375" w:rsidRPr="0091096D" w14:paraId="44F8F641" w14:textId="77777777" w:rsidTr="00724758">
        <w:trPr>
          <w:trHeight w:val="300"/>
        </w:trPr>
        <w:tc>
          <w:tcPr>
            <w:tcW w:w="0" w:type="auto"/>
            <w:tcBorders>
              <w:top w:val="nil"/>
              <w:left w:val="nil"/>
              <w:bottom w:val="nil"/>
              <w:right w:val="nil"/>
            </w:tcBorders>
            <w:noWrap/>
            <w:vAlign w:val="bottom"/>
            <w:hideMark/>
          </w:tcPr>
          <w:p w14:paraId="7306950F" w14:textId="77777777" w:rsidR="00691375" w:rsidRPr="0091096D" w:rsidRDefault="00691375" w:rsidP="005E2BA7">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5E9159E8"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0.9684</w:t>
            </w:r>
          </w:p>
        </w:tc>
        <w:tc>
          <w:tcPr>
            <w:tcW w:w="0" w:type="auto"/>
            <w:tcBorders>
              <w:top w:val="nil"/>
              <w:left w:val="nil"/>
              <w:bottom w:val="nil"/>
              <w:right w:val="nil"/>
            </w:tcBorders>
            <w:noWrap/>
            <w:vAlign w:val="bottom"/>
            <w:hideMark/>
          </w:tcPr>
          <w:p w14:paraId="0933040F"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0.0287</w:t>
            </w:r>
          </w:p>
        </w:tc>
        <w:tc>
          <w:tcPr>
            <w:tcW w:w="0" w:type="auto"/>
            <w:tcBorders>
              <w:top w:val="nil"/>
              <w:left w:val="nil"/>
              <w:bottom w:val="nil"/>
              <w:right w:val="nil"/>
            </w:tcBorders>
            <w:noWrap/>
            <w:vAlign w:val="bottom"/>
            <w:hideMark/>
          </w:tcPr>
          <w:p w14:paraId="052F60B6"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059DCE82"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12080109"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581C6566"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546ADD8F"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22C2992F"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1E7B5893"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7D01B13A"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r>
      <w:tr w:rsidR="00691375" w:rsidRPr="0091096D" w14:paraId="298D95F8" w14:textId="77777777" w:rsidTr="00724758">
        <w:trPr>
          <w:trHeight w:val="300"/>
        </w:trPr>
        <w:tc>
          <w:tcPr>
            <w:tcW w:w="0" w:type="auto"/>
            <w:tcBorders>
              <w:top w:val="nil"/>
              <w:left w:val="nil"/>
              <w:bottom w:val="nil"/>
              <w:right w:val="nil"/>
            </w:tcBorders>
            <w:noWrap/>
            <w:vAlign w:val="bottom"/>
            <w:hideMark/>
          </w:tcPr>
          <w:p w14:paraId="1E0C02F1" w14:textId="77777777" w:rsidR="00691375" w:rsidRPr="0091096D" w:rsidRDefault="00691375" w:rsidP="005E2BA7">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DER</w:t>
            </w:r>
          </w:p>
        </w:tc>
        <w:tc>
          <w:tcPr>
            <w:tcW w:w="801" w:type="dxa"/>
            <w:tcBorders>
              <w:top w:val="nil"/>
              <w:left w:val="nil"/>
              <w:bottom w:val="nil"/>
              <w:right w:val="nil"/>
            </w:tcBorders>
            <w:noWrap/>
            <w:vAlign w:val="bottom"/>
            <w:hideMark/>
          </w:tcPr>
          <w:p w14:paraId="4DD99D89"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0.051</w:t>
            </w:r>
          </w:p>
        </w:tc>
        <w:tc>
          <w:tcPr>
            <w:tcW w:w="0" w:type="auto"/>
            <w:tcBorders>
              <w:top w:val="nil"/>
              <w:left w:val="nil"/>
              <w:bottom w:val="nil"/>
              <w:right w:val="nil"/>
            </w:tcBorders>
            <w:noWrap/>
            <w:vAlign w:val="bottom"/>
            <w:hideMark/>
          </w:tcPr>
          <w:p w14:paraId="307D5D46"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-0.2485*</w:t>
            </w:r>
          </w:p>
        </w:tc>
        <w:tc>
          <w:tcPr>
            <w:tcW w:w="0" w:type="auto"/>
            <w:tcBorders>
              <w:top w:val="nil"/>
              <w:left w:val="nil"/>
              <w:bottom w:val="nil"/>
              <w:right w:val="nil"/>
            </w:tcBorders>
            <w:noWrap/>
            <w:vAlign w:val="bottom"/>
            <w:hideMark/>
          </w:tcPr>
          <w:p w14:paraId="54700B5D"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-0.3036*</w:t>
            </w:r>
          </w:p>
        </w:tc>
        <w:tc>
          <w:tcPr>
            <w:tcW w:w="0" w:type="auto"/>
            <w:tcBorders>
              <w:top w:val="nil"/>
              <w:left w:val="nil"/>
              <w:bottom w:val="nil"/>
              <w:right w:val="nil"/>
            </w:tcBorders>
            <w:noWrap/>
            <w:vAlign w:val="bottom"/>
            <w:hideMark/>
          </w:tcPr>
          <w:p w14:paraId="6970CCD1"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1.0000</w:t>
            </w:r>
          </w:p>
        </w:tc>
        <w:tc>
          <w:tcPr>
            <w:tcW w:w="0" w:type="auto"/>
            <w:tcBorders>
              <w:top w:val="nil"/>
              <w:left w:val="nil"/>
              <w:bottom w:val="nil"/>
              <w:right w:val="nil"/>
            </w:tcBorders>
            <w:noWrap/>
            <w:vAlign w:val="bottom"/>
            <w:hideMark/>
          </w:tcPr>
          <w:p w14:paraId="276E6C8E"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52475C60"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16AFB215"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6D4F95FC"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2139D3E4"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4282A8AC"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r>
      <w:tr w:rsidR="00691375" w:rsidRPr="0091096D" w14:paraId="6EF234C5" w14:textId="77777777" w:rsidTr="00724758">
        <w:trPr>
          <w:trHeight w:val="300"/>
        </w:trPr>
        <w:tc>
          <w:tcPr>
            <w:tcW w:w="0" w:type="auto"/>
            <w:tcBorders>
              <w:top w:val="nil"/>
              <w:left w:val="nil"/>
              <w:bottom w:val="nil"/>
              <w:right w:val="nil"/>
            </w:tcBorders>
            <w:noWrap/>
            <w:vAlign w:val="bottom"/>
            <w:hideMark/>
          </w:tcPr>
          <w:p w14:paraId="37BF0983" w14:textId="77777777" w:rsidR="00691375" w:rsidRPr="0091096D" w:rsidRDefault="00691375" w:rsidP="005E2BA7">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36DCA5D5"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0.4313</w:t>
            </w:r>
          </w:p>
        </w:tc>
        <w:tc>
          <w:tcPr>
            <w:tcW w:w="0" w:type="auto"/>
            <w:tcBorders>
              <w:top w:val="nil"/>
              <w:left w:val="nil"/>
              <w:bottom w:val="nil"/>
              <w:right w:val="nil"/>
            </w:tcBorders>
            <w:noWrap/>
            <w:vAlign w:val="bottom"/>
            <w:hideMark/>
          </w:tcPr>
          <w:p w14:paraId="49D29B8B"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0.0001</w:t>
            </w:r>
          </w:p>
        </w:tc>
        <w:tc>
          <w:tcPr>
            <w:tcW w:w="0" w:type="auto"/>
            <w:tcBorders>
              <w:top w:val="nil"/>
              <w:left w:val="nil"/>
              <w:bottom w:val="nil"/>
              <w:right w:val="nil"/>
            </w:tcBorders>
            <w:noWrap/>
            <w:vAlign w:val="bottom"/>
            <w:hideMark/>
          </w:tcPr>
          <w:p w14:paraId="2FA6020F"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0.0000</w:t>
            </w:r>
          </w:p>
        </w:tc>
        <w:tc>
          <w:tcPr>
            <w:tcW w:w="0" w:type="auto"/>
            <w:tcBorders>
              <w:top w:val="nil"/>
              <w:left w:val="nil"/>
              <w:bottom w:val="nil"/>
              <w:right w:val="nil"/>
            </w:tcBorders>
            <w:noWrap/>
            <w:vAlign w:val="bottom"/>
            <w:hideMark/>
          </w:tcPr>
          <w:p w14:paraId="0EA9B5C5"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1FAF0283"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18001B0F"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571ABC28"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37B11CBA"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20A7EF61"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65970D9D"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r>
      <w:tr w:rsidR="00691375" w:rsidRPr="0091096D" w14:paraId="56E33DDE" w14:textId="77777777" w:rsidTr="00724758">
        <w:trPr>
          <w:trHeight w:val="300"/>
        </w:trPr>
        <w:tc>
          <w:tcPr>
            <w:tcW w:w="0" w:type="auto"/>
            <w:tcBorders>
              <w:top w:val="nil"/>
              <w:left w:val="nil"/>
              <w:bottom w:val="nil"/>
              <w:right w:val="nil"/>
            </w:tcBorders>
            <w:noWrap/>
            <w:vAlign w:val="bottom"/>
            <w:hideMark/>
          </w:tcPr>
          <w:p w14:paraId="5CDF699E" w14:textId="77777777" w:rsidR="00691375" w:rsidRPr="0091096D" w:rsidRDefault="00691375" w:rsidP="005E2BA7">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TAT</w:t>
            </w:r>
          </w:p>
        </w:tc>
        <w:tc>
          <w:tcPr>
            <w:tcW w:w="801" w:type="dxa"/>
            <w:tcBorders>
              <w:top w:val="nil"/>
              <w:left w:val="nil"/>
              <w:bottom w:val="nil"/>
              <w:right w:val="nil"/>
            </w:tcBorders>
            <w:noWrap/>
            <w:vAlign w:val="bottom"/>
            <w:hideMark/>
          </w:tcPr>
          <w:p w14:paraId="01E3BC93"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0.0267</w:t>
            </w:r>
          </w:p>
        </w:tc>
        <w:tc>
          <w:tcPr>
            <w:tcW w:w="0" w:type="auto"/>
            <w:tcBorders>
              <w:top w:val="nil"/>
              <w:left w:val="nil"/>
              <w:bottom w:val="nil"/>
              <w:right w:val="nil"/>
            </w:tcBorders>
            <w:noWrap/>
            <w:vAlign w:val="bottom"/>
            <w:hideMark/>
          </w:tcPr>
          <w:p w14:paraId="18C615A4"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0.2150*</w:t>
            </w:r>
          </w:p>
        </w:tc>
        <w:tc>
          <w:tcPr>
            <w:tcW w:w="0" w:type="auto"/>
            <w:tcBorders>
              <w:top w:val="nil"/>
              <w:left w:val="nil"/>
              <w:bottom w:val="nil"/>
              <w:right w:val="nil"/>
            </w:tcBorders>
            <w:noWrap/>
            <w:vAlign w:val="bottom"/>
            <w:hideMark/>
          </w:tcPr>
          <w:p w14:paraId="0238FDF0"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0.1886*</w:t>
            </w:r>
          </w:p>
        </w:tc>
        <w:tc>
          <w:tcPr>
            <w:tcW w:w="0" w:type="auto"/>
            <w:tcBorders>
              <w:top w:val="nil"/>
              <w:left w:val="nil"/>
              <w:bottom w:val="nil"/>
              <w:right w:val="nil"/>
            </w:tcBorders>
            <w:noWrap/>
            <w:vAlign w:val="bottom"/>
            <w:hideMark/>
          </w:tcPr>
          <w:p w14:paraId="5F72A3FF"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-0.0664</w:t>
            </w:r>
          </w:p>
        </w:tc>
        <w:tc>
          <w:tcPr>
            <w:tcW w:w="0" w:type="auto"/>
            <w:tcBorders>
              <w:top w:val="nil"/>
              <w:left w:val="nil"/>
              <w:bottom w:val="nil"/>
              <w:right w:val="nil"/>
            </w:tcBorders>
            <w:noWrap/>
            <w:vAlign w:val="bottom"/>
            <w:hideMark/>
          </w:tcPr>
          <w:p w14:paraId="4C0A563D"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1.0000</w:t>
            </w:r>
          </w:p>
        </w:tc>
        <w:tc>
          <w:tcPr>
            <w:tcW w:w="0" w:type="auto"/>
            <w:tcBorders>
              <w:top w:val="nil"/>
              <w:left w:val="nil"/>
              <w:bottom w:val="nil"/>
              <w:right w:val="nil"/>
            </w:tcBorders>
            <w:noWrap/>
            <w:vAlign w:val="bottom"/>
            <w:hideMark/>
          </w:tcPr>
          <w:p w14:paraId="439B4285"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3653B26C"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43F0A55D"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0204A93F"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07DD7BCE"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r>
      <w:tr w:rsidR="00691375" w:rsidRPr="0091096D" w14:paraId="6B232AD7" w14:textId="77777777" w:rsidTr="00724758">
        <w:trPr>
          <w:trHeight w:val="300"/>
        </w:trPr>
        <w:tc>
          <w:tcPr>
            <w:tcW w:w="0" w:type="auto"/>
            <w:tcBorders>
              <w:top w:val="nil"/>
              <w:left w:val="nil"/>
              <w:bottom w:val="nil"/>
              <w:right w:val="nil"/>
            </w:tcBorders>
            <w:noWrap/>
            <w:vAlign w:val="bottom"/>
            <w:hideMark/>
          </w:tcPr>
          <w:p w14:paraId="66C948AD" w14:textId="77777777" w:rsidR="00691375" w:rsidRPr="0091096D" w:rsidRDefault="00691375" w:rsidP="005E2BA7">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52F5FA00"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0.6804</w:t>
            </w:r>
          </w:p>
        </w:tc>
        <w:tc>
          <w:tcPr>
            <w:tcW w:w="0" w:type="auto"/>
            <w:tcBorders>
              <w:top w:val="nil"/>
              <w:left w:val="nil"/>
              <w:bottom w:val="nil"/>
              <w:right w:val="nil"/>
            </w:tcBorders>
            <w:noWrap/>
            <w:vAlign w:val="bottom"/>
            <w:hideMark/>
          </w:tcPr>
          <w:p w14:paraId="4184B415"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0.0008</w:t>
            </w:r>
          </w:p>
        </w:tc>
        <w:tc>
          <w:tcPr>
            <w:tcW w:w="0" w:type="auto"/>
            <w:tcBorders>
              <w:top w:val="nil"/>
              <w:left w:val="nil"/>
              <w:bottom w:val="nil"/>
              <w:right w:val="nil"/>
            </w:tcBorders>
            <w:noWrap/>
            <w:vAlign w:val="bottom"/>
            <w:hideMark/>
          </w:tcPr>
          <w:p w14:paraId="1AFD5A8E"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0.0034</w:t>
            </w:r>
          </w:p>
        </w:tc>
        <w:tc>
          <w:tcPr>
            <w:tcW w:w="0" w:type="auto"/>
            <w:tcBorders>
              <w:top w:val="nil"/>
              <w:left w:val="nil"/>
              <w:bottom w:val="nil"/>
              <w:right w:val="nil"/>
            </w:tcBorders>
            <w:noWrap/>
            <w:vAlign w:val="bottom"/>
            <w:hideMark/>
          </w:tcPr>
          <w:p w14:paraId="0487B3A9"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0.3055</w:t>
            </w:r>
          </w:p>
        </w:tc>
        <w:tc>
          <w:tcPr>
            <w:tcW w:w="0" w:type="auto"/>
            <w:tcBorders>
              <w:top w:val="nil"/>
              <w:left w:val="nil"/>
              <w:bottom w:val="nil"/>
              <w:right w:val="nil"/>
            </w:tcBorders>
            <w:noWrap/>
            <w:vAlign w:val="bottom"/>
            <w:hideMark/>
          </w:tcPr>
          <w:p w14:paraId="6504051A"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6644A4D0"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7273AEC1"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5B04113B"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4615ECA9"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5224DC45"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r>
      <w:tr w:rsidR="00691375" w:rsidRPr="0091096D" w14:paraId="14DC8174" w14:textId="77777777" w:rsidTr="00724758">
        <w:trPr>
          <w:trHeight w:val="300"/>
        </w:trPr>
        <w:tc>
          <w:tcPr>
            <w:tcW w:w="0" w:type="auto"/>
            <w:tcBorders>
              <w:top w:val="nil"/>
              <w:left w:val="nil"/>
              <w:bottom w:val="nil"/>
              <w:right w:val="nil"/>
            </w:tcBorders>
            <w:noWrap/>
            <w:vAlign w:val="bottom"/>
            <w:hideMark/>
          </w:tcPr>
          <w:p w14:paraId="3F2F69E6" w14:textId="77777777" w:rsidR="00691375" w:rsidRPr="0091096D" w:rsidRDefault="00691375" w:rsidP="005E2BA7">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EPS</w:t>
            </w:r>
          </w:p>
        </w:tc>
        <w:tc>
          <w:tcPr>
            <w:tcW w:w="801" w:type="dxa"/>
            <w:tcBorders>
              <w:top w:val="nil"/>
              <w:left w:val="nil"/>
              <w:bottom w:val="nil"/>
              <w:right w:val="nil"/>
            </w:tcBorders>
            <w:noWrap/>
            <w:vAlign w:val="bottom"/>
            <w:hideMark/>
          </w:tcPr>
          <w:p w14:paraId="18FE76B2"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0.4106*</w:t>
            </w:r>
          </w:p>
        </w:tc>
        <w:tc>
          <w:tcPr>
            <w:tcW w:w="0" w:type="auto"/>
            <w:tcBorders>
              <w:top w:val="nil"/>
              <w:left w:val="nil"/>
              <w:bottom w:val="nil"/>
              <w:right w:val="nil"/>
            </w:tcBorders>
            <w:noWrap/>
            <w:vAlign w:val="bottom"/>
            <w:hideMark/>
          </w:tcPr>
          <w:p w14:paraId="751C51D8"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0.4059*</w:t>
            </w:r>
          </w:p>
        </w:tc>
        <w:tc>
          <w:tcPr>
            <w:tcW w:w="0" w:type="auto"/>
            <w:tcBorders>
              <w:top w:val="nil"/>
              <w:left w:val="nil"/>
              <w:bottom w:val="nil"/>
              <w:right w:val="nil"/>
            </w:tcBorders>
            <w:noWrap/>
            <w:vAlign w:val="bottom"/>
            <w:hideMark/>
          </w:tcPr>
          <w:p w14:paraId="5A7CBABC"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0.0254</w:t>
            </w:r>
          </w:p>
        </w:tc>
        <w:tc>
          <w:tcPr>
            <w:tcW w:w="0" w:type="auto"/>
            <w:tcBorders>
              <w:top w:val="nil"/>
              <w:left w:val="nil"/>
              <w:bottom w:val="nil"/>
              <w:right w:val="nil"/>
            </w:tcBorders>
            <w:noWrap/>
            <w:vAlign w:val="bottom"/>
            <w:hideMark/>
          </w:tcPr>
          <w:p w14:paraId="7E14B475"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0.1720*</w:t>
            </w:r>
          </w:p>
        </w:tc>
        <w:tc>
          <w:tcPr>
            <w:tcW w:w="0" w:type="auto"/>
            <w:tcBorders>
              <w:top w:val="nil"/>
              <w:left w:val="nil"/>
              <w:bottom w:val="nil"/>
              <w:right w:val="nil"/>
            </w:tcBorders>
            <w:noWrap/>
            <w:vAlign w:val="bottom"/>
            <w:hideMark/>
          </w:tcPr>
          <w:p w14:paraId="7B5BD780"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0.1047</w:t>
            </w:r>
          </w:p>
        </w:tc>
        <w:tc>
          <w:tcPr>
            <w:tcW w:w="0" w:type="auto"/>
            <w:tcBorders>
              <w:top w:val="nil"/>
              <w:left w:val="nil"/>
              <w:bottom w:val="nil"/>
              <w:right w:val="nil"/>
            </w:tcBorders>
            <w:noWrap/>
            <w:vAlign w:val="bottom"/>
            <w:hideMark/>
          </w:tcPr>
          <w:p w14:paraId="0D673207"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1.0000</w:t>
            </w:r>
          </w:p>
        </w:tc>
        <w:tc>
          <w:tcPr>
            <w:tcW w:w="0" w:type="auto"/>
            <w:tcBorders>
              <w:top w:val="nil"/>
              <w:left w:val="nil"/>
              <w:bottom w:val="nil"/>
              <w:right w:val="nil"/>
            </w:tcBorders>
            <w:noWrap/>
            <w:vAlign w:val="bottom"/>
            <w:hideMark/>
          </w:tcPr>
          <w:p w14:paraId="4AF6F901"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7FBB799F"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5635B5EE"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65915E53"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r>
      <w:tr w:rsidR="00691375" w:rsidRPr="0091096D" w14:paraId="79005F52" w14:textId="77777777" w:rsidTr="00724758">
        <w:trPr>
          <w:trHeight w:val="300"/>
        </w:trPr>
        <w:tc>
          <w:tcPr>
            <w:tcW w:w="0" w:type="auto"/>
            <w:tcBorders>
              <w:top w:val="nil"/>
              <w:left w:val="nil"/>
              <w:bottom w:val="nil"/>
              <w:right w:val="nil"/>
            </w:tcBorders>
            <w:noWrap/>
            <w:vAlign w:val="bottom"/>
            <w:hideMark/>
          </w:tcPr>
          <w:p w14:paraId="6A5EF6CF" w14:textId="77777777" w:rsidR="00691375" w:rsidRPr="0091096D" w:rsidRDefault="00691375" w:rsidP="005E2BA7">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582F61D4"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0.0000</w:t>
            </w:r>
          </w:p>
        </w:tc>
        <w:tc>
          <w:tcPr>
            <w:tcW w:w="0" w:type="auto"/>
            <w:tcBorders>
              <w:top w:val="nil"/>
              <w:left w:val="nil"/>
              <w:bottom w:val="nil"/>
              <w:right w:val="nil"/>
            </w:tcBorders>
            <w:noWrap/>
            <w:vAlign w:val="bottom"/>
            <w:hideMark/>
          </w:tcPr>
          <w:p w14:paraId="2CC8DACF"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0.0000</w:t>
            </w:r>
          </w:p>
        </w:tc>
        <w:tc>
          <w:tcPr>
            <w:tcW w:w="0" w:type="auto"/>
            <w:tcBorders>
              <w:top w:val="nil"/>
              <w:left w:val="nil"/>
              <w:bottom w:val="nil"/>
              <w:right w:val="nil"/>
            </w:tcBorders>
            <w:noWrap/>
            <w:vAlign w:val="bottom"/>
            <w:hideMark/>
          </w:tcPr>
          <w:p w14:paraId="307EF40B"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0.6954</w:t>
            </w:r>
          </w:p>
        </w:tc>
        <w:tc>
          <w:tcPr>
            <w:tcW w:w="0" w:type="auto"/>
            <w:tcBorders>
              <w:top w:val="nil"/>
              <w:left w:val="nil"/>
              <w:bottom w:val="nil"/>
              <w:right w:val="nil"/>
            </w:tcBorders>
            <w:noWrap/>
            <w:vAlign w:val="bottom"/>
            <w:hideMark/>
          </w:tcPr>
          <w:p w14:paraId="1165105B"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0.0076</w:t>
            </w:r>
          </w:p>
        </w:tc>
        <w:tc>
          <w:tcPr>
            <w:tcW w:w="0" w:type="auto"/>
            <w:tcBorders>
              <w:top w:val="nil"/>
              <w:left w:val="nil"/>
              <w:bottom w:val="nil"/>
              <w:right w:val="nil"/>
            </w:tcBorders>
            <w:noWrap/>
            <w:vAlign w:val="bottom"/>
            <w:hideMark/>
          </w:tcPr>
          <w:p w14:paraId="6D313C09"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0.1056</w:t>
            </w:r>
          </w:p>
        </w:tc>
        <w:tc>
          <w:tcPr>
            <w:tcW w:w="0" w:type="auto"/>
            <w:tcBorders>
              <w:top w:val="nil"/>
              <w:left w:val="nil"/>
              <w:bottom w:val="nil"/>
              <w:right w:val="nil"/>
            </w:tcBorders>
            <w:noWrap/>
            <w:vAlign w:val="bottom"/>
            <w:hideMark/>
          </w:tcPr>
          <w:p w14:paraId="14D92254"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6906AA22"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3FB9CE57"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562DC056"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34389030"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r>
      <w:tr w:rsidR="00691375" w:rsidRPr="0091096D" w14:paraId="5122304B" w14:textId="77777777" w:rsidTr="00724758">
        <w:trPr>
          <w:trHeight w:val="300"/>
        </w:trPr>
        <w:tc>
          <w:tcPr>
            <w:tcW w:w="0" w:type="auto"/>
            <w:tcBorders>
              <w:top w:val="nil"/>
              <w:left w:val="nil"/>
              <w:bottom w:val="nil"/>
              <w:right w:val="nil"/>
            </w:tcBorders>
            <w:noWrap/>
            <w:vAlign w:val="bottom"/>
            <w:hideMark/>
          </w:tcPr>
          <w:p w14:paraId="1E55BD7C" w14:textId="77777777" w:rsidR="00691375" w:rsidRPr="0091096D" w:rsidRDefault="00691375" w:rsidP="005E2BA7">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FSZ</w:t>
            </w:r>
          </w:p>
        </w:tc>
        <w:tc>
          <w:tcPr>
            <w:tcW w:w="801" w:type="dxa"/>
            <w:tcBorders>
              <w:top w:val="nil"/>
              <w:left w:val="nil"/>
              <w:bottom w:val="nil"/>
              <w:right w:val="nil"/>
            </w:tcBorders>
            <w:noWrap/>
            <w:vAlign w:val="bottom"/>
            <w:hideMark/>
          </w:tcPr>
          <w:p w14:paraId="5A52F8B7"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0.5867*</w:t>
            </w:r>
          </w:p>
        </w:tc>
        <w:tc>
          <w:tcPr>
            <w:tcW w:w="0" w:type="auto"/>
            <w:tcBorders>
              <w:top w:val="nil"/>
              <w:left w:val="nil"/>
              <w:bottom w:val="nil"/>
              <w:right w:val="nil"/>
            </w:tcBorders>
            <w:noWrap/>
            <w:vAlign w:val="bottom"/>
            <w:hideMark/>
          </w:tcPr>
          <w:p w14:paraId="3C1C66F0"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0.1816*</w:t>
            </w:r>
          </w:p>
        </w:tc>
        <w:tc>
          <w:tcPr>
            <w:tcW w:w="0" w:type="auto"/>
            <w:tcBorders>
              <w:top w:val="nil"/>
              <w:left w:val="nil"/>
              <w:bottom w:val="nil"/>
              <w:right w:val="nil"/>
            </w:tcBorders>
            <w:noWrap/>
            <w:vAlign w:val="bottom"/>
            <w:hideMark/>
          </w:tcPr>
          <w:p w14:paraId="28A5D297"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-0.2226*</w:t>
            </w:r>
          </w:p>
        </w:tc>
        <w:tc>
          <w:tcPr>
            <w:tcW w:w="0" w:type="auto"/>
            <w:tcBorders>
              <w:top w:val="nil"/>
              <w:left w:val="nil"/>
              <w:bottom w:val="nil"/>
              <w:right w:val="nil"/>
            </w:tcBorders>
            <w:noWrap/>
            <w:vAlign w:val="bottom"/>
            <w:hideMark/>
          </w:tcPr>
          <w:p w14:paraId="7C8CB6AE"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0.111</w:t>
            </w:r>
          </w:p>
        </w:tc>
        <w:tc>
          <w:tcPr>
            <w:tcW w:w="0" w:type="auto"/>
            <w:tcBorders>
              <w:top w:val="nil"/>
              <w:left w:val="nil"/>
              <w:bottom w:val="nil"/>
              <w:right w:val="nil"/>
            </w:tcBorders>
            <w:noWrap/>
            <w:vAlign w:val="bottom"/>
            <w:hideMark/>
          </w:tcPr>
          <w:p w14:paraId="3D492A85"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-0.1340*</w:t>
            </w:r>
          </w:p>
        </w:tc>
        <w:tc>
          <w:tcPr>
            <w:tcW w:w="0" w:type="auto"/>
            <w:tcBorders>
              <w:top w:val="nil"/>
              <w:left w:val="nil"/>
              <w:bottom w:val="nil"/>
              <w:right w:val="nil"/>
            </w:tcBorders>
            <w:noWrap/>
            <w:vAlign w:val="bottom"/>
            <w:hideMark/>
          </w:tcPr>
          <w:p w14:paraId="3AF10D27"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0.1576*</w:t>
            </w:r>
          </w:p>
        </w:tc>
        <w:tc>
          <w:tcPr>
            <w:tcW w:w="0" w:type="auto"/>
            <w:tcBorders>
              <w:top w:val="nil"/>
              <w:left w:val="nil"/>
              <w:bottom w:val="nil"/>
              <w:right w:val="nil"/>
            </w:tcBorders>
            <w:noWrap/>
            <w:vAlign w:val="bottom"/>
            <w:hideMark/>
          </w:tcPr>
          <w:p w14:paraId="4C926D08"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1.0000</w:t>
            </w:r>
          </w:p>
        </w:tc>
        <w:tc>
          <w:tcPr>
            <w:tcW w:w="0" w:type="auto"/>
            <w:tcBorders>
              <w:top w:val="nil"/>
              <w:left w:val="nil"/>
              <w:bottom w:val="nil"/>
              <w:right w:val="nil"/>
            </w:tcBorders>
            <w:noWrap/>
            <w:vAlign w:val="bottom"/>
            <w:hideMark/>
          </w:tcPr>
          <w:p w14:paraId="286D99E9"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0FB6367F"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5C55581D"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r>
      <w:tr w:rsidR="00691375" w:rsidRPr="0091096D" w14:paraId="3A9457D1" w14:textId="77777777" w:rsidTr="00724758">
        <w:trPr>
          <w:trHeight w:val="300"/>
        </w:trPr>
        <w:tc>
          <w:tcPr>
            <w:tcW w:w="0" w:type="auto"/>
            <w:tcBorders>
              <w:top w:val="nil"/>
              <w:left w:val="nil"/>
              <w:bottom w:val="nil"/>
              <w:right w:val="nil"/>
            </w:tcBorders>
            <w:noWrap/>
            <w:vAlign w:val="bottom"/>
            <w:hideMark/>
          </w:tcPr>
          <w:p w14:paraId="27A38C55" w14:textId="77777777" w:rsidR="00691375" w:rsidRPr="0091096D" w:rsidRDefault="00691375" w:rsidP="005E2BA7">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484B5F9C"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0.0000</w:t>
            </w:r>
          </w:p>
        </w:tc>
        <w:tc>
          <w:tcPr>
            <w:tcW w:w="0" w:type="auto"/>
            <w:tcBorders>
              <w:top w:val="nil"/>
              <w:left w:val="nil"/>
              <w:bottom w:val="nil"/>
              <w:right w:val="nil"/>
            </w:tcBorders>
            <w:noWrap/>
            <w:vAlign w:val="bottom"/>
            <w:hideMark/>
          </w:tcPr>
          <w:p w14:paraId="0E9FCF7F"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0.0048</w:t>
            </w:r>
          </w:p>
        </w:tc>
        <w:tc>
          <w:tcPr>
            <w:tcW w:w="0" w:type="auto"/>
            <w:tcBorders>
              <w:top w:val="nil"/>
              <w:left w:val="nil"/>
              <w:bottom w:val="nil"/>
              <w:right w:val="nil"/>
            </w:tcBorders>
            <w:noWrap/>
            <w:vAlign w:val="bottom"/>
            <w:hideMark/>
          </w:tcPr>
          <w:p w14:paraId="23E7FD3A"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0.0005</w:t>
            </w:r>
          </w:p>
        </w:tc>
        <w:tc>
          <w:tcPr>
            <w:tcW w:w="0" w:type="auto"/>
            <w:tcBorders>
              <w:top w:val="nil"/>
              <w:left w:val="nil"/>
              <w:bottom w:val="nil"/>
              <w:right w:val="nil"/>
            </w:tcBorders>
            <w:noWrap/>
            <w:vAlign w:val="bottom"/>
            <w:hideMark/>
          </w:tcPr>
          <w:p w14:paraId="15EA557E"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0.0862</w:t>
            </w:r>
          </w:p>
        </w:tc>
        <w:tc>
          <w:tcPr>
            <w:tcW w:w="0" w:type="auto"/>
            <w:tcBorders>
              <w:top w:val="nil"/>
              <w:left w:val="nil"/>
              <w:bottom w:val="nil"/>
              <w:right w:val="nil"/>
            </w:tcBorders>
            <w:noWrap/>
            <w:vAlign w:val="bottom"/>
            <w:hideMark/>
          </w:tcPr>
          <w:p w14:paraId="59DE77D2"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0.0381</w:t>
            </w:r>
          </w:p>
        </w:tc>
        <w:tc>
          <w:tcPr>
            <w:tcW w:w="0" w:type="auto"/>
            <w:tcBorders>
              <w:top w:val="nil"/>
              <w:left w:val="nil"/>
              <w:bottom w:val="nil"/>
              <w:right w:val="nil"/>
            </w:tcBorders>
            <w:noWrap/>
            <w:vAlign w:val="bottom"/>
            <w:hideMark/>
          </w:tcPr>
          <w:p w14:paraId="46A7A435"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0.0145</w:t>
            </w:r>
          </w:p>
        </w:tc>
        <w:tc>
          <w:tcPr>
            <w:tcW w:w="0" w:type="auto"/>
            <w:tcBorders>
              <w:top w:val="nil"/>
              <w:left w:val="nil"/>
              <w:bottom w:val="nil"/>
              <w:right w:val="nil"/>
            </w:tcBorders>
            <w:noWrap/>
            <w:vAlign w:val="bottom"/>
            <w:hideMark/>
          </w:tcPr>
          <w:p w14:paraId="285354D4"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1FEA1F1C"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73B843B2"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7F09EB49"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r>
      <w:tr w:rsidR="00691375" w:rsidRPr="0091096D" w14:paraId="11712F08" w14:textId="77777777" w:rsidTr="00724758">
        <w:trPr>
          <w:trHeight w:val="300"/>
        </w:trPr>
        <w:tc>
          <w:tcPr>
            <w:tcW w:w="0" w:type="auto"/>
            <w:tcBorders>
              <w:top w:val="nil"/>
              <w:left w:val="nil"/>
              <w:bottom w:val="nil"/>
              <w:right w:val="nil"/>
            </w:tcBorders>
            <w:noWrap/>
            <w:vAlign w:val="bottom"/>
            <w:hideMark/>
          </w:tcPr>
          <w:p w14:paraId="67F9AFFC" w14:textId="77777777" w:rsidR="00691375" w:rsidRPr="0091096D" w:rsidRDefault="00691375" w:rsidP="005E2BA7">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INF</w:t>
            </w:r>
          </w:p>
        </w:tc>
        <w:tc>
          <w:tcPr>
            <w:tcW w:w="801" w:type="dxa"/>
            <w:tcBorders>
              <w:top w:val="nil"/>
              <w:left w:val="nil"/>
              <w:bottom w:val="nil"/>
              <w:right w:val="nil"/>
            </w:tcBorders>
            <w:noWrap/>
            <w:vAlign w:val="bottom"/>
            <w:hideMark/>
          </w:tcPr>
          <w:p w14:paraId="70E14630"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0.0491</w:t>
            </w:r>
          </w:p>
        </w:tc>
        <w:tc>
          <w:tcPr>
            <w:tcW w:w="0" w:type="auto"/>
            <w:tcBorders>
              <w:top w:val="nil"/>
              <w:left w:val="nil"/>
              <w:bottom w:val="nil"/>
              <w:right w:val="nil"/>
            </w:tcBorders>
            <w:noWrap/>
            <w:vAlign w:val="bottom"/>
            <w:hideMark/>
          </w:tcPr>
          <w:p w14:paraId="0D4E9202"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-0.0394</w:t>
            </w:r>
          </w:p>
        </w:tc>
        <w:tc>
          <w:tcPr>
            <w:tcW w:w="0" w:type="auto"/>
            <w:tcBorders>
              <w:top w:val="nil"/>
              <w:left w:val="nil"/>
              <w:bottom w:val="nil"/>
              <w:right w:val="nil"/>
            </w:tcBorders>
            <w:noWrap/>
            <w:vAlign w:val="bottom"/>
            <w:hideMark/>
          </w:tcPr>
          <w:p w14:paraId="1A43FFDD"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0.0844</w:t>
            </w:r>
          </w:p>
        </w:tc>
        <w:tc>
          <w:tcPr>
            <w:tcW w:w="0" w:type="auto"/>
            <w:tcBorders>
              <w:top w:val="nil"/>
              <w:left w:val="nil"/>
              <w:bottom w:val="nil"/>
              <w:right w:val="nil"/>
            </w:tcBorders>
            <w:noWrap/>
            <w:vAlign w:val="bottom"/>
            <w:hideMark/>
          </w:tcPr>
          <w:p w14:paraId="3DBB9069"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0.2089*</w:t>
            </w:r>
          </w:p>
        </w:tc>
        <w:tc>
          <w:tcPr>
            <w:tcW w:w="0" w:type="auto"/>
            <w:tcBorders>
              <w:top w:val="nil"/>
              <w:left w:val="nil"/>
              <w:bottom w:val="nil"/>
              <w:right w:val="nil"/>
            </w:tcBorders>
            <w:noWrap/>
            <w:vAlign w:val="bottom"/>
            <w:hideMark/>
          </w:tcPr>
          <w:p w14:paraId="5F9FDECA"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-0.0542</w:t>
            </w:r>
          </w:p>
        </w:tc>
        <w:tc>
          <w:tcPr>
            <w:tcW w:w="0" w:type="auto"/>
            <w:tcBorders>
              <w:top w:val="nil"/>
              <w:left w:val="nil"/>
              <w:bottom w:val="nil"/>
              <w:right w:val="nil"/>
            </w:tcBorders>
            <w:noWrap/>
            <w:vAlign w:val="bottom"/>
            <w:hideMark/>
          </w:tcPr>
          <w:p w14:paraId="1332D2A3"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-0.0697</w:t>
            </w:r>
          </w:p>
        </w:tc>
        <w:tc>
          <w:tcPr>
            <w:tcW w:w="0" w:type="auto"/>
            <w:tcBorders>
              <w:top w:val="nil"/>
              <w:left w:val="nil"/>
              <w:bottom w:val="nil"/>
              <w:right w:val="nil"/>
            </w:tcBorders>
            <w:noWrap/>
            <w:vAlign w:val="bottom"/>
            <w:hideMark/>
          </w:tcPr>
          <w:p w14:paraId="1FC7763B"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0.1631*</w:t>
            </w:r>
          </w:p>
        </w:tc>
        <w:tc>
          <w:tcPr>
            <w:tcW w:w="0" w:type="auto"/>
            <w:tcBorders>
              <w:top w:val="nil"/>
              <w:left w:val="nil"/>
              <w:bottom w:val="nil"/>
              <w:right w:val="nil"/>
            </w:tcBorders>
            <w:noWrap/>
            <w:vAlign w:val="bottom"/>
            <w:hideMark/>
          </w:tcPr>
          <w:p w14:paraId="420F860E"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1.0000</w:t>
            </w:r>
          </w:p>
        </w:tc>
        <w:tc>
          <w:tcPr>
            <w:tcW w:w="0" w:type="auto"/>
            <w:tcBorders>
              <w:top w:val="nil"/>
              <w:left w:val="nil"/>
              <w:bottom w:val="nil"/>
              <w:right w:val="nil"/>
            </w:tcBorders>
            <w:noWrap/>
            <w:vAlign w:val="bottom"/>
            <w:hideMark/>
          </w:tcPr>
          <w:p w14:paraId="6896B202"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7837D848"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r>
      <w:tr w:rsidR="00691375" w:rsidRPr="0091096D" w14:paraId="2011A57F" w14:textId="77777777" w:rsidTr="00724758">
        <w:trPr>
          <w:trHeight w:val="300"/>
        </w:trPr>
        <w:tc>
          <w:tcPr>
            <w:tcW w:w="0" w:type="auto"/>
            <w:tcBorders>
              <w:top w:val="nil"/>
              <w:left w:val="nil"/>
              <w:bottom w:val="nil"/>
              <w:right w:val="nil"/>
            </w:tcBorders>
            <w:noWrap/>
            <w:vAlign w:val="bottom"/>
            <w:hideMark/>
          </w:tcPr>
          <w:p w14:paraId="3E25F689" w14:textId="77777777" w:rsidR="00691375" w:rsidRPr="0091096D" w:rsidRDefault="00691375" w:rsidP="005E2BA7">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516FBB30"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0.4491</w:t>
            </w:r>
          </w:p>
        </w:tc>
        <w:tc>
          <w:tcPr>
            <w:tcW w:w="0" w:type="auto"/>
            <w:tcBorders>
              <w:top w:val="nil"/>
              <w:left w:val="nil"/>
              <w:bottom w:val="nil"/>
              <w:right w:val="nil"/>
            </w:tcBorders>
            <w:noWrap/>
            <w:vAlign w:val="bottom"/>
            <w:hideMark/>
          </w:tcPr>
          <w:p w14:paraId="466CFCF9"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0.5435</w:t>
            </w:r>
          </w:p>
        </w:tc>
        <w:tc>
          <w:tcPr>
            <w:tcW w:w="0" w:type="auto"/>
            <w:tcBorders>
              <w:top w:val="nil"/>
              <w:left w:val="nil"/>
              <w:bottom w:val="nil"/>
              <w:right w:val="nil"/>
            </w:tcBorders>
            <w:noWrap/>
            <w:vAlign w:val="bottom"/>
            <w:hideMark/>
          </w:tcPr>
          <w:p w14:paraId="5E31C2CF"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0.1925</w:t>
            </w:r>
          </w:p>
        </w:tc>
        <w:tc>
          <w:tcPr>
            <w:tcW w:w="0" w:type="auto"/>
            <w:tcBorders>
              <w:top w:val="nil"/>
              <w:left w:val="nil"/>
              <w:bottom w:val="nil"/>
              <w:right w:val="nil"/>
            </w:tcBorders>
            <w:noWrap/>
            <w:vAlign w:val="bottom"/>
            <w:hideMark/>
          </w:tcPr>
          <w:p w14:paraId="360B5DAF"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0.0011</w:t>
            </w:r>
          </w:p>
        </w:tc>
        <w:tc>
          <w:tcPr>
            <w:tcW w:w="0" w:type="auto"/>
            <w:tcBorders>
              <w:top w:val="nil"/>
              <w:left w:val="nil"/>
              <w:bottom w:val="nil"/>
              <w:right w:val="nil"/>
            </w:tcBorders>
            <w:noWrap/>
            <w:vAlign w:val="bottom"/>
            <w:hideMark/>
          </w:tcPr>
          <w:p w14:paraId="6D15DE49"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0.4036</w:t>
            </w:r>
          </w:p>
        </w:tc>
        <w:tc>
          <w:tcPr>
            <w:tcW w:w="0" w:type="auto"/>
            <w:tcBorders>
              <w:top w:val="nil"/>
              <w:left w:val="nil"/>
              <w:bottom w:val="nil"/>
              <w:right w:val="nil"/>
            </w:tcBorders>
            <w:noWrap/>
            <w:vAlign w:val="bottom"/>
            <w:hideMark/>
          </w:tcPr>
          <w:p w14:paraId="7AFD7CF1"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0.2824</w:t>
            </w:r>
          </w:p>
        </w:tc>
        <w:tc>
          <w:tcPr>
            <w:tcW w:w="0" w:type="auto"/>
            <w:tcBorders>
              <w:top w:val="nil"/>
              <w:left w:val="nil"/>
              <w:bottom w:val="nil"/>
              <w:right w:val="nil"/>
            </w:tcBorders>
            <w:noWrap/>
            <w:vAlign w:val="bottom"/>
            <w:hideMark/>
          </w:tcPr>
          <w:p w14:paraId="69AF3571"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0.0114</w:t>
            </w:r>
          </w:p>
        </w:tc>
        <w:tc>
          <w:tcPr>
            <w:tcW w:w="0" w:type="auto"/>
            <w:tcBorders>
              <w:top w:val="nil"/>
              <w:left w:val="nil"/>
              <w:bottom w:val="nil"/>
              <w:right w:val="nil"/>
            </w:tcBorders>
            <w:noWrap/>
            <w:vAlign w:val="bottom"/>
            <w:hideMark/>
          </w:tcPr>
          <w:p w14:paraId="01A20EB0" w14:textId="77777777" w:rsidR="00691375" w:rsidRPr="00383A79" w:rsidRDefault="00691375" w:rsidP="005E2BA7">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411A3939"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26121DE5"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r>
      <w:tr w:rsidR="00691375" w:rsidRPr="0091096D" w14:paraId="278FEACB" w14:textId="77777777" w:rsidTr="00724758">
        <w:trPr>
          <w:trHeight w:val="300"/>
        </w:trPr>
        <w:tc>
          <w:tcPr>
            <w:tcW w:w="0" w:type="auto"/>
            <w:tcBorders>
              <w:top w:val="nil"/>
              <w:left w:val="nil"/>
              <w:bottom w:val="nil"/>
              <w:right w:val="nil"/>
            </w:tcBorders>
            <w:noWrap/>
            <w:vAlign w:val="bottom"/>
            <w:hideMark/>
          </w:tcPr>
          <w:p w14:paraId="6006C1AA" w14:textId="77777777" w:rsidR="00691375" w:rsidRPr="0091096D" w:rsidRDefault="00691375" w:rsidP="005E2BA7">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INR</w:t>
            </w:r>
          </w:p>
        </w:tc>
        <w:tc>
          <w:tcPr>
            <w:tcW w:w="801" w:type="dxa"/>
            <w:tcBorders>
              <w:top w:val="nil"/>
              <w:left w:val="nil"/>
              <w:bottom w:val="nil"/>
              <w:right w:val="nil"/>
            </w:tcBorders>
            <w:noWrap/>
            <w:vAlign w:val="bottom"/>
            <w:hideMark/>
          </w:tcPr>
          <w:p w14:paraId="7E40905D"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0.0721</w:t>
            </w:r>
          </w:p>
        </w:tc>
        <w:tc>
          <w:tcPr>
            <w:tcW w:w="0" w:type="auto"/>
            <w:tcBorders>
              <w:top w:val="nil"/>
              <w:left w:val="nil"/>
              <w:bottom w:val="nil"/>
              <w:right w:val="nil"/>
            </w:tcBorders>
            <w:noWrap/>
            <w:vAlign w:val="bottom"/>
            <w:hideMark/>
          </w:tcPr>
          <w:p w14:paraId="0DEF386C"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-0.027</w:t>
            </w:r>
          </w:p>
        </w:tc>
        <w:tc>
          <w:tcPr>
            <w:tcW w:w="0" w:type="auto"/>
            <w:tcBorders>
              <w:top w:val="nil"/>
              <w:left w:val="nil"/>
              <w:bottom w:val="nil"/>
              <w:right w:val="nil"/>
            </w:tcBorders>
            <w:noWrap/>
            <w:vAlign w:val="bottom"/>
            <w:hideMark/>
          </w:tcPr>
          <w:p w14:paraId="2D544BCC"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0.0556</w:t>
            </w:r>
          </w:p>
        </w:tc>
        <w:tc>
          <w:tcPr>
            <w:tcW w:w="0" w:type="auto"/>
            <w:tcBorders>
              <w:top w:val="nil"/>
              <w:left w:val="nil"/>
              <w:bottom w:val="nil"/>
              <w:right w:val="nil"/>
            </w:tcBorders>
            <w:noWrap/>
            <w:vAlign w:val="bottom"/>
            <w:hideMark/>
          </w:tcPr>
          <w:p w14:paraId="15EC8C4E"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0.1846*</w:t>
            </w:r>
          </w:p>
        </w:tc>
        <w:tc>
          <w:tcPr>
            <w:tcW w:w="0" w:type="auto"/>
            <w:tcBorders>
              <w:top w:val="nil"/>
              <w:left w:val="nil"/>
              <w:bottom w:val="nil"/>
              <w:right w:val="nil"/>
            </w:tcBorders>
            <w:noWrap/>
            <w:vAlign w:val="bottom"/>
            <w:hideMark/>
          </w:tcPr>
          <w:p w14:paraId="2ECF52D8"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-0.0107</w:t>
            </w:r>
          </w:p>
        </w:tc>
        <w:tc>
          <w:tcPr>
            <w:tcW w:w="0" w:type="auto"/>
            <w:tcBorders>
              <w:top w:val="nil"/>
              <w:left w:val="nil"/>
              <w:bottom w:val="nil"/>
              <w:right w:val="nil"/>
            </w:tcBorders>
            <w:noWrap/>
            <w:vAlign w:val="bottom"/>
            <w:hideMark/>
          </w:tcPr>
          <w:p w14:paraId="62A9FF62"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-0.0615</w:t>
            </w:r>
          </w:p>
        </w:tc>
        <w:tc>
          <w:tcPr>
            <w:tcW w:w="0" w:type="auto"/>
            <w:tcBorders>
              <w:top w:val="nil"/>
              <w:left w:val="nil"/>
              <w:bottom w:val="nil"/>
              <w:right w:val="nil"/>
            </w:tcBorders>
            <w:noWrap/>
            <w:vAlign w:val="bottom"/>
            <w:hideMark/>
          </w:tcPr>
          <w:p w14:paraId="2EB7476B"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0.1284*</w:t>
            </w:r>
          </w:p>
        </w:tc>
        <w:tc>
          <w:tcPr>
            <w:tcW w:w="0" w:type="auto"/>
            <w:tcBorders>
              <w:top w:val="nil"/>
              <w:left w:val="nil"/>
              <w:bottom w:val="nil"/>
              <w:right w:val="nil"/>
            </w:tcBorders>
            <w:noWrap/>
            <w:vAlign w:val="bottom"/>
            <w:hideMark/>
          </w:tcPr>
          <w:p w14:paraId="483B8E2A" w14:textId="77777777" w:rsidR="00691375" w:rsidRPr="00383A79" w:rsidRDefault="00691375" w:rsidP="005E2BA7">
            <w:pPr>
              <w:spacing w:after="0" w:line="240" w:lineRule="auto"/>
              <w:jc w:val="right"/>
              <w:rPr>
                <w:rFonts w:ascii="Times New Roman" w:eastAsia="Times New Roman" w:hAnsi="Times New Roman" w:cs="Times New Roman"/>
                <w:sz w:val="18"/>
                <w:szCs w:val="18"/>
              </w:rPr>
            </w:pPr>
            <w:r w:rsidRPr="00383A79">
              <w:rPr>
                <w:rFonts w:ascii="Times New Roman" w:eastAsia="Times New Roman" w:hAnsi="Times New Roman" w:cs="Times New Roman"/>
                <w:sz w:val="18"/>
                <w:szCs w:val="18"/>
              </w:rPr>
              <w:t>0.8046*</w:t>
            </w:r>
          </w:p>
        </w:tc>
        <w:tc>
          <w:tcPr>
            <w:tcW w:w="0" w:type="auto"/>
            <w:tcBorders>
              <w:top w:val="nil"/>
              <w:left w:val="nil"/>
              <w:bottom w:val="nil"/>
              <w:right w:val="nil"/>
            </w:tcBorders>
            <w:noWrap/>
            <w:vAlign w:val="bottom"/>
            <w:hideMark/>
          </w:tcPr>
          <w:p w14:paraId="2FC9C73D"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1.0000</w:t>
            </w:r>
          </w:p>
        </w:tc>
        <w:tc>
          <w:tcPr>
            <w:tcW w:w="0" w:type="auto"/>
            <w:tcBorders>
              <w:top w:val="nil"/>
              <w:left w:val="nil"/>
              <w:bottom w:val="nil"/>
              <w:right w:val="nil"/>
            </w:tcBorders>
            <w:noWrap/>
            <w:vAlign w:val="bottom"/>
            <w:hideMark/>
          </w:tcPr>
          <w:p w14:paraId="6AED2ACD"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p>
        </w:tc>
      </w:tr>
      <w:tr w:rsidR="00691375" w:rsidRPr="0091096D" w14:paraId="3D0558F1" w14:textId="77777777" w:rsidTr="00724758">
        <w:trPr>
          <w:trHeight w:val="300"/>
        </w:trPr>
        <w:tc>
          <w:tcPr>
            <w:tcW w:w="0" w:type="auto"/>
            <w:tcBorders>
              <w:top w:val="nil"/>
              <w:left w:val="nil"/>
              <w:bottom w:val="nil"/>
              <w:right w:val="nil"/>
            </w:tcBorders>
            <w:noWrap/>
            <w:vAlign w:val="bottom"/>
            <w:hideMark/>
          </w:tcPr>
          <w:p w14:paraId="572F2C03" w14:textId="77777777" w:rsidR="00691375" w:rsidRPr="0091096D" w:rsidRDefault="00691375" w:rsidP="005E2BA7">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47B846C1"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0.2661</w:t>
            </w:r>
          </w:p>
        </w:tc>
        <w:tc>
          <w:tcPr>
            <w:tcW w:w="0" w:type="auto"/>
            <w:tcBorders>
              <w:top w:val="nil"/>
              <w:left w:val="nil"/>
              <w:bottom w:val="nil"/>
              <w:right w:val="nil"/>
            </w:tcBorders>
            <w:noWrap/>
            <w:vAlign w:val="bottom"/>
            <w:hideMark/>
          </w:tcPr>
          <w:p w14:paraId="037F47E3"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0.6769</w:t>
            </w:r>
          </w:p>
        </w:tc>
        <w:tc>
          <w:tcPr>
            <w:tcW w:w="0" w:type="auto"/>
            <w:tcBorders>
              <w:top w:val="nil"/>
              <w:left w:val="nil"/>
              <w:bottom w:val="nil"/>
              <w:right w:val="nil"/>
            </w:tcBorders>
            <w:noWrap/>
            <w:vAlign w:val="bottom"/>
            <w:hideMark/>
          </w:tcPr>
          <w:p w14:paraId="44F586E9"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0.3908</w:t>
            </w:r>
          </w:p>
        </w:tc>
        <w:tc>
          <w:tcPr>
            <w:tcW w:w="0" w:type="auto"/>
            <w:tcBorders>
              <w:top w:val="nil"/>
              <w:left w:val="nil"/>
              <w:bottom w:val="nil"/>
              <w:right w:val="nil"/>
            </w:tcBorders>
            <w:noWrap/>
            <w:vAlign w:val="bottom"/>
            <w:hideMark/>
          </w:tcPr>
          <w:p w14:paraId="1A45825F"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0.0041</w:t>
            </w:r>
          </w:p>
        </w:tc>
        <w:tc>
          <w:tcPr>
            <w:tcW w:w="0" w:type="auto"/>
            <w:tcBorders>
              <w:top w:val="nil"/>
              <w:left w:val="nil"/>
              <w:bottom w:val="nil"/>
              <w:right w:val="nil"/>
            </w:tcBorders>
            <w:noWrap/>
            <w:vAlign w:val="bottom"/>
            <w:hideMark/>
          </w:tcPr>
          <w:p w14:paraId="77A7354C"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0.8694</w:t>
            </w:r>
          </w:p>
        </w:tc>
        <w:tc>
          <w:tcPr>
            <w:tcW w:w="0" w:type="auto"/>
            <w:tcBorders>
              <w:top w:val="nil"/>
              <w:left w:val="nil"/>
              <w:bottom w:val="nil"/>
              <w:right w:val="nil"/>
            </w:tcBorders>
            <w:noWrap/>
            <w:vAlign w:val="bottom"/>
            <w:hideMark/>
          </w:tcPr>
          <w:p w14:paraId="64B4AD0D"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0.3428</w:t>
            </w:r>
          </w:p>
        </w:tc>
        <w:tc>
          <w:tcPr>
            <w:tcW w:w="0" w:type="auto"/>
            <w:tcBorders>
              <w:top w:val="nil"/>
              <w:left w:val="nil"/>
              <w:bottom w:val="nil"/>
              <w:right w:val="nil"/>
            </w:tcBorders>
            <w:noWrap/>
            <w:vAlign w:val="bottom"/>
            <w:hideMark/>
          </w:tcPr>
          <w:p w14:paraId="025FC316"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0.0469</w:t>
            </w:r>
          </w:p>
        </w:tc>
        <w:tc>
          <w:tcPr>
            <w:tcW w:w="0" w:type="auto"/>
            <w:tcBorders>
              <w:top w:val="nil"/>
              <w:left w:val="nil"/>
              <w:bottom w:val="nil"/>
              <w:right w:val="nil"/>
            </w:tcBorders>
            <w:noWrap/>
            <w:vAlign w:val="bottom"/>
            <w:hideMark/>
          </w:tcPr>
          <w:p w14:paraId="2ECBE408"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0.0000</w:t>
            </w:r>
          </w:p>
        </w:tc>
        <w:tc>
          <w:tcPr>
            <w:tcW w:w="0" w:type="auto"/>
            <w:tcBorders>
              <w:top w:val="nil"/>
              <w:left w:val="nil"/>
              <w:bottom w:val="nil"/>
              <w:right w:val="nil"/>
            </w:tcBorders>
            <w:noWrap/>
            <w:vAlign w:val="bottom"/>
            <w:hideMark/>
          </w:tcPr>
          <w:p w14:paraId="5EF7D3DC"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64877E4E" w14:textId="77777777" w:rsidR="00691375" w:rsidRPr="0091096D" w:rsidRDefault="00691375" w:rsidP="005E2BA7">
            <w:pPr>
              <w:spacing w:after="0" w:line="240" w:lineRule="auto"/>
              <w:jc w:val="right"/>
              <w:rPr>
                <w:rFonts w:ascii="Times New Roman" w:eastAsia="Times New Roman" w:hAnsi="Times New Roman" w:cs="Times New Roman"/>
                <w:sz w:val="20"/>
                <w:szCs w:val="20"/>
              </w:rPr>
            </w:pPr>
          </w:p>
        </w:tc>
      </w:tr>
      <w:tr w:rsidR="00691375" w:rsidRPr="0091096D" w14:paraId="196CB34E" w14:textId="77777777" w:rsidTr="00724758">
        <w:trPr>
          <w:trHeight w:val="300"/>
        </w:trPr>
        <w:tc>
          <w:tcPr>
            <w:tcW w:w="0" w:type="auto"/>
            <w:tcBorders>
              <w:top w:val="nil"/>
              <w:left w:val="nil"/>
              <w:bottom w:val="nil"/>
              <w:right w:val="nil"/>
            </w:tcBorders>
            <w:noWrap/>
            <w:vAlign w:val="bottom"/>
            <w:hideMark/>
          </w:tcPr>
          <w:p w14:paraId="1131F0E4" w14:textId="77777777" w:rsidR="00691375" w:rsidRPr="0091096D" w:rsidRDefault="00691375" w:rsidP="005E2BA7">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EXR</w:t>
            </w:r>
          </w:p>
        </w:tc>
        <w:tc>
          <w:tcPr>
            <w:tcW w:w="801" w:type="dxa"/>
            <w:tcBorders>
              <w:top w:val="nil"/>
              <w:left w:val="nil"/>
              <w:bottom w:val="nil"/>
              <w:right w:val="nil"/>
            </w:tcBorders>
            <w:noWrap/>
            <w:vAlign w:val="bottom"/>
            <w:hideMark/>
          </w:tcPr>
          <w:p w14:paraId="43F31E6A"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0.0661</w:t>
            </w:r>
          </w:p>
        </w:tc>
        <w:tc>
          <w:tcPr>
            <w:tcW w:w="0" w:type="auto"/>
            <w:tcBorders>
              <w:top w:val="nil"/>
              <w:left w:val="nil"/>
              <w:bottom w:val="nil"/>
              <w:right w:val="nil"/>
            </w:tcBorders>
            <w:noWrap/>
            <w:vAlign w:val="bottom"/>
            <w:hideMark/>
          </w:tcPr>
          <w:p w14:paraId="60E29C33"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-0.0435</w:t>
            </w:r>
          </w:p>
        </w:tc>
        <w:tc>
          <w:tcPr>
            <w:tcW w:w="0" w:type="auto"/>
            <w:tcBorders>
              <w:top w:val="nil"/>
              <w:left w:val="nil"/>
              <w:bottom w:val="nil"/>
              <w:right w:val="nil"/>
            </w:tcBorders>
            <w:noWrap/>
            <w:vAlign w:val="bottom"/>
            <w:hideMark/>
          </w:tcPr>
          <w:p w14:paraId="708F4C9B"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0.0922</w:t>
            </w:r>
          </w:p>
        </w:tc>
        <w:tc>
          <w:tcPr>
            <w:tcW w:w="0" w:type="auto"/>
            <w:tcBorders>
              <w:top w:val="nil"/>
              <w:left w:val="nil"/>
              <w:bottom w:val="nil"/>
              <w:right w:val="nil"/>
            </w:tcBorders>
            <w:noWrap/>
            <w:vAlign w:val="bottom"/>
            <w:hideMark/>
          </w:tcPr>
          <w:p w14:paraId="447ACEB8"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0.1855*</w:t>
            </w:r>
          </w:p>
        </w:tc>
        <w:tc>
          <w:tcPr>
            <w:tcW w:w="0" w:type="auto"/>
            <w:tcBorders>
              <w:top w:val="nil"/>
              <w:left w:val="nil"/>
              <w:bottom w:val="nil"/>
              <w:right w:val="nil"/>
            </w:tcBorders>
            <w:noWrap/>
            <w:vAlign w:val="bottom"/>
            <w:hideMark/>
          </w:tcPr>
          <w:p w14:paraId="36593ECA"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-0.0547</w:t>
            </w:r>
          </w:p>
        </w:tc>
        <w:tc>
          <w:tcPr>
            <w:tcW w:w="0" w:type="auto"/>
            <w:tcBorders>
              <w:top w:val="nil"/>
              <w:left w:val="nil"/>
              <w:bottom w:val="nil"/>
              <w:right w:val="nil"/>
            </w:tcBorders>
            <w:noWrap/>
            <w:vAlign w:val="bottom"/>
            <w:hideMark/>
          </w:tcPr>
          <w:p w14:paraId="18CA8BF9"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-0.084</w:t>
            </w:r>
          </w:p>
        </w:tc>
        <w:tc>
          <w:tcPr>
            <w:tcW w:w="0" w:type="auto"/>
            <w:tcBorders>
              <w:top w:val="nil"/>
              <w:left w:val="nil"/>
              <w:bottom w:val="nil"/>
              <w:right w:val="nil"/>
            </w:tcBorders>
            <w:noWrap/>
            <w:vAlign w:val="bottom"/>
            <w:hideMark/>
          </w:tcPr>
          <w:p w14:paraId="2D6898F7"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0.1801*</w:t>
            </w:r>
          </w:p>
        </w:tc>
        <w:tc>
          <w:tcPr>
            <w:tcW w:w="0" w:type="auto"/>
            <w:tcBorders>
              <w:top w:val="nil"/>
              <w:left w:val="nil"/>
              <w:bottom w:val="nil"/>
              <w:right w:val="nil"/>
            </w:tcBorders>
            <w:noWrap/>
            <w:vAlign w:val="bottom"/>
            <w:hideMark/>
          </w:tcPr>
          <w:p w14:paraId="20C0F67A" w14:textId="77777777" w:rsidR="00691375" w:rsidRPr="00AF6009" w:rsidRDefault="00691375" w:rsidP="005E2BA7">
            <w:pPr>
              <w:spacing w:after="0" w:line="240" w:lineRule="auto"/>
              <w:jc w:val="right"/>
              <w:rPr>
                <w:rFonts w:ascii="Times New Roman" w:eastAsia="Times New Roman" w:hAnsi="Times New Roman" w:cs="Times New Roman"/>
                <w:sz w:val="18"/>
                <w:szCs w:val="18"/>
              </w:rPr>
            </w:pPr>
            <w:r w:rsidRPr="00AF6009">
              <w:rPr>
                <w:rFonts w:ascii="Times New Roman" w:eastAsia="Times New Roman" w:hAnsi="Times New Roman" w:cs="Times New Roman"/>
                <w:sz w:val="18"/>
                <w:szCs w:val="18"/>
              </w:rPr>
              <w:t>0.8809*</w:t>
            </w:r>
          </w:p>
        </w:tc>
        <w:tc>
          <w:tcPr>
            <w:tcW w:w="0" w:type="auto"/>
            <w:tcBorders>
              <w:top w:val="nil"/>
              <w:left w:val="nil"/>
              <w:bottom w:val="nil"/>
              <w:right w:val="nil"/>
            </w:tcBorders>
            <w:noWrap/>
            <w:vAlign w:val="bottom"/>
            <w:hideMark/>
          </w:tcPr>
          <w:p w14:paraId="25BC6962" w14:textId="77777777" w:rsidR="00691375" w:rsidRPr="00AF6009" w:rsidRDefault="00691375" w:rsidP="005E2BA7">
            <w:pPr>
              <w:spacing w:after="0" w:line="240" w:lineRule="auto"/>
              <w:jc w:val="right"/>
              <w:rPr>
                <w:rFonts w:ascii="Times New Roman" w:eastAsia="Times New Roman" w:hAnsi="Times New Roman" w:cs="Times New Roman"/>
                <w:sz w:val="18"/>
                <w:szCs w:val="18"/>
              </w:rPr>
            </w:pPr>
            <w:r w:rsidRPr="00AF6009">
              <w:rPr>
                <w:rFonts w:ascii="Times New Roman" w:eastAsia="Times New Roman" w:hAnsi="Times New Roman" w:cs="Times New Roman"/>
                <w:sz w:val="18"/>
                <w:szCs w:val="18"/>
              </w:rPr>
              <w:t>0.7588*</w:t>
            </w:r>
          </w:p>
        </w:tc>
        <w:tc>
          <w:tcPr>
            <w:tcW w:w="0" w:type="auto"/>
            <w:tcBorders>
              <w:top w:val="nil"/>
              <w:left w:val="nil"/>
              <w:bottom w:val="nil"/>
              <w:right w:val="nil"/>
            </w:tcBorders>
            <w:noWrap/>
            <w:vAlign w:val="bottom"/>
            <w:hideMark/>
          </w:tcPr>
          <w:p w14:paraId="48239DE2"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1.0000</w:t>
            </w:r>
          </w:p>
        </w:tc>
      </w:tr>
      <w:tr w:rsidR="00691375" w:rsidRPr="0091096D" w14:paraId="34BE3B3B" w14:textId="77777777" w:rsidTr="00724758">
        <w:trPr>
          <w:trHeight w:val="300"/>
        </w:trPr>
        <w:tc>
          <w:tcPr>
            <w:tcW w:w="0" w:type="auto"/>
            <w:tcBorders>
              <w:top w:val="nil"/>
              <w:left w:val="nil"/>
              <w:bottom w:val="single" w:sz="4" w:space="0" w:color="auto"/>
              <w:right w:val="nil"/>
            </w:tcBorders>
            <w:noWrap/>
            <w:vAlign w:val="bottom"/>
            <w:hideMark/>
          </w:tcPr>
          <w:p w14:paraId="7A2786C2" w14:textId="77777777" w:rsidR="00691375" w:rsidRPr="0091096D" w:rsidRDefault="00691375" w:rsidP="005E2BA7">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 </w:t>
            </w:r>
          </w:p>
        </w:tc>
        <w:tc>
          <w:tcPr>
            <w:tcW w:w="801" w:type="dxa"/>
            <w:tcBorders>
              <w:top w:val="nil"/>
              <w:left w:val="nil"/>
              <w:bottom w:val="single" w:sz="4" w:space="0" w:color="auto"/>
              <w:right w:val="nil"/>
            </w:tcBorders>
            <w:noWrap/>
            <w:vAlign w:val="bottom"/>
            <w:hideMark/>
          </w:tcPr>
          <w:p w14:paraId="5969AEFF"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0.3075</w:t>
            </w:r>
          </w:p>
        </w:tc>
        <w:tc>
          <w:tcPr>
            <w:tcW w:w="0" w:type="auto"/>
            <w:tcBorders>
              <w:top w:val="nil"/>
              <w:left w:val="nil"/>
              <w:bottom w:val="single" w:sz="4" w:space="0" w:color="auto"/>
              <w:right w:val="nil"/>
            </w:tcBorders>
            <w:noWrap/>
            <w:vAlign w:val="bottom"/>
            <w:hideMark/>
          </w:tcPr>
          <w:p w14:paraId="466B437B"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0.502</w:t>
            </w:r>
          </w:p>
        </w:tc>
        <w:tc>
          <w:tcPr>
            <w:tcW w:w="0" w:type="auto"/>
            <w:tcBorders>
              <w:top w:val="nil"/>
              <w:left w:val="nil"/>
              <w:bottom w:val="single" w:sz="4" w:space="0" w:color="auto"/>
              <w:right w:val="nil"/>
            </w:tcBorders>
            <w:noWrap/>
            <w:vAlign w:val="bottom"/>
            <w:hideMark/>
          </w:tcPr>
          <w:p w14:paraId="1C088D2B"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0.1543</w:t>
            </w:r>
          </w:p>
        </w:tc>
        <w:tc>
          <w:tcPr>
            <w:tcW w:w="0" w:type="auto"/>
            <w:tcBorders>
              <w:top w:val="nil"/>
              <w:left w:val="nil"/>
              <w:bottom w:val="single" w:sz="4" w:space="0" w:color="auto"/>
              <w:right w:val="nil"/>
            </w:tcBorders>
            <w:noWrap/>
            <w:vAlign w:val="bottom"/>
            <w:hideMark/>
          </w:tcPr>
          <w:p w14:paraId="0F1C690A"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0.0039</w:t>
            </w:r>
          </w:p>
        </w:tc>
        <w:tc>
          <w:tcPr>
            <w:tcW w:w="0" w:type="auto"/>
            <w:tcBorders>
              <w:top w:val="nil"/>
              <w:left w:val="nil"/>
              <w:bottom w:val="single" w:sz="4" w:space="0" w:color="auto"/>
              <w:right w:val="nil"/>
            </w:tcBorders>
            <w:noWrap/>
            <w:vAlign w:val="bottom"/>
            <w:hideMark/>
          </w:tcPr>
          <w:p w14:paraId="4FF663DF"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0.3987</w:t>
            </w:r>
          </w:p>
        </w:tc>
        <w:tc>
          <w:tcPr>
            <w:tcW w:w="0" w:type="auto"/>
            <w:tcBorders>
              <w:top w:val="nil"/>
              <w:left w:val="nil"/>
              <w:bottom w:val="single" w:sz="4" w:space="0" w:color="auto"/>
              <w:right w:val="nil"/>
            </w:tcBorders>
            <w:noWrap/>
            <w:vAlign w:val="bottom"/>
            <w:hideMark/>
          </w:tcPr>
          <w:p w14:paraId="3A62478A"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0.1946</w:t>
            </w:r>
          </w:p>
        </w:tc>
        <w:tc>
          <w:tcPr>
            <w:tcW w:w="0" w:type="auto"/>
            <w:tcBorders>
              <w:top w:val="nil"/>
              <w:left w:val="nil"/>
              <w:bottom w:val="single" w:sz="4" w:space="0" w:color="auto"/>
              <w:right w:val="nil"/>
            </w:tcBorders>
            <w:noWrap/>
            <w:vAlign w:val="bottom"/>
            <w:hideMark/>
          </w:tcPr>
          <w:p w14:paraId="675F57B1"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0.0051</w:t>
            </w:r>
          </w:p>
        </w:tc>
        <w:tc>
          <w:tcPr>
            <w:tcW w:w="0" w:type="auto"/>
            <w:tcBorders>
              <w:top w:val="nil"/>
              <w:left w:val="nil"/>
              <w:bottom w:val="single" w:sz="4" w:space="0" w:color="auto"/>
              <w:right w:val="nil"/>
            </w:tcBorders>
            <w:noWrap/>
            <w:vAlign w:val="bottom"/>
            <w:hideMark/>
          </w:tcPr>
          <w:p w14:paraId="4FB403FB"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0.0000</w:t>
            </w:r>
          </w:p>
        </w:tc>
        <w:tc>
          <w:tcPr>
            <w:tcW w:w="0" w:type="auto"/>
            <w:tcBorders>
              <w:top w:val="nil"/>
              <w:left w:val="nil"/>
              <w:bottom w:val="single" w:sz="4" w:space="0" w:color="auto"/>
              <w:right w:val="nil"/>
            </w:tcBorders>
            <w:noWrap/>
            <w:vAlign w:val="bottom"/>
            <w:hideMark/>
          </w:tcPr>
          <w:p w14:paraId="4809967D" w14:textId="77777777" w:rsidR="00691375" w:rsidRPr="0091096D" w:rsidRDefault="00691375" w:rsidP="005E2BA7">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0.0000</w:t>
            </w:r>
          </w:p>
        </w:tc>
        <w:tc>
          <w:tcPr>
            <w:tcW w:w="0" w:type="auto"/>
            <w:tcBorders>
              <w:top w:val="nil"/>
              <w:left w:val="nil"/>
              <w:bottom w:val="single" w:sz="4" w:space="0" w:color="auto"/>
              <w:right w:val="nil"/>
            </w:tcBorders>
            <w:noWrap/>
            <w:vAlign w:val="bottom"/>
            <w:hideMark/>
          </w:tcPr>
          <w:p w14:paraId="32DF1F3D" w14:textId="77777777" w:rsidR="00691375" w:rsidRPr="0091096D" w:rsidRDefault="00691375" w:rsidP="005E2BA7">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 </w:t>
            </w:r>
          </w:p>
        </w:tc>
      </w:tr>
    </w:tbl>
    <w:p w14:paraId="78782DA2" w14:textId="4B5B9752" w:rsidR="005A1296" w:rsidRPr="004939F9" w:rsidRDefault="005A1296" w:rsidP="00AD68D2">
      <w:pPr>
        <w:spacing w:after="0"/>
        <w:ind w:firstLine="720"/>
        <w:rPr>
          <w:rFonts w:ascii="Times New Roman" w:hAnsi="Times New Roman" w:cs="Times New Roman"/>
          <w:sz w:val="20"/>
          <w:szCs w:val="20"/>
        </w:rPr>
      </w:pPr>
      <w:r w:rsidRPr="004939F9">
        <w:rPr>
          <w:rFonts w:ascii="Times New Roman" w:hAnsi="Times New Roman" w:cs="Times New Roman"/>
          <w:sz w:val="20"/>
          <w:szCs w:val="20"/>
        </w:rPr>
        <w:t>Source: Output of STATA 17</w:t>
      </w:r>
      <w:r w:rsidR="00076FDF">
        <w:rPr>
          <w:rFonts w:ascii="Times New Roman" w:hAnsi="Times New Roman" w:cs="Times New Roman"/>
          <w:sz w:val="20"/>
          <w:szCs w:val="20"/>
        </w:rPr>
        <w:t>(*</w:t>
      </w:r>
      <w:r w:rsidR="00AD68D2">
        <w:rPr>
          <w:rFonts w:ascii="Times New Roman" w:hAnsi="Times New Roman" w:cs="Times New Roman"/>
          <w:sz w:val="20"/>
          <w:szCs w:val="20"/>
        </w:rPr>
        <w:t xml:space="preserve"> is 1% level of significance</w:t>
      </w:r>
      <w:r w:rsidR="00160F94">
        <w:rPr>
          <w:rFonts w:ascii="Times New Roman" w:hAnsi="Times New Roman" w:cs="Times New Roman"/>
          <w:sz w:val="20"/>
          <w:szCs w:val="20"/>
        </w:rPr>
        <w:t>)</w:t>
      </w:r>
    </w:p>
    <w:p w14:paraId="7F9C25AB" w14:textId="77777777" w:rsidR="005C586A" w:rsidRDefault="005C586A" w:rsidP="00160F94">
      <w:pPr>
        <w:spacing w:line="360" w:lineRule="auto"/>
        <w:jc w:val="both"/>
        <w:rPr>
          <w:rFonts w:ascii="Times New Roman" w:hAnsi="Times New Roman" w:cs="Times New Roman"/>
          <w:sz w:val="24"/>
          <w:szCs w:val="24"/>
        </w:rPr>
      </w:pPr>
    </w:p>
    <w:p w14:paraId="3DE8FD26" w14:textId="2DF3DE19" w:rsidR="00160F94" w:rsidRPr="00776FDA" w:rsidRDefault="00160F94" w:rsidP="00160F94">
      <w:pPr>
        <w:spacing w:line="360" w:lineRule="auto"/>
        <w:jc w:val="both"/>
        <w:rPr>
          <w:rFonts w:ascii="Times New Roman" w:hAnsi="Times New Roman" w:cs="Times New Roman"/>
          <w:sz w:val="24"/>
          <w:szCs w:val="24"/>
        </w:rPr>
      </w:pPr>
      <w:r w:rsidRPr="00776FDA">
        <w:rPr>
          <w:rFonts w:ascii="Times New Roman" w:hAnsi="Times New Roman" w:cs="Times New Roman"/>
          <w:sz w:val="24"/>
          <w:szCs w:val="24"/>
        </w:rPr>
        <w:t xml:space="preserve">Liquidity (CUR), leverage (DER), and operational efficiency (TAT) exhibit weak or mixed correlations with share price, </w:t>
      </w:r>
      <w:proofErr w:type="spellStart"/>
      <w:r w:rsidRPr="00776FDA">
        <w:rPr>
          <w:rFonts w:ascii="Times New Roman" w:hAnsi="Times New Roman" w:cs="Times New Roman"/>
          <w:sz w:val="24"/>
          <w:szCs w:val="24"/>
        </w:rPr>
        <w:t>signalling</w:t>
      </w:r>
      <w:proofErr w:type="spellEnd"/>
      <w:r w:rsidRPr="00776FDA">
        <w:rPr>
          <w:rFonts w:ascii="Times New Roman" w:hAnsi="Times New Roman" w:cs="Times New Roman"/>
          <w:sz w:val="24"/>
          <w:szCs w:val="24"/>
        </w:rPr>
        <w:t xml:space="preserve"> that their valuation effects may be context-dependent or conditional on other firm characteristics. Firm size is positively correlated with share price and profitability but negatively correlated with liquidity, suggesting that larger firms may operate with tighter working capital positions due to better access to capital markets.</w:t>
      </w:r>
    </w:p>
    <w:p w14:paraId="32FEEA31" w14:textId="543F87E8" w:rsidR="00992859" w:rsidRPr="005C586A" w:rsidRDefault="00160F94" w:rsidP="005C586A">
      <w:pPr>
        <w:spacing w:line="360" w:lineRule="auto"/>
        <w:jc w:val="both"/>
        <w:rPr>
          <w:rFonts w:ascii="Times New Roman" w:hAnsi="Times New Roman" w:cs="Times New Roman"/>
          <w:sz w:val="24"/>
          <w:szCs w:val="24"/>
        </w:rPr>
      </w:pPr>
      <w:r w:rsidRPr="00776FDA">
        <w:rPr>
          <w:rFonts w:ascii="Times New Roman" w:hAnsi="Times New Roman" w:cs="Times New Roman"/>
          <w:sz w:val="24"/>
          <w:szCs w:val="24"/>
        </w:rPr>
        <w:t>Strong correlations are observed among the macroeconomic variables, particularly between exchange rate and inflation (r = 0.88, p &lt; 0.01) and between exchange rate and interest rate (r = 0.76, p &lt; 0.01). While these correlations exceed conventional warning thresholds, variance inflation factor (VIF) diagnostics (mean VIF = 2.34) remain well below the critical value of 10, indicating the absence of severe multicollinearity. These correlations are theoretically expected in Nigeria’s macroeconomic context and reflect policy interdependence rather than statistical redundancy. Excluding these variables would risk omitted variable bias; hence, all controls are retained</w:t>
      </w:r>
      <w:r w:rsidRPr="004939F9">
        <w:rPr>
          <w:rFonts w:ascii="Times New Roman" w:hAnsi="Times New Roman" w:cs="Times New Roman"/>
          <w:sz w:val="24"/>
          <w:szCs w:val="24"/>
        </w:rPr>
        <w:t>.</w:t>
      </w:r>
    </w:p>
    <w:p w14:paraId="2901C6E3" w14:textId="77777777" w:rsidR="005C586A" w:rsidRPr="00A52D48" w:rsidRDefault="005C586A" w:rsidP="00A52D48">
      <w:pPr>
        <w:pStyle w:val="Heading2"/>
        <w:rPr>
          <w:rFonts w:asciiTheme="majorBidi" w:hAnsiTheme="majorBidi"/>
          <w:b/>
          <w:bCs/>
          <w:color w:val="auto"/>
          <w:sz w:val="24"/>
          <w:szCs w:val="24"/>
        </w:rPr>
      </w:pPr>
      <w:r w:rsidRPr="00A52D48">
        <w:rPr>
          <w:rFonts w:asciiTheme="majorBidi" w:hAnsiTheme="majorBidi"/>
          <w:b/>
          <w:bCs/>
          <w:color w:val="auto"/>
          <w:sz w:val="24"/>
          <w:szCs w:val="24"/>
        </w:rPr>
        <w:t>4.3 Regression Results and Discussion</w:t>
      </w:r>
    </w:p>
    <w:p w14:paraId="67F87AB2" w14:textId="77777777" w:rsidR="00165E36" w:rsidRPr="00165E36" w:rsidRDefault="00165E36" w:rsidP="00165E36">
      <w:pPr>
        <w:spacing w:line="360" w:lineRule="auto"/>
        <w:jc w:val="both"/>
        <w:rPr>
          <w:rFonts w:ascii="Times New Roman" w:hAnsi="Times New Roman" w:cs="Times New Roman"/>
          <w:sz w:val="24"/>
          <w:szCs w:val="24"/>
        </w:rPr>
      </w:pPr>
      <w:r w:rsidRPr="00165E36">
        <w:rPr>
          <w:rFonts w:ascii="Times New Roman" w:hAnsi="Times New Roman" w:cs="Times New Roman"/>
          <w:sz w:val="24"/>
          <w:szCs w:val="24"/>
        </w:rPr>
        <w:t xml:space="preserve">Table 4 reports the results of the </w:t>
      </w:r>
      <w:proofErr w:type="spellStart"/>
      <w:r w:rsidRPr="00165E36">
        <w:rPr>
          <w:rFonts w:ascii="Times New Roman" w:hAnsi="Times New Roman" w:cs="Times New Roman"/>
          <w:sz w:val="24"/>
          <w:szCs w:val="24"/>
        </w:rPr>
        <w:t>Generalised</w:t>
      </w:r>
      <w:proofErr w:type="spellEnd"/>
      <w:r w:rsidRPr="00165E36">
        <w:rPr>
          <w:rFonts w:ascii="Times New Roman" w:hAnsi="Times New Roman" w:cs="Times New Roman"/>
          <w:sz w:val="24"/>
          <w:szCs w:val="24"/>
        </w:rPr>
        <w:t xml:space="preserve"> Least Squares (GLS) regression examining the direct and moderating effects of financial metrics on share prices. GLS estimation is employed to address violations of normality and potential heteroscedasticity detected in preliminary diagnostics, ensuring efficient and unbiased coefficient estimates.</w:t>
      </w:r>
    </w:p>
    <w:p w14:paraId="46CF1155" w14:textId="7CEB9CFF" w:rsidR="00B53349" w:rsidRDefault="00165E36" w:rsidP="0096630C">
      <w:pPr>
        <w:spacing w:line="360" w:lineRule="auto"/>
        <w:jc w:val="both"/>
        <w:rPr>
          <w:rFonts w:ascii="Times New Roman" w:hAnsi="Times New Roman" w:cs="Times New Roman"/>
          <w:sz w:val="24"/>
          <w:szCs w:val="24"/>
        </w:rPr>
      </w:pPr>
      <w:r w:rsidRPr="00165E36">
        <w:rPr>
          <w:rFonts w:ascii="Times New Roman" w:hAnsi="Times New Roman" w:cs="Times New Roman"/>
          <w:sz w:val="24"/>
          <w:szCs w:val="24"/>
        </w:rPr>
        <w:t>The results indicate that Return on Equity (ROE) has a positive and statistically significant effect on share price (β = 1.5715, z = 3.23, p = 0.001). This finding implies that profitability is a key driver of firm valuation in Nigeria’s agriculture and consumer goods sectors. Economically, a one-unit increase in ROE is associated with an approximate 1.57-unit increase in share price, holding other factors constant. This outcome aligns with clean surplus valuation theory and corroborates empirical evidence from emerging markets (</w:t>
      </w:r>
      <w:proofErr w:type="spellStart"/>
      <w:r w:rsidRPr="00165E36">
        <w:rPr>
          <w:rFonts w:ascii="Times New Roman" w:hAnsi="Times New Roman" w:cs="Times New Roman"/>
          <w:sz w:val="24"/>
          <w:szCs w:val="24"/>
        </w:rPr>
        <w:t>Nugraha</w:t>
      </w:r>
      <w:proofErr w:type="spellEnd"/>
      <w:r w:rsidRPr="00165E36">
        <w:rPr>
          <w:rFonts w:ascii="Times New Roman" w:hAnsi="Times New Roman" w:cs="Times New Roman"/>
          <w:sz w:val="24"/>
          <w:szCs w:val="24"/>
        </w:rPr>
        <w:t xml:space="preserve"> et al., 2024; </w:t>
      </w:r>
      <w:proofErr w:type="spellStart"/>
      <w:r w:rsidRPr="00165E36">
        <w:rPr>
          <w:rFonts w:ascii="Times New Roman" w:hAnsi="Times New Roman" w:cs="Times New Roman"/>
          <w:sz w:val="24"/>
          <w:szCs w:val="24"/>
        </w:rPr>
        <w:t>Salouhi</w:t>
      </w:r>
      <w:proofErr w:type="spellEnd"/>
      <w:r w:rsidRPr="00165E36">
        <w:rPr>
          <w:rFonts w:ascii="Times New Roman" w:hAnsi="Times New Roman" w:cs="Times New Roman"/>
          <w:sz w:val="24"/>
          <w:szCs w:val="24"/>
        </w:rPr>
        <w:t xml:space="preserve"> &amp; Bakari, 2024; Abel et al., 2024).</w:t>
      </w:r>
    </w:p>
    <w:p w14:paraId="40EB1632" w14:textId="77777777" w:rsidR="00B53349" w:rsidRDefault="00B53349" w:rsidP="00B533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 GLS Regression output of t</w:t>
      </w:r>
      <w:r w:rsidRPr="007C1550">
        <w:rPr>
          <w:rFonts w:ascii="Times New Roman" w:hAnsi="Times New Roman" w:cs="Times New Roman"/>
          <w:sz w:val="24"/>
          <w:szCs w:val="24"/>
        </w:rPr>
        <w:t>he interaction of Firm Size and Financial Metrics</w:t>
      </w:r>
    </w:p>
    <w:tbl>
      <w:tblPr>
        <w:tblW w:w="5416" w:type="dxa"/>
        <w:tblLook w:val="04A0" w:firstRow="1" w:lastRow="0" w:firstColumn="1" w:lastColumn="0" w:noHBand="0" w:noVBand="1"/>
      </w:tblPr>
      <w:tblGrid>
        <w:gridCol w:w="990"/>
        <w:gridCol w:w="1336"/>
        <w:gridCol w:w="1170"/>
        <w:gridCol w:w="960"/>
        <w:gridCol w:w="960"/>
      </w:tblGrid>
      <w:tr w:rsidR="00B53349" w:rsidRPr="00724758" w14:paraId="71DAF275" w14:textId="77777777" w:rsidTr="005E2BA7">
        <w:trPr>
          <w:trHeight w:val="300"/>
        </w:trPr>
        <w:tc>
          <w:tcPr>
            <w:tcW w:w="990" w:type="dxa"/>
            <w:tcBorders>
              <w:top w:val="single" w:sz="4" w:space="0" w:color="auto"/>
              <w:left w:val="nil"/>
              <w:bottom w:val="single" w:sz="4" w:space="0" w:color="auto"/>
              <w:right w:val="nil"/>
            </w:tcBorders>
            <w:noWrap/>
            <w:vAlign w:val="bottom"/>
            <w:hideMark/>
          </w:tcPr>
          <w:p w14:paraId="15BF60CC" w14:textId="77777777" w:rsidR="00B53349" w:rsidRPr="00724758" w:rsidRDefault="00B53349" w:rsidP="005E2BA7">
            <w:pPr>
              <w:spacing w:after="0" w:line="240" w:lineRule="auto"/>
              <w:rPr>
                <w:rFonts w:ascii="Times New Roman" w:eastAsia="Times New Roman" w:hAnsi="Times New Roman" w:cs="Times New Roman"/>
                <w:b/>
                <w:bCs/>
              </w:rPr>
            </w:pPr>
            <w:proofErr w:type="spellStart"/>
            <w:r w:rsidRPr="00724758">
              <w:rPr>
                <w:rFonts w:ascii="Times New Roman" w:eastAsia="Times New Roman" w:hAnsi="Times New Roman" w:cs="Times New Roman"/>
                <w:b/>
                <w:bCs/>
              </w:rPr>
              <w:lastRenderedPageBreak/>
              <w:t>lshp</w:t>
            </w:r>
            <w:proofErr w:type="spellEnd"/>
          </w:p>
        </w:tc>
        <w:tc>
          <w:tcPr>
            <w:tcW w:w="1336" w:type="dxa"/>
            <w:tcBorders>
              <w:top w:val="single" w:sz="4" w:space="0" w:color="auto"/>
              <w:left w:val="nil"/>
              <w:bottom w:val="single" w:sz="4" w:space="0" w:color="auto"/>
              <w:right w:val="nil"/>
            </w:tcBorders>
            <w:noWrap/>
            <w:vAlign w:val="bottom"/>
            <w:hideMark/>
          </w:tcPr>
          <w:p w14:paraId="69F12369" w14:textId="77777777" w:rsidR="00B53349" w:rsidRPr="00724758" w:rsidRDefault="00B53349" w:rsidP="005E2BA7">
            <w:pPr>
              <w:spacing w:after="0" w:line="240" w:lineRule="auto"/>
              <w:jc w:val="center"/>
              <w:rPr>
                <w:rFonts w:ascii="Times New Roman" w:eastAsia="Times New Roman" w:hAnsi="Times New Roman" w:cs="Times New Roman"/>
                <w:b/>
                <w:bCs/>
              </w:rPr>
            </w:pPr>
            <w:r w:rsidRPr="00724758">
              <w:rPr>
                <w:rFonts w:ascii="Times New Roman" w:eastAsia="Times New Roman" w:hAnsi="Times New Roman" w:cs="Times New Roman"/>
                <w:b/>
                <w:bCs/>
              </w:rPr>
              <w:t>Coefficient</w:t>
            </w:r>
          </w:p>
        </w:tc>
        <w:tc>
          <w:tcPr>
            <w:tcW w:w="1170" w:type="dxa"/>
            <w:tcBorders>
              <w:top w:val="single" w:sz="4" w:space="0" w:color="auto"/>
              <w:left w:val="nil"/>
              <w:bottom w:val="single" w:sz="4" w:space="0" w:color="auto"/>
              <w:right w:val="nil"/>
            </w:tcBorders>
            <w:noWrap/>
            <w:vAlign w:val="bottom"/>
            <w:hideMark/>
          </w:tcPr>
          <w:p w14:paraId="62E860EA" w14:textId="77777777" w:rsidR="00B53349" w:rsidRPr="00724758" w:rsidRDefault="00B53349" w:rsidP="005E2BA7">
            <w:pPr>
              <w:spacing w:after="0" w:line="240" w:lineRule="auto"/>
              <w:jc w:val="center"/>
              <w:rPr>
                <w:rFonts w:ascii="Times New Roman" w:eastAsia="Times New Roman" w:hAnsi="Times New Roman" w:cs="Times New Roman"/>
                <w:b/>
                <w:bCs/>
              </w:rPr>
            </w:pPr>
            <w:r w:rsidRPr="00724758">
              <w:rPr>
                <w:rFonts w:ascii="Times New Roman" w:eastAsia="Times New Roman" w:hAnsi="Times New Roman" w:cs="Times New Roman"/>
                <w:b/>
                <w:bCs/>
              </w:rPr>
              <w:t>Std. err.</w:t>
            </w:r>
          </w:p>
        </w:tc>
        <w:tc>
          <w:tcPr>
            <w:tcW w:w="960" w:type="dxa"/>
            <w:tcBorders>
              <w:top w:val="single" w:sz="4" w:space="0" w:color="auto"/>
              <w:left w:val="nil"/>
              <w:bottom w:val="single" w:sz="4" w:space="0" w:color="auto"/>
              <w:right w:val="nil"/>
            </w:tcBorders>
            <w:noWrap/>
            <w:vAlign w:val="bottom"/>
            <w:hideMark/>
          </w:tcPr>
          <w:p w14:paraId="07DACED2" w14:textId="77777777" w:rsidR="00B53349" w:rsidRPr="00724758" w:rsidRDefault="00B53349" w:rsidP="005E2BA7">
            <w:pPr>
              <w:spacing w:after="0" w:line="240" w:lineRule="auto"/>
              <w:jc w:val="center"/>
              <w:rPr>
                <w:rFonts w:ascii="Times New Roman" w:eastAsia="Times New Roman" w:hAnsi="Times New Roman" w:cs="Times New Roman"/>
                <w:b/>
                <w:bCs/>
              </w:rPr>
            </w:pPr>
            <w:r w:rsidRPr="00724758">
              <w:rPr>
                <w:rFonts w:ascii="Times New Roman" w:eastAsia="Times New Roman" w:hAnsi="Times New Roman" w:cs="Times New Roman"/>
                <w:b/>
                <w:bCs/>
              </w:rPr>
              <w:t>Z</w:t>
            </w:r>
          </w:p>
        </w:tc>
        <w:tc>
          <w:tcPr>
            <w:tcW w:w="960" w:type="dxa"/>
            <w:tcBorders>
              <w:top w:val="single" w:sz="4" w:space="0" w:color="auto"/>
              <w:left w:val="nil"/>
              <w:bottom w:val="single" w:sz="4" w:space="0" w:color="auto"/>
              <w:right w:val="nil"/>
            </w:tcBorders>
            <w:noWrap/>
            <w:vAlign w:val="bottom"/>
            <w:hideMark/>
          </w:tcPr>
          <w:p w14:paraId="703D11A6" w14:textId="77777777" w:rsidR="00B53349" w:rsidRPr="00724758" w:rsidRDefault="00B53349" w:rsidP="005E2BA7">
            <w:pPr>
              <w:spacing w:after="0" w:line="240" w:lineRule="auto"/>
              <w:jc w:val="center"/>
              <w:rPr>
                <w:rFonts w:ascii="Times New Roman" w:eastAsia="Times New Roman" w:hAnsi="Times New Roman" w:cs="Times New Roman"/>
                <w:b/>
                <w:bCs/>
              </w:rPr>
            </w:pPr>
            <w:r w:rsidRPr="00724758">
              <w:rPr>
                <w:rFonts w:ascii="Times New Roman" w:eastAsia="Times New Roman" w:hAnsi="Times New Roman" w:cs="Times New Roman"/>
                <w:b/>
                <w:bCs/>
              </w:rPr>
              <w:t xml:space="preserve">   P</w:t>
            </w:r>
          </w:p>
        </w:tc>
      </w:tr>
      <w:tr w:rsidR="00B53349" w:rsidRPr="00724758" w14:paraId="6C31AFA4" w14:textId="77777777" w:rsidTr="005E2BA7">
        <w:trPr>
          <w:trHeight w:val="300"/>
        </w:trPr>
        <w:tc>
          <w:tcPr>
            <w:tcW w:w="990" w:type="dxa"/>
            <w:tcBorders>
              <w:top w:val="nil"/>
              <w:left w:val="nil"/>
              <w:bottom w:val="nil"/>
              <w:right w:val="nil"/>
            </w:tcBorders>
            <w:noWrap/>
            <w:vAlign w:val="bottom"/>
            <w:hideMark/>
          </w:tcPr>
          <w:p w14:paraId="779454BB" w14:textId="77777777" w:rsidR="00B53349" w:rsidRPr="00724758" w:rsidRDefault="00B53349" w:rsidP="005E2BA7">
            <w:pPr>
              <w:spacing w:after="0" w:line="240" w:lineRule="auto"/>
              <w:rPr>
                <w:rFonts w:ascii="Times New Roman" w:eastAsia="Times New Roman" w:hAnsi="Times New Roman" w:cs="Times New Roman"/>
              </w:rPr>
            </w:pPr>
            <w:r w:rsidRPr="00724758">
              <w:rPr>
                <w:rFonts w:ascii="Times New Roman" w:eastAsia="Times New Roman" w:hAnsi="Times New Roman" w:cs="Times New Roman"/>
              </w:rPr>
              <w:t>roe</w:t>
            </w:r>
          </w:p>
        </w:tc>
        <w:tc>
          <w:tcPr>
            <w:tcW w:w="1336" w:type="dxa"/>
            <w:tcBorders>
              <w:top w:val="nil"/>
              <w:left w:val="nil"/>
              <w:bottom w:val="nil"/>
              <w:right w:val="nil"/>
            </w:tcBorders>
            <w:noWrap/>
            <w:vAlign w:val="bottom"/>
            <w:hideMark/>
          </w:tcPr>
          <w:p w14:paraId="10838F3C"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1.5715</w:t>
            </w:r>
          </w:p>
        </w:tc>
        <w:tc>
          <w:tcPr>
            <w:tcW w:w="1170" w:type="dxa"/>
            <w:tcBorders>
              <w:top w:val="nil"/>
              <w:left w:val="nil"/>
              <w:bottom w:val="nil"/>
              <w:right w:val="nil"/>
            </w:tcBorders>
            <w:noWrap/>
            <w:vAlign w:val="bottom"/>
            <w:hideMark/>
          </w:tcPr>
          <w:p w14:paraId="221AA9AB"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0.4865</w:t>
            </w:r>
          </w:p>
        </w:tc>
        <w:tc>
          <w:tcPr>
            <w:tcW w:w="960" w:type="dxa"/>
            <w:tcBorders>
              <w:top w:val="nil"/>
              <w:left w:val="nil"/>
              <w:bottom w:val="nil"/>
              <w:right w:val="nil"/>
            </w:tcBorders>
            <w:noWrap/>
            <w:vAlign w:val="bottom"/>
            <w:hideMark/>
          </w:tcPr>
          <w:p w14:paraId="73EBD9CA"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3.230</w:t>
            </w:r>
          </w:p>
        </w:tc>
        <w:tc>
          <w:tcPr>
            <w:tcW w:w="960" w:type="dxa"/>
            <w:tcBorders>
              <w:top w:val="nil"/>
              <w:left w:val="nil"/>
              <w:bottom w:val="nil"/>
              <w:right w:val="nil"/>
            </w:tcBorders>
            <w:noWrap/>
            <w:vAlign w:val="bottom"/>
            <w:hideMark/>
          </w:tcPr>
          <w:p w14:paraId="3A0EFDF7"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0.001</w:t>
            </w:r>
          </w:p>
        </w:tc>
      </w:tr>
      <w:tr w:rsidR="00B53349" w:rsidRPr="00724758" w14:paraId="11125D3E" w14:textId="77777777" w:rsidTr="005E2BA7">
        <w:trPr>
          <w:trHeight w:val="300"/>
        </w:trPr>
        <w:tc>
          <w:tcPr>
            <w:tcW w:w="990" w:type="dxa"/>
            <w:tcBorders>
              <w:top w:val="nil"/>
              <w:left w:val="nil"/>
              <w:bottom w:val="nil"/>
              <w:right w:val="nil"/>
            </w:tcBorders>
            <w:noWrap/>
            <w:vAlign w:val="bottom"/>
            <w:hideMark/>
          </w:tcPr>
          <w:p w14:paraId="492C0849" w14:textId="77777777" w:rsidR="00B53349" w:rsidRPr="00724758" w:rsidRDefault="00B53349" w:rsidP="005E2BA7">
            <w:pPr>
              <w:spacing w:after="0" w:line="240" w:lineRule="auto"/>
              <w:rPr>
                <w:rFonts w:ascii="Times New Roman" w:eastAsia="Times New Roman" w:hAnsi="Times New Roman" w:cs="Times New Roman"/>
              </w:rPr>
            </w:pPr>
            <w:r w:rsidRPr="00724758">
              <w:rPr>
                <w:rFonts w:ascii="Times New Roman" w:eastAsia="Times New Roman" w:hAnsi="Times New Roman" w:cs="Times New Roman"/>
              </w:rPr>
              <w:t>cur</w:t>
            </w:r>
          </w:p>
        </w:tc>
        <w:tc>
          <w:tcPr>
            <w:tcW w:w="1336" w:type="dxa"/>
            <w:tcBorders>
              <w:top w:val="nil"/>
              <w:left w:val="nil"/>
              <w:bottom w:val="nil"/>
              <w:right w:val="nil"/>
            </w:tcBorders>
            <w:noWrap/>
            <w:vAlign w:val="bottom"/>
            <w:hideMark/>
          </w:tcPr>
          <w:p w14:paraId="3946ACF7"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-0.1450</w:t>
            </w:r>
          </w:p>
        </w:tc>
        <w:tc>
          <w:tcPr>
            <w:tcW w:w="1170" w:type="dxa"/>
            <w:tcBorders>
              <w:top w:val="nil"/>
              <w:left w:val="nil"/>
              <w:bottom w:val="nil"/>
              <w:right w:val="nil"/>
            </w:tcBorders>
            <w:noWrap/>
            <w:vAlign w:val="bottom"/>
            <w:hideMark/>
          </w:tcPr>
          <w:p w14:paraId="67664E67"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0.2210</w:t>
            </w:r>
          </w:p>
        </w:tc>
        <w:tc>
          <w:tcPr>
            <w:tcW w:w="960" w:type="dxa"/>
            <w:tcBorders>
              <w:top w:val="nil"/>
              <w:left w:val="nil"/>
              <w:bottom w:val="nil"/>
              <w:right w:val="nil"/>
            </w:tcBorders>
            <w:noWrap/>
            <w:vAlign w:val="bottom"/>
            <w:hideMark/>
          </w:tcPr>
          <w:p w14:paraId="5ADABAFB"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-0.660</w:t>
            </w:r>
          </w:p>
        </w:tc>
        <w:tc>
          <w:tcPr>
            <w:tcW w:w="960" w:type="dxa"/>
            <w:tcBorders>
              <w:top w:val="nil"/>
              <w:left w:val="nil"/>
              <w:bottom w:val="nil"/>
              <w:right w:val="nil"/>
            </w:tcBorders>
            <w:noWrap/>
            <w:vAlign w:val="bottom"/>
            <w:hideMark/>
          </w:tcPr>
          <w:p w14:paraId="144408CD"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0.512</w:t>
            </w:r>
          </w:p>
        </w:tc>
      </w:tr>
      <w:tr w:rsidR="00B53349" w:rsidRPr="00724758" w14:paraId="1A1EBE22" w14:textId="77777777" w:rsidTr="005E2BA7">
        <w:trPr>
          <w:trHeight w:val="300"/>
        </w:trPr>
        <w:tc>
          <w:tcPr>
            <w:tcW w:w="990" w:type="dxa"/>
            <w:tcBorders>
              <w:top w:val="nil"/>
              <w:left w:val="nil"/>
              <w:bottom w:val="nil"/>
              <w:right w:val="nil"/>
            </w:tcBorders>
            <w:noWrap/>
            <w:vAlign w:val="bottom"/>
            <w:hideMark/>
          </w:tcPr>
          <w:p w14:paraId="088FD2EB" w14:textId="77777777" w:rsidR="00B53349" w:rsidRPr="00724758" w:rsidRDefault="00B53349" w:rsidP="005E2BA7">
            <w:pPr>
              <w:spacing w:after="0" w:line="240" w:lineRule="auto"/>
              <w:rPr>
                <w:rFonts w:ascii="Times New Roman" w:eastAsia="Times New Roman" w:hAnsi="Times New Roman" w:cs="Times New Roman"/>
              </w:rPr>
            </w:pPr>
            <w:r w:rsidRPr="00724758">
              <w:rPr>
                <w:rFonts w:ascii="Times New Roman" w:eastAsia="Times New Roman" w:hAnsi="Times New Roman" w:cs="Times New Roman"/>
              </w:rPr>
              <w:t>der</w:t>
            </w:r>
          </w:p>
        </w:tc>
        <w:tc>
          <w:tcPr>
            <w:tcW w:w="1336" w:type="dxa"/>
            <w:tcBorders>
              <w:top w:val="nil"/>
              <w:left w:val="nil"/>
              <w:bottom w:val="nil"/>
              <w:right w:val="nil"/>
            </w:tcBorders>
            <w:noWrap/>
            <w:vAlign w:val="bottom"/>
            <w:hideMark/>
          </w:tcPr>
          <w:p w14:paraId="109B281D"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0.0389</w:t>
            </w:r>
          </w:p>
        </w:tc>
        <w:tc>
          <w:tcPr>
            <w:tcW w:w="1170" w:type="dxa"/>
            <w:tcBorders>
              <w:top w:val="nil"/>
              <w:left w:val="nil"/>
              <w:bottom w:val="nil"/>
              <w:right w:val="nil"/>
            </w:tcBorders>
            <w:noWrap/>
            <w:vAlign w:val="bottom"/>
            <w:hideMark/>
          </w:tcPr>
          <w:p w14:paraId="2B5E907E"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0.0568</w:t>
            </w:r>
          </w:p>
        </w:tc>
        <w:tc>
          <w:tcPr>
            <w:tcW w:w="960" w:type="dxa"/>
            <w:tcBorders>
              <w:top w:val="nil"/>
              <w:left w:val="nil"/>
              <w:bottom w:val="nil"/>
              <w:right w:val="nil"/>
            </w:tcBorders>
            <w:noWrap/>
            <w:vAlign w:val="bottom"/>
            <w:hideMark/>
          </w:tcPr>
          <w:p w14:paraId="65D9EED7"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0.680</w:t>
            </w:r>
          </w:p>
        </w:tc>
        <w:tc>
          <w:tcPr>
            <w:tcW w:w="960" w:type="dxa"/>
            <w:tcBorders>
              <w:top w:val="nil"/>
              <w:left w:val="nil"/>
              <w:bottom w:val="nil"/>
              <w:right w:val="nil"/>
            </w:tcBorders>
            <w:noWrap/>
            <w:vAlign w:val="bottom"/>
            <w:hideMark/>
          </w:tcPr>
          <w:p w14:paraId="74AC895E"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0.493</w:t>
            </w:r>
          </w:p>
        </w:tc>
      </w:tr>
      <w:tr w:rsidR="00B53349" w:rsidRPr="00724758" w14:paraId="3F9B1AB4" w14:textId="77777777" w:rsidTr="005E2BA7">
        <w:trPr>
          <w:trHeight w:val="300"/>
        </w:trPr>
        <w:tc>
          <w:tcPr>
            <w:tcW w:w="990" w:type="dxa"/>
            <w:tcBorders>
              <w:top w:val="nil"/>
              <w:left w:val="nil"/>
              <w:bottom w:val="nil"/>
              <w:right w:val="nil"/>
            </w:tcBorders>
            <w:noWrap/>
            <w:vAlign w:val="bottom"/>
            <w:hideMark/>
          </w:tcPr>
          <w:p w14:paraId="2870CFE2" w14:textId="77777777" w:rsidR="00B53349" w:rsidRPr="00724758" w:rsidRDefault="00B53349" w:rsidP="005E2BA7">
            <w:pPr>
              <w:spacing w:after="0" w:line="240" w:lineRule="auto"/>
              <w:rPr>
                <w:rFonts w:ascii="Times New Roman" w:eastAsia="Times New Roman" w:hAnsi="Times New Roman" w:cs="Times New Roman"/>
              </w:rPr>
            </w:pPr>
            <w:r w:rsidRPr="00724758">
              <w:rPr>
                <w:rFonts w:ascii="Times New Roman" w:eastAsia="Times New Roman" w:hAnsi="Times New Roman" w:cs="Times New Roman"/>
              </w:rPr>
              <w:t>tat</w:t>
            </w:r>
          </w:p>
        </w:tc>
        <w:tc>
          <w:tcPr>
            <w:tcW w:w="1336" w:type="dxa"/>
            <w:tcBorders>
              <w:top w:val="nil"/>
              <w:left w:val="nil"/>
              <w:bottom w:val="nil"/>
              <w:right w:val="nil"/>
            </w:tcBorders>
            <w:noWrap/>
            <w:vAlign w:val="bottom"/>
            <w:hideMark/>
          </w:tcPr>
          <w:p w14:paraId="0AE3C70E"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0.0750</w:t>
            </w:r>
          </w:p>
        </w:tc>
        <w:tc>
          <w:tcPr>
            <w:tcW w:w="1170" w:type="dxa"/>
            <w:tcBorders>
              <w:top w:val="nil"/>
              <w:left w:val="nil"/>
              <w:bottom w:val="nil"/>
              <w:right w:val="nil"/>
            </w:tcBorders>
            <w:noWrap/>
            <w:vAlign w:val="bottom"/>
            <w:hideMark/>
          </w:tcPr>
          <w:p w14:paraId="5F580F2B"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0.1832</w:t>
            </w:r>
          </w:p>
        </w:tc>
        <w:tc>
          <w:tcPr>
            <w:tcW w:w="960" w:type="dxa"/>
            <w:tcBorders>
              <w:top w:val="nil"/>
              <w:left w:val="nil"/>
              <w:bottom w:val="nil"/>
              <w:right w:val="nil"/>
            </w:tcBorders>
            <w:noWrap/>
            <w:vAlign w:val="bottom"/>
            <w:hideMark/>
          </w:tcPr>
          <w:p w14:paraId="504ACF78"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0.410</w:t>
            </w:r>
          </w:p>
        </w:tc>
        <w:tc>
          <w:tcPr>
            <w:tcW w:w="960" w:type="dxa"/>
            <w:tcBorders>
              <w:top w:val="nil"/>
              <w:left w:val="nil"/>
              <w:bottom w:val="nil"/>
              <w:right w:val="nil"/>
            </w:tcBorders>
            <w:noWrap/>
            <w:vAlign w:val="bottom"/>
            <w:hideMark/>
          </w:tcPr>
          <w:p w14:paraId="6106092E"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0.682</w:t>
            </w:r>
          </w:p>
        </w:tc>
      </w:tr>
      <w:tr w:rsidR="00B53349" w:rsidRPr="00724758" w14:paraId="1925E0BF" w14:textId="77777777" w:rsidTr="005E2BA7">
        <w:trPr>
          <w:trHeight w:val="300"/>
        </w:trPr>
        <w:tc>
          <w:tcPr>
            <w:tcW w:w="990" w:type="dxa"/>
            <w:tcBorders>
              <w:top w:val="nil"/>
              <w:left w:val="nil"/>
              <w:bottom w:val="nil"/>
              <w:right w:val="nil"/>
            </w:tcBorders>
            <w:noWrap/>
            <w:vAlign w:val="bottom"/>
            <w:hideMark/>
          </w:tcPr>
          <w:p w14:paraId="3C5C41EF" w14:textId="77777777" w:rsidR="00B53349" w:rsidRPr="00724758" w:rsidRDefault="00B53349" w:rsidP="005E2BA7">
            <w:pPr>
              <w:spacing w:after="0" w:line="240" w:lineRule="auto"/>
              <w:rPr>
                <w:rFonts w:ascii="Times New Roman" w:eastAsia="Times New Roman" w:hAnsi="Times New Roman" w:cs="Times New Roman"/>
              </w:rPr>
            </w:pPr>
            <w:r w:rsidRPr="00724758">
              <w:rPr>
                <w:rFonts w:ascii="Times New Roman" w:eastAsia="Times New Roman" w:hAnsi="Times New Roman" w:cs="Times New Roman"/>
              </w:rPr>
              <w:t>eps</w:t>
            </w:r>
          </w:p>
        </w:tc>
        <w:tc>
          <w:tcPr>
            <w:tcW w:w="1336" w:type="dxa"/>
            <w:tcBorders>
              <w:top w:val="nil"/>
              <w:left w:val="nil"/>
              <w:bottom w:val="nil"/>
              <w:right w:val="nil"/>
            </w:tcBorders>
            <w:noWrap/>
            <w:vAlign w:val="bottom"/>
            <w:hideMark/>
          </w:tcPr>
          <w:p w14:paraId="3A5A3FCC"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0.7935</w:t>
            </w:r>
          </w:p>
        </w:tc>
        <w:tc>
          <w:tcPr>
            <w:tcW w:w="1170" w:type="dxa"/>
            <w:tcBorders>
              <w:top w:val="nil"/>
              <w:left w:val="nil"/>
              <w:bottom w:val="nil"/>
              <w:right w:val="nil"/>
            </w:tcBorders>
            <w:noWrap/>
            <w:vAlign w:val="bottom"/>
            <w:hideMark/>
          </w:tcPr>
          <w:p w14:paraId="334E4403"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0.1799</w:t>
            </w:r>
          </w:p>
        </w:tc>
        <w:tc>
          <w:tcPr>
            <w:tcW w:w="960" w:type="dxa"/>
            <w:tcBorders>
              <w:top w:val="nil"/>
              <w:left w:val="nil"/>
              <w:bottom w:val="nil"/>
              <w:right w:val="nil"/>
            </w:tcBorders>
            <w:noWrap/>
            <w:vAlign w:val="bottom"/>
            <w:hideMark/>
          </w:tcPr>
          <w:p w14:paraId="5C93E4D4"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4.410</w:t>
            </w:r>
          </w:p>
        </w:tc>
        <w:tc>
          <w:tcPr>
            <w:tcW w:w="960" w:type="dxa"/>
            <w:tcBorders>
              <w:top w:val="nil"/>
              <w:left w:val="nil"/>
              <w:bottom w:val="nil"/>
              <w:right w:val="nil"/>
            </w:tcBorders>
            <w:noWrap/>
            <w:vAlign w:val="bottom"/>
            <w:hideMark/>
          </w:tcPr>
          <w:p w14:paraId="30BE8CA2"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0.000</w:t>
            </w:r>
          </w:p>
        </w:tc>
      </w:tr>
      <w:tr w:rsidR="00B53349" w:rsidRPr="00724758" w14:paraId="6AD7F5CE" w14:textId="77777777" w:rsidTr="005E2BA7">
        <w:trPr>
          <w:trHeight w:val="300"/>
        </w:trPr>
        <w:tc>
          <w:tcPr>
            <w:tcW w:w="990" w:type="dxa"/>
            <w:tcBorders>
              <w:top w:val="nil"/>
              <w:left w:val="nil"/>
              <w:bottom w:val="nil"/>
              <w:right w:val="nil"/>
            </w:tcBorders>
            <w:noWrap/>
            <w:vAlign w:val="bottom"/>
            <w:hideMark/>
          </w:tcPr>
          <w:p w14:paraId="5D2BB436" w14:textId="77777777" w:rsidR="00B53349" w:rsidRPr="00724758" w:rsidRDefault="00B53349" w:rsidP="005E2BA7">
            <w:pPr>
              <w:spacing w:after="0" w:line="240" w:lineRule="auto"/>
              <w:rPr>
                <w:rFonts w:ascii="Times New Roman" w:eastAsia="Times New Roman" w:hAnsi="Times New Roman" w:cs="Times New Roman"/>
              </w:rPr>
            </w:pPr>
            <w:proofErr w:type="spellStart"/>
            <w:r w:rsidRPr="00724758">
              <w:rPr>
                <w:rFonts w:ascii="Times New Roman" w:eastAsia="Times New Roman" w:hAnsi="Times New Roman" w:cs="Times New Roman"/>
              </w:rPr>
              <w:t>fsz</w:t>
            </w:r>
            <w:proofErr w:type="spellEnd"/>
          </w:p>
        </w:tc>
        <w:tc>
          <w:tcPr>
            <w:tcW w:w="1336" w:type="dxa"/>
            <w:tcBorders>
              <w:top w:val="nil"/>
              <w:left w:val="nil"/>
              <w:bottom w:val="nil"/>
              <w:right w:val="nil"/>
            </w:tcBorders>
            <w:noWrap/>
            <w:vAlign w:val="bottom"/>
            <w:hideMark/>
          </w:tcPr>
          <w:p w14:paraId="70AD57A0"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0.5277</w:t>
            </w:r>
          </w:p>
        </w:tc>
        <w:tc>
          <w:tcPr>
            <w:tcW w:w="1170" w:type="dxa"/>
            <w:tcBorders>
              <w:top w:val="nil"/>
              <w:left w:val="nil"/>
              <w:bottom w:val="nil"/>
              <w:right w:val="nil"/>
            </w:tcBorders>
            <w:noWrap/>
            <w:vAlign w:val="bottom"/>
            <w:hideMark/>
          </w:tcPr>
          <w:p w14:paraId="4507976D"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0.0481</w:t>
            </w:r>
          </w:p>
        </w:tc>
        <w:tc>
          <w:tcPr>
            <w:tcW w:w="960" w:type="dxa"/>
            <w:tcBorders>
              <w:top w:val="nil"/>
              <w:left w:val="nil"/>
              <w:bottom w:val="nil"/>
              <w:right w:val="nil"/>
            </w:tcBorders>
            <w:noWrap/>
            <w:vAlign w:val="bottom"/>
            <w:hideMark/>
          </w:tcPr>
          <w:p w14:paraId="4F4905A4"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10.980</w:t>
            </w:r>
          </w:p>
        </w:tc>
        <w:tc>
          <w:tcPr>
            <w:tcW w:w="960" w:type="dxa"/>
            <w:tcBorders>
              <w:top w:val="nil"/>
              <w:left w:val="nil"/>
              <w:bottom w:val="nil"/>
              <w:right w:val="nil"/>
            </w:tcBorders>
            <w:noWrap/>
            <w:vAlign w:val="bottom"/>
            <w:hideMark/>
          </w:tcPr>
          <w:p w14:paraId="3F6A44A3"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0.000</w:t>
            </w:r>
          </w:p>
        </w:tc>
      </w:tr>
      <w:tr w:rsidR="00B53349" w:rsidRPr="00724758" w14:paraId="08CBB202" w14:textId="77777777" w:rsidTr="005E2BA7">
        <w:trPr>
          <w:trHeight w:val="300"/>
        </w:trPr>
        <w:tc>
          <w:tcPr>
            <w:tcW w:w="990" w:type="dxa"/>
            <w:tcBorders>
              <w:top w:val="nil"/>
              <w:left w:val="nil"/>
              <w:bottom w:val="nil"/>
              <w:right w:val="nil"/>
            </w:tcBorders>
            <w:noWrap/>
            <w:vAlign w:val="bottom"/>
            <w:hideMark/>
          </w:tcPr>
          <w:p w14:paraId="79FDE2CF" w14:textId="77777777" w:rsidR="00B53349" w:rsidRPr="00724758" w:rsidRDefault="00B53349" w:rsidP="005E2BA7">
            <w:pPr>
              <w:spacing w:after="0" w:line="240" w:lineRule="auto"/>
              <w:rPr>
                <w:rFonts w:ascii="Times New Roman" w:eastAsia="Times New Roman" w:hAnsi="Times New Roman" w:cs="Times New Roman"/>
              </w:rPr>
            </w:pPr>
            <w:r w:rsidRPr="00724758">
              <w:rPr>
                <w:rFonts w:ascii="Times New Roman" w:eastAsia="Times New Roman" w:hAnsi="Times New Roman" w:cs="Times New Roman"/>
              </w:rPr>
              <w:t>inf</w:t>
            </w:r>
          </w:p>
        </w:tc>
        <w:tc>
          <w:tcPr>
            <w:tcW w:w="1336" w:type="dxa"/>
            <w:tcBorders>
              <w:top w:val="nil"/>
              <w:left w:val="nil"/>
              <w:bottom w:val="nil"/>
              <w:right w:val="nil"/>
            </w:tcBorders>
            <w:noWrap/>
            <w:vAlign w:val="bottom"/>
            <w:hideMark/>
          </w:tcPr>
          <w:p w14:paraId="1BF30C86"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-0.0348</w:t>
            </w:r>
          </w:p>
        </w:tc>
        <w:tc>
          <w:tcPr>
            <w:tcW w:w="1170" w:type="dxa"/>
            <w:tcBorders>
              <w:top w:val="nil"/>
              <w:left w:val="nil"/>
              <w:bottom w:val="nil"/>
              <w:right w:val="nil"/>
            </w:tcBorders>
            <w:noWrap/>
            <w:vAlign w:val="bottom"/>
            <w:hideMark/>
          </w:tcPr>
          <w:p w14:paraId="563424C1"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0.0319</w:t>
            </w:r>
          </w:p>
        </w:tc>
        <w:tc>
          <w:tcPr>
            <w:tcW w:w="960" w:type="dxa"/>
            <w:tcBorders>
              <w:top w:val="nil"/>
              <w:left w:val="nil"/>
              <w:bottom w:val="nil"/>
              <w:right w:val="nil"/>
            </w:tcBorders>
            <w:noWrap/>
            <w:vAlign w:val="bottom"/>
            <w:hideMark/>
          </w:tcPr>
          <w:p w14:paraId="2972E32C"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-1.090</w:t>
            </w:r>
          </w:p>
        </w:tc>
        <w:tc>
          <w:tcPr>
            <w:tcW w:w="960" w:type="dxa"/>
            <w:tcBorders>
              <w:top w:val="nil"/>
              <w:left w:val="nil"/>
              <w:bottom w:val="nil"/>
              <w:right w:val="nil"/>
            </w:tcBorders>
            <w:noWrap/>
            <w:vAlign w:val="bottom"/>
            <w:hideMark/>
          </w:tcPr>
          <w:p w14:paraId="3781C768"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0.276</w:t>
            </w:r>
          </w:p>
        </w:tc>
      </w:tr>
      <w:tr w:rsidR="00B53349" w:rsidRPr="00724758" w14:paraId="5BEB69C5" w14:textId="77777777" w:rsidTr="005E2BA7">
        <w:trPr>
          <w:trHeight w:val="300"/>
        </w:trPr>
        <w:tc>
          <w:tcPr>
            <w:tcW w:w="990" w:type="dxa"/>
            <w:tcBorders>
              <w:top w:val="nil"/>
              <w:left w:val="nil"/>
              <w:bottom w:val="nil"/>
              <w:right w:val="nil"/>
            </w:tcBorders>
            <w:noWrap/>
            <w:vAlign w:val="bottom"/>
            <w:hideMark/>
          </w:tcPr>
          <w:p w14:paraId="0978A64F" w14:textId="77777777" w:rsidR="00B53349" w:rsidRPr="00724758" w:rsidRDefault="00B53349" w:rsidP="005E2BA7">
            <w:pPr>
              <w:spacing w:after="0" w:line="240" w:lineRule="auto"/>
              <w:rPr>
                <w:rFonts w:ascii="Times New Roman" w:eastAsia="Times New Roman" w:hAnsi="Times New Roman" w:cs="Times New Roman"/>
              </w:rPr>
            </w:pPr>
            <w:proofErr w:type="spellStart"/>
            <w:r w:rsidRPr="00724758">
              <w:rPr>
                <w:rFonts w:ascii="Times New Roman" w:eastAsia="Times New Roman" w:hAnsi="Times New Roman" w:cs="Times New Roman"/>
              </w:rPr>
              <w:t>inr</w:t>
            </w:r>
            <w:proofErr w:type="spellEnd"/>
          </w:p>
        </w:tc>
        <w:tc>
          <w:tcPr>
            <w:tcW w:w="1336" w:type="dxa"/>
            <w:tcBorders>
              <w:top w:val="nil"/>
              <w:left w:val="nil"/>
              <w:bottom w:val="nil"/>
              <w:right w:val="nil"/>
            </w:tcBorders>
            <w:noWrap/>
            <w:vAlign w:val="bottom"/>
            <w:hideMark/>
          </w:tcPr>
          <w:p w14:paraId="7490E549"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0.0806</w:t>
            </w:r>
          </w:p>
        </w:tc>
        <w:tc>
          <w:tcPr>
            <w:tcW w:w="1170" w:type="dxa"/>
            <w:tcBorders>
              <w:top w:val="nil"/>
              <w:left w:val="nil"/>
              <w:bottom w:val="nil"/>
              <w:right w:val="nil"/>
            </w:tcBorders>
            <w:noWrap/>
            <w:vAlign w:val="bottom"/>
            <w:hideMark/>
          </w:tcPr>
          <w:p w14:paraId="75B91162"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0.0626</w:t>
            </w:r>
          </w:p>
        </w:tc>
        <w:tc>
          <w:tcPr>
            <w:tcW w:w="960" w:type="dxa"/>
            <w:tcBorders>
              <w:top w:val="nil"/>
              <w:left w:val="nil"/>
              <w:bottom w:val="nil"/>
              <w:right w:val="nil"/>
            </w:tcBorders>
            <w:noWrap/>
            <w:vAlign w:val="bottom"/>
            <w:hideMark/>
          </w:tcPr>
          <w:p w14:paraId="57DCE425"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1.290</w:t>
            </w:r>
          </w:p>
        </w:tc>
        <w:tc>
          <w:tcPr>
            <w:tcW w:w="960" w:type="dxa"/>
            <w:tcBorders>
              <w:top w:val="nil"/>
              <w:left w:val="nil"/>
              <w:bottom w:val="nil"/>
              <w:right w:val="nil"/>
            </w:tcBorders>
            <w:noWrap/>
            <w:vAlign w:val="bottom"/>
            <w:hideMark/>
          </w:tcPr>
          <w:p w14:paraId="50294FE8"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0.198</w:t>
            </w:r>
          </w:p>
        </w:tc>
      </w:tr>
      <w:tr w:rsidR="00B53349" w:rsidRPr="00724758" w14:paraId="6515B791" w14:textId="77777777" w:rsidTr="005E2BA7">
        <w:trPr>
          <w:trHeight w:val="300"/>
        </w:trPr>
        <w:tc>
          <w:tcPr>
            <w:tcW w:w="990" w:type="dxa"/>
            <w:tcBorders>
              <w:top w:val="nil"/>
              <w:left w:val="nil"/>
              <w:bottom w:val="nil"/>
              <w:right w:val="nil"/>
            </w:tcBorders>
            <w:noWrap/>
            <w:vAlign w:val="bottom"/>
            <w:hideMark/>
          </w:tcPr>
          <w:p w14:paraId="71459962" w14:textId="77777777" w:rsidR="00B53349" w:rsidRPr="00724758" w:rsidRDefault="00B53349" w:rsidP="005E2BA7">
            <w:pPr>
              <w:spacing w:after="0" w:line="240" w:lineRule="auto"/>
              <w:rPr>
                <w:rFonts w:ascii="Times New Roman" w:eastAsia="Times New Roman" w:hAnsi="Times New Roman" w:cs="Times New Roman"/>
              </w:rPr>
            </w:pPr>
            <w:proofErr w:type="spellStart"/>
            <w:r w:rsidRPr="00724758">
              <w:rPr>
                <w:rFonts w:ascii="Times New Roman" w:eastAsia="Times New Roman" w:hAnsi="Times New Roman" w:cs="Times New Roman"/>
              </w:rPr>
              <w:t>exr</w:t>
            </w:r>
            <w:proofErr w:type="spellEnd"/>
          </w:p>
        </w:tc>
        <w:tc>
          <w:tcPr>
            <w:tcW w:w="1336" w:type="dxa"/>
            <w:tcBorders>
              <w:top w:val="nil"/>
              <w:left w:val="nil"/>
              <w:bottom w:val="nil"/>
              <w:right w:val="nil"/>
            </w:tcBorders>
            <w:noWrap/>
            <w:vAlign w:val="bottom"/>
            <w:hideMark/>
          </w:tcPr>
          <w:p w14:paraId="161A373F"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-0.0003</w:t>
            </w:r>
          </w:p>
        </w:tc>
        <w:tc>
          <w:tcPr>
            <w:tcW w:w="1170" w:type="dxa"/>
            <w:tcBorders>
              <w:top w:val="nil"/>
              <w:left w:val="nil"/>
              <w:bottom w:val="nil"/>
              <w:right w:val="nil"/>
            </w:tcBorders>
            <w:noWrap/>
            <w:vAlign w:val="bottom"/>
            <w:hideMark/>
          </w:tcPr>
          <w:p w14:paraId="06C61C12"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0.0009</w:t>
            </w:r>
          </w:p>
        </w:tc>
        <w:tc>
          <w:tcPr>
            <w:tcW w:w="960" w:type="dxa"/>
            <w:tcBorders>
              <w:top w:val="nil"/>
              <w:left w:val="nil"/>
              <w:bottom w:val="nil"/>
              <w:right w:val="nil"/>
            </w:tcBorders>
            <w:noWrap/>
            <w:vAlign w:val="bottom"/>
            <w:hideMark/>
          </w:tcPr>
          <w:p w14:paraId="792F8A25"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-0.320</w:t>
            </w:r>
          </w:p>
        </w:tc>
        <w:tc>
          <w:tcPr>
            <w:tcW w:w="960" w:type="dxa"/>
            <w:tcBorders>
              <w:top w:val="nil"/>
              <w:left w:val="nil"/>
              <w:bottom w:val="nil"/>
              <w:right w:val="nil"/>
            </w:tcBorders>
            <w:noWrap/>
            <w:vAlign w:val="bottom"/>
            <w:hideMark/>
          </w:tcPr>
          <w:p w14:paraId="2FD3A2B5"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0.746</w:t>
            </w:r>
          </w:p>
        </w:tc>
      </w:tr>
      <w:tr w:rsidR="00B53349" w:rsidRPr="00724758" w14:paraId="04877854" w14:textId="77777777" w:rsidTr="005E2BA7">
        <w:trPr>
          <w:trHeight w:val="300"/>
        </w:trPr>
        <w:tc>
          <w:tcPr>
            <w:tcW w:w="990" w:type="dxa"/>
            <w:tcBorders>
              <w:top w:val="nil"/>
              <w:left w:val="nil"/>
              <w:bottom w:val="nil"/>
              <w:right w:val="nil"/>
            </w:tcBorders>
            <w:noWrap/>
            <w:vAlign w:val="bottom"/>
            <w:hideMark/>
          </w:tcPr>
          <w:p w14:paraId="0D303043" w14:textId="77777777" w:rsidR="00B53349" w:rsidRPr="00724758" w:rsidRDefault="00B53349" w:rsidP="005E2BA7">
            <w:pPr>
              <w:spacing w:after="0" w:line="240" w:lineRule="auto"/>
              <w:rPr>
                <w:rFonts w:ascii="Times New Roman" w:eastAsia="Times New Roman" w:hAnsi="Times New Roman" w:cs="Times New Roman"/>
              </w:rPr>
            </w:pPr>
            <w:proofErr w:type="spellStart"/>
            <w:r w:rsidRPr="00724758">
              <w:rPr>
                <w:rFonts w:ascii="Times New Roman" w:eastAsia="Times New Roman" w:hAnsi="Times New Roman" w:cs="Times New Roman"/>
              </w:rPr>
              <w:t>fsz_roe</w:t>
            </w:r>
            <w:proofErr w:type="spellEnd"/>
          </w:p>
        </w:tc>
        <w:tc>
          <w:tcPr>
            <w:tcW w:w="1336" w:type="dxa"/>
            <w:tcBorders>
              <w:top w:val="nil"/>
              <w:left w:val="nil"/>
              <w:bottom w:val="nil"/>
              <w:right w:val="nil"/>
            </w:tcBorders>
            <w:noWrap/>
            <w:vAlign w:val="bottom"/>
            <w:hideMark/>
          </w:tcPr>
          <w:p w14:paraId="0CB8341D"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0.0105</w:t>
            </w:r>
          </w:p>
        </w:tc>
        <w:tc>
          <w:tcPr>
            <w:tcW w:w="1170" w:type="dxa"/>
            <w:tcBorders>
              <w:top w:val="nil"/>
              <w:left w:val="nil"/>
              <w:bottom w:val="nil"/>
              <w:right w:val="nil"/>
            </w:tcBorders>
            <w:noWrap/>
            <w:vAlign w:val="bottom"/>
            <w:hideMark/>
          </w:tcPr>
          <w:p w14:paraId="11B3F1BD"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0.0084</w:t>
            </w:r>
          </w:p>
        </w:tc>
        <w:tc>
          <w:tcPr>
            <w:tcW w:w="960" w:type="dxa"/>
            <w:tcBorders>
              <w:top w:val="nil"/>
              <w:left w:val="nil"/>
              <w:bottom w:val="nil"/>
              <w:right w:val="nil"/>
            </w:tcBorders>
            <w:noWrap/>
            <w:vAlign w:val="bottom"/>
            <w:hideMark/>
          </w:tcPr>
          <w:p w14:paraId="3F4D91CA"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1.250</w:t>
            </w:r>
          </w:p>
        </w:tc>
        <w:tc>
          <w:tcPr>
            <w:tcW w:w="960" w:type="dxa"/>
            <w:tcBorders>
              <w:top w:val="nil"/>
              <w:left w:val="nil"/>
              <w:bottom w:val="nil"/>
              <w:right w:val="nil"/>
            </w:tcBorders>
            <w:noWrap/>
            <w:vAlign w:val="bottom"/>
            <w:hideMark/>
          </w:tcPr>
          <w:p w14:paraId="1DDEB9B8"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0.212</w:t>
            </w:r>
          </w:p>
        </w:tc>
      </w:tr>
      <w:tr w:rsidR="00B53349" w:rsidRPr="00724758" w14:paraId="5F9CAD13" w14:textId="77777777" w:rsidTr="005E2BA7">
        <w:trPr>
          <w:trHeight w:val="300"/>
        </w:trPr>
        <w:tc>
          <w:tcPr>
            <w:tcW w:w="990" w:type="dxa"/>
            <w:tcBorders>
              <w:top w:val="nil"/>
              <w:left w:val="nil"/>
              <w:bottom w:val="nil"/>
              <w:right w:val="nil"/>
            </w:tcBorders>
            <w:noWrap/>
            <w:vAlign w:val="bottom"/>
            <w:hideMark/>
          </w:tcPr>
          <w:p w14:paraId="5C1FCFA2" w14:textId="77777777" w:rsidR="00B53349" w:rsidRPr="00724758" w:rsidRDefault="00B53349" w:rsidP="005E2BA7">
            <w:pPr>
              <w:spacing w:after="0" w:line="240" w:lineRule="auto"/>
              <w:rPr>
                <w:rFonts w:ascii="Times New Roman" w:eastAsia="Times New Roman" w:hAnsi="Times New Roman" w:cs="Times New Roman"/>
              </w:rPr>
            </w:pPr>
            <w:proofErr w:type="spellStart"/>
            <w:r w:rsidRPr="00724758">
              <w:rPr>
                <w:rFonts w:ascii="Times New Roman" w:eastAsia="Times New Roman" w:hAnsi="Times New Roman" w:cs="Times New Roman"/>
              </w:rPr>
              <w:t>fsz_cur</w:t>
            </w:r>
            <w:proofErr w:type="spellEnd"/>
          </w:p>
        </w:tc>
        <w:tc>
          <w:tcPr>
            <w:tcW w:w="1336" w:type="dxa"/>
            <w:tcBorders>
              <w:top w:val="nil"/>
              <w:left w:val="nil"/>
              <w:bottom w:val="nil"/>
              <w:right w:val="nil"/>
            </w:tcBorders>
            <w:noWrap/>
            <w:vAlign w:val="bottom"/>
            <w:hideMark/>
          </w:tcPr>
          <w:p w14:paraId="4B6D5EA1"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0.0158</w:t>
            </w:r>
          </w:p>
        </w:tc>
        <w:tc>
          <w:tcPr>
            <w:tcW w:w="1170" w:type="dxa"/>
            <w:tcBorders>
              <w:top w:val="nil"/>
              <w:left w:val="nil"/>
              <w:bottom w:val="nil"/>
              <w:right w:val="nil"/>
            </w:tcBorders>
            <w:noWrap/>
            <w:vAlign w:val="bottom"/>
            <w:hideMark/>
          </w:tcPr>
          <w:p w14:paraId="3DD42C17"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0.0063</w:t>
            </w:r>
          </w:p>
        </w:tc>
        <w:tc>
          <w:tcPr>
            <w:tcW w:w="960" w:type="dxa"/>
            <w:tcBorders>
              <w:top w:val="nil"/>
              <w:left w:val="nil"/>
              <w:bottom w:val="nil"/>
              <w:right w:val="nil"/>
            </w:tcBorders>
            <w:noWrap/>
            <w:vAlign w:val="bottom"/>
            <w:hideMark/>
          </w:tcPr>
          <w:p w14:paraId="0FAC53E3"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2.500</w:t>
            </w:r>
          </w:p>
        </w:tc>
        <w:tc>
          <w:tcPr>
            <w:tcW w:w="960" w:type="dxa"/>
            <w:tcBorders>
              <w:top w:val="nil"/>
              <w:left w:val="nil"/>
              <w:bottom w:val="nil"/>
              <w:right w:val="nil"/>
            </w:tcBorders>
            <w:noWrap/>
            <w:vAlign w:val="bottom"/>
            <w:hideMark/>
          </w:tcPr>
          <w:p w14:paraId="611AE3A9"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0.012</w:t>
            </w:r>
          </w:p>
        </w:tc>
      </w:tr>
      <w:tr w:rsidR="00B53349" w:rsidRPr="00724758" w14:paraId="264C6455" w14:textId="77777777" w:rsidTr="005E2BA7">
        <w:trPr>
          <w:trHeight w:val="300"/>
        </w:trPr>
        <w:tc>
          <w:tcPr>
            <w:tcW w:w="990" w:type="dxa"/>
            <w:tcBorders>
              <w:top w:val="nil"/>
              <w:left w:val="nil"/>
              <w:bottom w:val="nil"/>
              <w:right w:val="nil"/>
            </w:tcBorders>
            <w:noWrap/>
            <w:vAlign w:val="bottom"/>
            <w:hideMark/>
          </w:tcPr>
          <w:p w14:paraId="18A89436" w14:textId="77777777" w:rsidR="00B53349" w:rsidRPr="00724758" w:rsidRDefault="00B53349" w:rsidP="005E2BA7">
            <w:pPr>
              <w:spacing w:after="0" w:line="240" w:lineRule="auto"/>
              <w:rPr>
                <w:rFonts w:ascii="Times New Roman" w:eastAsia="Times New Roman" w:hAnsi="Times New Roman" w:cs="Times New Roman"/>
              </w:rPr>
            </w:pPr>
            <w:proofErr w:type="spellStart"/>
            <w:r w:rsidRPr="00724758">
              <w:rPr>
                <w:rFonts w:ascii="Times New Roman" w:eastAsia="Times New Roman" w:hAnsi="Times New Roman" w:cs="Times New Roman"/>
              </w:rPr>
              <w:t>fsz_der</w:t>
            </w:r>
            <w:proofErr w:type="spellEnd"/>
          </w:p>
        </w:tc>
        <w:tc>
          <w:tcPr>
            <w:tcW w:w="1336" w:type="dxa"/>
            <w:tcBorders>
              <w:top w:val="nil"/>
              <w:left w:val="nil"/>
              <w:bottom w:val="nil"/>
              <w:right w:val="nil"/>
            </w:tcBorders>
            <w:noWrap/>
            <w:vAlign w:val="bottom"/>
            <w:hideMark/>
          </w:tcPr>
          <w:p w14:paraId="164A9B16"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0.0009</w:t>
            </w:r>
          </w:p>
        </w:tc>
        <w:tc>
          <w:tcPr>
            <w:tcW w:w="1170" w:type="dxa"/>
            <w:tcBorders>
              <w:top w:val="nil"/>
              <w:left w:val="nil"/>
              <w:bottom w:val="nil"/>
              <w:right w:val="nil"/>
            </w:tcBorders>
            <w:noWrap/>
            <w:vAlign w:val="bottom"/>
            <w:hideMark/>
          </w:tcPr>
          <w:p w14:paraId="472C48B3"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0.0007</w:t>
            </w:r>
          </w:p>
        </w:tc>
        <w:tc>
          <w:tcPr>
            <w:tcW w:w="960" w:type="dxa"/>
            <w:tcBorders>
              <w:top w:val="nil"/>
              <w:left w:val="nil"/>
              <w:bottom w:val="nil"/>
              <w:right w:val="nil"/>
            </w:tcBorders>
            <w:noWrap/>
            <w:vAlign w:val="bottom"/>
            <w:hideMark/>
          </w:tcPr>
          <w:p w14:paraId="08EDCD3A"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1.250</w:t>
            </w:r>
          </w:p>
        </w:tc>
        <w:tc>
          <w:tcPr>
            <w:tcW w:w="960" w:type="dxa"/>
            <w:tcBorders>
              <w:top w:val="nil"/>
              <w:left w:val="nil"/>
              <w:bottom w:val="nil"/>
              <w:right w:val="nil"/>
            </w:tcBorders>
            <w:noWrap/>
            <w:vAlign w:val="bottom"/>
            <w:hideMark/>
          </w:tcPr>
          <w:p w14:paraId="25E6E783"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0.211</w:t>
            </w:r>
          </w:p>
        </w:tc>
      </w:tr>
      <w:tr w:rsidR="00B53349" w:rsidRPr="00724758" w14:paraId="65664488" w14:textId="77777777" w:rsidTr="005E2BA7">
        <w:trPr>
          <w:trHeight w:val="300"/>
        </w:trPr>
        <w:tc>
          <w:tcPr>
            <w:tcW w:w="990" w:type="dxa"/>
            <w:tcBorders>
              <w:top w:val="nil"/>
              <w:left w:val="nil"/>
              <w:bottom w:val="nil"/>
              <w:right w:val="nil"/>
            </w:tcBorders>
            <w:noWrap/>
            <w:vAlign w:val="bottom"/>
            <w:hideMark/>
          </w:tcPr>
          <w:p w14:paraId="5BB1DF41" w14:textId="77777777" w:rsidR="00B53349" w:rsidRPr="00724758" w:rsidRDefault="00B53349" w:rsidP="005E2BA7">
            <w:pPr>
              <w:spacing w:after="0" w:line="240" w:lineRule="auto"/>
              <w:rPr>
                <w:rFonts w:ascii="Times New Roman" w:eastAsia="Times New Roman" w:hAnsi="Times New Roman" w:cs="Times New Roman"/>
              </w:rPr>
            </w:pPr>
            <w:proofErr w:type="spellStart"/>
            <w:r w:rsidRPr="00724758">
              <w:rPr>
                <w:rFonts w:ascii="Times New Roman" w:eastAsia="Times New Roman" w:hAnsi="Times New Roman" w:cs="Times New Roman"/>
              </w:rPr>
              <w:t>fsz_tat</w:t>
            </w:r>
            <w:proofErr w:type="spellEnd"/>
          </w:p>
        </w:tc>
        <w:tc>
          <w:tcPr>
            <w:tcW w:w="1336" w:type="dxa"/>
            <w:tcBorders>
              <w:top w:val="nil"/>
              <w:left w:val="nil"/>
              <w:bottom w:val="nil"/>
              <w:right w:val="nil"/>
            </w:tcBorders>
            <w:noWrap/>
            <w:vAlign w:val="bottom"/>
            <w:hideMark/>
          </w:tcPr>
          <w:p w14:paraId="51CE9A4D"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-0.0024</w:t>
            </w:r>
          </w:p>
        </w:tc>
        <w:tc>
          <w:tcPr>
            <w:tcW w:w="1170" w:type="dxa"/>
            <w:tcBorders>
              <w:top w:val="nil"/>
              <w:left w:val="nil"/>
              <w:bottom w:val="nil"/>
              <w:right w:val="nil"/>
            </w:tcBorders>
            <w:noWrap/>
            <w:vAlign w:val="bottom"/>
            <w:hideMark/>
          </w:tcPr>
          <w:p w14:paraId="7E026611"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0.0026</w:t>
            </w:r>
          </w:p>
        </w:tc>
        <w:tc>
          <w:tcPr>
            <w:tcW w:w="960" w:type="dxa"/>
            <w:tcBorders>
              <w:top w:val="nil"/>
              <w:left w:val="nil"/>
              <w:bottom w:val="nil"/>
              <w:right w:val="nil"/>
            </w:tcBorders>
            <w:noWrap/>
            <w:vAlign w:val="bottom"/>
            <w:hideMark/>
          </w:tcPr>
          <w:p w14:paraId="3D12A22C"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-0.930</w:t>
            </w:r>
          </w:p>
        </w:tc>
        <w:tc>
          <w:tcPr>
            <w:tcW w:w="960" w:type="dxa"/>
            <w:tcBorders>
              <w:top w:val="nil"/>
              <w:left w:val="nil"/>
              <w:bottom w:val="nil"/>
              <w:right w:val="nil"/>
            </w:tcBorders>
            <w:noWrap/>
            <w:vAlign w:val="bottom"/>
            <w:hideMark/>
          </w:tcPr>
          <w:p w14:paraId="0EE43F8A"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0.351</w:t>
            </w:r>
          </w:p>
        </w:tc>
      </w:tr>
      <w:tr w:rsidR="00B53349" w:rsidRPr="00724758" w14:paraId="2485BB54" w14:textId="77777777" w:rsidTr="005E2BA7">
        <w:trPr>
          <w:trHeight w:val="300"/>
        </w:trPr>
        <w:tc>
          <w:tcPr>
            <w:tcW w:w="990" w:type="dxa"/>
            <w:tcBorders>
              <w:top w:val="nil"/>
              <w:left w:val="nil"/>
              <w:bottom w:val="nil"/>
              <w:right w:val="nil"/>
            </w:tcBorders>
            <w:noWrap/>
            <w:vAlign w:val="bottom"/>
            <w:hideMark/>
          </w:tcPr>
          <w:p w14:paraId="1F60067A" w14:textId="77777777" w:rsidR="00B53349" w:rsidRPr="00724758" w:rsidRDefault="00B53349" w:rsidP="005E2BA7">
            <w:pPr>
              <w:spacing w:after="0" w:line="240" w:lineRule="auto"/>
              <w:rPr>
                <w:rFonts w:ascii="Times New Roman" w:eastAsia="Times New Roman" w:hAnsi="Times New Roman" w:cs="Times New Roman"/>
              </w:rPr>
            </w:pPr>
            <w:proofErr w:type="spellStart"/>
            <w:r w:rsidRPr="00724758">
              <w:rPr>
                <w:rFonts w:ascii="Times New Roman" w:eastAsia="Times New Roman" w:hAnsi="Times New Roman" w:cs="Times New Roman"/>
              </w:rPr>
              <w:t>fsz_eps</w:t>
            </w:r>
            <w:proofErr w:type="spellEnd"/>
          </w:p>
        </w:tc>
        <w:tc>
          <w:tcPr>
            <w:tcW w:w="1336" w:type="dxa"/>
            <w:tcBorders>
              <w:top w:val="nil"/>
              <w:left w:val="nil"/>
              <w:bottom w:val="nil"/>
              <w:right w:val="nil"/>
            </w:tcBorders>
            <w:noWrap/>
            <w:vAlign w:val="bottom"/>
            <w:hideMark/>
          </w:tcPr>
          <w:p w14:paraId="41E52D78"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-0.0393</w:t>
            </w:r>
          </w:p>
        </w:tc>
        <w:tc>
          <w:tcPr>
            <w:tcW w:w="1170" w:type="dxa"/>
            <w:tcBorders>
              <w:top w:val="nil"/>
              <w:left w:val="nil"/>
              <w:bottom w:val="nil"/>
              <w:right w:val="nil"/>
            </w:tcBorders>
            <w:noWrap/>
            <w:vAlign w:val="bottom"/>
            <w:hideMark/>
          </w:tcPr>
          <w:p w14:paraId="100E2273"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0.0092</w:t>
            </w:r>
          </w:p>
        </w:tc>
        <w:tc>
          <w:tcPr>
            <w:tcW w:w="960" w:type="dxa"/>
            <w:tcBorders>
              <w:top w:val="nil"/>
              <w:left w:val="nil"/>
              <w:bottom w:val="nil"/>
              <w:right w:val="nil"/>
            </w:tcBorders>
            <w:noWrap/>
            <w:vAlign w:val="bottom"/>
            <w:hideMark/>
          </w:tcPr>
          <w:p w14:paraId="094C3EB1"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-4.270</w:t>
            </w:r>
          </w:p>
        </w:tc>
        <w:tc>
          <w:tcPr>
            <w:tcW w:w="960" w:type="dxa"/>
            <w:tcBorders>
              <w:top w:val="nil"/>
              <w:left w:val="nil"/>
              <w:bottom w:val="nil"/>
              <w:right w:val="nil"/>
            </w:tcBorders>
            <w:noWrap/>
            <w:vAlign w:val="bottom"/>
            <w:hideMark/>
          </w:tcPr>
          <w:p w14:paraId="4D0DC685"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0.000</w:t>
            </w:r>
          </w:p>
        </w:tc>
      </w:tr>
      <w:tr w:rsidR="00B53349" w:rsidRPr="00724758" w14:paraId="10421CD0" w14:textId="77777777" w:rsidTr="005E2BA7">
        <w:trPr>
          <w:trHeight w:val="300"/>
        </w:trPr>
        <w:tc>
          <w:tcPr>
            <w:tcW w:w="990" w:type="dxa"/>
            <w:tcBorders>
              <w:top w:val="nil"/>
              <w:left w:val="nil"/>
              <w:bottom w:val="single" w:sz="4" w:space="0" w:color="auto"/>
              <w:right w:val="nil"/>
            </w:tcBorders>
            <w:noWrap/>
            <w:vAlign w:val="bottom"/>
            <w:hideMark/>
          </w:tcPr>
          <w:p w14:paraId="39704548" w14:textId="77777777" w:rsidR="00B53349" w:rsidRPr="00724758" w:rsidRDefault="00B53349" w:rsidP="005E2BA7">
            <w:pPr>
              <w:spacing w:after="0" w:line="240" w:lineRule="auto"/>
              <w:rPr>
                <w:rFonts w:ascii="Times New Roman" w:eastAsia="Times New Roman" w:hAnsi="Times New Roman" w:cs="Times New Roman"/>
              </w:rPr>
            </w:pPr>
            <w:r w:rsidRPr="00724758">
              <w:rPr>
                <w:rFonts w:ascii="Times New Roman" w:eastAsia="Times New Roman" w:hAnsi="Times New Roman" w:cs="Times New Roman"/>
              </w:rPr>
              <w:t>_cons</w:t>
            </w:r>
          </w:p>
        </w:tc>
        <w:tc>
          <w:tcPr>
            <w:tcW w:w="1336" w:type="dxa"/>
            <w:tcBorders>
              <w:top w:val="nil"/>
              <w:left w:val="nil"/>
              <w:bottom w:val="single" w:sz="4" w:space="0" w:color="auto"/>
              <w:right w:val="nil"/>
            </w:tcBorders>
            <w:noWrap/>
            <w:vAlign w:val="bottom"/>
            <w:hideMark/>
          </w:tcPr>
          <w:p w14:paraId="231EA4BD"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-7.7297</w:t>
            </w:r>
          </w:p>
        </w:tc>
        <w:tc>
          <w:tcPr>
            <w:tcW w:w="1170" w:type="dxa"/>
            <w:tcBorders>
              <w:top w:val="nil"/>
              <w:left w:val="nil"/>
              <w:bottom w:val="single" w:sz="4" w:space="0" w:color="auto"/>
              <w:right w:val="nil"/>
            </w:tcBorders>
            <w:noWrap/>
            <w:vAlign w:val="bottom"/>
            <w:hideMark/>
          </w:tcPr>
          <w:p w14:paraId="69A2A85F"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1.0760</w:t>
            </w:r>
          </w:p>
        </w:tc>
        <w:tc>
          <w:tcPr>
            <w:tcW w:w="960" w:type="dxa"/>
            <w:tcBorders>
              <w:top w:val="nil"/>
              <w:left w:val="nil"/>
              <w:bottom w:val="single" w:sz="4" w:space="0" w:color="auto"/>
              <w:right w:val="nil"/>
            </w:tcBorders>
            <w:noWrap/>
            <w:vAlign w:val="bottom"/>
            <w:hideMark/>
          </w:tcPr>
          <w:p w14:paraId="202229D1"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-7.180</w:t>
            </w:r>
          </w:p>
        </w:tc>
        <w:tc>
          <w:tcPr>
            <w:tcW w:w="960" w:type="dxa"/>
            <w:tcBorders>
              <w:top w:val="nil"/>
              <w:left w:val="nil"/>
              <w:bottom w:val="single" w:sz="4" w:space="0" w:color="auto"/>
              <w:right w:val="nil"/>
            </w:tcBorders>
            <w:noWrap/>
            <w:vAlign w:val="bottom"/>
            <w:hideMark/>
          </w:tcPr>
          <w:p w14:paraId="59AB0094" w14:textId="77777777" w:rsidR="00B53349" w:rsidRPr="00724758" w:rsidRDefault="00B53349" w:rsidP="005E2BA7">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0.000</w:t>
            </w:r>
          </w:p>
        </w:tc>
      </w:tr>
    </w:tbl>
    <w:p w14:paraId="65386E44" w14:textId="51DC8614" w:rsidR="00B53349" w:rsidRPr="00165E36" w:rsidRDefault="00B53349" w:rsidP="00B53349">
      <w:pPr>
        <w:spacing w:after="0" w:line="480" w:lineRule="auto"/>
        <w:jc w:val="both"/>
        <w:rPr>
          <w:rFonts w:ascii="Times New Roman" w:hAnsi="Times New Roman" w:cs="Times New Roman"/>
          <w:b/>
          <w:bCs/>
          <w:sz w:val="24"/>
          <w:szCs w:val="24"/>
        </w:rPr>
      </w:pPr>
      <w:r w:rsidRPr="004939F9">
        <w:rPr>
          <w:rFonts w:ascii="Times New Roman" w:hAnsi="Times New Roman" w:cs="Times New Roman"/>
          <w:sz w:val="20"/>
          <w:szCs w:val="20"/>
        </w:rPr>
        <w:t>Source: Output of STATA 17</w:t>
      </w:r>
      <w:r w:rsidRPr="006746C1">
        <w:rPr>
          <w:rFonts w:ascii="Times New Roman" w:hAnsi="Times New Roman" w:cs="Times New Roman"/>
        </w:rPr>
        <w:tab/>
      </w:r>
      <w:r w:rsidRPr="006746C1">
        <w:rPr>
          <w:rFonts w:ascii="Times New Roman" w:hAnsi="Times New Roman" w:cs="Times New Roman"/>
        </w:rPr>
        <w:tab/>
      </w:r>
    </w:p>
    <w:p w14:paraId="767D19FD" w14:textId="77777777" w:rsidR="00165E36" w:rsidRPr="00165E36" w:rsidRDefault="00165E36" w:rsidP="00165E36">
      <w:pPr>
        <w:spacing w:line="360" w:lineRule="auto"/>
        <w:jc w:val="both"/>
        <w:rPr>
          <w:rFonts w:ascii="Times New Roman" w:hAnsi="Times New Roman" w:cs="Times New Roman"/>
          <w:sz w:val="24"/>
          <w:szCs w:val="24"/>
        </w:rPr>
      </w:pPr>
      <w:r w:rsidRPr="00165E36">
        <w:rPr>
          <w:rFonts w:ascii="Times New Roman" w:hAnsi="Times New Roman" w:cs="Times New Roman"/>
          <w:sz w:val="24"/>
          <w:szCs w:val="24"/>
        </w:rPr>
        <w:t>Liquidity, measured by the Current Ratio (CUR), exhibits a negative but statistically insignificant effect on share price (β = –0.1450, p = 0.512). This suggests that liquidity does not play a decisive role in equity valuation within the sampled firms. The negative sign indicates that excessive liquidity may be interpreted by investors as inefficient capital deployment rather than financial strength, consistent with prior findings in similar contexts.</w:t>
      </w:r>
    </w:p>
    <w:p w14:paraId="385B0136" w14:textId="77777777" w:rsidR="00165E36" w:rsidRPr="00165E36" w:rsidRDefault="00165E36" w:rsidP="00165E36">
      <w:pPr>
        <w:spacing w:line="360" w:lineRule="auto"/>
        <w:jc w:val="both"/>
        <w:rPr>
          <w:rFonts w:ascii="Times New Roman" w:hAnsi="Times New Roman" w:cs="Times New Roman"/>
          <w:sz w:val="24"/>
          <w:szCs w:val="24"/>
        </w:rPr>
      </w:pPr>
      <w:r w:rsidRPr="00165E36">
        <w:rPr>
          <w:rFonts w:ascii="Times New Roman" w:hAnsi="Times New Roman" w:cs="Times New Roman"/>
          <w:sz w:val="24"/>
          <w:szCs w:val="24"/>
        </w:rPr>
        <w:t>The Debt–Equity Ratio (DER) shows a positive but insignificant effect on share price (β = 0.0389, p = 0.493), indicating that leverage does not materially influence valuation in the sampled sectors. This result suggests that investors place greater emphasis on profitability and earnings performance than on capital structure decisions, possibly reflecting the relatively conservative financing practices in Nigerian agribusiness and consumer goods firms.</w:t>
      </w:r>
    </w:p>
    <w:p w14:paraId="164A49AA" w14:textId="77777777" w:rsidR="00165E36" w:rsidRPr="00165E36" w:rsidRDefault="00165E36" w:rsidP="00165E36">
      <w:pPr>
        <w:spacing w:line="360" w:lineRule="auto"/>
        <w:jc w:val="both"/>
        <w:rPr>
          <w:rFonts w:ascii="Times New Roman" w:hAnsi="Times New Roman" w:cs="Times New Roman"/>
          <w:sz w:val="24"/>
          <w:szCs w:val="24"/>
        </w:rPr>
      </w:pPr>
      <w:r w:rsidRPr="00165E36">
        <w:rPr>
          <w:rFonts w:ascii="Times New Roman" w:hAnsi="Times New Roman" w:cs="Times New Roman"/>
          <w:sz w:val="24"/>
          <w:szCs w:val="24"/>
        </w:rPr>
        <w:t xml:space="preserve">Operational efficiency, proxied by Total Assets Turnover (TAT), also exhibits a positive but insignificant relationship with share price (β = 0.0750, p = 0.682). This finding implies that asset </w:t>
      </w:r>
      <w:proofErr w:type="spellStart"/>
      <w:r w:rsidRPr="00165E36">
        <w:rPr>
          <w:rFonts w:ascii="Times New Roman" w:hAnsi="Times New Roman" w:cs="Times New Roman"/>
          <w:sz w:val="24"/>
          <w:szCs w:val="24"/>
        </w:rPr>
        <w:t>utilisation</w:t>
      </w:r>
      <w:proofErr w:type="spellEnd"/>
      <w:r w:rsidRPr="00165E36">
        <w:rPr>
          <w:rFonts w:ascii="Times New Roman" w:hAnsi="Times New Roman" w:cs="Times New Roman"/>
          <w:sz w:val="24"/>
          <w:szCs w:val="24"/>
        </w:rPr>
        <w:t xml:space="preserve"> efficiency is not a primary valuation signal for investors in this context, particularly when profitability and earnings information are available.</w:t>
      </w:r>
    </w:p>
    <w:p w14:paraId="3AF8B874" w14:textId="77777777" w:rsidR="00165E36" w:rsidRPr="00165E36" w:rsidRDefault="00165E36" w:rsidP="00165E36">
      <w:pPr>
        <w:spacing w:line="360" w:lineRule="auto"/>
        <w:jc w:val="both"/>
        <w:rPr>
          <w:rFonts w:ascii="Times New Roman" w:hAnsi="Times New Roman" w:cs="Times New Roman"/>
          <w:sz w:val="24"/>
          <w:szCs w:val="24"/>
        </w:rPr>
      </w:pPr>
      <w:r w:rsidRPr="00165E36">
        <w:rPr>
          <w:rFonts w:ascii="Times New Roman" w:hAnsi="Times New Roman" w:cs="Times New Roman"/>
          <w:sz w:val="24"/>
          <w:szCs w:val="24"/>
        </w:rPr>
        <w:t xml:space="preserve">In contrast, Earnings per Share (EPS) exerts a strong positive and highly significant effect on share price (β = 0.7935, z = 4.41, p &lt; 0.001). This confirms EPS as one of the most influential valuation metrics in Nigeria’s equity market, consistent with clean surplus theory and extensive empirical evidence. Higher EPS directly enhances shareholder value by </w:t>
      </w:r>
      <w:proofErr w:type="spellStart"/>
      <w:r w:rsidRPr="00165E36">
        <w:rPr>
          <w:rFonts w:ascii="Times New Roman" w:hAnsi="Times New Roman" w:cs="Times New Roman"/>
          <w:sz w:val="24"/>
          <w:szCs w:val="24"/>
        </w:rPr>
        <w:t>signalling</w:t>
      </w:r>
      <w:proofErr w:type="spellEnd"/>
      <w:r w:rsidRPr="00165E36">
        <w:rPr>
          <w:rFonts w:ascii="Times New Roman" w:hAnsi="Times New Roman" w:cs="Times New Roman"/>
          <w:sz w:val="24"/>
          <w:szCs w:val="24"/>
        </w:rPr>
        <w:t xml:space="preserve"> stronger earnings capacity and dividend potential.</w:t>
      </w:r>
    </w:p>
    <w:p w14:paraId="72C90EBB" w14:textId="77777777" w:rsidR="00165E36" w:rsidRPr="00165E36" w:rsidRDefault="00165E36" w:rsidP="00165E36">
      <w:pPr>
        <w:spacing w:line="360" w:lineRule="auto"/>
        <w:jc w:val="both"/>
        <w:rPr>
          <w:rFonts w:ascii="Times New Roman" w:hAnsi="Times New Roman" w:cs="Times New Roman"/>
          <w:sz w:val="24"/>
          <w:szCs w:val="24"/>
        </w:rPr>
      </w:pPr>
      <w:r w:rsidRPr="00165E36">
        <w:rPr>
          <w:rFonts w:ascii="Times New Roman" w:hAnsi="Times New Roman" w:cs="Times New Roman"/>
          <w:sz w:val="24"/>
          <w:szCs w:val="24"/>
        </w:rPr>
        <w:lastRenderedPageBreak/>
        <w:t>Firm size (FSZ) itself has a positive and significant direct effect on share price (β = 0.5277, p &lt; 0.001), indicating that larger firms command valuation premiums due to greater visibility, credibility, and perceived stability.</w:t>
      </w:r>
    </w:p>
    <w:p w14:paraId="26471EE9" w14:textId="77777777" w:rsidR="00165E36" w:rsidRPr="00165E36" w:rsidRDefault="00165E36" w:rsidP="00165E36">
      <w:pPr>
        <w:spacing w:line="360" w:lineRule="auto"/>
        <w:jc w:val="both"/>
        <w:rPr>
          <w:rFonts w:ascii="Times New Roman" w:hAnsi="Times New Roman" w:cs="Times New Roman"/>
          <w:sz w:val="24"/>
          <w:szCs w:val="24"/>
        </w:rPr>
      </w:pPr>
      <w:r w:rsidRPr="00165E36">
        <w:rPr>
          <w:rFonts w:ascii="Times New Roman" w:hAnsi="Times New Roman" w:cs="Times New Roman"/>
          <w:sz w:val="24"/>
          <w:szCs w:val="24"/>
        </w:rPr>
        <w:t>Turning to the moderating effects, the interaction between firm size and ROE (FSZ_ROE) is positive but statistically insignificant, suggesting that profitability is priced consistently across firms regardless of size. The interaction between firm size and liquidity (FSZ_CUR) is positive and statistically significant (β = 0.0158, p = 0.012), indicating that liquidity signals are valued more strongly for larger firms, likely due to higher disclosure credibility and lower information asymmetry.</w:t>
      </w:r>
    </w:p>
    <w:p w14:paraId="1179979B" w14:textId="77777777" w:rsidR="00165E36" w:rsidRPr="00165E36" w:rsidRDefault="00165E36" w:rsidP="00165E36">
      <w:pPr>
        <w:spacing w:line="360" w:lineRule="auto"/>
        <w:jc w:val="both"/>
        <w:rPr>
          <w:rFonts w:ascii="Times New Roman" w:hAnsi="Times New Roman" w:cs="Times New Roman"/>
          <w:sz w:val="24"/>
          <w:szCs w:val="24"/>
        </w:rPr>
      </w:pPr>
      <w:r w:rsidRPr="00165E36">
        <w:rPr>
          <w:rFonts w:ascii="Times New Roman" w:hAnsi="Times New Roman" w:cs="Times New Roman"/>
          <w:sz w:val="24"/>
          <w:szCs w:val="24"/>
        </w:rPr>
        <w:t>The interaction between firm size and leverage (FSZ_DER) is insignificant, implying that the valuation impact of leverage does not vary meaningfully across firm sizes. Similarly, the interaction between firm size and asset turnover (FSZ_TAT) is negative but insignificant, indicating no size-dependent pricing of operational efficiency.</w:t>
      </w:r>
    </w:p>
    <w:p w14:paraId="00B9C950" w14:textId="77777777" w:rsidR="00165E36" w:rsidRPr="00165E36" w:rsidRDefault="00165E36" w:rsidP="00165E36">
      <w:pPr>
        <w:spacing w:line="360" w:lineRule="auto"/>
        <w:jc w:val="both"/>
        <w:rPr>
          <w:rFonts w:ascii="Times New Roman" w:hAnsi="Times New Roman" w:cs="Times New Roman"/>
          <w:sz w:val="24"/>
          <w:szCs w:val="24"/>
        </w:rPr>
      </w:pPr>
      <w:r w:rsidRPr="00165E36">
        <w:rPr>
          <w:rFonts w:ascii="Times New Roman" w:hAnsi="Times New Roman" w:cs="Times New Roman"/>
          <w:sz w:val="24"/>
          <w:szCs w:val="24"/>
        </w:rPr>
        <w:t>Notably, the interaction between firm size and earnings per share (FSZ_EPS) is negative and highly significant (β = –0.0393, p &lt; 0.001). This result indicates that the positive effect of EPS on share price is stronger for smaller firms than for larger firms. In larger firms, EPS information is more likely to be anticipated and already embedded in prices due to greater analyst coverage, whereas in smaller firms, EPS growth conveys greater informational novelty and elicits stronger market reactions.</w:t>
      </w:r>
    </w:p>
    <w:p w14:paraId="1A868871" w14:textId="72928C36" w:rsidR="0049016B" w:rsidRPr="00C80F86" w:rsidRDefault="00165E36" w:rsidP="00C80F86">
      <w:pPr>
        <w:spacing w:line="360" w:lineRule="auto"/>
        <w:jc w:val="both"/>
        <w:rPr>
          <w:rFonts w:ascii="Times New Roman" w:hAnsi="Times New Roman" w:cs="Times New Roman"/>
          <w:sz w:val="24"/>
          <w:szCs w:val="24"/>
        </w:rPr>
      </w:pPr>
      <w:r w:rsidRPr="00165E36">
        <w:rPr>
          <w:rFonts w:ascii="Times New Roman" w:hAnsi="Times New Roman" w:cs="Times New Roman"/>
          <w:sz w:val="24"/>
          <w:szCs w:val="24"/>
        </w:rPr>
        <w:t>Overall, the results provide robust evidence that profitability and earnings are the primary drivers of share prices in Nigeria’s agriculture and consumer goods sectors, while liquidity, leverage, and efficiency play secondary roles. Firm size emerges as a critical conditioning factor, amplifying some valuation effects while attenuating others, thereby highlighting the importance of accounting for firm heterogeneity in emerging market valuation studies</w:t>
      </w:r>
      <w:r w:rsidR="00124FAD" w:rsidRPr="00124FAD">
        <w:rPr>
          <w:rFonts w:ascii="Times New Roman" w:hAnsi="Times New Roman" w:cs="Times New Roman"/>
          <w:sz w:val="24"/>
          <w:szCs w:val="24"/>
        </w:rPr>
        <w:t>.</w:t>
      </w:r>
    </w:p>
    <w:p w14:paraId="3CCFD0F0" w14:textId="0F7BC6CE" w:rsidR="001212E8" w:rsidRPr="00C80F86" w:rsidRDefault="0064164D" w:rsidP="005E4EDE">
      <w:pPr>
        <w:pStyle w:val="Heading1"/>
        <w:rPr>
          <w:rFonts w:asciiTheme="majorBidi" w:hAnsiTheme="majorBidi"/>
          <w:b/>
          <w:bCs/>
          <w:color w:val="auto"/>
          <w:sz w:val="24"/>
          <w:szCs w:val="24"/>
        </w:rPr>
      </w:pPr>
      <w:r w:rsidRPr="00C80F86">
        <w:rPr>
          <w:rFonts w:asciiTheme="majorBidi" w:hAnsiTheme="majorBidi"/>
          <w:b/>
          <w:bCs/>
          <w:color w:val="auto"/>
          <w:sz w:val="24"/>
          <w:szCs w:val="24"/>
        </w:rPr>
        <w:t>5.0</w:t>
      </w:r>
      <w:r w:rsidRPr="00C80F86">
        <w:rPr>
          <w:rFonts w:asciiTheme="majorBidi" w:hAnsiTheme="majorBidi"/>
          <w:b/>
          <w:bCs/>
          <w:color w:val="auto"/>
          <w:sz w:val="24"/>
          <w:szCs w:val="24"/>
        </w:rPr>
        <w:tab/>
        <w:t>Conclusion and Recommendation</w:t>
      </w:r>
      <w:r w:rsidR="007933E2" w:rsidRPr="00C80F86">
        <w:rPr>
          <w:rFonts w:asciiTheme="majorBidi" w:hAnsiTheme="majorBidi"/>
          <w:b/>
          <w:bCs/>
          <w:color w:val="auto"/>
          <w:sz w:val="24"/>
          <w:szCs w:val="24"/>
        </w:rPr>
        <w:t>s</w:t>
      </w:r>
    </w:p>
    <w:p w14:paraId="60559FF8" w14:textId="77777777" w:rsidR="005D3088" w:rsidRPr="005D3088" w:rsidRDefault="005D3088" w:rsidP="005D3088">
      <w:pPr>
        <w:spacing w:line="360" w:lineRule="auto"/>
        <w:jc w:val="both"/>
        <w:rPr>
          <w:rFonts w:ascii="Times New Roman" w:hAnsi="Times New Roman" w:cs="Times New Roman"/>
          <w:sz w:val="24"/>
          <w:szCs w:val="24"/>
        </w:rPr>
      </w:pPr>
      <w:r w:rsidRPr="005D3088">
        <w:rPr>
          <w:rFonts w:ascii="Times New Roman" w:hAnsi="Times New Roman" w:cs="Times New Roman"/>
          <w:sz w:val="24"/>
          <w:szCs w:val="24"/>
        </w:rPr>
        <w:t xml:space="preserve">This study investigated the moderating role of firm size in the relationship between firm-level financial metrics and share prices of listed agriculture and consumer goods firms in Nigeria, using a twelve-year panel dataset and a </w:t>
      </w:r>
      <w:proofErr w:type="spellStart"/>
      <w:r w:rsidRPr="005D3088">
        <w:rPr>
          <w:rFonts w:ascii="Times New Roman" w:hAnsi="Times New Roman" w:cs="Times New Roman"/>
          <w:sz w:val="24"/>
          <w:szCs w:val="24"/>
        </w:rPr>
        <w:t>generalised</w:t>
      </w:r>
      <w:proofErr w:type="spellEnd"/>
      <w:r w:rsidRPr="005D3088">
        <w:rPr>
          <w:rFonts w:ascii="Times New Roman" w:hAnsi="Times New Roman" w:cs="Times New Roman"/>
          <w:sz w:val="24"/>
          <w:szCs w:val="24"/>
        </w:rPr>
        <w:t xml:space="preserve"> least squares estimation framework. Drawing on clean surplus valuation theory, </w:t>
      </w:r>
      <w:proofErr w:type="spellStart"/>
      <w:r w:rsidRPr="005D3088">
        <w:rPr>
          <w:rFonts w:ascii="Times New Roman" w:hAnsi="Times New Roman" w:cs="Times New Roman"/>
          <w:sz w:val="24"/>
          <w:szCs w:val="24"/>
        </w:rPr>
        <w:t>signalling</w:t>
      </w:r>
      <w:proofErr w:type="spellEnd"/>
      <w:r w:rsidRPr="005D3088">
        <w:rPr>
          <w:rFonts w:ascii="Times New Roman" w:hAnsi="Times New Roman" w:cs="Times New Roman"/>
          <w:sz w:val="24"/>
          <w:szCs w:val="24"/>
        </w:rPr>
        <w:t xml:space="preserve"> theory, and information asymmetry arguments, the study examined profitability, liquidity, leverage, operational efficiency, and earnings performance as key valuation signals within the Nigerian equity market.</w:t>
      </w:r>
    </w:p>
    <w:p w14:paraId="4FE6D000" w14:textId="77777777" w:rsidR="005D3088" w:rsidRPr="005D3088" w:rsidRDefault="005D3088" w:rsidP="005D3088">
      <w:pPr>
        <w:spacing w:line="360" w:lineRule="auto"/>
        <w:jc w:val="both"/>
        <w:rPr>
          <w:rFonts w:ascii="Times New Roman" w:hAnsi="Times New Roman" w:cs="Times New Roman"/>
          <w:sz w:val="24"/>
          <w:szCs w:val="24"/>
        </w:rPr>
      </w:pPr>
      <w:r w:rsidRPr="005D3088">
        <w:rPr>
          <w:rFonts w:ascii="Times New Roman" w:hAnsi="Times New Roman" w:cs="Times New Roman"/>
          <w:sz w:val="24"/>
          <w:szCs w:val="24"/>
        </w:rPr>
        <w:lastRenderedPageBreak/>
        <w:t>The empirical evidence shows that return on equity, earnings per share, and firm size exert statistically significant positive effects on share prices, while current ratio, debt–equity ratio, and total assets turnover display no direct significant valuation effects. These findings indicate that market participants in Nigeria’s agriculture and consumer goods sectors primarily price earnings-based performance and scale-related information, rather than balance-sheet structure or operational efficiency metrics. More importantly, the moderation analysis reveals that firm size conditions the valuation relevance of financial metrics in a non-uniform manner. Firm size significantly strengthens the valuation effect of liquidity, suggesting that liquidity signals are more credible and value-enhancing for larger firms, while it weakens the impact of earnings per share, implying that earnings surprises carry greater informational content for smaller firms. In contrast, firm size does not materially alter the valuation effects of leverage or asset turnover.</w:t>
      </w:r>
    </w:p>
    <w:p w14:paraId="64C660D9" w14:textId="77777777" w:rsidR="005D3088" w:rsidRPr="005D3088" w:rsidRDefault="005D3088" w:rsidP="005D3088">
      <w:pPr>
        <w:spacing w:line="360" w:lineRule="auto"/>
        <w:jc w:val="both"/>
        <w:rPr>
          <w:rFonts w:ascii="Times New Roman" w:hAnsi="Times New Roman" w:cs="Times New Roman"/>
          <w:sz w:val="24"/>
          <w:szCs w:val="24"/>
        </w:rPr>
      </w:pPr>
      <w:r w:rsidRPr="005D3088">
        <w:rPr>
          <w:rFonts w:ascii="Times New Roman" w:hAnsi="Times New Roman" w:cs="Times New Roman"/>
          <w:sz w:val="24"/>
          <w:szCs w:val="24"/>
        </w:rPr>
        <w:t>From an interpretive standpoint, these results suggest that the Nigerian equity market does not price financial information homogeneously across firms. Instead, valuation responses reflect firm size–dependent information asymmetry, where larger firms benefit from credibility and visibility but face diminished marginal information effects, while smaller firms experience stronger price reactions to earnings signals. This pattern is consistent with semi-strong market efficiency operating under institutional and informational constraints typical of emerging markets.</w:t>
      </w:r>
    </w:p>
    <w:p w14:paraId="297E3E4C" w14:textId="77777777" w:rsidR="005D3088" w:rsidRPr="005D3088" w:rsidRDefault="005D3088" w:rsidP="005D3088">
      <w:pPr>
        <w:spacing w:line="360" w:lineRule="auto"/>
        <w:jc w:val="both"/>
        <w:rPr>
          <w:rFonts w:ascii="Times New Roman" w:hAnsi="Times New Roman" w:cs="Times New Roman"/>
          <w:sz w:val="24"/>
          <w:szCs w:val="24"/>
        </w:rPr>
      </w:pPr>
      <w:r w:rsidRPr="005D3088">
        <w:rPr>
          <w:rFonts w:ascii="Times New Roman" w:hAnsi="Times New Roman" w:cs="Times New Roman"/>
          <w:sz w:val="24"/>
          <w:szCs w:val="24"/>
        </w:rPr>
        <w:t>The study makes a distinct contribution to the literature by providing one of the first pieces of empirical evidence on heterogeneous firm size moderation in the financial metrics–share price nexus within Nigeria’s agribusiness and consumer goods sectors. Unlike prior studies that focus on direct mean effects, this research demonstrates that firm size does not merely influence valuation directly but systematically reshapes how accounting signals are priced. By integrating interaction-based valuation analysis into an emerging market setting, the study advances understanding of how informational frictions condition capital market outcomes.</w:t>
      </w:r>
    </w:p>
    <w:p w14:paraId="6B28BECD" w14:textId="77777777" w:rsidR="005D3088" w:rsidRPr="005D3088" w:rsidRDefault="005D3088" w:rsidP="005D3088">
      <w:pPr>
        <w:spacing w:line="360" w:lineRule="auto"/>
        <w:jc w:val="both"/>
        <w:rPr>
          <w:rFonts w:ascii="Times New Roman" w:hAnsi="Times New Roman" w:cs="Times New Roman"/>
          <w:sz w:val="24"/>
          <w:szCs w:val="24"/>
        </w:rPr>
      </w:pPr>
      <w:r w:rsidRPr="005D3088">
        <w:rPr>
          <w:rFonts w:ascii="Times New Roman" w:hAnsi="Times New Roman" w:cs="Times New Roman"/>
          <w:sz w:val="24"/>
          <w:szCs w:val="24"/>
        </w:rPr>
        <w:t xml:space="preserve">Notwithstanding these contributions, the study is subject to certain limitations that warrant cautious interpretation of the findings. First, the analysis focuses exclusively on listed agriculture and consumer goods firms, which may limit the </w:t>
      </w:r>
      <w:proofErr w:type="spellStart"/>
      <w:r w:rsidRPr="005D3088">
        <w:rPr>
          <w:rFonts w:ascii="Times New Roman" w:hAnsi="Times New Roman" w:cs="Times New Roman"/>
          <w:sz w:val="24"/>
          <w:szCs w:val="24"/>
        </w:rPr>
        <w:t>generalisability</w:t>
      </w:r>
      <w:proofErr w:type="spellEnd"/>
      <w:r w:rsidRPr="005D3088">
        <w:rPr>
          <w:rFonts w:ascii="Times New Roman" w:hAnsi="Times New Roman" w:cs="Times New Roman"/>
          <w:sz w:val="24"/>
          <w:szCs w:val="24"/>
        </w:rPr>
        <w:t xml:space="preserve"> of the results to other sectors of the Nigerian economy. Second, the use of annual data may obscure short-term market reactions to financial disclosures. Third, while macroeconomic controls were included, unobserved institutional or </w:t>
      </w:r>
      <w:proofErr w:type="spellStart"/>
      <w:r w:rsidRPr="005D3088">
        <w:rPr>
          <w:rFonts w:ascii="Times New Roman" w:hAnsi="Times New Roman" w:cs="Times New Roman"/>
          <w:sz w:val="24"/>
          <w:szCs w:val="24"/>
        </w:rPr>
        <w:t>behavioural</w:t>
      </w:r>
      <w:proofErr w:type="spellEnd"/>
      <w:r w:rsidRPr="005D3088">
        <w:rPr>
          <w:rFonts w:ascii="Times New Roman" w:hAnsi="Times New Roman" w:cs="Times New Roman"/>
          <w:sz w:val="24"/>
          <w:szCs w:val="24"/>
        </w:rPr>
        <w:t xml:space="preserve"> factors may still influence share price dynamics. These limitations, however, do not undermine the internal validity of the findings but rather delineate their scope.</w:t>
      </w:r>
    </w:p>
    <w:p w14:paraId="152CAC78" w14:textId="77777777" w:rsidR="005D3088" w:rsidRPr="005D3088" w:rsidRDefault="005D3088" w:rsidP="005D3088">
      <w:pPr>
        <w:spacing w:line="360" w:lineRule="auto"/>
        <w:jc w:val="both"/>
        <w:rPr>
          <w:rFonts w:ascii="Times New Roman" w:hAnsi="Times New Roman" w:cs="Times New Roman"/>
          <w:sz w:val="24"/>
          <w:szCs w:val="24"/>
        </w:rPr>
      </w:pPr>
      <w:r w:rsidRPr="005D3088">
        <w:rPr>
          <w:rFonts w:ascii="Times New Roman" w:hAnsi="Times New Roman" w:cs="Times New Roman"/>
          <w:sz w:val="24"/>
          <w:szCs w:val="24"/>
        </w:rPr>
        <w:lastRenderedPageBreak/>
        <w:t xml:space="preserve">Based on the empirical evidence, several policy and practical recommendations emerge. Regulators, particularly the Securities and Exchange Commission, should strengthen disclosure requirements around key valuation-relevant metrics such as return on equity, earnings per share, and liquidity indicators, while enforcing consistent reporting standards to reduce information asymmetry. Enhanced transparency in these areas would improve price discovery, deepen investor confidence, and support capital </w:t>
      </w:r>
      <w:proofErr w:type="spellStart"/>
      <w:r w:rsidRPr="005D3088">
        <w:rPr>
          <w:rFonts w:ascii="Times New Roman" w:hAnsi="Times New Roman" w:cs="Times New Roman"/>
          <w:sz w:val="24"/>
          <w:szCs w:val="24"/>
        </w:rPr>
        <w:t>mobilisation</w:t>
      </w:r>
      <w:proofErr w:type="spellEnd"/>
      <w:r w:rsidRPr="005D3088">
        <w:rPr>
          <w:rFonts w:ascii="Times New Roman" w:hAnsi="Times New Roman" w:cs="Times New Roman"/>
          <w:sz w:val="24"/>
          <w:szCs w:val="24"/>
        </w:rPr>
        <w:t xml:space="preserve"> into Nigeria’s agribusiness and consumer goods sectors, with broader implications for food security, inflation management, and economic growth. For investors and portfolio managers, the findings underscore the importance of firm size–contingent investment strategies. Liquidity signals are more informative in large firms, while earnings performance offers stronger capital appreciation potential in smaller firms. Portfolio diversification across firm sizes can therefore improve risk-adjusted returns by balancing growth opportunities against informational stability.</w:t>
      </w:r>
    </w:p>
    <w:p w14:paraId="5E7BFDC5" w14:textId="452941BC" w:rsidR="008564AC" w:rsidRDefault="005D3088" w:rsidP="00DD2405">
      <w:pPr>
        <w:spacing w:line="360" w:lineRule="auto"/>
        <w:jc w:val="both"/>
        <w:rPr>
          <w:rFonts w:ascii="Times New Roman" w:hAnsi="Times New Roman" w:cs="Times New Roman"/>
          <w:sz w:val="24"/>
          <w:szCs w:val="24"/>
        </w:rPr>
      </w:pPr>
      <w:r w:rsidRPr="005D3088">
        <w:rPr>
          <w:rFonts w:ascii="Times New Roman" w:hAnsi="Times New Roman" w:cs="Times New Roman"/>
          <w:sz w:val="24"/>
          <w:szCs w:val="24"/>
        </w:rPr>
        <w:t xml:space="preserve">Future research may extend this study by incorporating additional sectors, higher-frequency data, alternative valuation proxies, or </w:t>
      </w:r>
      <w:proofErr w:type="spellStart"/>
      <w:r w:rsidRPr="005D3088">
        <w:rPr>
          <w:rFonts w:ascii="Times New Roman" w:hAnsi="Times New Roman" w:cs="Times New Roman"/>
          <w:sz w:val="24"/>
          <w:szCs w:val="24"/>
        </w:rPr>
        <w:t>behavioural</w:t>
      </w:r>
      <w:proofErr w:type="spellEnd"/>
      <w:r w:rsidRPr="005D3088">
        <w:rPr>
          <w:rFonts w:ascii="Times New Roman" w:hAnsi="Times New Roman" w:cs="Times New Roman"/>
          <w:sz w:val="24"/>
          <w:szCs w:val="24"/>
        </w:rPr>
        <w:t xml:space="preserve"> variables to further unpack the mechanisms through which firm characteristics shape market valuation in emerging economies</w:t>
      </w:r>
      <w:r w:rsidR="008564AC" w:rsidRPr="00DD2405">
        <w:rPr>
          <w:rFonts w:ascii="Times New Roman" w:hAnsi="Times New Roman" w:cs="Times New Roman"/>
          <w:sz w:val="24"/>
          <w:szCs w:val="24"/>
        </w:rPr>
        <w:t>.</w:t>
      </w:r>
    </w:p>
    <w:p w14:paraId="1AD60465" w14:textId="77777777" w:rsidR="00031D72" w:rsidRPr="00DD2405" w:rsidRDefault="00031D72" w:rsidP="00DD2405">
      <w:pPr>
        <w:spacing w:line="360" w:lineRule="auto"/>
        <w:jc w:val="both"/>
        <w:rPr>
          <w:rFonts w:ascii="Times New Roman" w:hAnsi="Times New Roman" w:cs="Times New Roman"/>
          <w:sz w:val="24"/>
          <w:szCs w:val="24"/>
        </w:rPr>
      </w:pPr>
    </w:p>
    <w:p w14:paraId="2F4FF78E" w14:textId="77777777" w:rsidR="00380E1D" w:rsidRPr="00031D72" w:rsidRDefault="00380E1D" w:rsidP="00380E1D">
      <w:pPr>
        <w:rPr>
          <w:b/>
          <w:bCs/>
          <w:highlight w:val="yellow"/>
        </w:rPr>
      </w:pPr>
      <w:r w:rsidRPr="00031D72">
        <w:rPr>
          <w:b/>
          <w:bCs/>
          <w:highlight w:val="yellow"/>
        </w:rPr>
        <w:t>Disclaimer (Artificial intelligence)</w:t>
      </w:r>
    </w:p>
    <w:p w14:paraId="5D2BEB4C" w14:textId="23F4ED88" w:rsidR="00380E1D" w:rsidRPr="00740879" w:rsidRDefault="00031D72" w:rsidP="00031D72">
      <w:pPr>
        <w:jc w:val="both"/>
        <w:rPr>
          <w:highlight w:val="yellow"/>
        </w:rPr>
      </w:pPr>
      <w:r w:rsidRPr="00031D72">
        <w:rPr>
          <w:rFonts w:asciiTheme="majorBidi" w:hAnsiTheme="majorBidi" w:cstheme="majorBidi"/>
          <w:sz w:val="24"/>
          <w:szCs w:val="24"/>
          <w:highlight w:val="yellow"/>
        </w:rPr>
        <w:t xml:space="preserve">The author(s) hereby declare that generative artificial intelligence technology was </w:t>
      </w:r>
      <w:proofErr w:type="spellStart"/>
      <w:r w:rsidRPr="00031D72">
        <w:rPr>
          <w:rFonts w:asciiTheme="majorBidi" w:hAnsiTheme="majorBidi" w:cstheme="majorBidi"/>
          <w:sz w:val="24"/>
          <w:szCs w:val="24"/>
          <w:highlight w:val="yellow"/>
        </w:rPr>
        <w:t>utilised</w:t>
      </w:r>
      <w:proofErr w:type="spellEnd"/>
      <w:r w:rsidRPr="00031D72">
        <w:rPr>
          <w:rFonts w:asciiTheme="majorBidi" w:hAnsiTheme="majorBidi" w:cstheme="majorBidi"/>
          <w:sz w:val="24"/>
          <w:szCs w:val="24"/>
          <w:highlight w:val="yellow"/>
        </w:rPr>
        <w:t xml:space="preserve"> solely to support language editing, formatting, and clarity during manuscript preparation. Specifically, ChatGPT was used to refine grammar, enhance academic tone, and assist with citation structuring. Content validity, data analysis, interpretation of findings, and all intellectual contributions remain entirely and fully the responsibility of the author(s). No AI tool contributed to the development of the study’s theoretical foundations, empirical design, results, or conclusions</w:t>
      </w:r>
      <w:r w:rsidRPr="00031D72">
        <w:rPr>
          <w:highlight w:val="yellow"/>
        </w:rPr>
        <w:t>.</w:t>
      </w:r>
    </w:p>
    <w:p w14:paraId="16C2A506" w14:textId="77777777" w:rsidR="001D6CBC" w:rsidRDefault="001D6CBC" w:rsidP="004420E6">
      <w:pPr>
        <w:spacing w:line="360" w:lineRule="auto"/>
        <w:jc w:val="both"/>
        <w:rPr>
          <w:rFonts w:ascii="Times New Roman" w:hAnsi="Times New Roman" w:cs="Times New Roman"/>
          <w:sz w:val="24"/>
          <w:szCs w:val="24"/>
        </w:rPr>
      </w:pPr>
    </w:p>
    <w:p w14:paraId="13F9FC4B" w14:textId="77777777" w:rsidR="00824E4A" w:rsidRDefault="00824E4A" w:rsidP="00824E4A">
      <w:pPr>
        <w:pStyle w:val="Heading1"/>
        <w:rPr>
          <w:rFonts w:asciiTheme="majorBidi" w:hAnsiTheme="majorBidi"/>
          <w:b/>
          <w:bCs/>
          <w:color w:val="auto"/>
          <w:sz w:val="24"/>
          <w:szCs w:val="24"/>
        </w:rPr>
      </w:pPr>
      <w:r>
        <w:rPr>
          <w:rFonts w:asciiTheme="majorBidi" w:hAnsiTheme="majorBidi"/>
          <w:b/>
          <w:bCs/>
          <w:color w:val="auto"/>
          <w:sz w:val="24"/>
          <w:szCs w:val="24"/>
        </w:rPr>
        <w:t>References</w:t>
      </w:r>
    </w:p>
    <w:p w14:paraId="78508868"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 xml:space="preserve">Abel, S., Henry, M., </w:t>
      </w:r>
      <w:proofErr w:type="spellStart"/>
      <w:r w:rsidRPr="005E2BA7">
        <w:rPr>
          <w:rFonts w:ascii="Times New Roman" w:hAnsi="Times New Roman" w:cs="Times New Roman"/>
          <w:sz w:val="24"/>
          <w:szCs w:val="24"/>
        </w:rPr>
        <w:t>Mokumako</w:t>
      </w:r>
      <w:proofErr w:type="spellEnd"/>
      <w:r w:rsidRPr="005E2BA7">
        <w:rPr>
          <w:rFonts w:ascii="Times New Roman" w:hAnsi="Times New Roman" w:cs="Times New Roman"/>
          <w:sz w:val="24"/>
          <w:szCs w:val="24"/>
        </w:rPr>
        <w:t xml:space="preserve">, T., Mukarati, J., &amp; Roux, P. L. (2024). Determinants of Share Prices of Agriculture Listed Firms. International Journal of Economics and Financial Issues, 14(4), 106-110. </w:t>
      </w:r>
      <w:hyperlink r:id="rId9" w:history="1">
        <w:r w:rsidRPr="005E2BA7">
          <w:rPr>
            <w:rStyle w:val="Hyperlink"/>
            <w:rFonts w:ascii="Times New Roman" w:hAnsi="Times New Roman" w:cs="Times New Roman"/>
            <w:sz w:val="24"/>
            <w:szCs w:val="24"/>
          </w:rPr>
          <w:t>https://doi.org/10.32479/ijefi.16062</w:t>
        </w:r>
      </w:hyperlink>
    </w:p>
    <w:p w14:paraId="448E02B4"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lang w:val="en-GB"/>
        </w:rPr>
      </w:pPr>
      <w:r w:rsidRPr="005E2BA7">
        <w:rPr>
          <w:rFonts w:ascii="Times New Roman" w:hAnsi="Times New Roman" w:cs="Times New Roman"/>
          <w:sz w:val="24"/>
          <w:szCs w:val="24"/>
        </w:rPr>
        <w:t>Akbar, T. (2023). The role of firm size in moderating the relationship between profitability and share prices of food and beverage companies. *</w:t>
      </w:r>
      <w:proofErr w:type="spellStart"/>
      <w:r w:rsidRPr="005E2BA7">
        <w:rPr>
          <w:rFonts w:ascii="Times New Roman" w:hAnsi="Times New Roman" w:cs="Times New Roman"/>
          <w:sz w:val="24"/>
          <w:szCs w:val="24"/>
        </w:rPr>
        <w:t>Ilomata</w:t>
      </w:r>
      <w:proofErr w:type="spellEnd"/>
      <w:r w:rsidRPr="005E2BA7">
        <w:rPr>
          <w:rFonts w:ascii="Times New Roman" w:hAnsi="Times New Roman" w:cs="Times New Roman"/>
          <w:sz w:val="24"/>
          <w:szCs w:val="24"/>
        </w:rPr>
        <w:t xml:space="preserve"> International Journal of Tax and Accounting*, *4*(1), 1-13. </w:t>
      </w:r>
      <w:hyperlink r:id="rId10" w:history="1">
        <w:r w:rsidRPr="005E2BA7">
          <w:rPr>
            <w:rStyle w:val="Hyperlink"/>
            <w:rFonts w:ascii="Times New Roman" w:hAnsi="Times New Roman" w:cs="Times New Roman"/>
            <w:sz w:val="24"/>
            <w:szCs w:val="24"/>
            <w:lang w:val="en-GB"/>
          </w:rPr>
          <w:t>https://doi.org/10.52728/ijtc.v4i1.594</w:t>
        </w:r>
      </w:hyperlink>
    </w:p>
    <w:p w14:paraId="170A9639"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lang w:val="en-IN"/>
        </w:rPr>
      </w:pPr>
      <w:r w:rsidRPr="005E2BA7">
        <w:rPr>
          <w:rFonts w:ascii="Times New Roman" w:hAnsi="Times New Roman" w:cs="Times New Roman"/>
          <w:sz w:val="24"/>
          <w:szCs w:val="24"/>
          <w:lang w:val="en-IN"/>
        </w:rPr>
        <w:t xml:space="preserve">Angrist, J. D., &amp; Pischke, J. S. (2009). Mostly harmless econometrics: An empiricist's companion. Princeton University Press. </w:t>
      </w:r>
      <w:hyperlink r:id="rId11" w:history="1">
        <w:r w:rsidRPr="005E2BA7">
          <w:rPr>
            <w:rStyle w:val="Hyperlink"/>
            <w:rFonts w:ascii="Times New Roman" w:hAnsi="Times New Roman" w:cs="Times New Roman"/>
            <w:sz w:val="24"/>
            <w:szCs w:val="24"/>
            <w:lang w:val="en-IN"/>
          </w:rPr>
          <w:t>https://doi.org/10.2307/j.ctvcm4j72</w:t>
        </w:r>
      </w:hyperlink>
    </w:p>
    <w:p w14:paraId="0C31D297"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lang w:val="pt-BR"/>
        </w:rPr>
      </w:pPr>
      <w:r w:rsidRPr="005E2BA7">
        <w:rPr>
          <w:rFonts w:ascii="Times New Roman" w:hAnsi="Times New Roman" w:cs="Times New Roman"/>
          <w:sz w:val="24"/>
          <w:szCs w:val="24"/>
        </w:rPr>
        <w:t xml:space="preserve">Amril, E., </w:t>
      </w:r>
      <w:proofErr w:type="spellStart"/>
      <w:r w:rsidRPr="005E2BA7">
        <w:rPr>
          <w:rFonts w:ascii="Times New Roman" w:hAnsi="Times New Roman" w:cs="Times New Roman"/>
          <w:sz w:val="24"/>
          <w:szCs w:val="24"/>
        </w:rPr>
        <w:t>Sukraini</w:t>
      </w:r>
      <w:proofErr w:type="spellEnd"/>
      <w:r w:rsidRPr="005E2BA7">
        <w:rPr>
          <w:rFonts w:ascii="Times New Roman" w:hAnsi="Times New Roman" w:cs="Times New Roman"/>
          <w:sz w:val="24"/>
          <w:szCs w:val="24"/>
        </w:rPr>
        <w:t xml:space="preserve">, J., &amp; </w:t>
      </w:r>
      <w:proofErr w:type="spellStart"/>
      <w:r w:rsidRPr="005E2BA7">
        <w:rPr>
          <w:rFonts w:ascii="Times New Roman" w:hAnsi="Times New Roman" w:cs="Times New Roman"/>
          <w:sz w:val="24"/>
          <w:szCs w:val="24"/>
        </w:rPr>
        <w:t>Defitri</w:t>
      </w:r>
      <w:proofErr w:type="spellEnd"/>
      <w:r w:rsidRPr="005E2BA7">
        <w:rPr>
          <w:rFonts w:ascii="Times New Roman" w:hAnsi="Times New Roman" w:cs="Times New Roman"/>
          <w:sz w:val="24"/>
          <w:szCs w:val="24"/>
        </w:rPr>
        <w:t xml:space="preserve">, S.Y. (2024). Determination of Share Prices in Automotive Manufacturing Companies. </w:t>
      </w:r>
      <w:proofErr w:type="spellStart"/>
      <w:r w:rsidRPr="005E2BA7">
        <w:rPr>
          <w:rFonts w:ascii="Times New Roman" w:hAnsi="Times New Roman" w:cs="Times New Roman"/>
          <w:sz w:val="24"/>
          <w:szCs w:val="24"/>
        </w:rPr>
        <w:t>Jurnal</w:t>
      </w:r>
      <w:proofErr w:type="spellEnd"/>
      <w:r w:rsidRPr="005E2BA7">
        <w:rPr>
          <w:rFonts w:ascii="Times New Roman" w:hAnsi="Times New Roman" w:cs="Times New Roman"/>
          <w:sz w:val="24"/>
          <w:szCs w:val="24"/>
        </w:rPr>
        <w:t xml:space="preserve"> </w:t>
      </w:r>
      <w:proofErr w:type="spellStart"/>
      <w:r w:rsidRPr="005E2BA7">
        <w:rPr>
          <w:rFonts w:ascii="Times New Roman" w:hAnsi="Times New Roman" w:cs="Times New Roman"/>
          <w:sz w:val="24"/>
          <w:szCs w:val="24"/>
        </w:rPr>
        <w:t>Ilmiah</w:t>
      </w:r>
      <w:proofErr w:type="spellEnd"/>
      <w:r w:rsidRPr="005E2BA7">
        <w:rPr>
          <w:rFonts w:ascii="Times New Roman" w:hAnsi="Times New Roman" w:cs="Times New Roman"/>
          <w:sz w:val="24"/>
          <w:szCs w:val="24"/>
        </w:rPr>
        <w:t xml:space="preserve"> </w:t>
      </w:r>
      <w:proofErr w:type="spellStart"/>
      <w:r w:rsidRPr="005E2BA7">
        <w:rPr>
          <w:rFonts w:ascii="Times New Roman" w:hAnsi="Times New Roman" w:cs="Times New Roman"/>
          <w:sz w:val="24"/>
          <w:szCs w:val="24"/>
        </w:rPr>
        <w:t>Akuntansi</w:t>
      </w:r>
      <w:proofErr w:type="spellEnd"/>
      <w:r w:rsidRPr="005E2BA7">
        <w:rPr>
          <w:rFonts w:ascii="Times New Roman" w:hAnsi="Times New Roman" w:cs="Times New Roman"/>
          <w:sz w:val="24"/>
          <w:szCs w:val="24"/>
        </w:rPr>
        <w:t xml:space="preserve"> </w:t>
      </w:r>
      <w:proofErr w:type="spellStart"/>
      <w:r w:rsidRPr="005E2BA7">
        <w:rPr>
          <w:rFonts w:ascii="Times New Roman" w:hAnsi="Times New Roman" w:cs="Times New Roman"/>
          <w:sz w:val="24"/>
          <w:szCs w:val="24"/>
        </w:rPr>
        <w:t>Kesatuan</w:t>
      </w:r>
      <w:proofErr w:type="spellEnd"/>
      <w:r w:rsidRPr="005E2BA7">
        <w:rPr>
          <w:rFonts w:ascii="Times New Roman" w:hAnsi="Times New Roman" w:cs="Times New Roman"/>
          <w:sz w:val="24"/>
          <w:szCs w:val="24"/>
        </w:rPr>
        <w:t xml:space="preserve">. 12(1), 179-187. </w:t>
      </w:r>
      <w:hyperlink r:id="rId12" w:history="1">
        <w:r w:rsidRPr="005E2BA7">
          <w:rPr>
            <w:rStyle w:val="Hyperlink"/>
            <w:rFonts w:ascii="Times New Roman" w:hAnsi="Times New Roman" w:cs="Times New Roman"/>
            <w:sz w:val="24"/>
            <w:szCs w:val="24"/>
            <w:lang w:val="pt-BR"/>
          </w:rPr>
          <w:t>https://doi.org/10.37641/jiakes.v12i1.2469</w:t>
        </w:r>
      </w:hyperlink>
    </w:p>
    <w:p w14:paraId="6E68A213"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lang w:val="en-GB"/>
        </w:rPr>
      </w:pPr>
      <w:r w:rsidRPr="005E2BA7">
        <w:rPr>
          <w:rFonts w:ascii="Times New Roman" w:hAnsi="Times New Roman" w:cs="Times New Roman"/>
          <w:sz w:val="24"/>
          <w:szCs w:val="24"/>
          <w:lang w:val="en-IN"/>
        </w:rPr>
        <w:lastRenderedPageBreak/>
        <w:t xml:space="preserve">Andy, A., </w:t>
      </w:r>
      <w:proofErr w:type="spellStart"/>
      <w:r w:rsidRPr="005E2BA7">
        <w:rPr>
          <w:rFonts w:ascii="Times New Roman" w:hAnsi="Times New Roman" w:cs="Times New Roman"/>
          <w:sz w:val="24"/>
          <w:szCs w:val="24"/>
          <w:lang w:val="en-IN"/>
        </w:rPr>
        <w:t>Novana</w:t>
      </w:r>
      <w:proofErr w:type="spellEnd"/>
      <w:r w:rsidRPr="005E2BA7">
        <w:rPr>
          <w:rFonts w:ascii="Times New Roman" w:hAnsi="Times New Roman" w:cs="Times New Roman"/>
          <w:sz w:val="24"/>
          <w:szCs w:val="24"/>
          <w:lang w:val="en-IN"/>
        </w:rPr>
        <w:t xml:space="preserve">, C., Sartika, S., </w:t>
      </w:r>
      <w:proofErr w:type="spellStart"/>
      <w:r w:rsidRPr="005E2BA7">
        <w:rPr>
          <w:rFonts w:ascii="Times New Roman" w:hAnsi="Times New Roman" w:cs="Times New Roman"/>
          <w:sz w:val="24"/>
          <w:szCs w:val="24"/>
          <w:lang w:val="en-IN"/>
        </w:rPr>
        <w:t>Sihaloho</w:t>
      </w:r>
      <w:proofErr w:type="spellEnd"/>
      <w:r w:rsidRPr="005E2BA7">
        <w:rPr>
          <w:rFonts w:ascii="Times New Roman" w:hAnsi="Times New Roman" w:cs="Times New Roman"/>
          <w:sz w:val="24"/>
          <w:szCs w:val="24"/>
          <w:lang w:val="en-IN"/>
        </w:rPr>
        <w:t xml:space="preserve">, M., &amp; Wulandari, B. (2020). The effect of current ratio (CR), return on equity (ROE), debt on equity ratio (DER), earning per share (EPS), and total turnover assets (TATO) on stock prices in property, real estate and construction companies which are listed Indonesia Exchange. </w:t>
      </w:r>
      <w:proofErr w:type="spellStart"/>
      <w:r w:rsidRPr="005E2BA7">
        <w:rPr>
          <w:rFonts w:ascii="Times New Roman" w:hAnsi="Times New Roman" w:cs="Times New Roman"/>
          <w:sz w:val="24"/>
          <w:szCs w:val="24"/>
          <w:lang w:val="en-GB"/>
        </w:rPr>
        <w:t>Jurnal</w:t>
      </w:r>
      <w:proofErr w:type="spellEnd"/>
      <w:r w:rsidRPr="005E2BA7">
        <w:rPr>
          <w:rFonts w:ascii="Times New Roman" w:hAnsi="Times New Roman" w:cs="Times New Roman"/>
          <w:sz w:val="24"/>
          <w:szCs w:val="24"/>
          <w:lang w:val="en-GB"/>
        </w:rPr>
        <w:t xml:space="preserve"> </w:t>
      </w:r>
      <w:proofErr w:type="spellStart"/>
      <w:r w:rsidRPr="005E2BA7">
        <w:rPr>
          <w:rFonts w:ascii="Times New Roman" w:hAnsi="Times New Roman" w:cs="Times New Roman"/>
          <w:sz w:val="24"/>
          <w:szCs w:val="24"/>
          <w:lang w:val="en-GB"/>
        </w:rPr>
        <w:t>Ilmiah</w:t>
      </w:r>
      <w:proofErr w:type="spellEnd"/>
      <w:r w:rsidRPr="005E2BA7">
        <w:rPr>
          <w:rFonts w:ascii="Times New Roman" w:hAnsi="Times New Roman" w:cs="Times New Roman"/>
          <w:sz w:val="24"/>
          <w:szCs w:val="24"/>
          <w:lang w:val="en-GB"/>
        </w:rPr>
        <w:t xml:space="preserve"> </w:t>
      </w:r>
      <w:proofErr w:type="spellStart"/>
      <w:r w:rsidRPr="005E2BA7">
        <w:rPr>
          <w:rFonts w:ascii="Times New Roman" w:hAnsi="Times New Roman" w:cs="Times New Roman"/>
          <w:sz w:val="24"/>
          <w:szCs w:val="24"/>
          <w:lang w:val="en-GB"/>
        </w:rPr>
        <w:t>Manajemen</w:t>
      </w:r>
      <w:proofErr w:type="spellEnd"/>
      <w:r w:rsidRPr="005E2BA7">
        <w:rPr>
          <w:rFonts w:ascii="Times New Roman" w:hAnsi="Times New Roman" w:cs="Times New Roman"/>
          <w:sz w:val="24"/>
          <w:szCs w:val="24"/>
          <w:lang w:val="en-GB"/>
        </w:rPr>
        <w:t xml:space="preserve">, </w:t>
      </w:r>
      <w:proofErr w:type="spellStart"/>
      <w:r w:rsidRPr="005E2BA7">
        <w:rPr>
          <w:rFonts w:ascii="Times New Roman" w:hAnsi="Times New Roman" w:cs="Times New Roman"/>
          <w:sz w:val="24"/>
          <w:szCs w:val="24"/>
          <w:lang w:val="en-GB"/>
        </w:rPr>
        <w:t>Ekonomi</w:t>
      </w:r>
      <w:proofErr w:type="spellEnd"/>
      <w:r w:rsidRPr="005E2BA7">
        <w:rPr>
          <w:rFonts w:ascii="Times New Roman" w:hAnsi="Times New Roman" w:cs="Times New Roman"/>
          <w:sz w:val="24"/>
          <w:szCs w:val="24"/>
          <w:lang w:val="en-GB"/>
        </w:rPr>
        <w:t xml:space="preserve">, &amp; </w:t>
      </w:r>
      <w:proofErr w:type="spellStart"/>
      <w:r w:rsidRPr="005E2BA7">
        <w:rPr>
          <w:rFonts w:ascii="Times New Roman" w:hAnsi="Times New Roman" w:cs="Times New Roman"/>
          <w:sz w:val="24"/>
          <w:szCs w:val="24"/>
          <w:lang w:val="en-GB"/>
        </w:rPr>
        <w:t>Akuntansi</w:t>
      </w:r>
      <w:proofErr w:type="spellEnd"/>
      <w:r w:rsidRPr="005E2BA7">
        <w:rPr>
          <w:rFonts w:ascii="Times New Roman" w:hAnsi="Times New Roman" w:cs="Times New Roman"/>
          <w:sz w:val="24"/>
          <w:szCs w:val="24"/>
          <w:lang w:val="en-GB"/>
        </w:rPr>
        <w:t xml:space="preserve">, 4(3), 311-325. </w:t>
      </w:r>
      <w:hyperlink r:id="rId13" w:history="1">
        <w:r w:rsidRPr="005E2BA7">
          <w:rPr>
            <w:rStyle w:val="Hyperlink"/>
            <w:rFonts w:ascii="Times New Roman" w:hAnsi="Times New Roman" w:cs="Times New Roman"/>
            <w:sz w:val="24"/>
            <w:szCs w:val="24"/>
            <w:lang w:val="en-GB"/>
          </w:rPr>
          <w:t>https://doi.org/10.31955/mea.v4i3.414</w:t>
        </w:r>
      </w:hyperlink>
    </w:p>
    <w:p w14:paraId="3F1EAE16"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lang w:val="en-IN"/>
        </w:rPr>
      </w:pPr>
      <w:r w:rsidRPr="005E2BA7">
        <w:rPr>
          <w:rFonts w:ascii="Times New Roman" w:hAnsi="Times New Roman" w:cs="Times New Roman"/>
          <w:sz w:val="24"/>
          <w:szCs w:val="24"/>
          <w:lang w:val="en-IN"/>
        </w:rPr>
        <w:t xml:space="preserve">Anton, Lorensa, S., Purnama, I., Eddy, P., &amp; Andi. (2023). Net profit margin, earnings per share, return on asset, debt equity ratio, and current ratio on firm value in agricultural sector companies listed on Indonesia Stock Exchange 2016-2021. Journal of Applied Business and Technology, 4(2), 155-167. </w:t>
      </w:r>
      <w:hyperlink r:id="rId14" w:history="1">
        <w:r w:rsidRPr="005E2BA7">
          <w:rPr>
            <w:rStyle w:val="Hyperlink"/>
            <w:rFonts w:ascii="Times New Roman" w:hAnsi="Times New Roman" w:cs="Times New Roman"/>
            <w:sz w:val="24"/>
            <w:szCs w:val="24"/>
            <w:lang w:val="en-IN"/>
          </w:rPr>
          <w:t>https://doi.org/10.35145/jabt.v4i2.131</w:t>
        </w:r>
      </w:hyperlink>
    </w:p>
    <w:p w14:paraId="17094D26"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 xml:space="preserve">Barde, I. M. &amp; Ekundayo, O. (2017). Impact of firm leverage on share price: Evidence from listed deposit money banks in Nigeria. </w:t>
      </w:r>
      <w:proofErr w:type="spellStart"/>
      <w:r w:rsidRPr="005E2BA7">
        <w:rPr>
          <w:rFonts w:ascii="Times New Roman" w:hAnsi="Times New Roman" w:cs="Times New Roman"/>
          <w:i/>
          <w:iCs/>
          <w:sz w:val="24"/>
          <w:szCs w:val="24"/>
        </w:rPr>
        <w:t>Bayero</w:t>
      </w:r>
      <w:proofErr w:type="spellEnd"/>
      <w:r w:rsidRPr="005E2BA7">
        <w:rPr>
          <w:rFonts w:ascii="Times New Roman" w:hAnsi="Times New Roman" w:cs="Times New Roman"/>
          <w:i/>
          <w:iCs/>
          <w:sz w:val="24"/>
          <w:szCs w:val="24"/>
        </w:rPr>
        <w:t xml:space="preserve"> International of Accounting Research, </w:t>
      </w:r>
      <w:r w:rsidRPr="005E2BA7">
        <w:rPr>
          <w:rFonts w:ascii="Times New Roman" w:hAnsi="Times New Roman" w:cs="Times New Roman"/>
          <w:sz w:val="24"/>
          <w:szCs w:val="24"/>
        </w:rPr>
        <w:t>11(1), 199-219.</w:t>
      </w:r>
    </w:p>
    <w:p w14:paraId="5AE16566"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lang w:val="en-GB"/>
        </w:rPr>
        <w:t xml:space="preserve">Batubara, K. N., &amp; Ardian, N. (2024). </w:t>
      </w:r>
      <w:r w:rsidRPr="005E2BA7">
        <w:rPr>
          <w:rFonts w:ascii="Times New Roman" w:hAnsi="Times New Roman" w:cs="Times New Roman"/>
          <w:sz w:val="24"/>
          <w:szCs w:val="24"/>
        </w:rPr>
        <w:t xml:space="preserve">The effect of inflation, interest rates, working capital turnover, receivables turnover on share prices of property and real estate sub-sector companies listed on the IDX. World Journal of Advanced Research and Reviews, 22(2), 1147–1155. </w:t>
      </w:r>
      <w:hyperlink r:id="rId15" w:history="1">
        <w:r w:rsidRPr="005E2BA7">
          <w:rPr>
            <w:rStyle w:val="Hyperlink"/>
            <w:rFonts w:ascii="Times New Roman" w:hAnsi="Times New Roman" w:cs="Times New Roman"/>
            <w:sz w:val="24"/>
            <w:szCs w:val="24"/>
          </w:rPr>
          <w:t>https://doi.org/10.30574/wjarr.2024.22.2.1496</w:t>
        </w:r>
      </w:hyperlink>
    </w:p>
    <w:p w14:paraId="13FBD58C"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 xml:space="preserve">Bernard, V. L., &amp; Thomas, J. K. (1989). Post-Earnings-Announcement Drift: Delayed Price Response or Risk Premium. Journal of Accounting Research, 27, 1–36. </w:t>
      </w:r>
      <w:hyperlink r:id="rId16" w:history="1">
        <w:r w:rsidRPr="005E2BA7">
          <w:rPr>
            <w:rStyle w:val="Hyperlink"/>
            <w:rFonts w:ascii="Times New Roman" w:hAnsi="Times New Roman" w:cs="Times New Roman"/>
            <w:sz w:val="24"/>
            <w:szCs w:val="24"/>
          </w:rPr>
          <w:t>https://doi.org/10.2307/2491062</w:t>
        </w:r>
      </w:hyperlink>
    </w:p>
    <w:p w14:paraId="3F3C0705"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 xml:space="preserve">Brealey, R. A., Myers, S. C., &amp; Allen, F. (2017). </w:t>
      </w:r>
      <w:r w:rsidRPr="005E2BA7">
        <w:rPr>
          <w:rFonts w:ascii="Times New Roman" w:hAnsi="Times New Roman" w:cs="Times New Roman"/>
          <w:i/>
          <w:iCs/>
          <w:sz w:val="24"/>
          <w:szCs w:val="24"/>
        </w:rPr>
        <w:t>Principles of corporate finance</w:t>
      </w:r>
      <w:r w:rsidRPr="005E2BA7">
        <w:rPr>
          <w:rFonts w:ascii="Times New Roman" w:hAnsi="Times New Roman" w:cs="Times New Roman"/>
          <w:sz w:val="24"/>
          <w:szCs w:val="24"/>
        </w:rPr>
        <w:t>. McGraw-Hill.</w:t>
      </w:r>
    </w:p>
    <w:p w14:paraId="7CE61644"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 xml:space="preserve">Corporate Finance Institute. (2025, October 23). *Financial Ratios: Definition, Types, and Examples*. </w:t>
      </w:r>
      <w:hyperlink r:id="rId17" w:history="1">
        <w:r w:rsidRPr="005E2BA7">
          <w:rPr>
            <w:rStyle w:val="Hyperlink"/>
            <w:rFonts w:ascii="Times New Roman" w:hAnsi="Times New Roman" w:cs="Times New Roman"/>
            <w:sz w:val="24"/>
            <w:szCs w:val="24"/>
          </w:rPr>
          <w:t>https://corporatefinanceinstitute.com/resources/accounting/financial-ratios/</w:t>
        </w:r>
      </w:hyperlink>
    </w:p>
    <w:p w14:paraId="21F12B89"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 xml:space="preserve">Chan, A. T. L., Ngai, E. W. T., &amp; Moon, K. K. L. (2017). The effects of strategic and manufacturing flexibilities and supply chain agility on firm performance in the fashion industry. European Journal of Operational Research, 259(2), 486–499. </w:t>
      </w:r>
      <w:hyperlink r:id="rId18" w:history="1">
        <w:r w:rsidRPr="005E2BA7">
          <w:rPr>
            <w:rStyle w:val="Hyperlink"/>
            <w:rFonts w:ascii="Times New Roman" w:hAnsi="Times New Roman" w:cs="Times New Roman"/>
            <w:sz w:val="24"/>
            <w:szCs w:val="24"/>
          </w:rPr>
          <w:t>https://doi.org/10.1016/j.ejor.2016.11.006</w:t>
        </w:r>
      </w:hyperlink>
    </w:p>
    <w:p w14:paraId="3C1FF1EC"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lang w:val="en-GB"/>
        </w:rPr>
      </w:pPr>
      <w:r w:rsidRPr="005E2BA7">
        <w:rPr>
          <w:rFonts w:ascii="Times New Roman" w:hAnsi="Times New Roman" w:cs="Times New Roman"/>
          <w:sz w:val="24"/>
          <w:szCs w:val="24"/>
        </w:rPr>
        <w:t xml:space="preserve">Chhetri, R. (2023). Factors Affecting the Share Price of Commercial Banks in Nepal. Quest Journal of Management and Social Sciences, 5(1), 107-118. </w:t>
      </w:r>
      <w:hyperlink r:id="rId19" w:history="1">
        <w:r w:rsidRPr="005E2BA7">
          <w:rPr>
            <w:rStyle w:val="Hyperlink"/>
            <w:rFonts w:ascii="Times New Roman" w:hAnsi="Times New Roman" w:cs="Times New Roman"/>
            <w:sz w:val="24"/>
            <w:szCs w:val="24"/>
            <w:lang w:val="en-GB"/>
          </w:rPr>
          <w:t>https://doi.org/10.3126/qjmss.v5i1.56298</w:t>
        </w:r>
      </w:hyperlink>
    </w:p>
    <w:p w14:paraId="3090CBB1"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lang w:val="en-IN"/>
        </w:rPr>
      </w:pPr>
      <w:r w:rsidRPr="005E2BA7">
        <w:rPr>
          <w:rFonts w:ascii="Times New Roman" w:hAnsi="Times New Roman" w:cs="Times New Roman"/>
          <w:sz w:val="24"/>
          <w:szCs w:val="24"/>
          <w:lang w:val="en-IN"/>
        </w:rPr>
        <w:t xml:space="preserve">Colombo, M. G., &amp; Grilli, L. (2005). Start-up size: The role of external financing. </w:t>
      </w:r>
      <w:r w:rsidRPr="005E2BA7">
        <w:rPr>
          <w:rFonts w:ascii="Times New Roman" w:hAnsi="Times New Roman" w:cs="Times New Roman"/>
          <w:sz w:val="24"/>
          <w:szCs w:val="24"/>
          <w:lang w:val="en-GB"/>
        </w:rPr>
        <w:t xml:space="preserve">Economics Letters, 88(2), 243-250. </w:t>
      </w:r>
      <w:hyperlink r:id="rId20" w:history="1">
        <w:r w:rsidRPr="005E2BA7">
          <w:rPr>
            <w:rStyle w:val="Hyperlink"/>
            <w:rFonts w:ascii="Times New Roman" w:hAnsi="Times New Roman" w:cs="Times New Roman"/>
            <w:sz w:val="24"/>
            <w:szCs w:val="24"/>
            <w:lang w:val="en-IN"/>
          </w:rPr>
          <w:t>https://doi.org/10.1016/j.econlet.2005.02.018</w:t>
        </w:r>
      </w:hyperlink>
    </w:p>
    <w:p w14:paraId="3DE320CA"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Gardner, M. J., Mills, D. L., &amp; Cooperman, E. S. (2000). Managing financial institutions: An asset/liability approach. The Dryden Press.</w:t>
      </w:r>
    </w:p>
    <w:p w14:paraId="4D6DB6E8"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 xml:space="preserve">Damodaran, A. (2015). Applied corporate finance (4th ed.). Wiley. </w:t>
      </w:r>
      <w:hyperlink r:id="rId21" w:history="1">
        <w:r w:rsidRPr="005E2BA7">
          <w:rPr>
            <w:rStyle w:val="Hyperlink"/>
            <w:rFonts w:ascii="Times New Roman" w:hAnsi="Times New Roman" w:cs="Times New Roman"/>
            <w:sz w:val="24"/>
            <w:szCs w:val="24"/>
          </w:rPr>
          <w:t>https://www.wiley.com/en-us/Applied+Corporate+Finance%2C+4th+Edition-p-9781118808931</w:t>
        </w:r>
      </w:hyperlink>
    </w:p>
    <w:p w14:paraId="050EADBD"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proofErr w:type="spellStart"/>
      <w:r w:rsidRPr="005E2BA7">
        <w:rPr>
          <w:rFonts w:ascii="Times New Roman" w:hAnsi="Times New Roman" w:cs="Times New Roman"/>
          <w:sz w:val="24"/>
          <w:szCs w:val="24"/>
        </w:rPr>
        <w:t>Dimyati</w:t>
      </w:r>
      <w:proofErr w:type="spellEnd"/>
      <w:r w:rsidRPr="005E2BA7">
        <w:rPr>
          <w:rFonts w:ascii="Times New Roman" w:hAnsi="Times New Roman" w:cs="Times New Roman"/>
          <w:sz w:val="24"/>
          <w:szCs w:val="24"/>
        </w:rPr>
        <w:t xml:space="preserve">, F. F. (2023). The influence of </w:t>
      </w:r>
      <w:proofErr w:type="spellStart"/>
      <w:r w:rsidRPr="005E2BA7">
        <w:rPr>
          <w:rFonts w:ascii="Times New Roman" w:hAnsi="Times New Roman" w:cs="Times New Roman"/>
          <w:sz w:val="24"/>
          <w:szCs w:val="24"/>
        </w:rPr>
        <w:t>solvatibility</w:t>
      </w:r>
      <w:proofErr w:type="spellEnd"/>
      <w:r w:rsidRPr="005E2BA7">
        <w:rPr>
          <w:rFonts w:ascii="Times New Roman" w:hAnsi="Times New Roman" w:cs="Times New Roman"/>
          <w:sz w:val="24"/>
          <w:szCs w:val="24"/>
        </w:rPr>
        <w:t xml:space="preserve"> ration, company size, TATO, ROA, DER </w:t>
      </w:r>
      <w:proofErr w:type="gramStart"/>
      <w:r w:rsidRPr="005E2BA7">
        <w:rPr>
          <w:rFonts w:ascii="Times New Roman" w:hAnsi="Times New Roman" w:cs="Times New Roman"/>
          <w:sz w:val="24"/>
          <w:szCs w:val="24"/>
        </w:rPr>
        <w:t>on return</w:t>
      </w:r>
      <w:proofErr w:type="gramEnd"/>
      <w:r w:rsidRPr="005E2BA7">
        <w:rPr>
          <w:rFonts w:ascii="Times New Roman" w:hAnsi="Times New Roman" w:cs="Times New Roman"/>
          <w:sz w:val="24"/>
          <w:szCs w:val="24"/>
        </w:rPr>
        <w:t xml:space="preserve"> price of properties subsectors in 2019-2021. </w:t>
      </w:r>
      <w:proofErr w:type="gramStart"/>
      <w:r w:rsidRPr="005E2BA7">
        <w:rPr>
          <w:rFonts w:ascii="Times New Roman" w:hAnsi="Times New Roman" w:cs="Times New Roman"/>
          <w:sz w:val="24"/>
          <w:szCs w:val="24"/>
        </w:rPr>
        <w:t>Owner :</w:t>
      </w:r>
      <w:proofErr w:type="gramEnd"/>
      <w:r w:rsidRPr="005E2BA7">
        <w:rPr>
          <w:rFonts w:ascii="Times New Roman" w:hAnsi="Times New Roman" w:cs="Times New Roman"/>
          <w:sz w:val="24"/>
          <w:szCs w:val="24"/>
        </w:rPr>
        <w:t xml:space="preserve"> </w:t>
      </w:r>
      <w:proofErr w:type="spellStart"/>
      <w:r w:rsidRPr="005E2BA7">
        <w:rPr>
          <w:rFonts w:ascii="Times New Roman" w:hAnsi="Times New Roman" w:cs="Times New Roman"/>
          <w:sz w:val="24"/>
          <w:szCs w:val="24"/>
        </w:rPr>
        <w:t>Riset</w:t>
      </w:r>
      <w:proofErr w:type="spellEnd"/>
      <w:r w:rsidRPr="005E2BA7">
        <w:rPr>
          <w:rFonts w:ascii="Times New Roman" w:hAnsi="Times New Roman" w:cs="Times New Roman"/>
          <w:sz w:val="24"/>
          <w:szCs w:val="24"/>
        </w:rPr>
        <w:t xml:space="preserve"> dan </w:t>
      </w:r>
      <w:proofErr w:type="spellStart"/>
      <w:r w:rsidRPr="005E2BA7">
        <w:rPr>
          <w:rFonts w:ascii="Times New Roman" w:hAnsi="Times New Roman" w:cs="Times New Roman"/>
          <w:sz w:val="24"/>
          <w:szCs w:val="24"/>
        </w:rPr>
        <w:t>Jurnal</w:t>
      </w:r>
      <w:proofErr w:type="spellEnd"/>
      <w:r w:rsidRPr="005E2BA7">
        <w:rPr>
          <w:rFonts w:ascii="Times New Roman" w:hAnsi="Times New Roman" w:cs="Times New Roman"/>
          <w:sz w:val="24"/>
          <w:szCs w:val="24"/>
        </w:rPr>
        <w:t xml:space="preserve"> </w:t>
      </w:r>
      <w:proofErr w:type="spellStart"/>
      <w:r w:rsidRPr="005E2BA7">
        <w:rPr>
          <w:rFonts w:ascii="Times New Roman" w:hAnsi="Times New Roman" w:cs="Times New Roman"/>
          <w:sz w:val="24"/>
          <w:szCs w:val="24"/>
        </w:rPr>
        <w:t>Akuntansi</w:t>
      </w:r>
      <w:proofErr w:type="spellEnd"/>
      <w:r w:rsidRPr="005E2BA7">
        <w:rPr>
          <w:rFonts w:ascii="Times New Roman" w:hAnsi="Times New Roman" w:cs="Times New Roman"/>
          <w:sz w:val="24"/>
          <w:szCs w:val="24"/>
        </w:rPr>
        <w:t xml:space="preserve">, 7(4), 3197-3206. </w:t>
      </w:r>
      <w:hyperlink r:id="rId22" w:history="1">
        <w:r w:rsidRPr="005E2BA7">
          <w:rPr>
            <w:rStyle w:val="Hyperlink"/>
            <w:rFonts w:ascii="Times New Roman" w:hAnsi="Times New Roman" w:cs="Times New Roman"/>
            <w:sz w:val="24"/>
            <w:szCs w:val="24"/>
          </w:rPr>
          <w:t>https://doi.org/10.33395/owner.v7i4.1692</w:t>
        </w:r>
      </w:hyperlink>
    </w:p>
    <w:p w14:paraId="1F2BDBC4"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proofErr w:type="spellStart"/>
      <w:r w:rsidRPr="005E2BA7">
        <w:rPr>
          <w:rFonts w:ascii="Times New Roman" w:hAnsi="Times New Roman" w:cs="Times New Roman"/>
          <w:sz w:val="24"/>
          <w:szCs w:val="24"/>
        </w:rPr>
        <w:t>Edokpa</w:t>
      </w:r>
      <w:proofErr w:type="spellEnd"/>
      <w:r w:rsidRPr="005E2BA7">
        <w:rPr>
          <w:rFonts w:ascii="Times New Roman" w:hAnsi="Times New Roman" w:cs="Times New Roman"/>
          <w:sz w:val="24"/>
          <w:szCs w:val="24"/>
        </w:rPr>
        <w:t xml:space="preserve">, S. I., Farouk, M. A., &amp; </w:t>
      </w:r>
      <w:proofErr w:type="spellStart"/>
      <w:r w:rsidRPr="005E2BA7">
        <w:rPr>
          <w:rFonts w:ascii="Times New Roman" w:hAnsi="Times New Roman" w:cs="Times New Roman"/>
          <w:sz w:val="24"/>
          <w:szCs w:val="24"/>
        </w:rPr>
        <w:t>Uyagu</w:t>
      </w:r>
      <w:proofErr w:type="spellEnd"/>
      <w:r w:rsidRPr="005E2BA7">
        <w:rPr>
          <w:rFonts w:ascii="Times New Roman" w:hAnsi="Times New Roman" w:cs="Times New Roman"/>
          <w:sz w:val="24"/>
          <w:szCs w:val="24"/>
        </w:rPr>
        <w:t xml:space="preserve">, B. D. (2024). Moderating Effect of Share Price on the Relationship Between Capital Structure and Dividend Payout of Quoted Agriculture Firms in Nigeria. International Journal of Management and Economics Invention, 10(7), 3319-3330. </w:t>
      </w:r>
      <w:hyperlink r:id="rId23" w:history="1">
        <w:r w:rsidRPr="005E2BA7">
          <w:rPr>
            <w:rStyle w:val="Hyperlink"/>
            <w:rFonts w:ascii="Times New Roman" w:hAnsi="Times New Roman" w:cs="Times New Roman"/>
            <w:sz w:val="24"/>
            <w:szCs w:val="24"/>
          </w:rPr>
          <w:t>https://doi.org/10.47191/ijmei/v10i7.02</w:t>
        </w:r>
      </w:hyperlink>
    </w:p>
    <w:p w14:paraId="709AB934"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proofErr w:type="spellStart"/>
      <w:r w:rsidRPr="005E2BA7">
        <w:rPr>
          <w:rFonts w:ascii="Times New Roman" w:hAnsi="Times New Roman" w:cs="Times New Roman"/>
          <w:sz w:val="24"/>
          <w:szCs w:val="24"/>
        </w:rPr>
        <w:t>Etale</w:t>
      </w:r>
      <w:proofErr w:type="spellEnd"/>
      <w:r w:rsidRPr="005E2BA7">
        <w:rPr>
          <w:rFonts w:ascii="Times New Roman" w:hAnsi="Times New Roman" w:cs="Times New Roman"/>
          <w:sz w:val="24"/>
          <w:szCs w:val="24"/>
        </w:rPr>
        <w:t>, L. M. (2020). Financial leverage and return on equity: A study of listed companies in Nigeria. International Journal of Finance and Accounting, 9(2), 1-11.</w:t>
      </w:r>
    </w:p>
    <w:p w14:paraId="7ABFF945"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lang w:val="en-GB"/>
        </w:rPr>
        <w:t xml:space="preserve">Ezekwesili, T. P., &amp; </w:t>
      </w:r>
      <w:proofErr w:type="spellStart"/>
      <w:r w:rsidRPr="005E2BA7">
        <w:rPr>
          <w:rFonts w:ascii="Times New Roman" w:hAnsi="Times New Roman" w:cs="Times New Roman"/>
          <w:sz w:val="24"/>
          <w:szCs w:val="24"/>
          <w:lang w:val="en-GB"/>
        </w:rPr>
        <w:t>Ezejiofor</w:t>
      </w:r>
      <w:proofErr w:type="spellEnd"/>
      <w:r w:rsidRPr="005E2BA7">
        <w:rPr>
          <w:rFonts w:ascii="Times New Roman" w:hAnsi="Times New Roman" w:cs="Times New Roman"/>
          <w:sz w:val="24"/>
          <w:szCs w:val="24"/>
          <w:lang w:val="en-GB"/>
        </w:rPr>
        <w:t xml:space="preserve">, R. A. (2022). </w:t>
      </w:r>
      <w:r w:rsidRPr="005E2BA7">
        <w:rPr>
          <w:rFonts w:ascii="Times New Roman" w:hAnsi="Times New Roman" w:cs="Times New Roman"/>
          <w:sz w:val="24"/>
          <w:szCs w:val="24"/>
        </w:rPr>
        <w:t xml:space="preserve">Firm characteristics and tax aggressiveness of quoted industrial goods firms in Nigeria. International Journal of Research Publication </w:t>
      </w:r>
      <w:r w:rsidRPr="005E2BA7">
        <w:rPr>
          <w:rFonts w:ascii="Times New Roman" w:hAnsi="Times New Roman" w:cs="Times New Roman"/>
          <w:sz w:val="24"/>
          <w:szCs w:val="24"/>
        </w:rPr>
        <w:lastRenderedPageBreak/>
        <w:t xml:space="preserve">and Reviews. </w:t>
      </w:r>
      <w:hyperlink r:id="rId24" w:history="1">
        <w:r w:rsidRPr="005E2BA7">
          <w:rPr>
            <w:rStyle w:val="Hyperlink"/>
            <w:rFonts w:ascii="Times New Roman" w:hAnsi="Times New Roman" w:cs="Times New Roman"/>
            <w:sz w:val="24"/>
            <w:szCs w:val="24"/>
          </w:rPr>
          <w:t>https://www.researchgate.net/publication/360540000_FIRM_CHARACTERISTICS_AND_TAX_AGGRESSIVENESS_OF_QUOTED_INDUSTRIAL_GOODS_FIRMS_IN_NIGERIA</w:t>
        </w:r>
      </w:hyperlink>
    </w:p>
    <w:p w14:paraId="31CAD629"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lang w:val="en-IN"/>
        </w:rPr>
      </w:pPr>
      <w:r w:rsidRPr="005E2BA7">
        <w:rPr>
          <w:rFonts w:ascii="Times New Roman" w:hAnsi="Times New Roman" w:cs="Times New Roman"/>
          <w:sz w:val="24"/>
          <w:szCs w:val="24"/>
          <w:lang w:val="pt-BR"/>
        </w:rPr>
        <w:t xml:space="preserve">Fama, E. F., &amp; French, K. R. (1993). </w:t>
      </w:r>
      <w:r w:rsidRPr="005E2BA7">
        <w:rPr>
          <w:rFonts w:ascii="Times New Roman" w:hAnsi="Times New Roman" w:cs="Times New Roman"/>
          <w:sz w:val="24"/>
          <w:szCs w:val="24"/>
          <w:lang w:val="en-IN"/>
        </w:rPr>
        <w:t xml:space="preserve">Common risk factors in the returns on stocks and bonds. Journal of Financial Economics, 33(1), 3-56. </w:t>
      </w:r>
      <w:hyperlink r:id="rId25" w:history="1">
        <w:r w:rsidRPr="005E2BA7">
          <w:rPr>
            <w:rStyle w:val="Hyperlink"/>
            <w:rFonts w:ascii="Times New Roman" w:hAnsi="Times New Roman" w:cs="Times New Roman"/>
            <w:sz w:val="24"/>
            <w:szCs w:val="24"/>
            <w:lang w:val="en-IN"/>
          </w:rPr>
          <w:t>https://doi.org/10.1016/0304-405X(93)90023-5</w:t>
        </w:r>
      </w:hyperlink>
    </w:p>
    <w:p w14:paraId="4D86B3BE" w14:textId="77777777" w:rsidR="00824E4A" w:rsidRDefault="00824E4A" w:rsidP="005E2BA7">
      <w:pPr>
        <w:pStyle w:val="ListParagraph"/>
        <w:numPr>
          <w:ilvl w:val="0"/>
          <w:numId w:val="8"/>
        </w:numPr>
        <w:spacing w:after="0" w:line="240" w:lineRule="auto"/>
        <w:jc w:val="both"/>
      </w:pPr>
      <w:r w:rsidRPr="005E2BA7">
        <w:rPr>
          <w:rFonts w:ascii="Times New Roman" w:hAnsi="Times New Roman" w:cs="Times New Roman"/>
          <w:sz w:val="24"/>
          <w:szCs w:val="24"/>
          <w:lang w:val="en-GB"/>
        </w:rPr>
        <w:t xml:space="preserve">Fama, E. F., &amp; French, K. R. (2004). </w:t>
      </w:r>
      <w:r w:rsidRPr="005E2BA7">
        <w:rPr>
          <w:rFonts w:ascii="Times New Roman" w:hAnsi="Times New Roman" w:cs="Times New Roman"/>
          <w:sz w:val="24"/>
          <w:szCs w:val="24"/>
        </w:rPr>
        <w:t xml:space="preserve">The capital asset pricing model: Theory and evidence. Journal of Economic Perspectives, 18(3), 25-46. </w:t>
      </w:r>
      <w:hyperlink r:id="rId26" w:history="1">
        <w:r w:rsidRPr="005E2BA7">
          <w:rPr>
            <w:rStyle w:val="Hyperlink"/>
            <w:rFonts w:ascii="Times New Roman" w:hAnsi="Times New Roman" w:cs="Times New Roman"/>
            <w:sz w:val="24"/>
            <w:szCs w:val="24"/>
          </w:rPr>
          <w:t>https://doi.org/10.1257/0895330042162430</w:t>
        </w:r>
      </w:hyperlink>
    </w:p>
    <w:p w14:paraId="3AA5CD32" w14:textId="5343890F" w:rsidR="00974186" w:rsidRPr="005E2BA7" w:rsidRDefault="00974186" w:rsidP="005E2BA7">
      <w:pPr>
        <w:pStyle w:val="ListParagraph"/>
        <w:numPr>
          <w:ilvl w:val="0"/>
          <w:numId w:val="8"/>
        </w:numPr>
        <w:spacing w:after="0" w:line="240" w:lineRule="auto"/>
        <w:jc w:val="both"/>
        <w:rPr>
          <w:rFonts w:ascii="Times New Roman" w:hAnsi="Times New Roman" w:cs="Times New Roman"/>
          <w:sz w:val="24"/>
          <w:szCs w:val="24"/>
          <w:lang/>
        </w:rPr>
      </w:pPr>
      <w:r w:rsidRPr="005E2BA7">
        <w:rPr>
          <w:rFonts w:ascii="Times New Roman" w:hAnsi="Times New Roman" w:cs="Times New Roman"/>
          <w:sz w:val="24"/>
          <w:szCs w:val="24"/>
          <w:highlight w:val="yellow"/>
          <w:lang/>
        </w:rPr>
        <w:t xml:space="preserve">Fama, E. F., &amp; French, K. R. (2015). A five-factor asset pricing model. </w:t>
      </w:r>
      <w:r w:rsidRPr="005E2BA7">
        <w:rPr>
          <w:rFonts w:ascii="Times New Roman" w:hAnsi="Times New Roman" w:cs="Times New Roman"/>
          <w:i/>
          <w:iCs/>
          <w:sz w:val="24"/>
          <w:szCs w:val="24"/>
          <w:highlight w:val="yellow"/>
          <w:lang/>
        </w:rPr>
        <w:t>Journal of Financial Economics</w:t>
      </w:r>
      <w:r w:rsidRPr="005E2BA7">
        <w:rPr>
          <w:rFonts w:ascii="Times New Roman" w:hAnsi="Times New Roman" w:cs="Times New Roman"/>
          <w:sz w:val="24"/>
          <w:szCs w:val="24"/>
          <w:highlight w:val="yellow"/>
          <w:lang/>
        </w:rPr>
        <w:t xml:space="preserve">, </w:t>
      </w:r>
      <w:r w:rsidRPr="005E2BA7">
        <w:rPr>
          <w:rFonts w:ascii="Times New Roman" w:hAnsi="Times New Roman" w:cs="Times New Roman"/>
          <w:i/>
          <w:iCs/>
          <w:sz w:val="24"/>
          <w:szCs w:val="24"/>
          <w:highlight w:val="yellow"/>
          <w:lang/>
        </w:rPr>
        <w:t>116</w:t>
      </w:r>
      <w:r w:rsidRPr="005E2BA7">
        <w:rPr>
          <w:rFonts w:ascii="Times New Roman" w:hAnsi="Times New Roman" w:cs="Times New Roman"/>
          <w:sz w:val="24"/>
          <w:szCs w:val="24"/>
          <w:highlight w:val="yellow"/>
          <w:lang/>
        </w:rPr>
        <w:t xml:space="preserve">(1), 1–22. </w:t>
      </w:r>
      <w:r w:rsidR="005E2BA7">
        <w:fldChar w:fldCharType="begin"/>
      </w:r>
      <w:r w:rsidR="005E2BA7">
        <w:instrText xml:space="preserve"> HYPERLINK "https://doi.org/10.1016/j.jfineco.2014.10.010" </w:instrText>
      </w:r>
      <w:r w:rsidR="005E2BA7">
        <w:fldChar w:fldCharType="separate"/>
      </w:r>
      <w:r w:rsidRPr="005E2BA7">
        <w:rPr>
          <w:rStyle w:val="Hyperlink"/>
          <w:rFonts w:ascii="Times New Roman" w:hAnsi="Times New Roman" w:cs="Times New Roman"/>
          <w:sz w:val="24"/>
          <w:szCs w:val="24"/>
          <w:highlight w:val="yellow"/>
          <w:lang/>
        </w:rPr>
        <w:t>https://doi.org/10.1016/j.jfineco.2014.10.010</w:t>
      </w:r>
      <w:r w:rsidR="005E2BA7" w:rsidRPr="005E2BA7">
        <w:rPr>
          <w:rStyle w:val="Hyperlink"/>
          <w:rFonts w:ascii="Times New Roman" w:hAnsi="Times New Roman" w:cs="Times New Roman"/>
          <w:sz w:val="24"/>
          <w:szCs w:val="24"/>
          <w:highlight w:val="yellow"/>
          <w:lang/>
        </w:rPr>
        <w:fldChar w:fldCharType="end"/>
      </w:r>
      <w:r w:rsidRPr="005E2BA7">
        <w:rPr>
          <w:rFonts w:ascii="Times New Roman" w:hAnsi="Times New Roman" w:cs="Times New Roman"/>
          <w:sz w:val="24"/>
          <w:szCs w:val="24"/>
          <w:lang/>
        </w:rPr>
        <w:t xml:space="preserve"> </w:t>
      </w:r>
    </w:p>
    <w:p w14:paraId="43AA597D"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 xml:space="preserve">Fauzan, A., &amp; </w:t>
      </w:r>
      <w:proofErr w:type="spellStart"/>
      <w:r w:rsidRPr="005E2BA7">
        <w:rPr>
          <w:rFonts w:ascii="Times New Roman" w:hAnsi="Times New Roman" w:cs="Times New Roman"/>
          <w:sz w:val="24"/>
          <w:szCs w:val="24"/>
        </w:rPr>
        <w:t>Matoati</w:t>
      </w:r>
      <w:proofErr w:type="spellEnd"/>
      <w:r w:rsidRPr="005E2BA7">
        <w:rPr>
          <w:rFonts w:ascii="Times New Roman" w:hAnsi="Times New Roman" w:cs="Times New Roman"/>
          <w:sz w:val="24"/>
          <w:szCs w:val="24"/>
        </w:rPr>
        <w:t xml:space="preserve">, R. (2021). Financial Ratios and Share Prices of JII70 Indexed Companies for the 2018-2020 Period. The Management Journal of </w:t>
      </w:r>
      <w:proofErr w:type="spellStart"/>
      <w:r w:rsidRPr="005E2BA7">
        <w:rPr>
          <w:rFonts w:ascii="Times New Roman" w:hAnsi="Times New Roman" w:cs="Times New Roman"/>
          <w:sz w:val="24"/>
          <w:szCs w:val="24"/>
        </w:rPr>
        <w:t>Binaniaga</w:t>
      </w:r>
      <w:proofErr w:type="spellEnd"/>
      <w:r w:rsidRPr="005E2BA7">
        <w:rPr>
          <w:rFonts w:ascii="Times New Roman" w:hAnsi="Times New Roman" w:cs="Times New Roman"/>
          <w:sz w:val="24"/>
          <w:szCs w:val="24"/>
        </w:rPr>
        <w:t xml:space="preserve">, 6(1), 23-40. </w:t>
      </w:r>
      <w:hyperlink r:id="rId27" w:history="1">
        <w:r w:rsidRPr="005E2BA7">
          <w:rPr>
            <w:rStyle w:val="Hyperlink"/>
            <w:rFonts w:ascii="Times New Roman" w:hAnsi="Times New Roman" w:cs="Times New Roman"/>
            <w:sz w:val="24"/>
            <w:szCs w:val="24"/>
          </w:rPr>
          <w:t>https://doi.org/10.33062/mjb.v6i1.422</w:t>
        </w:r>
      </w:hyperlink>
    </w:p>
    <w:p w14:paraId="7937E59A"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proofErr w:type="spellStart"/>
      <w:r w:rsidRPr="005E2BA7">
        <w:rPr>
          <w:rFonts w:ascii="Times New Roman" w:hAnsi="Times New Roman" w:cs="Times New Roman"/>
          <w:sz w:val="24"/>
          <w:szCs w:val="24"/>
        </w:rPr>
        <w:t>Ferniawan</w:t>
      </w:r>
      <w:proofErr w:type="spellEnd"/>
      <w:r w:rsidRPr="005E2BA7">
        <w:rPr>
          <w:rFonts w:ascii="Times New Roman" w:hAnsi="Times New Roman" w:cs="Times New Roman"/>
          <w:sz w:val="24"/>
          <w:szCs w:val="24"/>
        </w:rPr>
        <w:t xml:space="preserve">, M. F., </w:t>
      </w:r>
      <w:proofErr w:type="spellStart"/>
      <w:r w:rsidRPr="005E2BA7">
        <w:rPr>
          <w:rFonts w:ascii="Times New Roman" w:hAnsi="Times New Roman" w:cs="Times New Roman"/>
          <w:sz w:val="24"/>
          <w:szCs w:val="24"/>
        </w:rPr>
        <w:t>Kusumawati</w:t>
      </w:r>
      <w:proofErr w:type="spellEnd"/>
      <w:r w:rsidRPr="005E2BA7">
        <w:rPr>
          <w:rFonts w:ascii="Times New Roman" w:hAnsi="Times New Roman" w:cs="Times New Roman"/>
          <w:sz w:val="24"/>
          <w:szCs w:val="24"/>
        </w:rPr>
        <w:t xml:space="preserve">, A., &amp; Afdal (2024). The influence of earnings per share, price earnings ratio, price to book value, and debt to equity ratio on the stock return. </w:t>
      </w:r>
      <w:proofErr w:type="spellStart"/>
      <w:r w:rsidRPr="005E2BA7">
        <w:rPr>
          <w:rFonts w:ascii="Times New Roman" w:hAnsi="Times New Roman" w:cs="Times New Roman"/>
          <w:i/>
          <w:iCs/>
          <w:sz w:val="24"/>
          <w:szCs w:val="24"/>
        </w:rPr>
        <w:t>Jurnal</w:t>
      </w:r>
      <w:proofErr w:type="spellEnd"/>
      <w:r w:rsidRPr="005E2BA7">
        <w:rPr>
          <w:rFonts w:ascii="Times New Roman" w:hAnsi="Times New Roman" w:cs="Times New Roman"/>
          <w:i/>
          <w:iCs/>
          <w:sz w:val="24"/>
          <w:szCs w:val="24"/>
        </w:rPr>
        <w:t xml:space="preserve"> </w:t>
      </w:r>
      <w:proofErr w:type="spellStart"/>
      <w:r w:rsidRPr="005E2BA7">
        <w:rPr>
          <w:rFonts w:ascii="Times New Roman" w:hAnsi="Times New Roman" w:cs="Times New Roman"/>
          <w:i/>
          <w:iCs/>
          <w:sz w:val="24"/>
          <w:szCs w:val="24"/>
        </w:rPr>
        <w:t>Bisna</w:t>
      </w:r>
      <w:proofErr w:type="spellEnd"/>
      <w:r w:rsidRPr="005E2BA7">
        <w:rPr>
          <w:rFonts w:ascii="Times New Roman" w:hAnsi="Times New Roman" w:cs="Times New Roman"/>
          <w:i/>
          <w:iCs/>
          <w:sz w:val="24"/>
          <w:szCs w:val="24"/>
        </w:rPr>
        <w:t xml:space="preserve"> and </w:t>
      </w:r>
      <w:proofErr w:type="spellStart"/>
      <w:r w:rsidRPr="005E2BA7">
        <w:rPr>
          <w:rFonts w:ascii="Times New Roman" w:hAnsi="Times New Roman" w:cs="Times New Roman"/>
          <w:i/>
          <w:iCs/>
          <w:sz w:val="24"/>
          <w:szCs w:val="24"/>
        </w:rPr>
        <w:t>Akintansi</w:t>
      </w:r>
      <w:proofErr w:type="spellEnd"/>
      <w:r w:rsidRPr="005E2BA7">
        <w:rPr>
          <w:rFonts w:ascii="Times New Roman" w:hAnsi="Times New Roman" w:cs="Times New Roman"/>
          <w:i/>
          <w:iCs/>
          <w:sz w:val="24"/>
          <w:szCs w:val="24"/>
        </w:rPr>
        <w:t xml:space="preserve"> Kontemporer</w:t>
      </w:r>
      <w:r w:rsidRPr="005E2BA7">
        <w:rPr>
          <w:rFonts w:ascii="Times New Roman" w:hAnsi="Times New Roman" w:cs="Times New Roman"/>
          <w:sz w:val="24"/>
          <w:szCs w:val="24"/>
        </w:rPr>
        <w:t xml:space="preserve"> 17(1), 114-130.</w:t>
      </w:r>
    </w:p>
    <w:p w14:paraId="707032F0"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 xml:space="preserve">García-Meca, E., &amp; Sánchez-Ballesta, J. P. (2017). The influence of the size and age of firms on financial performance: Evidence from the Spanish REITs. </w:t>
      </w:r>
      <w:r w:rsidRPr="005E2BA7">
        <w:rPr>
          <w:rFonts w:ascii="Times New Roman" w:hAnsi="Times New Roman" w:cs="Times New Roman"/>
          <w:i/>
          <w:iCs/>
          <w:sz w:val="24"/>
          <w:szCs w:val="24"/>
        </w:rPr>
        <w:t>International Review of Economics &amp; Finance</w:t>
      </w:r>
      <w:r w:rsidRPr="005E2BA7">
        <w:rPr>
          <w:rFonts w:ascii="Times New Roman" w:hAnsi="Times New Roman" w:cs="Times New Roman"/>
          <w:sz w:val="24"/>
          <w:szCs w:val="24"/>
        </w:rPr>
        <w:t xml:space="preserve">, 48, 396-408. </w:t>
      </w:r>
    </w:p>
    <w:p w14:paraId="1B5F13E8"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 xml:space="preserve">Greene, W. H. (2012). Econometric analysis (7th ed.). Pearson. </w:t>
      </w:r>
      <w:hyperlink r:id="rId28" w:history="1">
        <w:r w:rsidRPr="005E2BA7">
          <w:rPr>
            <w:rStyle w:val="Hyperlink"/>
            <w:rFonts w:ascii="Times New Roman" w:hAnsi="Times New Roman" w:cs="Times New Roman"/>
            <w:sz w:val="24"/>
            <w:szCs w:val="24"/>
          </w:rPr>
          <w:t>http://pages.stern.nyu.edu/~wgreene/Text/econometricanalysis.html</w:t>
        </w:r>
      </w:hyperlink>
    </w:p>
    <w:p w14:paraId="298B625B"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lang w:val="en-GB"/>
        </w:rPr>
      </w:pPr>
      <w:r w:rsidRPr="005E2BA7">
        <w:rPr>
          <w:rFonts w:ascii="Times New Roman" w:hAnsi="Times New Roman" w:cs="Times New Roman"/>
          <w:sz w:val="24"/>
          <w:szCs w:val="24"/>
        </w:rPr>
        <w:t xml:space="preserve">Halim, H. B., Oyon, M. S. S., &amp; Ahmed, M. (2023). Examining the moderating effect of company size on the relationship between financial performance, capital structure and firm value. International Journal of Business Society, 7(12), 847-852. </w:t>
      </w:r>
      <w:hyperlink r:id="rId29" w:history="1">
        <w:r w:rsidRPr="005E2BA7">
          <w:rPr>
            <w:rStyle w:val="Hyperlink"/>
            <w:rFonts w:ascii="Times New Roman" w:hAnsi="Times New Roman" w:cs="Times New Roman"/>
            <w:sz w:val="24"/>
            <w:szCs w:val="24"/>
            <w:lang w:val="en-GB"/>
          </w:rPr>
          <w:t>https://doi.org/10.30566/ijo-bs/2023.12.117</w:t>
        </w:r>
      </w:hyperlink>
    </w:p>
    <w:p w14:paraId="634903F0"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lang w:val="en-IN"/>
        </w:rPr>
      </w:pPr>
      <w:proofErr w:type="spellStart"/>
      <w:r w:rsidRPr="005E2BA7">
        <w:rPr>
          <w:rFonts w:ascii="Times New Roman" w:hAnsi="Times New Roman" w:cs="Times New Roman"/>
          <w:sz w:val="24"/>
          <w:szCs w:val="24"/>
          <w:lang w:val="en-IN"/>
        </w:rPr>
        <w:t>Handayani</w:t>
      </w:r>
      <w:proofErr w:type="spellEnd"/>
      <w:r w:rsidRPr="005E2BA7">
        <w:rPr>
          <w:rFonts w:ascii="Times New Roman" w:hAnsi="Times New Roman" w:cs="Times New Roman"/>
          <w:sz w:val="24"/>
          <w:szCs w:val="24"/>
          <w:lang w:val="en-IN"/>
        </w:rPr>
        <w:t xml:space="preserve">, A., &amp; </w:t>
      </w:r>
      <w:proofErr w:type="spellStart"/>
      <w:r w:rsidRPr="005E2BA7">
        <w:rPr>
          <w:rFonts w:ascii="Times New Roman" w:hAnsi="Times New Roman" w:cs="Times New Roman"/>
          <w:sz w:val="24"/>
          <w:szCs w:val="24"/>
          <w:lang w:val="en-IN"/>
        </w:rPr>
        <w:t>Winingrum</w:t>
      </w:r>
      <w:proofErr w:type="spellEnd"/>
      <w:r w:rsidRPr="005E2BA7">
        <w:rPr>
          <w:rFonts w:ascii="Times New Roman" w:hAnsi="Times New Roman" w:cs="Times New Roman"/>
          <w:sz w:val="24"/>
          <w:szCs w:val="24"/>
          <w:lang w:val="en-IN"/>
        </w:rPr>
        <w:t xml:space="preserve">, W. A. (2023). Financial Performance </w:t>
      </w:r>
      <w:proofErr w:type="gramStart"/>
      <w:r w:rsidRPr="005E2BA7">
        <w:rPr>
          <w:rFonts w:ascii="Times New Roman" w:hAnsi="Times New Roman" w:cs="Times New Roman"/>
          <w:sz w:val="24"/>
          <w:szCs w:val="24"/>
          <w:lang w:val="en-IN"/>
        </w:rPr>
        <w:t>On</w:t>
      </w:r>
      <w:proofErr w:type="gramEnd"/>
      <w:r w:rsidRPr="005E2BA7">
        <w:rPr>
          <w:rFonts w:ascii="Times New Roman" w:hAnsi="Times New Roman" w:cs="Times New Roman"/>
          <w:sz w:val="24"/>
          <w:szCs w:val="24"/>
          <w:lang w:val="en-IN"/>
        </w:rPr>
        <w:t xml:space="preserve"> Banking Share Price. </w:t>
      </w:r>
      <w:proofErr w:type="spellStart"/>
      <w:r w:rsidRPr="005E2BA7">
        <w:rPr>
          <w:rFonts w:ascii="Times New Roman" w:hAnsi="Times New Roman" w:cs="Times New Roman"/>
          <w:sz w:val="24"/>
          <w:szCs w:val="24"/>
          <w:lang w:val="en-IN"/>
        </w:rPr>
        <w:t>Moneter</w:t>
      </w:r>
      <w:proofErr w:type="spellEnd"/>
      <w:r w:rsidRPr="005E2BA7">
        <w:rPr>
          <w:rFonts w:ascii="Times New Roman" w:hAnsi="Times New Roman" w:cs="Times New Roman"/>
          <w:sz w:val="24"/>
          <w:szCs w:val="24"/>
          <w:lang w:val="en-IN"/>
        </w:rPr>
        <w:t xml:space="preserve">: </w:t>
      </w:r>
      <w:proofErr w:type="spellStart"/>
      <w:r w:rsidRPr="005E2BA7">
        <w:rPr>
          <w:rFonts w:ascii="Times New Roman" w:hAnsi="Times New Roman" w:cs="Times New Roman"/>
          <w:sz w:val="24"/>
          <w:szCs w:val="24"/>
          <w:lang w:val="en-IN"/>
        </w:rPr>
        <w:t>Jurnal</w:t>
      </w:r>
      <w:proofErr w:type="spellEnd"/>
      <w:r w:rsidRPr="005E2BA7">
        <w:rPr>
          <w:rFonts w:ascii="Times New Roman" w:hAnsi="Times New Roman" w:cs="Times New Roman"/>
          <w:sz w:val="24"/>
          <w:szCs w:val="24"/>
          <w:lang w:val="en-IN"/>
        </w:rPr>
        <w:t xml:space="preserve"> </w:t>
      </w:r>
      <w:proofErr w:type="spellStart"/>
      <w:r w:rsidRPr="005E2BA7">
        <w:rPr>
          <w:rFonts w:ascii="Times New Roman" w:hAnsi="Times New Roman" w:cs="Times New Roman"/>
          <w:sz w:val="24"/>
          <w:szCs w:val="24"/>
          <w:lang w:val="en-IN"/>
        </w:rPr>
        <w:t>Keuangan</w:t>
      </w:r>
      <w:proofErr w:type="spellEnd"/>
      <w:r w:rsidRPr="005E2BA7">
        <w:rPr>
          <w:rFonts w:ascii="Times New Roman" w:hAnsi="Times New Roman" w:cs="Times New Roman"/>
          <w:sz w:val="24"/>
          <w:szCs w:val="24"/>
          <w:lang w:val="en-IN"/>
        </w:rPr>
        <w:t xml:space="preserve"> dan </w:t>
      </w:r>
      <w:proofErr w:type="spellStart"/>
      <w:r w:rsidRPr="005E2BA7">
        <w:rPr>
          <w:rFonts w:ascii="Times New Roman" w:hAnsi="Times New Roman" w:cs="Times New Roman"/>
          <w:sz w:val="24"/>
          <w:szCs w:val="24"/>
          <w:lang w:val="en-IN"/>
        </w:rPr>
        <w:t>Perbankan</w:t>
      </w:r>
      <w:proofErr w:type="spellEnd"/>
      <w:r w:rsidRPr="005E2BA7">
        <w:rPr>
          <w:rFonts w:ascii="Times New Roman" w:hAnsi="Times New Roman" w:cs="Times New Roman"/>
          <w:sz w:val="24"/>
          <w:szCs w:val="24"/>
          <w:lang w:val="en-IN"/>
        </w:rPr>
        <w:t xml:space="preserve">, 11(2), 303-307. </w:t>
      </w:r>
      <w:hyperlink r:id="rId30" w:history="1">
        <w:r w:rsidRPr="005E2BA7">
          <w:rPr>
            <w:rStyle w:val="Hyperlink"/>
            <w:rFonts w:ascii="Times New Roman" w:hAnsi="Times New Roman" w:cs="Times New Roman"/>
            <w:sz w:val="24"/>
            <w:szCs w:val="24"/>
            <w:lang w:val="en-IN"/>
          </w:rPr>
          <w:t>https://doi.org/10.32832/moneter.v11i2.116</w:t>
        </w:r>
      </w:hyperlink>
    </w:p>
    <w:p w14:paraId="032907F3"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 xml:space="preserve">Harinurdin, E. (2022). The effects of financial performance and institutional ownership on the stock price of mining company in Indonesia Stock Exchange (IDX) Year 2016-2020. </w:t>
      </w:r>
      <w:proofErr w:type="spellStart"/>
      <w:r w:rsidRPr="005E2BA7">
        <w:rPr>
          <w:rFonts w:ascii="Times New Roman" w:hAnsi="Times New Roman" w:cs="Times New Roman"/>
          <w:sz w:val="24"/>
          <w:szCs w:val="24"/>
        </w:rPr>
        <w:t>Jurnal</w:t>
      </w:r>
      <w:proofErr w:type="spellEnd"/>
      <w:r w:rsidRPr="005E2BA7">
        <w:rPr>
          <w:rFonts w:ascii="Times New Roman" w:hAnsi="Times New Roman" w:cs="Times New Roman"/>
          <w:sz w:val="24"/>
          <w:szCs w:val="24"/>
        </w:rPr>
        <w:t xml:space="preserve"> </w:t>
      </w:r>
      <w:proofErr w:type="spellStart"/>
      <w:r w:rsidRPr="005E2BA7">
        <w:rPr>
          <w:rFonts w:ascii="Times New Roman" w:hAnsi="Times New Roman" w:cs="Times New Roman"/>
          <w:sz w:val="24"/>
          <w:szCs w:val="24"/>
        </w:rPr>
        <w:t>Keuangan</w:t>
      </w:r>
      <w:proofErr w:type="spellEnd"/>
      <w:r w:rsidRPr="005E2BA7">
        <w:rPr>
          <w:rFonts w:ascii="Times New Roman" w:hAnsi="Times New Roman" w:cs="Times New Roman"/>
          <w:sz w:val="24"/>
          <w:szCs w:val="24"/>
        </w:rPr>
        <w:t xml:space="preserve"> dan </w:t>
      </w:r>
      <w:proofErr w:type="spellStart"/>
      <w:r w:rsidRPr="005E2BA7">
        <w:rPr>
          <w:rFonts w:ascii="Times New Roman" w:hAnsi="Times New Roman" w:cs="Times New Roman"/>
          <w:sz w:val="24"/>
          <w:szCs w:val="24"/>
        </w:rPr>
        <w:t>Perbankan</w:t>
      </w:r>
      <w:proofErr w:type="spellEnd"/>
      <w:r w:rsidRPr="005E2BA7">
        <w:rPr>
          <w:rFonts w:ascii="Times New Roman" w:hAnsi="Times New Roman" w:cs="Times New Roman"/>
          <w:sz w:val="24"/>
          <w:szCs w:val="24"/>
        </w:rPr>
        <w:t xml:space="preserve"> (KEBAN), 2(1), 21-47. </w:t>
      </w:r>
      <w:hyperlink r:id="rId31" w:history="1">
        <w:r w:rsidRPr="005E2BA7">
          <w:rPr>
            <w:rStyle w:val="Hyperlink"/>
            <w:rFonts w:ascii="Times New Roman" w:hAnsi="Times New Roman" w:cs="Times New Roman"/>
            <w:sz w:val="24"/>
            <w:szCs w:val="24"/>
          </w:rPr>
          <w:t>https://doi.org/10.30656/jkk.v2i1.5909</w:t>
        </w:r>
      </w:hyperlink>
    </w:p>
    <w:p w14:paraId="5822AF1F"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proofErr w:type="spellStart"/>
      <w:r w:rsidRPr="005E2BA7">
        <w:rPr>
          <w:rFonts w:ascii="Times New Roman" w:hAnsi="Times New Roman" w:cs="Times New Roman"/>
          <w:sz w:val="24"/>
          <w:szCs w:val="24"/>
          <w:lang w:val="fr-FR"/>
        </w:rPr>
        <w:t>Hutasoit</w:t>
      </w:r>
      <w:proofErr w:type="spellEnd"/>
      <w:r w:rsidRPr="005E2BA7">
        <w:rPr>
          <w:rFonts w:ascii="Times New Roman" w:hAnsi="Times New Roman" w:cs="Times New Roman"/>
          <w:sz w:val="24"/>
          <w:szCs w:val="24"/>
          <w:lang w:val="fr-FR"/>
        </w:rPr>
        <w:t xml:space="preserve">, D. T. M., Toni, N., &amp; </w:t>
      </w:r>
      <w:proofErr w:type="spellStart"/>
      <w:r w:rsidRPr="005E2BA7">
        <w:rPr>
          <w:rFonts w:ascii="Times New Roman" w:hAnsi="Times New Roman" w:cs="Times New Roman"/>
          <w:sz w:val="24"/>
          <w:szCs w:val="24"/>
          <w:lang w:val="fr-FR"/>
        </w:rPr>
        <w:t>Ariesa</w:t>
      </w:r>
      <w:proofErr w:type="spellEnd"/>
      <w:r w:rsidRPr="005E2BA7">
        <w:rPr>
          <w:rFonts w:ascii="Times New Roman" w:hAnsi="Times New Roman" w:cs="Times New Roman"/>
          <w:sz w:val="24"/>
          <w:szCs w:val="24"/>
          <w:lang w:val="fr-FR"/>
        </w:rPr>
        <w:t xml:space="preserve">, Y. (2022). </w:t>
      </w:r>
      <w:r w:rsidRPr="005E2BA7">
        <w:rPr>
          <w:rFonts w:ascii="Times New Roman" w:hAnsi="Times New Roman" w:cs="Times New Roman"/>
          <w:sz w:val="24"/>
          <w:szCs w:val="24"/>
        </w:rPr>
        <w:t>Effect of loan to deposit ratio, capital adequacy ratio, return on equity, and dividend payout ratio on stock prices with Bank Indonesia interest rates as moderating variables in banking companies on the Indonesia Stock Exchange. </w:t>
      </w:r>
      <w:r w:rsidRPr="005E2BA7">
        <w:rPr>
          <w:rFonts w:ascii="Times New Roman" w:hAnsi="Times New Roman" w:cs="Times New Roman"/>
          <w:i/>
          <w:iCs/>
          <w:sz w:val="24"/>
          <w:szCs w:val="24"/>
        </w:rPr>
        <w:t>International Journal of Social and Management Studies</w:t>
      </w:r>
      <w:r w:rsidRPr="005E2BA7">
        <w:rPr>
          <w:rFonts w:ascii="Times New Roman" w:hAnsi="Times New Roman" w:cs="Times New Roman"/>
          <w:sz w:val="24"/>
          <w:szCs w:val="24"/>
        </w:rPr>
        <w:t>, </w:t>
      </w:r>
      <w:r w:rsidRPr="005E2BA7">
        <w:rPr>
          <w:rFonts w:ascii="Times New Roman" w:hAnsi="Times New Roman" w:cs="Times New Roman"/>
          <w:i/>
          <w:iCs/>
          <w:sz w:val="24"/>
          <w:szCs w:val="24"/>
        </w:rPr>
        <w:t>3</w:t>
      </w:r>
      <w:r w:rsidRPr="005E2BA7">
        <w:rPr>
          <w:rFonts w:ascii="Times New Roman" w:hAnsi="Times New Roman" w:cs="Times New Roman"/>
          <w:sz w:val="24"/>
          <w:szCs w:val="24"/>
        </w:rPr>
        <w:t xml:space="preserve">(3), 137–149. </w:t>
      </w:r>
      <w:hyperlink r:id="rId32" w:history="1">
        <w:r w:rsidRPr="005E2BA7">
          <w:rPr>
            <w:rStyle w:val="Hyperlink"/>
            <w:rFonts w:ascii="Times New Roman" w:hAnsi="Times New Roman" w:cs="Times New Roman"/>
            <w:color w:val="auto"/>
            <w:sz w:val="24"/>
            <w:szCs w:val="24"/>
          </w:rPr>
          <w:t>https://doi.org/10.5555/ijosmas.v3i3.207</w:t>
        </w:r>
      </w:hyperlink>
    </w:p>
    <w:p w14:paraId="45A51ACB"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lang w:val="pt-BR"/>
        </w:rPr>
        <w:t xml:space="preserve">Idawati, I. A. A., &amp; Paramananda, N. (2022). </w:t>
      </w:r>
      <w:r w:rsidRPr="005E2BA7">
        <w:rPr>
          <w:rFonts w:ascii="Times New Roman" w:hAnsi="Times New Roman" w:cs="Times New Roman"/>
          <w:sz w:val="24"/>
          <w:szCs w:val="24"/>
        </w:rPr>
        <w:t xml:space="preserve">Analysis of the Relationship between Financial Performance and Stock Prices in Food and Beverage Sub-Sector Companies Listed on the IDX. Account and Financial Management Journal, 7(08), 2875-2882. </w:t>
      </w:r>
      <w:hyperlink r:id="rId33" w:history="1">
        <w:r w:rsidRPr="005E2BA7">
          <w:rPr>
            <w:rStyle w:val="Hyperlink"/>
            <w:rFonts w:ascii="Times New Roman" w:hAnsi="Times New Roman" w:cs="Times New Roman"/>
            <w:sz w:val="24"/>
            <w:szCs w:val="24"/>
          </w:rPr>
          <w:t>https://doi.org/10.47191/afmj/v7i8.02</w:t>
        </w:r>
      </w:hyperlink>
    </w:p>
    <w:p w14:paraId="6A01C91E"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proofErr w:type="spellStart"/>
      <w:r w:rsidRPr="005E2BA7">
        <w:rPr>
          <w:rFonts w:ascii="Times New Roman" w:hAnsi="Times New Roman" w:cs="Times New Roman"/>
          <w:sz w:val="24"/>
          <w:szCs w:val="24"/>
        </w:rPr>
        <w:t>Ighosewe</w:t>
      </w:r>
      <w:proofErr w:type="spellEnd"/>
      <w:r w:rsidRPr="005E2BA7">
        <w:rPr>
          <w:rFonts w:ascii="Times New Roman" w:hAnsi="Times New Roman" w:cs="Times New Roman"/>
          <w:sz w:val="24"/>
          <w:szCs w:val="24"/>
        </w:rPr>
        <w:t xml:space="preserve">, E. F., </w:t>
      </w:r>
      <w:proofErr w:type="spellStart"/>
      <w:r w:rsidRPr="005E2BA7">
        <w:rPr>
          <w:rFonts w:ascii="Times New Roman" w:hAnsi="Times New Roman" w:cs="Times New Roman"/>
          <w:sz w:val="24"/>
          <w:szCs w:val="24"/>
        </w:rPr>
        <w:t>Akpokerere</w:t>
      </w:r>
      <w:proofErr w:type="spellEnd"/>
      <w:r w:rsidRPr="005E2BA7">
        <w:rPr>
          <w:rFonts w:ascii="Times New Roman" w:hAnsi="Times New Roman" w:cs="Times New Roman"/>
          <w:sz w:val="24"/>
          <w:szCs w:val="24"/>
        </w:rPr>
        <w:t xml:space="preserve">, O. E., &amp; </w:t>
      </w:r>
      <w:proofErr w:type="spellStart"/>
      <w:r w:rsidRPr="005E2BA7">
        <w:rPr>
          <w:rFonts w:ascii="Times New Roman" w:hAnsi="Times New Roman" w:cs="Times New Roman"/>
          <w:sz w:val="24"/>
          <w:szCs w:val="24"/>
        </w:rPr>
        <w:t>Agbogun</w:t>
      </w:r>
      <w:proofErr w:type="spellEnd"/>
      <w:r w:rsidRPr="005E2BA7">
        <w:rPr>
          <w:rFonts w:ascii="Times New Roman" w:hAnsi="Times New Roman" w:cs="Times New Roman"/>
          <w:sz w:val="24"/>
          <w:szCs w:val="24"/>
        </w:rPr>
        <w:t xml:space="preserve">, O. E. (2023). Accounting information and market value of quoted healthcare firms in Nigeria. </w:t>
      </w:r>
      <w:r w:rsidRPr="005E2BA7">
        <w:rPr>
          <w:rFonts w:ascii="Times New Roman" w:hAnsi="Times New Roman" w:cs="Times New Roman"/>
          <w:i/>
          <w:iCs/>
          <w:sz w:val="24"/>
          <w:szCs w:val="24"/>
        </w:rPr>
        <w:t xml:space="preserve">Journal of </w:t>
      </w:r>
      <w:proofErr w:type="spellStart"/>
      <w:r w:rsidRPr="005E2BA7">
        <w:rPr>
          <w:rFonts w:ascii="Times New Roman" w:hAnsi="Times New Roman" w:cs="Times New Roman"/>
          <w:i/>
          <w:iCs/>
          <w:sz w:val="24"/>
          <w:szCs w:val="24"/>
        </w:rPr>
        <w:t>Xidian</w:t>
      </w:r>
      <w:proofErr w:type="spellEnd"/>
      <w:r w:rsidRPr="005E2BA7">
        <w:rPr>
          <w:rFonts w:ascii="Times New Roman" w:hAnsi="Times New Roman" w:cs="Times New Roman"/>
          <w:i/>
          <w:iCs/>
          <w:sz w:val="24"/>
          <w:szCs w:val="24"/>
        </w:rPr>
        <w:t xml:space="preserve"> University</w:t>
      </w:r>
      <w:r w:rsidRPr="005E2BA7">
        <w:rPr>
          <w:rFonts w:ascii="Times New Roman" w:hAnsi="Times New Roman" w:cs="Times New Roman"/>
          <w:sz w:val="24"/>
          <w:szCs w:val="24"/>
        </w:rPr>
        <w:t xml:space="preserve"> 16(12), 587-603.</w:t>
      </w:r>
    </w:p>
    <w:p w14:paraId="618D68E6"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lastRenderedPageBreak/>
        <w:t xml:space="preserve">Islam, M. R., Khan, T. R., Choudhury, T. T., &amp; Adnan, A. M. (2014). How Earning Per Share (EPS) </w:t>
      </w:r>
      <w:proofErr w:type="spellStart"/>
      <w:r w:rsidRPr="005E2BA7">
        <w:rPr>
          <w:rFonts w:ascii="Times New Roman" w:hAnsi="Times New Roman" w:cs="Times New Roman"/>
          <w:sz w:val="24"/>
          <w:szCs w:val="24"/>
        </w:rPr>
        <w:t>Affects</w:t>
      </w:r>
      <w:proofErr w:type="spellEnd"/>
      <w:r w:rsidRPr="005E2BA7">
        <w:rPr>
          <w:rFonts w:ascii="Times New Roman" w:hAnsi="Times New Roman" w:cs="Times New Roman"/>
          <w:sz w:val="24"/>
          <w:szCs w:val="24"/>
        </w:rPr>
        <w:t xml:space="preserve"> on Share Price and Firm Value. European Journal of Business and Management, 6(17), 97-108. </w:t>
      </w:r>
      <w:hyperlink r:id="rId34" w:history="1">
        <w:r w:rsidRPr="005E2BA7">
          <w:rPr>
            <w:rStyle w:val="Hyperlink"/>
            <w:rFonts w:ascii="Times New Roman" w:hAnsi="Times New Roman" w:cs="Times New Roman"/>
            <w:sz w:val="24"/>
            <w:szCs w:val="24"/>
          </w:rPr>
          <w:t>https://doi.org/10.7176/EJBM/6-17-13</w:t>
        </w:r>
      </w:hyperlink>
    </w:p>
    <w:p w14:paraId="08FE3A11"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 xml:space="preserve">Irawan, A. D., </w:t>
      </w:r>
      <w:proofErr w:type="spellStart"/>
      <w:proofErr w:type="gramStart"/>
      <w:r w:rsidRPr="005E2BA7">
        <w:rPr>
          <w:rFonts w:ascii="Times New Roman" w:hAnsi="Times New Roman" w:cs="Times New Roman"/>
          <w:sz w:val="24"/>
          <w:szCs w:val="24"/>
        </w:rPr>
        <w:t>Herlinawati</w:t>
      </w:r>
      <w:proofErr w:type="spellEnd"/>
      <w:r w:rsidRPr="005E2BA7">
        <w:rPr>
          <w:rFonts w:ascii="Times New Roman" w:hAnsi="Times New Roman" w:cs="Times New Roman"/>
          <w:sz w:val="24"/>
          <w:szCs w:val="24"/>
        </w:rPr>
        <w:t xml:space="preserve"> ,</w:t>
      </w:r>
      <w:proofErr w:type="gramEnd"/>
      <w:r w:rsidRPr="005E2BA7">
        <w:rPr>
          <w:rFonts w:ascii="Times New Roman" w:hAnsi="Times New Roman" w:cs="Times New Roman"/>
          <w:sz w:val="24"/>
          <w:szCs w:val="24"/>
        </w:rPr>
        <w:t xml:space="preserve"> E., &amp; </w:t>
      </w:r>
      <w:proofErr w:type="spellStart"/>
      <w:r w:rsidRPr="005E2BA7">
        <w:rPr>
          <w:rFonts w:ascii="Times New Roman" w:hAnsi="Times New Roman" w:cs="Times New Roman"/>
          <w:sz w:val="24"/>
          <w:szCs w:val="24"/>
        </w:rPr>
        <w:t>Herlina</w:t>
      </w:r>
      <w:proofErr w:type="spellEnd"/>
      <w:r w:rsidRPr="005E2BA7">
        <w:rPr>
          <w:rFonts w:ascii="Times New Roman" w:hAnsi="Times New Roman" w:cs="Times New Roman"/>
          <w:sz w:val="24"/>
          <w:szCs w:val="24"/>
        </w:rPr>
        <w:t xml:space="preserve">, L. (2023). The effect of earning per share, price to book value, and price earnings ratio on the share price of PT. Express </w:t>
      </w:r>
      <w:proofErr w:type="spellStart"/>
      <w:r w:rsidRPr="005E2BA7">
        <w:rPr>
          <w:rFonts w:ascii="Times New Roman" w:hAnsi="Times New Roman" w:cs="Times New Roman"/>
          <w:sz w:val="24"/>
          <w:szCs w:val="24"/>
        </w:rPr>
        <w:t>Transindo</w:t>
      </w:r>
      <w:proofErr w:type="spellEnd"/>
      <w:r w:rsidRPr="005E2BA7">
        <w:rPr>
          <w:rFonts w:ascii="Times New Roman" w:hAnsi="Times New Roman" w:cs="Times New Roman"/>
          <w:sz w:val="24"/>
          <w:szCs w:val="24"/>
        </w:rPr>
        <w:t xml:space="preserve"> Utama </w:t>
      </w:r>
      <w:proofErr w:type="spellStart"/>
      <w:proofErr w:type="gramStart"/>
      <w:r w:rsidRPr="005E2BA7">
        <w:rPr>
          <w:rFonts w:ascii="Times New Roman" w:hAnsi="Times New Roman" w:cs="Times New Roman"/>
          <w:sz w:val="24"/>
          <w:szCs w:val="24"/>
        </w:rPr>
        <w:t>Tbk</w:t>
      </w:r>
      <w:proofErr w:type="spellEnd"/>
      <w:r w:rsidRPr="005E2BA7">
        <w:rPr>
          <w:rFonts w:ascii="Times New Roman" w:hAnsi="Times New Roman" w:cs="Times New Roman"/>
          <w:sz w:val="24"/>
          <w:szCs w:val="24"/>
        </w:rPr>
        <w:t xml:space="preserve"> .</w:t>
      </w:r>
      <w:proofErr w:type="gramEnd"/>
      <w:r w:rsidRPr="005E2BA7">
        <w:rPr>
          <w:rFonts w:ascii="Times New Roman" w:hAnsi="Times New Roman" w:cs="Times New Roman"/>
          <w:sz w:val="24"/>
          <w:szCs w:val="24"/>
        </w:rPr>
        <w:t> </w:t>
      </w:r>
      <w:r w:rsidRPr="005E2BA7">
        <w:rPr>
          <w:rFonts w:ascii="Times New Roman" w:hAnsi="Times New Roman" w:cs="Times New Roman"/>
          <w:i/>
          <w:iCs/>
          <w:sz w:val="24"/>
          <w:szCs w:val="24"/>
        </w:rPr>
        <w:t>International Journal of Finance Research</w:t>
      </w:r>
      <w:r w:rsidRPr="005E2BA7">
        <w:rPr>
          <w:rFonts w:ascii="Times New Roman" w:hAnsi="Times New Roman" w:cs="Times New Roman"/>
          <w:sz w:val="24"/>
          <w:szCs w:val="24"/>
        </w:rPr>
        <w:t>, </w:t>
      </w:r>
      <w:r w:rsidRPr="005E2BA7">
        <w:rPr>
          <w:rFonts w:ascii="Times New Roman" w:hAnsi="Times New Roman" w:cs="Times New Roman"/>
          <w:i/>
          <w:iCs/>
          <w:sz w:val="24"/>
          <w:szCs w:val="24"/>
        </w:rPr>
        <w:t>4</w:t>
      </w:r>
      <w:r w:rsidRPr="005E2BA7">
        <w:rPr>
          <w:rFonts w:ascii="Times New Roman" w:hAnsi="Times New Roman" w:cs="Times New Roman"/>
          <w:sz w:val="24"/>
          <w:szCs w:val="24"/>
        </w:rPr>
        <w:t>(4), 279 - 290. https://doi.org/10.47747/ijfr.v4i4.1591</w:t>
      </w:r>
    </w:p>
    <w:p w14:paraId="1C0650FB"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 xml:space="preserve">Ohlson, J. A. (1995). Earnings, Book Values, and Dividends in Equity Valuation. Contemporary Accounting Research, 11(2), 661-687. </w:t>
      </w:r>
      <w:hyperlink r:id="rId35" w:history="1">
        <w:r w:rsidRPr="005E2BA7">
          <w:rPr>
            <w:rStyle w:val="Hyperlink"/>
            <w:rFonts w:ascii="Times New Roman" w:hAnsi="Times New Roman" w:cs="Times New Roman"/>
            <w:sz w:val="24"/>
            <w:szCs w:val="24"/>
          </w:rPr>
          <w:t>https://doi.org/10.1111/j.1911-3846.1995.tb00461.x</w:t>
        </w:r>
      </w:hyperlink>
    </w:p>
    <w:p w14:paraId="395D6681"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 xml:space="preserve">Kaplan, S. N., &amp; Zingales, L. (1997). Do Investment-Cash Flow Sensitivities Provide Useful Measures of Financing Constraints? Quarterly Journal of Economics, 112, 169-215. </w:t>
      </w:r>
      <w:hyperlink r:id="rId36" w:history="1">
        <w:r w:rsidRPr="005E2BA7">
          <w:rPr>
            <w:rStyle w:val="Hyperlink"/>
            <w:rFonts w:ascii="Times New Roman" w:hAnsi="Times New Roman" w:cs="Times New Roman"/>
            <w:sz w:val="24"/>
            <w:szCs w:val="24"/>
          </w:rPr>
          <w:t>https://doi.org/10.1162/003355397555163</w:t>
        </w:r>
      </w:hyperlink>
    </w:p>
    <w:p w14:paraId="4F323AFA"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 xml:space="preserve">Kartika, A., </w:t>
      </w:r>
      <w:proofErr w:type="spellStart"/>
      <w:r w:rsidRPr="005E2BA7">
        <w:rPr>
          <w:rFonts w:ascii="Times New Roman" w:hAnsi="Times New Roman" w:cs="Times New Roman"/>
          <w:sz w:val="24"/>
          <w:szCs w:val="24"/>
        </w:rPr>
        <w:t>Handrijaningsih</w:t>
      </w:r>
      <w:proofErr w:type="spellEnd"/>
      <w:r w:rsidRPr="005E2BA7">
        <w:rPr>
          <w:rFonts w:ascii="Times New Roman" w:hAnsi="Times New Roman" w:cs="Times New Roman"/>
          <w:sz w:val="24"/>
          <w:szCs w:val="24"/>
        </w:rPr>
        <w:t xml:space="preserve">, L., T.R., S. M., &amp; Anisah. (2022). The effect of price </w:t>
      </w:r>
      <w:proofErr w:type="spellStart"/>
      <w:r w:rsidRPr="005E2BA7">
        <w:rPr>
          <w:rFonts w:ascii="Times New Roman" w:hAnsi="Times New Roman" w:cs="Times New Roman"/>
          <w:sz w:val="24"/>
          <w:szCs w:val="24"/>
        </w:rPr>
        <w:t>earning</w:t>
      </w:r>
      <w:proofErr w:type="spellEnd"/>
      <w:r w:rsidRPr="005E2BA7">
        <w:rPr>
          <w:rFonts w:ascii="Times New Roman" w:hAnsi="Times New Roman" w:cs="Times New Roman"/>
          <w:sz w:val="24"/>
          <w:szCs w:val="24"/>
        </w:rPr>
        <w:t xml:space="preserve"> ratio, return on equity, debt to equity ratio, firm size, and dividend payout ratio to the stock returns on banks listed in LQ45 Index 2015-2020. </w:t>
      </w:r>
      <w:proofErr w:type="spellStart"/>
      <w:r w:rsidRPr="005E2BA7">
        <w:rPr>
          <w:rFonts w:ascii="Times New Roman" w:hAnsi="Times New Roman" w:cs="Times New Roman"/>
          <w:sz w:val="24"/>
          <w:szCs w:val="24"/>
        </w:rPr>
        <w:t>Ilomata</w:t>
      </w:r>
      <w:proofErr w:type="spellEnd"/>
      <w:r w:rsidRPr="005E2BA7">
        <w:rPr>
          <w:rFonts w:ascii="Times New Roman" w:hAnsi="Times New Roman" w:cs="Times New Roman"/>
          <w:sz w:val="24"/>
          <w:szCs w:val="24"/>
        </w:rPr>
        <w:t xml:space="preserve"> International Journal of Tax and Accounting, 3(4), 435-447. </w:t>
      </w:r>
      <w:hyperlink r:id="rId37" w:history="1">
        <w:r w:rsidRPr="005E2BA7">
          <w:rPr>
            <w:rStyle w:val="Hyperlink"/>
            <w:rFonts w:ascii="Times New Roman" w:hAnsi="Times New Roman" w:cs="Times New Roman"/>
            <w:sz w:val="24"/>
            <w:szCs w:val="24"/>
          </w:rPr>
          <w:t>https://doi.org/10.52728/ijtc.v3i4.592</w:t>
        </w:r>
      </w:hyperlink>
    </w:p>
    <w:p w14:paraId="550D7A09"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Kothari, M. P., Shu, S., &amp; Wysocki, P. T. (2010). Do managers admit to fraudulent financial reporting in managerial earnings guidance? Journal of Accounting and Economics, 49(1-2), 101-116.</w:t>
      </w:r>
    </w:p>
    <w:p w14:paraId="010F96B9"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Kulkarni, S. S., Kulkarni, S. P., &amp; Deshmukh, A. (2020). Firm size, industry, and return on equity: An empirical study of Indian companies. Journal of Management Research, 12(2), 1-15.</w:t>
      </w:r>
    </w:p>
    <w:p w14:paraId="4E15D674"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lang w:val="en-GB"/>
        </w:rPr>
      </w:pPr>
      <w:proofErr w:type="spellStart"/>
      <w:r w:rsidRPr="005E2BA7">
        <w:rPr>
          <w:rFonts w:ascii="Times New Roman" w:hAnsi="Times New Roman" w:cs="Times New Roman"/>
          <w:sz w:val="24"/>
          <w:szCs w:val="24"/>
        </w:rPr>
        <w:t>Maringka</w:t>
      </w:r>
      <w:proofErr w:type="spellEnd"/>
      <w:r w:rsidRPr="005E2BA7">
        <w:rPr>
          <w:rFonts w:ascii="Times New Roman" w:hAnsi="Times New Roman" w:cs="Times New Roman"/>
          <w:sz w:val="24"/>
          <w:szCs w:val="24"/>
        </w:rPr>
        <w:t xml:space="preserve">, T. S. (2024). The influence of earnings per share and interest rate on stock prices in the mediation of firm value (Study on Financial Companies Listed on the Indonesia Stock Exchange). KnE Social Sciences, 9(10), 210–225. </w:t>
      </w:r>
      <w:hyperlink r:id="rId38" w:history="1">
        <w:r w:rsidRPr="005E2BA7">
          <w:rPr>
            <w:rStyle w:val="Hyperlink"/>
            <w:rFonts w:ascii="Times New Roman" w:hAnsi="Times New Roman" w:cs="Times New Roman"/>
            <w:sz w:val="24"/>
            <w:szCs w:val="24"/>
            <w:lang w:val="en-GB"/>
          </w:rPr>
          <w:t>https://doi.org/10.18502/kss.v9i10.15728</w:t>
        </w:r>
      </w:hyperlink>
    </w:p>
    <w:p w14:paraId="36D0F02B"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lang w:val="pt-BR"/>
        </w:rPr>
      </w:pPr>
      <w:r w:rsidRPr="005E2BA7">
        <w:rPr>
          <w:rFonts w:ascii="Times New Roman" w:hAnsi="Times New Roman" w:cs="Times New Roman"/>
          <w:sz w:val="24"/>
          <w:szCs w:val="24"/>
          <w:lang w:val="en-GB"/>
        </w:rPr>
        <w:t xml:space="preserve">Meliza, M., </w:t>
      </w:r>
      <w:proofErr w:type="spellStart"/>
      <w:r w:rsidRPr="005E2BA7">
        <w:rPr>
          <w:rFonts w:ascii="Times New Roman" w:hAnsi="Times New Roman" w:cs="Times New Roman"/>
          <w:sz w:val="24"/>
          <w:szCs w:val="24"/>
          <w:lang w:val="en-GB"/>
        </w:rPr>
        <w:t>Magetana</w:t>
      </w:r>
      <w:proofErr w:type="spellEnd"/>
      <w:r w:rsidRPr="005E2BA7">
        <w:rPr>
          <w:rFonts w:ascii="Times New Roman" w:hAnsi="Times New Roman" w:cs="Times New Roman"/>
          <w:sz w:val="24"/>
          <w:szCs w:val="24"/>
          <w:lang w:val="en-GB"/>
        </w:rPr>
        <w:t xml:space="preserve">, D. Y., &amp; </w:t>
      </w:r>
      <w:proofErr w:type="spellStart"/>
      <w:r w:rsidRPr="005E2BA7">
        <w:rPr>
          <w:rFonts w:ascii="Times New Roman" w:hAnsi="Times New Roman" w:cs="Times New Roman"/>
          <w:sz w:val="24"/>
          <w:szCs w:val="24"/>
          <w:lang w:val="en-GB"/>
        </w:rPr>
        <w:t>Ayuningtyas</w:t>
      </w:r>
      <w:proofErr w:type="spellEnd"/>
      <w:r w:rsidRPr="005E2BA7">
        <w:rPr>
          <w:rFonts w:ascii="Times New Roman" w:hAnsi="Times New Roman" w:cs="Times New Roman"/>
          <w:sz w:val="24"/>
          <w:szCs w:val="24"/>
          <w:lang w:val="en-GB"/>
        </w:rPr>
        <w:t xml:space="preserve">, A. (2024). </w:t>
      </w:r>
      <w:r w:rsidRPr="005E2BA7">
        <w:rPr>
          <w:rFonts w:ascii="Times New Roman" w:hAnsi="Times New Roman" w:cs="Times New Roman"/>
          <w:sz w:val="24"/>
          <w:szCs w:val="24"/>
          <w:lang w:val="en-IN"/>
        </w:rPr>
        <w:t xml:space="preserve">Financial performance and share price: The moderating role of exchange rate. </w:t>
      </w:r>
      <w:r w:rsidRPr="005E2BA7">
        <w:rPr>
          <w:rFonts w:ascii="Times New Roman" w:hAnsi="Times New Roman" w:cs="Times New Roman"/>
          <w:sz w:val="24"/>
          <w:szCs w:val="24"/>
          <w:lang w:val="pt-BR"/>
        </w:rPr>
        <w:t xml:space="preserve">Jurnal Sistem Informasi, Manajemen, dan Akuntansi, 22(1), 1-15. </w:t>
      </w:r>
      <w:r>
        <w:fldChar w:fldCharType="begin"/>
      </w:r>
      <w:r w:rsidRPr="005E2BA7">
        <w:rPr>
          <w:lang w:val="pt-BR"/>
        </w:rPr>
        <w:instrText>HYPERLINK "https://doi.org/10.35129/simak.v22i01.498"</w:instrText>
      </w:r>
      <w:r>
        <w:fldChar w:fldCharType="separate"/>
      </w:r>
      <w:r w:rsidRPr="005E2BA7">
        <w:rPr>
          <w:rStyle w:val="Hyperlink"/>
          <w:rFonts w:ascii="Times New Roman" w:hAnsi="Times New Roman" w:cs="Times New Roman"/>
          <w:sz w:val="24"/>
          <w:szCs w:val="24"/>
          <w:lang w:val="pt-BR"/>
        </w:rPr>
        <w:t>https://doi.org/10.35129/simak.v22i01.498</w:t>
      </w:r>
      <w:r>
        <w:fldChar w:fldCharType="end"/>
      </w:r>
    </w:p>
    <w:p w14:paraId="089A6044"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proofErr w:type="spellStart"/>
      <w:r w:rsidRPr="005E2BA7">
        <w:rPr>
          <w:rFonts w:ascii="Times New Roman" w:hAnsi="Times New Roman" w:cs="Times New Roman"/>
          <w:sz w:val="24"/>
          <w:szCs w:val="24"/>
        </w:rPr>
        <w:t>Moseri</w:t>
      </w:r>
      <w:proofErr w:type="spellEnd"/>
      <w:r w:rsidRPr="005E2BA7">
        <w:rPr>
          <w:rFonts w:ascii="Times New Roman" w:hAnsi="Times New Roman" w:cs="Times New Roman"/>
          <w:sz w:val="24"/>
          <w:szCs w:val="24"/>
        </w:rPr>
        <w:t xml:space="preserve">, N. M., Owualah, S. I., &amp; Ogbebor, P. I. (2024). Earnings Per Share, Dividends Per Share, Dividend Yield and Firm Size on Share Price </w:t>
      </w:r>
      <w:proofErr w:type="spellStart"/>
      <w:r w:rsidRPr="005E2BA7">
        <w:rPr>
          <w:rFonts w:ascii="Times New Roman" w:hAnsi="Times New Roman" w:cs="Times New Roman"/>
          <w:sz w:val="24"/>
          <w:szCs w:val="24"/>
        </w:rPr>
        <w:t>Behaviour</w:t>
      </w:r>
      <w:proofErr w:type="spellEnd"/>
      <w:r w:rsidRPr="005E2BA7">
        <w:rPr>
          <w:rFonts w:ascii="Times New Roman" w:hAnsi="Times New Roman" w:cs="Times New Roman"/>
          <w:sz w:val="24"/>
          <w:szCs w:val="24"/>
        </w:rPr>
        <w:t xml:space="preserve"> of Manufacturing Firms in Nigeria: Causal Effect. International Journal of Economics, Finance and Management Sciences, 12(2), 54-65. </w:t>
      </w:r>
      <w:hyperlink r:id="rId39" w:history="1">
        <w:r w:rsidRPr="005E2BA7">
          <w:rPr>
            <w:rStyle w:val="Hyperlink"/>
            <w:rFonts w:ascii="Times New Roman" w:hAnsi="Times New Roman" w:cs="Times New Roman"/>
            <w:sz w:val="24"/>
            <w:szCs w:val="24"/>
          </w:rPr>
          <w:t>https://doi.org/10.11648/j.ijefm.20241202.12</w:t>
        </w:r>
      </w:hyperlink>
    </w:p>
    <w:p w14:paraId="256BBE7C"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 xml:space="preserve">Morgan, S. L., &amp; Winship, C. (2007). Counterfactuals and causal inference: Methods and principles for social research. Cambridge University Press. </w:t>
      </w:r>
      <w:hyperlink r:id="rId40" w:history="1">
        <w:r w:rsidRPr="005E2BA7">
          <w:rPr>
            <w:rStyle w:val="Hyperlink"/>
            <w:rFonts w:ascii="Times New Roman" w:hAnsi="Times New Roman" w:cs="Times New Roman"/>
            <w:sz w:val="24"/>
            <w:szCs w:val="24"/>
          </w:rPr>
          <w:t>https://doi.org/10.1017/CBO9780511804564</w:t>
        </w:r>
      </w:hyperlink>
    </w:p>
    <w:p w14:paraId="31777436"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lang w:val="en-GB"/>
        </w:rPr>
      </w:pPr>
      <w:r w:rsidRPr="005E2BA7">
        <w:rPr>
          <w:rFonts w:ascii="Times New Roman" w:hAnsi="Times New Roman" w:cs="Times New Roman"/>
          <w:sz w:val="24"/>
          <w:szCs w:val="24"/>
        </w:rPr>
        <w:t xml:space="preserve">Nazir, Y., Hussain, F. Z., Mukhtar, A., &amp; Khalid, S. (2022). The impact of firm-specific factors on the stock prices: New insight from emerging market of Asia. Journal of Accounting and Finance in Emerging Economies, 8(1), 101-112. </w:t>
      </w:r>
      <w:hyperlink r:id="rId41" w:history="1">
        <w:r w:rsidRPr="005E2BA7">
          <w:rPr>
            <w:rStyle w:val="Hyperlink"/>
            <w:rFonts w:ascii="Times New Roman" w:hAnsi="Times New Roman" w:cs="Times New Roman"/>
            <w:sz w:val="24"/>
            <w:szCs w:val="24"/>
            <w:lang w:val="en-GB"/>
          </w:rPr>
          <w:t>https://doi.org/10.26710/jafee.v8i1.2197</w:t>
        </w:r>
      </w:hyperlink>
    </w:p>
    <w:p w14:paraId="4EB21B4D"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lang w:val="en-GB"/>
        </w:rPr>
      </w:pPr>
      <w:r w:rsidRPr="005E2BA7">
        <w:rPr>
          <w:rFonts w:ascii="Times New Roman" w:hAnsi="Times New Roman" w:cs="Times New Roman"/>
          <w:sz w:val="24"/>
          <w:szCs w:val="24"/>
          <w:lang w:val="pt-BR"/>
        </w:rPr>
        <w:t xml:space="preserve">Nugraha, I. A., Fadila, N., &amp; Parlina, N. D. (2024). </w:t>
      </w:r>
      <w:r w:rsidRPr="005E2BA7">
        <w:rPr>
          <w:rFonts w:ascii="Times New Roman" w:hAnsi="Times New Roman" w:cs="Times New Roman"/>
          <w:sz w:val="24"/>
          <w:szCs w:val="24"/>
          <w:lang w:val="en-IN"/>
        </w:rPr>
        <w:t xml:space="preserve">Analysis towards stock price with earnings per share as moderating variable. International Journal of Humanities Education and Social Sciences. </w:t>
      </w:r>
      <w:hyperlink r:id="rId42" w:history="1">
        <w:r w:rsidRPr="005E2BA7">
          <w:rPr>
            <w:rStyle w:val="Hyperlink"/>
            <w:rFonts w:ascii="Times New Roman" w:hAnsi="Times New Roman" w:cs="Times New Roman"/>
            <w:sz w:val="24"/>
            <w:szCs w:val="24"/>
            <w:lang w:val="en-GB"/>
          </w:rPr>
          <w:t>https://doi.org/10.55227/ijhess.v3i6.963</w:t>
        </w:r>
      </w:hyperlink>
    </w:p>
    <w:p w14:paraId="21CE3117"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lang w:val="en-IN"/>
        </w:rPr>
      </w:pPr>
      <w:r w:rsidRPr="005E2BA7">
        <w:rPr>
          <w:rFonts w:ascii="Times New Roman" w:hAnsi="Times New Roman" w:cs="Times New Roman"/>
          <w:sz w:val="24"/>
          <w:szCs w:val="24"/>
          <w:lang w:val="pt-BR"/>
        </w:rPr>
        <w:t xml:space="preserve">Nugroho, M. T., Maria, &amp; Hakim, L. (2023). </w:t>
      </w:r>
      <w:r w:rsidRPr="005E2BA7">
        <w:rPr>
          <w:rFonts w:ascii="Times New Roman" w:hAnsi="Times New Roman" w:cs="Times New Roman"/>
          <w:sz w:val="24"/>
          <w:szCs w:val="24"/>
          <w:lang w:val="en-IN"/>
        </w:rPr>
        <w:t xml:space="preserve">Determinants on share market price of mining companies (Case study in Indonesia). PENANOMICS International Journal of Economics, 2(3), 29-40. </w:t>
      </w:r>
      <w:hyperlink r:id="rId43" w:history="1">
        <w:r w:rsidRPr="005E2BA7">
          <w:rPr>
            <w:rStyle w:val="Hyperlink"/>
            <w:rFonts w:ascii="Times New Roman" w:hAnsi="Times New Roman" w:cs="Times New Roman"/>
            <w:sz w:val="24"/>
            <w:szCs w:val="24"/>
            <w:lang w:val="en-IN"/>
          </w:rPr>
          <w:t>https://doi.org/10.56107/penanomics.v2i3.141</w:t>
        </w:r>
      </w:hyperlink>
    </w:p>
    <w:p w14:paraId="7E3E0A35"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lang w:val="en-GB"/>
        </w:rPr>
      </w:pPr>
      <w:r w:rsidRPr="005E2BA7">
        <w:rPr>
          <w:rFonts w:ascii="Times New Roman" w:hAnsi="Times New Roman" w:cs="Times New Roman"/>
          <w:sz w:val="24"/>
          <w:szCs w:val="24"/>
        </w:rPr>
        <w:lastRenderedPageBreak/>
        <w:t xml:space="preserve">Nusron, L. A., </w:t>
      </w:r>
      <w:proofErr w:type="spellStart"/>
      <w:r w:rsidRPr="005E2BA7">
        <w:rPr>
          <w:rFonts w:ascii="Times New Roman" w:hAnsi="Times New Roman" w:cs="Times New Roman"/>
          <w:sz w:val="24"/>
          <w:szCs w:val="24"/>
        </w:rPr>
        <w:t>Setianingsih</w:t>
      </w:r>
      <w:proofErr w:type="spellEnd"/>
      <w:r w:rsidRPr="005E2BA7">
        <w:rPr>
          <w:rFonts w:ascii="Times New Roman" w:hAnsi="Times New Roman" w:cs="Times New Roman"/>
          <w:sz w:val="24"/>
          <w:szCs w:val="24"/>
        </w:rPr>
        <w:t xml:space="preserve">, R., &amp; </w:t>
      </w:r>
      <w:proofErr w:type="spellStart"/>
      <w:r w:rsidRPr="005E2BA7">
        <w:rPr>
          <w:rFonts w:ascii="Times New Roman" w:hAnsi="Times New Roman" w:cs="Times New Roman"/>
          <w:sz w:val="24"/>
          <w:szCs w:val="24"/>
        </w:rPr>
        <w:t>Fachrunnisa</w:t>
      </w:r>
      <w:proofErr w:type="spellEnd"/>
      <w:r w:rsidRPr="005E2BA7">
        <w:rPr>
          <w:rFonts w:ascii="Times New Roman" w:hAnsi="Times New Roman" w:cs="Times New Roman"/>
          <w:sz w:val="24"/>
          <w:szCs w:val="24"/>
        </w:rPr>
        <w:t xml:space="preserve">, Z. H. (2022). Determinant of share price in property and real estate subsector companies. Journal of Applied Managerial Accounting, 6(1), 93-101. </w:t>
      </w:r>
      <w:hyperlink r:id="rId44" w:history="1">
        <w:r w:rsidRPr="005E2BA7">
          <w:rPr>
            <w:rStyle w:val="Hyperlink"/>
            <w:rFonts w:ascii="Times New Roman" w:hAnsi="Times New Roman" w:cs="Times New Roman"/>
            <w:sz w:val="24"/>
            <w:szCs w:val="24"/>
            <w:lang w:val="en-GB"/>
          </w:rPr>
          <w:t>https://doi.org/10.30871/jama.v6i1.3909</w:t>
        </w:r>
      </w:hyperlink>
    </w:p>
    <w:p w14:paraId="2D1A7EB4"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lang w:val="en-IN"/>
        </w:rPr>
      </w:pPr>
      <w:proofErr w:type="spellStart"/>
      <w:r w:rsidRPr="005E2BA7">
        <w:rPr>
          <w:rFonts w:ascii="Times New Roman" w:hAnsi="Times New Roman" w:cs="Times New Roman"/>
          <w:sz w:val="24"/>
          <w:szCs w:val="24"/>
          <w:lang w:val="en-IN"/>
        </w:rPr>
        <w:t>Obembe</w:t>
      </w:r>
      <w:proofErr w:type="spellEnd"/>
      <w:r w:rsidRPr="005E2BA7">
        <w:rPr>
          <w:rFonts w:ascii="Times New Roman" w:hAnsi="Times New Roman" w:cs="Times New Roman"/>
          <w:sz w:val="24"/>
          <w:szCs w:val="24"/>
          <w:lang w:val="en-IN"/>
        </w:rPr>
        <w:t xml:space="preserve">, O. B., &amp; Bolarinwa, S. T. (2017). Firm Size–Profitability Nexus: An Empirical Evidence from Nigerian Listed Financial Firms. Global Business Review, 20(5), 1109–1121. </w:t>
      </w:r>
      <w:hyperlink r:id="rId45" w:history="1">
        <w:r w:rsidRPr="005E2BA7">
          <w:rPr>
            <w:rStyle w:val="Hyperlink"/>
            <w:rFonts w:ascii="Times New Roman" w:hAnsi="Times New Roman" w:cs="Times New Roman"/>
            <w:sz w:val="24"/>
            <w:szCs w:val="24"/>
            <w:lang w:val="en-IN"/>
          </w:rPr>
          <w:t>https://doi.org/10.1177/0972150917733834</w:t>
        </w:r>
      </w:hyperlink>
    </w:p>
    <w:p w14:paraId="6C7B8525"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proofErr w:type="spellStart"/>
      <w:r w:rsidRPr="005E2BA7">
        <w:rPr>
          <w:rFonts w:ascii="Times New Roman" w:hAnsi="Times New Roman" w:cs="Times New Roman"/>
          <w:sz w:val="24"/>
          <w:szCs w:val="24"/>
        </w:rPr>
        <w:t>Oktoriza</w:t>
      </w:r>
      <w:proofErr w:type="spellEnd"/>
      <w:r w:rsidRPr="005E2BA7">
        <w:rPr>
          <w:rFonts w:ascii="Times New Roman" w:hAnsi="Times New Roman" w:cs="Times New Roman"/>
          <w:sz w:val="24"/>
          <w:szCs w:val="24"/>
        </w:rPr>
        <w:t xml:space="preserve">, L. A., &amp; </w:t>
      </w:r>
      <w:proofErr w:type="spellStart"/>
      <w:r w:rsidRPr="005E2BA7">
        <w:rPr>
          <w:rFonts w:ascii="Times New Roman" w:hAnsi="Times New Roman" w:cs="Times New Roman"/>
          <w:sz w:val="24"/>
          <w:szCs w:val="24"/>
        </w:rPr>
        <w:t>Puspitasari</w:t>
      </w:r>
      <w:proofErr w:type="spellEnd"/>
      <w:r w:rsidRPr="005E2BA7">
        <w:rPr>
          <w:rFonts w:ascii="Times New Roman" w:hAnsi="Times New Roman" w:cs="Times New Roman"/>
          <w:sz w:val="24"/>
          <w:szCs w:val="24"/>
        </w:rPr>
        <w:t xml:space="preserve">, D. (2023). The effect of debt-to-asset ratio, stock price, and return of equity on firm value with size as variable moderation (study on food and beverages companies 2017-2021). </w:t>
      </w:r>
      <w:proofErr w:type="spellStart"/>
      <w:r w:rsidRPr="005E2BA7">
        <w:rPr>
          <w:rFonts w:ascii="Times New Roman" w:hAnsi="Times New Roman" w:cs="Times New Roman"/>
          <w:sz w:val="24"/>
          <w:szCs w:val="24"/>
        </w:rPr>
        <w:t>Fokus</w:t>
      </w:r>
      <w:proofErr w:type="spellEnd"/>
      <w:r w:rsidRPr="005E2BA7">
        <w:rPr>
          <w:rFonts w:ascii="Times New Roman" w:hAnsi="Times New Roman" w:cs="Times New Roman"/>
          <w:sz w:val="24"/>
          <w:szCs w:val="24"/>
        </w:rPr>
        <w:t xml:space="preserve"> </w:t>
      </w:r>
      <w:proofErr w:type="spellStart"/>
      <w:r w:rsidRPr="005E2BA7">
        <w:rPr>
          <w:rFonts w:ascii="Times New Roman" w:hAnsi="Times New Roman" w:cs="Times New Roman"/>
          <w:sz w:val="24"/>
          <w:szCs w:val="24"/>
        </w:rPr>
        <w:t>Ekonomi</w:t>
      </w:r>
      <w:proofErr w:type="spellEnd"/>
      <w:r w:rsidRPr="005E2BA7">
        <w:rPr>
          <w:rFonts w:ascii="Times New Roman" w:hAnsi="Times New Roman" w:cs="Times New Roman"/>
          <w:sz w:val="24"/>
          <w:szCs w:val="24"/>
        </w:rPr>
        <w:t xml:space="preserve"> </w:t>
      </w:r>
      <w:proofErr w:type="spellStart"/>
      <w:r w:rsidRPr="005E2BA7">
        <w:rPr>
          <w:rFonts w:ascii="Times New Roman" w:hAnsi="Times New Roman" w:cs="Times New Roman"/>
          <w:sz w:val="24"/>
          <w:szCs w:val="24"/>
        </w:rPr>
        <w:t>Jurnal</w:t>
      </w:r>
      <w:proofErr w:type="spellEnd"/>
      <w:r w:rsidRPr="005E2BA7">
        <w:rPr>
          <w:rFonts w:ascii="Times New Roman" w:hAnsi="Times New Roman" w:cs="Times New Roman"/>
          <w:sz w:val="24"/>
          <w:szCs w:val="24"/>
        </w:rPr>
        <w:t xml:space="preserve"> </w:t>
      </w:r>
      <w:proofErr w:type="spellStart"/>
      <w:r w:rsidRPr="005E2BA7">
        <w:rPr>
          <w:rFonts w:ascii="Times New Roman" w:hAnsi="Times New Roman" w:cs="Times New Roman"/>
          <w:sz w:val="24"/>
          <w:szCs w:val="24"/>
        </w:rPr>
        <w:t>Ilmiah</w:t>
      </w:r>
      <w:proofErr w:type="spellEnd"/>
      <w:r w:rsidRPr="005E2BA7">
        <w:rPr>
          <w:rFonts w:ascii="Times New Roman" w:hAnsi="Times New Roman" w:cs="Times New Roman"/>
          <w:sz w:val="24"/>
          <w:szCs w:val="24"/>
        </w:rPr>
        <w:t xml:space="preserve"> Ekonomi, 18(2), 129-137. </w:t>
      </w:r>
      <w:hyperlink r:id="rId46" w:history="1">
        <w:r w:rsidRPr="005E2BA7">
          <w:rPr>
            <w:rStyle w:val="Hyperlink"/>
            <w:rFonts w:ascii="Times New Roman" w:hAnsi="Times New Roman" w:cs="Times New Roman"/>
            <w:sz w:val="24"/>
            <w:szCs w:val="24"/>
          </w:rPr>
          <w:t>https://doi.org/10.34152/fe.18.2.129-137</w:t>
        </w:r>
      </w:hyperlink>
    </w:p>
    <w:p w14:paraId="59AFE0C3"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proofErr w:type="spellStart"/>
      <w:r w:rsidRPr="005E2BA7">
        <w:rPr>
          <w:rFonts w:ascii="Times New Roman" w:hAnsi="Times New Roman" w:cs="Times New Roman"/>
          <w:sz w:val="24"/>
          <w:szCs w:val="24"/>
        </w:rPr>
        <w:t>Oladunjoye</w:t>
      </w:r>
      <w:proofErr w:type="spellEnd"/>
      <w:r w:rsidRPr="005E2BA7">
        <w:rPr>
          <w:rFonts w:ascii="Times New Roman" w:hAnsi="Times New Roman" w:cs="Times New Roman"/>
          <w:sz w:val="24"/>
          <w:szCs w:val="24"/>
        </w:rPr>
        <w:t xml:space="preserve">, O. O., Ogbebor, P. I. &amp; </w:t>
      </w:r>
      <w:proofErr w:type="spellStart"/>
      <w:r w:rsidRPr="005E2BA7">
        <w:rPr>
          <w:rFonts w:ascii="Times New Roman" w:hAnsi="Times New Roman" w:cs="Times New Roman"/>
          <w:sz w:val="24"/>
          <w:szCs w:val="24"/>
        </w:rPr>
        <w:t>Alalade</w:t>
      </w:r>
      <w:proofErr w:type="spellEnd"/>
      <w:r w:rsidRPr="005E2BA7">
        <w:rPr>
          <w:rFonts w:ascii="Times New Roman" w:hAnsi="Times New Roman" w:cs="Times New Roman"/>
          <w:sz w:val="24"/>
          <w:szCs w:val="24"/>
        </w:rPr>
        <w:t xml:space="preserve">, Y.S.A. (2021). Debt equity and share price performance of manufacturing companies listed in Nigeria. </w:t>
      </w:r>
      <w:r w:rsidRPr="005E2BA7">
        <w:rPr>
          <w:rFonts w:ascii="Times New Roman" w:hAnsi="Times New Roman" w:cs="Times New Roman"/>
          <w:i/>
          <w:iCs/>
          <w:sz w:val="24"/>
          <w:szCs w:val="24"/>
        </w:rPr>
        <w:t>International Journal of Advanced Research,</w:t>
      </w:r>
      <w:r w:rsidRPr="005E2BA7">
        <w:rPr>
          <w:rFonts w:ascii="Times New Roman" w:hAnsi="Times New Roman" w:cs="Times New Roman"/>
          <w:sz w:val="24"/>
          <w:szCs w:val="24"/>
        </w:rPr>
        <w:t xml:space="preserve"> 9(07), 1016-1024     DOI: 10.21474/IJAR01/13206</w:t>
      </w:r>
    </w:p>
    <w:p w14:paraId="4B4E90A6"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bookmarkStart w:id="0" w:name="OLE_LINK10"/>
      <w:r w:rsidRPr="005E2BA7">
        <w:rPr>
          <w:rFonts w:ascii="Times New Roman" w:hAnsi="Times New Roman" w:cs="Times New Roman"/>
          <w:sz w:val="24"/>
          <w:szCs w:val="24"/>
        </w:rPr>
        <w:t xml:space="preserve">Olaniyi, C. O., Simon-Oke, O. O., </w:t>
      </w:r>
      <w:proofErr w:type="spellStart"/>
      <w:r w:rsidRPr="005E2BA7">
        <w:rPr>
          <w:rFonts w:ascii="Times New Roman" w:hAnsi="Times New Roman" w:cs="Times New Roman"/>
          <w:sz w:val="24"/>
          <w:szCs w:val="24"/>
        </w:rPr>
        <w:t>Obembe</w:t>
      </w:r>
      <w:proofErr w:type="spellEnd"/>
      <w:r w:rsidRPr="005E2BA7">
        <w:rPr>
          <w:rFonts w:ascii="Times New Roman" w:hAnsi="Times New Roman" w:cs="Times New Roman"/>
          <w:sz w:val="24"/>
          <w:szCs w:val="24"/>
        </w:rPr>
        <w:t xml:space="preserve">, O. B., &amp; Bolarinwa, S. T. (2017). Re-examining firm size-profitability nexus: empirical evidence from non-financial listed firms in Nigeria. Global Business Review, 18(3), 543–558. </w:t>
      </w:r>
      <w:hyperlink r:id="rId47" w:history="1">
        <w:r w:rsidRPr="005E2BA7">
          <w:rPr>
            <w:rStyle w:val="Hyperlink"/>
            <w:rFonts w:ascii="Times New Roman" w:hAnsi="Times New Roman" w:cs="Times New Roman"/>
            <w:sz w:val="24"/>
            <w:szCs w:val="24"/>
          </w:rPr>
          <w:t>https://doi.org/10.1177/0972150917692064</w:t>
        </w:r>
      </w:hyperlink>
    </w:p>
    <w:p w14:paraId="20101B28"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 xml:space="preserve">Olawale, L.S., Ilo, B. M., &amp; Lawal, F. K. (2017). The effect of firm size on performance of firms in Nigeria, AESTIMATIO, </w:t>
      </w:r>
      <w:r w:rsidRPr="005E2BA7">
        <w:rPr>
          <w:rFonts w:ascii="Times New Roman" w:hAnsi="Times New Roman" w:cs="Times New Roman"/>
          <w:i/>
          <w:iCs/>
          <w:sz w:val="24"/>
          <w:szCs w:val="24"/>
        </w:rPr>
        <w:t>The IEB International Journal of Finance</w:t>
      </w:r>
      <w:r w:rsidRPr="005E2BA7">
        <w:rPr>
          <w:rFonts w:ascii="Times New Roman" w:hAnsi="Times New Roman" w:cs="Times New Roman"/>
          <w:sz w:val="24"/>
          <w:szCs w:val="24"/>
        </w:rPr>
        <w:t xml:space="preserve">, 15, 2-21. doi:10.5605/IEB.15 </w:t>
      </w:r>
    </w:p>
    <w:bookmarkEnd w:id="0"/>
    <w:p w14:paraId="24EE81C2"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lang w:val="pt-BR"/>
        </w:rPr>
        <w:t xml:space="preserve">Onibiyo, E. R., Nwala, N., Mungadi, D. D., Adekola, N. O., Aminu, B., &amp; Shittu, H. B. (2022). </w:t>
      </w:r>
      <w:r w:rsidRPr="005E2BA7">
        <w:rPr>
          <w:rFonts w:ascii="Times New Roman" w:hAnsi="Times New Roman" w:cs="Times New Roman"/>
          <w:sz w:val="24"/>
          <w:szCs w:val="24"/>
        </w:rPr>
        <w:t xml:space="preserve">Effect of financial performance indicators on share price of listed commercial banks in Nigeria. World Journal of Advanced Research and Reviews, 16(02), 145–155. </w:t>
      </w:r>
      <w:hyperlink r:id="rId48" w:history="1">
        <w:r w:rsidRPr="005E2BA7">
          <w:rPr>
            <w:rStyle w:val="Hyperlink"/>
            <w:rFonts w:ascii="Times New Roman" w:hAnsi="Times New Roman" w:cs="Times New Roman"/>
            <w:sz w:val="24"/>
            <w:szCs w:val="24"/>
          </w:rPr>
          <w:t>https://doi.org/10.30574/wjarr.2022.16.2.1131</w:t>
        </w:r>
      </w:hyperlink>
    </w:p>
    <w:p w14:paraId="6CF4BA1A" w14:textId="77777777" w:rsidR="00824E4A" w:rsidRDefault="00824E4A" w:rsidP="005E2BA7">
      <w:pPr>
        <w:pStyle w:val="ListParagraph"/>
        <w:numPr>
          <w:ilvl w:val="0"/>
          <w:numId w:val="8"/>
        </w:numPr>
        <w:spacing w:after="0" w:line="240" w:lineRule="auto"/>
        <w:jc w:val="both"/>
      </w:pPr>
      <w:proofErr w:type="spellStart"/>
      <w:r w:rsidRPr="005E2BA7">
        <w:rPr>
          <w:rFonts w:ascii="Times New Roman" w:hAnsi="Times New Roman" w:cs="Times New Roman"/>
          <w:sz w:val="24"/>
          <w:szCs w:val="24"/>
        </w:rPr>
        <w:t>Paramitra</w:t>
      </w:r>
      <w:proofErr w:type="spellEnd"/>
      <w:r w:rsidRPr="005E2BA7">
        <w:rPr>
          <w:rFonts w:ascii="Times New Roman" w:hAnsi="Times New Roman" w:cs="Times New Roman"/>
          <w:sz w:val="24"/>
          <w:szCs w:val="24"/>
        </w:rPr>
        <w:t xml:space="preserve">, Y. (2024). How to equity ratio, profitability and firm value shape stock prices: An in-depth analysis. Research of Accounting and Governance. </w:t>
      </w:r>
      <w:hyperlink r:id="rId49" w:history="1">
        <w:r w:rsidRPr="005E2BA7">
          <w:rPr>
            <w:rStyle w:val="Hyperlink"/>
            <w:rFonts w:ascii="Times New Roman" w:hAnsi="Times New Roman" w:cs="Times New Roman"/>
            <w:sz w:val="24"/>
            <w:szCs w:val="24"/>
          </w:rPr>
          <w:t>https://doi.org/10.58777/rag.v2i2.287</w:t>
        </w:r>
      </w:hyperlink>
    </w:p>
    <w:p w14:paraId="629880D2" w14:textId="72619A9F" w:rsidR="00C92205" w:rsidRPr="005E2BA7" w:rsidRDefault="00C92205"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highlight w:val="yellow"/>
        </w:rPr>
        <w:t xml:space="preserve">Petersen, J. A., McAlister, L., </w:t>
      </w:r>
      <w:proofErr w:type="spellStart"/>
      <w:r w:rsidRPr="005E2BA7">
        <w:rPr>
          <w:rFonts w:ascii="Times New Roman" w:hAnsi="Times New Roman" w:cs="Times New Roman"/>
          <w:sz w:val="24"/>
          <w:szCs w:val="24"/>
          <w:highlight w:val="yellow"/>
        </w:rPr>
        <w:t>Reibstein</w:t>
      </w:r>
      <w:proofErr w:type="spellEnd"/>
      <w:r w:rsidRPr="005E2BA7">
        <w:rPr>
          <w:rFonts w:ascii="Times New Roman" w:hAnsi="Times New Roman" w:cs="Times New Roman"/>
          <w:sz w:val="24"/>
          <w:szCs w:val="24"/>
          <w:highlight w:val="yellow"/>
        </w:rPr>
        <w:t xml:space="preserve">, D. J., Winer, R. S., Kumar, V., &amp; Atkinson, G. (2009). Choosing the right metrics to </w:t>
      </w:r>
      <w:proofErr w:type="spellStart"/>
      <w:r w:rsidRPr="005E2BA7">
        <w:rPr>
          <w:rFonts w:ascii="Times New Roman" w:hAnsi="Times New Roman" w:cs="Times New Roman"/>
          <w:sz w:val="24"/>
          <w:szCs w:val="24"/>
          <w:highlight w:val="yellow"/>
        </w:rPr>
        <w:t>maximise</w:t>
      </w:r>
      <w:proofErr w:type="spellEnd"/>
      <w:r w:rsidRPr="005E2BA7">
        <w:rPr>
          <w:rFonts w:ascii="Times New Roman" w:hAnsi="Times New Roman" w:cs="Times New Roman"/>
          <w:sz w:val="24"/>
          <w:szCs w:val="24"/>
          <w:highlight w:val="yellow"/>
        </w:rPr>
        <w:t xml:space="preserve"> profitability and shareholder value. </w:t>
      </w:r>
      <w:r w:rsidRPr="005E2BA7">
        <w:rPr>
          <w:rFonts w:ascii="Times New Roman" w:hAnsi="Times New Roman" w:cs="Times New Roman"/>
          <w:i/>
          <w:iCs/>
          <w:sz w:val="24"/>
          <w:szCs w:val="24"/>
          <w:highlight w:val="yellow"/>
        </w:rPr>
        <w:t>Journal of Retailing, 85</w:t>
      </w:r>
      <w:r w:rsidRPr="005E2BA7">
        <w:rPr>
          <w:rFonts w:ascii="Times New Roman" w:hAnsi="Times New Roman" w:cs="Times New Roman"/>
          <w:sz w:val="24"/>
          <w:szCs w:val="24"/>
          <w:highlight w:val="yellow"/>
        </w:rPr>
        <w:t xml:space="preserve">(1), 95–111. </w:t>
      </w:r>
      <w:hyperlink r:id="rId50" w:tgtFrame="_new" w:history="1">
        <w:r w:rsidRPr="005E2BA7">
          <w:rPr>
            <w:rStyle w:val="Hyperlink"/>
            <w:rFonts w:ascii="Times New Roman" w:hAnsi="Times New Roman" w:cs="Times New Roman"/>
            <w:sz w:val="24"/>
            <w:szCs w:val="24"/>
            <w:highlight w:val="yellow"/>
          </w:rPr>
          <w:t>https://doi.org/10.1016/j.jretai.2008.11.004</w:t>
        </w:r>
      </w:hyperlink>
      <w:r w:rsidRPr="005E2BA7">
        <w:rPr>
          <w:rFonts w:ascii="Times New Roman" w:hAnsi="Times New Roman" w:cs="Times New Roman"/>
          <w:sz w:val="24"/>
          <w:szCs w:val="24"/>
        </w:rPr>
        <w:t xml:space="preserve"> </w:t>
      </w:r>
    </w:p>
    <w:p w14:paraId="0394745B"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 xml:space="preserve">Porter, M. E. (1985). Competitive advantage: Creating and sustaining superior performance. Free Press. </w:t>
      </w:r>
      <w:hyperlink r:id="rId51" w:history="1">
        <w:r w:rsidRPr="005E2BA7">
          <w:rPr>
            <w:rStyle w:val="Hyperlink"/>
            <w:rFonts w:ascii="Times New Roman" w:hAnsi="Times New Roman" w:cs="Times New Roman"/>
            <w:sz w:val="24"/>
            <w:szCs w:val="24"/>
          </w:rPr>
          <w:t>https://www.hbs.edu/faculty/research/pages/item.aspx?num=30000</w:t>
        </w:r>
      </w:hyperlink>
    </w:p>
    <w:p w14:paraId="714072BD"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 xml:space="preserve">Putri, L. N., </w:t>
      </w:r>
      <w:proofErr w:type="spellStart"/>
      <w:r w:rsidRPr="005E2BA7">
        <w:rPr>
          <w:rFonts w:ascii="Times New Roman" w:hAnsi="Times New Roman" w:cs="Times New Roman"/>
          <w:sz w:val="24"/>
          <w:szCs w:val="24"/>
        </w:rPr>
        <w:t>Febriani</w:t>
      </w:r>
      <w:proofErr w:type="spellEnd"/>
      <w:r w:rsidRPr="005E2BA7">
        <w:rPr>
          <w:rFonts w:ascii="Times New Roman" w:hAnsi="Times New Roman" w:cs="Times New Roman"/>
          <w:sz w:val="24"/>
          <w:szCs w:val="24"/>
        </w:rPr>
        <w:t xml:space="preserve">, R., &amp; </w:t>
      </w:r>
      <w:proofErr w:type="spellStart"/>
      <w:r w:rsidRPr="005E2BA7">
        <w:rPr>
          <w:rFonts w:ascii="Times New Roman" w:hAnsi="Times New Roman" w:cs="Times New Roman"/>
          <w:sz w:val="24"/>
          <w:szCs w:val="24"/>
        </w:rPr>
        <w:t>Mardiyani</w:t>
      </w:r>
      <w:proofErr w:type="spellEnd"/>
      <w:r w:rsidRPr="005E2BA7">
        <w:rPr>
          <w:rFonts w:ascii="Times New Roman" w:hAnsi="Times New Roman" w:cs="Times New Roman"/>
          <w:sz w:val="24"/>
          <w:szCs w:val="24"/>
        </w:rPr>
        <w:t xml:space="preserve"> (2024). Affecting factors stock price: Earnings per share as moderating variable. </w:t>
      </w:r>
      <w:r w:rsidRPr="005E2BA7">
        <w:rPr>
          <w:rFonts w:ascii="Times New Roman" w:hAnsi="Times New Roman" w:cs="Times New Roman"/>
          <w:i/>
          <w:iCs/>
          <w:sz w:val="24"/>
          <w:szCs w:val="24"/>
        </w:rPr>
        <w:t>International Journal of Entrepreneurship and Business Development</w:t>
      </w:r>
      <w:r w:rsidRPr="005E2BA7">
        <w:rPr>
          <w:rFonts w:ascii="Times New Roman" w:hAnsi="Times New Roman" w:cs="Times New Roman"/>
          <w:sz w:val="24"/>
          <w:szCs w:val="24"/>
        </w:rPr>
        <w:t>. 7(2), 393-402</w:t>
      </w:r>
    </w:p>
    <w:p w14:paraId="507EB8E4"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lang w:val="en-GB"/>
        </w:rPr>
        <w:t xml:space="preserve">Ramadhani, S. M. T., </w:t>
      </w:r>
      <w:proofErr w:type="spellStart"/>
      <w:r w:rsidRPr="005E2BA7">
        <w:rPr>
          <w:rFonts w:ascii="Times New Roman" w:hAnsi="Times New Roman" w:cs="Times New Roman"/>
          <w:sz w:val="24"/>
          <w:szCs w:val="24"/>
          <w:lang w:val="en-GB"/>
        </w:rPr>
        <w:t>Ekanova</w:t>
      </w:r>
      <w:proofErr w:type="spellEnd"/>
      <w:r w:rsidRPr="005E2BA7">
        <w:rPr>
          <w:rFonts w:ascii="Times New Roman" w:hAnsi="Times New Roman" w:cs="Times New Roman"/>
          <w:sz w:val="24"/>
          <w:szCs w:val="24"/>
          <w:lang w:val="en-GB"/>
        </w:rPr>
        <w:t xml:space="preserve">, A. P., &amp; Anwar, Ch. S. (2024). </w:t>
      </w:r>
      <w:r w:rsidRPr="005E2BA7">
        <w:rPr>
          <w:rFonts w:ascii="Times New Roman" w:hAnsi="Times New Roman" w:cs="Times New Roman"/>
          <w:sz w:val="24"/>
          <w:szCs w:val="24"/>
        </w:rPr>
        <w:t xml:space="preserve">The effect of firm size, dividend yield, earning per share and net profit margin on stock prices in pharmacy companies listed on the Indonesia stock exchange for the 2017-2022 period. Journal of Comprehensive Science, 3(7), 2320-2331. </w:t>
      </w:r>
      <w:hyperlink r:id="rId52" w:history="1">
        <w:r w:rsidRPr="005E2BA7">
          <w:rPr>
            <w:rStyle w:val="Hyperlink"/>
            <w:rFonts w:ascii="Times New Roman" w:hAnsi="Times New Roman" w:cs="Times New Roman"/>
            <w:sz w:val="24"/>
            <w:szCs w:val="24"/>
          </w:rPr>
          <w:t>https://doi.org/10.59188/jcs.v3i7.795</w:t>
        </w:r>
      </w:hyperlink>
    </w:p>
    <w:p w14:paraId="2887E2F6"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 xml:space="preserve">Raza, H., Ramakrishnan, S., Gillani, S. M. A. H., &amp; Gillani, S. M. A. H. (2020). Firm-specific factors of share prices: An empirical evidence from automobile sector in Pakistan. International Journal of Management, 11(8), 1690-1698. </w:t>
      </w:r>
      <w:hyperlink r:id="rId53" w:history="1">
        <w:r w:rsidRPr="005E2BA7">
          <w:rPr>
            <w:rStyle w:val="Hyperlink"/>
            <w:rFonts w:ascii="Times New Roman" w:hAnsi="Times New Roman" w:cs="Times New Roman"/>
            <w:sz w:val="24"/>
            <w:szCs w:val="24"/>
          </w:rPr>
          <w:t>https://doi.org/10.34218/IJM.11.8.2020.150</w:t>
        </w:r>
      </w:hyperlink>
    </w:p>
    <w:p w14:paraId="001AD2EF" w14:textId="77777777" w:rsidR="00824E4A" w:rsidRPr="005E2BA7" w:rsidRDefault="00824E4A" w:rsidP="005E2BA7">
      <w:pPr>
        <w:pStyle w:val="ListParagraph"/>
        <w:numPr>
          <w:ilvl w:val="0"/>
          <w:numId w:val="8"/>
        </w:numPr>
        <w:spacing w:after="0" w:line="240" w:lineRule="auto"/>
        <w:rPr>
          <w:rFonts w:ascii="Times New Roman" w:hAnsi="Times New Roman" w:cs="Times New Roman"/>
          <w:sz w:val="24"/>
          <w:szCs w:val="24"/>
        </w:rPr>
      </w:pPr>
      <w:r w:rsidRPr="005E2BA7">
        <w:rPr>
          <w:rFonts w:ascii="Times New Roman" w:hAnsi="Times New Roman" w:cs="Times New Roman"/>
          <w:sz w:val="24"/>
          <w:szCs w:val="24"/>
        </w:rPr>
        <w:t xml:space="preserve">Richard, P. J., Devinney, T. M., Yip, G. S., &amp; Johnson, G. (2009). Measuring organizational performance: Towards methodological best practice. Journal of Management, 35(3), 718–804. </w:t>
      </w:r>
      <w:hyperlink r:id="rId54" w:history="1">
        <w:r w:rsidRPr="005E2BA7">
          <w:rPr>
            <w:rStyle w:val="Hyperlink"/>
            <w:rFonts w:ascii="Times New Roman" w:hAnsi="Times New Roman" w:cs="Times New Roman"/>
            <w:sz w:val="24"/>
            <w:szCs w:val="24"/>
          </w:rPr>
          <w:t>https://doi.org/10.1177/0149206308330560</w:t>
        </w:r>
      </w:hyperlink>
    </w:p>
    <w:p w14:paraId="201ACCF4" w14:textId="77777777" w:rsidR="00824E4A" w:rsidRPr="005E2BA7" w:rsidRDefault="00824E4A" w:rsidP="005E2BA7">
      <w:pPr>
        <w:pStyle w:val="ListParagraph"/>
        <w:numPr>
          <w:ilvl w:val="0"/>
          <w:numId w:val="8"/>
        </w:numPr>
        <w:spacing w:after="0" w:line="240" w:lineRule="auto"/>
        <w:rPr>
          <w:rFonts w:ascii="Times New Roman" w:hAnsi="Times New Roman" w:cs="Times New Roman"/>
          <w:sz w:val="24"/>
          <w:szCs w:val="24"/>
        </w:rPr>
      </w:pPr>
      <w:r w:rsidRPr="005E2BA7">
        <w:rPr>
          <w:rFonts w:ascii="Times New Roman" w:hAnsi="Times New Roman" w:cs="Times New Roman"/>
          <w:sz w:val="24"/>
          <w:szCs w:val="24"/>
        </w:rPr>
        <w:lastRenderedPageBreak/>
        <w:t xml:space="preserve">Ribera, J., &amp; Sanz, J. (2021). The effect of firm size on financial performance: Evidence from Spanish SMEs. </w:t>
      </w:r>
      <w:r w:rsidRPr="005E2BA7">
        <w:rPr>
          <w:rFonts w:ascii="Times New Roman" w:hAnsi="Times New Roman" w:cs="Times New Roman"/>
          <w:i/>
          <w:iCs/>
          <w:sz w:val="24"/>
          <w:szCs w:val="24"/>
        </w:rPr>
        <w:t>Economics of Innovation and New Technology</w:t>
      </w:r>
      <w:r w:rsidRPr="005E2BA7">
        <w:rPr>
          <w:rFonts w:ascii="Times New Roman" w:hAnsi="Times New Roman" w:cs="Times New Roman"/>
          <w:sz w:val="24"/>
          <w:szCs w:val="24"/>
        </w:rPr>
        <w:t xml:space="preserve">, 30(8), 817-833. </w:t>
      </w:r>
    </w:p>
    <w:p w14:paraId="3F3573F9"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 xml:space="preserve">Rohana, K. (2023). Financial performance and share price: Evidence from manufacturing firms before and during the Covid-19 pandemic. </w:t>
      </w:r>
      <w:proofErr w:type="spellStart"/>
      <w:r w:rsidRPr="005E2BA7">
        <w:rPr>
          <w:rFonts w:ascii="Times New Roman" w:hAnsi="Times New Roman" w:cs="Times New Roman"/>
          <w:i/>
          <w:iCs/>
          <w:sz w:val="24"/>
          <w:szCs w:val="24"/>
        </w:rPr>
        <w:t>Jurnal</w:t>
      </w:r>
      <w:proofErr w:type="spellEnd"/>
      <w:r w:rsidRPr="005E2BA7">
        <w:rPr>
          <w:rFonts w:ascii="Times New Roman" w:hAnsi="Times New Roman" w:cs="Times New Roman"/>
          <w:i/>
          <w:iCs/>
          <w:sz w:val="24"/>
          <w:szCs w:val="24"/>
        </w:rPr>
        <w:t xml:space="preserve"> Samudra </w:t>
      </w:r>
      <w:proofErr w:type="spellStart"/>
      <w:r w:rsidRPr="005E2BA7">
        <w:rPr>
          <w:rFonts w:ascii="Times New Roman" w:hAnsi="Times New Roman" w:cs="Times New Roman"/>
          <w:i/>
          <w:iCs/>
          <w:sz w:val="24"/>
          <w:szCs w:val="24"/>
        </w:rPr>
        <w:t>Ekonomi</w:t>
      </w:r>
      <w:proofErr w:type="spellEnd"/>
      <w:r w:rsidRPr="005E2BA7">
        <w:rPr>
          <w:rFonts w:ascii="Times New Roman" w:hAnsi="Times New Roman" w:cs="Times New Roman"/>
          <w:i/>
          <w:iCs/>
          <w:sz w:val="24"/>
          <w:szCs w:val="24"/>
        </w:rPr>
        <w:t xml:space="preserve"> dan </w:t>
      </w:r>
      <w:proofErr w:type="spellStart"/>
      <w:r w:rsidRPr="005E2BA7">
        <w:rPr>
          <w:rFonts w:ascii="Times New Roman" w:hAnsi="Times New Roman" w:cs="Times New Roman"/>
          <w:i/>
          <w:iCs/>
          <w:sz w:val="24"/>
          <w:szCs w:val="24"/>
        </w:rPr>
        <w:t>Bisnis</w:t>
      </w:r>
      <w:proofErr w:type="spellEnd"/>
      <w:r w:rsidRPr="005E2BA7">
        <w:rPr>
          <w:rFonts w:ascii="Times New Roman" w:hAnsi="Times New Roman" w:cs="Times New Roman"/>
          <w:i/>
          <w:iCs/>
          <w:sz w:val="24"/>
          <w:szCs w:val="24"/>
        </w:rPr>
        <w:t>,</w:t>
      </w:r>
      <w:r w:rsidRPr="005E2BA7">
        <w:rPr>
          <w:rFonts w:ascii="Times New Roman" w:hAnsi="Times New Roman" w:cs="Times New Roman"/>
          <w:sz w:val="24"/>
          <w:szCs w:val="24"/>
        </w:rPr>
        <w:t xml:space="preserve"> 14(3), 429-442. </w:t>
      </w:r>
      <w:proofErr w:type="spellStart"/>
      <w:r w:rsidRPr="005E2BA7">
        <w:rPr>
          <w:rFonts w:ascii="Times New Roman" w:hAnsi="Times New Roman" w:cs="Times New Roman"/>
          <w:sz w:val="24"/>
          <w:szCs w:val="24"/>
        </w:rPr>
        <w:t>doi</w:t>
      </w:r>
      <w:proofErr w:type="spellEnd"/>
      <w:r w:rsidRPr="005E2BA7">
        <w:rPr>
          <w:rFonts w:ascii="Times New Roman" w:hAnsi="Times New Roman" w:cs="Times New Roman"/>
          <w:sz w:val="24"/>
          <w:szCs w:val="24"/>
        </w:rPr>
        <w:t xml:space="preserve">: 10.33059/ </w:t>
      </w:r>
      <w:proofErr w:type="gramStart"/>
      <w:r w:rsidRPr="005E2BA7">
        <w:rPr>
          <w:rFonts w:ascii="Times New Roman" w:hAnsi="Times New Roman" w:cs="Times New Roman"/>
          <w:sz w:val="24"/>
          <w:szCs w:val="24"/>
        </w:rPr>
        <w:t>jseb.v</w:t>
      </w:r>
      <w:proofErr w:type="gramEnd"/>
      <w:r w:rsidRPr="005E2BA7">
        <w:rPr>
          <w:rFonts w:ascii="Times New Roman" w:hAnsi="Times New Roman" w:cs="Times New Roman"/>
          <w:sz w:val="24"/>
          <w:szCs w:val="24"/>
        </w:rPr>
        <w:t>14i3.6843.</w:t>
      </w:r>
    </w:p>
    <w:p w14:paraId="00AEFCB0"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proofErr w:type="spellStart"/>
      <w:r w:rsidRPr="005E2BA7">
        <w:rPr>
          <w:rFonts w:ascii="Times New Roman" w:hAnsi="Times New Roman" w:cs="Times New Roman"/>
          <w:sz w:val="24"/>
          <w:szCs w:val="24"/>
        </w:rPr>
        <w:t>Salouhi</w:t>
      </w:r>
      <w:proofErr w:type="spellEnd"/>
      <w:r w:rsidRPr="005E2BA7">
        <w:rPr>
          <w:rFonts w:ascii="Times New Roman" w:hAnsi="Times New Roman" w:cs="Times New Roman"/>
          <w:sz w:val="24"/>
          <w:szCs w:val="24"/>
        </w:rPr>
        <w:t xml:space="preserve">, B. M. &amp; Al-Bakari, J. K. (2024). The influence of internal financial factors on share price trends of companies listed on Iraq Share Exchange. </w:t>
      </w:r>
      <w:proofErr w:type="spellStart"/>
      <w:r w:rsidRPr="005E2BA7">
        <w:rPr>
          <w:rFonts w:ascii="Times New Roman" w:hAnsi="Times New Roman" w:cs="Times New Roman"/>
          <w:i/>
          <w:iCs/>
          <w:sz w:val="24"/>
          <w:szCs w:val="24"/>
        </w:rPr>
        <w:t>Cuadernos</w:t>
      </w:r>
      <w:proofErr w:type="spellEnd"/>
      <w:r w:rsidRPr="005E2BA7">
        <w:rPr>
          <w:rFonts w:ascii="Times New Roman" w:hAnsi="Times New Roman" w:cs="Times New Roman"/>
          <w:i/>
          <w:iCs/>
          <w:sz w:val="24"/>
          <w:szCs w:val="24"/>
        </w:rPr>
        <w:t xml:space="preserve"> de </w:t>
      </w:r>
      <w:proofErr w:type="spellStart"/>
      <w:r w:rsidRPr="005E2BA7">
        <w:rPr>
          <w:rFonts w:ascii="Times New Roman" w:hAnsi="Times New Roman" w:cs="Times New Roman"/>
          <w:i/>
          <w:iCs/>
          <w:sz w:val="24"/>
          <w:szCs w:val="24"/>
        </w:rPr>
        <w:t>Economía</w:t>
      </w:r>
      <w:proofErr w:type="spellEnd"/>
      <w:r w:rsidRPr="005E2BA7">
        <w:rPr>
          <w:rFonts w:ascii="Times New Roman" w:hAnsi="Times New Roman" w:cs="Times New Roman"/>
          <w:sz w:val="24"/>
          <w:szCs w:val="24"/>
        </w:rPr>
        <w:t xml:space="preserve"> 45(128) 98-104</w:t>
      </w:r>
    </w:p>
    <w:p w14:paraId="5420AE9F"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proofErr w:type="spellStart"/>
      <w:r w:rsidRPr="005E2BA7">
        <w:rPr>
          <w:rFonts w:ascii="Times New Roman" w:hAnsi="Times New Roman" w:cs="Times New Roman"/>
          <w:sz w:val="24"/>
          <w:szCs w:val="24"/>
        </w:rPr>
        <w:t>Shadish</w:t>
      </w:r>
      <w:proofErr w:type="spellEnd"/>
      <w:r w:rsidRPr="005E2BA7">
        <w:rPr>
          <w:rFonts w:ascii="Times New Roman" w:hAnsi="Times New Roman" w:cs="Times New Roman"/>
          <w:sz w:val="24"/>
          <w:szCs w:val="24"/>
        </w:rPr>
        <w:t xml:space="preserve">, W. R., Cook, T. D., &amp; Campbell, D. T. (2002). Experimental and quasi-experimental designs for generalized causal inference. Houghton Mifflin. </w:t>
      </w:r>
      <w:hyperlink r:id="rId55" w:history="1">
        <w:r w:rsidRPr="005E2BA7">
          <w:rPr>
            <w:rStyle w:val="Hyperlink"/>
            <w:rFonts w:ascii="Times New Roman" w:hAnsi="Times New Roman" w:cs="Times New Roman"/>
            <w:sz w:val="24"/>
            <w:szCs w:val="24"/>
          </w:rPr>
          <w:t>https://books.google.com/books/about/Experimental_and_Quasi_experimental_Desi.html?id=y_y_AAAAMAAJ</w:t>
        </w:r>
      </w:hyperlink>
    </w:p>
    <w:p w14:paraId="04D7FCEE"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lang w:val="en-GB"/>
        </w:rPr>
      </w:pPr>
      <w:proofErr w:type="spellStart"/>
      <w:r w:rsidRPr="005E2BA7">
        <w:rPr>
          <w:rFonts w:ascii="Times New Roman" w:hAnsi="Times New Roman" w:cs="Times New Roman"/>
          <w:sz w:val="24"/>
          <w:szCs w:val="24"/>
          <w:lang w:val="fr-FR"/>
        </w:rPr>
        <w:t>Shrestha</w:t>
      </w:r>
      <w:proofErr w:type="spellEnd"/>
      <w:r w:rsidRPr="005E2BA7">
        <w:rPr>
          <w:rFonts w:ascii="Times New Roman" w:hAnsi="Times New Roman" w:cs="Times New Roman"/>
          <w:sz w:val="24"/>
          <w:szCs w:val="24"/>
          <w:lang w:val="fr-FR"/>
        </w:rPr>
        <w:t xml:space="preserve">, P. M., &amp; </w:t>
      </w:r>
      <w:proofErr w:type="spellStart"/>
      <w:r w:rsidRPr="005E2BA7">
        <w:rPr>
          <w:rFonts w:ascii="Times New Roman" w:hAnsi="Times New Roman" w:cs="Times New Roman"/>
          <w:sz w:val="24"/>
          <w:szCs w:val="24"/>
          <w:lang w:val="fr-FR"/>
        </w:rPr>
        <w:t>Lamichhane</w:t>
      </w:r>
      <w:proofErr w:type="spellEnd"/>
      <w:r w:rsidRPr="005E2BA7">
        <w:rPr>
          <w:rFonts w:ascii="Times New Roman" w:hAnsi="Times New Roman" w:cs="Times New Roman"/>
          <w:sz w:val="24"/>
          <w:szCs w:val="24"/>
          <w:lang w:val="fr-FR"/>
        </w:rPr>
        <w:t xml:space="preserve">, P. (2022). </w:t>
      </w:r>
      <w:r w:rsidRPr="005E2BA7">
        <w:rPr>
          <w:rFonts w:ascii="Times New Roman" w:hAnsi="Times New Roman" w:cs="Times New Roman"/>
          <w:sz w:val="24"/>
          <w:szCs w:val="24"/>
        </w:rPr>
        <w:t xml:space="preserve">Effect of firm-specific variables on stock returns: Evidence from Nepal. Quest Journal of Management and Social Sciences, 4(2), 249-259. </w:t>
      </w:r>
      <w:hyperlink r:id="rId56" w:history="1">
        <w:r w:rsidRPr="005E2BA7">
          <w:rPr>
            <w:rStyle w:val="Hyperlink"/>
            <w:rFonts w:ascii="Times New Roman" w:hAnsi="Times New Roman" w:cs="Times New Roman"/>
            <w:sz w:val="24"/>
            <w:szCs w:val="24"/>
            <w:lang w:val="en-GB"/>
          </w:rPr>
          <w:t>https://doi.org/10.3126/qjmss.v4i2.50320</w:t>
        </w:r>
      </w:hyperlink>
    </w:p>
    <w:p w14:paraId="6D0EFC5E"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lang w:val="en-IN"/>
        </w:rPr>
      </w:pPr>
      <w:r w:rsidRPr="005E2BA7">
        <w:rPr>
          <w:rFonts w:ascii="Times New Roman" w:hAnsi="Times New Roman" w:cs="Times New Roman"/>
          <w:sz w:val="24"/>
          <w:szCs w:val="24"/>
          <w:lang w:val="pt-BR"/>
        </w:rPr>
        <w:t xml:space="preserve">Sorono, Y., Simarmata, J., Riady, Y., Yati, I., Pratiwi, H., &amp; Hutabarai, Z. S. (2023). </w:t>
      </w:r>
      <w:r w:rsidRPr="005E2BA7">
        <w:rPr>
          <w:rFonts w:ascii="Times New Roman" w:hAnsi="Times New Roman" w:cs="Times New Roman"/>
          <w:sz w:val="24"/>
          <w:szCs w:val="24"/>
          <w:lang w:val="en-IN"/>
        </w:rPr>
        <w:t xml:space="preserve">Looking at financial performance, analysis of its effect on share prices. </w:t>
      </w:r>
      <w:r w:rsidRPr="005E2BA7">
        <w:rPr>
          <w:rFonts w:ascii="Times New Roman" w:hAnsi="Times New Roman" w:cs="Times New Roman"/>
          <w:sz w:val="24"/>
          <w:szCs w:val="24"/>
          <w:lang w:val="en-GB"/>
        </w:rPr>
        <w:t xml:space="preserve">International Journal of Multidisciplinary Sciences and Arts. </w:t>
      </w:r>
      <w:hyperlink r:id="rId57" w:history="1">
        <w:r w:rsidRPr="005E2BA7">
          <w:rPr>
            <w:rStyle w:val="Hyperlink"/>
            <w:rFonts w:ascii="Times New Roman" w:hAnsi="Times New Roman" w:cs="Times New Roman"/>
            <w:sz w:val="24"/>
            <w:szCs w:val="24"/>
            <w:lang w:val="en-IN"/>
          </w:rPr>
          <w:t>https://doi.org/10.47709/ijmdsa.v2i2.3564</w:t>
        </w:r>
      </w:hyperlink>
    </w:p>
    <w:p w14:paraId="72F48E0B"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 xml:space="preserve">Subedi, K. R. (2024). Quest on Determinants of Stock Price in Nepal: Evidence of Microfinance Sector Share Listed in NEPSE. Journal of </w:t>
      </w:r>
      <w:proofErr w:type="spellStart"/>
      <w:r w:rsidRPr="005E2BA7">
        <w:rPr>
          <w:rFonts w:ascii="Times New Roman" w:hAnsi="Times New Roman" w:cs="Times New Roman"/>
          <w:sz w:val="24"/>
          <w:szCs w:val="24"/>
        </w:rPr>
        <w:t>Tikapur</w:t>
      </w:r>
      <w:proofErr w:type="spellEnd"/>
      <w:r w:rsidRPr="005E2BA7">
        <w:rPr>
          <w:rFonts w:ascii="Times New Roman" w:hAnsi="Times New Roman" w:cs="Times New Roman"/>
          <w:sz w:val="24"/>
          <w:szCs w:val="24"/>
        </w:rPr>
        <w:t xml:space="preserve"> Multiple Campus, 7(1-2), 85–106. </w:t>
      </w:r>
      <w:hyperlink r:id="rId58" w:history="1">
        <w:r w:rsidRPr="005E2BA7">
          <w:rPr>
            <w:rStyle w:val="Hyperlink"/>
            <w:rFonts w:ascii="Times New Roman" w:hAnsi="Times New Roman" w:cs="Times New Roman"/>
            <w:sz w:val="24"/>
            <w:szCs w:val="24"/>
          </w:rPr>
          <w:t>https://doi.org/10.3126/jotmc.v7i1-2.63178</w:t>
        </w:r>
      </w:hyperlink>
    </w:p>
    <w:p w14:paraId="2AFA2B6B"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 xml:space="preserve">Sulaiman, A. S., &amp; Khalid, K. M. (2024). Moderating effect of firm size on debt capital and financial performance of listed agricultural firms in Nigeria. </w:t>
      </w:r>
      <w:proofErr w:type="spellStart"/>
      <w:r w:rsidRPr="005E2BA7">
        <w:rPr>
          <w:rFonts w:ascii="Times New Roman" w:hAnsi="Times New Roman" w:cs="Times New Roman"/>
          <w:sz w:val="24"/>
          <w:szCs w:val="24"/>
        </w:rPr>
        <w:t>FULafia</w:t>
      </w:r>
      <w:proofErr w:type="spellEnd"/>
      <w:r w:rsidRPr="005E2BA7">
        <w:rPr>
          <w:rFonts w:ascii="Times New Roman" w:hAnsi="Times New Roman" w:cs="Times New Roman"/>
          <w:sz w:val="24"/>
          <w:szCs w:val="24"/>
        </w:rPr>
        <w:t xml:space="preserve"> International Journal of Business and Allied Studies, 2(1), 91-106. </w:t>
      </w:r>
      <w:hyperlink r:id="rId59" w:history="1">
        <w:r w:rsidRPr="005E2BA7">
          <w:rPr>
            <w:rStyle w:val="Hyperlink"/>
            <w:rFonts w:ascii="Times New Roman" w:hAnsi="Times New Roman" w:cs="Times New Roman"/>
            <w:sz w:val="24"/>
            <w:szCs w:val="24"/>
          </w:rPr>
          <w:t>https://fijbas.org/index.php/FIJBAS/article/view/54</w:t>
        </w:r>
      </w:hyperlink>
    </w:p>
    <w:p w14:paraId="5A605F3E"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lang w:val="en-GB"/>
        </w:rPr>
      </w:pPr>
      <w:r w:rsidRPr="005E2BA7">
        <w:rPr>
          <w:rFonts w:ascii="Times New Roman" w:hAnsi="Times New Roman" w:cs="Times New Roman"/>
          <w:sz w:val="24"/>
          <w:szCs w:val="24"/>
        </w:rPr>
        <w:t xml:space="preserve">Sunday, O. M., </w:t>
      </w:r>
      <w:proofErr w:type="spellStart"/>
      <w:r w:rsidRPr="005E2BA7">
        <w:rPr>
          <w:rFonts w:ascii="Times New Roman" w:hAnsi="Times New Roman" w:cs="Times New Roman"/>
          <w:sz w:val="24"/>
          <w:szCs w:val="24"/>
        </w:rPr>
        <w:t>Nwoha</w:t>
      </w:r>
      <w:proofErr w:type="spellEnd"/>
      <w:r w:rsidRPr="005E2BA7">
        <w:rPr>
          <w:rFonts w:ascii="Times New Roman" w:hAnsi="Times New Roman" w:cs="Times New Roman"/>
          <w:sz w:val="24"/>
          <w:szCs w:val="24"/>
        </w:rPr>
        <w:t xml:space="preserve">, C., &amp; Okorie, N. A. (2022). Evaluating the effect of financial performance on dividend payout of deposit money banks in Nigeria. International Journal of Trend in Scientific Research and Development, 6(7), 1090-1109. </w:t>
      </w:r>
      <w:hyperlink r:id="rId60" w:history="1">
        <w:r w:rsidRPr="005E2BA7">
          <w:rPr>
            <w:rStyle w:val="Hyperlink"/>
            <w:rFonts w:ascii="Times New Roman" w:hAnsi="Times New Roman" w:cs="Times New Roman"/>
            <w:sz w:val="24"/>
            <w:szCs w:val="24"/>
            <w:lang w:val="en-GB"/>
          </w:rPr>
          <w:t>https://www.ijtsrd.com/papers/ijtsrd52574.pdf</w:t>
        </w:r>
      </w:hyperlink>
    </w:p>
    <w:p w14:paraId="3E32B048"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lang w:val="en-IN"/>
        </w:rPr>
      </w:pPr>
      <w:proofErr w:type="spellStart"/>
      <w:r w:rsidRPr="005E2BA7">
        <w:rPr>
          <w:rFonts w:ascii="Times New Roman" w:hAnsi="Times New Roman" w:cs="Times New Roman"/>
          <w:sz w:val="24"/>
          <w:szCs w:val="24"/>
          <w:lang w:val="en-IN"/>
        </w:rPr>
        <w:t>Syofyan</w:t>
      </w:r>
      <w:proofErr w:type="spellEnd"/>
      <w:r w:rsidRPr="005E2BA7">
        <w:rPr>
          <w:rFonts w:ascii="Times New Roman" w:hAnsi="Times New Roman" w:cs="Times New Roman"/>
          <w:sz w:val="24"/>
          <w:szCs w:val="24"/>
          <w:lang w:val="en-IN"/>
        </w:rPr>
        <w:t xml:space="preserve">, R., Putra, D., &amp; </w:t>
      </w:r>
      <w:proofErr w:type="spellStart"/>
      <w:r w:rsidRPr="005E2BA7">
        <w:rPr>
          <w:rFonts w:ascii="Times New Roman" w:hAnsi="Times New Roman" w:cs="Times New Roman"/>
          <w:sz w:val="24"/>
          <w:szCs w:val="24"/>
          <w:lang w:val="en-IN"/>
        </w:rPr>
        <w:t>Aprayuda</w:t>
      </w:r>
      <w:proofErr w:type="spellEnd"/>
      <w:r w:rsidRPr="005E2BA7">
        <w:rPr>
          <w:rFonts w:ascii="Times New Roman" w:hAnsi="Times New Roman" w:cs="Times New Roman"/>
          <w:sz w:val="24"/>
          <w:szCs w:val="24"/>
          <w:lang w:val="en-IN"/>
        </w:rPr>
        <w:t xml:space="preserve">, R. (2020). Influence of company value information, dividend policy, and capital structure on stock price. </w:t>
      </w:r>
      <w:proofErr w:type="spellStart"/>
      <w:r w:rsidRPr="005E2BA7">
        <w:rPr>
          <w:rFonts w:ascii="Times New Roman" w:hAnsi="Times New Roman" w:cs="Times New Roman"/>
          <w:sz w:val="24"/>
          <w:szCs w:val="24"/>
          <w:lang w:val="en-IN"/>
        </w:rPr>
        <w:t>Soedirman</w:t>
      </w:r>
      <w:proofErr w:type="spellEnd"/>
      <w:r w:rsidRPr="005E2BA7">
        <w:rPr>
          <w:rFonts w:ascii="Times New Roman" w:hAnsi="Times New Roman" w:cs="Times New Roman"/>
          <w:sz w:val="24"/>
          <w:szCs w:val="24"/>
          <w:lang w:val="en-IN"/>
        </w:rPr>
        <w:t xml:space="preserve"> Accounting Review: Journal of Accounting and Business, 5(2), 152-169. </w:t>
      </w:r>
      <w:hyperlink r:id="rId61" w:history="1">
        <w:r w:rsidRPr="005E2BA7">
          <w:rPr>
            <w:rStyle w:val="Hyperlink"/>
            <w:rFonts w:ascii="Times New Roman" w:hAnsi="Times New Roman" w:cs="Times New Roman"/>
            <w:sz w:val="24"/>
            <w:szCs w:val="24"/>
            <w:lang w:val="en-IN"/>
          </w:rPr>
          <w:t>https://doi.org/10.20884/1.sar.2020.5.2.3554</w:t>
        </w:r>
      </w:hyperlink>
    </w:p>
    <w:p w14:paraId="39A17D11"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lang w:val="en-GB"/>
        </w:rPr>
      </w:pPr>
      <w:r w:rsidRPr="005E2BA7">
        <w:rPr>
          <w:rFonts w:ascii="Times New Roman" w:hAnsi="Times New Roman" w:cs="Times New Roman"/>
          <w:sz w:val="24"/>
          <w:szCs w:val="24"/>
        </w:rPr>
        <w:t xml:space="preserve">Thapa, B. K., &amp; Paudel, R. R. (2024). Impact of Fundamental Factors on Share Price of Non-life Insurance Companies in Nepal. International Journal of Social Sciences and Management, 11(3), 76–82. </w:t>
      </w:r>
      <w:hyperlink r:id="rId62" w:history="1">
        <w:r w:rsidRPr="005E2BA7">
          <w:rPr>
            <w:rStyle w:val="Hyperlink"/>
            <w:rFonts w:ascii="Times New Roman" w:hAnsi="Times New Roman" w:cs="Times New Roman"/>
            <w:sz w:val="24"/>
            <w:szCs w:val="24"/>
            <w:lang w:val="en-GB"/>
          </w:rPr>
          <w:t>https://doi.org/10.3126/ijssm.v11i3.68378</w:t>
        </w:r>
      </w:hyperlink>
    </w:p>
    <w:p w14:paraId="0347D6E3"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lang w:val="pt-BR"/>
        </w:rPr>
        <w:t xml:space="preserve">Taubah, I. A., Roslina, N. Y., Damayanti, I., &amp; Tansar, I. A. (2024). </w:t>
      </w:r>
      <w:r w:rsidRPr="005E2BA7">
        <w:rPr>
          <w:rFonts w:ascii="Times New Roman" w:hAnsi="Times New Roman" w:cs="Times New Roman"/>
          <w:sz w:val="24"/>
          <w:szCs w:val="24"/>
        </w:rPr>
        <w:t xml:space="preserve">The influence of earning per share and price earnings ratio on stock prices in the food and beverage sector on the Indonesian Stock Exchange for the 2015-2019 period. </w:t>
      </w:r>
      <w:r w:rsidRPr="005E2BA7">
        <w:rPr>
          <w:rFonts w:ascii="Times New Roman" w:hAnsi="Times New Roman" w:cs="Times New Roman"/>
          <w:i/>
          <w:iCs/>
          <w:sz w:val="24"/>
          <w:szCs w:val="24"/>
        </w:rPr>
        <w:t xml:space="preserve">Journal of Economics, Management and Entrepreneurship, </w:t>
      </w:r>
      <w:r w:rsidRPr="005E2BA7">
        <w:rPr>
          <w:rFonts w:ascii="Times New Roman" w:hAnsi="Times New Roman" w:cs="Times New Roman"/>
          <w:sz w:val="24"/>
          <w:szCs w:val="24"/>
        </w:rPr>
        <w:t>2(1), 49-63.</w:t>
      </w:r>
    </w:p>
    <w:p w14:paraId="760B708B" w14:textId="77777777" w:rsidR="00824E4A" w:rsidRPr="005E2BA7" w:rsidRDefault="00824E4A" w:rsidP="005E2BA7">
      <w:pPr>
        <w:pStyle w:val="ListParagraph"/>
        <w:numPr>
          <w:ilvl w:val="0"/>
          <w:numId w:val="8"/>
        </w:numPr>
        <w:spacing w:after="0" w:line="240" w:lineRule="auto"/>
        <w:jc w:val="both"/>
        <w:rPr>
          <w:rFonts w:ascii="Times New Roman" w:hAnsi="Times New Roman" w:cs="Times New Roman"/>
          <w:sz w:val="24"/>
          <w:szCs w:val="24"/>
        </w:rPr>
      </w:pPr>
      <w:r w:rsidRPr="005E2BA7">
        <w:rPr>
          <w:rFonts w:ascii="Times New Roman" w:hAnsi="Times New Roman" w:cs="Times New Roman"/>
          <w:sz w:val="24"/>
          <w:szCs w:val="24"/>
        </w:rPr>
        <w:t xml:space="preserve">Ullah, A., </w:t>
      </w:r>
      <w:proofErr w:type="spellStart"/>
      <w:r w:rsidRPr="005E2BA7">
        <w:rPr>
          <w:rFonts w:ascii="Times New Roman" w:hAnsi="Times New Roman" w:cs="Times New Roman"/>
          <w:sz w:val="24"/>
          <w:szCs w:val="24"/>
        </w:rPr>
        <w:t>Pinglu</w:t>
      </w:r>
      <w:proofErr w:type="spellEnd"/>
      <w:r w:rsidRPr="005E2BA7">
        <w:rPr>
          <w:rFonts w:ascii="Times New Roman" w:hAnsi="Times New Roman" w:cs="Times New Roman"/>
          <w:sz w:val="24"/>
          <w:szCs w:val="24"/>
        </w:rPr>
        <w:t xml:space="preserve">, C., Ullah, S., Zaman, M., &amp; Hashmi, S. H. (2020). The nexus between capital structure, firm-specific factors, macroeconomic factors and financial performance in the textile sector of Pakistan. </w:t>
      </w:r>
      <w:proofErr w:type="spellStart"/>
      <w:r w:rsidRPr="005E2BA7">
        <w:rPr>
          <w:rFonts w:ascii="Times New Roman" w:hAnsi="Times New Roman" w:cs="Times New Roman"/>
          <w:sz w:val="24"/>
          <w:szCs w:val="24"/>
        </w:rPr>
        <w:t>Heliyon</w:t>
      </w:r>
      <w:proofErr w:type="spellEnd"/>
      <w:r w:rsidRPr="005E2BA7">
        <w:rPr>
          <w:rFonts w:ascii="Times New Roman" w:hAnsi="Times New Roman" w:cs="Times New Roman"/>
          <w:sz w:val="24"/>
          <w:szCs w:val="24"/>
        </w:rPr>
        <w:t xml:space="preserve">, 6(8), 1-10. </w:t>
      </w:r>
      <w:hyperlink r:id="rId63" w:history="1">
        <w:r w:rsidRPr="005E2BA7">
          <w:rPr>
            <w:rStyle w:val="Hyperlink"/>
            <w:rFonts w:ascii="Times New Roman" w:hAnsi="Times New Roman" w:cs="Times New Roman"/>
            <w:sz w:val="24"/>
            <w:szCs w:val="24"/>
          </w:rPr>
          <w:t>https://doi.org/10.1016/j.heliyon.2020.e04741</w:t>
        </w:r>
      </w:hyperlink>
    </w:p>
    <w:p w14:paraId="2FE9798A" w14:textId="77777777" w:rsidR="00824E4A" w:rsidRDefault="00824E4A" w:rsidP="005E2BA7">
      <w:pPr>
        <w:pStyle w:val="ListParagraph"/>
        <w:numPr>
          <w:ilvl w:val="0"/>
          <w:numId w:val="8"/>
        </w:numPr>
        <w:spacing w:after="0" w:line="240" w:lineRule="auto"/>
        <w:jc w:val="both"/>
      </w:pPr>
      <w:r w:rsidRPr="005E2BA7">
        <w:rPr>
          <w:rFonts w:ascii="Times New Roman" w:hAnsi="Times New Roman" w:cs="Times New Roman"/>
          <w:sz w:val="24"/>
          <w:szCs w:val="24"/>
        </w:rPr>
        <w:t xml:space="preserve">Wanda, J. A. (2021). Impact of earnings per share on stock price volatility: A study of listed companies on Nairobi Securities Exchange in Kenya. IOSR Journal of Economics and Finance, 12(5), 49-54. </w:t>
      </w:r>
      <w:hyperlink r:id="rId64" w:history="1">
        <w:r w:rsidRPr="005E2BA7">
          <w:rPr>
            <w:rStyle w:val="Hyperlink"/>
            <w:rFonts w:ascii="Times New Roman" w:hAnsi="Times New Roman" w:cs="Times New Roman"/>
            <w:sz w:val="24"/>
            <w:szCs w:val="24"/>
          </w:rPr>
          <w:t>https://doi.org/10.9790/5933-1205024954</w:t>
        </w:r>
      </w:hyperlink>
    </w:p>
    <w:p w14:paraId="287770FB" w14:textId="4FC0C04A" w:rsidR="00DE7541" w:rsidRPr="005E2BA7" w:rsidRDefault="00DE7541" w:rsidP="005E2BA7">
      <w:pPr>
        <w:pStyle w:val="ListParagraph"/>
        <w:numPr>
          <w:ilvl w:val="0"/>
          <w:numId w:val="8"/>
        </w:numPr>
        <w:spacing w:after="0" w:line="240" w:lineRule="auto"/>
        <w:jc w:val="both"/>
        <w:rPr>
          <w:rFonts w:ascii="Times New Roman" w:hAnsi="Times New Roman" w:cs="Times New Roman"/>
          <w:sz w:val="24"/>
          <w:szCs w:val="24"/>
          <w:lang/>
        </w:rPr>
      </w:pPr>
      <w:r w:rsidRPr="005E2BA7">
        <w:rPr>
          <w:rFonts w:ascii="Times New Roman" w:hAnsi="Times New Roman" w:cs="Times New Roman"/>
          <w:sz w:val="24"/>
          <w:szCs w:val="24"/>
          <w:highlight w:val="yellow"/>
          <w:lang/>
        </w:rPr>
        <w:lastRenderedPageBreak/>
        <w:t xml:space="preserve">Wooldridge, J. M. (2010). </w:t>
      </w:r>
      <w:r w:rsidRPr="005E2BA7">
        <w:rPr>
          <w:rFonts w:ascii="Times New Roman" w:hAnsi="Times New Roman" w:cs="Times New Roman"/>
          <w:i/>
          <w:iCs/>
          <w:sz w:val="24"/>
          <w:szCs w:val="24"/>
          <w:highlight w:val="yellow"/>
          <w:lang/>
        </w:rPr>
        <w:t>Econometric analysis of cross section and panel data</w:t>
      </w:r>
      <w:r w:rsidRPr="005E2BA7">
        <w:rPr>
          <w:rFonts w:ascii="Times New Roman" w:hAnsi="Times New Roman" w:cs="Times New Roman"/>
          <w:sz w:val="24"/>
          <w:szCs w:val="24"/>
          <w:highlight w:val="yellow"/>
          <w:lang/>
        </w:rPr>
        <w:t xml:space="preserve"> (2nd ed.). MIT Press.</w:t>
      </w:r>
    </w:p>
    <w:p w14:paraId="2AE8630C" w14:textId="77777777" w:rsidR="00824E4A" w:rsidRPr="005E2BA7" w:rsidRDefault="00824E4A" w:rsidP="005E2BA7">
      <w:pPr>
        <w:pStyle w:val="ListParagraph"/>
        <w:numPr>
          <w:ilvl w:val="0"/>
          <w:numId w:val="8"/>
        </w:numPr>
        <w:spacing w:line="276" w:lineRule="auto"/>
        <w:jc w:val="both"/>
        <w:rPr>
          <w:rFonts w:ascii="Times New Roman" w:hAnsi="Times New Roman" w:cs="Times New Roman"/>
          <w:sz w:val="24"/>
          <w:szCs w:val="24"/>
        </w:rPr>
      </w:pPr>
      <w:proofErr w:type="spellStart"/>
      <w:r w:rsidRPr="005E2BA7">
        <w:rPr>
          <w:rFonts w:ascii="Times New Roman" w:hAnsi="Times New Roman" w:cs="Times New Roman"/>
          <w:sz w:val="24"/>
          <w:szCs w:val="24"/>
        </w:rPr>
        <w:t>Yousefinejad</w:t>
      </w:r>
      <w:proofErr w:type="spellEnd"/>
      <w:r w:rsidRPr="005E2BA7">
        <w:rPr>
          <w:rFonts w:ascii="Times New Roman" w:hAnsi="Times New Roman" w:cs="Times New Roman"/>
          <w:sz w:val="24"/>
          <w:szCs w:val="24"/>
        </w:rPr>
        <w:t xml:space="preserve">, M., Kassim, A. A. M., Hakami, T. A., Othman, J., &amp; Manivannan, P. (2022). Effect of Financial Performance on Stock Prices of Manufacturing Companies in Malaysia; Moderating Role of Sustainability Reporting. International Business and Accounting Research Journal, 6(1), 46-62 </w:t>
      </w:r>
      <w:hyperlink r:id="rId65" w:history="1">
        <w:r w:rsidRPr="005E2BA7">
          <w:rPr>
            <w:rStyle w:val="Hyperlink"/>
            <w:rFonts w:ascii="Times New Roman" w:hAnsi="Times New Roman" w:cs="Times New Roman"/>
            <w:sz w:val="24"/>
            <w:szCs w:val="24"/>
          </w:rPr>
          <w:t>https://doi.org/10.35474/ibarj.v6i1.235</w:t>
        </w:r>
      </w:hyperlink>
    </w:p>
    <w:p w14:paraId="78814B3A" w14:textId="77777777" w:rsidR="00F82440" w:rsidRPr="004939F9" w:rsidRDefault="00F82440" w:rsidP="00BD2A3E">
      <w:pPr>
        <w:spacing w:line="276" w:lineRule="auto"/>
        <w:ind w:left="810" w:hanging="810"/>
        <w:jc w:val="both"/>
        <w:rPr>
          <w:rFonts w:ascii="Times New Roman" w:hAnsi="Times New Roman" w:cs="Times New Roman"/>
          <w:sz w:val="24"/>
          <w:szCs w:val="24"/>
        </w:rPr>
      </w:pPr>
      <w:bookmarkStart w:id="1" w:name="_GoBack"/>
      <w:bookmarkEnd w:id="1"/>
    </w:p>
    <w:sectPr w:rsidR="00F82440" w:rsidRPr="004939F9" w:rsidSect="004A1AD6">
      <w:headerReference w:type="even" r:id="rId66"/>
      <w:headerReference w:type="default" r:id="rId67"/>
      <w:footerReference w:type="even" r:id="rId68"/>
      <w:footerReference w:type="default" r:id="rId69"/>
      <w:headerReference w:type="first" r:id="rId70"/>
      <w:footerReference w:type="first" r:id="rId71"/>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0E748" w14:textId="77777777" w:rsidR="00AA1380" w:rsidRDefault="00AA1380" w:rsidP="00E35264">
      <w:pPr>
        <w:spacing w:after="0" w:line="240" w:lineRule="auto"/>
      </w:pPr>
      <w:r>
        <w:separator/>
      </w:r>
    </w:p>
  </w:endnote>
  <w:endnote w:type="continuationSeparator" w:id="0">
    <w:p w14:paraId="2C984C77" w14:textId="77777777" w:rsidR="00AA1380" w:rsidRDefault="00AA1380" w:rsidP="00E35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7BE21" w14:textId="77777777" w:rsidR="005E2BA7" w:rsidRDefault="005E2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010713"/>
      <w:docPartObj>
        <w:docPartGallery w:val="Page Numbers (Bottom of Page)"/>
        <w:docPartUnique/>
      </w:docPartObj>
    </w:sdtPr>
    <w:sdtEndPr>
      <w:rPr>
        <w:noProof/>
      </w:rPr>
    </w:sdtEndPr>
    <w:sdtContent>
      <w:p w14:paraId="52D558A9" w14:textId="587DA50D" w:rsidR="005E2BA7" w:rsidRDefault="005E2B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1F9B9B" w14:textId="77777777" w:rsidR="005E2BA7" w:rsidRDefault="005E2B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A95FA" w14:textId="77777777" w:rsidR="005E2BA7" w:rsidRDefault="005E2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F63C7" w14:textId="77777777" w:rsidR="00AA1380" w:rsidRDefault="00AA1380" w:rsidP="00E35264">
      <w:pPr>
        <w:spacing w:after="0" w:line="240" w:lineRule="auto"/>
      </w:pPr>
      <w:r>
        <w:separator/>
      </w:r>
    </w:p>
  </w:footnote>
  <w:footnote w:type="continuationSeparator" w:id="0">
    <w:p w14:paraId="1B9F837C" w14:textId="77777777" w:rsidR="00AA1380" w:rsidRDefault="00AA1380" w:rsidP="00E35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CE1DE" w14:textId="2DAFF5E1" w:rsidR="005E2BA7" w:rsidRDefault="005E2BA7">
    <w:pPr>
      <w:pStyle w:val="Header"/>
    </w:pPr>
    <w:r>
      <w:rPr>
        <w:noProof/>
      </w:rPr>
      <w:pict w14:anchorId="32381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48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8D292" w14:textId="77B9BDE7" w:rsidR="005E2BA7" w:rsidRDefault="005E2BA7">
    <w:pPr>
      <w:pStyle w:val="Header"/>
    </w:pPr>
    <w:r>
      <w:rPr>
        <w:noProof/>
      </w:rPr>
      <w:pict w14:anchorId="7A5DB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48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3D8B1" w14:textId="3B70F1BE" w:rsidR="005E2BA7" w:rsidRDefault="005E2BA7">
    <w:pPr>
      <w:pStyle w:val="Header"/>
    </w:pPr>
    <w:r>
      <w:rPr>
        <w:noProof/>
      </w:rPr>
      <w:pict w14:anchorId="74109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48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4F8F"/>
    <w:multiLevelType w:val="hybridMultilevel"/>
    <w:tmpl w:val="B48E5AB0"/>
    <w:lvl w:ilvl="0" w:tplc="739489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27D8D"/>
    <w:multiLevelType w:val="hybridMultilevel"/>
    <w:tmpl w:val="B03C8B7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F458B"/>
    <w:multiLevelType w:val="hybridMultilevel"/>
    <w:tmpl w:val="62B8909A"/>
    <w:lvl w:ilvl="0" w:tplc="739489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24EC9"/>
    <w:multiLevelType w:val="hybridMultilevel"/>
    <w:tmpl w:val="61BAB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E62D26"/>
    <w:multiLevelType w:val="hybridMultilevel"/>
    <w:tmpl w:val="BDF6FAA8"/>
    <w:lvl w:ilvl="0" w:tplc="C4FEFD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8D1988"/>
    <w:multiLevelType w:val="hybridMultilevel"/>
    <w:tmpl w:val="7904119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C81622"/>
    <w:multiLevelType w:val="hybridMultilevel"/>
    <w:tmpl w:val="09FC4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C045D8"/>
    <w:multiLevelType w:val="hybridMultilevel"/>
    <w:tmpl w:val="4F642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5"/>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90"/>
    <w:rsid w:val="00000070"/>
    <w:rsid w:val="00000E7B"/>
    <w:rsid w:val="00002224"/>
    <w:rsid w:val="0000247C"/>
    <w:rsid w:val="00003276"/>
    <w:rsid w:val="00003C47"/>
    <w:rsid w:val="00006F68"/>
    <w:rsid w:val="000073D9"/>
    <w:rsid w:val="00007DCC"/>
    <w:rsid w:val="000107DE"/>
    <w:rsid w:val="000113EC"/>
    <w:rsid w:val="0001156F"/>
    <w:rsid w:val="00011E3F"/>
    <w:rsid w:val="00011F62"/>
    <w:rsid w:val="00012307"/>
    <w:rsid w:val="00014C7D"/>
    <w:rsid w:val="00015E59"/>
    <w:rsid w:val="00017852"/>
    <w:rsid w:val="00017B21"/>
    <w:rsid w:val="000228F1"/>
    <w:rsid w:val="00022991"/>
    <w:rsid w:val="00022D45"/>
    <w:rsid w:val="0002315B"/>
    <w:rsid w:val="00023682"/>
    <w:rsid w:val="00024107"/>
    <w:rsid w:val="0002549F"/>
    <w:rsid w:val="00025686"/>
    <w:rsid w:val="00026457"/>
    <w:rsid w:val="00026FA6"/>
    <w:rsid w:val="000271F2"/>
    <w:rsid w:val="00030003"/>
    <w:rsid w:val="000301A9"/>
    <w:rsid w:val="0003026B"/>
    <w:rsid w:val="0003195F"/>
    <w:rsid w:val="000319D4"/>
    <w:rsid w:val="00031D72"/>
    <w:rsid w:val="00032C58"/>
    <w:rsid w:val="00032DE8"/>
    <w:rsid w:val="000342ED"/>
    <w:rsid w:val="00035363"/>
    <w:rsid w:val="0003599D"/>
    <w:rsid w:val="00037654"/>
    <w:rsid w:val="000377B6"/>
    <w:rsid w:val="00040B43"/>
    <w:rsid w:val="00041BC1"/>
    <w:rsid w:val="00042B8F"/>
    <w:rsid w:val="000431E5"/>
    <w:rsid w:val="0004384A"/>
    <w:rsid w:val="00051216"/>
    <w:rsid w:val="00052DDA"/>
    <w:rsid w:val="00052EC0"/>
    <w:rsid w:val="00054060"/>
    <w:rsid w:val="00054546"/>
    <w:rsid w:val="00055E6A"/>
    <w:rsid w:val="0005779C"/>
    <w:rsid w:val="00061699"/>
    <w:rsid w:val="00062412"/>
    <w:rsid w:val="000631AD"/>
    <w:rsid w:val="00063DC2"/>
    <w:rsid w:val="000641A7"/>
    <w:rsid w:val="00064400"/>
    <w:rsid w:val="00064513"/>
    <w:rsid w:val="00065D71"/>
    <w:rsid w:val="00065E2C"/>
    <w:rsid w:val="0006655E"/>
    <w:rsid w:val="00067108"/>
    <w:rsid w:val="00067947"/>
    <w:rsid w:val="00070714"/>
    <w:rsid w:val="00070EF8"/>
    <w:rsid w:val="00074D86"/>
    <w:rsid w:val="00074DD5"/>
    <w:rsid w:val="00075B0D"/>
    <w:rsid w:val="0007657A"/>
    <w:rsid w:val="00076FDF"/>
    <w:rsid w:val="0008041E"/>
    <w:rsid w:val="0008072C"/>
    <w:rsid w:val="0008195D"/>
    <w:rsid w:val="000822DB"/>
    <w:rsid w:val="00083110"/>
    <w:rsid w:val="00084664"/>
    <w:rsid w:val="000856D0"/>
    <w:rsid w:val="00087839"/>
    <w:rsid w:val="0009049D"/>
    <w:rsid w:val="00093638"/>
    <w:rsid w:val="00093B65"/>
    <w:rsid w:val="000952BF"/>
    <w:rsid w:val="000973B9"/>
    <w:rsid w:val="000A05C7"/>
    <w:rsid w:val="000A2171"/>
    <w:rsid w:val="000A30DA"/>
    <w:rsid w:val="000A548B"/>
    <w:rsid w:val="000A5A93"/>
    <w:rsid w:val="000A61F8"/>
    <w:rsid w:val="000A7846"/>
    <w:rsid w:val="000B2A38"/>
    <w:rsid w:val="000B2D86"/>
    <w:rsid w:val="000B3C62"/>
    <w:rsid w:val="000B565D"/>
    <w:rsid w:val="000B6677"/>
    <w:rsid w:val="000B6E70"/>
    <w:rsid w:val="000B7179"/>
    <w:rsid w:val="000B72E1"/>
    <w:rsid w:val="000C0164"/>
    <w:rsid w:val="000C01A3"/>
    <w:rsid w:val="000C10A8"/>
    <w:rsid w:val="000C1C28"/>
    <w:rsid w:val="000C20EB"/>
    <w:rsid w:val="000C2393"/>
    <w:rsid w:val="000C41CC"/>
    <w:rsid w:val="000C42DD"/>
    <w:rsid w:val="000C5154"/>
    <w:rsid w:val="000C5A17"/>
    <w:rsid w:val="000C7B9A"/>
    <w:rsid w:val="000D0765"/>
    <w:rsid w:val="000D0AFB"/>
    <w:rsid w:val="000D550E"/>
    <w:rsid w:val="000D7616"/>
    <w:rsid w:val="000E0399"/>
    <w:rsid w:val="000E1DD5"/>
    <w:rsid w:val="000E1E8A"/>
    <w:rsid w:val="000E3181"/>
    <w:rsid w:val="000E37BD"/>
    <w:rsid w:val="000E5276"/>
    <w:rsid w:val="000F02DA"/>
    <w:rsid w:val="000F2669"/>
    <w:rsid w:val="000F31E3"/>
    <w:rsid w:val="000F3C27"/>
    <w:rsid w:val="000F4FD4"/>
    <w:rsid w:val="000F5A09"/>
    <w:rsid w:val="000F5DCE"/>
    <w:rsid w:val="000F693F"/>
    <w:rsid w:val="000F7DA6"/>
    <w:rsid w:val="00100343"/>
    <w:rsid w:val="00101768"/>
    <w:rsid w:val="001021C1"/>
    <w:rsid w:val="00104723"/>
    <w:rsid w:val="00104AB5"/>
    <w:rsid w:val="00104F27"/>
    <w:rsid w:val="0010702D"/>
    <w:rsid w:val="00110269"/>
    <w:rsid w:val="00110C57"/>
    <w:rsid w:val="0011599E"/>
    <w:rsid w:val="00117929"/>
    <w:rsid w:val="001212E8"/>
    <w:rsid w:val="001216BB"/>
    <w:rsid w:val="001221DF"/>
    <w:rsid w:val="00122479"/>
    <w:rsid w:val="00123252"/>
    <w:rsid w:val="00124FAD"/>
    <w:rsid w:val="001250B1"/>
    <w:rsid w:val="001257A1"/>
    <w:rsid w:val="001265AF"/>
    <w:rsid w:val="00127E68"/>
    <w:rsid w:val="00131106"/>
    <w:rsid w:val="00131B19"/>
    <w:rsid w:val="00132017"/>
    <w:rsid w:val="00132120"/>
    <w:rsid w:val="001322C1"/>
    <w:rsid w:val="001338E1"/>
    <w:rsid w:val="00134BE4"/>
    <w:rsid w:val="00135770"/>
    <w:rsid w:val="0013645D"/>
    <w:rsid w:val="001372E7"/>
    <w:rsid w:val="0013770F"/>
    <w:rsid w:val="00137A16"/>
    <w:rsid w:val="001426BB"/>
    <w:rsid w:val="00142B2C"/>
    <w:rsid w:val="001432B6"/>
    <w:rsid w:val="00144270"/>
    <w:rsid w:val="0014541C"/>
    <w:rsid w:val="0014556D"/>
    <w:rsid w:val="0014672E"/>
    <w:rsid w:val="0014772D"/>
    <w:rsid w:val="001477D0"/>
    <w:rsid w:val="00147DEA"/>
    <w:rsid w:val="001504B3"/>
    <w:rsid w:val="001509C1"/>
    <w:rsid w:val="0015101B"/>
    <w:rsid w:val="001523EE"/>
    <w:rsid w:val="0015326F"/>
    <w:rsid w:val="00153270"/>
    <w:rsid w:val="001534F5"/>
    <w:rsid w:val="001537FD"/>
    <w:rsid w:val="00154AC7"/>
    <w:rsid w:val="00154F15"/>
    <w:rsid w:val="00154FE6"/>
    <w:rsid w:val="00155237"/>
    <w:rsid w:val="001556E0"/>
    <w:rsid w:val="0015656C"/>
    <w:rsid w:val="001577DC"/>
    <w:rsid w:val="00160586"/>
    <w:rsid w:val="00160F94"/>
    <w:rsid w:val="0016324F"/>
    <w:rsid w:val="001634F1"/>
    <w:rsid w:val="00164440"/>
    <w:rsid w:val="00164E47"/>
    <w:rsid w:val="00165E36"/>
    <w:rsid w:val="00165EBC"/>
    <w:rsid w:val="00165FEE"/>
    <w:rsid w:val="001660B9"/>
    <w:rsid w:val="00166318"/>
    <w:rsid w:val="0016643E"/>
    <w:rsid w:val="001669C5"/>
    <w:rsid w:val="00167265"/>
    <w:rsid w:val="00171BBB"/>
    <w:rsid w:val="00173100"/>
    <w:rsid w:val="00173912"/>
    <w:rsid w:val="00173C17"/>
    <w:rsid w:val="00175CA4"/>
    <w:rsid w:val="00175EC7"/>
    <w:rsid w:val="00176EDD"/>
    <w:rsid w:val="00177402"/>
    <w:rsid w:val="00181ABF"/>
    <w:rsid w:val="0018384C"/>
    <w:rsid w:val="00184F28"/>
    <w:rsid w:val="00185B6A"/>
    <w:rsid w:val="00187C4A"/>
    <w:rsid w:val="00190D78"/>
    <w:rsid w:val="00191358"/>
    <w:rsid w:val="0019514F"/>
    <w:rsid w:val="001A1221"/>
    <w:rsid w:val="001A143E"/>
    <w:rsid w:val="001A1544"/>
    <w:rsid w:val="001A2A39"/>
    <w:rsid w:val="001A2B98"/>
    <w:rsid w:val="001A3AFE"/>
    <w:rsid w:val="001A3B03"/>
    <w:rsid w:val="001A3C49"/>
    <w:rsid w:val="001A66D0"/>
    <w:rsid w:val="001A7361"/>
    <w:rsid w:val="001B35CF"/>
    <w:rsid w:val="001B3F88"/>
    <w:rsid w:val="001B4BDC"/>
    <w:rsid w:val="001B5D75"/>
    <w:rsid w:val="001B5DA2"/>
    <w:rsid w:val="001B69F2"/>
    <w:rsid w:val="001B7051"/>
    <w:rsid w:val="001C1E3E"/>
    <w:rsid w:val="001C3D0D"/>
    <w:rsid w:val="001C42CA"/>
    <w:rsid w:val="001C5AE4"/>
    <w:rsid w:val="001C72B9"/>
    <w:rsid w:val="001C7C63"/>
    <w:rsid w:val="001D0A65"/>
    <w:rsid w:val="001D181B"/>
    <w:rsid w:val="001D390C"/>
    <w:rsid w:val="001D3AFA"/>
    <w:rsid w:val="001D3E6D"/>
    <w:rsid w:val="001D6A14"/>
    <w:rsid w:val="001D6CBC"/>
    <w:rsid w:val="001D7470"/>
    <w:rsid w:val="001D7F6A"/>
    <w:rsid w:val="001E0B61"/>
    <w:rsid w:val="001E1318"/>
    <w:rsid w:val="001E154A"/>
    <w:rsid w:val="001E1712"/>
    <w:rsid w:val="001E2A4A"/>
    <w:rsid w:val="001E480B"/>
    <w:rsid w:val="001E4B96"/>
    <w:rsid w:val="001E7004"/>
    <w:rsid w:val="001F05B8"/>
    <w:rsid w:val="001F10A7"/>
    <w:rsid w:val="001F1153"/>
    <w:rsid w:val="001F1B30"/>
    <w:rsid w:val="001F2085"/>
    <w:rsid w:val="001F3E20"/>
    <w:rsid w:val="001F4129"/>
    <w:rsid w:val="001F4C97"/>
    <w:rsid w:val="001F6056"/>
    <w:rsid w:val="00200DE8"/>
    <w:rsid w:val="00203DBF"/>
    <w:rsid w:val="002057F8"/>
    <w:rsid w:val="00205C38"/>
    <w:rsid w:val="002068A7"/>
    <w:rsid w:val="0020795A"/>
    <w:rsid w:val="00210420"/>
    <w:rsid w:val="00211283"/>
    <w:rsid w:val="0021258A"/>
    <w:rsid w:val="00212751"/>
    <w:rsid w:val="0021345D"/>
    <w:rsid w:val="00214074"/>
    <w:rsid w:val="00214ABD"/>
    <w:rsid w:val="00216EA8"/>
    <w:rsid w:val="00216F04"/>
    <w:rsid w:val="002206EB"/>
    <w:rsid w:val="00220B4F"/>
    <w:rsid w:val="00220E27"/>
    <w:rsid w:val="0022472C"/>
    <w:rsid w:val="0022502B"/>
    <w:rsid w:val="00226533"/>
    <w:rsid w:val="00226956"/>
    <w:rsid w:val="00230FE3"/>
    <w:rsid w:val="002316D6"/>
    <w:rsid w:val="00232FAC"/>
    <w:rsid w:val="0023382E"/>
    <w:rsid w:val="00234706"/>
    <w:rsid w:val="002357BF"/>
    <w:rsid w:val="00236AAF"/>
    <w:rsid w:val="0023796D"/>
    <w:rsid w:val="00237B77"/>
    <w:rsid w:val="002405AA"/>
    <w:rsid w:val="002409BB"/>
    <w:rsid w:val="002412F8"/>
    <w:rsid w:val="0024242B"/>
    <w:rsid w:val="00242AA8"/>
    <w:rsid w:val="00243F30"/>
    <w:rsid w:val="0024441A"/>
    <w:rsid w:val="002449C2"/>
    <w:rsid w:val="00244C8F"/>
    <w:rsid w:val="00245811"/>
    <w:rsid w:val="00245F62"/>
    <w:rsid w:val="002468B1"/>
    <w:rsid w:val="002476A9"/>
    <w:rsid w:val="002502D0"/>
    <w:rsid w:val="0025034B"/>
    <w:rsid w:val="0025110A"/>
    <w:rsid w:val="00251932"/>
    <w:rsid w:val="00252A26"/>
    <w:rsid w:val="00253D12"/>
    <w:rsid w:val="00253F81"/>
    <w:rsid w:val="00254FC9"/>
    <w:rsid w:val="00255077"/>
    <w:rsid w:val="002553D7"/>
    <w:rsid w:val="00255AED"/>
    <w:rsid w:val="00255BBF"/>
    <w:rsid w:val="0025794E"/>
    <w:rsid w:val="00260AEA"/>
    <w:rsid w:val="00260B55"/>
    <w:rsid w:val="002614DF"/>
    <w:rsid w:val="002615DA"/>
    <w:rsid w:val="002617CE"/>
    <w:rsid w:val="00261FD9"/>
    <w:rsid w:val="0026340A"/>
    <w:rsid w:val="00263BB3"/>
    <w:rsid w:val="0026452D"/>
    <w:rsid w:val="00265385"/>
    <w:rsid w:val="00265E4A"/>
    <w:rsid w:val="00265E89"/>
    <w:rsid w:val="0026746B"/>
    <w:rsid w:val="00267640"/>
    <w:rsid w:val="0026781C"/>
    <w:rsid w:val="00267E8A"/>
    <w:rsid w:val="0027167D"/>
    <w:rsid w:val="00271703"/>
    <w:rsid w:val="00271AB8"/>
    <w:rsid w:val="002724BD"/>
    <w:rsid w:val="00272887"/>
    <w:rsid w:val="00273339"/>
    <w:rsid w:val="002736A3"/>
    <w:rsid w:val="00273D93"/>
    <w:rsid w:val="002742AF"/>
    <w:rsid w:val="00274989"/>
    <w:rsid w:val="002807FE"/>
    <w:rsid w:val="00280A9C"/>
    <w:rsid w:val="00280AAE"/>
    <w:rsid w:val="002815E4"/>
    <w:rsid w:val="00285CA2"/>
    <w:rsid w:val="00286110"/>
    <w:rsid w:val="002862AF"/>
    <w:rsid w:val="002869A1"/>
    <w:rsid w:val="0028760B"/>
    <w:rsid w:val="0029245D"/>
    <w:rsid w:val="00292A39"/>
    <w:rsid w:val="00292DA9"/>
    <w:rsid w:val="0029326F"/>
    <w:rsid w:val="00293C42"/>
    <w:rsid w:val="00293D7E"/>
    <w:rsid w:val="0029524C"/>
    <w:rsid w:val="0029581E"/>
    <w:rsid w:val="00295B0B"/>
    <w:rsid w:val="00297324"/>
    <w:rsid w:val="00297978"/>
    <w:rsid w:val="002A00E2"/>
    <w:rsid w:val="002A03DB"/>
    <w:rsid w:val="002A1D23"/>
    <w:rsid w:val="002A4F57"/>
    <w:rsid w:val="002A518A"/>
    <w:rsid w:val="002A61B9"/>
    <w:rsid w:val="002A6B9E"/>
    <w:rsid w:val="002A6D97"/>
    <w:rsid w:val="002A7FC1"/>
    <w:rsid w:val="002B11A9"/>
    <w:rsid w:val="002B1B5A"/>
    <w:rsid w:val="002B1DB7"/>
    <w:rsid w:val="002B2ED6"/>
    <w:rsid w:val="002B3338"/>
    <w:rsid w:val="002B43CB"/>
    <w:rsid w:val="002B44E0"/>
    <w:rsid w:val="002B46FF"/>
    <w:rsid w:val="002B48F6"/>
    <w:rsid w:val="002B5D8F"/>
    <w:rsid w:val="002B7515"/>
    <w:rsid w:val="002C11A4"/>
    <w:rsid w:val="002C35AF"/>
    <w:rsid w:val="002C35C2"/>
    <w:rsid w:val="002C66DA"/>
    <w:rsid w:val="002C68D2"/>
    <w:rsid w:val="002D0565"/>
    <w:rsid w:val="002D210F"/>
    <w:rsid w:val="002D2890"/>
    <w:rsid w:val="002D32DF"/>
    <w:rsid w:val="002D3D78"/>
    <w:rsid w:val="002D41C0"/>
    <w:rsid w:val="002D4B9D"/>
    <w:rsid w:val="002D6145"/>
    <w:rsid w:val="002D69D4"/>
    <w:rsid w:val="002D7345"/>
    <w:rsid w:val="002E2700"/>
    <w:rsid w:val="002E2869"/>
    <w:rsid w:val="002E3364"/>
    <w:rsid w:val="002E3AD8"/>
    <w:rsid w:val="002E5F8E"/>
    <w:rsid w:val="002E639A"/>
    <w:rsid w:val="002E6F17"/>
    <w:rsid w:val="002F111A"/>
    <w:rsid w:val="002F1590"/>
    <w:rsid w:val="002F19FA"/>
    <w:rsid w:val="002F2783"/>
    <w:rsid w:val="002F2EE9"/>
    <w:rsid w:val="002F375C"/>
    <w:rsid w:val="002F41AE"/>
    <w:rsid w:val="002F66D9"/>
    <w:rsid w:val="003001E8"/>
    <w:rsid w:val="00302A2E"/>
    <w:rsid w:val="00302D30"/>
    <w:rsid w:val="00302DDA"/>
    <w:rsid w:val="00302DE3"/>
    <w:rsid w:val="003037E6"/>
    <w:rsid w:val="00304205"/>
    <w:rsid w:val="0030525A"/>
    <w:rsid w:val="0030624F"/>
    <w:rsid w:val="00306281"/>
    <w:rsid w:val="00306A93"/>
    <w:rsid w:val="003079A7"/>
    <w:rsid w:val="00307BEF"/>
    <w:rsid w:val="00310138"/>
    <w:rsid w:val="00311A75"/>
    <w:rsid w:val="00312E66"/>
    <w:rsid w:val="0031312F"/>
    <w:rsid w:val="0031365B"/>
    <w:rsid w:val="00314FE3"/>
    <w:rsid w:val="003177B9"/>
    <w:rsid w:val="00317DD0"/>
    <w:rsid w:val="00321151"/>
    <w:rsid w:val="0032147B"/>
    <w:rsid w:val="00323977"/>
    <w:rsid w:val="0032434F"/>
    <w:rsid w:val="00324A0C"/>
    <w:rsid w:val="00325246"/>
    <w:rsid w:val="003264E1"/>
    <w:rsid w:val="0032689A"/>
    <w:rsid w:val="00327AD2"/>
    <w:rsid w:val="00332CA7"/>
    <w:rsid w:val="003333A4"/>
    <w:rsid w:val="00333C5C"/>
    <w:rsid w:val="00333D11"/>
    <w:rsid w:val="00334F57"/>
    <w:rsid w:val="003367E0"/>
    <w:rsid w:val="0033706F"/>
    <w:rsid w:val="00340BEC"/>
    <w:rsid w:val="00341CD7"/>
    <w:rsid w:val="003423CF"/>
    <w:rsid w:val="00343E54"/>
    <w:rsid w:val="00343EC2"/>
    <w:rsid w:val="0035089D"/>
    <w:rsid w:val="00350A40"/>
    <w:rsid w:val="00351989"/>
    <w:rsid w:val="00353C4B"/>
    <w:rsid w:val="00356009"/>
    <w:rsid w:val="00356E60"/>
    <w:rsid w:val="00357732"/>
    <w:rsid w:val="00360178"/>
    <w:rsid w:val="003605FD"/>
    <w:rsid w:val="00360C22"/>
    <w:rsid w:val="003614D3"/>
    <w:rsid w:val="00361A0E"/>
    <w:rsid w:val="0036429A"/>
    <w:rsid w:val="00364782"/>
    <w:rsid w:val="003648F4"/>
    <w:rsid w:val="003661B0"/>
    <w:rsid w:val="003670CC"/>
    <w:rsid w:val="00367DD4"/>
    <w:rsid w:val="00370154"/>
    <w:rsid w:val="00371963"/>
    <w:rsid w:val="0037231F"/>
    <w:rsid w:val="00372567"/>
    <w:rsid w:val="00373BC9"/>
    <w:rsid w:val="00373EF9"/>
    <w:rsid w:val="00375155"/>
    <w:rsid w:val="00375E77"/>
    <w:rsid w:val="00376662"/>
    <w:rsid w:val="00376781"/>
    <w:rsid w:val="00376874"/>
    <w:rsid w:val="00376B93"/>
    <w:rsid w:val="00377167"/>
    <w:rsid w:val="0038032C"/>
    <w:rsid w:val="00380E14"/>
    <w:rsid w:val="00380E1D"/>
    <w:rsid w:val="003816A8"/>
    <w:rsid w:val="003830E7"/>
    <w:rsid w:val="00383743"/>
    <w:rsid w:val="00384D71"/>
    <w:rsid w:val="003853CC"/>
    <w:rsid w:val="00385AAC"/>
    <w:rsid w:val="00386412"/>
    <w:rsid w:val="00387F8F"/>
    <w:rsid w:val="00392041"/>
    <w:rsid w:val="00392314"/>
    <w:rsid w:val="003941DD"/>
    <w:rsid w:val="00394A1F"/>
    <w:rsid w:val="00394E63"/>
    <w:rsid w:val="003A0B3D"/>
    <w:rsid w:val="003A0E73"/>
    <w:rsid w:val="003A2E11"/>
    <w:rsid w:val="003A3DE1"/>
    <w:rsid w:val="003B0760"/>
    <w:rsid w:val="003B25DC"/>
    <w:rsid w:val="003B308B"/>
    <w:rsid w:val="003B42F8"/>
    <w:rsid w:val="003B4931"/>
    <w:rsid w:val="003B61C5"/>
    <w:rsid w:val="003C0046"/>
    <w:rsid w:val="003C008E"/>
    <w:rsid w:val="003C0173"/>
    <w:rsid w:val="003C0AE9"/>
    <w:rsid w:val="003C2FD0"/>
    <w:rsid w:val="003C39E4"/>
    <w:rsid w:val="003C5048"/>
    <w:rsid w:val="003D0611"/>
    <w:rsid w:val="003D2DE4"/>
    <w:rsid w:val="003D378A"/>
    <w:rsid w:val="003D4B23"/>
    <w:rsid w:val="003D51A7"/>
    <w:rsid w:val="003E0D3B"/>
    <w:rsid w:val="003E123A"/>
    <w:rsid w:val="003E12EB"/>
    <w:rsid w:val="003E2AD9"/>
    <w:rsid w:val="003E2C58"/>
    <w:rsid w:val="003E614D"/>
    <w:rsid w:val="003E6F75"/>
    <w:rsid w:val="003E7660"/>
    <w:rsid w:val="003F13D6"/>
    <w:rsid w:val="003F1806"/>
    <w:rsid w:val="003F191A"/>
    <w:rsid w:val="003F1F38"/>
    <w:rsid w:val="003F233A"/>
    <w:rsid w:val="003F3371"/>
    <w:rsid w:val="003F3A0C"/>
    <w:rsid w:val="003F5108"/>
    <w:rsid w:val="003F6D9F"/>
    <w:rsid w:val="003F72A9"/>
    <w:rsid w:val="003F7728"/>
    <w:rsid w:val="00404A14"/>
    <w:rsid w:val="0040773D"/>
    <w:rsid w:val="0041315F"/>
    <w:rsid w:val="0041475E"/>
    <w:rsid w:val="0041695C"/>
    <w:rsid w:val="00416B24"/>
    <w:rsid w:val="0041733F"/>
    <w:rsid w:val="004175CD"/>
    <w:rsid w:val="004178C2"/>
    <w:rsid w:val="00417DAA"/>
    <w:rsid w:val="00424543"/>
    <w:rsid w:val="0042689A"/>
    <w:rsid w:val="00426EEB"/>
    <w:rsid w:val="00427443"/>
    <w:rsid w:val="00430806"/>
    <w:rsid w:val="00432CFA"/>
    <w:rsid w:val="00432FCB"/>
    <w:rsid w:val="00433BEE"/>
    <w:rsid w:val="004344C5"/>
    <w:rsid w:val="004357F9"/>
    <w:rsid w:val="004377A3"/>
    <w:rsid w:val="00440C7E"/>
    <w:rsid w:val="004417E6"/>
    <w:rsid w:val="00441FC0"/>
    <w:rsid w:val="004420E6"/>
    <w:rsid w:val="00442704"/>
    <w:rsid w:val="004436D1"/>
    <w:rsid w:val="004440D2"/>
    <w:rsid w:val="00444238"/>
    <w:rsid w:val="00446141"/>
    <w:rsid w:val="00446789"/>
    <w:rsid w:val="004507DE"/>
    <w:rsid w:val="00451D8A"/>
    <w:rsid w:val="0045274D"/>
    <w:rsid w:val="00452C98"/>
    <w:rsid w:val="00453550"/>
    <w:rsid w:val="00454E84"/>
    <w:rsid w:val="00455066"/>
    <w:rsid w:val="0045600C"/>
    <w:rsid w:val="00460644"/>
    <w:rsid w:val="004616CC"/>
    <w:rsid w:val="00462B36"/>
    <w:rsid w:val="00462D57"/>
    <w:rsid w:val="00463231"/>
    <w:rsid w:val="004635E6"/>
    <w:rsid w:val="00463C6B"/>
    <w:rsid w:val="004647D4"/>
    <w:rsid w:val="00464D66"/>
    <w:rsid w:val="004654C6"/>
    <w:rsid w:val="00465520"/>
    <w:rsid w:val="0046583D"/>
    <w:rsid w:val="00465C3C"/>
    <w:rsid w:val="0046720E"/>
    <w:rsid w:val="0046752C"/>
    <w:rsid w:val="00470CE3"/>
    <w:rsid w:val="00471294"/>
    <w:rsid w:val="00471E79"/>
    <w:rsid w:val="0047397F"/>
    <w:rsid w:val="00473C05"/>
    <w:rsid w:val="004761D1"/>
    <w:rsid w:val="00476DA3"/>
    <w:rsid w:val="00480173"/>
    <w:rsid w:val="00480556"/>
    <w:rsid w:val="004808C5"/>
    <w:rsid w:val="00481C22"/>
    <w:rsid w:val="004828AE"/>
    <w:rsid w:val="00482DD7"/>
    <w:rsid w:val="0048319B"/>
    <w:rsid w:val="004832E9"/>
    <w:rsid w:val="00484A0C"/>
    <w:rsid w:val="004864AA"/>
    <w:rsid w:val="00487230"/>
    <w:rsid w:val="00487445"/>
    <w:rsid w:val="0049016B"/>
    <w:rsid w:val="00490EFA"/>
    <w:rsid w:val="00491166"/>
    <w:rsid w:val="0049167E"/>
    <w:rsid w:val="00491C1E"/>
    <w:rsid w:val="004939F9"/>
    <w:rsid w:val="004942D9"/>
    <w:rsid w:val="00494EB5"/>
    <w:rsid w:val="004950AD"/>
    <w:rsid w:val="00495964"/>
    <w:rsid w:val="00495D16"/>
    <w:rsid w:val="00497386"/>
    <w:rsid w:val="00497A14"/>
    <w:rsid w:val="004A061A"/>
    <w:rsid w:val="004A150E"/>
    <w:rsid w:val="004A17EF"/>
    <w:rsid w:val="004A19B5"/>
    <w:rsid w:val="004A1AA1"/>
    <w:rsid w:val="004A1AD6"/>
    <w:rsid w:val="004A2574"/>
    <w:rsid w:val="004A263C"/>
    <w:rsid w:val="004A64B3"/>
    <w:rsid w:val="004A6AB7"/>
    <w:rsid w:val="004A7425"/>
    <w:rsid w:val="004B038B"/>
    <w:rsid w:val="004B3B2F"/>
    <w:rsid w:val="004B564B"/>
    <w:rsid w:val="004C046E"/>
    <w:rsid w:val="004C24DA"/>
    <w:rsid w:val="004C3013"/>
    <w:rsid w:val="004C4092"/>
    <w:rsid w:val="004C4F41"/>
    <w:rsid w:val="004C555D"/>
    <w:rsid w:val="004C5E4E"/>
    <w:rsid w:val="004C62A1"/>
    <w:rsid w:val="004C63D6"/>
    <w:rsid w:val="004C6804"/>
    <w:rsid w:val="004C740C"/>
    <w:rsid w:val="004D1DE7"/>
    <w:rsid w:val="004D23A2"/>
    <w:rsid w:val="004D2425"/>
    <w:rsid w:val="004D2D11"/>
    <w:rsid w:val="004D32DF"/>
    <w:rsid w:val="004D4B11"/>
    <w:rsid w:val="004D57B8"/>
    <w:rsid w:val="004D629B"/>
    <w:rsid w:val="004D66E1"/>
    <w:rsid w:val="004D75EE"/>
    <w:rsid w:val="004D791B"/>
    <w:rsid w:val="004E0136"/>
    <w:rsid w:val="004E0630"/>
    <w:rsid w:val="004E0753"/>
    <w:rsid w:val="004E0A79"/>
    <w:rsid w:val="004E1F8B"/>
    <w:rsid w:val="004E20C0"/>
    <w:rsid w:val="004E3086"/>
    <w:rsid w:val="004E327D"/>
    <w:rsid w:val="004E3BAC"/>
    <w:rsid w:val="004E48F8"/>
    <w:rsid w:val="004E49BA"/>
    <w:rsid w:val="004E4A90"/>
    <w:rsid w:val="004E4FC7"/>
    <w:rsid w:val="004E543A"/>
    <w:rsid w:val="004E5F80"/>
    <w:rsid w:val="004E7115"/>
    <w:rsid w:val="004E7E92"/>
    <w:rsid w:val="004F03F7"/>
    <w:rsid w:val="004F0855"/>
    <w:rsid w:val="004F0E7B"/>
    <w:rsid w:val="004F14B8"/>
    <w:rsid w:val="004F25B5"/>
    <w:rsid w:val="004F3735"/>
    <w:rsid w:val="004F3934"/>
    <w:rsid w:val="004F3935"/>
    <w:rsid w:val="004F43B2"/>
    <w:rsid w:val="004F5043"/>
    <w:rsid w:val="004F74CE"/>
    <w:rsid w:val="00500108"/>
    <w:rsid w:val="00500F8A"/>
    <w:rsid w:val="00501754"/>
    <w:rsid w:val="00503A8A"/>
    <w:rsid w:val="00504094"/>
    <w:rsid w:val="005050DC"/>
    <w:rsid w:val="00505BE3"/>
    <w:rsid w:val="00506781"/>
    <w:rsid w:val="00512C97"/>
    <w:rsid w:val="00512E7B"/>
    <w:rsid w:val="00513AF2"/>
    <w:rsid w:val="005140AE"/>
    <w:rsid w:val="0051439B"/>
    <w:rsid w:val="00514ECD"/>
    <w:rsid w:val="00514F11"/>
    <w:rsid w:val="00516623"/>
    <w:rsid w:val="00516C34"/>
    <w:rsid w:val="00516F3A"/>
    <w:rsid w:val="0051799A"/>
    <w:rsid w:val="0052038E"/>
    <w:rsid w:val="00523E0A"/>
    <w:rsid w:val="00523F34"/>
    <w:rsid w:val="0052523F"/>
    <w:rsid w:val="00526C2F"/>
    <w:rsid w:val="005274C3"/>
    <w:rsid w:val="005307BF"/>
    <w:rsid w:val="00530A95"/>
    <w:rsid w:val="00530F71"/>
    <w:rsid w:val="005317C5"/>
    <w:rsid w:val="005325CA"/>
    <w:rsid w:val="00532BE0"/>
    <w:rsid w:val="005330E4"/>
    <w:rsid w:val="005330E5"/>
    <w:rsid w:val="00533BC2"/>
    <w:rsid w:val="00535690"/>
    <w:rsid w:val="00535DF5"/>
    <w:rsid w:val="00540550"/>
    <w:rsid w:val="005437BD"/>
    <w:rsid w:val="005439C3"/>
    <w:rsid w:val="00544AA8"/>
    <w:rsid w:val="00545558"/>
    <w:rsid w:val="00545823"/>
    <w:rsid w:val="00547031"/>
    <w:rsid w:val="00547111"/>
    <w:rsid w:val="00547314"/>
    <w:rsid w:val="00547A34"/>
    <w:rsid w:val="00550B34"/>
    <w:rsid w:val="00551238"/>
    <w:rsid w:val="0055134A"/>
    <w:rsid w:val="00552924"/>
    <w:rsid w:val="0055334D"/>
    <w:rsid w:val="00554AE4"/>
    <w:rsid w:val="00556396"/>
    <w:rsid w:val="00557239"/>
    <w:rsid w:val="00560C31"/>
    <w:rsid w:val="005627AC"/>
    <w:rsid w:val="00562B2F"/>
    <w:rsid w:val="00562D73"/>
    <w:rsid w:val="005648E0"/>
    <w:rsid w:val="00565B08"/>
    <w:rsid w:val="00565B84"/>
    <w:rsid w:val="0056653F"/>
    <w:rsid w:val="00566F0B"/>
    <w:rsid w:val="005675A8"/>
    <w:rsid w:val="00570633"/>
    <w:rsid w:val="005713DB"/>
    <w:rsid w:val="00571634"/>
    <w:rsid w:val="00573731"/>
    <w:rsid w:val="00576233"/>
    <w:rsid w:val="00576BBA"/>
    <w:rsid w:val="0057771F"/>
    <w:rsid w:val="00580343"/>
    <w:rsid w:val="00581DC9"/>
    <w:rsid w:val="005855C4"/>
    <w:rsid w:val="00586BDC"/>
    <w:rsid w:val="00590148"/>
    <w:rsid w:val="0059143E"/>
    <w:rsid w:val="005932D6"/>
    <w:rsid w:val="00593D84"/>
    <w:rsid w:val="00594FA9"/>
    <w:rsid w:val="00596B02"/>
    <w:rsid w:val="005A1296"/>
    <w:rsid w:val="005A326E"/>
    <w:rsid w:val="005A45FE"/>
    <w:rsid w:val="005A50E2"/>
    <w:rsid w:val="005A628D"/>
    <w:rsid w:val="005A6A50"/>
    <w:rsid w:val="005A7245"/>
    <w:rsid w:val="005B0628"/>
    <w:rsid w:val="005B0633"/>
    <w:rsid w:val="005B23D1"/>
    <w:rsid w:val="005B25FC"/>
    <w:rsid w:val="005B32F8"/>
    <w:rsid w:val="005B3A82"/>
    <w:rsid w:val="005B41D4"/>
    <w:rsid w:val="005B5545"/>
    <w:rsid w:val="005B58AE"/>
    <w:rsid w:val="005B5942"/>
    <w:rsid w:val="005B6675"/>
    <w:rsid w:val="005B6D27"/>
    <w:rsid w:val="005B76D4"/>
    <w:rsid w:val="005C1CC0"/>
    <w:rsid w:val="005C586A"/>
    <w:rsid w:val="005C75B3"/>
    <w:rsid w:val="005D1102"/>
    <w:rsid w:val="005D2E5E"/>
    <w:rsid w:val="005D3088"/>
    <w:rsid w:val="005D4A94"/>
    <w:rsid w:val="005D5984"/>
    <w:rsid w:val="005D5BB7"/>
    <w:rsid w:val="005D69D1"/>
    <w:rsid w:val="005D6DF2"/>
    <w:rsid w:val="005D706E"/>
    <w:rsid w:val="005E0393"/>
    <w:rsid w:val="005E1028"/>
    <w:rsid w:val="005E1AE3"/>
    <w:rsid w:val="005E210E"/>
    <w:rsid w:val="005E2BA7"/>
    <w:rsid w:val="005E3191"/>
    <w:rsid w:val="005E3E95"/>
    <w:rsid w:val="005E4CB0"/>
    <w:rsid w:val="005E4EDE"/>
    <w:rsid w:val="005E4F2D"/>
    <w:rsid w:val="005E6E2F"/>
    <w:rsid w:val="005E7ABC"/>
    <w:rsid w:val="005F0E7A"/>
    <w:rsid w:val="005F2B54"/>
    <w:rsid w:val="005F32AA"/>
    <w:rsid w:val="005F3881"/>
    <w:rsid w:val="005F3D63"/>
    <w:rsid w:val="005F4183"/>
    <w:rsid w:val="005F489B"/>
    <w:rsid w:val="005F521A"/>
    <w:rsid w:val="005F6458"/>
    <w:rsid w:val="005F7C46"/>
    <w:rsid w:val="00600506"/>
    <w:rsid w:val="00600BCC"/>
    <w:rsid w:val="0060196B"/>
    <w:rsid w:val="00603A8D"/>
    <w:rsid w:val="00604999"/>
    <w:rsid w:val="00606BDA"/>
    <w:rsid w:val="00607CDD"/>
    <w:rsid w:val="00611B96"/>
    <w:rsid w:val="00613350"/>
    <w:rsid w:val="006143B0"/>
    <w:rsid w:val="006143B5"/>
    <w:rsid w:val="00614732"/>
    <w:rsid w:val="00615613"/>
    <w:rsid w:val="00616081"/>
    <w:rsid w:val="006169BE"/>
    <w:rsid w:val="006170D4"/>
    <w:rsid w:val="00620CA4"/>
    <w:rsid w:val="0062305E"/>
    <w:rsid w:val="006233EE"/>
    <w:rsid w:val="006234AC"/>
    <w:rsid w:val="006238D8"/>
    <w:rsid w:val="006239DC"/>
    <w:rsid w:val="006242FF"/>
    <w:rsid w:val="00624CD7"/>
    <w:rsid w:val="00626A2A"/>
    <w:rsid w:val="00627764"/>
    <w:rsid w:val="00631669"/>
    <w:rsid w:val="006332E6"/>
    <w:rsid w:val="00633571"/>
    <w:rsid w:val="00634807"/>
    <w:rsid w:val="00634859"/>
    <w:rsid w:val="00634ADC"/>
    <w:rsid w:val="006356F9"/>
    <w:rsid w:val="00635F5B"/>
    <w:rsid w:val="006372D4"/>
    <w:rsid w:val="006401C6"/>
    <w:rsid w:val="0064164D"/>
    <w:rsid w:val="006428CC"/>
    <w:rsid w:val="0064494A"/>
    <w:rsid w:val="006464A8"/>
    <w:rsid w:val="00646539"/>
    <w:rsid w:val="006466AF"/>
    <w:rsid w:val="006470ED"/>
    <w:rsid w:val="00647C94"/>
    <w:rsid w:val="006517A1"/>
    <w:rsid w:val="00651AD2"/>
    <w:rsid w:val="00652674"/>
    <w:rsid w:val="006529FE"/>
    <w:rsid w:val="00654162"/>
    <w:rsid w:val="00654E75"/>
    <w:rsid w:val="006550CD"/>
    <w:rsid w:val="00655E7E"/>
    <w:rsid w:val="00656B74"/>
    <w:rsid w:val="00656C20"/>
    <w:rsid w:val="00660FA2"/>
    <w:rsid w:val="00660FBF"/>
    <w:rsid w:val="00662674"/>
    <w:rsid w:val="0066701A"/>
    <w:rsid w:val="0067065C"/>
    <w:rsid w:val="0067118C"/>
    <w:rsid w:val="00671ED3"/>
    <w:rsid w:val="006730B9"/>
    <w:rsid w:val="00675E46"/>
    <w:rsid w:val="00677638"/>
    <w:rsid w:val="00677DCF"/>
    <w:rsid w:val="00680774"/>
    <w:rsid w:val="00681910"/>
    <w:rsid w:val="00681970"/>
    <w:rsid w:val="00683286"/>
    <w:rsid w:val="00684F35"/>
    <w:rsid w:val="00685B93"/>
    <w:rsid w:val="0068639B"/>
    <w:rsid w:val="006876B7"/>
    <w:rsid w:val="00687812"/>
    <w:rsid w:val="00687ECA"/>
    <w:rsid w:val="00691375"/>
    <w:rsid w:val="00691F05"/>
    <w:rsid w:val="006928FB"/>
    <w:rsid w:val="00692C4B"/>
    <w:rsid w:val="00693986"/>
    <w:rsid w:val="00693E4C"/>
    <w:rsid w:val="00694CEF"/>
    <w:rsid w:val="00694FE9"/>
    <w:rsid w:val="00695405"/>
    <w:rsid w:val="006957AE"/>
    <w:rsid w:val="006A0A7B"/>
    <w:rsid w:val="006A1C87"/>
    <w:rsid w:val="006A2ED3"/>
    <w:rsid w:val="006A3458"/>
    <w:rsid w:val="006A34A8"/>
    <w:rsid w:val="006A3B46"/>
    <w:rsid w:val="006A5D8D"/>
    <w:rsid w:val="006A5DDA"/>
    <w:rsid w:val="006A6600"/>
    <w:rsid w:val="006A6DFF"/>
    <w:rsid w:val="006A7C7D"/>
    <w:rsid w:val="006B039E"/>
    <w:rsid w:val="006B10CD"/>
    <w:rsid w:val="006B1152"/>
    <w:rsid w:val="006B1160"/>
    <w:rsid w:val="006B1D39"/>
    <w:rsid w:val="006B2CEA"/>
    <w:rsid w:val="006B33A2"/>
    <w:rsid w:val="006B4CD1"/>
    <w:rsid w:val="006B5804"/>
    <w:rsid w:val="006B592B"/>
    <w:rsid w:val="006B5997"/>
    <w:rsid w:val="006B62A3"/>
    <w:rsid w:val="006B66F4"/>
    <w:rsid w:val="006B6F44"/>
    <w:rsid w:val="006C0158"/>
    <w:rsid w:val="006C2AEC"/>
    <w:rsid w:val="006C3217"/>
    <w:rsid w:val="006C33A7"/>
    <w:rsid w:val="006C5415"/>
    <w:rsid w:val="006C57BF"/>
    <w:rsid w:val="006C5FA9"/>
    <w:rsid w:val="006C6924"/>
    <w:rsid w:val="006C740D"/>
    <w:rsid w:val="006D04C6"/>
    <w:rsid w:val="006D1A4D"/>
    <w:rsid w:val="006D348E"/>
    <w:rsid w:val="006D4131"/>
    <w:rsid w:val="006D52E3"/>
    <w:rsid w:val="006D626F"/>
    <w:rsid w:val="006D6F9C"/>
    <w:rsid w:val="006D7241"/>
    <w:rsid w:val="006D7273"/>
    <w:rsid w:val="006E01A4"/>
    <w:rsid w:val="006E2BD3"/>
    <w:rsid w:val="006E4C4B"/>
    <w:rsid w:val="006E4D4C"/>
    <w:rsid w:val="006E52F4"/>
    <w:rsid w:val="006E6381"/>
    <w:rsid w:val="006E71B8"/>
    <w:rsid w:val="006E71E7"/>
    <w:rsid w:val="006F3CB1"/>
    <w:rsid w:val="006F3EB8"/>
    <w:rsid w:val="006F5196"/>
    <w:rsid w:val="006F7489"/>
    <w:rsid w:val="006F7845"/>
    <w:rsid w:val="0070038D"/>
    <w:rsid w:val="00701957"/>
    <w:rsid w:val="007034BD"/>
    <w:rsid w:val="00703E61"/>
    <w:rsid w:val="007045D5"/>
    <w:rsid w:val="00707720"/>
    <w:rsid w:val="00711181"/>
    <w:rsid w:val="00711AD7"/>
    <w:rsid w:val="00711B08"/>
    <w:rsid w:val="00712E0A"/>
    <w:rsid w:val="007161A3"/>
    <w:rsid w:val="00716959"/>
    <w:rsid w:val="00717AAD"/>
    <w:rsid w:val="00717E9E"/>
    <w:rsid w:val="00720842"/>
    <w:rsid w:val="00720941"/>
    <w:rsid w:val="00721DAF"/>
    <w:rsid w:val="00724758"/>
    <w:rsid w:val="00725584"/>
    <w:rsid w:val="0072564C"/>
    <w:rsid w:val="00725E11"/>
    <w:rsid w:val="00725EBB"/>
    <w:rsid w:val="007269A4"/>
    <w:rsid w:val="00726F48"/>
    <w:rsid w:val="00727DB7"/>
    <w:rsid w:val="0073187A"/>
    <w:rsid w:val="0073272B"/>
    <w:rsid w:val="007329B5"/>
    <w:rsid w:val="00733483"/>
    <w:rsid w:val="0073419D"/>
    <w:rsid w:val="0073431B"/>
    <w:rsid w:val="007349AB"/>
    <w:rsid w:val="00737064"/>
    <w:rsid w:val="0073708F"/>
    <w:rsid w:val="007375C3"/>
    <w:rsid w:val="00737898"/>
    <w:rsid w:val="00737E6A"/>
    <w:rsid w:val="00737FC6"/>
    <w:rsid w:val="00740ED1"/>
    <w:rsid w:val="007435C8"/>
    <w:rsid w:val="00743BAE"/>
    <w:rsid w:val="00744CC6"/>
    <w:rsid w:val="00744D6B"/>
    <w:rsid w:val="00745C17"/>
    <w:rsid w:val="00746EF5"/>
    <w:rsid w:val="007473A2"/>
    <w:rsid w:val="00747405"/>
    <w:rsid w:val="007504B0"/>
    <w:rsid w:val="00751C39"/>
    <w:rsid w:val="00751D23"/>
    <w:rsid w:val="0075269C"/>
    <w:rsid w:val="00754AC5"/>
    <w:rsid w:val="00756DC8"/>
    <w:rsid w:val="007574E8"/>
    <w:rsid w:val="00760860"/>
    <w:rsid w:val="0076126D"/>
    <w:rsid w:val="00763640"/>
    <w:rsid w:val="007637E9"/>
    <w:rsid w:val="0076551E"/>
    <w:rsid w:val="007660C0"/>
    <w:rsid w:val="007669D9"/>
    <w:rsid w:val="00770648"/>
    <w:rsid w:val="0077072D"/>
    <w:rsid w:val="0077115C"/>
    <w:rsid w:val="0077133C"/>
    <w:rsid w:val="00771BED"/>
    <w:rsid w:val="0077423D"/>
    <w:rsid w:val="0077487D"/>
    <w:rsid w:val="007750C1"/>
    <w:rsid w:val="00775348"/>
    <w:rsid w:val="00776FDA"/>
    <w:rsid w:val="00777A7F"/>
    <w:rsid w:val="00777A90"/>
    <w:rsid w:val="00777ED9"/>
    <w:rsid w:val="007800CD"/>
    <w:rsid w:val="007828AF"/>
    <w:rsid w:val="00782AE7"/>
    <w:rsid w:val="00783F6A"/>
    <w:rsid w:val="00784500"/>
    <w:rsid w:val="00784C15"/>
    <w:rsid w:val="00785AA3"/>
    <w:rsid w:val="00786114"/>
    <w:rsid w:val="007866B6"/>
    <w:rsid w:val="00786D78"/>
    <w:rsid w:val="00787931"/>
    <w:rsid w:val="0079022A"/>
    <w:rsid w:val="00790753"/>
    <w:rsid w:val="007907C1"/>
    <w:rsid w:val="007912B4"/>
    <w:rsid w:val="007921A4"/>
    <w:rsid w:val="007929F0"/>
    <w:rsid w:val="00792DF8"/>
    <w:rsid w:val="007933E2"/>
    <w:rsid w:val="00796945"/>
    <w:rsid w:val="00797A26"/>
    <w:rsid w:val="007A1A94"/>
    <w:rsid w:val="007A32EF"/>
    <w:rsid w:val="007A3D60"/>
    <w:rsid w:val="007A4426"/>
    <w:rsid w:val="007A6BA0"/>
    <w:rsid w:val="007A7884"/>
    <w:rsid w:val="007A7CA4"/>
    <w:rsid w:val="007B08C4"/>
    <w:rsid w:val="007B0DE1"/>
    <w:rsid w:val="007B0E3F"/>
    <w:rsid w:val="007B213C"/>
    <w:rsid w:val="007B2CCC"/>
    <w:rsid w:val="007B340C"/>
    <w:rsid w:val="007B45F6"/>
    <w:rsid w:val="007B4B86"/>
    <w:rsid w:val="007B511A"/>
    <w:rsid w:val="007B51FB"/>
    <w:rsid w:val="007B60A5"/>
    <w:rsid w:val="007C0954"/>
    <w:rsid w:val="007C12B1"/>
    <w:rsid w:val="007C1550"/>
    <w:rsid w:val="007C18BA"/>
    <w:rsid w:val="007C2B75"/>
    <w:rsid w:val="007C2C3F"/>
    <w:rsid w:val="007C394F"/>
    <w:rsid w:val="007C3D6E"/>
    <w:rsid w:val="007C4089"/>
    <w:rsid w:val="007C52D3"/>
    <w:rsid w:val="007D0CC3"/>
    <w:rsid w:val="007D16CC"/>
    <w:rsid w:val="007D2626"/>
    <w:rsid w:val="007D42DD"/>
    <w:rsid w:val="007D5FC0"/>
    <w:rsid w:val="007D64A5"/>
    <w:rsid w:val="007D6ADC"/>
    <w:rsid w:val="007D70C1"/>
    <w:rsid w:val="007D778C"/>
    <w:rsid w:val="007E08F5"/>
    <w:rsid w:val="007E0D3F"/>
    <w:rsid w:val="007E0F37"/>
    <w:rsid w:val="007E2C52"/>
    <w:rsid w:val="007E58C9"/>
    <w:rsid w:val="007E5C85"/>
    <w:rsid w:val="007E779B"/>
    <w:rsid w:val="007E7BA7"/>
    <w:rsid w:val="007F0ABA"/>
    <w:rsid w:val="007F0FD5"/>
    <w:rsid w:val="007F28CC"/>
    <w:rsid w:val="007F3AC6"/>
    <w:rsid w:val="007F3C52"/>
    <w:rsid w:val="007F72BC"/>
    <w:rsid w:val="007F7BCB"/>
    <w:rsid w:val="007F7D14"/>
    <w:rsid w:val="00802105"/>
    <w:rsid w:val="00803C72"/>
    <w:rsid w:val="00805F86"/>
    <w:rsid w:val="0081052E"/>
    <w:rsid w:val="00810786"/>
    <w:rsid w:val="008116F3"/>
    <w:rsid w:val="008125C6"/>
    <w:rsid w:val="00812938"/>
    <w:rsid w:val="0081299D"/>
    <w:rsid w:val="00812C1E"/>
    <w:rsid w:val="00812D6A"/>
    <w:rsid w:val="00813CA3"/>
    <w:rsid w:val="00813D31"/>
    <w:rsid w:val="00814485"/>
    <w:rsid w:val="008179B7"/>
    <w:rsid w:val="00820CC7"/>
    <w:rsid w:val="00821B1F"/>
    <w:rsid w:val="00824E4A"/>
    <w:rsid w:val="00825F6F"/>
    <w:rsid w:val="00827163"/>
    <w:rsid w:val="008304F0"/>
    <w:rsid w:val="008309C7"/>
    <w:rsid w:val="00831DC4"/>
    <w:rsid w:val="00833183"/>
    <w:rsid w:val="00833ED4"/>
    <w:rsid w:val="00834A64"/>
    <w:rsid w:val="008361DE"/>
    <w:rsid w:val="008368CC"/>
    <w:rsid w:val="00837376"/>
    <w:rsid w:val="00841333"/>
    <w:rsid w:val="0084141E"/>
    <w:rsid w:val="008456BA"/>
    <w:rsid w:val="0084797F"/>
    <w:rsid w:val="00850650"/>
    <w:rsid w:val="00851F60"/>
    <w:rsid w:val="00855041"/>
    <w:rsid w:val="008552F0"/>
    <w:rsid w:val="0085532C"/>
    <w:rsid w:val="008559B3"/>
    <w:rsid w:val="008564AC"/>
    <w:rsid w:val="00857305"/>
    <w:rsid w:val="00857F5B"/>
    <w:rsid w:val="00860116"/>
    <w:rsid w:val="00861BD9"/>
    <w:rsid w:val="0086274B"/>
    <w:rsid w:val="00862DD9"/>
    <w:rsid w:val="008632BB"/>
    <w:rsid w:val="00864DF5"/>
    <w:rsid w:val="00865448"/>
    <w:rsid w:val="00866FFB"/>
    <w:rsid w:val="00867D7D"/>
    <w:rsid w:val="00870736"/>
    <w:rsid w:val="0087112E"/>
    <w:rsid w:val="008711FE"/>
    <w:rsid w:val="0087141B"/>
    <w:rsid w:val="008726D7"/>
    <w:rsid w:val="00872BA8"/>
    <w:rsid w:val="008739E1"/>
    <w:rsid w:val="0087568E"/>
    <w:rsid w:val="00875725"/>
    <w:rsid w:val="00875DED"/>
    <w:rsid w:val="008766FF"/>
    <w:rsid w:val="008768D8"/>
    <w:rsid w:val="00880442"/>
    <w:rsid w:val="00884F01"/>
    <w:rsid w:val="008864A4"/>
    <w:rsid w:val="00887D08"/>
    <w:rsid w:val="00892A95"/>
    <w:rsid w:val="00893B1E"/>
    <w:rsid w:val="00895646"/>
    <w:rsid w:val="00896BDD"/>
    <w:rsid w:val="00897232"/>
    <w:rsid w:val="008A0865"/>
    <w:rsid w:val="008A0AF6"/>
    <w:rsid w:val="008A1B65"/>
    <w:rsid w:val="008A38A5"/>
    <w:rsid w:val="008A3E74"/>
    <w:rsid w:val="008A4BDA"/>
    <w:rsid w:val="008A71FE"/>
    <w:rsid w:val="008A785D"/>
    <w:rsid w:val="008A78B4"/>
    <w:rsid w:val="008A7DDB"/>
    <w:rsid w:val="008B05DE"/>
    <w:rsid w:val="008B0910"/>
    <w:rsid w:val="008B09AD"/>
    <w:rsid w:val="008B1E23"/>
    <w:rsid w:val="008B201D"/>
    <w:rsid w:val="008B36EE"/>
    <w:rsid w:val="008B380B"/>
    <w:rsid w:val="008B3F12"/>
    <w:rsid w:val="008B7699"/>
    <w:rsid w:val="008C023B"/>
    <w:rsid w:val="008C16B9"/>
    <w:rsid w:val="008C1B51"/>
    <w:rsid w:val="008C2B4D"/>
    <w:rsid w:val="008C317F"/>
    <w:rsid w:val="008C3894"/>
    <w:rsid w:val="008C443C"/>
    <w:rsid w:val="008C4787"/>
    <w:rsid w:val="008C56CE"/>
    <w:rsid w:val="008C6D64"/>
    <w:rsid w:val="008C7924"/>
    <w:rsid w:val="008D0A92"/>
    <w:rsid w:val="008D10D0"/>
    <w:rsid w:val="008D1DAE"/>
    <w:rsid w:val="008D3FF0"/>
    <w:rsid w:val="008D4121"/>
    <w:rsid w:val="008D45DE"/>
    <w:rsid w:val="008D48BA"/>
    <w:rsid w:val="008D5A1C"/>
    <w:rsid w:val="008E1E49"/>
    <w:rsid w:val="008E2600"/>
    <w:rsid w:val="008E38CE"/>
    <w:rsid w:val="008E39E4"/>
    <w:rsid w:val="008E45A0"/>
    <w:rsid w:val="008E48FD"/>
    <w:rsid w:val="008E4C4D"/>
    <w:rsid w:val="008E524C"/>
    <w:rsid w:val="008E6D48"/>
    <w:rsid w:val="008F0A01"/>
    <w:rsid w:val="008F25AE"/>
    <w:rsid w:val="00900FA7"/>
    <w:rsid w:val="00901B01"/>
    <w:rsid w:val="009032B9"/>
    <w:rsid w:val="00903819"/>
    <w:rsid w:val="00903A8B"/>
    <w:rsid w:val="0090459C"/>
    <w:rsid w:val="009050F8"/>
    <w:rsid w:val="0090680F"/>
    <w:rsid w:val="00906D2B"/>
    <w:rsid w:val="00907667"/>
    <w:rsid w:val="0090766C"/>
    <w:rsid w:val="00907B9A"/>
    <w:rsid w:val="009108AA"/>
    <w:rsid w:val="00910D98"/>
    <w:rsid w:val="009120F4"/>
    <w:rsid w:val="00912866"/>
    <w:rsid w:val="00913497"/>
    <w:rsid w:val="00913A5F"/>
    <w:rsid w:val="00913DF9"/>
    <w:rsid w:val="00914CDD"/>
    <w:rsid w:val="00915515"/>
    <w:rsid w:val="00915552"/>
    <w:rsid w:val="00917BC8"/>
    <w:rsid w:val="00920904"/>
    <w:rsid w:val="00920B1F"/>
    <w:rsid w:val="00922BFE"/>
    <w:rsid w:val="009239CD"/>
    <w:rsid w:val="0092440F"/>
    <w:rsid w:val="0092601D"/>
    <w:rsid w:val="009266D7"/>
    <w:rsid w:val="00927047"/>
    <w:rsid w:val="009274D9"/>
    <w:rsid w:val="009302FA"/>
    <w:rsid w:val="00930F9C"/>
    <w:rsid w:val="0093152F"/>
    <w:rsid w:val="00932045"/>
    <w:rsid w:val="009321A5"/>
    <w:rsid w:val="0093291A"/>
    <w:rsid w:val="00932B1E"/>
    <w:rsid w:val="009350B8"/>
    <w:rsid w:val="00935D04"/>
    <w:rsid w:val="00936482"/>
    <w:rsid w:val="0093681C"/>
    <w:rsid w:val="0094068C"/>
    <w:rsid w:val="00940E08"/>
    <w:rsid w:val="009414B9"/>
    <w:rsid w:val="00942442"/>
    <w:rsid w:val="00942629"/>
    <w:rsid w:val="009439FD"/>
    <w:rsid w:val="00943A24"/>
    <w:rsid w:val="00944319"/>
    <w:rsid w:val="0094504C"/>
    <w:rsid w:val="00945E5D"/>
    <w:rsid w:val="00950640"/>
    <w:rsid w:val="00951A4C"/>
    <w:rsid w:val="00952AFE"/>
    <w:rsid w:val="00955E29"/>
    <w:rsid w:val="009575B6"/>
    <w:rsid w:val="00957AEE"/>
    <w:rsid w:val="00960969"/>
    <w:rsid w:val="00961412"/>
    <w:rsid w:val="009616B3"/>
    <w:rsid w:val="00963B4A"/>
    <w:rsid w:val="00963CAA"/>
    <w:rsid w:val="00964173"/>
    <w:rsid w:val="0096630C"/>
    <w:rsid w:val="0096667A"/>
    <w:rsid w:val="009667BA"/>
    <w:rsid w:val="00966F91"/>
    <w:rsid w:val="00970634"/>
    <w:rsid w:val="00970A74"/>
    <w:rsid w:val="00970F56"/>
    <w:rsid w:val="00971C61"/>
    <w:rsid w:val="00971E47"/>
    <w:rsid w:val="009727E1"/>
    <w:rsid w:val="00972EF8"/>
    <w:rsid w:val="0097383E"/>
    <w:rsid w:val="00974186"/>
    <w:rsid w:val="0097499C"/>
    <w:rsid w:val="0097517A"/>
    <w:rsid w:val="00975254"/>
    <w:rsid w:val="009753BA"/>
    <w:rsid w:val="009756FD"/>
    <w:rsid w:val="0097590D"/>
    <w:rsid w:val="009767C0"/>
    <w:rsid w:val="00976858"/>
    <w:rsid w:val="009818C6"/>
    <w:rsid w:val="009835B0"/>
    <w:rsid w:val="0098711B"/>
    <w:rsid w:val="009910A6"/>
    <w:rsid w:val="0099187A"/>
    <w:rsid w:val="009922C0"/>
    <w:rsid w:val="00992859"/>
    <w:rsid w:val="00993737"/>
    <w:rsid w:val="00993B9B"/>
    <w:rsid w:val="009943CE"/>
    <w:rsid w:val="00994B42"/>
    <w:rsid w:val="00994D51"/>
    <w:rsid w:val="00995294"/>
    <w:rsid w:val="0099534A"/>
    <w:rsid w:val="00996DFD"/>
    <w:rsid w:val="009A0776"/>
    <w:rsid w:val="009A2863"/>
    <w:rsid w:val="009A2E29"/>
    <w:rsid w:val="009A3261"/>
    <w:rsid w:val="009A4015"/>
    <w:rsid w:val="009A4408"/>
    <w:rsid w:val="009A76F2"/>
    <w:rsid w:val="009B0FA2"/>
    <w:rsid w:val="009B144C"/>
    <w:rsid w:val="009B1B09"/>
    <w:rsid w:val="009B2909"/>
    <w:rsid w:val="009B352F"/>
    <w:rsid w:val="009B36B9"/>
    <w:rsid w:val="009B38CB"/>
    <w:rsid w:val="009B3CF5"/>
    <w:rsid w:val="009B6816"/>
    <w:rsid w:val="009B6D36"/>
    <w:rsid w:val="009B6F7E"/>
    <w:rsid w:val="009C00E0"/>
    <w:rsid w:val="009C039B"/>
    <w:rsid w:val="009C198E"/>
    <w:rsid w:val="009C1BF4"/>
    <w:rsid w:val="009C1DC6"/>
    <w:rsid w:val="009C23E1"/>
    <w:rsid w:val="009C3682"/>
    <w:rsid w:val="009C399E"/>
    <w:rsid w:val="009C4489"/>
    <w:rsid w:val="009C449F"/>
    <w:rsid w:val="009C59CB"/>
    <w:rsid w:val="009C7CC0"/>
    <w:rsid w:val="009D101D"/>
    <w:rsid w:val="009D1D1A"/>
    <w:rsid w:val="009D2BE6"/>
    <w:rsid w:val="009D2D06"/>
    <w:rsid w:val="009D3647"/>
    <w:rsid w:val="009D44E6"/>
    <w:rsid w:val="009D5DD2"/>
    <w:rsid w:val="009D66F5"/>
    <w:rsid w:val="009D739B"/>
    <w:rsid w:val="009E11AA"/>
    <w:rsid w:val="009E2280"/>
    <w:rsid w:val="009E5A7E"/>
    <w:rsid w:val="009E6D3A"/>
    <w:rsid w:val="009E75DD"/>
    <w:rsid w:val="009E7EAB"/>
    <w:rsid w:val="009F0FC9"/>
    <w:rsid w:val="009F2D87"/>
    <w:rsid w:val="009F2F73"/>
    <w:rsid w:val="009F30EB"/>
    <w:rsid w:val="009F32E1"/>
    <w:rsid w:val="009F3718"/>
    <w:rsid w:val="009F4327"/>
    <w:rsid w:val="009F45EF"/>
    <w:rsid w:val="009F4973"/>
    <w:rsid w:val="00A0102F"/>
    <w:rsid w:val="00A02AAE"/>
    <w:rsid w:val="00A056E5"/>
    <w:rsid w:val="00A07951"/>
    <w:rsid w:val="00A07B28"/>
    <w:rsid w:val="00A1033D"/>
    <w:rsid w:val="00A10B82"/>
    <w:rsid w:val="00A11822"/>
    <w:rsid w:val="00A14BE9"/>
    <w:rsid w:val="00A14E02"/>
    <w:rsid w:val="00A1568E"/>
    <w:rsid w:val="00A21C46"/>
    <w:rsid w:val="00A224E2"/>
    <w:rsid w:val="00A22C47"/>
    <w:rsid w:val="00A23382"/>
    <w:rsid w:val="00A237F5"/>
    <w:rsid w:val="00A252A3"/>
    <w:rsid w:val="00A2556B"/>
    <w:rsid w:val="00A25919"/>
    <w:rsid w:val="00A25C5B"/>
    <w:rsid w:val="00A25F48"/>
    <w:rsid w:val="00A27A10"/>
    <w:rsid w:val="00A30306"/>
    <w:rsid w:val="00A3045E"/>
    <w:rsid w:val="00A310F4"/>
    <w:rsid w:val="00A337A3"/>
    <w:rsid w:val="00A33C89"/>
    <w:rsid w:val="00A34C72"/>
    <w:rsid w:val="00A35AC0"/>
    <w:rsid w:val="00A37468"/>
    <w:rsid w:val="00A403FF"/>
    <w:rsid w:val="00A412B0"/>
    <w:rsid w:val="00A42348"/>
    <w:rsid w:val="00A432A3"/>
    <w:rsid w:val="00A43672"/>
    <w:rsid w:val="00A441C4"/>
    <w:rsid w:val="00A44504"/>
    <w:rsid w:val="00A44E97"/>
    <w:rsid w:val="00A453BD"/>
    <w:rsid w:val="00A46CA4"/>
    <w:rsid w:val="00A478EC"/>
    <w:rsid w:val="00A515D7"/>
    <w:rsid w:val="00A51B62"/>
    <w:rsid w:val="00A51DD9"/>
    <w:rsid w:val="00A52ACD"/>
    <w:rsid w:val="00A52D48"/>
    <w:rsid w:val="00A536E3"/>
    <w:rsid w:val="00A5541E"/>
    <w:rsid w:val="00A555F0"/>
    <w:rsid w:val="00A55ACF"/>
    <w:rsid w:val="00A56418"/>
    <w:rsid w:val="00A576C1"/>
    <w:rsid w:val="00A57E2D"/>
    <w:rsid w:val="00A605F3"/>
    <w:rsid w:val="00A60BD3"/>
    <w:rsid w:val="00A62608"/>
    <w:rsid w:val="00A627C1"/>
    <w:rsid w:val="00A64504"/>
    <w:rsid w:val="00A66729"/>
    <w:rsid w:val="00A6787E"/>
    <w:rsid w:val="00A72DD5"/>
    <w:rsid w:val="00A75066"/>
    <w:rsid w:val="00A77F59"/>
    <w:rsid w:val="00A801E4"/>
    <w:rsid w:val="00A81C38"/>
    <w:rsid w:val="00A82072"/>
    <w:rsid w:val="00A83928"/>
    <w:rsid w:val="00A85004"/>
    <w:rsid w:val="00A8531C"/>
    <w:rsid w:val="00A8608D"/>
    <w:rsid w:val="00A863A1"/>
    <w:rsid w:val="00A8641B"/>
    <w:rsid w:val="00A9000B"/>
    <w:rsid w:val="00A91086"/>
    <w:rsid w:val="00A9119C"/>
    <w:rsid w:val="00A917A3"/>
    <w:rsid w:val="00A94035"/>
    <w:rsid w:val="00A942EB"/>
    <w:rsid w:val="00A94A7D"/>
    <w:rsid w:val="00A94DE6"/>
    <w:rsid w:val="00A95073"/>
    <w:rsid w:val="00A95FBD"/>
    <w:rsid w:val="00A97487"/>
    <w:rsid w:val="00A977E4"/>
    <w:rsid w:val="00AA043C"/>
    <w:rsid w:val="00AA1380"/>
    <w:rsid w:val="00AA173E"/>
    <w:rsid w:val="00AA23D0"/>
    <w:rsid w:val="00AA313A"/>
    <w:rsid w:val="00AA3D05"/>
    <w:rsid w:val="00AA48EC"/>
    <w:rsid w:val="00AA4F72"/>
    <w:rsid w:val="00AA57E1"/>
    <w:rsid w:val="00AA5EF1"/>
    <w:rsid w:val="00AA6E20"/>
    <w:rsid w:val="00AB035C"/>
    <w:rsid w:val="00AB0459"/>
    <w:rsid w:val="00AB0A4B"/>
    <w:rsid w:val="00AB10D9"/>
    <w:rsid w:val="00AB13E9"/>
    <w:rsid w:val="00AB2055"/>
    <w:rsid w:val="00AB3C17"/>
    <w:rsid w:val="00AB41DD"/>
    <w:rsid w:val="00AB5667"/>
    <w:rsid w:val="00AB6845"/>
    <w:rsid w:val="00AB684E"/>
    <w:rsid w:val="00AB75E3"/>
    <w:rsid w:val="00AB7E0D"/>
    <w:rsid w:val="00AC014D"/>
    <w:rsid w:val="00AC0520"/>
    <w:rsid w:val="00AC09F9"/>
    <w:rsid w:val="00AC0EE4"/>
    <w:rsid w:val="00AC3052"/>
    <w:rsid w:val="00AC3A35"/>
    <w:rsid w:val="00AC4376"/>
    <w:rsid w:val="00AC4727"/>
    <w:rsid w:val="00AC53B1"/>
    <w:rsid w:val="00AC7AB1"/>
    <w:rsid w:val="00AD0718"/>
    <w:rsid w:val="00AD1252"/>
    <w:rsid w:val="00AD5113"/>
    <w:rsid w:val="00AD5856"/>
    <w:rsid w:val="00AD68D2"/>
    <w:rsid w:val="00AD7A91"/>
    <w:rsid w:val="00AE0447"/>
    <w:rsid w:val="00AE08FC"/>
    <w:rsid w:val="00AE10FD"/>
    <w:rsid w:val="00AE1E81"/>
    <w:rsid w:val="00AE4263"/>
    <w:rsid w:val="00AE4586"/>
    <w:rsid w:val="00AE57EC"/>
    <w:rsid w:val="00AE629A"/>
    <w:rsid w:val="00AE6856"/>
    <w:rsid w:val="00AE6934"/>
    <w:rsid w:val="00AF166E"/>
    <w:rsid w:val="00AF177F"/>
    <w:rsid w:val="00AF1951"/>
    <w:rsid w:val="00AF1CDD"/>
    <w:rsid w:val="00AF255A"/>
    <w:rsid w:val="00AF2CE9"/>
    <w:rsid w:val="00AF404A"/>
    <w:rsid w:val="00AF4345"/>
    <w:rsid w:val="00AF448B"/>
    <w:rsid w:val="00AF56D5"/>
    <w:rsid w:val="00AF6D13"/>
    <w:rsid w:val="00B013BD"/>
    <w:rsid w:val="00B02128"/>
    <w:rsid w:val="00B02264"/>
    <w:rsid w:val="00B0236B"/>
    <w:rsid w:val="00B02849"/>
    <w:rsid w:val="00B02BBB"/>
    <w:rsid w:val="00B042EA"/>
    <w:rsid w:val="00B04C5F"/>
    <w:rsid w:val="00B04DF8"/>
    <w:rsid w:val="00B053B4"/>
    <w:rsid w:val="00B06075"/>
    <w:rsid w:val="00B064D7"/>
    <w:rsid w:val="00B06AAF"/>
    <w:rsid w:val="00B0771D"/>
    <w:rsid w:val="00B10865"/>
    <w:rsid w:val="00B11701"/>
    <w:rsid w:val="00B11C65"/>
    <w:rsid w:val="00B1401A"/>
    <w:rsid w:val="00B147AF"/>
    <w:rsid w:val="00B14F1B"/>
    <w:rsid w:val="00B15C8A"/>
    <w:rsid w:val="00B17F97"/>
    <w:rsid w:val="00B2002B"/>
    <w:rsid w:val="00B2041F"/>
    <w:rsid w:val="00B21D9A"/>
    <w:rsid w:val="00B2245C"/>
    <w:rsid w:val="00B24B64"/>
    <w:rsid w:val="00B262AB"/>
    <w:rsid w:val="00B268F5"/>
    <w:rsid w:val="00B26FC0"/>
    <w:rsid w:val="00B27231"/>
    <w:rsid w:val="00B308A5"/>
    <w:rsid w:val="00B317BF"/>
    <w:rsid w:val="00B322D9"/>
    <w:rsid w:val="00B32CC3"/>
    <w:rsid w:val="00B33F0F"/>
    <w:rsid w:val="00B347C5"/>
    <w:rsid w:val="00B349E3"/>
    <w:rsid w:val="00B35996"/>
    <w:rsid w:val="00B36A55"/>
    <w:rsid w:val="00B36E40"/>
    <w:rsid w:val="00B37006"/>
    <w:rsid w:val="00B43936"/>
    <w:rsid w:val="00B43CA6"/>
    <w:rsid w:val="00B45F4D"/>
    <w:rsid w:val="00B465DC"/>
    <w:rsid w:val="00B501AE"/>
    <w:rsid w:val="00B50305"/>
    <w:rsid w:val="00B505B6"/>
    <w:rsid w:val="00B53020"/>
    <w:rsid w:val="00B53349"/>
    <w:rsid w:val="00B53B6A"/>
    <w:rsid w:val="00B546F1"/>
    <w:rsid w:val="00B547A4"/>
    <w:rsid w:val="00B54D31"/>
    <w:rsid w:val="00B55C36"/>
    <w:rsid w:val="00B56A72"/>
    <w:rsid w:val="00B603EE"/>
    <w:rsid w:val="00B62184"/>
    <w:rsid w:val="00B621B5"/>
    <w:rsid w:val="00B64271"/>
    <w:rsid w:val="00B65AFF"/>
    <w:rsid w:val="00B67547"/>
    <w:rsid w:val="00B70771"/>
    <w:rsid w:val="00B75930"/>
    <w:rsid w:val="00B76E36"/>
    <w:rsid w:val="00B77EB7"/>
    <w:rsid w:val="00B84242"/>
    <w:rsid w:val="00B842FD"/>
    <w:rsid w:val="00B846C4"/>
    <w:rsid w:val="00B85F28"/>
    <w:rsid w:val="00B8625A"/>
    <w:rsid w:val="00B90776"/>
    <w:rsid w:val="00B91CCF"/>
    <w:rsid w:val="00B93370"/>
    <w:rsid w:val="00B93A48"/>
    <w:rsid w:val="00B93D17"/>
    <w:rsid w:val="00B94552"/>
    <w:rsid w:val="00B94ED1"/>
    <w:rsid w:val="00B95CCD"/>
    <w:rsid w:val="00B97BDF"/>
    <w:rsid w:val="00B97C5D"/>
    <w:rsid w:val="00BA2171"/>
    <w:rsid w:val="00BA5B79"/>
    <w:rsid w:val="00BA706B"/>
    <w:rsid w:val="00BB114E"/>
    <w:rsid w:val="00BB2DAE"/>
    <w:rsid w:val="00BB39F8"/>
    <w:rsid w:val="00BB456B"/>
    <w:rsid w:val="00BB45D8"/>
    <w:rsid w:val="00BC0E2F"/>
    <w:rsid w:val="00BC16BA"/>
    <w:rsid w:val="00BC1C13"/>
    <w:rsid w:val="00BC2AD0"/>
    <w:rsid w:val="00BC3691"/>
    <w:rsid w:val="00BC3C5B"/>
    <w:rsid w:val="00BC4ED4"/>
    <w:rsid w:val="00BC508F"/>
    <w:rsid w:val="00BD221E"/>
    <w:rsid w:val="00BD248D"/>
    <w:rsid w:val="00BD2A3E"/>
    <w:rsid w:val="00BD37CC"/>
    <w:rsid w:val="00BD3BE2"/>
    <w:rsid w:val="00BD3E91"/>
    <w:rsid w:val="00BD5285"/>
    <w:rsid w:val="00BD5ED7"/>
    <w:rsid w:val="00BD6DBB"/>
    <w:rsid w:val="00BD7050"/>
    <w:rsid w:val="00BD7BEB"/>
    <w:rsid w:val="00BE0360"/>
    <w:rsid w:val="00BE05E7"/>
    <w:rsid w:val="00BE2059"/>
    <w:rsid w:val="00BE2E51"/>
    <w:rsid w:val="00BE2EAD"/>
    <w:rsid w:val="00BE2FCA"/>
    <w:rsid w:val="00BE3AB3"/>
    <w:rsid w:val="00BE3C92"/>
    <w:rsid w:val="00BE445E"/>
    <w:rsid w:val="00BE4BAA"/>
    <w:rsid w:val="00BE61D4"/>
    <w:rsid w:val="00BE73DA"/>
    <w:rsid w:val="00BF1576"/>
    <w:rsid w:val="00BF1790"/>
    <w:rsid w:val="00BF303F"/>
    <w:rsid w:val="00BF32A8"/>
    <w:rsid w:val="00BF498B"/>
    <w:rsid w:val="00BF4ABD"/>
    <w:rsid w:val="00BF6559"/>
    <w:rsid w:val="00BF679E"/>
    <w:rsid w:val="00C00376"/>
    <w:rsid w:val="00C006EB"/>
    <w:rsid w:val="00C01065"/>
    <w:rsid w:val="00C0138F"/>
    <w:rsid w:val="00C01BDA"/>
    <w:rsid w:val="00C03EA5"/>
    <w:rsid w:val="00C053E7"/>
    <w:rsid w:val="00C0688B"/>
    <w:rsid w:val="00C1056B"/>
    <w:rsid w:val="00C10677"/>
    <w:rsid w:val="00C11124"/>
    <w:rsid w:val="00C11205"/>
    <w:rsid w:val="00C12E0D"/>
    <w:rsid w:val="00C146D2"/>
    <w:rsid w:val="00C152A9"/>
    <w:rsid w:val="00C1594F"/>
    <w:rsid w:val="00C1732A"/>
    <w:rsid w:val="00C206C3"/>
    <w:rsid w:val="00C20976"/>
    <w:rsid w:val="00C2116E"/>
    <w:rsid w:val="00C211E4"/>
    <w:rsid w:val="00C21742"/>
    <w:rsid w:val="00C24888"/>
    <w:rsid w:val="00C2556C"/>
    <w:rsid w:val="00C25823"/>
    <w:rsid w:val="00C26013"/>
    <w:rsid w:val="00C30D47"/>
    <w:rsid w:val="00C310C2"/>
    <w:rsid w:val="00C32688"/>
    <w:rsid w:val="00C36519"/>
    <w:rsid w:val="00C37D21"/>
    <w:rsid w:val="00C400CD"/>
    <w:rsid w:val="00C4317E"/>
    <w:rsid w:val="00C43D1F"/>
    <w:rsid w:val="00C45DD2"/>
    <w:rsid w:val="00C45FEE"/>
    <w:rsid w:val="00C46B68"/>
    <w:rsid w:val="00C52391"/>
    <w:rsid w:val="00C52E17"/>
    <w:rsid w:val="00C53829"/>
    <w:rsid w:val="00C55AE2"/>
    <w:rsid w:val="00C561DE"/>
    <w:rsid w:val="00C56394"/>
    <w:rsid w:val="00C56432"/>
    <w:rsid w:val="00C56EC3"/>
    <w:rsid w:val="00C57653"/>
    <w:rsid w:val="00C6045D"/>
    <w:rsid w:val="00C60D50"/>
    <w:rsid w:val="00C62114"/>
    <w:rsid w:val="00C64504"/>
    <w:rsid w:val="00C64A5D"/>
    <w:rsid w:val="00C64DEB"/>
    <w:rsid w:val="00C65786"/>
    <w:rsid w:val="00C665FC"/>
    <w:rsid w:val="00C66CC9"/>
    <w:rsid w:val="00C702F4"/>
    <w:rsid w:val="00C71EDE"/>
    <w:rsid w:val="00C72123"/>
    <w:rsid w:val="00C727C5"/>
    <w:rsid w:val="00C72C67"/>
    <w:rsid w:val="00C74128"/>
    <w:rsid w:val="00C75CBE"/>
    <w:rsid w:val="00C75FB4"/>
    <w:rsid w:val="00C769F9"/>
    <w:rsid w:val="00C77223"/>
    <w:rsid w:val="00C8061E"/>
    <w:rsid w:val="00C80D0D"/>
    <w:rsid w:val="00C80F44"/>
    <w:rsid w:val="00C80F86"/>
    <w:rsid w:val="00C81245"/>
    <w:rsid w:val="00C821E1"/>
    <w:rsid w:val="00C82FD5"/>
    <w:rsid w:val="00C83DF5"/>
    <w:rsid w:val="00C84188"/>
    <w:rsid w:val="00C842D8"/>
    <w:rsid w:val="00C84FCE"/>
    <w:rsid w:val="00C84FD2"/>
    <w:rsid w:val="00C868F6"/>
    <w:rsid w:val="00C905A1"/>
    <w:rsid w:val="00C9168D"/>
    <w:rsid w:val="00C91B2D"/>
    <w:rsid w:val="00C92205"/>
    <w:rsid w:val="00C95615"/>
    <w:rsid w:val="00C95859"/>
    <w:rsid w:val="00C9674E"/>
    <w:rsid w:val="00C96C31"/>
    <w:rsid w:val="00C97EFA"/>
    <w:rsid w:val="00CA04F0"/>
    <w:rsid w:val="00CA060C"/>
    <w:rsid w:val="00CA0E68"/>
    <w:rsid w:val="00CA1261"/>
    <w:rsid w:val="00CA1B65"/>
    <w:rsid w:val="00CA1F1A"/>
    <w:rsid w:val="00CA304C"/>
    <w:rsid w:val="00CA486F"/>
    <w:rsid w:val="00CA7ADB"/>
    <w:rsid w:val="00CB039D"/>
    <w:rsid w:val="00CB0D17"/>
    <w:rsid w:val="00CB0EDE"/>
    <w:rsid w:val="00CB1097"/>
    <w:rsid w:val="00CB1483"/>
    <w:rsid w:val="00CB387A"/>
    <w:rsid w:val="00CB455B"/>
    <w:rsid w:val="00CB48AE"/>
    <w:rsid w:val="00CB4E89"/>
    <w:rsid w:val="00CB6174"/>
    <w:rsid w:val="00CB6EE4"/>
    <w:rsid w:val="00CB747C"/>
    <w:rsid w:val="00CC0687"/>
    <w:rsid w:val="00CC0E45"/>
    <w:rsid w:val="00CC1C30"/>
    <w:rsid w:val="00CC41C8"/>
    <w:rsid w:val="00CC46F6"/>
    <w:rsid w:val="00CC4F62"/>
    <w:rsid w:val="00CC553D"/>
    <w:rsid w:val="00CC5B79"/>
    <w:rsid w:val="00CC5DC0"/>
    <w:rsid w:val="00CC684D"/>
    <w:rsid w:val="00CC7114"/>
    <w:rsid w:val="00CD13F0"/>
    <w:rsid w:val="00CD1634"/>
    <w:rsid w:val="00CD2EE8"/>
    <w:rsid w:val="00CD5A04"/>
    <w:rsid w:val="00CD5AF8"/>
    <w:rsid w:val="00CD663B"/>
    <w:rsid w:val="00CD73A6"/>
    <w:rsid w:val="00CD7E37"/>
    <w:rsid w:val="00CE1AF5"/>
    <w:rsid w:val="00CE1C22"/>
    <w:rsid w:val="00CE441D"/>
    <w:rsid w:val="00CE5685"/>
    <w:rsid w:val="00CE6823"/>
    <w:rsid w:val="00CE69D1"/>
    <w:rsid w:val="00CF206F"/>
    <w:rsid w:val="00CF25FA"/>
    <w:rsid w:val="00CF3542"/>
    <w:rsid w:val="00CF3A0D"/>
    <w:rsid w:val="00CF5C49"/>
    <w:rsid w:val="00CF5E2F"/>
    <w:rsid w:val="00CF661F"/>
    <w:rsid w:val="00CF726F"/>
    <w:rsid w:val="00CF78B7"/>
    <w:rsid w:val="00D0003B"/>
    <w:rsid w:val="00D03FC6"/>
    <w:rsid w:val="00D055F4"/>
    <w:rsid w:val="00D07BA1"/>
    <w:rsid w:val="00D10DA2"/>
    <w:rsid w:val="00D112A7"/>
    <w:rsid w:val="00D11D82"/>
    <w:rsid w:val="00D12CD6"/>
    <w:rsid w:val="00D1331C"/>
    <w:rsid w:val="00D13529"/>
    <w:rsid w:val="00D13DE5"/>
    <w:rsid w:val="00D15354"/>
    <w:rsid w:val="00D15455"/>
    <w:rsid w:val="00D210F5"/>
    <w:rsid w:val="00D22786"/>
    <w:rsid w:val="00D22895"/>
    <w:rsid w:val="00D22C1B"/>
    <w:rsid w:val="00D245F0"/>
    <w:rsid w:val="00D247E8"/>
    <w:rsid w:val="00D24962"/>
    <w:rsid w:val="00D253CA"/>
    <w:rsid w:val="00D25C6B"/>
    <w:rsid w:val="00D309CF"/>
    <w:rsid w:val="00D316E5"/>
    <w:rsid w:val="00D3275E"/>
    <w:rsid w:val="00D330AF"/>
    <w:rsid w:val="00D34B06"/>
    <w:rsid w:val="00D36598"/>
    <w:rsid w:val="00D41E52"/>
    <w:rsid w:val="00D428EE"/>
    <w:rsid w:val="00D433ED"/>
    <w:rsid w:val="00D46460"/>
    <w:rsid w:val="00D52544"/>
    <w:rsid w:val="00D52B51"/>
    <w:rsid w:val="00D54BB5"/>
    <w:rsid w:val="00D54F47"/>
    <w:rsid w:val="00D55187"/>
    <w:rsid w:val="00D5577D"/>
    <w:rsid w:val="00D560F2"/>
    <w:rsid w:val="00D576B7"/>
    <w:rsid w:val="00D61670"/>
    <w:rsid w:val="00D6213B"/>
    <w:rsid w:val="00D634E3"/>
    <w:rsid w:val="00D64D67"/>
    <w:rsid w:val="00D651ED"/>
    <w:rsid w:val="00D65CD5"/>
    <w:rsid w:val="00D66F41"/>
    <w:rsid w:val="00D6721E"/>
    <w:rsid w:val="00D6798A"/>
    <w:rsid w:val="00D722AE"/>
    <w:rsid w:val="00D726B2"/>
    <w:rsid w:val="00D72732"/>
    <w:rsid w:val="00D750D7"/>
    <w:rsid w:val="00D755B1"/>
    <w:rsid w:val="00D75C3C"/>
    <w:rsid w:val="00D75EE0"/>
    <w:rsid w:val="00D770C8"/>
    <w:rsid w:val="00D77818"/>
    <w:rsid w:val="00D8044F"/>
    <w:rsid w:val="00D86937"/>
    <w:rsid w:val="00D86E92"/>
    <w:rsid w:val="00D87A64"/>
    <w:rsid w:val="00D907F8"/>
    <w:rsid w:val="00D91E20"/>
    <w:rsid w:val="00D92004"/>
    <w:rsid w:val="00D923C9"/>
    <w:rsid w:val="00D9259E"/>
    <w:rsid w:val="00D92B0B"/>
    <w:rsid w:val="00D94643"/>
    <w:rsid w:val="00D957D3"/>
    <w:rsid w:val="00DA0136"/>
    <w:rsid w:val="00DA153F"/>
    <w:rsid w:val="00DA1CBB"/>
    <w:rsid w:val="00DA2E42"/>
    <w:rsid w:val="00DA319F"/>
    <w:rsid w:val="00DA471C"/>
    <w:rsid w:val="00DA4BC4"/>
    <w:rsid w:val="00DA5089"/>
    <w:rsid w:val="00DA67E8"/>
    <w:rsid w:val="00DA6C76"/>
    <w:rsid w:val="00DA7B44"/>
    <w:rsid w:val="00DB1299"/>
    <w:rsid w:val="00DB3827"/>
    <w:rsid w:val="00DB3F5A"/>
    <w:rsid w:val="00DB4803"/>
    <w:rsid w:val="00DB5AA1"/>
    <w:rsid w:val="00DB6CB6"/>
    <w:rsid w:val="00DB6D67"/>
    <w:rsid w:val="00DC0232"/>
    <w:rsid w:val="00DC0944"/>
    <w:rsid w:val="00DC1425"/>
    <w:rsid w:val="00DC170B"/>
    <w:rsid w:val="00DC1D9C"/>
    <w:rsid w:val="00DC274B"/>
    <w:rsid w:val="00DC68B0"/>
    <w:rsid w:val="00DD0BD1"/>
    <w:rsid w:val="00DD0DE2"/>
    <w:rsid w:val="00DD13AF"/>
    <w:rsid w:val="00DD2405"/>
    <w:rsid w:val="00DD30FB"/>
    <w:rsid w:val="00DD466E"/>
    <w:rsid w:val="00DE5616"/>
    <w:rsid w:val="00DE58E1"/>
    <w:rsid w:val="00DE5ABA"/>
    <w:rsid w:val="00DE7541"/>
    <w:rsid w:val="00DE7C07"/>
    <w:rsid w:val="00DE7E0A"/>
    <w:rsid w:val="00DF0B3A"/>
    <w:rsid w:val="00DF3C98"/>
    <w:rsid w:val="00DF48B0"/>
    <w:rsid w:val="00DF6DD6"/>
    <w:rsid w:val="00E005B1"/>
    <w:rsid w:val="00E016FF"/>
    <w:rsid w:val="00E019A5"/>
    <w:rsid w:val="00E032D9"/>
    <w:rsid w:val="00E03FEE"/>
    <w:rsid w:val="00E04D83"/>
    <w:rsid w:val="00E04DBA"/>
    <w:rsid w:val="00E05009"/>
    <w:rsid w:val="00E0571E"/>
    <w:rsid w:val="00E0572E"/>
    <w:rsid w:val="00E06542"/>
    <w:rsid w:val="00E07E05"/>
    <w:rsid w:val="00E100E4"/>
    <w:rsid w:val="00E10C04"/>
    <w:rsid w:val="00E11171"/>
    <w:rsid w:val="00E1163A"/>
    <w:rsid w:val="00E11A9A"/>
    <w:rsid w:val="00E121A9"/>
    <w:rsid w:val="00E12260"/>
    <w:rsid w:val="00E12574"/>
    <w:rsid w:val="00E131EC"/>
    <w:rsid w:val="00E14799"/>
    <w:rsid w:val="00E14CAF"/>
    <w:rsid w:val="00E15696"/>
    <w:rsid w:val="00E15728"/>
    <w:rsid w:val="00E1629C"/>
    <w:rsid w:val="00E1691A"/>
    <w:rsid w:val="00E16967"/>
    <w:rsid w:val="00E171C5"/>
    <w:rsid w:val="00E1735F"/>
    <w:rsid w:val="00E231EE"/>
    <w:rsid w:val="00E24D24"/>
    <w:rsid w:val="00E24DAF"/>
    <w:rsid w:val="00E25AF3"/>
    <w:rsid w:val="00E25C48"/>
    <w:rsid w:val="00E273A2"/>
    <w:rsid w:val="00E279D9"/>
    <w:rsid w:val="00E27C93"/>
    <w:rsid w:val="00E30E48"/>
    <w:rsid w:val="00E31F39"/>
    <w:rsid w:val="00E324E8"/>
    <w:rsid w:val="00E327B7"/>
    <w:rsid w:val="00E330E9"/>
    <w:rsid w:val="00E332D0"/>
    <w:rsid w:val="00E335BC"/>
    <w:rsid w:val="00E34DE2"/>
    <w:rsid w:val="00E35264"/>
    <w:rsid w:val="00E352E5"/>
    <w:rsid w:val="00E368CE"/>
    <w:rsid w:val="00E36A43"/>
    <w:rsid w:val="00E419F7"/>
    <w:rsid w:val="00E41B3B"/>
    <w:rsid w:val="00E41C90"/>
    <w:rsid w:val="00E44E19"/>
    <w:rsid w:val="00E45704"/>
    <w:rsid w:val="00E46C37"/>
    <w:rsid w:val="00E47846"/>
    <w:rsid w:val="00E47C22"/>
    <w:rsid w:val="00E5037D"/>
    <w:rsid w:val="00E50FDE"/>
    <w:rsid w:val="00E51096"/>
    <w:rsid w:val="00E519EB"/>
    <w:rsid w:val="00E5236F"/>
    <w:rsid w:val="00E52C6D"/>
    <w:rsid w:val="00E52D5B"/>
    <w:rsid w:val="00E534A0"/>
    <w:rsid w:val="00E54294"/>
    <w:rsid w:val="00E55EA6"/>
    <w:rsid w:val="00E577E2"/>
    <w:rsid w:val="00E57D75"/>
    <w:rsid w:val="00E57FC2"/>
    <w:rsid w:val="00E6488B"/>
    <w:rsid w:val="00E65907"/>
    <w:rsid w:val="00E66561"/>
    <w:rsid w:val="00E67389"/>
    <w:rsid w:val="00E715DD"/>
    <w:rsid w:val="00E72066"/>
    <w:rsid w:val="00E72D3A"/>
    <w:rsid w:val="00E7308B"/>
    <w:rsid w:val="00E731FD"/>
    <w:rsid w:val="00E73AD2"/>
    <w:rsid w:val="00E7406D"/>
    <w:rsid w:val="00E740F2"/>
    <w:rsid w:val="00E74358"/>
    <w:rsid w:val="00E74916"/>
    <w:rsid w:val="00E7638A"/>
    <w:rsid w:val="00E76AD3"/>
    <w:rsid w:val="00E81ACF"/>
    <w:rsid w:val="00E81D46"/>
    <w:rsid w:val="00E82A09"/>
    <w:rsid w:val="00E84039"/>
    <w:rsid w:val="00E843B0"/>
    <w:rsid w:val="00E84556"/>
    <w:rsid w:val="00E866E0"/>
    <w:rsid w:val="00E87404"/>
    <w:rsid w:val="00E87452"/>
    <w:rsid w:val="00E91E1F"/>
    <w:rsid w:val="00E923E4"/>
    <w:rsid w:val="00E926EA"/>
    <w:rsid w:val="00E94C3E"/>
    <w:rsid w:val="00E96186"/>
    <w:rsid w:val="00E9669C"/>
    <w:rsid w:val="00EA0C33"/>
    <w:rsid w:val="00EA1AA9"/>
    <w:rsid w:val="00EA2670"/>
    <w:rsid w:val="00EA2D5C"/>
    <w:rsid w:val="00EA3D24"/>
    <w:rsid w:val="00EA44E7"/>
    <w:rsid w:val="00EA4EC3"/>
    <w:rsid w:val="00EA5181"/>
    <w:rsid w:val="00EA5695"/>
    <w:rsid w:val="00EA5E63"/>
    <w:rsid w:val="00EB0459"/>
    <w:rsid w:val="00EB1026"/>
    <w:rsid w:val="00EB10A4"/>
    <w:rsid w:val="00EB3439"/>
    <w:rsid w:val="00EB3453"/>
    <w:rsid w:val="00EB4F9C"/>
    <w:rsid w:val="00EB6940"/>
    <w:rsid w:val="00EB75A1"/>
    <w:rsid w:val="00EB7E20"/>
    <w:rsid w:val="00EC0DA2"/>
    <w:rsid w:val="00EC3159"/>
    <w:rsid w:val="00EC3AB7"/>
    <w:rsid w:val="00EC760A"/>
    <w:rsid w:val="00EC7722"/>
    <w:rsid w:val="00ED032B"/>
    <w:rsid w:val="00ED2489"/>
    <w:rsid w:val="00ED6D5E"/>
    <w:rsid w:val="00ED717E"/>
    <w:rsid w:val="00EE0894"/>
    <w:rsid w:val="00EE4AF6"/>
    <w:rsid w:val="00EE4C03"/>
    <w:rsid w:val="00EE4D38"/>
    <w:rsid w:val="00EE6D88"/>
    <w:rsid w:val="00EE6E6A"/>
    <w:rsid w:val="00EE75A4"/>
    <w:rsid w:val="00EF0FE4"/>
    <w:rsid w:val="00EF1150"/>
    <w:rsid w:val="00EF2639"/>
    <w:rsid w:val="00EF5D73"/>
    <w:rsid w:val="00EF62CE"/>
    <w:rsid w:val="00EF790A"/>
    <w:rsid w:val="00F0030A"/>
    <w:rsid w:val="00F02BA4"/>
    <w:rsid w:val="00F02F73"/>
    <w:rsid w:val="00F03680"/>
    <w:rsid w:val="00F0371E"/>
    <w:rsid w:val="00F03E5C"/>
    <w:rsid w:val="00F04552"/>
    <w:rsid w:val="00F061EA"/>
    <w:rsid w:val="00F07055"/>
    <w:rsid w:val="00F10C0B"/>
    <w:rsid w:val="00F11FFA"/>
    <w:rsid w:val="00F12264"/>
    <w:rsid w:val="00F1241C"/>
    <w:rsid w:val="00F13016"/>
    <w:rsid w:val="00F133C0"/>
    <w:rsid w:val="00F13AC0"/>
    <w:rsid w:val="00F13ECB"/>
    <w:rsid w:val="00F14AA4"/>
    <w:rsid w:val="00F2183E"/>
    <w:rsid w:val="00F2264F"/>
    <w:rsid w:val="00F23E6A"/>
    <w:rsid w:val="00F248DC"/>
    <w:rsid w:val="00F25B1B"/>
    <w:rsid w:val="00F26983"/>
    <w:rsid w:val="00F26C37"/>
    <w:rsid w:val="00F30438"/>
    <w:rsid w:val="00F31404"/>
    <w:rsid w:val="00F339A8"/>
    <w:rsid w:val="00F33EE0"/>
    <w:rsid w:val="00F3646C"/>
    <w:rsid w:val="00F36D90"/>
    <w:rsid w:val="00F40778"/>
    <w:rsid w:val="00F4123B"/>
    <w:rsid w:val="00F430A4"/>
    <w:rsid w:val="00F43901"/>
    <w:rsid w:val="00F444B2"/>
    <w:rsid w:val="00F45588"/>
    <w:rsid w:val="00F455B2"/>
    <w:rsid w:val="00F45803"/>
    <w:rsid w:val="00F45B5D"/>
    <w:rsid w:val="00F45FC2"/>
    <w:rsid w:val="00F46F77"/>
    <w:rsid w:val="00F474AA"/>
    <w:rsid w:val="00F55EDF"/>
    <w:rsid w:val="00F5662F"/>
    <w:rsid w:val="00F56B79"/>
    <w:rsid w:val="00F578CA"/>
    <w:rsid w:val="00F607A7"/>
    <w:rsid w:val="00F612ED"/>
    <w:rsid w:val="00F61AFF"/>
    <w:rsid w:val="00F635CD"/>
    <w:rsid w:val="00F6365B"/>
    <w:rsid w:val="00F65759"/>
    <w:rsid w:val="00F668DE"/>
    <w:rsid w:val="00F70875"/>
    <w:rsid w:val="00F70F21"/>
    <w:rsid w:val="00F70F42"/>
    <w:rsid w:val="00F7153F"/>
    <w:rsid w:val="00F71F3F"/>
    <w:rsid w:val="00F7307B"/>
    <w:rsid w:val="00F732F3"/>
    <w:rsid w:val="00F75833"/>
    <w:rsid w:val="00F77952"/>
    <w:rsid w:val="00F81532"/>
    <w:rsid w:val="00F823B2"/>
    <w:rsid w:val="00F82440"/>
    <w:rsid w:val="00F836F0"/>
    <w:rsid w:val="00F843DD"/>
    <w:rsid w:val="00F85373"/>
    <w:rsid w:val="00F86442"/>
    <w:rsid w:val="00F875B5"/>
    <w:rsid w:val="00F87CAA"/>
    <w:rsid w:val="00F9154F"/>
    <w:rsid w:val="00F91805"/>
    <w:rsid w:val="00F927E0"/>
    <w:rsid w:val="00F93155"/>
    <w:rsid w:val="00F93773"/>
    <w:rsid w:val="00F93CB7"/>
    <w:rsid w:val="00F944BF"/>
    <w:rsid w:val="00F94C20"/>
    <w:rsid w:val="00F94F87"/>
    <w:rsid w:val="00F961A9"/>
    <w:rsid w:val="00F96E08"/>
    <w:rsid w:val="00F972E3"/>
    <w:rsid w:val="00F97F81"/>
    <w:rsid w:val="00FA03D4"/>
    <w:rsid w:val="00FA13EC"/>
    <w:rsid w:val="00FA19F0"/>
    <w:rsid w:val="00FA1B53"/>
    <w:rsid w:val="00FA24BD"/>
    <w:rsid w:val="00FA5052"/>
    <w:rsid w:val="00FA5D79"/>
    <w:rsid w:val="00FB0293"/>
    <w:rsid w:val="00FB076D"/>
    <w:rsid w:val="00FB0E29"/>
    <w:rsid w:val="00FB1760"/>
    <w:rsid w:val="00FB1C9C"/>
    <w:rsid w:val="00FB25AE"/>
    <w:rsid w:val="00FB2B97"/>
    <w:rsid w:val="00FB4306"/>
    <w:rsid w:val="00FB4B82"/>
    <w:rsid w:val="00FB4E7D"/>
    <w:rsid w:val="00FB5933"/>
    <w:rsid w:val="00FB636B"/>
    <w:rsid w:val="00FB69E5"/>
    <w:rsid w:val="00FB719B"/>
    <w:rsid w:val="00FB7373"/>
    <w:rsid w:val="00FB776E"/>
    <w:rsid w:val="00FB78EB"/>
    <w:rsid w:val="00FB7F84"/>
    <w:rsid w:val="00FC2522"/>
    <w:rsid w:val="00FC2606"/>
    <w:rsid w:val="00FC4766"/>
    <w:rsid w:val="00FC4798"/>
    <w:rsid w:val="00FC568A"/>
    <w:rsid w:val="00FC58FE"/>
    <w:rsid w:val="00FC6FA7"/>
    <w:rsid w:val="00FC78F4"/>
    <w:rsid w:val="00FC7A2B"/>
    <w:rsid w:val="00FD00F2"/>
    <w:rsid w:val="00FD0C0A"/>
    <w:rsid w:val="00FD2781"/>
    <w:rsid w:val="00FD28C1"/>
    <w:rsid w:val="00FD3E87"/>
    <w:rsid w:val="00FD6BD9"/>
    <w:rsid w:val="00FE2530"/>
    <w:rsid w:val="00FE2AB6"/>
    <w:rsid w:val="00FE2ABE"/>
    <w:rsid w:val="00FE31FD"/>
    <w:rsid w:val="00FE3767"/>
    <w:rsid w:val="00FE3BED"/>
    <w:rsid w:val="00FE3C01"/>
    <w:rsid w:val="00FE469F"/>
    <w:rsid w:val="00FE500A"/>
    <w:rsid w:val="00FE6DA6"/>
    <w:rsid w:val="00FE76D3"/>
    <w:rsid w:val="00FE7822"/>
    <w:rsid w:val="00FE78D8"/>
    <w:rsid w:val="00FF06F1"/>
    <w:rsid w:val="00FF17A1"/>
    <w:rsid w:val="00FF2DE9"/>
    <w:rsid w:val="00FF3628"/>
    <w:rsid w:val="00FF6C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997B2C"/>
  <w15:chartTrackingRefBased/>
  <w15:docId w15:val="{CA65CA0A-A915-4160-984E-3A96FAE4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124"/>
  </w:style>
  <w:style w:type="paragraph" w:styleId="Heading1">
    <w:name w:val="heading 1"/>
    <w:basedOn w:val="Normal"/>
    <w:next w:val="Normal"/>
    <w:link w:val="Heading1Char"/>
    <w:uiPriority w:val="9"/>
    <w:qFormat/>
    <w:rsid w:val="00356E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7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70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A90"/>
    <w:rPr>
      <w:color w:val="0563C1" w:themeColor="hyperlink"/>
      <w:u w:val="single"/>
    </w:rPr>
  </w:style>
  <w:style w:type="character" w:styleId="UnresolvedMention">
    <w:name w:val="Unresolved Mention"/>
    <w:basedOn w:val="DefaultParagraphFont"/>
    <w:uiPriority w:val="99"/>
    <w:semiHidden/>
    <w:unhideWhenUsed/>
    <w:rsid w:val="004E4A90"/>
    <w:rPr>
      <w:color w:val="605E5C"/>
      <w:shd w:val="clear" w:color="auto" w:fill="E1DFDD"/>
    </w:rPr>
  </w:style>
  <w:style w:type="paragraph" w:styleId="Header">
    <w:name w:val="header"/>
    <w:basedOn w:val="Normal"/>
    <w:link w:val="HeaderChar"/>
    <w:uiPriority w:val="99"/>
    <w:unhideWhenUsed/>
    <w:rsid w:val="00E35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264"/>
  </w:style>
  <w:style w:type="paragraph" w:styleId="Footer">
    <w:name w:val="footer"/>
    <w:basedOn w:val="Normal"/>
    <w:link w:val="FooterChar"/>
    <w:uiPriority w:val="99"/>
    <w:unhideWhenUsed/>
    <w:rsid w:val="00E35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264"/>
  </w:style>
  <w:style w:type="table" w:styleId="TableGrid">
    <w:name w:val="Table Grid"/>
    <w:basedOn w:val="TableNormal"/>
    <w:uiPriority w:val="39"/>
    <w:rsid w:val="00213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A7884"/>
    <w:pPr>
      <w:widowControl w:val="0"/>
      <w:spacing w:before="2" w:after="0" w:line="240" w:lineRule="auto"/>
      <w:ind w:left="435"/>
    </w:pPr>
    <w:rPr>
      <w:rFonts w:ascii="Courier New" w:eastAsia="Courier New" w:hAnsi="Courier New"/>
      <w:sz w:val="17"/>
      <w:szCs w:val="17"/>
    </w:rPr>
  </w:style>
  <w:style w:type="character" w:customStyle="1" w:styleId="BodyTextChar">
    <w:name w:val="Body Text Char"/>
    <w:basedOn w:val="DefaultParagraphFont"/>
    <w:link w:val="BodyText"/>
    <w:uiPriority w:val="1"/>
    <w:rsid w:val="007A7884"/>
    <w:rPr>
      <w:rFonts w:ascii="Courier New" w:eastAsia="Courier New" w:hAnsi="Courier New"/>
      <w:sz w:val="17"/>
      <w:szCs w:val="17"/>
    </w:rPr>
  </w:style>
  <w:style w:type="paragraph" w:customStyle="1" w:styleId="TableParagraph">
    <w:name w:val="Table Paragraph"/>
    <w:basedOn w:val="Normal"/>
    <w:uiPriority w:val="1"/>
    <w:qFormat/>
    <w:rsid w:val="007A7884"/>
    <w:pPr>
      <w:widowControl w:val="0"/>
      <w:spacing w:after="0" w:line="240" w:lineRule="auto"/>
    </w:pPr>
  </w:style>
  <w:style w:type="paragraph" w:styleId="ListParagraph">
    <w:name w:val="List Paragraph"/>
    <w:basedOn w:val="Normal"/>
    <w:uiPriority w:val="34"/>
    <w:qFormat/>
    <w:rsid w:val="00D86937"/>
    <w:pPr>
      <w:ind w:left="720"/>
      <w:contextualSpacing/>
    </w:pPr>
  </w:style>
  <w:style w:type="paragraph" w:styleId="Caption">
    <w:name w:val="caption"/>
    <w:basedOn w:val="Normal"/>
    <w:next w:val="Normal"/>
    <w:uiPriority w:val="35"/>
    <w:unhideWhenUsed/>
    <w:qFormat/>
    <w:rsid w:val="00333C5C"/>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356E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70D4"/>
    <w:rPr>
      <w:rFonts w:asciiTheme="majorHAnsi" w:eastAsiaTheme="majorEastAsia" w:hAnsiTheme="majorHAnsi" w:cstheme="majorBidi"/>
      <w:color w:val="1F3763" w:themeColor="accent1" w:themeShade="7F"/>
      <w:sz w:val="24"/>
      <w:szCs w:val="24"/>
    </w:rPr>
  </w:style>
  <w:style w:type="table" w:styleId="TableGridLight">
    <w:name w:val="Grid Table Light"/>
    <w:basedOn w:val="TableNormal"/>
    <w:uiPriority w:val="40"/>
    <w:rsid w:val="007161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161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C57653"/>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C922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211761">
      <w:bodyDiv w:val="1"/>
      <w:marLeft w:val="0"/>
      <w:marRight w:val="0"/>
      <w:marTop w:val="0"/>
      <w:marBottom w:val="0"/>
      <w:divBdr>
        <w:top w:val="none" w:sz="0" w:space="0" w:color="auto"/>
        <w:left w:val="none" w:sz="0" w:space="0" w:color="auto"/>
        <w:bottom w:val="none" w:sz="0" w:space="0" w:color="auto"/>
        <w:right w:val="none" w:sz="0" w:space="0" w:color="auto"/>
      </w:divBdr>
    </w:div>
    <w:div w:id="2095858667">
      <w:bodyDiv w:val="1"/>
      <w:marLeft w:val="0"/>
      <w:marRight w:val="0"/>
      <w:marTop w:val="0"/>
      <w:marBottom w:val="0"/>
      <w:divBdr>
        <w:top w:val="none" w:sz="0" w:space="0" w:color="auto"/>
        <w:left w:val="none" w:sz="0" w:space="0" w:color="auto"/>
        <w:bottom w:val="none" w:sz="0" w:space="0" w:color="auto"/>
        <w:right w:val="none" w:sz="0" w:space="0" w:color="auto"/>
      </w:divBdr>
      <w:divsChild>
        <w:div w:id="1235242743">
          <w:marLeft w:val="0"/>
          <w:marRight w:val="0"/>
          <w:marTop w:val="0"/>
          <w:marBottom w:val="0"/>
          <w:divBdr>
            <w:top w:val="none" w:sz="0" w:space="0" w:color="auto"/>
            <w:left w:val="none" w:sz="0" w:space="0" w:color="auto"/>
            <w:bottom w:val="none" w:sz="0" w:space="0" w:color="auto"/>
            <w:right w:val="none" w:sz="0" w:space="0" w:color="auto"/>
          </w:divBdr>
          <w:divsChild>
            <w:div w:id="10718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257/0895330042162430" TargetMode="External"/><Relationship Id="rId21" Type="http://schemas.openxmlformats.org/officeDocument/2006/relationships/hyperlink" Target="https://www.wiley.com/en-us/Applied+Corporate+Finance%2C+4th+Edition-p-9781118808931" TargetMode="External"/><Relationship Id="rId42" Type="http://schemas.openxmlformats.org/officeDocument/2006/relationships/hyperlink" Target="https://doi.org/10.55227/ijhess.v3i6.963" TargetMode="External"/><Relationship Id="rId47" Type="http://schemas.openxmlformats.org/officeDocument/2006/relationships/hyperlink" Target="https://doi.org/10.1177/0972150917692064" TargetMode="External"/><Relationship Id="rId63" Type="http://schemas.openxmlformats.org/officeDocument/2006/relationships/hyperlink" Target="https://doi.org/10.1016/j.heliyon.2020.e04741" TargetMode="External"/><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2307/2491062" TargetMode="External"/><Relationship Id="rId29" Type="http://schemas.openxmlformats.org/officeDocument/2006/relationships/hyperlink" Target="https://doi.org/10.30566/ijo-bs/2023.12.117" TargetMode="External"/><Relationship Id="rId11" Type="http://schemas.openxmlformats.org/officeDocument/2006/relationships/hyperlink" Target="https://doi.org/10.2307/j.ctvcm4j72" TargetMode="External"/><Relationship Id="rId24" Type="http://schemas.openxmlformats.org/officeDocument/2006/relationships/hyperlink" Target="https://www.researchgate.net/publication/360540000_FIRM_CHARACTERISTICS_AND_TAX_AGGRESSIVENESS_OF_QUOTED_INDUSTRIAL_GOODS_FIRMS_IN_NIGERIA" TargetMode="External"/><Relationship Id="rId32" Type="http://schemas.openxmlformats.org/officeDocument/2006/relationships/hyperlink" Target="https://doi.org/10.5555/ijosmas.v3i3.207" TargetMode="External"/><Relationship Id="rId37" Type="http://schemas.openxmlformats.org/officeDocument/2006/relationships/hyperlink" Target="https://doi.org/10.52728/ijtc.v3i4.592" TargetMode="External"/><Relationship Id="rId40" Type="http://schemas.openxmlformats.org/officeDocument/2006/relationships/hyperlink" Target="https://doi.org/10.1017/CBO9780511804564" TargetMode="External"/><Relationship Id="rId45" Type="http://schemas.openxmlformats.org/officeDocument/2006/relationships/hyperlink" Target="https://doi.org/10.1177/0972150917733834" TargetMode="External"/><Relationship Id="rId53" Type="http://schemas.openxmlformats.org/officeDocument/2006/relationships/hyperlink" Target="https://doi.org/10.34218/IJM.11.8.2020.150" TargetMode="External"/><Relationship Id="rId58" Type="http://schemas.openxmlformats.org/officeDocument/2006/relationships/hyperlink" Target="https://doi.org/10.3126/jotmc.v7i1-2.63178"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doi.org/10.20884/1.sar.2020.5.2.3554" TargetMode="External"/><Relationship Id="rId19" Type="http://schemas.openxmlformats.org/officeDocument/2006/relationships/hyperlink" Target="https://doi.org/10.3126/qjmss.v5i1.56298" TargetMode="External"/><Relationship Id="rId14" Type="http://schemas.openxmlformats.org/officeDocument/2006/relationships/hyperlink" Target="https://doi.org/10.35145/jabt.v4i2.131" TargetMode="External"/><Relationship Id="rId22" Type="http://schemas.openxmlformats.org/officeDocument/2006/relationships/hyperlink" Target="https://doi.org/10.33395/owner.v7i4.1692" TargetMode="External"/><Relationship Id="rId27" Type="http://schemas.openxmlformats.org/officeDocument/2006/relationships/hyperlink" Target="https://doi.org/10.33062/mjb.v6i1.422" TargetMode="External"/><Relationship Id="rId30" Type="http://schemas.openxmlformats.org/officeDocument/2006/relationships/hyperlink" Target="https://doi.org/10.32832/moneter.v11i2.116" TargetMode="External"/><Relationship Id="rId35" Type="http://schemas.openxmlformats.org/officeDocument/2006/relationships/hyperlink" Target="https://doi.org/10.1111/j.1911-3846.1995.tb00461.x" TargetMode="External"/><Relationship Id="rId43" Type="http://schemas.openxmlformats.org/officeDocument/2006/relationships/hyperlink" Target="https://doi.org/10.56107/penanomics.v2i3.141" TargetMode="External"/><Relationship Id="rId48" Type="http://schemas.openxmlformats.org/officeDocument/2006/relationships/hyperlink" Target="https://doi.org/10.30574/wjarr.2022.16.2.1131" TargetMode="External"/><Relationship Id="rId56" Type="http://schemas.openxmlformats.org/officeDocument/2006/relationships/hyperlink" Target="https://doi.org/10.3126/qjmss.v4i2.50320" TargetMode="External"/><Relationship Id="rId64" Type="http://schemas.openxmlformats.org/officeDocument/2006/relationships/hyperlink" Target="https://doi.org/10.9790/5933-1205024954" TargetMode="External"/><Relationship Id="rId69"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www.hbs.edu/faculty/research/pages/item.aspx?num=30000"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37641/jiakes.v12i1.2469" TargetMode="External"/><Relationship Id="rId17" Type="http://schemas.openxmlformats.org/officeDocument/2006/relationships/hyperlink" Target="https://corporatefinanceinstitute.com/resources/accounting/financial-ratios/" TargetMode="External"/><Relationship Id="rId25" Type="http://schemas.openxmlformats.org/officeDocument/2006/relationships/hyperlink" Target="https://doi.org/10.1016/0304-405X(93)90023-5" TargetMode="External"/><Relationship Id="rId33" Type="http://schemas.openxmlformats.org/officeDocument/2006/relationships/hyperlink" Target="https://doi.org/10.47191/afmj/v7i8.02" TargetMode="External"/><Relationship Id="rId38" Type="http://schemas.openxmlformats.org/officeDocument/2006/relationships/hyperlink" Target="https://doi.org/10.18502/kss.v9i10.15728" TargetMode="External"/><Relationship Id="rId46" Type="http://schemas.openxmlformats.org/officeDocument/2006/relationships/hyperlink" Target="https://doi.org/10.34152/fe.18.2.129-137" TargetMode="External"/><Relationship Id="rId59" Type="http://schemas.openxmlformats.org/officeDocument/2006/relationships/hyperlink" Target="https://fijbas.org/index.php/FIJBAS/article/view/54" TargetMode="External"/><Relationship Id="rId67" Type="http://schemas.openxmlformats.org/officeDocument/2006/relationships/header" Target="header2.xml"/><Relationship Id="rId20" Type="http://schemas.openxmlformats.org/officeDocument/2006/relationships/hyperlink" Target="https://doi.org/10.1016/j.econlet.2005.02.018" TargetMode="External"/><Relationship Id="rId41" Type="http://schemas.openxmlformats.org/officeDocument/2006/relationships/hyperlink" Target="https://doi.org/10.26710/jafee.v8i1.2197" TargetMode="External"/><Relationship Id="rId54" Type="http://schemas.openxmlformats.org/officeDocument/2006/relationships/hyperlink" Target="https://doi.org/10.1177/0149206308330560" TargetMode="External"/><Relationship Id="rId62" Type="http://schemas.openxmlformats.org/officeDocument/2006/relationships/hyperlink" Target="https://doi.org/10.3126/ijssm.v11i3.68378"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0574/wjarr.2024.22.2.1496" TargetMode="External"/><Relationship Id="rId23" Type="http://schemas.openxmlformats.org/officeDocument/2006/relationships/hyperlink" Target="https://doi.org/10.47191/ijmei/v10i7.02" TargetMode="External"/><Relationship Id="rId28" Type="http://schemas.openxmlformats.org/officeDocument/2006/relationships/hyperlink" Target="http://pages.stern.nyu.edu/~wgreene/Text/econometricanalysis.html" TargetMode="External"/><Relationship Id="rId36" Type="http://schemas.openxmlformats.org/officeDocument/2006/relationships/hyperlink" Target="https://doi.org/10.1162/003355397555163" TargetMode="External"/><Relationship Id="rId49" Type="http://schemas.openxmlformats.org/officeDocument/2006/relationships/hyperlink" Target="https://doi.org/10.58777/rag.v2i2.287" TargetMode="External"/><Relationship Id="rId57" Type="http://schemas.openxmlformats.org/officeDocument/2006/relationships/hyperlink" Target="https://doi.org/10.47709/ijmdsa.v2i2.3564" TargetMode="External"/><Relationship Id="rId10" Type="http://schemas.openxmlformats.org/officeDocument/2006/relationships/hyperlink" Target="https://doi.org/10.52728/ijtc.v4i1.594" TargetMode="External"/><Relationship Id="rId31" Type="http://schemas.openxmlformats.org/officeDocument/2006/relationships/hyperlink" Target="https://doi.org/10.30656/jkk.v2i1.5909" TargetMode="External"/><Relationship Id="rId44" Type="http://schemas.openxmlformats.org/officeDocument/2006/relationships/hyperlink" Target="https://doi.org/10.30871/jama.v6i1.3909" TargetMode="External"/><Relationship Id="rId52" Type="http://schemas.openxmlformats.org/officeDocument/2006/relationships/hyperlink" Target="https://doi.org/10.59188/jcs.v3i7.795" TargetMode="External"/><Relationship Id="rId60" Type="http://schemas.openxmlformats.org/officeDocument/2006/relationships/hyperlink" Target="https://www.ijtsrd.com/papers/ijtsrd52574.pdf" TargetMode="External"/><Relationship Id="rId65" Type="http://schemas.openxmlformats.org/officeDocument/2006/relationships/hyperlink" Target="https://doi.org/10.35474/ibarj.v6i1.235"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2479/ijefi.16062" TargetMode="External"/><Relationship Id="rId13" Type="http://schemas.openxmlformats.org/officeDocument/2006/relationships/hyperlink" Target="https://doi.org/10.31955/mea.v4i3.414" TargetMode="External"/><Relationship Id="rId18" Type="http://schemas.openxmlformats.org/officeDocument/2006/relationships/hyperlink" Target="https://doi.org/10.1016/j.ejor.2016.11.006" TargetMode="External"/><Relationship Id="rId39" Type="http://schemas.openxmlformats.org/officeDocument/2006/relationships/hyperlink" Target="https://doi.org/10.11648/j.ijefm.20241202.12" TargetMode="External"/><Relationship Id="rId34" Type="http://schemas.openxmlformats.org/officeDocument/2006/relationships/hyperlink" Target="https://doi.org/10.7176/EJBM/6-17-13" TargetMode="External"/><Relationship Id="rId50" Type="http://schemas.openxmlformats.org/officeDocument/2006/relationships/hyperlink" Target="https://doi.org/10.1016/j.jretai.2008.11.004" TargetMode="External"/><Relationship Id="rId55" Type="http://schemas.openxmlformats.org/officeDocument/2006/relationships/hyperlink" Target="https://books.google.com/books/about/Experimental_and_Quasi_experimental_Desi.html?id=y_y_AAAAMAAJ" TargetMode="External"/><Relationship Id="rId7" Type="http://schemas.openxmlformats.org/officeDocument/2006/relationships/endnotes" Target="endnot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8FBB8-A520-48FE-B5C5-DEABEA236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23</Pages>
  <Words>9534</Words>
  <Characters>54344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Edokpa</dc:creator>
  <cp:keywords/>
  <dc:description/>
  <cp:lastModifiedBy>Editor GP 005</cp:lastModifiedBy>
  <cp:revision>55</cp:revision>
  <cp:lastPrinted>2025-05-29T15:29:00Z</cp:lastPrinted>
  <dcterms:created xsi:type="dcterms:W3CDTF">2025-12-18T22:18:00Z</dcterms:created>
  <dcterms:modified xsi:type="dcterms:W3CDTF">2025-12-29T07:43:00Z</dcterms:modified>
</cp:coreProperties>
</file>