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217C6" w14:textId="20C0F5E7" w:rsidR="00C735F5" w:rsidRPr="00535197" w:rsidRDefault="00535197" w:rsidP="00535197">
      <w:pPr>
        <w:jc w:val="center"/>
        <w:rPr>
          <w:rFonts w:asciiTheme="majorBidi" w:eastAsiaTheme="majorEastAsia" w:hAnsiTheme="majorBidi" w:cstheme="majorBidi"/>
          <w:b/>
          <w:bCs/>
          <w:spacing w:val="-10"/>
          <w:kern w:val="28"/>
          <w:sz w:val="30"/>
          <w:szCs w:val="30"/>
          <w:lang/>
        </w:rPr>
      </w:pPr>
      <w:r w:rsidRPr="00535197">
        <w:rPr>
          <w:rFonts w:asciiTheme="majorBidi" w:eastAsiaTheme="majorEastAsia" w:hAnsiTheme="majorBidi" w:cstheme="majorBidi"/>
          <w:b/>
          <w:bCs/>
          <w:spacing w:val="-10"/>
          <w:kern w:val="28"/>
          <w:sz w:val="30"/>
          <w:szCs w:val="30"/>
          <w:highlight w:val="yellow"/>
          <w:lang/>
        </w:rPr>
        <w:t>Does Cost of Debt Condition the Debt–Value Nexus? Quantile Regression Evidence from Nigerian Manufacturing Firms</w:t>
      </w:r>
    </w:p>
    <w:p w14:paraId="277044AD" w14:textId="77777777" w:rsidR="00B20186" w:rsidRPr="004914E6" w:rsidRDefault="00B20186" w:rsidP="003C577B">
      <w:pPr>
        <w:pStyle w:val="Heading1"/>
        <w:jc w:val="center"/>
        <w:rPr>
          <w:rFonts w:asciiTheme="majorBidi" w:hAnsiTheme="majorBidi"/>
          <w:b/>
          <w:bCs/>
          <w:color w:val="auto"/>
          <w:sz w:val="24"/>
          <w:szCs w:val="24"/>
        </w:rPr>
      </w:pPr>
      <w:r w:rsidRPr="004914E6">
        <w:rPr>
          <w:rFonts w:asciiTheme="majorBidi" w:hAnsiTheme="majorBidi"/>
          <w:b/>
          <w:bCs/>
          <w:color w:val="auto"/>
          <w:sz w:val="24"/>
          <w:szCs w:val="24"/>
        </w:rPr>
        <w:t>Abstract</w:t>
      </w:r>
    </w:p>
    <w:p w14:paraId="19075B5F" w14:textId="4E0A4EC0"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 xml:space="preserve">This paper investigates how the composition of corporate debt relates to shareholders’ wealth across the distribution of firm valuation in a </w:t>
      </w:r>
      <w:r w:rsidR="0085379B" w:rsidRPr="004914E6">
        <w:rPr>
          <w:rFonts w:asciiTheme="majorBidi" w:hAnsiTheme="majorBidi" w:cstheme="majorBidi"/>
          <w:sz w:val="24"/>
          <w:szCs w:val="24"/>
        </w:rPr>
        <w:t>high cost</w:t>
      </w:r>
      <w:r w:rsidRPr="004914E6">
        <w:rPr>
          <w:rFonts w:asciiTheme="majorBidi" w:hAnsiTheme="majorBidi" w:cstheme="majorBidi"/>
          <w:sz w:val="24"/>
          <w:szCs w:val="24"/>
        </w:rPr>
        <w:t xml:space="preserve"> borrowing environment. Using a</w:t>
      </w:r>
      <w:r w:rsidR="0098638F" w:rsidRPr="004914E6">
        <w:rPr>
          <w:rFonts w:asciiTheme="majorBidi" w:hAnsiTheme="majorBidi" w:cstheme="majorBidi"/>
          <w:sz w:val="24"/>
          <w:szCs w:val="24"/>
        </w:rPr>
        <w:t xml:space="preserve"> </w:t>
      </w:r>
      <w:r w:rsidRPr="004914E6">
        <w:rPr>
          <w:rFonts w:asciiTheme="majorBidi" w:hAnsiTheme="majorBidi" w:cstheme="majorBidi"/>
          <w:sz w:val="24"/>
          <w:szCs w:val="24"/>
        </w:rPr>
        <w:t>balanced panel of 43 listed Nigerian manufacturing firms from 2013 to 2023, we compare pooled Ordinary Least Squares with year effects to quantile regressions at the 25th, 50th and 75th quantiles of shareholders’ wealth. Shareholders’ wealth is proxied by market capitalisation; the key regressors are short-term and long-term interest-bearing debt ratios, with the cost of debt as a conditioning variable and profitability and firm size as controls. Interaction terms between cost of debt and debt structure are constructed from mean-centred regressors. The results show that short-term debt is positively associated with shareholders’ wealth throughout the distribution, while long-term debt is negatively associated. The cost of debt is adverse on average and most pronounced around the median quantile. Interaction terms are not statistically significant across quantiles, which suggests that, conditional on observables, the cross-quantile differences are driven largely by the level effects of debt structure and borrowi</w:t>
      </w:r>
      <w:bookmarkStart w:id="0" w:name="_GoBack"/>
      <w:bookmarkEnd w:id="0"/>
      <w:r w:rsidRPr="004914E6">
        <w:rPr>
          <w:rFonts w:asciiTheme="majorBidi" w:hAnsiTheme="majorBidi" w:cstheme="majorBidi"/>
          <w:sz w:val="24"/>
          <w:szCs w:val="24"/>
        </w:rPr>
        <w:t>ng costs rather than by moderation. The findings highlight distributional heterogeneity in the debt–value nexus that is not captured by mean regressions alone and have implications for tenor policy, treasury management, investor screening and credit-market design in emerging economies.</w:t>
      </w:r>
    </w:p>
    <w:p w14:paraId="6C9EEAC3" w14:textId="1B660BB1"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b/>
          <w:bCs/>
          <w:sz w:val="24"/>
          <w:szCs w:val="24"/>
        </w:rPr>
        <w:t>Keywords:</w:t>
      </w:r>
      <w:r w:rsidRPr="004914E6">
        <w:rPr>
          <w:rFonts w:asciiTheme="majorBidi" w:hAnsiTheme="majorBidi" w:cstheme="majorBidi"/>
          <w:sz w:val="24"/>
          <w:szCs w:val="24"/>
        </w:rPr>
        <w:t xml:space="preserve"> Quantile regression; Capital structure; Shareholders’ wealth; Cost of debt; Short-term debt; Long-term debt; Manufacturing firms.</w:t>
      </w:r>
    </w:p>
    <w:p w14:paraId="27A12C48" w14:textId="77777777" w:rsidR="00B20186" w:rsidRPr="004914E6" w:rsidRDefault="00B20186" w:rsidP="003C577B">
      <w:pPr>
        <w:pStyle w:val="Heading1"/>
        <w:rPr>
          <w:rFonts w:asciiTheme="majorBidi" w:hAnsiTheme="majorBidi"/>
          <w:b/>
          <w:bCs/>
          <w:color w:val="auto"/>
          <w:sz w:val="24"/>
          <w:szCs w:val="24"/>
        </w:rPr>
      </w:pPr>
      <w:r w:rsidRPr="004914E6">
        <w:rPr>
          <w:rFonts w:asciiTheme="majorBidi" w:hAnsiTheme="majorBidi"/>
          <w:b/>
          <w:bCs/>
          <w:color w:val="auto"/>
          <w:sz w:val="24"/>
          <w:szCs w:val="24"/>
        </w:rPr>
        <w:t>1. Introduction</w:t>
      </w:r>
    </w:p>
    <w:p w14:paraId="00550A87" w14:textId="23AD2E61" w:rsidR="000D7E3E" w:rsidRPr="004914E6" w:rsidRDefault="000D7E3E" w:rsidP="000D7E3E">
      <w:pPr>
        <w:jc w:val="both"/>
        <w:rPr>
          <w:rFonts w:asciiTheme="majorBidi" w:hAnsiTheme="majorBidi" w:cstheme="majorBidi"/>
          <w:sz w:val="24"/>
          <w:szCs w:val="24"/>
        </w:rPr>
      </w:pPr>
      <w:r w:rsidRPr="004914E6">
        <w:rPr>
          <w:rFonts w:asciiTheme="majorBidi" w:hAnsiTheme="majorBidi" w:cstheme="majorBidi"/>
          <w:sz w:val="24"/>
          <w:szCs w:val="24"/>
        </w:rPr>
        <w:t xml:space="preserve">Capital structure remains a central question in corporate finance because it determines how cash flows, risk, and control rights are allocated between debt holders and equity holders. The way firms combine short-term and long-term borrowing has direct implications for shareholders’ wealth through tax effects, expected distress costs, renegotiation frictions, and agency incentives. Classic theories provide important benchmarks. Trade-off theory holds that firms balance the tax advantages of debt with the expected costs of financial distress and contracting rigidities to determine an optimal leverage position (Kraus </w:t>
      </w:r>
      <w:r w:rsidR="004F4C26" w:rsidRPr="004914E6">
        <w:rPr>
          <w:rFonts w:asciiTheme="majorBidi" w:hAnsiTheme="majorBidi" w:cstheme="majorBidi"/>
          <w:sz w:val="24"/>
          <w:szCs w:val="24"/>
        </w:rPr>
        <w:t>&amp;</w:t>
      </w:r>
      <w:r w:rsidRPr="004914E6">
        <w:rPr>
          <w:rFonts w:asciiTheme="majorBidi" w:hAnsiTheme="majorBidi" w:cstheme="majorBidi"/>
          <w:sz w:val="24"/>
          <w:szCs w:val="24"/>
        </w:rPr>
        <w:t xml:space="preserve"> Litzenberger, 1973; Modigliani </w:t>
      </w:r>
      <w:r w:rsidR="00D63419" w:rsidRPr="004914E6">
        <w:rPr>
          <w:rFonts w:asciiTheme="majorBidi" w:hAnsiTheme="majorBidi" w:cstheme="majorBidi"/>
          <w:sz w:val="24"/>
          <w:szCs w:val="24"/>
        </w:rPr>
        <w:t>&amp;</w:t>
      </w:r>
      <w:r w:rsidRPr="004914E6">
        <w:rPr>
          <w:rFonts w:asciiTheme="majorBidi" w:hAnsiTheme="majorBidi" w:cstheme="majorBidi"/>
          <w:sz w:val="24"/>
          <w:szCs w:val="24"/>
        </w:rPr>
        <w:t xml:space="preserve"> Miller, 1963). Pecking order theory predicts a financing hierarchy shaped by asymmetric information, with retained earnings preferred to debt and debt preferred to external equity (Myers, 1984; Myers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Majluf, 1984). Agency perspectives emphasise the dual role of leverage as both a disciplining mechanism and a potential source of risk-shifting and underinvestment when debt loads become excessive (Jensen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Meckling, 1976; Jensen, 1986). Debt maturity structure adds further complexity, since short-term debt enhances monitoring and flexibility at the cost of rollover exposure, while long-term debt offers horizon matching but carries higher coupons and tighter covenants, particularly in emerging markets (Barclay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Smith, 1995; Stohs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Mauer, 1996).</w:t>
      </w:r>
    </w:p>
    <w:p w14:paraId="59818581" w14:textId="07C8C733" w:rsidR="000D7E3E" w:rsidRPr="004914E6" w:rsidRDefault="000D7E3E" w:rsidP="000D7E3E">
      <w:pPr>
        <w:jc w:val="both"/>
        <w:rPr>
          <w:rFonts w:asciiTheme="majorBidi" w:hAnsiTheme="majorBidi" w:cstheme="majorBidi"/>
          <w:sz w:val="24"/>
          <w:szCs w:val="24"/>
        </w:rPr>
      </w:pPr>
      <w:r w:rsidRPr="004914E6">
        <w:rPr>
          <w:rFonts w:asciiTheme="majorBidi" w:hAnsiTheme="majorBidi" w:cstheme="majorBidi"/>
          <w:sz w:val="24"/>
          <w:szCs w:val="24"/>
        </w:rPr>
        <w:t xml:space="preserve">Recent empirical evidence shows that these mechanisms operate differently across institutional contexts and across firms within the same market. Studies in emerging markets document that short-term debt may support liquidity and operational efficiency, thereby improving market-based valuation, whereas long-term debt often erodes value where borrowing costs are high, </w:t>
      </w:r>
      <w:r w:rsidRPr="004914E6">
        <w:rPr>
          <w:rFonts w:asciiTheme="majorBidi" w:hAnsiTheme="majorBidi" w:cstheme="majorBidi"/>
          <w:sz w:val="24"/>
          <w:szCs w:val="24"/>
        </w:rPr>
        <w:lastRenderedPageBreak/>
        <w:t xml:space="preserve">credit markets are shallow, and refinancing risk is salient (Abor, 2005; </w:t>
      </w:r>
      <w:proofErr w:type="spellStart"/>
      <w:r w:rsidRPr="004914E6">
        <w:rPr>
          <w:rFonts w:asciiTheme="majorBidi" w:hAnsiTheme="majorBidi" w:cstheme="majorBidi"/>
          <w:sz w:val="24"/>
          <w:szCs w:val="24"/>
        </w:rPr>
        <w:t>Shikumo</w:t>
      </w:r>
      <w:proofErr w:type="spellEnd"/>
      <w:r w:rsidRPr="004914E6">
        <w:rPr>
          <w:rFonts w:asciiTheme="majorBidi" w:hAnsiTheme="majorBidi" w:cstheme="majorBidi"/>
          <w:sz w:val="24"/>
          <w:szCs w:val="24"/>
        </w:rPr>
        <w:t xml:space="preserve"> et al., 2020; </w:t>
      </w:r>
      <w:proofErr w:type="spellStart"/>
      <w:r w:rsidRPr="004914E6">
        <w:rPr>
          <w:rFonts w:asciiTheme="majorBidi" w:hAnsiTheme="majorBidi" w:cstheme="majorBidi"/>
          <w:sz w:val="24"/>
          <w:szCs w:val="24"/>
        </w:rPr>
        <w:t>Omodara</w:t>
      </w:r>
      <w:proofErr w:type="spellEnd"/>
      <w:r w:rsidRPr="004914E6">
        <w:rPr>
          <w:rFonts w:asciiTheme="majorBidi" w:hAnsiTheme="majorBidi" w:cstheme="majorBidi"/>
          <w:sz w:val="24"/>
          <w:szCs w:val="24"/>
        </w:rPr>
        <w:t>, 2023). Cross-country evidence further indicates that the pricing and availability of debt depend on legal protections, corruption levels, disclosure quality, and market depth, which shape firms’ access to both bank credit and public debt markets (Fan</w:t>
      </w:r>
      <w:r w:rsidR="00625E22" w:rsidRPr="004914E6">
        <w:rPr>
          <w:rFonts w:asciiTheme="majorBidi" w:hAnsiTheme="majorBidi" w:cstheme="majorBidi"/>
          <w:sz w:val="24"/>
          <w:szCs w:val="24"/>
        </w:rPr>
        <w:t xml:space="preserve"> et al.</w:t>
      </w:r>
      <w:r w:rsidRPr="004914E6">
        <w:rPr>
          <w:rFonts w:asciiTheme="majorBidi" w:hAnsiTheme="majorBidi" w:cstheme="majorBidi"/>
          <w:sz w:val="24"/>
          <w:szCs w:val="24"/>
        </w:rPr>
        <w:t>, 2012). These factors imply that the debt–value relationship need not be uniform across firms; instead, firms at different points of the valuation distribution may face different constraints, pricing structures, and risk exposures.</w:t>
      </w:r>
    </w:p>
    <w:p w14:paraId="58EB8300" w14:textId="3FCA6889" w:rsidR="000D7E3E" w:rsidRPr="004914E6" w:rsidRDefault="000D7E3E" w:rsidP="00CD3247">
      <w:pPr>
        <w:jc w:val="both"/>
        <w:rPr>
          <w:rFonts w:asciiTheme="majorBidi" w:hAnsiTheme="majorBidi" w:cstheme="majorBidi"/>
          <w:sz w:val="24"/>
          <w:szCs w:val="24"/>
        </w:rPr>
      </w:pPr>
      <w:r w:rsidRPr="004914E6">
        <w:rPr>
          <w:rFonts w:asciiTheme="majorBidi" w:hAnsiTheme="majorBidi" w:cstheme="majorBidi"/>
          <w:sz w:val="24"/>
          <w:szCs w:val="24"/>
        </w:rPr>
        <w:t xml:space="preserve">Most </w:t>
      </w:r>
      <w:r w:rsidR="00CD3247" w:rsidRPr="004914E6">
        <w:rPr>
          <w:rFonts w:asciiTheme="majorBidi" w:hAnsiTheme="majorBidi" w:cstheme="majorBidi"/>
          <w:sz w:val="24"/>
          <w:szCs w:val="24"/>
        </w:rPr>
        <w:t xml:space="preserve">existing studies predominantly estimate mean regression models, including pooled OLS, fixed effects, random effects, and system GMM, which report the average effect of leverage or debt maturity on firm performance or market valuation (Ibrahim &amp; Isiaka, 2020; Zimny, 2021; Das et al., 2022; </w:t>
      </w:r>
      <w:proofErr w:type="spellStart"/>
      <w:r w:rsidR="00CD3247" w:rsidRPr="004914E6">
        <w:rPr>
          <w:rFonts w:asciiTheme="majorBidi" w:hAnsiTheme="majorBidi" w:cstheme="majorBidi"/>
          <w:sz w:val="24"/>
          <w:szCs w:val="24"/>
        </w:rPr>
        <w:t>Kanoujiya</w:t>
      </w:r>
      <w:proofErr w:type="spellEnd"/>
      <w:r w:rsidR="00CD3247" w:rsidRPr="004914E6">
        <w:rPr>
          <w:rFonts w:asciiTheme="majorBidi" w:hAnsiTheme="majorBidi" w:cstheme="majorBidi"/>
          <w:sz w:val="24"/>
          <w:szCs w:val="24"/>
        </w:rPr>
        <w:t xml:space="preserve"> et al., 2023; </w:t>
      </w:r>
      <w:proofErr w:type="spellStart"/>
      <w:r w:rsidR="00CD3247" w:rsidRPr="004914E6">
        <w:rPr>
          <w:rFonts w:asciiTheme="majorBidi" w:hAnsiTheme="majorBidi" w:cstheme="majorBidi"/>
          <w:sz w:val="24"/>
          <w:szCs w:val="24"/>
        </w:rPr>
        <w:t>Ghardallou</w:t>
      </w:r>
      <w:proofErr w:type="spellEnd"/>
      <w:r w:rsidR="00CD3247" w:rsidRPr="004914E6">
        <w:rPr>
          <w:rFonts w:asciiTheme="majorBidi" w:hAnsiTheme="majorBidi" w:cstheme="majorBidi"/>
          <w:sz w:val="24"/>
          <w:szCs w:val="24"/>
        </w:rPr>
        <w:t>, 2023)</w:t>
      </w:r>
      <w:r w:rsidRPr="004914E6">
        <w:rPr>
          <w:rFonts w:asciiTheme="majorBidi" w:hAnsiTheme="majorBidi" w:cstheme="majorBidi"/>
          <w:sz w:val="24"/>
          <w:szCs w:val="24"/>
        </w:rPr>
        <w:t>. Such approaches mask substantial heterogeneity. Firms differ in size, asset base, bargaining power, governance quality, and access to financial markets. These differences influence both the cost and the marginal value of short-term and long-term debt. Quantile regression provides a more informative approach by tracing covariate effects across the valuation distribution and by accommodating the non-normality and skew that characterise financial data in emerging markets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 xml:space="preserve"> </w:t>
      </w:r>
      <w:r w:rsidR="00E670F4" w:rsidRPr="004914E6">
        <w:rPr>
          <w:rFonts w:asciiTheme="majorBidi" w:hAnsiTheme="majorBidi" w:cstheme="majorBidi"/>
          <w:sz w:val="24"/>
          <w:szCs w:val="24"/>
        </w:rPr>
        <w:t>&amp;</w:t>
      </w:r>
      <w:r w:rsidRPr="004914E6">
        <w:rPr>
          <w:rFonts w:asciiTheme="majorBidi" w:hAnsiTheme="majorBidi" w:cstheme="majorBidi"/>
          <w:sz w:val="24"/>
          <w:szCs w:val="24"/>
        </w:rPr>
        <w:t xml:space="preserve"> Bassett, 1978;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 xml:space="preserve"> </w:t>
      </w:r>
      <w:r w:rsidR="00E670F4" w:rsidRPr="004914E6">
        <w:rPr>
          <w:rFonts w:asciiTheme="majorBidi" w:hAnsiTheme="majorBidi" w:cstheme="majorBidi"/>
          <w:sz w:val="24"/>
          <w:szCs w:val="24"/>
        </w:rPr>
        <w:t>&amp;</w:t>
      </w:r>
      <w:r w:rsidRPr="004914E6">
        <w:rPr>
          <w:rFonts w:asciiTheme="majorBidi" w:hAnsiTheme="majorBidi" w:cstheme="majorBidi"/>
          <w:sz w:val="24"/>
          <w:szCs w:val="24"/>
        </w:rPr>
        <w:t xml:space="preserve"> </w:t>
      </w:r>
      <w:proofErr w:type="spellStart"/>
      <w:r w:rsidRPr="004914E6">
        <w:rPr>
          <w:rFonts w:asciiTheme="majorBidi" w:hAnsiTheme="majorBidi" w:cstheme="majorBidi"/>
          <w:sz w:val="24"/>
          <w:szCs w:val="24"/>
        </w:rPr>
        <w:t>Hallock</w:t>
      </w:r>
      <w:proofErr w:type="spellEnd"/>
      <w:r w:rsidRPr="004914E6">
        <w:rPr>
          <w:rFonts w:asciiTheme="majorBidi" w:hAnsiTheme="majorBidi" w:cstheme="majorBidi"/>
          <w:sz w:val="24"/>
          <w:szCs w:val="24"/>
        </w:rPr>
        <w:t xml:space="preserve">, 2001;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 2005). A distributional approach is especially appropriate in Nigeria, where borrowing costs are elevated and volatile, term funding is scarce, and currency mismatches amplify refinancing and liquidity risks. In such an environment, the marginal distress cost curve is steep, narrowing the region in which debt adds value and potentially yielding different valuation responses for low-valuation and high-valuation firms.</w:t>
      </w:r>
    </w:p>
    <w:p w14:paraId="5E0D76C2" w14:textId="77777777" w:rsidR="000D7E3E" w:rsidRPr="004914E6" w:rsidRDefault="000D7E3E" w:rsidP="000D7E3E">
      <w:pPr>
        <w:jc w:val="both"/>
        <w:rPr>
          <w:rFonts w:asciiTheme="majorBidi" w:hAnsiTheme="majorBidi" w:cstheme="majorBidi"/>
          <w:sz w:val="24"/>
          <w:szCs w:val="24"/>
        </w:rPr>
      </w:pPr>
      <w:r w:rsidRPr="004914E6">
        <w:rPr>
          <w:rFonts w:asciiTheme="majorBidi" w:hAnsiTheme="majorBidi" w:cstheme="majorBidi"/>
          <w:sz w:val="24"/>
          <w:szCs w:val="24"/>
        </w:rPr>
        <w:t>This study applies quantile regression to examine how short-term and long-term interest-bearing debt relate to shareholders’ wealth, proxied by market capitalisation, among listed Nigerian manufacturing firms. We extend the literature in three ways. First, we provide distributional evidence on the debt–value relationship in a high-cost borrowing environment where financing frictions are first order. Secondly, we incorporate the firm’s cost of debt as a conditioning variable and test whether it moderates the valuation effects of debt structure across quantiles. This matters because borrowing costs in Nigeria are heterogeneous and can materially alter the marginal benefit of debt. Thirdly, our framework clarifies whether tenor mix recommendations should differ across firms, thus offering practical implications for managers, investors, and financial regulators.</w:t>
      </w:r>
    </w:p>
    <w:p w14:paraId="1492B824" w14:textId="402BA72A" w:rsidR="00B20186" w:rsidRPr="004914E6" w:rsidRDefault="000D7E3E" w:rsidP="001105A9">
      <w:pPr>
        <w:jc w:val="both"/>
        <w:rPr>
          <w:rFonts w:asciiTheme="majorBidi" w:hAnsiTheme="majorBidi" w:cstheme="majorBidi"/>
          <w:sz w:val="24"/>
          <w:szCs w:val="24"/>
        </w:rPr>
      </w:pPr>
      <w:r w:rsidRPr="004914E6">
        <w:rPr>
          <w:rFonts w:asciiTheme="majorBidi" w:hAnsiTheme="majorBidi" w:cstheme="majorBidi"/>
          <w:sz w:val="24"/>
          <w:szCs w:val="24"/>
        </w:rPr>
        <w:t>The remainder of the paper is organised as follows. Section 2 develops the theoretical and empirical foundations and states the hypotheses. Section 3 describes the data, variable construction, and empirical strategy. Section 4 presents the results and interprets distributional patterns. Section 5 concludes with implications for financial policy and corporate debt management, along with recommendations for future research</w:t>
      </w:r>
      <w:r w:rsidR="00B20186" w:rsidRPr="004914E6">
        <w:rPr>
          <w:rFonts w:asciiTheme="majorBidi" w:hAnsiTheme="majorBidi" w:cstheme="majorBidi"/>
          <w:sz w:val="24"/>
          <w:szCs w:val="24"/>
        </w:rPr>
        <w:t>.</w:t>
      </w:r>
      <w:r w:rsidR="004E1E21" w:rsidRPr="004914E6">
        <w:rPr>
          <w:rFonts w:asciiTheme="majorBidi" w:hAnsiTheme="majorBidi" w:cstheme="majorBidi"/>
          <w:sz w:val="24"/>
          <w:szCs w:val="24"/>
        </w:rPr>
        <w:t xml:space="preserve"> Lastly, </w:t>
      </w:r>
      <w:r w:rsidR="00463C2E" w:rsidRPr="004914E6">
        <w:rPr>
          <w:rFonts w:asciiTheme="majorBidi" w:hAnsiTheme="majorBidi" w:cstheme="majorBidi"/>
          <w:sz w:val="24"/>
          <w:szCs w:val="24"/>
        </w:rPr>
        <w:t xml:space="preserve">section 6 discussed the limitations of the study and offer </w:t>
      </w:r>
      <w:r w:rsidR="00033E69" w:rsidRPr="004914E6">
        <w:rPr>
          <w:rFonts w:asciiTheme="majorBidi" w:hAnsiTheme="majorBidi" w:cstheme="majorBidi"/>
          <w:sz w:val="24"/>
          <w:szCs w:val="24"/>
        </w:rPr>
        <w:t xml:space="preserve">direction for future studies. </w:t>
      </w:r>
    </w:p>
    <w:p w14:paraId="5BAF041C" w14:textId="77777777" w:rsidR="00B20186" w:rsidRPr="004914E6" w:rsidRDefault="00B20186" w:rsidP="003C577B">
      <w:pPr>
        <w:pStyle w:val="Heading1"/>
        <w:rPr>
          <w:rFonts w:asciiTheme="majorBidi" w:hAnsiTheme="majorBidi"/>
          <w:b/>
          <w:bCs/>
          <w:color w:val="auto"/>
          <w:sz w:val="24"/>
          <w:szCs w:val="24"/>
        </w:rPr>
      </w:pPr>
      <w:r w:rsidRPr="004914E6">
        <w:rPr>
          <w:rFonts w:asciiTheme="majorBidi" w:hAnsiTheme="majorBidi"/>
          <w:b/>
          <w:bCs/>
          <w:color w:val="auto"/>
          <w:sz w:val="24"/>
          <w:szCs w:val="24"/>
        </w:rPr>
        <w:t>2. Literature review and hypotheses</w:t>
      </w:r>
    </w:p>
    <w:p w14:paraId="643D8780" w14:textId="77777777" w:rsidR="00B20186" w:rsidRPr="004914E6" w:rsidRDefault="00B20186" w:rsidP="00F42FCE">
      <w:pPr>
        <w:pStyle w:val="Heading2"/>
        <w:rPr>
          <w:rFonts w:asciiTheme="majorBidi" w:hAnsiTheme="majorBidi"/>
          <w:b/>
          <w:bCs/>
          <w:color w:val="auto"/>
          <w:sz w:val="24"/>
          <w:szCs w:val="24"/>
        </w:rPr>
      </w:pPr>
      <w:r w:rsidRPr="004914E6">
        <w:rPr>
          <w:rFonts w:asciiTheme="majorBidi" w:hAnsiTheme="majorBidi"/>
          <w:b/>
          <w:bCs/>
          <w:color w:val="auto"/>
          <w:sz w:val="24"/>
          <w:szCs w:val="24"/>
        </w:rPr>
        <w:t>2.1 Theoretical framework</w:t>
      </w:r>
    </w:p>
    <w:p w14:paraId="086D645D" w14:textId="1D7CC66F" w:rsidR="001105A9" w:rsidRPr="004914E6" w:rsidRDefault="001105A9" w:rsidP="001105A9">
      <w:pPr>
        <w:jc w:val="both"/>
        <w:rPr>
          <w:rFonts w:asciiTheme="majorBidi" w:hAnsiTheme="majorBidi" w:cstheme="majorBidi"/>
          <w:sz w:val="24"/>
          <w:szCs w:val="24"/>
        </w:rPr>
      </w:pPr>
      <w:r w:rsidRPr="004914E6">
        <w:rPr>
          <w:rFonts w:asciiTheme="majorBidi" w:hAnsiTheme="majorBidi" w:cstheme="majorBidi"/>
          <w:sz w:val="24"/>
          <w:szCs w:val="24"/>
        </w:rPr>
        <w:t xml:space="preserve">Capital structure theory provides the foundation for understanding how firms allocate risk and cash flows between debt and equity holders. Trade-off theory predicts that firms choose leverage by weighing tax benefits against expected distress and agency costs, implying an interior optimum that varies with borrowing conditions and firm risk (Kraus </w:t>
      </w:r>
      <w:r w:rsidR="004F4C26" w:rsidRPr="004914E6">
        <w:rPr>
          <w:rFonts w:asciiTheme="majorBidi" w:hAnsiTheme="majorBidi" w:cstheme="majorBidi"/>
          <w:sz w:val="24"/>
          <w:szCs w:val="24"/>
        </w:rPr>
        <w:t>&amp;</w:t>
      </w:r>
      <w:r w:rsidRPr="004914E6">
        <w:rPr>
          <w:rFonts w:asciiTheme="majorBidi" w:hAnsiTheme="majorBidi" w:cstheme="majorBidi"/>
          <w:sz w:val="24"/>
          <w:szCs w:val="24"/>
        </w:rPr>
        <w:t xml:space="preserve"> Litzenberger, </w:t>
      </w:r>
      <w:r w:rsidRPr="004914E6">
        <w:rPr>
          <w:rFonts w:asciiTheme="majorBidi" w:hAnsiTheme="majorBidi" w:cstheme="majorBidi"/>
          <w:sz w:val="24"/>
          <w:szCs w:val="24"/>
        </w:rPr>
        <w:lastRenderedPageBreak/>
        <w:t xml:space="preserve">1973; Modigliani </w:t>
      </w:r>
      <w:r w:rsidR="004F4C26" w:rsidRPr="004914E6">
        <w:rPr>
          <w:rFonts w:asciiTheme="majorBidi" w:hAnsiTheme="majorBidi" w:cstheme="majorBidi"/>
          <w:sz w:val="24"/>
          <w:szCs w:val="24"/>
        </w:rPr>
        <w:t>&amp;</w:t>
      </w:r>
      <w:r w:rsidRPr="004914E6">
        <w:rPr>
          <w:rFonts w:asciiTheme="majorBidi" w:hAnsiTheme="majorBidi" w:cstheme="majorBidi"/>
          <w:sz w:val="24"/>
          <w:szCs w:val="24"/>
        </w:rPr>
        <w:t xml:space="preserve"> Miller, 1963). Pecking order theory asserts that information asymmetry generates a financing hierarchy in which internal funds dominate debt, and debt dominates equity (Myers, 1984; Myers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Majluf, 1984). Agency theory highlights the dual nature of leverage: while debt can discipline managers by reducing free cash flow, excessive leverage may induce risk-shifting and underinvestment (Jensen and Meckling, 1976; Jensen, 1986). Debt maturity structure adds an additional optimisation margin. Short-term debt enhances monitoring and flexibility but exposes firms to rollover risk, while long-term debt aligns with asset horizons but embeds higher coupons, stricter covenants and renegotiation frictions (Barclay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Smith, 1995; Stohs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Mauer, 1996).</w:t>
      </w:r>
    </w:p>
    <w:p w14:paraId="47AB67EF" w14:textId="70CB6F20" w:rsidR="00B20186" w:rsidRPr="004914E6" w:rsidRDefault="001105A9" w:rsidP="00FE68B8">
      <w:pPr>
        <w:jc w:val="both"/>
        <w:rPr>
          <w:rFonts w:asciiTheme="majorBidi" w:hAnsiTheme="majorBidi" w:cstheme="majorBidi"/>
          <w:sz w:val="24"/>
          <w:szCs w:val="24"/>
        </w:rPr>
      </w:pPr>
      <w:r w:rsidRPr="004914E6">
        <w:rPr>
          <w:rFonts w:asciiTheme="majorBidi" w:hAnsiTheme="majorBidi" w:cstheme="majorBidi"/>
          <w:sz w:val="24"/>
          <w:szCs w:val="24"/>
        </w:rPr>
        <w:t xml:space="preserve">In high cost borrowing environments such as Nigeria, these trade-offs become more acute. </w:t>
      </w:r>
      <w:r w:rsidR="00FE68B8" w:rsidRPr="004914E6">
        <w:rPr>
          <w:rFonts w:asciiTheme="majorBidi" w:hAnsiTheme="majorBidi" w:cstheme="majorBidi"/>
          <w:sz w:val="24"/>
          <w:szCs w:val="24"/>
        </w:rPr>
        <w:t>Empirical evidence from Nigeria shows that financing costs materially condition the effectiveness of corporate decisions, with cost of capital significantly moderating the relationship between real investments and firm value (Gamu et al., 2025).</w:t>
      </w:r>
      <w:r w:rsidR="006F0922" w:rsidRPr="004914E6">
        <w:rPr>
          <w:rFonts w:asciiTheme="majorBidi" w:hAnsiTheme="majorBidi" w:cstheme="majorBidi"/>
          <w:sz w:val="24"/>
          <w:szCs w:val="24"/>
        </w:rPr>
        <w:t xml:space="preserve"> </w:t>
      </w:r>
      <w:r w:rsidRPr="004914E6">
        <w:rPr>
          <w:rFonts w:asciiTheme="majorBidi" w:hAnsiTheme="majorBidi" w:cstheme="majorBidi"/>
          <w:sz w:val="24"/>
          <w:szCs w:val="24"/>
        </w:rPr>
        <w:t>Elevated interest rates steepen distress-cost curves and compress the region in which debt adds value. Firms therefore face different marginal effects of short-term and long-term debt depending on their credit quality, access to financial markets and sensitivity to refinancing risk. This heterogeneity provides a theoretical rationale for exploring distributional effects rather than relying on mean responses.</w:t>
      </w:r>
      <w:r w:rsidR="00C038EF" w:rsidRPr="004914E6">
        <w:rPr>
          <w:rFonts w:asciiTheme="majorBidi" w:hAnsiTheme="majorBidi" w:cstheme="majorBidi"/>
          <w:sz w:val="24"/>
          <w:szCs w:val="24"/>
        </w:rPr>
        <w:t xml:space="preserve"> This argument is consistent with recent Nigerian evidence showing that governance and performance relationships differ markedly across conditional quantiles, a feature that conventional mean-based estimators fail to capture (</w:t>
      </w:r>
      <w:proofErr w:type="spellStart"/>
      <w:r w:rsidR="00C038EF" w:rsidRPr="004914E6">
        <w:rPr>
          <w:rFonts w:asciiTheme="majorBidi" w:hAnsiTheme="majorBidi" w:cstheme="majorBidi"/>
          <w:sz w:val="24"/>
          <w:szCs w:val="24"/>
        </w:rPr>
        <w:t>Eduzor</w:t>
      </w:r>
      <w:proofErr w:type="spellEnd"/>
      <w:r w:rsidR="00C038EF" w:rsidRPr="004914E6">
        <w:rPr>
          <w:rFonts w:asciiTheme="majorBidi" w:hAnsiTheme="majorBidi" w:cstheme="majorBidi"/>
          <w:sz w:val="24"/>
          <w:szCs w:val="24"/>
        </w:rPr>
        <w:t xml:space="preserve"> et al., 2025).</w:t>
      </w:r>
      <w:r w:rsidR="000E34F6" w:rsidRPr="004914E6">
        <w:rPr>
          <w:rFonts w:asciiTheme="majorBidi" w:hAnsiTheme="majorBidi" w:cstheme="majorBidi"/>
          <w:sz w:val="24"/>
          <w:szCs w:val="24"/>
        </w:rPr>
        <w:t xml:space="preserve"> </w:t>
      </w:r>
      <w:r w:rsidRPr="004914E6">
        <w:rPr>
          <w:rFonts w:asciiTheme="majorBidi" w:hAnsiTheme="majorBidi" w:cstheme="majorBidi"/>
          <w:sz w:val="24"/>
          <w:szCs w:val="24"/>
        </w:rPr>
        <w:t>Quantile regression supports this objective by estimating covariate effects at different points of the valuation distribution, allowing heterogeneous effects to emerge where traditional mean regressions would mask them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 xml:space="preserve">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Bassett, 1978;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 xml:space="preserve">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w:t>
      </w:r>
      <w:proofErr w:type="spellStart"/>
      <w:r w:rsidRPr="004914E6">
        <w:rPr>
          <w:rFonts w:asciiTheme="majorBidi" w:hAnsiTheme="majorBidi" w:cstheme="majorBidi"/>
          <w:sz w:val="24"/>
          <w:szCs w:val="24"/>
        </w:rPr>
        <w:t>Hallock</w:t>
      </w:r>
      <w:proofErr w:type="spellEnd"/>
      <w:r w:rsidRPr="004914E6">
        <w:rPr>
          <w:rFonts w:asciiTheme="majorBidi" w:hAnsiTheme="majorBidi" w:cstheme="majorBidi"/>
          <w:sz w:val="24"/>
          <w:szCs w:val="24"/>
        </w:rPr>
        <w:t xml:space="preserve">, 2001;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 2005)</w:t>
      </w:r>
      <w:r w:rsidR="00B20186" w:rsidRPr="004914E6">
        <w:rPr>
          <w:rFonts w:asciiTheme="majorBidi" w:hAnsiTheme="majorBidi" w:cstheme="majorBidi"/>
          <w:sz w:val="24"/>
          <w:szCs w:val="24"/>
        </w:rPr>
        <w:t>.</w:t>
      </w:r>
    </w:p>
    <w:p w14:paraId="15BF270D" w14:textId="77777777" w:rsidR="00B20186" w:rsidRPr="004914E6" w:rsidRDefault="00B20186" w:rsidP="004D1852">
      <w:pPr>
        <w:pStyle w:val="Heading2"/>
        <w:rPr>
          <w:rFonts w:asciiTheme="majorBidi" w:hAnsiTheme="majorBidi"/>
          <w:b/>
          <w:bCs/>
          <w:color w:val="auto"/>
          <w:sz w:val="24"/>
          <w:szCs w:val="24"/>
        </w:rPr>
      </w:pPr>
      <w:r w:rsidRPr="004914E6">
        <w:rPr>
          <w:rFonts w:asciiTheme="majorBidi" w:hAnsiTheme="majorBidi"/>
          <w:b/>
          <w:bCs/>
          <w:color w:val="auto"/>
          <w:sz w:val="24"/>
          <w:szCs w:val="24"/>
        </w:rPr>
        <w:t>2.2 Empirical evidence and hypotheses</w:t>
      </w:r>
    </w:p>
    <w:p w14:paraId="3BD94163" w14:textId="6F49F528" w:rsidR="00FF752C" w:rsidRPr="004914E6" w:rsidRDefault="00BA72B4" w:rsidP="00834769">
      <w:pPr>
        <w:pStyle w:val="NormalWeb"/>
        <w:jc w:val="both"/>
      </w:pPr>
      <w:r w:rsidRPr="004914E6">
        <w:t>Empirical studies show that debt composition influences firm performance and valuation, with short-term debt often supporting liquidity and monitoring benefits, while long-term debt can depress value where borrowing costs and distress risks are elevated (Abor, 2005; Fama &amp; French, 2002; Frank &amp; Goyal, 2009). Debt maturity choices also reflect asset structure, credit quality and institutional features that shape access and pricing along the term structure (Barclay &amp; Smith, 1995; Stohs &amp; Mauer, 1996; Fan,</w:t>
      </w:r>
      <w:r w:rsidR="00102031" w:rsidRPr="004914E6">
        <w:t xml:space="preserve"> et al.,</w:t>
      </w:r>
      <w:r w:rsidRPr="004914E6">
        <w:t xml:space="preserve"> 2012). Because such factors differ markedly across firms, mean-regression estimates may mask heterogeneous leverage–value relationships.</w:t>
      </w:r>
      <w:r w:rsidR="00492A90" w:rsidRPr="004914E6">
        <w:t xml:space="preserve"> Recent Nigerian evidence confirms this limitation, showing that ownership and performance effects vary significantly across the distribution of firm outcomes when examined using quantile regression rather than conditional mean models (</w:t>
      </w:r>
      <w:proofErr w:type="spellStart"/>
      <w:r w:rsidR="00492A90" w:rsidRPr="004914E6">
        <w:t>Eduzor</w:t>
      </w:r>
      <w:proofErr w:type="spellEnd"/>
      <w:r w:rsidR="00492A90" w:rsidRPr="004914E6">
        <w:t xml:space="preserve"> et al., 2025)</w:t>
      </w:r>
      <w:r w:rsidRPr="004914E6">
        <w:t xml:space="preserve"> Quantile regression provides a useful alternative by recovering covariate effects at different points of the valuation distribution and by accommodating skewed outcomes typical of emerging markets (</w:t>
      </w:r>
      <w:proofErr w:type="spellStart"/>
      <w:r w:rsidRPr="004914E6">
        <w:t>Koenker</w:t>
      </w:r>
      <w:proofErr w:type="spellEnd"/>
      <w:r w:rsidRPr="004914E6">
        <w:t xml:space="preserve"> &amp; Bassett, 1978; </w:t>
      </w:r>
      <w:proofErr w:type="spellStart"/>
      <w:r w:rsidRPr="004914E6">
        <w:t>Koenker</w:t>
      </w:r>
      <w:proofErr w:type="spellEnd"/>
      <w:r w:rsidRPr="004914E6">
        <w:t xml:space="preserve"> &amp; </w:t>
      </w:r>
      <w:proofErr w:type="spellStart"/>
      <w:r w:rsidRPr="004914E6">
        <w:t>Hallock</w:t>
      </w:r>
      <w:proofErr w:type="spellEnd"/>
      <w:r w:rsidRPr="004914E6">
        <w:t xml:space="preserve">, 2001; </w:t>
      </w:r>
      <w:proofErr w:type="spellStart"/>
      <w:r w:rsidRPr="004914E6">
        <w:t>Koenker</w:t>
      </w:r>
      <w:proofErr w:type="spellEnd"/>
      <w:r w:rsidRPr="004914E6">
        <w:t>, 2005). These insights guide the development of five hypotheses tailored to Nigerian manufacturing firms operating in a high-cost borrowing environment</w:t>
      </w:r>
      <w:r w:rsidR="00FF752C" w:rsidRPr="004914E6">
        <w:t>.</w:t>
      </w:r>
      <w:r w:rsidR="00834769" w:rsidRPr="004914E6">
        <w:t xml:space="preserve"> Recent Nigerian manufacturing-sector evidence shows that the cost of capital not only affects firm value directly but also moderates the valuation impact of corporate decisions, underscoring the importance of conditional modelling approaches (Gamu et al., 2025). </w:t>
      </w:r>
    </w:p>
    <w:p w14:paraId="00722095" w14:textId="1B6BAAC7" w:rsidR="00DA075D" w:rsidRPr="004914E6" w:rsidRDefault="00F826F3" w:rsidP="00DA075D">
      <w:pPr>
        <w:pStyle w:val="Heading2"/>
        <w:rPr>
          <w:rFonts w:asciiTheme="majorBidi" w:hAnsiTheme="majorBidi"/>
          <w:b/>
          <w:bCs/>
          <w:color w:val="auto"/>
          <w:sz w:val="24"/>
          <w:szCs w:val="24"/>
        </w:rPr>
      </w:pPr>
      <w:r w:rsidRPr="004914E6">
        <w:rPr>
          <w:rFonts w:asciiTheme="majorBidi" w:hAnsiTheme="majorBidi"/>
          <w:b/>
          <w:bCs/>
          <w:color w:val="auto"/>
          <w:sz w:val="24"/>
          <w:szCs w:val="24"/>
        </w:rPr>
        <w:lastRenderedPageBreak/>
        <w:t xml:space="preserve">2.2.1 </w:t>
      </w:r>
      <w:r w:rsidR="00F54E56" w:rsidRPr="004914E6">
        <w:rPr>
          <w:rFonts w:asciiTheme="majorBidi" w:hAnsiTheme="majorBidi"/>
          <w:b/>
          <w:bCs/>
          <w:color w:val="auto"/>
          <w:sz w:val="24"/>
          <w:szCs w:val="24"/>
        </w:rPr>
        <w:t>Short</w:t>
      </w:r>
      <w:r w:rsidR="00D030B8" w:rsidRPr="004914E6">
        <w:rPr>
          <w:rFonts w:asciiTheme="majorBidi" w:hAnsiTheme="majorBidi"/>
          <w:b/>
          <w:bCs/>
          <w:color w:val="auto"/>
          <w:sz w:val="24"/>
          <w:szCs w:val="24"/>
        </w:rPr>
        <w:t>-</w:t>
      </w:r>
      <w:r w:rsidR="00F54E56" w:rsidRPr="004914E6">
        <w:rPr>
          <w:rFonts w:asciiTheme="majorBidi" w:hAnsiTheme="majorBidi"/>
          <w:b/>
          <w:bCs/>
          <w:color w:val="auto"/>
          <w:sz w:val="24"/>
          <w:szCs w:val="24"/>
        </w:rPr>
        <w:t>Term Debt and shareholders</w:t>
      </w:r>
      <w:r w:rsidR="000668D9" w:rsidRPr="004914E6">
        <w:rPr>
          <w:rFonts w:asciiTheme="majorBidi" w:hAnsiTheme="majorBidi"/>
          <w:b/>
          <w:bCs/>
          <w:color w:val="auto"/>
          <w:sz w:val="24"/>
          <w:szCs w:val="24"/>
        </w:rPr>
        <w:t>’</w:t>
      </w:r>
      <w:r w:rsidR="00F54E56" w:rsidRPr="004914E6">
        <w:rPr>
          <w:rFonts w:asciiTheme="majorBidi" w:hAnsiTheme="majorBidi"/>
          <w:b/>
          <w:bCs/>
          <w:color w:val="auto"/>
          <w:sz w:val="24"/>
          <w:szCs w:val="24"/>
        </w:rPr>
        <w:t xml:space="preserve"> wealth </w:t>
      </w:r>
    </w:p>
    <w:p w14:paraId="619A938E" w14:textId="797D904D" w:rsidR="008446C1" w:rsidRPr="004914E6" w:rsidRDefault="008446C1" w:rsidP="008446C1">
      <w:pPr>
        <w:pStyle w:val="NormalWeb"/>
        <w:jc w:val="both"/>
      </w:pPr>
      <w:r w:rsidRPr="004914E6">
        <w:t xml:space="preserve">Short-term debt remains an important source of financing for firms that operate in environments characterised by liquidity constraints and high borrowing costs. Recent empirical evidence shows that short-term borrowing can support shareholders’ wealth by enhancing working capital efficiency and strengthening financial flexibility. In Nigeria, </w:t>
      </w:r>
      <w:proofErr w:type="spellStart"/>
      <w:r w:rsidRPr="004914E6">
        <w:t>Omodara</w:t>
      </w:r>
      <w:proofErr w:type="spellEnd"/>
      <w:r w:rsidRPr="004914E6">
        <w:t xml:space="preserve"> (2023) finds that short-term debt significantly improves the performance of listed manufacturing firms, suggesting favourable valuation effects. This conclusion is reinforced by </w:t>
      </w:r>
      <w:proofErr w:type="spellStart"/>
      <w:r w:rsidRPr="004914E6">
        <w:t>Adibeli</w:t>
      </w:r>
      <w:proofErr w:type="spellEnd"/>
      <w:r w:rsidRPr="004914E6">
        <w:t xml:space="preserve"> and </w:t>
      </w:r>
      <w:proofErr w:type="spellStart"/>
      <w:r w:rsidRPr="004914E6">
        <w:t>Amahalu</w:t>
      </w:r>
      <w:proofErr w:type="spellEnd"/>
      <w:r w:rsidRPr="004914E6">
        <w:t xml:space="preserve"> (2023), who report that short-term debt has a positive and significant effect on return on equity among quoted manufacturers. Additional Nigerian evidence indicates that firms with disciplined short-term financing demonstrate stronger performance outcomes that align with shareholder interests (</w:t>
      </w:r>
      <w:proofErr w:type="spellStart"/>
      <w:r w:rsidRPr="004914E6">
        <w:t>Tuoyo</w:t>
      </w:r>
      <w:proofErr w:type="spellEnd"/>
      <w:r w:rsidRPr="004914E6">
        <w:t xml:space="preserve"> et al., 2023). Findings from other African and Asian markets further support this valuation channel. Short-term debt has been shown to increase earnings growth and market capitalisation among firms listed on the Nairobi Securities Exchange (</w:t>
      </w:r>
      <w:proofErr w:type="spellStart"/>
      <w:r w:rsidRPr="004914E6">
        <w:t>Shikumo</w:t>
      </w:r>
      <w:proofErr w:type="spellEnd"/>
      <w:r w:rsidRPr="004914E6">
        <w:t xml:space="preserve"> et al., 2020). International research also indicates that efficient working capital practices, which often depend on short-term financing, improve both profitability and firm valuation (Filbeck et al., 2017; </w:t>
      </w:r>
      <w:proofErr w:type="spellStart"/>
      <w:r w:rsidRPr="004914E6">
        <w:t>Perera</w:t>
      </w:r>
      <w:proofErr w:type="spellEnd"/>
      <w:r w:rsidRPr="004914E6">
        <w:t xml:space="preserve"> &amp; </w:t>
      </w:r>
      <w:proofErr w:type="spellStart"/>
      <w:r w:rsidRPr="004914E6">
        <w:t>Priyashantha</w:t>
      </w:r>
      <w:proofErr w:type="spellEnd"/>
      <w:r w:rsidRPr="004914E6">
        <w:t>, 2018).</w:t>
      </w:r>
    </w:p>
    <w:p w14:paraId="18AE34C1" w14:textId="49EFFD79" w:rsidR="00FF752C" w:rsidRPr="004914E6" w:rsidRDefault="008446C1" w:rsidP="008446C1">
      <w:pPr>
        <w:pStyle w:val="NormalWeb"/>
        <w:jc w:val="both"/>
      </w:pPr>
      <w:r w:rsidRPr="004914E6">
        <w:t>Taken together, recent empirical studies consistently suggest that short-term interest-bearing debt enhances shareholders’ wealth. This leads to the formulation of the following hypothesis:</w:t>
      </w:r>
      <w:r w:rsidR="004D1852" w:rsidRPr="004914E6">
        <w:t xml:space="preserve"> </w:t>
      </w:r>
    </w:p>
    <w:p w14:paraId="3BF10301" w14:textId="38F428A8" w:rsidR="004D1852" w:rsidRPr="004914E6" w:rsidRDefault="004D1852" w:rsidP="004D1852">
      <w:pPr>
        <w:pStyle w:val="NormalWeb"/>
        <w:rPr>
          <w:rStyle w:val="Strong"/>
          <w:rFonts w:eastAsiaTheme="majorEastAsia"/>
        </w:rPr>
      </w:pPr>
      <w:r w:rsidRPr="004914E6">
        <w:rPr>
          <w:rStyle w:val="Strong"/>
          <w:rFonts w:eastAsiaTheme="majorEastAsia"/>
        </w:rPr>
        <w:t xml:space="preserve">H1: </w:t>
      </w:r>
      <w:r w:rsidRPr="004914E6">
        <w:rPr>
          <w:rStyle w:val="Strong"/>
          <w:rFonts w:eastAsiaTheme="majorEastAsia"/>
          <w:b w:val="0"/>
          <w:bCs w:val="0"/>
          <w:i/>
          <w:iCs/>
        </w:rPr>
        <w:t>Short-term interest-bearing debt is positively associated with shareholders’ wealth across the valuation distribution.</w:t>
      </w:r>
    </w:p>
    <w:p w14:paraId="216BB44F" w14:textId="7379A383" w:rsidR="004D1852" w:rsidRPr="004914E6" w:rsidRDefault="00D030B8" w:rsidP="00D030B8">
      <w:pPr>
        <w:pStyle w:val="Heading2"/>
        <w:rPr>
          <w:rFonts w:asciiTheme="majorBidi" w:hAnsiTheme="majorBidi"/>
          <w:b/>
          <w:bCs/>
          <w:color w:val="auto"/>
          <w:sz w:val="24"/>
          <w:szCs w:val="24"/>
        </w:rPr>
      </w:pPr>
      <w:r w:rsidRPr="004914E6">
        <w:rPr>
          <w:rFonts w:asciiTheme="majorBidi" w:hAnsiTheme="majorBidi"/>
          <w:b/>
          <w:bCs/>
          <w:color w:val="auto"/>
          <w:sz w:val="24"/>
          <w:szCs w:val="24"/>
        </w:rPr>
        <w:t>2.2.</w:t>
      </w:r>
      <w:r w:rsidR="007E0FF3" w:rsidRPr="004914E6">
        <w:rPr>
          <w:rFonts w:asciiTheme="majorBidi" w:hAnsiTheme="majorBidi"/>
          <w:b/>
          <w:bCs/>
          <w:color w:val="auto"/>
          <w:sz w:val="24"/>
          <w:szCs w:val="24"/>
        </w:rPr>
        <w:t>2</w:t>
      </w:r>
      <w:r w:rsidRPr="004914E6">
        <w:rPr>
          <w:rFonts w:asciiTheme="majorBidi" w:hAnsiTheme="majorBidi"/>
          <w:b/>
          <w:bCs/>
          <w:color w:val="auto"/>
          <w:sz w:val="24"/>
          <w:szCs w:val="24"/>
        </w:rPr>
        <w:t xml:space="preserve"> Long-Term Debt and shareholders</w:t>
      </w:r>
      <w:r w:rsidR="000668D9" w:rsidRPr="004914E6">
        <w:rPr>
          <w:rFonts w:asciiTheme="majorBidi" w:hAnsiTheme="majorBidi"/>
          <w:b/>
          <w:bCs/>
          <w:color w:val="auto"/>
          <w:sz w:val="24"/>
          <w:szCs w:val="24"/>
        </w:rPr>
        <w:t>’</w:t>
      </w:r>
      <w:r w:rsidRPr="004914E6">
        <w:rPr>
          <w:rFonts w:asciiTheme="majorBidi" w:hAnsiTheme="majorBidi"/>
          <w:b/>
          <w:bCs/>
          <w:color w:val="auto"/>
          <w:sz w:val="24"/>
          <w:szCs w:val="24"/>
        </w:rPr>
        <w:t xml:space="preserve"> wealth </w:t>
      </w:r>
    </w:p>
    <w:p w14:paraId="3DD1B45D" w14:textId="6D16A941" w:rsidR="00A95080" w:rsidRPr="004914E6" w:rsidRDefault="00A95080" w:rsidP="007B5C73">
      <w:pPr>
        <w:pStyle w:val="NormalWeb"/>
        <w:jc w:val="both"/>
      </w:pPr>
      <w:r w:rsidRPr="004914E6">
        <w:t>Long-term debt is often associated with higher interest costs, refinancing rigidity, and increased financial distress risk, which can diminish shareholders’ wealth in markets characterised by volatile credit conditions. Recent empirical evidence from Nigeria supports this expectation. Ibrahim and Isiaka (2020) find that long-term financial leverage significantly reduces firm value, indicating that extended maturities impose burdens that outweigh potential benefits. This outcome is reinforced by Anozie et al. (2023), who report that long-term debt has a statistically significant negative effect on the financial performance of Nigerian oil and gas firms. Similar results appear in East Asian contexts. Nguyen and Nguyen (2020) show that long-term liabilities exert a negative influence on return on equity among Vietnamese firms, suggesting that excessive reliance on long-term borrowing reduces profitability and, by implication, equity value. Evidence from Kenya also aligns with this pattern, as Bett et al. (2025) find that long-term liabilities significantly reduce the performance of listed non-financial firms.</w:t>
      </w:r>
      <w:r w:rsidR="007B5C73" w:rsidRPr="004914E6">
        <w:t xml:space="preserve"> </w:t>
      </w:r>
      <w:r w:rsidRPr="004914E6">
        <w:t>Although some studies report positive effects under specific structural conditions, such as stable cash flows or sector-specific advantages, the prevailing empirical pattern indicates that long-term debt generally erodes firm value in emerging and developing markets.</w:t>
      </w:r>
    </w:p>
    <w:p w14:paraId="310125AF" w14:textId="77777777" w:rsidR="00A95080" w:rsidRPr="004914E6" w:rsidRDefault="00A95080" w:rsidP="00A95080">
      <w:pPr>
        <w:pStyle w:val="NormalWeb"/>
        <w:jc w:val="both"/>
      </w:pPr>
      <w:r w:rsidRPr="004914E6">
        <w:t>These findings collectively justify expecting an adverse relationship between long-term interest-bearing debt and shareholders’ wealth across the valuation distribution. This leads to the following hypothesis:</w:t>
      </w:r>
    </w:p>
    <w:p w14:paraId="75597780" w14:textId="044A6895" w:rsidR="00DB3FEA" w:rsidRPr="004914E6" w:rsidRDefault="00DB3FEA" w:rsidP="00DE0689">
      <w:pPr>
        <w:pStyle w:val="NormalWeb"/>
        <w:jc w:val="both"/>
        <w:rPr>
          <w:i/>
          <w:iCs/>
        </w:rPr>
      </w:pPr>
      <w:r w:rsidRPr="004914E6">
        <w:rPr>
          <w:rStyle w:val="Strong"/>
          <w:rFonts w:eastAsiaTheme="majorEastAsia"/>
          <w:i/>
          <w:iCs/>
        </w:rPr>
        <w:t xml:space="preserve">H2: </w:t>
      </w:r>
      <w:r w:rsidRPr="004914E6">
        <w:rPr>
          <w:rStyle w:val="Strong"/>
          <w:rFonts w:eastAsiaTheme="majorEastAsia"/>
          <w:b w:val="0"/>
          <w:bCs w:val="0"/>
          <w:i/>
          <w:iCs/>
        </w:rPr>
        <w:t>Long-term interest-bearing debt is negatively associated with shareholders’ wealth across the valuation distribution.</w:t>
      </w:r>
    </w:p>
    <w:p w14:paraId="236CF453" w14:textId="3EC16C07" w:rsidR="007E0FF3" w:rsidRPr="004914E6" w:rsidRDefault="007E0FF3" w:rsidP="007E0FF3">
      <w:pPr>
        <w:pStyle w:val="Heading2"/>
        <w:rPr>
          <w:rFonts w:asciiTheme="majorBidi" w:hAnsiTheme="majorBidi"/>
          <w:b/>
          <w:bCs/>
          <w:color w:val="auto"/>
          <w:sz w:val="24"/>
          <w:szCs w:val="24"/>
        </w:rPr>
      </w:pPr>
      <w:r w:rsidRPr="004914E6">
        <w:rPr>
          <w:rFonts w:asciiTheme="majorBidi" w:hAnsiTheme="majorBidi"/>
          <w:b/>
          <w:bCs/>
          <w:color w:val="auto"/>
          <w:sz w:val="24"/>
          <w:szCs w:val="24"/>
        </w:rPr>
        <w:lastRenderedPageBreak/>
        <w:t>2.2.3 Cost of Debt and shareholders</w:t>
      </w:r>
      <w:r w:rsidR="000668D9" w:rsidRPr="004914E6">
        <w:rPr>
          <w:rFonts w:asciiTheme="majorBidi" w:hAnsiTheme="majorBidi"/>
          <w:b/>
          <w:bCs/>
          <w:color w:val="auto"/>
          <w:sz w:val="24"/>
          <w:szCs w:val="24"/>
        </w:rPr>
        <w:t>’</w:t>
      </w:r>
      <w:r w:rsidRPr="004914E6">
        <w:rPr>
          <w:rFonts w:asciiTheme="majorBidi" w:hAnsiTheme="majorBidi"/>
          <w:b/>
          <w:bCs/>
          <w:color w:val="auto"/>
          <w:sz w:val="24"/>
          <w:szCs w:val="24"/>
        </w:rPr>
        <w:t xml:space="preserve"> wealth </w:t>
      </w:r>
    </w:p>
    <w:p w14:paraId="60C029F7" w14:textId="77777777" w:rsidR="00147399" w:rsidRPr="004914E6" w:rsidRDefault="00147399" w:rsidP="00147399">
      <w:pPr>
        <w:pStyle w:val="NormalWeb"/>
        <w:jc w:val="both"/>
      </w:pPr>
      <w:r w:rsidRPr="004914E6">
        <w:t xml:space="preserve">The cost of debt represents a critical determinant of firm valuation because it directly influences financing expenses, risk perceptions, and cash flow available to shareholders. Recent empirical evidence increasingly shows that higher debt costs erode shareholders’ wealth through reduced profitability and diminished payout capacity. </w:t>
      </w:r>
      <w:proofErr w:type="spellStart"/>
      <w:r w:rsidRPr="004914E6">
        <w:t>Arhinful</w:t>
      </w:r>
      <w:proofErr w:type="spellEnd"/>
      <w:r w:rsidRPr="004914E6">
        <w:t xml:space="preserve"> et al. (2024), using evidence from non-financial firms in Germany, find that higher cost of debt significantly reduces dividend payouts and coverage ratios, signalling weaker financial flexibility and diminished returns to shareholders. This finding aligns with emerging market evidence that elevated borrowing costs exacerbate agency conflicts and weaken firm value. For instance, </w:t>
      </w:r>
      <w:proofErr w:type="spellStart"/>
      <w:r w:rsidRPr="004914E6">
        <w:t>Jabbouri</w:t>
      </w:r>
      <w:proofErr w:type="spellEnd"/>
      <w:r w:rsidRPr="004914E6">
        <w:t xml:space="preserve"> and </w:t>
      </w:r>
      <w:proofErr w:type="spellStart"/>
      <w:r w:rsidRPr="004914E6">
        <w:t>Naili</w:t>
      </w:r>
      <w:proofErr w:type="spellEnd"/>
      <w:r w:rsidRPr="004914E6">
        <w:t xml:space="preserve"> (2020) reveal that intensified agency problems in the Moroccan market increase the cost of debt, thereby constraining firm performance and shareholder returns.</w:t>
      </w:r>
    </w:p>
    <w:p w14:paraId="4716C411" w14:textId="2CED7B2E" w:rsidR="00147399" w:rsidRPr="004914E6" w:rsidRDefault="00147399" w:rsidP="005F75AD">
      <w:pPr>
        <w:pStyle w:val="NormalWeb"/>
        <w:jc w:val="both"/>
      </w:pPr>
      <w:r w:rsidRPr="004914E6">
        <w:t xml:space="preserve">Within Nigeria, </w:t>
      </w:r>
      <w:proofErr w:type="spellStart"/>
      <w:r w:rsidRPr="004914E6">
        <w:t>Egbadju</w:t>
      </w:r>
      <w:proofErr w:type="spellEnd"/>
      <w:r w:rsidRPr="004914E6">
        <w:t xml:space="preserve"> and Jacob (2022) show that ownership structures materially influence the cost of debt for quoted non-financial firms, thereby affecting profitability and bankruptcy risk. Similarly, </w:t>
      </w:r>
      <w:proofErr w:type="spellStart"/>
      <w:r w:rsidRPr="004914E6">
        <w:t>Iwedi</w:t>
      </w:r>
      <w:proofErr w:type="spellEnd"/>
      <w:r w:rsidRPr="004914E6">
        <w:t xml:space="preserve"> et al. (2023) report that although the cost of debt does not </w:t>
      </w:r>
      <w:r w:rsidR="001D3D7E" w:rsidRPr="004914E6">
        <w:t>impact</w:t>
      </w:r>
      <w:r w:rsidRPr="004914E6">
        <w:t xml:space="preserve"> market value for Nigerian manufacturing firms, the overall cost of capital remains a significant determinant of valuation outcomes. International evidence further supports these patterns. For example, Battisti et al. (2020) demonstrate that changes in capital structure and firm leverage alter the weighted average cost of capital, which in turn affects market value creation.</w:t>
      </w:r>
      <w:r w:rsidR="005F75AD" w:rsidRPr="004914E6">
        <w:t xml:space="preserve"> Consistent Nigerian evidence shows that higher financing costs significantly erode firm value and weaken the effectiveness of value-enhancing decisions, highlighting the relevance of cost-of-debt channels in emerging markets (Gamu et al., 2025)</w:t>
      </w:r>
    </w:p>
    <w:p w14:paraId="4F6CAA20" w14:textId="77777777" w:rsidR="00147399" w:rsidRPr="004914E6" w:rsidRDefault="00147399" w:rsidP="00147399">
      <w:pPr>
        <w:pStyle w:val="NormalWeb"/>
        <w:jc w:val="both"/>
      </w:pPr>
      <w:r w:rsidRPr="004914E6">
        <w:t>Taken together, the empirical literature suggests that higher cost of debt generally weakens shareholders’ wealth by increasing financing burdens and reducing value-enhancing financial flexibility.</w:t>
      </w:r>
    </w:p>
    <w:p w14:paraId="0D637B26" w14:textId="3C780F56" w:rsidR="003C4897" w:rsidRPr="004914E6" w:rsidRDefault="003C4897" w:rsidP="003C4897">
      <w:pPr>
        <w:pStyle w:val="NormalWeb"/>
        <w:jc w:val="both"/>
        <w:rPr>
          <w:i/>
          <w:iCs/>
        </w:rPr>
      </w:pPr>
      <w:r w:rsidRPr="004914E6">
        <w:rPr>
          <w:rStyle w:val="Strong"/>
          <w:rFonts w:eastAsiaTheme="majorEastAsia"/>
          <w:i/>
          <w:iCs/>
        </w:rPr>
        <w:t xml:space="preserve">H3: </w:t>
      </w:r>
      <w:r w:rsidRPr="004914E6">
        <w:rPr>
          <w:rStyle w:val="Strong"/>
          <w:rFonts w:eastAsiaTheme="majorEastAsia"/>
          <w:b w:val="0"/>
          <w:bCs w:val="0"/>
          <w:i/>
          <w:iCs/>
        </w:rPr>
        <w:t>The cost of debt is negatively associated with shareholders’ wealth, with magnitude potentially varying across quantiles.</w:t>
      </w:r>
    </w:p>
    <w:p w14:paraId="565260D2" w14:textId="0E946F15" w:rsidR="00E14139" w:rsidRPr="004914E6" w:rsidRDefault="00E14139" w:rsidP="00E14139">
      <w:pPr>
        <w:pStyle w:val="Heading2"/>
        <w:rPr>
          <w:rFonts w:asciiTheme="majorBidi" w:hAnsiTheme="majorBidi"/>
          <w:b/>
          <w:bCs/>
          <w:color w:val="auto"/>
          <w:sz w:val="24"/>
          <w:szCs w:val="24"/>
        </w:rPr>
      </w:pPr>
      <w:r w:rsidRPr="004914E6">
        <w:rPr>
          <w:rFonts w:asciiTheme="majorBidi" w:hAnsiTheme="majorBidi"/>
          <w:b/>
          <w:bCs/>
          <w:color w:val="auto"/>
          <w:sz w:val="24"/>
          <w:szCs w:val="24"/>
        </w:rPr>
        <w:t xml:space="preserve">2.2.4 </w:t>
      </w:r>
      <w:r w:rsidR="00413AC6" w:rsidRPr="004914E6">
        <w:rPr>
          <w:rFonts w:asciiTheme="majorBidi" w:hAnsiTheme="majorBidi"/>
          <w:b/>
          <w:bCs/>
          <w:color w:val="auto"/>
          <w:sz w:val="24"/>
          <w:szCs w:val="24"/>
        </w:rPr>
        <w:t>Costs of Debt, Short</w:t>
      </w:r>
      <w:r w:rsidRPr="004914E6">
        <w:rPr>
          <w:rFonts w:asciiTheme="majorBidi" w:hAnsiTheme="majorBidi"/>
          <w:b/>
          <w:bCs/>
          <w:color w:val="auto"/>
          <w:sz w:val="24"/>
          <w:szCs w:val="24"/>
        </w:rPr>
        <w:t>-Term Debt and shareholders</w:t>
      </w:r>
      <w:r w:rsidR="00653DF4" w:rsidRPr="004914E6">
        <w:rPr>
          <w:rFonts w:asciiTheme="majorBidi" w:hAnsiTheme="majorBidi"/>
          <w:b/>
          <w:bCs/>
          <w:color w:val="auto"/>
          <w:sz w:val="24"/>
          <w:szCs w:val="24"/>
        </w:rPr>
        <w:t>’</w:t>
      </w:r>
      <w:r w:rsidRPr="004914E6">
        <w:rPr>
          <w:rFonts w:asciiTheme="majorBidi" w:hAnsiTheme="majorBidi"/>
          <w:b/>
          <w:bCs/>
          <w:color w:val="auto"/>
          <w:sz w:val="24"/>
          <w:szCs w:val="24"/>
        </w:rPr>
        <w:t xml:space="preserve"> wealth </w:t>
      </w:r>
    </w:p>
    <w:p w14:paraId="3D83E711" w14:textId="0A6DB8C4" w:rsidR="003B1778" w:rsidRPr="004914E6" w:rsidRDefault="003B1778" w:rsidP="008B0581">
      <w:pPr>
        <w:pStyle w:val="NormalWeb"/>
        <w:jc w:val="both"/>
      </w:pPr>
      <w:r w:rsidRPr="004914E6">
        <w:t xml:space="preserve">The interaction between the cost of debt and short-term borrowing has important implications for shareholders’ wealth because borrowing conditions alter the marginal contribution of short-maturity financing to firm value. When the cost of debt rises, rollover risk, liquidity premia, and refinancing constraints increase, which may weaken the valuation benefits associated with short-term borrowing. Recent empirical evidence supports this theoretical channel. </w:t>
      </w:r>
      <w:r w:rsidR="008B0581" w:rsidRPr="004914E6">
        <w:t>Evidence shows that higher financing costs constrain firms’ ability to translate operational efficiency into shareholder returns (</w:t>
      </w:r>
      <w:proofErr w:type="spellStart"/>
      <w:r w:rsidR="008B0581" w:rsidRPr="004914E6">
        <w:t>Arhinful</w:t>
      </w:r>
      <w:proofErr w:type="spellEnd"/>
      <w:r w:rsidR="008B0581" w:rsidRPr="004914E6">
        <w:t xml:space="preserve"> et al., 2024). Nigerian studies further indicate that cost-of-capital pressures weaken value-enhancing financial relationships (Gamu et al., 2025)</w:t>
      </w:r>
      <w:r w:rsidRPr="004914E6">
        <w:t xml:space="preserve">. </w:t>
      </w:r>
      <w:r w:rsidR="008D1A9F" w:rsidRPr="004914E6">
        <w:t>Further e</w:t>
      </w:r>
      <w:r w:rsidRPr="004914E6">
        <w:t xml:space="preserve">vidence from emerging markets also shows that agency problems magnify the cost of debt. </w:t>
      </w:r>
      <w:proofErr w:type="spellStart"/>
      <w:r w:rsidRPr="004914E6">
        <w:t>Jabbouri</w:t>
      </w:r>
      <w:proofErr w:type="spellEnd"/>
      <w:r w:rsidRPr="004914E6">
        <w:t xml:space="preserve"> and </w:t>
      </w:r>
      <w:proofErr w:type="spellStart"/>
      <w:r w:rsidRPr="004914E6">
        <w:t>Naili</w:t>
      </w:r>
      <w:proofErr w:type="spellEnd"/>
      <w:r w:rsidRPr="004914E6">
        <w:t xml:space="preserve"> (2020) reveal that governance frictions raise debt costs and reduce firm value, suggesting that short-term borrowing becomes less beneficial when debt markets penalise informational risk.</w:t>
      </w:r>
    </w:p>
    <w:p w14:paraId="3F7A7CE9" w14:textId="0C1C7511" w:rsidR="003B1778" w:rsidRPr="004914E6" w:rsidRDefault="003B1778" w:rsidP="00AB52F5">
      <w:pPr>
        <w:pStyle w:val="NormalWeb"/>
        <w:jc w:val="both"/>
      </w:pPr>
      <w:r w:rsidRPr="004914E6">
        <w:t xml:space="preserve">Studies examining moderation effects further reinforce this argument. Masud et al. (2020) find that the cost of capital weakens the relationship between working capital management and firm performance in Nigeria, which implies that short-term financing becomes less value enhancing as borrowing costs increase. Similar results from Malaysian firms show that rising cost of </w:t>
      </w:r>
      <w:r w:rsidRPr="004914E6">
        <w:lastRenderedPageBreak/>
        <w:t>capital weakens the effectiveness of short-term asset financing strategies (Narayanan, 2015). Evidence from Turkey also indicates that firms facing higher financial distress risk, which directly raises borrowing costs, experience a stronger negative association between leverage and performance (Kalash, 2023). Collectively, these findings suggest that the valuation effect of short-term debt is sensitive to the prevailing cost of debt and is likely to vary across the distribution of firm value.</w:t>
      </w:r>
      <w:r w:rsidR="00AB52F5" w:rsidRPr="004914E6">
        <w:t xml:space="preserve"> </w:t>
      </w:r>
      <w:r w:rsidRPr="004914E6">
        <w:t>These insights justify examining whether the cost of debt conditions the short-term debt to shareholders’ wealth relationship across quantiles. This leads to the following hypothesis:</w:t>
      </w:r>
    </w:p>
    <w:p w14:paraId="6380D8D8" w14:textId="610BCCC7" w:rsidR="00653DF4" w:rsidRPr="004914E6" w:rsidRDefault="00653DF4" w:rsidP="002313E8">
      <w:pPr>
        <w:pStyle w:val="NormalWeb"/>
        <w:rPr>
          <w:b/>
          <w:bCs/>
          <w:i/>
          <w:iCs/>
        </w:rPr>
      </w:pPr>
      <w:r w:rsidRPr="004914E6">
        <w:rPr>
          <w:rStyle w:val="Strong"/>
          <w:rFonts w:eastAsiaTheme="majorEastAsia"/>
          <w:i/>
          <w:iCs/>
        </w:rPr>
        <w:t xml:space="preserve">H4: </w:t>
      </w:r>
      <w:r w:rsidRPr="004914E6">
        <w:rPr>
          <w:rStyle w:val="Strong"/>
          <w:rFonts w:eastAsiaTheme="majorEastAsia"/>
          <w:b w:val="0"/>
          <w:bCs w:val="0"/>
          <w:i/>
          <w:iCs/>
        </w:rPr>
        <w:t>The cost of debt moderates the association between short-term debt and shareholders’ wealth across quantiles.</w:t>
      </w:r>
    </w:p>
    <w:p w14:paraId="0178413B" w14:textId="67E1E2B6" w:rsidR="007D32D5" w:rsidRPr="004914E6" w:rsidRDefault="007D32D5" w:rsidP="007D32D5">
      <w:pPr>
        <w:pStyle w:val="Heading2"/>
        <w:rPr>
          <w:rStyle w:val="Strong"/>
          <w:rFonts w:asciiTheme="majorBidi" w:hAnsiTheme="majorBidi"/>
          <w:color w:val="auto"/>
          <w:sz w:val="24"/>
          <w:szCs w:val="24"/>
        </w:rPr>
      </w:pPr>
      <w:r w:rsidRPr="004914E6">
        <w:rPr>
          <w:rFonts w:asciiTheme="majorBidi" w:hAnsiTheme="majorBidi"/>
          <w:b/>
          <w:bCs/>
          <w:color w:val="auto"/>
          <w:sz w:val="24"/>
          <w:szCs w:val="24"/>
        </w:rPr>
        <w:t>2.2.</w:t>
      </w:r>
      <w:r w:rsidR="00872469">
        <w:rPr>
          <w:rFonts w:asciiTheme="majorBidi" w:hAnsiTheme="majorBidi"/>
          <w:b/>
          <w:bCs/>
          <w:color w:val="auto"/>
          <w:sz w:val="24"/>
          <w:szCs w:val="24"/>
        </w:rPr>
        <w:t>5</w:t>
      </w:r>
      <w:r w:rsidRPr="004914E6">
        <w:rPr>
          <w:rFonts w:asciiTheme="majorBidi" w:hAnsiTheme="majorBidi"/>
          <w:b/>
          <w:bCs/>
          <w:color w:val="auto"/>
          <w:sz w:val="24"/>
          <w:szCs w:val="24"/>
        </w:rPr>
        <w:t xml:space="preserve"> Costs of Debt, </w:t>
      </w:r>
      <w:r w:rsidR="007A5352" w:rsidRPr="004914E6">
        <w:rPr>
          <w:rFonts w:asciiTheme="majorBidi" w:hAnsiTheme="majorBidi"/>
          <w:b/>
          <w:bCs/>
          <w:color w:val="auto"/>
          <w:sz w:val="24"/>
          <w:szCs w:val="24"/>
        </w:rPr>
        <w:t>Long</w:t>
      </w:r>
      <w:r w:rsidRPr="004914E6">
        <w:rPr>
          <w:rFonts w:asciiTheme="majorBidi" w:hAnsiTheme="majorBidi"/>
          <w:b/>
          <w:bCs/>
          <w:color w:val="auto"/>
          <w:sz w:val="24"/>
          <w:szCs w:val="24"/>
        </w:rPr>
        <w:t xml:space="preserve">-Term </w:t>
      </w:r>
      <w:r w:rsidR="00A43785" w:rsidRPr="004914E6">
        <w:rPr>
          <w:rFonts w:asciiTheme="majorBidi" w:hAnsiTheme="majorBidi"/>
          <w:b/>
          <w:bCs/>
          <w:color w:val="auto"/>
          <w:sz w:val="24"/>
          <w:szCs w:val="24"/>
        </w:rPr>
        <w:t>Debt,</w:t>
      </w:r>
      <w:r w:rsidRPr="004914E6">
        <w:rPr>
          <w:rFonts w:asciiTheme="majorBidi" w:hAnsiTheme="majorBidi"/>
          <w:b/>
          <w:bCs/>
          <w:color w:val="auto"/>
          <w:sz w:val="24"/>
          <w:szCs w:val="24"/>
        </w:rPr>
        <w:t xml:space="preserve"> and shareholders’ wealth </w:t>
      </w:r>
    </w:p>
    <w:p w14:paraId="0F4D50CB" w14:textId="2BD26060" w:rsidR="0018078B" w:rsidRPr="004914E6" w:rsidRDefault="0018078B" w:rsidP="008110AD">
      <w:pPr>
        <w:pStyle w:val="NormalWeb"/>
        <w:jc w:val="both"/>
      </w:pPr>
      <w:r w:rsidRPr="004914E6">
        <w:t>The cost of debt shapes how long-term leverage influences shareholders’ wealth because higher borrowing costs amplify the expected distress, covenant, and agency costs embedded in long-maturity financing. When the cost of debt increases, the marginal tax benefits of long-term leverage diminish, steepening the negative relationship between long-term debt and firm value. Recent empirical evidence supports this moderating mechanism. Ahmed et al. (2023) show that debt can reduce agency costs and enhance shareholder value, but they also find that the effectiveness of leverage depends on the prevailing level of agency costs. In the Nigerian context, Ahmad et al. (2020) demonstrate that long-term debt can improve firm value when agency costs of equity are reduced, suggesting that the benefits of long-term borrowing are conditional on financing frictions.</w:t>
      </w:r>
      <w:r w:rsidR="00D868D6" w:rsidRPr="004914E6">
        <w:t xml:space="preserve"> Also</w:t>
      </w:r>
      <w:r w:rsidR="009B649F" w:rsidRPr="004914E6">
        <w:t>,</w:t>
      </w:r>
      <w:r w:rsidR="00D868D6" w:rsidRPr="004914E6">
        <w:t xml:space="preserve"> Ga</w:t>
      </w:r>
      <w:r w:rsidR="00DE1937" w:rsidRPr="004914E6">
        <w:t xml:space="preserve">mu et al. (2025) argue </w:t>
      </w:r>
      <w:r w:rsidR="008110AD" w:rsidRPr="004914E6">
        <w:t>that the effectiveness of financing decisions depends critically on the cost of capital environment</w:t>
      </w:r>
      <w:r w:rsidR="009B649F" w:rsidRPr="004914E6">
        <w:t xml:space="preserve">. </w:t>
      </w:r>
    </w:p>
    <w:p w14:paraId="242141CE" w14:textId="77777777" w:rsidR="0018078B" w:rsidRPr="004914E6" w:rsidRDefault="0018078B" w:rsidP="0018078B">
      <w:pPr>
        <w:pStyle w:val="NormalWeb"/>
        <w:jc w:val="both"/>
      </w:pPr>
      <w:r w:rsidRPr="004914E6">
        <w:t xml:space="preserve">Other studies confirm that long-term debt behaves differently as risk, information asymmetry, or governance conditions change. </w:t>
      </w:r>
      <w:proofErr w:type="spellStart"/>
      <w:r w:rsidRPr="004914E6">
        <w:t>Dabboussi</w:t>
      </w:r>
      <w:proofErr w:type="spellEnd"/>
      <w:r w:rsidRPr="004914E6">
        <w:t xml:space="preserve"> (2024) finds that long-term debt becomes more effective for enhancing shareholder wealth when agency costs are high, highlighting a positive interaction between governance frictions and long-maturity borrowing. Evidence from Korea indicates that the cost of debt responds to tax avoidance incentives and institutional monitoring (Lim, 2011), implying that firms with higher borrowing costs face stronger valuation penalties. Research on macroeconomic and distress channels also reinforces this pattern. </w:t>
      </w:r>
      <w:proofErr w:type="spellStart"/>
      <w:r w:rsidRPr="004914E6">
        <w:t>Suhaibu</w:t>
      </w:r>
      <w:proofErr w:type="spellEnd"/>
      <w:r w:rsidRPr="004914E6">
        <w:t xml:space="preserve"> and Abdul-Malik (2021) show that financial distress costs weaken the value contribution of debt, while </w:t>
      </w:r>
      <w:proofErr w:type="spellStart"/>
      <w:r w:rsidRPr="004914E6">
        <w:t>Purnanandam</w:t>
      </w:r>
      <w:proofErr w:type="spellEnd"/>
      <w:r w:rsidRPr="004914E6">
        <w:t xml:space="preserve"> (2008) documents how distress risk alters equity value through risk management incentives. Furthermore, studies on bond covenants provide evidence that long-term debt structures directly influence shareholder wealth by altering the cost of debt and mitigating agency conflicts (Bae et al., 1994).</w:t>
      </w:r>
    </w:p>
    <w:p w14:paraId="2AE64F4F" w14:textId="77777777" w:rsidR="0018078B" w:rsidRPr="004914E6" w:rsidRDefault="0018078B" w:rsidP="0018078B">
      <w:pPr>
        <w:pStyle w:val="NormalWeb"/>
        <w:jc w:val="both"/>
      </w:pPr>
      <w:r w:rsidRPr="004914E6">
        <w:t>Collectively, these findings indicate that the valuation effects of long-term debt are highly sensitive to the cost of debt and that this sensitivity is likely to vary across the distribution of firm value. This leads to the formulation of the following hypothesis:</w:t>
      </w:r>
    </w:p>
    <w:p w14:paraId="18B3C39F" w14:textId="43646B80" w:rsidR="007D32D5" w:rsidRPr="004914E6" w:rsidRDefault="007D32D5" w:rsidP="007D32D5">
      <w:pPr>
        <w:pStyle w:val="NormalWeb"/>
        <w:jc w:val="both"/>
        <w:rPr>
          <w:i/>
          <w:iCs/>
        </w:rPr>
      </w:pPr>
      <w:r w:rsidRPr="004914E6">
        <w:rPr>
          <w:rFonts w:eastAsiaTheme="majorEastAsia"/>
          <w:b/>
          <w:bCs/>
          <w:i/>
          <w:iCs/>
        </w:rPr>
        <w:t xml:space="preserve">H5: </w:t>
      </w:r>
      <w:r w:rsidRPr="004914E6">
        <w:rPr>
          <w:rFonts w:eastAsiaTheme="majorEastAsia"/>
          <w:i/>
          <w:iCs/>
        </w:rPr>
        <w:t>The cost of debt moderates the association between long-term debt and shareholders’ wealth across quantiles.</w:t>
      </w:r>
    </w:p>
    <w:p w14:paraId="07C91570" w14:textId="746026AD" w:rsidR="00B20186" w:rsidRPr="004914E6" w:rsidRDefault="00FF752C" w:rsidP="007D32D5">
      <w:pPr>
        <w:pStyle w:val="NormalWeb"/>
        <w:jc w:val="both"/>
      </w:pPr>
      <w:r w:rsidRPr="004914E6">
        <w:t>Taken together, these five hypotheses align mainstream capital-structure predictions with the realities of an African high-cost credit market and motivate our use of quantile methods to uncover heterogeneous associations along the valuation distribution.</w:t>
      </w:r>
    </w:p>
    <w:p w14:paraId="484826FB" w14:textId="77777777" w:rsidR="00B20186" w:rsidRPr="004914E6" w:rsidRDefault="00B20186" w:rsidP="00497378">
      <w:pPr>
        <w:pStyle w:val="Heading1"/>
        <w:rPr>
          <w:rFonts w:asciiTheme="majorBidi" w:hAnsiTheme="majorBidi"/>
          <w:b/>
          <w:bCs/>
          <w:color w:val="auto"/>
          <w:sz w:val="24"/>
          <w:szCs w:val="24"/>
        </w:rPr>
      </w:pPr>
      <w:r w:rsidRPr="004914E6">
        <w:rPr>
          <w:rFonts w:asciiTheme="majorBidi" w:hAnsiTheme="majorBidi"/>
          <w:b/>
          <w:bCs/>
          <w:color w:val="auto"/>
          <w:sz w:val="24"/>
          <w:szCs w:val="24"/>
        </w:rPr>
        <w:lastRenderedPageBreak/>
        <w:t>3. Data and methodology</w:t>
      </w:r>
    </w:p>
    <w:p w14:paraId="406A111B" w14:textId="380FE47F" w:rsidR="00535197"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sz w:val="24"/>
          <w:szCs w:val="24"/>
          <w:lang/>
        </w:rPr>
        <w:t xml:space="preserve">We analyse 43 manufacturing firms listed on the Nigerian Exchange over the period 2013–2023, yielding 473 firm-year observations obtained from audited annual reports and NGX filings. Shareholders’ wealth, </w:t>
      </w:r>
      <m:oMath>
        <m:r>
          <w:rPr>
            <w:rFonts w:ascii="Cambria Math" w:hAnsi="Cambria Math" w:cstheme="majorBidi"/>
            <w:sz w:val="24"/>
            <w:szCs w:val="24"/>
            <w:lang/>
          </w:rPr>
          <m:t>SH</m:t>
        </m:r>
        <m:sSub>
          <m:sSubPr>
            <m:ctrlPr>
              <w:rPr>
                <w:rFonts w:ascii="Cambria Math" w:hAnsi="Cambria Math" w:cstheme="majorBidi"/>
                <w:sz w:val="24"/>
                <w:szCs w:val="24"/>
                <w:lang/>
              </w:rPr>
            </m:ctrlPr>
          </m:sSubPr>
          <m:e>
            <m:r>
              <w:rPr>
                <w:rFonts w:ascii="Cambria Math" w:hAnsi="Cambria Math" w:cstheme="majorBidi"/>
                <w:sz w:val="24"/>
                <w:szCs w:val="24"/>
                <w:lang/>
              </w:rPr>
              <m:t>W</m:t>
            </m:r>
          </m:e>
          <m:sub>
            <m:r>
              <w:rPr>
                <w:rFonts w:ascii="Cambria Math" w:hAnsi="Cambria Math" w:cstheme="majorBidi"/>
                <w:sz w:val="24"/>
                <w:szCs w:val="24"/>
                <w:lang/>
              </w:rPr>
              <m:t>it</m:t>
            </m:r>
          </m:sub>
        </m:sSub>
      </m:oMath>
      <w:r w:rsidRPr="00535197">
        <w:rPr>
          <w:rFonts w:asciiTheme="majorBidi" w:hAnsiTheme="majorBidi" w:cstheme="majorBidi"/>
          <w:sz w:val="24"/>
          <w:szCs w:val="24"/>
          <w:lang/>
        </w:rPr>
        <w:t xml:space="preserve">, is proxied by market capitalisation for firm </w:t>
      </w:r>
      <m:oMath>
        <m:r>
          <w:rPr>
            <w:rFonts w:ascii="Cambria Math" w:hAnsi="Cambria Math" w:cstheme="majorBidi"/>
            <w:sz w:val="24"/>
            <w:szCs w:val="24"/>
            <w:lang/>
          </w:rPr>
          <m:t>i</m:t>
        </m:r>
      </m:oMath>
      <w:r w:rsidRPr="00535197">
        <w:rPr>
          <w:rFonts w:asciiTheme="majorBidi" w:hAnsiTheme="majorBidi" w:cstheme="majorBidi"/>
          <w:sz w:val="24"/>
          <w:szCs w:val="24"/>
          <w:lang/>
        </w:rPr>
        <w:t xml:space="preserve">in year </w:t>
      </w:r>
      <m:oMath>
        <m:r>
          <w:rPr>
            <w:rFonts w:ascii="Cambria Math" w:hAnsi="Cambria Math" w:cstheme="majorBidi"/>
            <w:sz w:val="24"/>
            <w:szCs w:val="24"/>
            <w:lang/>
          </w:rPr>
          <m:t>t</m:t>
        </m:r>
      </m:oMath>
      <w:r w:rsidRPr="00535197">
        <w:rPr>
          <w:rFonts w:asciiTheme="majorBidi" w:hAnsiTheme="majorBidi" w:cstheme="majorBidi"/>
          <w:sz w:val="24"/>
          <w:szCs w:val="24"/>
          <w:lang/>
        </w:rPr>
        <w:t xml:space="preserve">. Short-term debt, </w:t>
      </w:r>
      <m:oMath>
        <m:r>
          <w:rPr>
            <w:rFonts w:ascii="Cambria Math" w:hAnsi="Cambria Math" w:cstheme="majorBidi"/>
            <w:sz w:val="24"/>
            <w:szCs w:val="24"/>
            <w:lang/>
          </w:rPr>
          <m:t>ST</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oMath>
      <w:r w:rsidRPr="00535197">
        <w:rPr>
          <w:rFonts w:asciiTheme="majorBidi" w:hAnsiTheme="majorBidi" w:cstheme="majorBidi"/>
          <w:sz w:val="24"/>
          <w:szCs w:val="24"/>
          <w:lang/>
        </w:rPr>
        <w:t xml:space="preserve">, and long-term debt, </w:t>
      </w:r>
      <m:oMath>
        <m:r>
          <w:rPr>
            <w:rFonts w:ascii="Cambria Math" w:hAnsi="Cambria Math" w:cstheme="majorBidi"/>
            <w:sz w:val="24"/>
            <w:szCs w:val="24"/>
            <w:lang/>
          </w:rPr>
          <m:t>LT</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oMath>
      <w:r w:rsidRPr="00535197">
        <w:rPr>
          <w:rFonts w:asciiTheme="majorBidi" w:hAnsiTheme="majorBidi" w:cstheme="majorBidi"/>
          <w:sz w:val="24"/>
          <w:szCs w:val="24"/>
          <w:lang/>
        </w:rPr>
        <w:t xml:space="preserve">, are measured as current and long-term interest-bearing liabilities divided by total assets, respectively. The cost of debt, </w:t>
      </w:r>
      <m:oMath>
        <m:r>
          <w:rPr>
            <w:rFonts w:ascii="Cambria Math" w:hAnsi="Cambria Math" w:cstheme="majorBidi"/>
            <w:sz w:val="24"/>
            <w:szCs w:val="24"/>
            <w:lang/>
          </w:rPr>
          <m:t>CO</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oMath>
      <w:r w:rsidRPr="00535197">
        <w:rPr>
          <w:rFonts w:asciiTheme="majorBidi" w:hAnsiTheme="majorBidi" w:cstheme="majorBidi"/>
          <w:sz w:val="24"/>
          <w:szCs w:val="24"/>
          <w:lang/>
        </w:rPr>
        <w:t xml:space="preserve">, is computed as interest expense divided by total debt. Control variables include profitability, </w:t>
      </w:r>
      <m:oMath>
        <m:r>
          <w:rPr>
            <w:rFonts w:ascii="Cambria Math" w:hAnsi="Cambria Math" w:cstheme="majorBidi"/>
            <w:sz w:val="24"/>
            <w:szCs w:val="24"/>
            <w:lang/>
          </w:rPr>
          <m:t>PRO</m:t>
        </m:r>
        <m:sSub>
          <m:sSubPr>
            <m:ctrlPr>
              <w:rPr>
                <w:rFonts w:ascii="Cambria Math" w:hAnsi="Cambria Math" w:cstheme="majorBidi"/>
                <w:sz w:val="24"/>
                <w:szCs w:val="24"/>
                <w:lang/>
              </w:rPr>
            </m:ctrlPr>
          </m:sSubPr>
          <m:e>
            <m:r>
              <w:rPr>
                <w:rFonts w:ascii="Cambria Math" w:hAnsi="Cambria Math" w:cstheme="majorBidi"/>
                <w:sz w:val="24"/>
                <w:szCs w:val="24"/>
                <w:lang/>
              </w:rPr>
              <m:t>F</m:t>
            </m:r>
          </m:e>
          <m:sub>
            <m:r>
              <w:rPr>
                <w:rFonts w:ascii="Cambria Math" w:hAnsi="Cambria Math" w:cstheme="majorBidi"/>
                <w:sz w:val="24"/>
                <w:szCs w:val="24"/>
                <w:lang/>
              </w:rPr>
              <m:t>it</m:t>
            </m:r>
          </m:sub>
        </m:sSub>
      </m:oMath>
      <w:r w:rsidRPr="00535197">
        <w:rPr>
          <w:rFonts w:asciiTheme="majorBidi" w:hAnsiTheme="majorBidi" w:cstheme="majorBidi"/>
          <w:sz w:val="24"/>
          <w:szCs w:val="24"/>
          <w:lang/>
        </w:rPr>
        <w:t xml:space="preserve">, measured as return on assets, and firm size, </w:t>
      </w:r>
      <m:oMath>
        <m:r>
          <w:rPr>
            <w:rFonts w:ascii="Cambria Math" w:hAnsi="Cambria Math" w:cstheme="majorBidi"/>
            <w:sz w:val="24"/>
            <w:szCs w:val="24"/>
            <w:lang/>
          </w:rPr>
          <m:t>FSIZ</m:t>
        </m:r>
        <m:sSub>
          <m:sSubPr>
            <m:ctrlPr>
              <w:rPr>
                <w:rFonts w:ascii="Cambria Math" w:hAnsi="Cambria Math" w:cstheme="majorBidi"/>
                <w:sz w:val="24"/>
                <w:szCs w:val="24"/>
                <w:lang/>
              </w:rPr>
            </m:ctrlPr>
          </m:sSubPr>
          <m:e>
            <m:r>
              <w:rPr>
                <w:rFonts w:ascii="Cambria Math" w:hAnsi="Cambria Math" w:cstheme="majorBidi"/>
                <w:sz w:val="24"/>
                <w:szCs w:val="24"/>
                <w:lang/>
              </w:rPr>
              <m:t>E</m:t>
            </m:r>
          </m:e>
          <m:sub>
            <m:r>
              <w:rPr>
                <w:rFonts w:ascii="Cambria Math" w:hAnsi="Cambria Math" w:cstheme="majorBidi"/>
                <w:sz w:val="24"/>
                <w:szCs w:val="24"/>
                <w:lang/>
              </w:rPr>
              <m:t>it</m:t>
            </m:r>
          </m:sub>
        </m:sSub>
      </m:oMath>
      <w:r w:rsidRPr="00535197">
        <w:rPr>
          <w:rFonts w:asciiTheme="majorBidi" w:hAnsiTheme="majorBidi" w:cstheme="majorBidi"/>
          <w:sz w:val="24"/>
          <w:szCs w:val="24"/>
          <w:lang/>
        </w:rPr>
        <w:t>, measured as the natural logarithm of total assets. To facilitate interpretation and mitigate multicollinearity in the interaction specifications, the debt ratios used in the interaction terms are mean-centred.</w:t>
      </w:r>
    </w:p>
    <w:p w14:paraId="401F1F9C" w14:textId="77777777" w:rsidR="00535197" w:rsidRPr="00535197" w:rsidRDefault="00535197" w:rsidP="00535197">
      <w:pPr>
        <w:jc w:val="both"/>
        <w:rPr>
          <w:rFonts w:asciiTheme="majorBidi" w:hAnsiTheme="majorBidi" w:cstheme="majorBidi"/>
          <w:b/>
          <w:bCs/>
          <w:sz w:val="24"/>
          <w:szCs w:val="24"/>
          <w:lang/>
        </w:rPr>
      </w:pPr>
      <w:r w:rsidRPr="00535197">
        <w:rPr>
          <w:rFonts w:asciiTheme="majorBidi" w:hAnsiTheme="majorBidi" w:cstheme="majorBidi"/>
          <w:b/>
          <w:bCs/>
          <w:sz w:val="24"/>
          <w:szCs w:val="24"/>
          <w:lang/>
        </w:rPr>
        <w:t>Model specification</w:t>
      </w:r>
    </w:p>
    <w:p w14:paraId="050C859B" w14:textId="77777777" w:rsidR="00535197"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b/>
          <w:bCs/>
          <w:sz w:val="24"/>
          <w:szCs w:val="24"/>
          <w:lang/>
        </w:rPr>
        <w:t>Pooled Ordinary Least Squares (OLS)</w:t>
      </w:r>
    </w:p>
    <w:p w14:paraId="4C6E4E4B" w14:textId="6149B7A6" w:rsidR="00535197" w:rsidRPr="00535197" w:rsidRDefault="00535197" w:rsidP="00535197">
      <w:pPr>
        <w:jc w:val="both"/>
        <w:rPr>
          <w:rFonts w:asciiTheme="majorBidi" w:hAnsiTheme="majorBidi" w:cstheme="majorBidi"/>
          <w:sz w:val="24"/>
          <w:szCs w:val="24"/>
          <w:lang/>
        </w:rPr>
      </w:pPr>
      <m:oMathPara>
        <m:oMath>
          <m:r>
            <w:rPr>
              <w:rFonts w:ascii="Cambria Math" w:hAnsi="Cambria Math" w:cstheme="majorBidi"/>
              <w:sz w:val="24"/>
              <w:szCs w:val="24"/>
              <w:lang/>
            </w:rPr>
            <m:t>SH</m:t>
          </m:r>
          <m:sSub>
            <m:sSubPr>
              <m:ctrlPr>
                <w:rPr>
                  <w:rFonts w:ascii="Cambria Math" w:hAnsi="Cambria Math" w:cstheme="majorBidi"/>
                  <w:sz w:val="24"/>
                  <w:szCs w:val="24"/>
                  <w:lang/>
                </w:rPr>
              </m:ctrlPr>
            </m:sSubPr>
            <m:e>
              <m:r>
                <w:rPr>
                  <w:rFonts w:ascii="Cambria Math" w:hAnsi="Cambria Math" w:cstheme="majorBidi"/>
                  <w:sz w:val="24"/>
                  <w:szCs w:val="24"/>
                  <w:lang/>
                </w:rPr>
                <m:t>W</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0</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1</m:t>
              </m:r>
            </m:sub>
          </m:sSub>
          <m:r>
            <w:rPr>
              <w:rFonts w:ascii="Cambria Math" w:hAnsi="Cambria Math" w:cstheme="majorBidi"/>
              <w:sz w:val="24"/>
              <w:szCs w:val="24"/>
              <w:lang/>
            </w:rPr>
            <m:t>ST</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2</m:t>
              </m:r>
            </m:sub>
          </m:sSub>
          <m:r>
            <w:rPr>
              <w:rFonts w:ascii="Cambria Math" w:hAnsi="Cambria Math" w:cstheme="majorBidi"/>
              <w:sz w:val="24"/>
              <w:szCs w:val="24"/>
              <w:lang/>
            </w:rPr>
            <m:t>LT</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3</m:t>
              </m:r>
            </m:sub>
          </m:sSub>
          <m:r>
            <w:rPr>
              <w:rFonts w:ascii="Cambria Math" w:hAnsi="Cambria Math" w:cstheme="majorBidi"/>
              <w:sz w:val="24"/>
              <w:szCs w:val="24"/>
              <w:lang/>
            </w:rPr>
            <m:t>PRO</m:t>
          </m:r>
          <m:sSub>
            <m:sSubPr>
              <m:ctrlPr>
                <w:rPr>
                  <w:rFonts w:ascii="Cambria Math" w:hAnsi="Cambria Math" w:cstheme="majorBidi"/>
                  <w:sz w:val="24"/>
                  <w:szCs w:val="24"/>
                  <w:lang/>
                </w:rPr>
              </m:ctrlPr>
            </m:sSubPr>
            <m:e>
              <m:r>
                <w:rPr>
                  <w:rFonts w:ascii="Cambria Math" w:hAnsi="Cambria Math" w:cstheme="majorBidi"/>
                  <w:sz w:val="24"/>
                  <w:szCs w:val="24"/>
                  <w:lang/>
                </w:rPr>
                <m:t>F</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4</m:t>
              </m:r>
            </m:sub>
          </m:sSub>
          <m:r>
            <w:rPr>
              <w:rFonts w:ascii="Cambria Math" w:hAnsi="Cambria Math" w:cstheme="majorBidi"/>
              <w:sz w:val="24"/>
              <w:szCs w:val="24"/>
              <w:lang/>
            </w:rPr>
            <m:t>FSIZ</m:t>
          </m:r>
          <m:sSub>
            <m:sSubPr>
              <m:ctrlPr>
                <w:rPr>
                  <w:rFonts w:ascii="Cambria Math" w:hAnsi="Cambria Math" w:cstheme="majorBidi"/>
                  <w:sz w:val="24"/>
                  <w:szCs w:val="24"/>
                  <w:lang/>
                </w:rPr>
              </m:ctrlPr>
            </m:sSubPr>
            <m:e>
              <m:r>
                <w:rPr>
                  <w:rFonts w:ascii="Cambria Math" w:hAnsi="Cambria Math" w:cstheme="majorBidi"/>
                  <w:sz w:val="24"/>
                  <w:szCs w:val="24"/>
                  <w:lang/>
                </w:rPr>
                <m:t>E</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ε</m:t>
              </m:r>
            </m:e>
            <m:sub>
              <m:r>
                <w:rPr>
                  <w:rFonts w:ascii="Cambria Math" w:hAnsi="Cambria Math" w:cstheme="majorBidi"/>
                  <w:sz w:val="24"/>
                  <w:szCs w:val="24"/>
                  <w:lang/>
                </w:rPr>
                <m:t>it</m:t>
              </m:r>
            </m:sub>
          </m:sSub>
          <m:r>
            <m:rPr>
              <m:sty m:val="p"/>
            </m:rPr>
            <w:rPr>
              <w:rFonts w:ascii="Cambria Math" w:hAnsi="Cambria Math" w:cstheme="majorBidi"/>
              <w:sz w:val="24"/>
              <w:szCs w:val="24"/>
              <w:lang/>
            </w:rPr>
            <m:t>.</m:t>
          </m:r>
          <m:r>
            <m:rPr>
              <m:sty m:val="p"/>
            </m:rPr>
            <w:rPr>
              <w:rFonts w:asciiTheme="majorBidi" w:hAnsiTheme="majorBidi" w:cstheme="majorBidi"/>
              <w:sz w:val="24"/>
              <w:szCs w:val="24"/>
              <w:lang/>
            </w:rPr>
            <w:br/>
          </m:r>
        </m:oMath>
      </m:oMathPara>
    </w:p>
    <w:p w14:paraId="3EBE7BEC" w14:textId="1D38EFC2" w:rsidR="00535197"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b/>
          <w:bCs/>
          <w:sz w:val="24"/>
          <w:szCs w:val="24"/>
          <w:lang/>
        </w:rPr>
        <w:t>Pooled panel quantile regressions</w:t>
      </w:r>
      <w:r w:rsidRPr="00535197">
        <w:rPr>
          <w:rFonts w:asciiTheme="majorBidi" w:hAnsiTheme="majorBidi" w:cstheme="majorBidi"/>
          <w:sz w:val="24"/>
          <w:szCs w:val="24"/>
          <w:lang/>
        </w:rPr>
        <w:t xml:space="preserve"> at </w:t>
      </w:r>
      <m:oMath>
        <m:r>
          <w:rPr>
            <w:rFonts w:ascii="Cambria Math" w:hAnsi="Cambria Math" w:cstheme="majorBidi"/>
            <w:sz w:val="24"/>
            <w:szCs w:val="24"/>
            <w:lang/>
          </w:rPr>
          <m:t>τ∈{0.25,0.50,0.75}</m:t>
        </m:r>
      </m:oMath>
    </w:p>
    <w:p w14:paraId="2CA4DD0F" w14:textId="2692F3A6" w:rsidR="00535197" w:rsidRPr="00535197" w:rsidRDefault="00AE599B" w:rsidP="00535197">
      <w:pPr>
        <w:jc w:val="both"/>
        <w:rPr>
          <w:rFonts w:asciiTheme="majorBidi" w:hAnsiTheme="majorBidi" w:cstheme="majorBidi"/>
          <w:sz w:val="24"/>
          <w:szCs w:val="24"/>
          <w:lang/>
        </w:rPr>
      </w:pPr>
      <m:oMathPara>
        <m:oMath>
          <m:sSub>
            <m:sSubPr>
              <m:ctrlPr>
                <w:rPr>
                  <w:rFonts w:ascii="Cambria Math" w:hAnsi="Cambria Math" w:cstheme="majorBidi"/>
                  <w:sz w:val="24"/>
                  <w:szCs w:val="24"/>
                  <w:lang/>
                </w:rPr>
              </m:ctrlPr>
            </m:sSubPr>
            <m:e>
              <m:r>
                <w:rPr>
                  <w:rFonts w:ascii="Cambria Math" w:hAnsi="Cambria Math" w:cstheme="majorBidi"/>
                  <w:sz w:val="24"/>
                  <w:szCs w:val="24"/>
                  <w:lang/>
                </w:rPr>
                <m:t>Q</m:t>
              </m:r>
            </m:e>
            <m:sub>
              <m:r>
                <w:rPr>
                  <w:rFonts w:ascii="Cambria Math" w:hAnsi="Cambria Math" w:cstheme="majorBidi"/>
                  <w:sz w:val="24"/>
                  <w:szCs w:val="24"/>
                  <w:lang/>
                </w:rPr>
                <m:t>τ</m:t>
              </m:r>
            </m:sub>
          </m:sSub>
          <m:r>
            <w:rPr>
              <w:rFonts w:ascii="Cambria Math" w:hAnsi="Cambria Math" w:cstheme="majorBidi"/>
              <w:sz w:val="24"/>
              <w:szCs w:val="24"/>
              <w:lang/>
            </w:rPr>
            <m:t>(SH</m:t>
          </m:r>
          <m:sSub>
            <m:sSubPr>
              <m:ctrlPr>
                <w:rPr>
                  <w:rFonts w:ascii="Cambria Math" w:hAnsi="Cambria Math" w:cstheme="majorBidi"/>
                  <w:sz w:val="24"/>
                  <w:szCs w:val="24"/>
                  <w:lang/>
                </w:rPr>
              </m:ctrlPr>
            </m:sSubPr>
            <m:e>
              <m:r>
                <w:rPr>
                  <w:rFonts w:ascii="Cambria Math" w:hAnsi="Cambria Math" w:cstheme="majorBidi"/>
                  <w:sz w:val="24"/>
                  <w:szCs w:val="24"/>
                  <w:lang/>
                </w:rPr>
                <m:t>W</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X</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0</m:t>
              </m:r>
            </m:sub>
          </m:sSub>
          <m:r>
            <w:rPr>
              <w:rFonts w:ascii="Cambria Math" w:hAnsi="Cambria Math" w:cstheme="majorBidi"/>
              <w:sz w:val="24"/>
              <w:szCs w:val="24"/>
              <w:lang/>
            </w:rPr>
            <m:t>(τ)+</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1</m:t>
              </m:r>
            </m:sub>
          </m:sSub>
          <m:r>
            <w:rPr>
              <w:rFonts w:ascii="Cambria Math" w:hAnsi="Cambria Math" w:cstheme="majorBidi"/>
              <w:sz w:val="24"/>
              <w:szCs w:val="24"/>
              <w:lang/>
            </w:rPr>
            <m:t>(τ)ST</m:t>
          </m:r>
          <m:sSubSup>
            <m:sSubSupPr>
              <m:ctrlPr>
                <w:rPr>
                  <w:rFonts w:ascii="Cambria Math" w:hAnsi="Cambria Math" w:cstheme="majorBidi"/>
                  <w:sz w:val="24"/>
                  <w:szCs w:val="24"/>
                  <w:lang/>
                </w:rPr>
              </m:ctrlPr>
            </m:sSubSupPr>
            <m:e>
              <m:r>
                <w:rPr>
                  <w:rFonts w:ascii="Cambria Math" w:hAnsi="Cambria Math" w:cstheme="majorBidi"/>
                  <w:sz w:val="24"/>
                  <w:szCs w:val="24"/>
                  <w:lang/>
                </w:rPr>
                <m:t>D</m:t>
              </m:r>
            </m:e>
            <m:sub>
              <m:r>
                <w:rPr>
                  <w:rFonts w:ascii="Cambria Math" w:hAnsi="Cambria Math" w:cstheme="majorBidi"/>
                  <w:sz w:val="24"/>
                  <w:szCs w:val="24"/>
                  <w:lang/>
                </w:rPr>
                <m:t>it</m:t>
              </m:r>
            </m:sub>
            <m:sup>
              <m:r>
                <w:rPr>
                  <w:rFonts w:ascii="Cambria Math" w:hAnsi="Cambria Math" w:cstheme="majorBidi"/>
                  <w:sz w:val="24"/>
                  <w:szCs w:val="24"/>
                  <w:lang/>
                </w:rPr>
                <m:t>c</m:t>
              </m:r>
            </m:sup>
          </m:sSubSup>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2</m:t>
              </m:r>
            </m:sub>
          </m:sSub>
          <m:r>
            <w:rPr>
              <w:rFonts w:ascii="Cambria Math" w:hAnsi="Cambria Math" w:cstheme="majorBidi"/>
              <w:sz w:val="24"/>
              <w:szCs w:val="24"/>
              <w:lang/>
            </w:rPr>
            <m:t>(τ)LT</m:t>
          </m:r>
          <m:sSubSup>
            <m:sSubSupPr>
              <m:ctrlPr>
                <w:rPr>
                  <w:rFonts w:ascii="Cambria Math" w:hAnsi="Cambria Math" w:cstheme="majorBidi"/>
                  <w:sz w:val="24"/>
                  <w:szCs w:val="24"/>
                  <w:lang/>
                </w:rPr>
              </m:ctrlPr>
            </m:sSubSupPr>
            <m:e>
              <m:r>
                <w:rPr>
                  <w:rFonts w:ascii="Cambria Math" w:hAnsi="Cambria Math" w:cstheme="majorBidi"/>
                  <w:sz w:val="24"/>
                  <w:szCs w:val="24"/>
                  <w:lang/>
                </w:rPr>
                <m:t>D</m:t>
              </m:r>
            </m:e>
            <m:sub>
              <m:r>
                <w:rPr>
                  <w:rFonts w:ascii="Cambria Math" w:hAnsi="Cambria Math" w:cstheme="majorBidi"/>
                  <w:sz w:val="24"/>
                  <w:szCs w:val="24"/>
                  <w:lang/>
                </w:rPr>
                <m:t>it</m:t>
              </m:r>
            </m:sub>
            <m:sup>
              <m:r>
                <w:rPr>
                  <w:rFonts w:ascii="Cambria Math" w:hAnsi="Cambria Math" w:cstheme="majorBidi"/>
                  <w:sz w:val="24"/>
                  <w:szCs w:val="24"/>
                  <w:lang/>
                </w:rPr>
                <m:t>c</m:t>
              </m:r>
            </m:sup>
          </m:sSubSup>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3</m:t>
              </m:r>
            </m:sub>
          </m:sSub>
          <m:r>
            <w:rPr>
              <w:rFonts w:ascii="Cambria Math" w:hAnsi="Cambria Math" w:cstheme="majorBidi"/>
              <w:sz w:val="24"/>
              <w:szCs w:val="24"/>
              <w:lang/>
            </w:rPr>
            <m:t>(τ)CO</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4</m:t>
              </m:r>
            </m:sub>
          </m:sSub>
          <m:r>
            <w:rPr>
              <w:rFonts w:ascii="Cambria Math" w:hAnsi="Cambria Math" w:cstheme="majorBidi"/>
              <w:sz w:val="24"/>
              <w:szCs w:val="24"/>
              <w:lang/>
            </w:rPr>
            <m:t>(τ)PRO</m:t>
          </m:r>
          <m:sSub>
            <m:sSubPr>
              <m:ctrlPr>
                <w:rPr>
                  <w:rFonts w:ascii="Cambria Math" w:hAnsi="Cambria Math" w:cstheme="majorBidi"/>
                  <w:sz w:val="24"/>
                  <w:szCs w:val="24"/>
                  <w:lang/>
                </w:rPr>
              </m:ctrlPr>
            </m:sSubPr>
            <m:e>
              <m:r>
                <w:rPr>
                  <w:rFonts w:ascii="Cambria Math" w:hAnsi="Cambria Math" w:cstheme="majorBidi"/>
                  <w:sz w:val="24"/>
                  <w:szCs w:val="24"/>
                  <w:lang/>
                </w:rPr>
                <m:t>F</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5</m:t>
              </m:r>
            </m:sub>
          </m:sSub>
          <m:r>
            <w:rPr>
              <w:rFonts w:ascii="Cambria Math" w:hAnsi="Cambria Math" w:cstheme="majorBidi"/>
              <w:sz w:val="24"/>
              <w:szCs w:val="24"/>
              <w:lang/>
            </w:rPr>
            <m:t>(τ)FSIZ</m:t>
          </m:r>
          <m:sSub>
            <m:sSubPr>
              <m:ctrlPr>
                <w:rPr>
                  <w:rFonts w:ascii="Cambria Math" w:hAnsi="Cambria Math" w:cstheme="majorBidi"/>
                  <w:sz w:val="24"/>
                  <w:szCs w:val="24"/>
                  <w:lang/>
                </w:rPr>
              </m:ctrlPr>
            </m:sSubPr>
            <m:e>
              <m:r>
                <w:rPr>
                  <w:rFonts w:ascii="Cambria Math" w:hAnsi="Cambria Math" w:cstheme="majorBidi"/>
                  <w:sz w:val="24"/>
                  <w:szCs w:val="24"/>
                  <w:lang/>
                </w:rPr>
                <m:t>E</m:t>
              </m:r>
            </m:e>
            <m:sub>
              <m:r>
                <w:rPr>
                  <w:rFonts w:ascii="Cambria Math" w:hAnsi="Cambria Math" w:cstheme="majorBidi"/>
                  <w:sz w:val="24"/>
                  <w:szCs w:val="24"/>
                  <w:lang/>
                </w:rPr>
                <m:t>it</m:t>
              </m:r>
            </m:sub>
          </m:sSub>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6</m:t>
              </m:r>
            </m:sub>
          </m:sSub>
          <m:r>
            <w:rPr>
              <w:rFonts w:ascii="Cambria Math" w:hAnsi="Cambria Math" w:cstheme="majorBidi"/>
              <w:sz w:val="24"/>
              <w:szCs w:val="24"/>
              <w:lang/>
            </w:rPr>
            <m:t>(τ)(CO</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r>
            <w:rPr>
              <w:rFonts w:ascii="Cambria Math" w:hAnsi="Cambria Math" w:cstheme="majorBidi"/>
              <w:sz w:val="24"/>
              <w:szCs w:val="24"/>
              <w:lang/>
            </w:rPr>
            <m:t>×ST</m:t>
          </m:r>
          <m:sSubSup>
            <m:sSubSupPr>
              <m:ctrlPr>
                <w:rPr>
                  <w:rFonts w:ascii="Cambria Math" w:hAnsi="Cambria Math" w:cstheme="majorBidi"/>
                  <w:sz w:val="24"/>
                  <w:szCs w:val="24"/>
                  <w:lang/>
                </w:rPr>
              </m:ctrlPr>
            </m:sSubSupPr>
            <m:e>
              <m:r>
                <w:rPr>
                  <w:rFonts w:ascii="Cambria Math" w:hAnsi="Cambria Math" w:cstheme="majorBidi"/>
                  <w:sz w:val="24"/>
                  <w:szCs w:val="24"/>
                  <w:lang/>
                </w:rPr>
                <m:t>D</m:t>
              </m:r>
            </m:e>
            <m:sub>
              <m:r>
                <w:rPr>
                  <w:rFonts w:ascii="Cambria Math" w:hAnsi="Cambria Math" w:cstheme="majorBidi"/>
                  <w:sz w:val="24"/>
                  <w:szCs w:val="24"/>
                  <w:lang/>
                </w:rPr>
                <m:t>it</m:t>
              </m:r>
            </m:sub>
            <m:sup>
              <m:r>
                <w:rPr>
                  <w:rFonts w:ascii="Cambria Math" w:hAnsi="Cambria Math" w:cstheme="majorBidi"/>
                  <w:sz w:val="24"/>
                  <w:szCs w:val="24"/>
                  <w:lang/>
                </w:rPr>
                <m:t>c</m:t>
              </m:r>
            </m:sup>
          </m:sSubSup>
          <m:r>
            <w:rPr>
              <w:rFonts w:ascii="Cambria Math" w:hAnsi="Cambria Math" w:cstheme="majorBidi"/>
              <w:sz w:val="24"/>
              <w:szCs w:val="24"/>
              <w:lang/>
            </w:rPr>
            <m:t>)+</m:t>
          </m:r>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7</m:t>
              </m:r>
            </m:sub>
          </m:sSub>
          <m:r>
            <w:rPr>
              <w:rFonts w:ascii="Cambria Math" w:hAnsi="Cambria Math" w:cstheme="majorBidi"/>
              <w:sz w:val="24"/>
              <w:szCs w:val="24"/>
              <w:lang/>
            </w:rPr>
            <m:t>(τ)(CO</m:t>
          </m:r>
          <m:sSub>
            <m:sSubPr>
              <m:ctrlPr>
                <w:rPr>
                  <w:rFonts w:ascii="Cambria Math" w:hAnsi="Cambria Math" w:cstheme="majorBidi"/>
                  <w:sz w:val="24"/>
                  <w:szCs w:val="24"/>
                  <w:lang/>
                </w:rPr>
              </m:ctrlPr>
            </m:sSubPr>
            <m:e>
              <m:r>
                <w:rPr>
                  <w:rFonts w:ascii="Cambria Math" w:hAnsi="Cambria Math" w:cstheme="majorBidi"/>
                  <w:sz w:val="24"/>
                  <w:szCs w:val="24"/>
                  <w:lang/>
                </w:rPr>
                <m:t>D</m:t>
              </m:r>
            </m:e>
            <m:sub>
              <m:r>
                <w:rPr>
                  <w:rFonts w:ascii="Cambria Math" w:hAnsi="Cambria Math" w:cstheme="majorBidi"/>
                  <w:sz w:val="24"/>
                  <w:szCs w:val="24"/>
                  <w:lang/>
                </w:rPr>
                <m:t>it</m:t>
              </m:r>
            </m:sub>
          </m:sSub>
          <m:r>
            <w:rPr>
              <w:rFonts w:ascii="Cambria Math" w:hAnsi="Cambria Math" w:cstheme="majorBidi"/>
              <w:sz w:val="24"/>
              <w:szCs w:val="24"/>
              <w:lang/>
            </w:rPr>
            <m:t>×LT</m:t>
          </m:r>
          <m:sSubSup>
            <m:sSubSupPr>
              <m:ctrlPr>
                <w:rPr>
                  <w:rFonts w:ascii="Cambria Math" w:hAnsi="Cambria Math" w:cstheme="majorBidi"/>
                  <w:sz w:val="24"/>
                  <w:szCs w:val="24"/>
                  <w:lang/>
                </w:rPr>
              </m:ctrlPr>
            </m:sSubSupPr>
            <m:e>
              <m:r>
                <w:rPr>
                  <w:rFonts w:ascii="Cambria Math" w:hAnsi="Cambria Math" w:cstheme="majorBidi"/>
                  <w:sz w:val="24"/>
                  <w:szCs w:val="24"/>
                  <w:lang/>
                </w:rPr>
                <m:t>D</m:t>
              </m:r>
            </m:e>
            <m:sub>
              <m:r>
                <w:rPr>
                  <w:rFonts w:ascii="Cambria Math" w:hAnsi="Cambria Math" w:cstheme="majorBidi"/>
                  <w:sz w:val="24"/>
                  <w:szCs w:val="24"/>
                  <w:lang/>
                </w:rPr>
                <m:t>it</m:t>
              </m:r>
            </m:sub>
            <m:sup>
              <m:r>
                <w:rPr>
                  <w:rFonts w:ascii="Cambria Math" w:hAnsi="Cambria Math" w:cstheme="majorBidi"/>
                  <w:sz w:val="24"/>
                  <w:szCs w:val="24"/>
                  <w:lang/>
                </w:rPr>
                <m:t>c</m:t>
              </m:r>
            </m:sup>
          </m:sSubSup>
          <m:r>
            <w:rPr>
              <w:rFonts w:ascii="Cambria Math" w:hAnsi="Cambria Math" w:cstheme="majorBidi"/>
              <w:sz w:val="24"/>
              <w:szCs w:val="24"/>
              <w:lang/>
            </w:rPr>
            <m:t>),</m:t>
          </m:r>
          <m:r>
            <w:rPr>
              <w:rFonts w:asciiTheme="majorBidi" w:hAnsiTheme="majorBidi" w:cstheme="majorBidi"/>
              <w:sz w:val="24"/>
              <w:szCs w:val="24"/>
              <w:lang/>
            </w:rPr>
            <w:br/>
          </m:r>
        </m:oMath>
      </m:oMathPara>
    </w:p>
    <w:p w14:paraId="4BC15780" w14:textId="2333B0BF" w:rsidR="00535197"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sz w:val="24"/>
          <w:szCs w:val="24"/>
          <w:lang/>
        </w:rPr>
        <w:t xml:space="preserve">where the superscript </w:t>
      </w:r>
      <m:oMath>
        <m:r>
          <w:rPr>
            <w:rFonts w:ascii="Cambria Math" w:hAnsi="Cambria Math" w:cstheme="majorBidi"/>
            <w:sz w:val="24"/>
            <w:szCs w:val="24"/>
            <w:lang/>
          </w:rPr>
          <m:t>c</m:t>
        </m:r>
      </m:oMath>
      <w:r w:rsidRPr="00535197">
        <w:rPr>
          <w:rFonts w:asciiTheme="majorBidi" w:hAnsiTheme="majorBidi" w:cstheme="majorBidi"/>
          <w:sz w:val="24"/>
          <w:szCs w:val="24"/>
          <w:lang/>
        </w:rPr>
        <w:t>denotes mean-centred variables.</w:t>
      </w:r>
    </w:p>
    <w:p w14:paraId="5346952D" w14:textId="77777777" w:rsidR="00535197"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sz w:val="24"/>
          <w:szCs w:val="24"/>
          <w:lang/>
        </w:rPr>
        <w:t xml:space="preserve">The quantile regressions are estimated as </w:t>
      </w:r>
      <w:r w:rsidRPr="00535197">
        <w:rPr>
          <w:rFonts w:asciiTheme="majorBidi" w:hAnsiTheme="majorBidi" w:cstheme="majorBidi"/>
          <w:sz w:val="24"/>
          <w:szCs w:val="24"/>
          <w:highlight w:val="yellow"/>
          <w:lang/>
        </w:rPr>
        <w:t>pooled panel quantile regressions</w:t>
      </w:r>
      <w:r w:rsidRPr="00535197">
        <w:rPr>
          <w:rFonts w:asciiTheme="majorBidi" w:hAnsiTheme="majorBidi" w:cstheme="majorBidi"/>
          <w:sz w:val="24"/>
          <w:szCs w:val="24"/>
          <w:lang/>
        </w:rPr>
        <w:t>, exploiting firm-year variation without introducing firm-specific fixed effects. This approach enables an examination of distributional heterogeneity in the debt–value relationship while maintaining parsimony given the sample size and avoiding the incidental-parameters problem associated with fixed-effects quantile estimators.</w:t>
      </w:r>
    </w:p>
    <w:p w14:paraId="55D5CAB8" w14:textId="385EE332" w:rsidR="00535197"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sz w:val="24"/>
          <w:szCs w:val="24"/>
          <w:lang/>
        </w:rPr>
        <w:t xml:space="preserve">Here, </w:t>
      </w:r>
      <m:oMath>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1</m:t>
            </m:r>
          </m:sub>
        </m:sSub>
        <m:r>
          <w:rPr>
            <w:rFonts w:ascii="Cambria Math" w:hAnsi="Cambria Math" w:cstheme="majorBidi"/>
            <w:sz w:val="24"/>
            <w:szCs w:val="24"/>
            <w:lang/>
          </w:rPr>
          <m:t>(τ)</m:t>
        </m:r>
      </m:oMath>
      <w:r w:rsidRPr="00535197">
        <w:rPr>
          <w:rFonts w:asciiTheme="majorBidi" w:hAnsiTheme="majorBidi" w:cstheme="majorBidi"/>
          <w:sz w:val="24"/>
          <w:szCs w:val="24"/>
          <w:lang/>
        </w:rPr>
        <w:t xml:space="preserve">and </w:t>
      </w:r>
      <m:oMath>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2</m:t>
            </m:r>
          </m:sub>
        </m:sSub>
        <m:r>
          <w:rPr>
            <w:rFonts w:ascii="Cambria Math" w:hAnsi="Cambria Math" w:cstheme="majorBidi"/>
            <w:sz w:val="24"/>
            <w:szCs w:val="24"/>
            <w:lang/>
          </w:rPr>
          <m:t>(τ)</m:t>
        </m:r>
      </m:oMath>
      <w:r w:rsidRPr="00535197">
        <w:rPr>
          <w:rFonts w:asciiTheme="majorBidi" w:hAnsiTheme="majorBidi" w:cstheme="majorBidi"/>
          <w:sz w:val="24"/>
          <w:szCs w:val="24"/>
          <w:lang/>
        </w:rPr>
        <w:t xml:space="preserve">capture the partial associations of short-term and long-term debt with shareholders’ wealth evaluated at the sample-mean cost of debt, while </w:t>
      </w:r>
      <m:oMath>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6</m:t>
            </m:r>
          </m:sub>
        </m:sSub>
        <m:r>
          <w:rPr>
            <w:rFonts w:ascii="Cambria Math" w:hAnsi="Cambria Math" w:cstheme="majorBidi"/>
            <w:sz w:val="24"/>
            <w:szCs w:val="24"/>
            <w:lang/>
          </w:rPr>
          <m:t>(τ)</m:t>
        </m:r>
      </m:oMath>
      <w:r w:rsidRPr="00535197">
        <w:rPr>
          <w:rFonts w:asciiTheme="majorBidi" w:hAnsiTheme="majorBidi" w:cstheme="majorBidi"/>
          <w:sz w:val="24"/>
          <w:szCs w:val="24"/>
          <w:lang/>
        </w:rPr>
        <w:t xml:space="preserve">and </w:t>
      </w:r>
      <m:oMath>
        <m:sSub>
          <m:sSubPr>
            <m:ctrlPr>
              <w:rPr>
                <w:rFonts w:ascii="Cambria Math" w:hAnsi="Cambria Math" w:cstheme="majorBidi"/>
                <w:sz w:val="24"/>
                <w:szCs w:val="24"/>
                <w:lang/>
              </w:rPr>
            </m:ctrlPr>
          </m:sSubPr>
          <m:e>
            <m:r>
              <w:rPr>
                <w:rFonts w:ascii="Cambria Math" w:hAnsi="Cambria Math" w:cstheme="majorBidi"/>
                <w:sz w:val="24"/>
                <w:szCs w:val="24"/>
                <w:lang/>
              </w:rPr>
              <m:t>β</m:t>
            </m:r>
          </m:e>
          <m:sub>
            <m:r>
              <w:rPr>
                <w:rFonts w:ascii="Cambria Math" w:hAnsi="Cambria Math" w:cstheme="majorBidi"/>
                <w:sz w:val="24"/>
                <w:szCs w:val="24"/>
                <w:lang/>
              </w:rPr>
              <m:t>7</m:t>
            </m:r>
          </m:sub>
        </m:sSub>
        <m:r>
          <w:rPr>
            <w:rFonts w:ascii="Cambria Math" w:hAnsi="Cambria Math" w:cstheme="majorBidi"/>
            <w:sz w:val="24"/>
            <w:szCs w:val="24"/>
            <w:lang/>
          </w:rPr>
          <m:t>(τ)</m:t>
        </m:r>
      </m:oMath>
      <w:r w:rsidRPr="00535197">
        <w:rPr>
          <w:rFonts w:asciiTheme="majorBidi" w:hAnsiTheme="majorBidi" w:cstheme="majorBidi"/>
          <w:sz w:val="24"/>
          <w:szCs w:val="24"/>
          <w:lang/>
        </w:rPr>
        <w:t xml:space="preserve">measure how those associations vary with prevailing borrowing costs. </w:t>
      </w:r>
      <m:oMath>
        <m:sSub>
          <m:sSubPr>
            <m:ctrlPr>
              <w:rPr>
                <w:rFonts w:ascii="Cambria Math" w:hAnsi="Cambria Math" w:cstheme="majorBidi"/>
                <w:sz w:val="24"/>
                <w:szCs w:val="24"/>
                <w:lang/>
              </w:rPr>
            </m:ctrlPr>
          </m:sSubPr>
          <m:e>
            <m:r>
              <w:rPr>
                <w:rFonts w:ascii="Cambria Math" w:hAnsi="Cambria Math" w:cstheme="majorBidi"/>
                <w:sz w:val="24"/>
                <w:szCs w:val="24"/>
                <w:lang/>
              </w:rPr>
              <m:t>X</m:t>
            </m:r>
          </m:e>
          <m:sub>
            <m:r>
              <w:rPr>
                <w:rFonts w:ascii="Cambria Math" w:hAnsi="Cambria Math" w:cstheme="majorBidi"/>
                <w:sz w:val="24"/>
                <w:szCs w:val="24"/>
                <w:lang/>
              </w:rPr>
              <m:t>it</m:t>
            </m:r>
          </m:sub>
        </m:sSub>
      </m:oMath>
      <w:r w:rsidRPr="00535197">
        <w:rPr>
          <w:rFonts w:asciiTheme="majorBidi" w:hAnsiTheme="majorBidi" w:cstheme="majorBidi"/>
          <w:sz w:val="24"/>
          <w:szCs w:val="24"/>
          <w:lang/>
        </w:rPr>
        <w:t>denotes the vector of regressors.</w:t>
      </w:r>
    </w:p>
    <w:p w14:paraId="05CED9DA" w14:textId="77777777" w:rsidR="00535197" w:rsidRPr="00535197" w:rsidRDefault="00535197" w:rsidP="00535197">
      <w:pPr>
        <w:jc w:val="both"/>
        <w:rPr>
          <w:rFonts w:asciiTheme="majorBidi" w:hAnsiTheme="majorBidi" w:cstheme="majorBidi"/>
          <w:b/>
          <w:bCs/>
          <w:sz w:val="24"/>
          <w:szCs w:val="24"/>
          <w:lang/>
        </w:rPr>
      </w:pPr>
      <w:r w:rsidRPr="00535197">
        <w:rPr>
          <w:rFonts w:asciiTheme="majorBidi" w:hAnsiTheme="majorBidi" w:cstheme="majorBidi"/>
          <w:b/>
          <w:bCs/>
          <w:sz w:val="24"/>
          <w:szCs w:val="24"/>
          <w:lang/>
        </w:rPr>
        <w:t>Estimation and diagnostics</w:t>
      </w:r>
    </w:p>
    <w:p w14:paraId="4809A7FC" w14:textId="4D5EC088" w:rsidR="00B20186" w:rsidRPr="00535197" w:rsidRDefault="00535197" w:rsidP="00535197">
      <w:pPr>
        <w:jc w:val="both"/>
        <w:rPr>
          <w:rFonts w:asciiTheme="majorBidi" w:hAnsiTheme="majorBidi" w:cstheme="majorBidi"/>
          <w:sz w:val="24"/>
          <w:szCs w:val="24"/>
          <w:lang/>
        </w:rPr>
      </w:pPr>
      <w:r w:rsidRPr="00535197">
        <w:rPr>
          <w:rFonts w:asciiTheme="majorBidi" w:hAnsiTheme="majorBidi" w:cstheme="majorBidi"/>
          <w:sz w:val="24"/>
          <w:szCs w:val="24"/>
          <w:lang/>
        </w:rPr>
        <w:t xml:space="preserve">Inference for the pooled OLS model relies on heteroskedasticity-robust standard errors clustered at the firm level; model fit is summarised using </w:t>
      </w:r>
      <m:oMath>
        <m:sSup>
          <m:sSupPr>
            <m:ctrlPr>
              <w:rPr>
                <w:rFonts w:ascii="Cambria Math" w:hAnsi="Cambria Math" w:cstheme="majorBidi"/>
                <w:sz w:val="24"/>
                <w:szCs w:val="24"/>
                <w:lang/>
              </w:rPr>
            </m:ctrlPr>
          </m:sSupPr>
          <m:e>
            <m:r>
              <w:rPr>
                <w:rFonts w:ascii="Cambria Math" w:hAnsi="Cambria Math" w:cstheme="majorBidi"/>
                <w:sz w:val="24"/>
                <w:szCs w:val="24"/>
                <w:lang/>
              </w:rPr>
              <m:t>R</m:t>
            </m:r>
          </m:e>
          <m:sup>
            <m:r>
              <w:rPr>
                <w:rFonts w:ascii="Cambria Math" w:hAnsi="Cambria Math" w:cstheme="majorBidi"/>
                <w:sz w:val="24"/>
                <w:szCs w:val="24"/>
                <w:lang/>
              </w:rPr>
              <m:t>2</m:t>
            </m:r>
          </m:sup>
        </m:sSup>
      </m:oMath>
      <w:r w:rsidRPr="00535197">
        <w:rPr>
          <w:rFonts w:asciiTheme="majorBidi" w:hAnsiTheme="majorBidi" w:cstheme="majorBidi"/>
          <w:sz w:val="24"/>
          <w:szCs w:val="24"/>
          <w:lang/>
        </w:rPr>
        <w:t>and the root mean squared error. Quantile regression estimates are obtained using Koenker–Bassett heteroskedasticity-robust standard errors, with model fit summarised by pseudo-</w:t>
      </w:r>
      <m:oMath>
        <m:sSup>
          <m:sSupPr>
            <m:ctrlPr>
              <w:rPr>
                <w:rFonts w:ascii="Cambria Math" w:hAnsi="Cambria Math" w:cstheme="majorBidi"/>
                <w:sz w:val="24"/>
                <w:szCs w:val="24"/>
                <w:lang/>
              </w:rPr>
            </m:ctrlPr>
          </m:sSupPr>
          <m:e>
            <m:r>
              <w:rPr>
                <w:rFonts w:ascii="Cambria Math" w:hAnsi="Cambria Math" w:cstheme="majorBidi"/>
                <w:sz w:val="24"/>
                <w:szCs w:val="24"/>
                <w:lang/>
              </w:rPr>
              <m:t>R</m:t>
            </m:r>
          </m:e>
          <m:sup>
            <m:r>
              <w:rPr>
                <w:rFonts w:ascii="Cambria Math" w:hAnsi="Cambria Math" w:cstheme="majorBidi"/>
                <w:sz w:val="24"/>
                <w:szCs w:val="24"/>
                <w:lang/>
              </w:rPr>
              <m:t>2</m:t>
            </m:r>
          </m:sup>
        </m:sSup>
      </m:oMath>
      <w:r w:rsidRPr="00535197">
        <w:rPr>
          <w:rFonts w:asciiTheme="majorBidi" w:hAnsiTheme="majorBidi" w:cstheme="majorBidi"/>
          <w:sz w:val="24"/>
          <w:szCs w:val="24"/>
          <w:lang/>
        </w:rPr>
        <w:t>. Prior to introducing interaction terms, Variance Inflation Factors indicate acceptable multicollinearity; mean-centring the debt variables maintains VIFs within conventional bounds once interactions are included. The results are robust to alternative winsorisation cut-offs and to re-estimating the models without interaction terms.</w:t>
      </w:r>
    </w:p>
    <w:p w14:paraId="357E3954" w14:textId="59C6BEC7" w:rsidR="00B20186" w:rsidRPr="002C4AAF" w:rsidRDefault="00B20186" w:rsidP="00BE74F6">
      <w:pPr>
        <w:pStyle w:val="Heading1"/>
        <w:rPr>
          <w:rFonts w:asciiTheme="majorBidi" w:hAnsiTheme="majorBidi"/>
          <w:b/>
          <w:bCs/>
          <w:color w:val="auto"/>
          <w:sz w:val="24"/>
          <w:szCs w:val="24"/>
          <w:lang w:val="en-IN"/>
        </w:rPr>
      </w:pPr>
      <w:r w:rsidRPr="004914E6">
        <w:rPr>
          <w:rFonts w:asciiTheme="majorBidi" w:hAnsiTheme="majorBidi"/>
          <w:b/>
          <w:bCs/>
          <w:color w:val="auto"/>
          <w:sz w:val="24"/>
          <w:szCs w:val="24"/>
        </w:rPr>
        <w:lastRenderedPageBreak/>
        <w:t>4. Results</w:t>
      </w:r>
      <w:r w:rsidR="002C4AAF">
        <w:rPr>
          <w:rFonts w:asciiTheme="majorBidi" w:hAnsiTheme="majorBidi"/>
          <w:b/>
          <w:bCs/>
          <w:color w:val="auto"/>
          <w:sz w:val="24"/>
          <w:szCs w:val="24"/>
          <w:lang w:val="en-IN"/>
        </w:rPr>
        <w:t xml:space="preserve"> and di</w:t>
      </w:r>
      <w:r w:rsidR="000A1C8A">
        <w:rPr>
          <w:rFonts w:asciiTheme="majorBidi" w:hAnsiTheme="majorBidi"/>
          <w:b/>
          <w:bCs/>
          <w:color w:val="auto"/>
          <w:sz w:val="24"/>
          <w:szCs w:val="24"/>
          <w:lang w:val="en-IN"/>
        </w:rPr>
        <w:t>sc</w:t>
      </w:r>
      <w:r w:rsidR="002C4AAF">
        <w:rPr>
          <w:rFonts w:asciiTheme="majorBidi" w:hAnsiTheme="majorBidi"/>
          <w:b/>
          <w:bCs/>
          <w:color w:val="auto"/>
          <w:sz w:val="24"/>
          <w:szCs w:val="24"/>
          <w:lang w:val="en-IN"/>
        </w:rPr>
        <w:t>ussion</w:t>
      </w:r>
    </w:p>
    <w:p w14:paraId="60F12A6C" w14:textId="77777777" w:rsidR="00BE74F6" w:rsidRPr="004914E6" w:rsidRDefault="00BE74F6" w:rsidP="00BE74F6">
      <w:pPr>
        <w:pStyle w:val="Heading2"/>
        <w:rPr>
          <w:rFonts w:asciiTheme="majorBidi" w:hAnsiTheme="majorBidi"/>
          <w:b/>
          <w:bCs/>
          <w:color w:val="auto"/>
          <w:sz w:val="24"/>
          <w:szCs w:val="24"/>
        </w:rPr>
      </w:pPr>
      <w:r w:rsidRPr="004914E6">
        <w:rPr>
          <w:rFonts w:asciiTheme="majorBidi" w:hAnsiTheme="majorBidi"/>
          <w:b/>
          <w:bCs/>
          <w:color w:val="auto"/>
          <w:sz w:val="24"/>
          <w:szCs w:val="24"/>
        </w:rPr>
        <w:t>4.1 Descriptive statistics</w:t>
      </w:r>
    </w:p>
    <w:p w14:paraId="1EF54EE6" w14:textId="7EF9357D" w:rsidR="00BE74F6" w:rsidRPr="004914E6" w:rsidRDefault="004B6009" w:rsidP="004B6009">
      <w:pPr>
        <w:jc w:val="both"/>
        <w:rPr>
          <w:rFonts w:asciiTheme="majorBidi" w:hAnsiTheme="majorBidi" w:cstheme="majorBidi"/>
          <w:sz w:val="24"/>
          <w:szCs w:val="24"/>
        </w:rPr>
      </w:pPr>
      <w:r w:rsidRPr="004914E6">
        <w:rPr>
          <w:rFonts w:asciiTheme="majorBidi" w:hAnsiTheme="majorBidi" w:cstheme="majorBidi"/>
          <w:sz w:val="24"/>
          <w:szCs w:val="24"/>
        </w:rPr>
        <w:t>This section summarises the variables employed in the subsequent mean and distributional analyses (pooled OLS and quantile regressions at τ = 0.25, 0.50, 0.75). Table 1 reports observations, means, standard deviations and ranges for shareholders’ wealth (SHW), short-term debt (STD), long-term debt (LTD), cost of debt (COD), profitability (PROF) and firm size (FSIZE). The sample comprises 473 firm-year observations for listed Nigerian manufacturers. SHW averages 0.1595 with a standard deviation of 0.0248 and ranges from 0.1083 to 0.2221, indicating moderate dispersion in market valuation. Both leverage measures have low means—STD at 0.0104 and LTD at 0.0056—consistent with restrained use of interest-bearing debt. COD averages 0.0343 (3.43 per cent), with sizeable dispersion (0.0387) and an upper bound of 0.2287, signalling heterogeneous financing conditions across firms and over time. PROF averages 0.0055 with a relatively large standard deviation (0.0748), and the minimum of −0.9894 confirms loss-making years in the panel. FSIZE averages 0.1645 and spans 0.1096 to 0.2168, reflecting a mix of smaller and larger issuers.</w:t>
      </w:r>
    </w:p>
    <w:p w14:paraId="43E082FB" w14:textId="66218ECB" w:rsidR="00BE74F6" w:rsidRPr="004914E6" w:rsidRDefault="00BE74F6" w:rsidP="00BE74F6">
      <w:pPr>
        <w:jc w:val="both"/>
        <w:rPr>
          <w:rFonts w:asciiTheme="majorBidi" w:hAnsiTheme="majorBidi" w:cstheme="majorBidi"/>
          <w:b/>
          <w:bCs/>
          <w:sz w:val="24"/>
          <w:szCs w:val="24"/>
        </w:rPr>
      </w:pPr>
      <w:r w:rsidRPr="004914E6">
        <w:rPr>
          <w:rFonts w:asciiTheme="majorBidi" w:hAnsiTheme="majorBidi" w:cstheme="majorBidi"/>
          <w:b/>
          <w:bCs/>
          <w:sz w:val="24"/>
          <w:szCs w:val="24"/>
        </w:rPr>
        <w:t>Table 1. Descriptive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630"/>
        <w:gridCol w:w="876"/>
        <w:gridCol w:w="1130"/>
        <w:gridCol w:w="956"/>
        <w:gridCol w:w="876"/>
      </w:tblGrid>
      <w:tr w:rsidR="00BE74F6" w:rsidRPr="004914E6" w14:paraId="3DFDB937" w14:textId="77777777" w:rsidTr="00916C95">
        <w:tc>
          <w:tcPr>
            <w:tcW w:w="0" w:type="auto"/>
            <w:tcBorders>
              <w:top w:val="single" w:sz="4" w:space="0" w:color="auto"/>
              <w:bottom w:val="single" w:sz="4" w:space="0" w:color="auto"/>
            </w:tcBorders>
            <w:hideMark/>
          </w:tcPr>
          <w:p w14:paraId="170D9E38"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007B8551" w14:textId="77777777" w:rsidR="00BE74F6" w:rsidRPr="004914E6" w:rsidRDefault="00BE74F6" w:rsidP="00916C95">
            <w:pPr>
              <w:spacing w:after="160" w:line="259" w:lineRule="auto"/>
              <w:jc w:val="both"/>
              <w:rPr>
                <w:rFonts w:asciiTheme="majorBidi" w:hAnsiTheme="majorBidi" w:cstheme="majorBidi"/>
                <w:b/>
                <w:bCs/>
                <w:sz w:val="24"/>
                <w:szCs w:val="24"/>
              </w:rPr>
            </w:pPr>
            <w:proofErr w:type="spellStart"/>
            <w:r w:rsidRPr="004914E6">
              <w:rPr>
                <w:rFonts w:asciiTheme="majorBidi" w:hAnsiTheme="majorBidi" w:cstheme="majorBidi"/>
                <w:b/>
                <w:bCs/>
                <w:sz w:val="24"/>
                <w:szCs w:val="24"/>
              </w:rPr>
              <w:t>Obs</w:t>
            </w:r>
            <w:proofErr w:type="spellEnd"/>
          </w:p>
        </w:tc>
        <w:tc>
          <w:tcPr>
            <w:tcW w:w="0" w:type="auto"/>
            <w:tcBorders>
              <w:top w:val="single" w:sz="4" w:space="0" w:color="auto"/>
              <w:bottom w:val="single" w:sz="4" w:space="0" w:color="auto"/>
            </w:tcBorders>
            <w:hideMark/>
          </w:tcPr>
          <w:p w14:paraId="1DB62608"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Mean</w:t>
            </w:r>
          </w:p>
        </w:tc>
        <w:tc>
          <w:tcPr>
            <w:tcW w:w="0" w:type="auto"/>
            <w:tcBorders>
              <w:top w:val="single" w:sz="4" w:space="0" w:color="auto"/>
              <w:bottom w:val="single" w:sz="4" w:space="0" w:color="auto"/>
            </w:tcBorders>
            <w:hideMark/>
          </w:tcPr>
          <w:p w14:paraId="6FDDBDD2"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Std. Dev.</w:t>
            </w:r>
          </w:p>
        </w:tc>
        <w:tc>
          <w:tcPr>
            <w:tcW w:w="0" w:type="auto"/>
            <w:tcBorders>
              <w:top w:val="single" w:sz="4" w:space="0" w:color="auto"/>
              <w:bottom w:val="single" w:sz="4" w:space="0" w:color="auto"/>
            </w:tcBorders>
            <w:hideMark/>
          </w:tcPr>
          <w:p w14:paraId="28C8207B"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Min</w:t>
            </w:r>
          </w:p>
        </w:tc>
        <w:tc>
          <w:tcPr>
            <w:tcW w:w="0" w:type="auto"/>
            <w:tcBorders>
              <w:top w:val="single" w:sz="4" w:space="0" w:color="auto"/>
              <w:bottom w:val="single" w:sz="4" w:space="0" w:color="auto"/>
            </w:tcBorders>
            <w:hideMark/>
          </w:tcPr>
          <w:p w14:paraId="2092E23B"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Max</w:t>
            </w:r>
          </w:p>
        </w:tc>
      </w:tr>
      <w:tr w:rsidR="00BE74F6" w:rsidRPr="004914E6" w14:paraId="70BAA9AD" w14:textId="77777777" w:rsidTr="00916C95">
        <w:tc>
          <w:tcPr>
            <w:tcW w:w="0" w:type="auto"/>
            <w:tcBorders>
              <w:top w:val="single" w:sz="4" w:space="0" w:color="auto"/>
            </w:tcBorders>
            <w:hideMark/>
          </w:tcPr>
          <w:p w14:paraId="49B74D4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SHW</w:t>
            </w:r>
          </w:p>
        </w:tc>
        <w:tc>
          <w:tcPr>
            <w:tcW w:w="0" w:type="auto"/>
            <w:tcBorders>
              <w:top w:val="single" w:sz="4" w:space="0" w:color="auto"/>
            </w:tcBorders>
            <w:hideMark/>
          </w:tcPr>
          <w:p w14:paraId="181C253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tcBorders>
              <w:top w:val="single" w:sz="4" w:space="0" w:color="auto"/>
            </w:tcBorders>
            <w:hideMark/>
          </w:tcPr>
          <w:p w14:paraId="0ACB631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0.1595</w:t>
            </w:r>
          </w:p>
        </w:tc>
        <w:tc>
          <w:tcPr>
            <w:tcW w:w="0" w:type="auto"/>
            <w:tcBorders>
              <w:top w:val="single" w:sz="4" w:space="0" w:color="auto"/>
            </w:tcBorders>
            <w:hideMark/>
          </w:tcPr>
          <w:p w14:paraId="37A5ACE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0.0248</w:t>
            </w:r>
          </w:p>
        </w:tc>
        <w:tc>
          <w:tcPr>
            <w:tcW w:w="0" w:type="auto"/>
            <w:tcBorders>
              <w:top w:val="single" w:sz="4" w:space="0" w:color="auto"/>
            </w:tcBorders>
            <w:hideMark/>
          </w:tcPr>
          <w:p w14:paraId="69E7905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0.1083</w:t>
            </w:r>
          </w:p>
        </w:tc>
        <w:tc>
          <w:tcPr>
            <w:tcW w:w="0" w:type="auto"/>
            <w:tcBorders>
              <w:top w:val="single" w:sz="4" w:space="0" w:color="auto"/>
            </w:tcBorders>
            <w:hideMark/>
          </w:tcPr>
          <w:p w14:paraId="7399DCD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0.2221</w:t>
            </w:r>
          </w:p>
        </w:tc>
      </w:tr>
      <w:tr w:rsidR="00BE74F6" w:rsidRPr="004914E6" w14:paraId="73A950F5" w14:textId="77777777" w:rsidTr="00916C95">
        <w:tc>
          <w:tcPr>
            <w:tcW w:w="0" w:type="auto"/>
            <w:hideMark/>
          </w:tcPr>
          <w:p w14:paraId="440C563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STD</w:t>
            </w:r>
          </w:p>
        </w:tc>
        <w:tc>
          <w:tcPr>
            <w:tcW w:w="0" w:type="auto"/>
            <w:hideMark/>
          </w:tcPr>
          <w:p w14:paraId="2855873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74319BD3"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0.0104</w:t>
            </w:r>
          </w:p>
        </w:tc>
        <w:tc>
          <w:tcPr>
            <w:tcW w:w="0" w:type="auto"/>
            <w:hideMark/>
          </w:tcPr>
          <w:p w14:paraId="2E33F31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0.0289</w:t>
            </w:r>
          </w:p>
        </w:tc>
        <w:tc>
          <w:tcPr>
            <w:tcW w:w="0" w:type="auto"/>
            <w:hideMark/>
          </w:tcPr>
          <w:p w14:paraId="1A01F34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0.0002</w:t>
            </w:r>
          </w:p>
        </w:tc>
        <w:tc>
          <w:tcPr>
            <w:tcW w:w="0" w:type="auto"/>
            <w:hideMark/>
          </w:tcPr>
          <w:p w14:paraId="57DDD10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0.1699</w:t>
            </w:r>
          </w:p>
        </w:tc>
      </w:tr>
      <w:tr w:rsidR="00BE74F6" w:rsidRPr="004914E6" w14:paraId="4E716374" w14:textId="77777777" w:rsidTr="00916C95">
        <w:tc>
          <w:tcPr>
            <w:tcW w:w="0" w:type="auto"/>
            <w:hideMark/>
          </w:tcPr>
          <w:p w14:paraId="4193CF8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LTD</w:t>
            </w:r>
          </w:p>
        </w:tc>
        <w:tc>
          <w:tcPr>
            <w:tcW w:w="0" w:type="auto"/>
            <w:hideMark/>
          </w:tcPr>
          <w:p w14:paraId="5E8D1FB8"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6706C017"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0.0056</w:t>
            </w:r>
          </w:p>
        </w:tc>
        <w:tc>
          <w:tcPr>
            <w:tcW w:w="0" w:type="auto"/>
            <w:hideMark/>
          </w:tcPr>
          <w:p w14:paraId="090421E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0.0247</w:t>
            </w:r>
          </w:p>
        </w:tc>
        <w:tc>
          <w:tcPr>
            <w:tcW w:w="0" w:type="auto"/>
            <w:hideMark/>
          </w:tcPr>
          <w:p w14:paraId="7E964654"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0.0000</w:t>
            </w:r>
          </w:p>
        </w:tc>
        <w:tc>
          <w:tcPr>
            <w:tcW w:w="0" w:type="auto"/>
            <w:hideMark/>
          </w:tcPr>
          <w:p w14:paraId="6614FE6C"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0.1649</w:t>
            </w:r>
          </w:p>
        </w:tc>
      </w:tr>
      <w:tr w:rsidR="00BE74F6" w:rsidRPr="004914E6" w14:paraId="1C6B24EC" w14:textId="77777777" w:rsidTr="00916C95">
        <w:tc>
          <w:tcPr>
            <w:tcW w:w="0" w:type="auto"/>
            <w:hideMark/>
          </w:tcPr>
          <w:p w14:paraId="6F013A6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COD</w:t>
            </w:r>
          </w:p>
        </w:tc>
        <w:tc>
          <w:tcPr>
            <w:tcW w:w="0" w:type="auto"/>
            <w:hideMark/>
          </w:tcPr>
          <w:p w14:paraId="1D2A2C0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75E8D63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0.0343</w:t>
            </w:r>
          </w:p>
        </w:tc>
        <w:tc>
          <w:tcPr>
            <w:tcW w:w="0" w:type="auto"/>
            <w:hideMark/>
          </w:tcPr>
          <w:p w14:paraId="006E3674"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0.0387</w:t>
            </w:r>
          </w:p>
        </w:tc>
        <w:tc>
          <w:tcPr>
            <w:tcW w:w="0" w:type="auto"/>
            <w:hideMark/>
          </w:tcPr>
          <w:p w14:paraId="1F2B9E0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0.0000</w:t>
            </w:r>
          </w:p>
        </w:tc>
        <w:tc>
          <w:tcPr>
            <w:tcW w:w="0" w:type="auto"/>
            <w:hideMark/>
          </w:tcPr>
          <w:p w14:paraId="675AAB5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0.2287</w:t>
            </w:r>
          </w:p>
        </w:tc>
      </w:tr>
      <w:tr w:rsidR="00BE74F6" w:rsidRPr="004914E6" w14:paraId="2101D821" w14:textId="77777777" w:rsidTr="00916C95">
        <w:tc>
          <w:tcPr>
            <w:tcW w:w="0" w:type="auto"/>
            <w:hideMark/>
          </w:tcPr>
          <w:p w14:paraId="55742F7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PROF</w:t>
            </w:r>
          </w:p>
        </w:tc>
        <w:tc>
          <w:tcPr>
            <w:tcW w:w="0" w:type="auto"/>
            <w:hideMark/>
          </w:tcPr>
          <w:p w14:paraId="654E289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02774D4C"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0.0055</w:t>
            </w:r>
          </w:p>
        </w:tc>
        <w:tc>
          <w:tcPr>
            <w:tcW w:w="0" w:type="auto"/>
            <w:hideMark/>
          </w:tcPr>
          <w:p w14:paraId="35DD116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0.0748</w:t>
            </w:r>
          </w:p>
        </w:tc>
        <w:tc>
          <w:tcPr>
            <w:tcW w:w="0" w:type="auto"/>
            <w:hideMark/>
          </w:tcPr>
          <w:p w14:paraId="7CF2AB5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-0.9894</w:t>
            </w:r>
          </w:p>
        </w:tc>
        <w:tc>
          <w:tcPr>
            <w:tcW w:w="0" w:type="auto"/>
            <w:hideMark/>
          </w:tcPr>
          <w:p w14:paraId="04A3F53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0.2557</w:t>
            </w:r>
          </w:p>
        </w:tc>
      </w:tr>
      <w:tr w:rsidR="00BE74F6" w:rsidRPr="004914E6" w14:paraId="22672082" w14:textId="77777777" w:rsidTr="00916C95">
        <w:tc>
          <w:tcPr>
            <w:tcW w:w="0" w:type="auto"/>
            <w:hideMark/>
          </w:tcPr>
          <w:p w14:paraId="5ECD2B7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FSIZE</w:t>
            </w:r>
          </w:p>
        </w:tc>
        <w:tc>
          <w:tcPr>
            <w:tcW w:w="0" w:type="auto"/>
            <w:hideMark/>
          </w:tcPr>
          <w:p w14:paraId="0009B7B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0FD9E3D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0.1645</w:t>
            </w:r>
          </w:p>
        </w:tc>
        <w:tc>
          <w:tcPr>
            <w:tcW w:w="0" w:type="auto"/>
            <w:hideMark/>
          </w:tcPr>
          <w:p w14:paraId="35075CD8"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0.0221</w:t>
            </w:r>
          </w:p>
        </w:tc>
        <w:tc>
          <w:tcPr>
            <w:tcW w:w="0" w:type="auto"/>
            <w:hideMark/>
          </w:tcPr>
          <w:p w14:paraId="76819D8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0.1096</w:t>
            </w:r>
          </w:p>
        </w:tc>
        <w:tc>
          <w:tcPr>
            <w:tcW w:w="0" w:type="auto"/>
            <w:hideMark/>
          </w:tcPr>
          <w:p w14:paraId="6584601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0.2168</w:t>
            </w:r>
          </w:p>
        </w:tc>
      </w:tr>
    </w:tbl>
    <w:p w14:paraId="6956E002" w14:textId="77777777" w:rsidR="00BE74F6" w:rsidRPr="004914E6" w:rsidRDefault="00BE74F6" w:rsidP="00BE74F6">
      <w:pPr>
        <w:jc w:val="both"/>
        <w:rPr>
          <w:rFonts w:asciiTheme="majorBidi" w:hAnsiTheme="majorBidi" w:cstheme="majorBidi"/>
          <w:i/>
          <w:iCs/>
          <w:sz w:val="24"/>
          <w:szCs w:val="24"/>
        </w:rPr>
      </w:pPr>
      <w:r w:rsidRPr="004914E6">
        <w:rPr>
          <w:rFonts w:asciiTheme="majorBidi" w:hAnsiTheme="majorBidi" w:cstheme="majorBidi"/>
          <w:i/>
          <w:iCs/>
          <w:sz w:val="24"/>
          <w:szCs w:val="24"/>
        </w:rPr>
        <w:t>Source: Processed in Stata 19.5 (2025)</w:t>
      </w:r>
    </w:p>
    <w:p w14:paraId="44DCA330" w14:textId="51DC61D6" w:rsidR="00BE74F6" w:rsidRPr="004914E6" w:rsidRDefault="00EE5E98" w:rsidP="00EE5E98">
      <w:pPr>
        <w:jc w:val="both"/>
        <w:rPr>
          <w:rFonts w:asciiTheme="majorBidi" w:hAnsiTheme="majorBidi" w:cstheme="majorBidi"/>
          <w:sz w:val="24"/>
          <w:szCs w:val="24"/>
        </w:rPr>
      </w:pPr>
      <w:r w:rsidRPr="004914E6">
        <w:rPr>
          <w:rFonts w:asciiTheme="majorBidi" w:hAnsiTheme="majorBidi" w:cstheme="majorBidi"/>
          <w:sz w:val="24"/>
          <w:szCs w:val="24"/>
        </w:rPr>
        <w:t>Taken together, low average leverage alongside non-trivial borrowing costs and wide dispersion in profitability is consistent with a high-cost financing environment in which firms lean more on internal funds and equity while using debt selectively. The breadth of firm size indicates that the ensuing analyses speak to a representative cross-section of listed manufacturers</w:t>
      </w:r>
      <w:r w:rsidR="00BE74F6" w:rsidRPr="004914E6">
        <w:rPr>
          <w:rFonts w:asciiTheme="majorBidi" w:hAnsiTheme="majorBidi" w:cstheme="majorBidi"/>
          <w:sz w:val="24"/>
          <w:szCs w:val="24"/>
        </w:rPr>
        <w:t>.</w:t>
      </w:r>
    </w:p>
    <w:p w14:paraId="5F6D48F2" w14:textId="77777777" w:rsidR="00BE74F6" w:rsidRPr="004914E6" w:rsidRDefault="00BE74F6" w:rsidP="00077E13">
      <w:pPr>
        <w:pStyle w:val="Heading2"/>
        <w:rPr>
          <w:rFonts w:asciiTheme="majorBidi" w:hAnsiTheme="majorBidi"/>
          <w:b/>
          <w:bCs/>
          <w:color w:val="auto"/>
          <w:sz w:val="24"/>
          <w:szCs w:val="24"/>
        </w:rPr>
      </w:pPr>
      <w:r w:rsidRPr="004914E6">
        <w:rPr>
          <w:rFonts w:asciiTheme="majorBidi" w:hAnsiTheme="majorBidi"/>
          <w:b/>
          <w:bCs/>
          <w:color w:val="auto"/>
          <w:sz w:val="24"/>
          <w:szCs w:val="24"/>
        </w:rPr>
        <w:t>4.2 Correlation matrix</w:t>
      </w:r>
    </w:p>
    <w:p w14:paraId="60829B3E" w14:textId="53807F07" w:rsidR="00BE74F6" w:rsidRPr="004914E6" w:rsidRDefault="000F525F" w:rsidP="000F525F">
      <w:pPr>
        <w:jc w:val="both"/>
        <w:rPr>
          <w:rFonts w:asciiTheme="majorBidi" w:hAnsiTheme="majorBidi" w:cstheme="majorBidi"/>
          <w:sz w:val="24"/>
          <w:szCs w:val="24"/>
        </w:rPr>
      </w:pPr>
      <w:r w:rsidRPr="004914E6">
        <w:rPr>
          <w:rFonts w:asciiTheme="majorBidi" w:hAnsiTheme="majorBidi" w:cstheme="majorBidi"/>
          <w:sz w:val="24"/>
          <w:szCs w:val="24"/>
        </w:rPr>
        <w:t>Pairwise correlations offer an initial view of linear associations and a screen for potential multicollinearity prior to regression analysis. Table 2 shows a strong positive correlation between SHW and FSIZE (0.844), consistent with larger firms attracting higher market valuation. STD and LTD are highly correlated (0.860), signalling possible multicollinearity when both appear in the same specification. Correlations between the two debt measures and SHW are small and negative, while COD exhibits near-zero association with most variables. These patterns motivate formal multicollinearity checks and justify mean-centring the debt ratios used in interactions for the quantile models</w:t>
      </w:r>
      <w:r w:rsidR="00BE74F6" w:rsidRPr="004914E6">
        <w:rPr>
          <w:rFonts w:asciiTheme="majorBidi" w:hAnsiTheme="majorBidi" w:cstheme="majorBidi"/>
          <w:sz w:val="24"/>
          <w:szCs w:val="24"/>
        </w:rPr>
        <w:t>.</w:t>
      </w:r>
    </w:p>
    <w:p w14:paraId="0D8A8B31" w14:textId="2E2963D1" w:rsidR="00BE74F6" w:rsidRPr="004914E6" w:rsidRDefault="00BE74F6" w:rsidP="00BE74F6">
      <w:pPr>
        <w:jc w:val="both"/>
        <w:rPr>
          <w:rFonts w:asciiTheme="majorBidi" w:hAnsiTheme="majorBidi" w:cstheme="majorBidi"/>
          <w:b/>
          <w:bCs/>
          <w:sz w:val="24"/>
          <w:szCs w:val="24"/>
        </w:rPr>
      </w:pPr>
      <w:r w:rsidRPr="004914E6">
        <w:rPr>
          <w:rFonts w:asciiTheme="majorBidi" w:hAnsiTheme="majorBidi" w:cstheme="majorBidi"/>
          <w:b/>
          <w:bCs/>
          <w:sz w:val="24"/>
          <w:szCs w:val="24"/>
        </w:rPr>
        <w:t>Table 2. Correlation matrix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836"/>
        <w:gridCol w:w="836"/>
        <w:gridCol w:w="836"/>
        <w:gridCol w:w="836"/>
        <w:gridCol w:w="870"/>
        <w:gridCol w:w="910"/>
      </w:tblGrid>
      <w:tr w:rsidR="00BE74F6" w:rsidRPr="004914E6" w14:paraId="652E3DC5" w14:textId="77777777" w:rsidTr="00916C95">
        <w:tc>
          <w:tcPr>
            <w:tcW w:w="0" w:type="auto"/>
            <w:tcBorders>
              <w:top w:val="single" w:sz="4" w:space="0" w:color="auto"/>
              <w:bottom w:val="single" w:sz="4" w:space="0" w:color="auto"/>
            </w:tcBorders>
            <w:hideMark/>
          </w:tcPr>
          <w:p w14:paraId="170A9F56"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lastRenderedPageBreak/>
              <w:t>Variable</w:t>
            </w:r>
          </w:p>
        </w:tc>
        <w:tc>
          <w:tcPr>
            <w:tcW w:w="0" w:type="auto"/>
            <w:tcBorders>
              <w:top w:val="single" w:sz="4" w:space="0" w:color="auto"/>
              <w:bottom w:val="single" w:sz="4" w:space="0" w:color="auto"/>
            </w:tcBorders>
            <w:hideMark/>
          </w:tcPr>
          <w:p w14:paraId="0D8F5321"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SHW</w:t>
            </w:r>
          </w:p>
        </w:tc>
        <w:tc>
          <w:tcPr>
            <w:tcW w:w="0" w:type="auto"/>
            <w:tcBorders>
              <w:top w:val="single" w:sz="4" w:space="0" w:color="auto"/>
              <w:bottom w:val="single" w:sz="4" w:space="0" w:color="auto"/>
            </w:tcBorders>
            <w:hideMark/>
          </w:tcPr>
          <w:p w14:paraId="4E74C4E5"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STD</w:t>
            </w:r>
          </w:p>
        </w:tc>
        <w:tc>
          <w:tcPr>
            <w:tcW w:w="0" w:type="auto"/>
            <w:tcBorders>
              <w:top w:val="single" w:sz="4" w:space="0" w:color="auto"/>
              <w:bottom w:val="single" w:sz="4" w:space="0" w:color="auto"/>
            </w:tcBorders>
            <w:hideMark/>
          </w:tcPr>
          <w:p w14:paraId="70B26FF6"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LTD</w:t>
            </w:r>
          </w:p>
        </w:tc>
        <w:tc>
          <w:tcPr>
            <w:tcW w:w="0" w:type="auto"/>
            <w:tcBorders>
              <w:top w:val="single" w:sz="4" w:space="0" w:color="auto"/>
              <w:bottom w:val="single" w:sz="4" w:space="0" w:color="auto"/>
            </w:tcBorders>
            <w:hideMark/>
          </w:tcPr>
          <w:p w14:paraId="087E2A5B"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COD</w:t>
            </w:r>
          </w:p>
        </w:tc>
        <w:tc>
          <w:tcPr>
            <w:tcW w:w="0" w:type="auto"/>
            <w:tcBorders>
              <w:top w:val="single" w:sz="4" w:space="0" w:color="auto"/>
              <w:bottom w:val="single" w:sz="4" w:space="0" w:color="auto"/>
            </w:tcBorders>
            <w:hideMark/>
          </w:tcPr>
          <w:p w14:paraId="6B2B8D71"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PROF</w:t>
            </w:r>
          </w:p>
        </w:tc>
        <w:tc>
          <w:tcPr>
            <w:tcW w:w="0" w:type="auto"/>
            <w:tcBorders>
              <w:top w:val="single" w:sz="4" w:space="0" w:color="auto"/>
              <w:bottom w:val="single" w:sz="4" w:space="0" w:color="auto"/>
            </w:tcBorders>
            <w:hideMark/>
          </w:tcPr>
          <w:p w14:paraId="00DE2496"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FSIZE</w:t>
            </w:r>
          </w:p>
        </w:tc>
      </w:tr>
      <w:tr w:rsidR="00BE74F6" w:rsidRPr="004914E6" w14:paraId="4A1DD416" w14:textId="77777777" w:rsidTr="00916C95">
        <w:tc>
          <w:tcPr>
            <w:tcW w:w="0" w:type="auto"/>
            <w:tcBorders>
              <w:top w:val="single" w:sz="4" w:space="0" w:color="auto"/>
            </w:tcBorders>
            <w:hideMark/>
          </w:tcPr>
          <w:p w14:paraId="3A04A00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SHW</w:t>
            </w:r>
          </w:p>
        </w:tc>
        <w:tc>
          <w:tcPr>
            <w:tcW w:w="0" w:type="auto"/>
            <w:tcBorders>
              <w:top w:val="single" w:sz="4" w:space="0" w:color="auto"/>
            </w:tcBorders>
            <w:hideMark/>
          </w:tcPr>
          <w:p w14:paraId="5E7B522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tcBorders>
              <w:top w:val="single" w:sz="4" w:space="0" w:color="auto"/>
            </w:tcBorders>
            <w:hideMark/>
          </w:tcPr>
          <w:p w14:paraId="3C0C864D"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47891EC6"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726E73DC"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125FA846"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7AC747E3"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613C98FB" w14:textId="77777777" w:rsidTr="00916C95">
        <w:tc>
          <w:tcPr>
            <w:tcW w:w="0" w:type="auto"/>
            <w:hideMark/>
          </w:tcPr>
          <w:p w14:paraId="755E3D4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STD</w:t>
            </w:r>
          </w:p>
        </w:tc>
        <w:tc>
          <w:tcPr>
            <w:tcW w:w="0" w:type="auto"/>
            <w:hideMark/>
          </w:tcPr>
          <w:p w14:paraId="3B63006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-0.056</w:t>
            </w:r>
          </w:p>
        </w:tc>
        <w:tc>
          <w:tcPr>
            <w:tcW w:w="0" w:type="auto"/>
            <w:hideMark/>
          </w:tcPr>
          <w:p w14:paraId="601431D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01C8A93A"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0A10B851"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3E7BAF47"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2A001BF0"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148B0A1C" w14:textId="77777777" w:rsidTr="00916C95">
        <w:tc>
          <w:tcPr>
            <w:tcW w:w="0" w:type="auto"/>
            <w:hideMark/>
          </w:tcPr>
          <w:p w14:paraId="6CC5CA5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LTD</w:t>
            </w:r>
          </w:p>
        </w:tc>
        <w:tc>
          <w:tcPr>
            <w:tcW w:w="0" w:type="auto"/>
            <w:hideMark/>
          </w:tcPr>
          <w:p w14:paraId="7AF17BA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-0.040</w:t>
            </w:r>
          </w:p>
        </w:tc>
        <w:tc>
          <w:tcPr>
            <w:tcW w:w="0" w:type="auto"/>
            <w:hideMark/>
          </w:tcPr>
          <w:p w14:paraId="1D2160C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0.860</w:t>
            </w:r>
          </w:p>
        </w:tc>
        <w:tc>
          <w:tcPr>
            <w:tcW w:w="0" w:type="auto"/>
            <w:hideMark/>
          </w:tcPr>
          <w:p w14:paraId="248990A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4C7FF80A"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645B8480"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25F71FC8"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16A50007" w14:textId="77777777" w:rsidTr="00916C95">
        <w:tc>
          <w:tcPr>
            <w:tcW w:w="0" w:type="auto"/>
            <w:hideMark/>
          </w:tcPr>
          <w:p w14:paraId="350F8E78"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COD</w:t>
            </w:r>
          </w:p>
        </w:tc>
        <w:tc>
          <w:tcPr>
            <w:tcW w:w="0" w:type="auto"/>
            <w:hideMark/>
          </w:tcPr>
          <w:p w14:paraId="30D9513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-0.055</w:t>
            </w:r>
          </w:p>
        </w:tc>
        <w:tc>
          <w:tcPr>
            <w:tcW w:w="0" w:type="auto"/>
            <w:hideMark/>
          </w:tcPr>
          <w:p w14:paraId="1C0D4043"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-0.062</w:t>
            </w:r>
          </w:p>
        </w:tc>
        <w:tc>
          <w:tcPr>
            <w:tcW w:w="0" w:type="auto"/>
            <w:hideMark/>
          </w:tcPr>
          <w:p w14:paraId="4367144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-0.001</w:t>
            </w:r>
          </w:p>
        </w:tc>
        <w:tc>
          <w:tcPr>
            <w:tcW w:w="0" w:type="auto"/>
            <w:hideMark/>
          </w:tcPr>
          <w:p w14:paraId="648265CC"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79883A2B"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7A2C7582"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518318D2" w14:textId="77777777" w:rsidTr="00916C95">
        <w:tc>
          <w:tcPr>
            <w:tcW w:w="0" w:type="auto"/>
            <w:hideMark/>
          </w:tcPr>
          <w:p w14:paraId="52FED38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PROF</w:t>
            </w:r>
          </w:p>
        </w:tc>
        <w:tc>
          <w:tcPr>
            <w:tcW w:w="0" w:type="auto"/>
            <w:hideMark/>
          </w:tcPr>
          <w:p w14:paraId="1504AFD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0.163</w:t>
            </w:r>
          </w:p>
        </w:tc>
        <w:tc>
          <w:tcPr>
            <w:tcW w:w="0" w:type="auto"/>
            <w:hideMark/>
          </w:tcPr>
          <w:p w14:paraId="6FDB8D5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-0.009</w:t>
            </w:r>
          </w:p>
        </w:tc>
        <w:tc>
          <w:tcPr>
            <w:tcW w:w="0" w:type="auto"/>
            <w:hideMark/>
          </w:tcPr>
          <w:p w14:paraId="54CB586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-0.006</w:t>
            </w:r>
          </w:p>
        </w:tc>
        <w:tc>
          <w:tcPr>
            <w:tcW w:w="0" w:type="auto"/>
            <w:hideMark/>
          </w:tcPr>
          <w:p w14:paraId="180BD1B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-0.056</w:t>
            </w:r>
          </w:p>
        </w:tc>
        <w:tc>
          <w:tcPr>
            <w:tcW w:w="0" w:type="auto"/>
            <w:hideMark/>
          </w:tcPr>
          <w:p w14:paraId="1879595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026400E6"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4553E300" w14:textId="77777777" w:rsidTr="00916C95">
        <w:tc>
          <w:tcPr>
            <w:tcW w:w="0" w:type="auto"/>
            <w:hideMark/>
          </w:tcPr>
          <w:p w14:paraId="2D5C230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FSIZE</w:t>
            </w:r>
          </w:p>
        </w:tc>
        <w:tc>
          <w:tcPr>
            <w:tcW w:w="0" w:type="auto"/>
            <w:hideMark/>
          </w:tcPr>
          <w:p w14:paraId="42B7D1B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0.844</w:t>
            </w:r>
          </w:p>
        </w:tc>
        <w:tc>
          <w:tcPr>
            <w:tcW w:w="0" w:type="auto"/>
            <w:hideMark/>
          </w:tcPr>
          <w:p w14:paraId="20F5A9C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-0.186</w:t>
            </w:r>
          </w:p>
        </w:tc>
        <w:tc>
          <w:tcPr>
            <w:tcW w:w="0" w:type="auto"/>
            <w:hideMark/>
          </w:tcPr>
          <w:p w14:paraId="0B7F360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-0.019</w:t>
            </w:r>
          </w:p>
        </w:tc>
        <w:tc>
          <w:tcPr>
            <w:tcW w:w="0" w:type="auto"/>
            <w:hideMark/>
          </w:tcPr>
          <w:p w14:paraId="2A47576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0.052</w:t>
            </w:r>
          </w:p>
        </w:tc>
        <w:tc>
          <w:tcPr>
            <w:tcW w:w="0" w:type="auto"/>
            <w:hideMark/>
          </w:tcPr>
          <w:p w14:paraId="0DF09CC7"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0.092</w:t>
            </w:r>
          </w:p>
        </w:tc>
        <w:tc>
          <w:tcPr>
            <w:tcW w:w="0" w:type="auto"/>
            <w:hideMark/>
          </w:tcPr>
          <w:p w14:paraId="62BB450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r>
    </w:tbl>
    <w:p w14:paraId="3E385F73" w14:textId="77777777" w:rsidR="00BE74F6" w:rsidRPr="004914E6" w:rsidRDefault="00BE74F6" w:rsidP="00BE74F6">
      <w:pPr>
        <w:jc w:val="both"/>
        <w:rPr>
          <w:rFonts w:asciiTheme="majorBidi" w:hAnsiTheme="majorBidi" w:cstheme="majorBidi"/>
          <w:sz w:val="24"/>
          <w:szCs w:val="24"/>
        </w:rPr>
      </w:pPr>
      <w:r w:rsidRPr="004914E6">
        <w:rPr>
          <w:rFonts w:asciiTheme="majorBidi" w:hAnsiTheme="majorBidi" w:cstheme="majorBidi"/>
          <w:i/>
          <w:iCs/>
          <w:sz w:val="24"/>
          <w:szCs w:val="24"/>
        </w:rPr>
        <w:t>Source: Author’s compilation (2025)</w:t>
      </w:r>
    </w:p>
    <w:p w14:paraId="46C6695D" w14:textId="77777777" w:rsidR="00BE74F6" w:rsidRPr="004914E6" w:rsidRDefault="00BE74F6" w:rsidP="00BE74F6">
      <w:pPr>
        <w:jc w:val="both"/>
        <w:rPr>
          <w:rFonts w:asciiTheme="majorBidi" w:hAnsiTheme="majorBidi" w:cstheme="majorBidi"/>
          <w:b/>
          <w:bCs/>
          <w:sz w:val="24"/>
          <w:szCs w:val="24"/>
        </w:rPr>
      </w:pPr>
      <w:r w:rsidRPr="004914E6">
        <w:rPr>
          <w:rFonts w:asciiTheme="majorBidi" w:hAnsiTheme="majorBidi" w:cstheme="majorBidi"/>
          <w:b/>
          <w:bCs/>
          <w:sz w:val="24"/>
          <w:szCs w:val="24"/>
        </w:rPr>
        <w:t>4.3 Diagnostic tests</w:t>
      </w:r>
    </w:p>
    <w:p w14:paraId="6D24236D" w14:textId="419E8C2F" w:rsidR="00B20186" w:rsidRPr="004914E6" w:rsidRDefault="007216B5" w:rsidP="007216B5">
      <w:pPr>
        <w:jc w:val="both"/>
        <w:rPr>
          <w:rFonts w:asciiTheme="majorBidi" w:hAnsiTheme="majorBidi" w:cstheme="majorBidi"/>
          <w:sz w:val="24"/>
          <w:szCs w:val="24"/>
        </w:rPr>
      </w:pPr>
      <w:r w:rsidRPr="004914E6">
        <w:rPr>
          <w:rFonts w:asciiTheme="majorBidi" w:hAnsiTheme="majorBidi" w:cstheme="majorBidi"/>
          <w:sz w:val="24"/>
          <w:szCs w:val="24"/>
        </w:rPr>
        <w:t xml:space="preserve">Variance Inflation Factors (VIFs) are acceptable before introducing interactions (maximum 4.36; mean 2.34). Adding interactions elevates VIFs; mean-centring the debt ratios used in the interactions reduces collinearity and stabilises estimates. A Breusch–Pagan test does not reject homoskedasticity at conventional levels (χ² = 2.15, p = 0.1429). For OLS, we implement heteroskedasticity-robust standard errors clustered by firm; for the quantile regressions we report </w:t>
      </w:r>
      <w:proofErr w:type="spellStart"/>
      <w:r w:rsidRPr="004914E6">
        <w:rPr>
          <w:rFonts w:asciiTheme="majorBidi" w:hAnsiTheme="majorBidi" w:cstheme="majorBidi"/>
          <w:sz w:val="24"/>
          <w:szCs w:val="24"/>
        </w:rPr>
        <w:t>Koenker</w:t>
      </w:r>
      <w:proofErr w:type="spellEnd"/>
      <w:r w:rsidRPr="004914E6">
        <w:rPr>
          <w:rFonts w:asciiTheme="majorBidi" w:hAnsiTheme="majorBidi" w:cstheme="majorBidi"/>
          <w:sz w:val="24"/>
          <w:szCs w:val="24"/>
        </w:rPr>
        <w:t>–Bassett robust standard errors. Model fit is summarised by R</w:t>
      </w:r>
      <w:r w:rsidRPr="004914E6">
        <w:rPr>
          <w:rFonts w:asciiTheme="majorBidi" w:hAnsiTheme="majorBidi" w:cstheme="majorBidi"/>
          <w:sz w:val="24"/>
          <w:szCs w:val="24"/>
          <w:vertAlign w:val="superscript"/>
        </w:rPr>
        <w:t xml:space="preserve">2 </w:t>
      </w:r>
      <w:r w:rsidRPr="004914E6">
        <w:rPr>
          <w:rFonts w:asciiTheme="majorBidi" w:hAnsiTheme="majorBidi" w:cstheme="majorBidi"/>
          <w:sz w:val="24"/>
          <w:szCs w:val="24"/>
        </w:rPr>
        <w:t>and Root MSE for OLS (0.7872 and 0.01152, respectively) and by pseudo-R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for the quantiles (0.4980 at τ = 0.25; 0.5768 at τ = 0.50; 0.5860 at τ = 0.75). While pseudo-R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is not directly comparable to OLS 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the values indicate informative explanatory power across the lower, median and upper segments of the shareholders’ wealth distribution. Results are robust to alternative </w:t>
      </w:r>
      <w:proofErr w:type="spellStart"/>
      <w:r w:rsidRPr="004914E6">
        <w:rPr>
          <w:rFonts w:asciiTheme="majorBidi" w:hAnsiTheme="majorBidi" w:cstheme="majorBidi"/>
          <w:sz w:val="24"/>
          <w:szCs w:val="24"/>
        </w:rPr>
        <w:t>winsorisation</w:t>
      </w:r>
      <w:proofErr w:type="spellEnd"/>
      <w:r w:rsidRPr="004914E6">
        <w:rPr>
          <w:rFonts w:asciiTheme="majorBidi" w:hAnsiTheme="majorBidi" w:cstheme="majorBidi"/>
          <w:sz w:val="24"/>
          <w:szCs w:val="24"/>
        </w:rPr>
        <w:t xml:space="preserve"> cut-offs and to re-estimating models without interaction terms</w:t>
      </w:r>
      <w:r w:rsidR="00BE74F6" w:rsidRPr="004914E6">
        <w:rPr>
          <w:rFonts w:asciiTheme="majorBidi" w:hAnsiTheme="majorBidi" w:cstheme="majorBidi"/>
          <w:sz w:val="24"/>
          <w:szCs w:val="24"/>
        </w:rPr>
        <w:t>.</w:t>
      </w:r>
    </w:p>
    <w:p w14:paraId="1E700456" w14:textId="77777777" w:rsidR="00B20186" w:rsidRPr="004914E6" w:rsidRDefault="00B20186" w:rsidP="003C10F5">
      <w:pPr>
        <w:pStyle w:val="Heading2"/>
        <w:rPr>
          <w:rFonts w:asciiTheme="majorBidi" w:hAnsiTheme="majorBidi"/>
          <w:b/>
          <w:bCs/>
          <w:color w:val="auto"/>
          <w:sz w:val="24"/>
          <w:szCs w:val="24"/>
        </w:rPr>
      </w:pPr>
      <w:r w:rsidRPr="004914E6">
        <w:rPr>
          <w:rFonts w:asciiTheme="majorBidi" w:hAnsiTheme="majorBidi"/>
          <w:b/>
          <w:bCs/>
          <w:color w:val="auto"/>
          <w:sz w:val="24"/>
          <w:szCs w:val="24"/>
        </w:rPr>
        <w:t>4.3 Regression results</w:t>
      </w:r>
    </w:p>
    <w:p w14:paraId="35B1E618" w14:textId="31DFEE5E" w:rsidR="00B062BB" w:rsidRPr="004914E6" w:rsidRDefault="00B062BB" w:rsidP="00B062BB">
      <w:pPr>
        <w:jc w:val="both"/>
        <w:rPr>
          <w:rFonts w:asciiTheme="majorBidi" w:hAnsiTheme="majorBidi" w:cstheme="majorBidi"/>
          <w:sz w:val="24"/>
          <w:szCs w:val="24"/>
        </w:rPr>
      </w:pPr>
      <w:r w:rsidRPr="004914E6">
        <w:rPr>
          <w:rFonts w:asciiTheme="majorBidi" w:hAnsiTheme="majorBidi" w:cstheme="majorBidi"/>
          <w:sz w:val="24"/>
          <w:szCs w:val="24"/>
        </w:rPr>
        <w:t>Table 3 reports pooled OLS estimates alongside conditional quantile regressions at the 25th, 50th and 75th percentiles of shareholders’ wealth. Short- and long-term debt enter the models in mean-centred form for the interactions, and inference relies on heteroskedasticity-robust errors. Overall fit is high for the OLS specification with 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=0.</w:t>
      </w:r>
      <w:proofErr w:type="gramStart"/>
      <w:r w:rsidRPr="004914E6">
        <w:rPr>
          <w:rFonts w:asciiTheme="majorBidi" w:hAnsiTheme="majorBidi" w:cstheme="majorBidi"/>
          <w:sz w:val="24"/>
          <w:szCs w:val="24"/>
        </w:rPr>
        <w:t>7872</w:t>
      </w:r>
      <w:r w:rsidR="004D678B" w:rsidRPr="004914E6">
        <w:rPr>
          <w:rFonts w:asciiTheme="majorBidi" w:hAnsiTheme="majorBidi" w:cstheme="majorBidi"/>
          <w:sz w:val="24"/>
          <w:szCs w:val="24"/>
        </w:rPr>
        <w:t xml:space="preserve">  </w:t>
      </w:r>
      <w:r w:rsidRPr="004914E6">
        <w:rPr>
          <w:rFonts w:asciiTheme="majorBidi" w:hAnsiTheme="majorBidi" w:cstheme="majorBidi"/>
          <w:sz w:val="24"/>
          <w:szCs w:val="24"/>
        </w:rPr>
        <w:t>and</w:t>
      </w:r>
      <w:proofErr w:type="gramEnd"/>
      <w:r w:rsidRPr="004914E6">
        <w:rPr>
          <w:rFonts w:asciiTheme="majorBidi" w:hAnsiTheme="majorBidi" w:cstheme="majorBidi"/>
          <w:sz w:val="24"/>
          <w:szCs w:val="24"/>
        </w:rPr>
        <w:t xml:space="preserve"> Root MSE of 0.01152, while the quantile models yield pseudo R</w:t>
      </w:r>
      <w:r w:rsidRPr="004914E6">
        <w:rPr>
          <w:rFonts w:asciiTheme="majorBidi" w:hAnsiTheme="majorBidi" w:cstheme="majorBidi"/>
          <w:sz w:val="24"/>
          <w:szCs w:val="24"/>
          <w:vertAlign w:val="superscript"/>
        </w:rPr>
        <w:t>2</w:t>
      </w:r>
      <w:r w:rsidR="00F02ED0" w:rsidRPr="004914E6">
        <w:rPr>
          <w:rFonts w:asciiTheme="majorBidi" w:hAnsiTheme="majorBidi" w:cstheme="majorBidi"/>
          <w:sz w:val="24"/>
          <w:szCs w:val="24"/>
        </w:rPr>
        <w:t xml:space="preserve"> </w:t>
      </w:r>
      <w:r w:rsidRPr="004914E6">
        <w:rPr>
          <w:rFonts w:asciiTheme="majorBidi" w:hAnsiTheme="majorBidi" w:cstheme="majorBidi"/>
          <w:sz w:val="24"/>
          <w:szCs w:val="24"/>
        </w:rPr>
        <w:t>between 0.4980 and 0.5860, which indicates informative explanatory power across the lower, median and upper segments of the valuation distribution.</w:t>
      </w:r>
    </w:p>
    <w:p w14:paraId="5625F4ED" w14:textId="005993F5" w:rsidR="00B20186" w:rsidRPr="004914E6" w:rsidRDefault="00B20186" w:rsidP="00B062BB">
      <w:pPr>
        <w:jc w:val="both"/>
        <w:rPr>
          <w:rFonts w:asciiTheme="majorBidi" w:hAnsiTheme="majorBidi" w:cstheme="majorBidi"/>
          <w:sz w:val="24"/>
          <w:szCs w:val="24"/>
        </w:rPr>
      </w:pPr>
      <w:r w:rsidRPr="004914E6">
        <w:rPr>
          <w:rFonts w:asciiTheme="majorBidi" w:hAnsiTheme="majorBidi" w:cstheme="majorBidi"/>
          <w:b/>
          <w:bCs/>
          <w:sz w:val="24"/>
          <w:szCs w:val="24"/>
        </w:rPr>
        <w:t xml:space="preserve">Table 3. </w:t>
      </w:r>
      <w:r w:rsidRPr="004914E6">
        <w:rPr>
          <w:rFonts w:asciiTheme="majorBidi" w:hAnsiTheme="majorBidi" w:cstheme="majorBidi"/>
          <w:sz w:val="24"/>
          <w:szCs w:val="24"/>
        </w:rPr>
        <w:t>Regression results comparing OLS and quantile regressions</w:t>
      </w:r>
      <w:r w:rsidR="00F02ED0" w:rsidRPr="004914E6">
        <w:rPr>
          <w:rFonts w:asciiTheme="majorBidi" w:hAnsiTheme="majorBidi" w:cstheme="majorBidi"/>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1613"/>
        <w:gridCol w:w="1566"/>
        <w:gridCol w:w="1613"/>
        <w:gridCol w:w="1566"/>
      </w:tblGrid>
      <w:tr w:rsidR="00B20186" w:rsidRPr="004914E6" w14:paraId="38B2B41E" w14:textId="77777777" w:rsidTr="00B20186">
        <w:tc>
          <w:tcPr>
            <w:tcW w:w="0" w:type="auto"/>
            <w:tcBorders>
              <w:top w:val="single" w:sz="4" w:space="0" w:color="auto"/>
              <w:bottom w:val="single" w:sz="4" w:space="0" w:color="auto"/>
            </w:tcBorders>
            <w:hideMark/>
          </w:tcPr>
          <w:p w14:paraId="0932107A"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Variables</w:t>
            </w:r>
          </w:p>
        </w:tc>
        <w:tc>
          <w:tcPr>
            <w:tcW w:w="0" w:type="auto"/>
            <w:tcBorders>
              <w:top w:val="single" w:sz="4" w:space="0" w:color="auto"/>
              <w:bottom w:val="single" w:sz="4" w:space="0" w:color="auto"/>
            </w:tcBorders>
            <w:hideMark/>
          </w:tcPr>
          <w:p w14:paraId="60AECCC5"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OLS</w:t>
            </w:r>
          </w:p>
        </w:tc>
        <w:tc>
          <w:tcPr>
            <w:tcW w:w="0" w:type="auto"/>
            <w:tcBorders>
              <w:top w:val="single" w:sz="4" w:space="0" w:color="auto"/>
              <w:bottom w:val="single" w:sz="4" w:space="0" w:color="auto"/>
            </w:tcBorders>
            <w:hideMark/>
          </w:tcPr>
          <w:p w14:paraId="2CF2811A"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Q25</w:t>
            </w:r>
          </w:p>
        </w:tc>
        <w:tc>
          <w:tcPr>
            <w:tcW w:w="0" w:type="auto"/>
            <w:tcBorders>
              <w:top w:val="single" w:sz="4" w:space="0" w:color="auto"/>
              <w:bottom w:val="single" w:sz="4" w:space="0" w:color="auto"/>
            </w:tcBorders>
            <w:hideMark/>
          </w:tcPr>
          <w:p w14:paraId="6E4F8C9F"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Q50</w:t>
            </w:r>
          </w:p>
        </w:tc>
        <w:tc>
          <w:tcPr>
            <w:tcW w:w="0" w:type="auto"/>
            <w:tcBorders>
              <w:top w:val="single" w:sz="4" w:space="0" w:color="auto"/>
              <w:bottom w:val="single" w:sz="4" w:space="0" w:color="auto"/>
            </w:tcBorders>
            <w:hideMark/>
          </w:tcPr>
          <w:p w14:paraId="7CD2A938"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Q75</w:t>
            </w:r>
          </w:p>
        </w:tc>
      </w:tr>
      <w:tr w:rsidR="00B20186" w:rsidRPr="004914E6" w14:paraId="05FE0DA7" w14:textId="77777777" w:rsidTr="00B20186">
        <w:tc>
          <w:tcPr>
            <w:tcW w:w="0" w:type="auto"/>
            <w:tcBorders>
              <w:top w:val="single" w:sz="4" w:space="0" w:color="auto"/>
            </w:tcBorders>
            <w:hideMark/>
          </w:tcPr>
          <w:p w14:paraId="3AB4B698" w14:textId="77777777" w:rsidR="00B20186" w:rsidRPr="004914E6" w:rsidRDefault="00B20186" w:rsidP="00B20186">
            <w:pPr>
              <w:spacing w:after="160" w:line="259" w:lineRule="auto"/>
              <w:jc w:val="both"/>
              <w:rPr>
                <w:rFonts w:asciiTheme="majorBidi" w:hAnsiTheme="majorBidi" w:cstheme="majorBidi"/>
                <w:sz w:val="24"/>
                <w:szCs w:val="24"/>
              </w:rPr>
            </w:pPr>
            <w:proofErr w:type="spellStart"/>
            <w:r w:rsidRPr="004914E6">
              <w:rPr>
                <w:rFonts w:asciiTheme="majorBidi" w:hAnsiTheme="majorBidi" w:cstheme="majorBidi"/>
                <w:b/>
                <w:bCs/>
                <w:sz w:val="24"/>
                <w:szCs w:val="24"/>
              </w:rPr>
              <w:t>STD_centered</w:t>
            </w:r>
            <w:proofErr w:type="spellEnd"/>
          </w:p>
        </w:tc>
        <w:tc>
          <w:tcPr>
            <w:tcW w:w="0" w:type="auto"/>
            <w:tcBorders>
              <w:top w:val="single" w:sz="4" w:space="0" w:color="auto"/>
            </w:tcBorders>
            <w:hideMark/>
          </w:tcPr>
          <w:p w14:paraId="41CDBAF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0.435*** (0.027)</w:t>
            </w:r>
          </w:p>
        </w:tc>
        <w:tc>
          <w:tcPr>
            <w:tcW w:w="0" w:type="auto"/>
            <w:tcBorders>
              <w:top w:val="single" w:sz="4" w:space="0" w:color="auto"/>
            </w:tcBorders>
            <w:hideMark/>
          </w:tcPr>
          <w:p w14:paraId="0C895B3D"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0.410* (0.161)</w:t>
            </w:r>
          </w:p>
        </w:tc>
        <w:tc>
          <w:tcPr>
            <w:tcW w:w="0" w:type="auto"/>
            <w:tcBorders>
              <w:top w:val="single" w:sz="4" w:space="0" w:color="auto"/>
            </w:tcBorders>
            <w:hideMark/>
          </w:tcPr>
          <w:p w14:paraId="0C7DE2AB"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0.375** (0.113)</w:t>
            </w:r>
          </w:p>
        </w:tc>
        <w:tc>
          <w:tcPr>
            <w:tcW w:w="0" w:type="auto"/>
            <w:tcBorders>
              <w:top w:val="single" w:sz="4" w:space="0" w:color="auto"/>
            </w:tcBorders>
            <w:hideMark/>
          </w:tcPr>
          <w:p w14:paraId="546D73BD"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0.355** (0.136)</w:t>
            </w:r>
          </w:p>
        </w:tc>
      </w:tr>
      <w:tr w:rsidR="00B20186" w:rsidRPr="004914E6" w14:paraId="6ADA6621" w14:textId="77777777" w:rsidTr="00B20186">
        <w:tc>
          <w:tcPr>
            <w:tcW w:w="0" w:type="auto"/>
            <w:hideMark/>
          </w:tcPr>
          <w:p w14:paraId="7E5E7A09" w14:textId="77777777" w:rsidR="00B20186" w:rsidRPr="004914E6" w:rsidRDefault="00B20186" w:rsidP="00B20186">
            <w:pPr>
              <w:spacing w:after="160" w:line="259" w:lineRule="auto"/>
              <w:jc w:val="both"/>
              <w:rPr>
                <w:rFonts w:asciiTheme="majorBidi" w:hAnsiTheme="majorBidi" w:cstheme="majorBidi"/>
                <w:sz w:val="24"/>
                <w:szCs w:val="24"/>
              </w:rPr>
            </w:pPr>
            <w:proofErr w:type="spellStart"/>
            <w:r w:rsidRPr="004914E6">
              <w:rPr>
                <w:rFonts w:asciiTheme="majorBidi" w:hAnsiTheme="majorBidi" w:cstheme="majorBidi"/>
                <w:b/>
                <w:bCs/>
                <w:sz w:val="24"/>
                <w:szCs w:val="24"/>
              </w:rPr>
              <w:t>LTD_centered</w:t>
            </w:r>
            <w:proofErr w:type="spellEnd"/>
          </w:p>
        </w:tc>
        <w:tc>
          <w:tcPr>
            <w:tcW w:w="0" w:type="auto"/>
            <w:hideMark/>
          </w:tcPr>
          <w:p w14:paraId="097C9838" w14:textId="5DEC87C9"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-0.460*** (0.038)</w:t>
            </w:r>
          </w:p>
        </w:tc>
        <w:tc>
          <w:tcPr>
            <w:tcW w:w="0" w:type="auto"/>
            <w:hideMark/>
          </w:tcPr>
          <w:p w14:paraId="0BE85405" w14:textId="74E91ED6"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-0.406* (0.160)</w:t>
            </w:r>
          </w:p>
        </w:tc>
        <w:tc>
          <w:tcPr>
            <w:tcW w:w="0" w:type="auto"/>
            <w:hideMark/>
          </w:tcPr>
          <w:p w14:paraId="6AEBF5B7" w14:textId="72FCF3F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-0.370** (0.113)</w:t>
            </w:r>
          </w:p>
        </w:tc>
        <w:tc>
          <w:tcPr>
            <w:tcW w:w="0" w:type="auto"/>
            <w:hideMark/>
          </w:tcPr>
          <w:p w14:paraId="793E6CA1" w14:textId="3E062230"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-0.359** (0.136)</w:t>
            </w:r>
          </w:p>
        </w:tc>
      </w:tr>
      <w:tr w:rsidR="00B20186" w:rsidRPr="004914E6" w14:paraId="1DA8936C" w14:textId="77777777" w:rsidTr="00B20186">
        <w:tc>
          <w:tcPr>
            <w:tcW w:w="0" w:type="auto"/>
            <w:hideMark/>
          </w:tcPr>
          <w:p w14:paraId="578CF3C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COD</w:t>
            </w:r>
          </w:p>
        </w:tc>
        <w:tc>
          <w:tcPr>
            <w:tcW w:w="0" w:type="auto"/>
            <w:hideMark/>
          </w:tcPr>
          <w:p w14:paraId="556FFF04" w14:textId="04B811C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-0.044*** (0.011)</w:t>
            </w:r>
          </w:p>
        </w:tc>
        <w:tc>
          <w:tcPr>
            <w:tcW w:w="0" w:type="auto"/>
            <w:hideMark/>
          </w:tcPr>
          <w:p w14:paraId="4497165E" w14:textId="1047CE6F"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-0.045* (0.023)</w:t>
            </w:r>
          </w:p>
        </w:tc>
        <w:tc>
          <w:tcPr>
            <w:tcW w:w="0" w:type="auto"/>
            <w:hideMark/>
          </w:tcPr>
          <w:p w14:paraId="7341ECC9" w14:textId="4C97ACC4"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-0.061*** (0.016)</w:t>
            </w:r>
          </w:p>
        </w:tc>
        <w:tc>
          <w:tcPr>
            <w:tcW w:w="0" w:type="auto"/>
            <w:hideMark/>
          </w:tcPr>
          <w:p w14:paraId="4325D6A7" w14:textId="2EE778EE"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-0.033 (0.019)</w:t>
            </w:r>
          </w:p>
        </w:tc>
      </w:tr>
      <w:tr w:rsidR="00B20186" w:rsidRPr="004914E6" w14:paraId="5BA1EBF3" w14:textId="77777777" w:rsidTr="00B20186">
        <w:tc>
          <w:tcPr>
            <w:tcW w:w="0" w:type="auto"/>
            <w:hideMark/>
          </w:tcPr>
          <w:p w14:paraId="672C460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lastRenderedPageBreak/>
              <w:t>PROF</w:t>
            </w:r>
          </w:p>
        </w:tc>
        <w:tc>
          <w:tcPr>
            <w:tcW w:w="0" w:type="auto"/>
            <w:hideMark/>
          </w:tcPr>
          <w:p w14:paraId="2887C321"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0.025 (0.014)</w:t>
            </w:r>
          </w:p>
        </w:tc>
        <w:tc>
          <w:tcPr>
            <w:tcW w:w="0" w:type="auto"/>
            <w:hideMark/>
          </w:tcPr>
          <w:p w14:paraId="7B55862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0.050*** (0.011)</w:t>
            </w:r>
          </w:p>
        </w:tc>
        <w:tc>
          <w:tcPr>
            <w:tcW w:w="0" w:type="auto"/>
            <w:hideMark/>
          </w:tcPr>
          <w:p w14:paraId="1B07823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0.037*** (0.008)</w:t>
            </w:r>
          </w:p>
        </w:tc>
        <w:tc>
          <w:tcPr>
            <w:tcW w:w="0" w:type="auto"/>
            <w:hideMark/>
          </w:tcPr>
          <w:p w14:paraId="0A1B7D4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0.047*** (0.010)</w:t>
            </w:r>
          </w:p>
        </w:tc>
      </w:tr>
      <w:tr w:rsidR="00B20186" w:rsidRPr="004914E6" w14:paraId="36F17909" w14:textId="77777777" w:rsidTr="00B20186">
        <w:tc>
          <w:tcPr>
            <w:tcW w:w="0" w:type="auto"/>
            <w:hideMark/>
          </w:tcPr>
          <w:p w14:paraId="6DE5BD57"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FSIZE</w:t>
            </w:r>
          </w:p>
        </w:tc>
        <w:tc>
          <w:tcPr>
            <w:tcW w:w="0" w:type="auto"/>
            <w:hideMark/>
          </w:tcPr>
          <w:p w14:paraId="219D9A4F"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1.042*** (0.025)</w:t>
            </w:r>
          </w:p>
        </w:tc>
        <w:tc>
          <w:tcPr>
            <w:tcW w:w="0" w:type="auto"/>
            <w:hideMark/>
          </w:tcPr>
          <w:p w14:paraId="36358B2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1.026*** (0.041)</w:t>
            </w:r>
          </w:p>
        </w:tc>
        <w:tc>
          <w:tcPr>
            <w:tcW w:w="0" w:type="auto"/>
            <w:hideMark/>
          </w:tcPr>
          <w:p w14:paraId="3F28822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1.015*** (0.029)</w:t>
            </w:r>
          </w:p>
        </w:tc>
        <w:tc>
          <w:tcPr>
            <w:tcW w:w="0" w:type="auto"/>
            <w:hideMark/>
          </w:tcPr>
          <w:p w14:paraId="1015FF57"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1.055*** (0.035)</w:t>
            </w:r>
          </w:p>
        </w:tc>
      </w:tr>
      <w:tr w:rsidR="00B20186" w:rsidRPr="004914E6" w14:paraId="685D6DBA" w14:textId="77777777" w:rsidTr="00B20186">
        <w:tc>
          <w:tcPr>
            <w:tcW w:w="0" w:type="auto"/>
            <w:hideMark/>
          </w:tcPr>
          <w:p w14:paraId="68BD0C3C"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 xml:space="preserve">COD × </w:t>
            </w:r>
            <w:proofErr w:type="spellStart"/>
            <w:r w:rsidRPr="004914E6">
              <w:rPr>
                <w:rFonts w:asciiTheme="majorBidi" w:hAnsiTheme="majorBidi" w:cstheme="majorBidi"/>
                <w:b/>
                <w:bCs/>
                <w:sz w:val="24"/>
                <w:szCs w:val="24"/>
              </w:rPr>
              <w:t>STD_centered</w:t>
            </w:r>
            <w:proofErr w:type="spellEnd"/>
          </w:p>
        </w:tc>
        <w:tc>
          <w:tcPr>
            <w:tcW w:w="0" w:type="auto"/>
            <w:hideMark/>
          </w:tcPr>
          <w:p w14:paraId="378B3BF4"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7387D787" w14:textId="6A10BC68"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-4.704 (53.487)</w:t>
            </w:r>
          </w:p>
        </w:tc>
        <w:tc>
          <w:tcPr>
            <w:tcW w:w="0" w:type="auto"/>
            <w:hideMark/>
          </w:tcPr>
          <w:p w14:paraId="3D6458B8" w14:textId="179429D8"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-13.340 (37.699)</w:t>
            </w:r>
          </w:p>
        </w:tc>
        <w:tc>
          <w:tcPr>
            <w:tcW w:w="0" w:type="auto"/>
            <w:hideMark/>
          </w:tcPr>
          <w:p w14:paraId="4DAC5C4A" w14:textId="26FA5BBC"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-12.512 (45.321)</w:t>
            </w:r>
          </w:p>
        </w:tc>
      </w:tr>
      <w:tr w:rsidR="00B20186" w:rsidRPr="004914E6" w14:paraId="73CAC95F" w14:textId="77777777" w:rsidTr="00B20186">
        <w:tc>
          <w:tcPr>
            <w:tcW w:w="0" w:type="auto"/>
            <w:hideMark/>
          </w:tcPr>
          <w:p w14:paraId="63477985"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 xml:space="preserve">COD × </w:t>
            </w:r>
            <w:proofErr w:type="spellStart"/>
            <w:r w:rsidRPr="004914E6">
              <w:rPr>
                <w:rFonts w:asciiTheme="majorBidi" w:hAnsiTheme="majorBidi" w:cstheme="majorBidi"/>
                <w:b/>
                <w:bCs/>
                <w:sz w:val="24"/>
                <w:szCs w:val="24"/>
              </w:rPr>
              <w:t>LTD_centered</w:t>
            </w:r>
            <w:proofErr w:type="spellEnd"/>
          </w:p>
        </w:tc>
        <w:tc>
          <w:tcPr>
            <w:tcW w:w="0" w:type="auto"/>
            <w:hideMark/>
          </w:tcPr>
          <w:p w14:paraId="480DD44F"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5596B13E" w14:textId="6336618D"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-0.996 (51.037)</w:t>
            </w:r>
          </w:p>
        </w:tc>
        <w:tc>
          <w:tcPr>
            <w:tcW w:w="0" w:type="auto"/>
            <w:hideMark/>
          </w:tcPr>
          <w:p w14:paraId="111A698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20.519 (35.972)</w:t>
            </w:r>
          </w:p>
        </w:tc>
        <w:tc>
          <w:tcPr>
            <w:tcW w:w="0" w:type="auto"/>
            <w:hideMark/>
          </w:tcPr>
          <w:p w14:paraId="3D4DFC0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29.698 (43.246)</w:t>
            </w:r>
          </w:p>
        </w:tc>
      </w:tr>
      <w:tr w:rsidR="00B20186" w:rsidRPr="004914E6" w14:paraId="342E1E83" w14:textId="77777777" w:rsidTr="00B20186">
        <w:tc>
          <w:tcPr>
            <w:tcW w:w="0" w:type="auto"/>
            <w:hideMark/>
          </w:tcPr>
          <w:p w14:paraId="459C352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Intercept</w:t>
            </w:r>
          </w:p>
        </w:tc>
        <w:tc>
          <w:tcPr>
            <w:tcW w:w="0" w:type="auto"/>
            <w:hideMark/>
          </w:tcPr>
          <w:p w14:paraId="14AEF0F5" w14:textId="6E5FB3CE"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-0.010* (0.004)</w:t>
            </w:r>
          </w:p>
        </w:tc>
        <w:tc>
          <w:tcPr>
            <w:tcW w:w="0" w:type="auto"/>
            <w:hideMark/>
          </w:tcPr>
          <w:p w14:paraId="165EA2CD" w14:textId="5A62DF61"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-0.015* (0.007)</w:t>
            </w:r>
          </w:p>
        </w:tc>
        <w:tc>
          <w:tcPr>
            <w:tcW w:w="0" w:type="auto"/>
            <w:hideMark/>
          </w:tcPr>
          <w:p w14:paraId="47984400" w14:textId="5CF2F3AF"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-0.006 (0.005)</w:t>
            </w:r>
          </w:p>
        </w:tc>
        <w:tc>
          <w:tcPr>
            <w:tcW w:w="0" w:type="auto"/>
            <w:hideMark/>
          </w:tcPr>
          <w:p w14:paraId="37759050" w14:textId="6DFA1BA1"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-0.006 (0.006)</w:t>
            </w:r>
          </w:p>
        </w:tc>
      </w:tr>
      <w:tr w:rsidR="00B20186" w:rsidRPr="004914E6" w14:paraId="34DF7382" w14:textId="77777777" w:rsidTr="00B20186">
        <w:tc>
          <w:tcPr>
            <w:tcW w:w="0" w:type="auto"/>
            <w:hideMark/>
          </w:tcPr>
          <w:p w14:paraId="68554C12"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R-squared / Pseudo R-squared</w:t>
            </w:r>
          </w:p>
        </w:tc>
        <w:tc>
          <w:tcPr>
            <w:tcW w:w="0" w:type="auto"/>
            <w:hideMark/>
          </w:tcPr>
          <w:p w14:paraId="2B544F7E"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0.7872</w:t>
            </w:r>
          </w:p>
        </w:tc>
        <w:tc>
          <w:tcPr>
            <w:tcW w:w="0" w:type="auto"/>
            <w:hideMark/>
          </w:tcPr>
          <w:p w14:paraId="5C7A5F67"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0.4980</w:t>
            </w:r>
          </w:p>
        </w:tc>
        <w:tc>
          <w:tcPr>
            <w:tcW w:w="0" w:type="auto"/>
            <w:hideMark/>
          </w:tcPr>
          <w:p w14:paraId="5DAAC8F5"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0.5768</w:t>
            </w:r>
          </w:p>
        </w:tc>
        <w:tc>
          <w:tcPr>
            <w:tcW w:w="0" w:type="auto"/>
            <w:hideMark/>
          </w:tcPr>
          <w:p w14:paraId="7BEC5756"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0.5860</w:t>
            </w:r>
          </w:p>
        </w:tc>
      </w:tr>
      <w:tr w:rsidR="00B20186" w:rsidRPr="004914E6" w14:paraId="0C2DADBD" w14:textId="77777777" w:rsidTr="00B20186">
        <w:tc>
          <w:tcPr>
            <w:tcW w:w="0" w:type="auto"/>
            <w:hideMark/>
          </w:tcPr>
          <w:p w14:paraId="7B5F000A"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Root MSE (OLS)</w:t>
            </w:r>
          </w:p>
        </w:tc>
        <w:tc>
          <w:tcPr>
            <w:tcW w:w="0" w:type="auto"/>
            <w:hideMark/>
          </w:tcPr>
          <w:p w14:paraId="06917A3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0.01152</w:t>
            </w:r>
          </w:p>
        </w:tc>
        <w:tc>
          <w:tcPr>
            <w:tcW w:w="0" w:type="auto"/>
            <w:hideMark/>
          </w:tcPr>
          <w:p w14:paraId="160A701E"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297BE419"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10EA6B93" w14:textId="77777777" w:rsidR="00B20186" w:rsidRPr="004914E6" w:rsidRDefault="00B20186" w:rsidP="00B20186">
            <w:pPr>
              <w:spacing w:after="160" w:line="259" w:lineRule="auto"/>
              <w:jc w:val="both"/>
              <w:rPr>
                <w:rFonts w:asciiTheme="majorBidi" w:hAnsiTheme="majorBidi" w:cstheme="majorBidi"/>
                <w:sz w:val="24"/>
                <w:szCs w:val="24"/>
              </w:rPr>
            </w:pPr>
          </w:p>
        </w:tc>
      </w:tr>
    </w:tbl>
    <w:p w14:paraId="688816F7" w14:textId="4B248B10" w:rsidR="00B20186" w:rsidRPr="004914E6" w:rsidRDefault="00AF1873" w:rsidP="00AF1873">
      <w:pPr>
        <w:jc w:val="both"/>
        <w:rPr>
          <w:rFonts w:asciiTheme="majorBidi" w:hAnsiTheme="majorBidi" w:cstheme="majorBidi"/>
          <w:sz w:val="24"/>
          <w:szCs w:val="24"/>
        </w:rPr>
      </w:pPr>
      <w:r w:rsidRPr="004914E6">
        <w:rPr>
          <w:rFonts w:asciiTheme="majorBidi" w:hAnsiTheme="majorBidi" w:cstheme="majorBidi"/>
          <w:i/>
          <w:iCs/>
          <w:sz w:val="24"/>
          <w:szCs w:val="24"/>
        </w:rPr>
        <w:t>Source: Author’s compilation (2025)</w:t>
      </w:r>
    </w:p>
    <w:p w14:paraId="44D2C562" w14:textId="41002475"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Short-term debt is positively associated with shareholders’ wealth throughout. In the pooled OLS the coefficient is 0.435 with a standard error of 0.027 and p&lt;0.</w:t>
      </w:r>
      <w:r w:rsidR="00AF4679" w:rsidRPr="004914E6">
        <w:rPr>
          <w:rFonts w:asciiTheme="majorBidi" w:hAnsiTheme="majorBidi" w:cstheme="majorBidi"/>
          <w:sz w:val="24"/>
          <w:szCs w:val="24"/>
        </w:rPr>
        <w:t>001</w:t>
      </w:r>
      <w:r w:rsidRPr="004914E6">
        <w:rPr>
          <w:rFonts w:asciiTheme="majorBidi" w:hAnsiTheme="majorBidi" w:cstheme="majorBidi"/>
          <w:sz w:val="24"/>
          <w:szCs w:val="24"/>
        </w:rPr>
        <w:t>. The quantile slopes are also positive and statistically different from zero, equal to 0.410 at the 25th percentile, 0.375 at the median and 0.355 at the 75th percentile. The pattern suggests that the marginal association is strongest among firms in the lower part of the distribution and remains economically meaningful at the upper tail. This evidence is consistent with H1 and with a view that short-maturity funding supports working-capital flexibility that investors capitalise into market value.</w:t>
      </w:r>
    </w:p>
    <w:p w14:paraId="64EB1232" w14:textId="6B60A8CE"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Long-term debt is negatively related to shareholders’ wealth in every specification. The OLS estimate is −0.460 with a standard error of 0.038 and p&lt;0.001. Quantile coefficients are −0.406 at the 25th percentile, −0.370 at the median and −0.359 at the 75th percentile, all statistically significant. The magnitude attenuates mildly as valuation rises but the sign is stable, which supports H2 and aligns with a high-cost borrowing setting in which the expected distress and refinancing costs of long-dated leverage weigh on equity value.</w:t>
      </w:r>
    </w:p>
    <w:p w14:paraId="292600F3" w14:textId="2A13386A" w:rsidR="00FB31B5" w:rsidRPr="004914E6" w:rsidRDefault="00030825" w:rsidP="000C6444">
      <w:pPr>
        <w:jc w:val="both"/>
        <w:rPr>
          <w:rFonts w:asciiTheme="majorBidi" w:hAnsiTheme="majorBidi" w:cstheme="majorBidi"/>
          <w:sz w:val="24"/>
          <w:szCs w:val="24"/>
        </w:rPr>
      </w:pPr>
      <w:r w:rsidRPr="004914E6">
        <w:rPr>
          <w:rFonts w:asciiTheme="majorBidi" w:hAnsiTheme="majorBidi" w:cstheme="majorBidi"/>
          <w:sz w:val="24"/>
          <w:szCs w:val="24"/>
        </w:rPr>
        <w:t>Consistent with H3, the cost of debt enters negatively and significantly in the pooled mean and across much of the distribution: −0.044 (</w:t>
      </w:r>
      <w:proofErr w:type="spellStart"/>
      <w:r w:rsidRPr="004914E6">
        <w:rPr>
          <w:rFonts w:asciiTheme="majorBidi" w:hAnsiTheme="majorBidi" w:cstheme="majorBidi"/>
          <w:sz w:val="24"/>
          <w:szCs w:val="24"/>
        </w:rPr>
        <w:t>s.e.</w:t>
      </w:r>
      <w:proofErr w:type="spellEnd"/>
      <w:r w:rsidRPr="004914E6">
        <w:rPr>
          <w:rFonts w:asciiTheme="majorBidi" w:hAnsiTheme="majorBidi" w:cstheme="majorBidi"/>
          <w:sz w:val="24"/>
          <w:szCs w:val="24"/>
        </w:rPr>
        <w:t xml:space="preserve"> 0.011, p&lt;0.001) in OLS, −0.04</w:t>
      </w:r>
      <w:r w:rsidR="00345218" w:rsidRPr="004914E6">
        <w:rPr>
          <w:rFonts w:asciiTheme="majorBidi" w:hAnsiTheme="majorBidi" w:cstheme="majorBidi"/>
          <w:sz w:val="24"/>
          <w:szCs w:val="24"/>
        </w:rPr>
        <w:t>5</w:t>
      </w:r>
      <w:r w:rsidRPr="004914E6">
        <w:rPr>
          <w:rFonts w:asciiTheme="majorBidi" w:hAnsiTheme="majorBidi" w:cstheme="majorBidi"/>
          <w:sz w:val="24"/>
          <w:szCs w:val="24"/>
        </w:rPr>
        <w:t xml:space="preserve"> (</w:t>
      </w:r>
      <w:proofErr w:type="spellStart"/>
      <w:r w:rsidRPr="004914E6">
        <w:rPr>
          <w:rFonts w:asciiTheme="majorBidi" w:hAnsiTheme="majorBidi" w:cstheme="majorBidi"/>
          <w:sz w:val="24"/>
          <w:szCs w:val="24"/>
        </w:rPr>
        <w:t>s.e.</w:t>
      </w:r>
      <w:proofErr w:type="spellEnd"/>
      <w:r w:rsidRPr="004914E6">
        <w:rPr>
          <w:rFonts w:asciiTheme="majorBidi" w:hAnsiTheme="majorBidi" w:cstheme="majorBidi"/>
          <w:sz w:val="24"/>
          <w:szCs w:val="24"/>
        </w:rPr>
        <w:t xml:space="preserve"> 0.0230, p&lt;0.05) at Q25</w:t>
      </w:r>
      <w:r w:rsidR="00345218" w:rsidRPr="004914E6">
        <w:rPr>
          <w:rFonts w:asciiTheme="majorBidi" w:hAnsiTheme="majorBidi" w:cstheme="majorBidi"/>
          <w:sz w:val="24"/>
          <w:szCs w:val="24"/>
        </w:rPr>
        <w:t xml:space="preserve"> </w:t>
      </w:r>
      <w:r w:rsidRPr="004914E6">
        <w:rPr>
          <w:rFonts w:asciiTheme="majorBidi" w:hAnsiTheme="majorBidi" w:cstheme="majorBidi"/>
          <w:sz w:val="24"/>
          <w:szCs w:val="24"/>
        </w:rPr>
        <w:t>​, and −0.061 (</w:t>
      </w:r>
      <w:proofErr w:type="spellStart"/>
      <w:r w:rsidRPr="004914E6">
        <w:rPr>
          <w:rFonts w:asciiTheme="majorBidi" w:hAnsiTheme="majorBidi" w:cstheme="majorBidi"/>
          <w:sz w:val="24"/>
          <w:szCs w:val="24"/>
        </w:rPr>
        <w:t>s.e.</w:t>
      </w:r>
      <w:proofErr w:type="spellEnd"/>
      <w:r w:rsidRPr="004914E6">
        <w:rPr>
          <w:rFonts w:asciiTheme="majorBidi" w:hAnsiTheme="majorBidi" w:cstheme="majorBidi"/>
          <w:sz w:val="24"/>
          <w:szCs w:val="24"/>
        </w:rPr>
        <w:t xml:space="preserve"> 0.0160, p&lt;0.001) at Q50​; the estimate at Q75​ is −0.033 (</w:t>
      </w:r>
      <w:proofErr w:type="spellStart"/>
      <w:r w:rsidRPr="004914E6">
        <w:rPr>
          <w:rFonts w:asciiTheme="majorBidi" w:hAnsiTheme="majorBidi" w:cstheme="majorBidi"/>
          <w:sz w:val="24"/>
          <w:szCs w:val="24"/>
        </w:rPr>
        <w:t>s.e.</w:t>
      </w:r>
      <w:proofErr w:type="spellEnd"/>
      <w:r w:rsidRPr="004914E6">
        <w:rPr>
          <w:rFonts w:asciiTheme="majorBidi" w:hAnsiTheme="majorBidi" w:cstheme="majorBidi"/>
          <w:sz w:val="24"/>
          <w:szCs w:val="24"/>
        </w:rPr>
        <w:t xml:space="preserve"> 0.019) and not statistically different from zero</w:t>
      </w:r>
      <w:r w:rsidR="00FB31B5" w:rsidRPr="004914E6">
        <w:rPr>
          <w:rFonts w:asciiTheme="majorBidi" w:hAnsiTheme="majorBidi" w:cstheme="majorBidi"/>
          <w:sz w:val="24"/>
          <w:szCs w:val="24"/>
        </w:rPr>
        <w:t>.</w:t>
      </w:r>
    </w:p>
    <w:p w14:paraId="31FF3CA0" w14:textId="7FF81ED2" w:rsidR="00FB31B5" w:rsidRPr="004914E6" w:rsidRDefault="00446FA3" w:rsidP="00446FA3">
      <w:pPr>
        <w:jc w:val="both"/>
        <w:rPr>
          <w:rFonts w:asciiTheme="majorBidi" w:hAnsiTheme="majorBidi" w:cstheme="majorBidi"/>
          <w:sz w:val="24"/>
          <w:szCs w:val="24"/>
        </w:rPr>
      </w:pPr>
      <w:r w:rsidRPr="00446FA3">
        <w:rPr>
          <w:rFonts w:asciiTheme="majorBidi" w:hAnsiTheme="majorBidi" w:cstheme="majorBidi"/>
          <w:sz w:val="24"/>
          <w:szCs w:val="24"/>
          <w:highlight w:val="yellow"/>
        </w:rPr>
        <w:t xml:space="preserve">The interaction terms between the cost of debt and the debt structure variables are not statistically significant across the examined quantiles. Given that the debt variables entering the interaction terms are mean-centred, the estimated main effects of short-term and long-term debt reflect their partial associations with shareholders’ wealth evaluated at the average level of borrowing costs. The insignificance of the interaction terms implies that, conditional on observed firm characteristics, there is no evidence that the cost of debt systematically moderates the marginal valuation effects of short-term or long-term debt within quantiles. Instead, the observed distributional heterogeneity arises primarily from differences in the level </w:t>
      </w:r>
      <w:r w:rsidRPr="00446FA3">
        <w:rPr>
          <w:rFonts w:asciiTheme="majorBidi" w:hAnsiTheme="majorBidi" w:cstheme="majorBidi"/>
          <w:sz w:val="24"/>
          <w:szCs w:val="24"/>
          <w:highlight w:val="yellow"/>
        </w:rPr>
        <w:lastRenderedPageBreak/>
        <w:t>effects of debt structure and the prevailing cost of debt across the valuation distribution. Accordingly, Hypotheses 4 and 5 are not supported in the pooled panel quantile framework</w:t>
      </w:r>
      <w:r w:rsidR="00FB31B5" w:rsidRPr="00446FA3">
        <w:rPr>
          <w:rFonts w:asciiTheme="majorBidi" w:hAnsiTheme="majorBidi" w:cstheme="majorBidi"/>
          <w:sz w:val="24"/>
          <w:szCs w:val="24"/>
          <w:highlight w:val="yellow"/>
        </w:rPr>
        <w:t>.</w:t>
      </w:r>
    </w:p>
    <w:p w14:paraId="27C59181" w14:textId="77777777"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The controls behave as expected. Profitability is positive and significant in all three quantiles, with coefficients between 0.037 and 0.050, yet is not statistically significant in the pooled OLS. This suggests that profitability differentials are most informative within segments of the valuation distribution rather than in the pooled mean. Firm size is strongly positive and precisely estimated in OLS at 1.042 and remains large and significant at each quantile, ranging from 1.015 to 1.055, which is consistent with scale and recognition effects in pricing.</w:t>
      </w:r>
    </w:p>
    <w:p w14:paraId="4A60C875" w14:textId="6E2DA03D" w:rsidR="00B20186" w:rsidRPr="004914E6" w:rsidRDefault="00FB31B5" w:rsidP="00806BB1">
      <w:pPr>
        <w:jc w:val="both"/>
        <w:rPr>
          <w:rFonts w:asciiTheme="majorBidi" w:hAnsiTheme="majorBidi" w:cstheme="majorBidi"/>
          <w:sz w:val="24"/>
          <w:szCs w:val="24"/>
        </w:rPr>
      </w:pPr>
      <w:r w:rsidRPr="004914E6">
        <w:rPr>
          <w:rFonts w:asciiTheme="majorBidi" w:hAnsiTheme="majorBidi" w:cstheme="majorBidi"/>
          <w:sz w:val="24"/>
          <w:szCs w:val="24"/>
        </w:rPr>
        <w:t>In sum, the results indicate that the tenor composition of debt matters for valuation across the distribution of shareholders’ wealth. Short-term debt is valuation-enhancing, long-term debt is valuation-reducing, and the cost of debt is generally harmful with the largest adverse association around the median. Interaction terms with the cost of debt are not material once regressors are centred. These findings reinforce the study’s central message that tenor mix and borrowing-cost levels are the primary channels through which leverage maps into market value in this high-cost environment</w:t>
      </w:r>
      <w:r w:rsidR="00B20186" w:rsidRPr="004914E6">
        <w:rPr>
          <w:rFonts w:asciiTheme="majorBidi" w:hAnsiTheme="majorBidi" w:cstheme="majorBidi"/>
          <w:sz w:val="24"/>
          <w:szCs w:val="24"/>
        </w:rPr>
        <w:t>.</w:t>
      </w:r>
    </w:p>
    <w:p w14:paraId="1EE88AB4" w14:textId="77777777" w:rsidR="00B20186" w:rsidRPr="004914E6" w:rsidRDefault="00B20186" w:rsidP="00497378">
      <w:pPr>
        <w:pStyle w:val="Heading1"/>
        <w:rPr>
          <w:rFonts w:asciiTheme="majorBidi" w:hAnsiTheme="majorBidi"/>
          <w:b/>
          <w:bCs/>
          <w:color w:val="auto"/>
          <w:sz w:val="24"/>
          <w:szCs w:val="24"/>
        </w:rPr>
      </w:pPr>
      <w:r w:rsidRPr="004914E6">
        <w:rPr>
          <w:rFonts w:asciiTheme="majorBidi" w:hAnsiTheme="majorBidi"/>
          <w:b/>
          <w:bCs/>
          <w:color w:val="auto"/>
          <w:sz w:val="24"/>
          <w:szCs w:val="24"/>
        </w:rPr>
        <w:t>5. Conclusion and recommendations</w:t>
      </w:r>
    </w:p>
    <w:p w14:paraId="5A1DDE3A" w14:textId="77777777"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This paper documents heterogeneous associations between debt structure and shareholders’ wealth for listed Nigerian manufacturers. Short-term debt is positively related to valuation, and long-term debt is negatively related, both on average and across the valuation distribution. The cost of debt is generally adverse and strongest around the median. Interaction terms are not statistically significant across quantiles, which points to tenor and borrowing-cost levels as the central channels. Policy and managerial implications follow. First, treasurers should prioritise disciplined short-term funding for working capital while managing rollover risk, especially for firms in the lower half of the valuation distribution. Second, exposure to long-dated leverage should be conservative unless matched to stable cash flows and secured at competitive spreads. Third, active cost-of-debt management, including improved disclosure, covenant negotiation, maturity staggering and relationship banking, is likely to yield valuation benefits, particularly for median firms.</w:t>
      </w:r>
    </w:p>
    <w:p w14:paraId="14FAAAC4" w14:textId="3030D582"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Investors should weigh tenor composition and effective borrowing costs when screening issuers. Policymakers can support value creation by lowering effective borrowing costs for creditworthy manufacturers through risk-sharing facilities and by strengthening market microstructure and creditor rights to reduce spreads and extend feasible maturities.</w:t>
      </w:r>
    </w:p>
    <w:p w14:paraId="6F75EF80" w14:textId="77777777" w:rsidR="00B20186" w:rsidRPr="004914E6" w:rsidRDefault="00B20186" w:rsidP="00033E69">
      <w:pPr>
        <w:pStyle w:val="Heading1"/>
        <w:rPr>
          <w:rFonts w:asciiTheme="majorBidi" w:hAnsiTheme="majorBidi"/>
          <w:b/>
          <w:bCs/>
          <w:color w:val="auto"/>
          <w:sz w:val="24"/>
          <w:szCs w:val="24"/>
        </w:rPr>
      </w:pPr>
      <w:r w:rsidRPr="004914E6">
        <w:rPr>
          <w:rFonts w:asciiTheme="majorBidi" w:hAnsiTheme="majorBidi"/>
          <w:b/>
          <w:bCs/>
          <w:color w:val="auto"/>
          <w:sz w:val="24"/>
          <w:szCs w:val="24"/>
        </w:rPr>
        <w:t>6. Limitations and directions for future research</w:t>
      </w:r>
    </w:p>
    <w:p w14:paraId="1A71FA96" w14:textId="77777777"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 xml:space="preserve">The study uses observational panel data; despite robust inference, endogeneity cannot be fully ruled out. Shareholders’ wealth is proxied by market capitalisation, which reflects liquidity and sentiment as well as fundamentals. The cost-of-debt measure is an average price and may not capture marginal pricing, currency composition or covenant tightness. We do not distinguish bank from bond debt, fixed from floating rates, or currency exposures, each of which can alter risk. Future research should strengthen identification using quasi-experimental changes in borrowing conditions, incorporate richer liability decompositions, and consider alternative valuation outcomes such as Tobin’s Q and total shareholder return. Extending quantile methods to panel settings with firm fixed effects, using recent approaches to non-additive heterogeneity, </w:t>
      </w:r>
      <w:r w:rsidRPr="004914E6">
        <w:rPr>
          <w:rFonts w:asciiTheme="majorBidi" w:hAnsiTheme="majorBidi" w:cstheme="majorBidi"/>
          <w:sz w:val="24"/>
          <w:szCs w:val="24"/>
        </w:rPr>
        <w:lastRenderedPageBreak/>
        <w:t>would also be valuable. Cross-country comparisons within Africa could map the institutional conditions under which tenor choices create or erode value.</w:t>
      </w:r>
    </w:p>
    <w:p w14:paraId="5C456553" w14:textId="77777777" w:rsidR="00C81B96" w:rsidRPr="004B31B3" w:rsidRDefault="00C81B96" w:rsidP="00C81B96">
      <w:pPr>
        <w:rPr>
          <w:b/>
          <w:highlight w:val="yellow"/>
        </w:rPr>
      </w:pPr>
      <w:r w:rsidRPr="004B31B3">
        <w:rPr>
          <w:b/>
          <w:highlight w:val="yellow"/>
        </w:rPr>
        <w:t>Disclaimer (Artificial intelligence)</w:t>
      </w:r>
    </w:p>
    <w:p w14:paraId="21A7145A" w14:textId="0256E137" w:rsidR="00B20186" w:rsidRPr="00446FA3" w:rsidRDefault="00446FA3" w:rsidP="00446FA3">
      <w:pPr>
        <w:rPr>
          <w:highlight w:val="yellow"/>
        </w:rPr>
      </w:pPr>
      <w:r w:rsidRPr="00446FA3">
        <w:rPr>
          <w:highlight w:val="yellow"/>
        </w:rPr>
        <w:t xml:space="preserve">Artificial intelligence tools </w:t>
      </w:r>
      <w:r>
        <w:rPr>
          <w:highlight w:val="yellow"/>
        </w:rPr>
        <w:t>(</w:t>
      </w:r>
      <w:proofErr w:type="spellStart"/>
      <w:r>
        <w:rPr>
          <w:highlight w:val="yellow"/>
        </w:rPr>
        <w:t>ChatGPT</w:t>
      </w:r>
      <w:proofErr w:type="spellEnd"/>
      <w:r>
        <w:rPr>
          <w:highlight w:val="yellow"/>
        </w:rPr>
        <w:t xml:space="preserve"> </w:t>
      </w:r>
      <w:r w:rsidR="006334F7">
        <w:rPr>
          <w:highlight w:val="yellow"/>
        </w:rPr>
        <w:t xml:space="preserve">&amp; </w:t>
      </w:r>
      <w:proofErr w:type="spellStart"/>
      <w:r>
        <w:rPr>
          <w:highlight w:val="yellow"/>
        </w:rPr>
        <w:t>Deepseek</w:t>
      </w:r>
      <w:proofErr w:type="spellEnd"/>
      <w:r>
        <w:rPr>
          <w:highlight w:val="yellow"/>
        </w:rPr>
        <w:t xml:space="preserve">) </w:t>
      </w:r>
      <w:r w:rsidRPr="00446FA3">
        <w:rPr>
          <w:highlight w:val="yellow"/>
        </w:rPr>
        <w:t>were used exclusively for language editing and stylistic improvement. No AI system contributed to the study design, data analysis, interpretation, or conclusions. Responsibility for the content of this manuscript rests entirely with the authors</w:t>
      </w:r>
      <w:r>
        <w:rPr>
          <w:highlight w:val="yellow"/>
        </w:rPr>
        <w:t xml:space="preserve">. </w:t>
      </w:r>
    </w:p>
    <w:p w14:paraId="21C47B97" w14:textId="77777777" w:rsidR="00B20186" w:rsidRPr="004914E6" w:rsidRDefault="00B20186" w:rsidP="004C501B">
      <w:pPr>
        <w:pStyle w:val="Heading1"/>
        <w:rPr>
          <w:b/>
          <w:bCs/>
          <w:color w:val="auto"/>
          <w:sz w:val="24"/>
          <w:szCs w:val="24"/>
        </w:rPr>
      </w:pPr>
      <w:r w:rsidRPr="004914E6">
        <w:rPr>
          <w:b/>
          <w:bCs/>
          <w:color w:val="auto"/>
          <w:sz w:val="24"/>
          <w:szCs w:val="24"/>
        </w:rPr>
        <w:t>References</w:t>
      </w:r>
    </w:p>
    <w:p w14:paraId="5F277763" w14:textId="12AE3A3D" w:rsidR="008B4ECC" w:rsidRPr="00A24EBE" w:rsidRDefault="003E71FA"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Abor, J. (2005). The effect of capital structure on profitability: An empirical analysis of listed firms in Ghana. The Journal of Risk Finance, 6(5), 438–445. </w:t>
      </w:r>
      <w:hyperlink r:id="rId7" w:history="1">
        <w:r w:rsidRPr="00A24EBE">
          <w:rPr>
            <w:rStyle w:val="Hyperlink"/>
            <w:rFonts w:asciiTheme="majorBidi" w:hAnsiTheme="majorBidi" w:cstheme="majorBidi"/>
            <w:sz w:val="24"/>
            <w:szCs w:val="24"/>
          </w:rPr>
          <w:t>https://doi.org/10.1108/15265940510633505</w:t>
        </w:r>
      </w:hyperlink>
      <w:r w:rsidRPr="00A24EBE">
        <w:rPr>
          <w:rFonts w:asciiTheme="majorBidi" w:hAnsiTheme="majorBidi" w:cstheme="majorBidi"/>
          <w:sz w:val="24"/>
          <w:szCs w:val="24"/>
        </w:rPr>
        <w:t xml:space="preserve"> </w:t>
      </w:r>
    </w:p>
    <w:p w14:paraId="081BF96B" w14:textId="77777777" w:rsidR="008B4ECC" w:rsidRPr="00A24EBE" w:rsidRDefault="008B4ECC"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t>Adibeli</w:t>
      </w:r>
      <w:proofErr w:type="spellEnd"/>
      <w:r w:rsidRPr="00A24EBE">
        <w:rPr>
          <w:rFonts w:asciiTheme="majorBidi" w:hAnsiTheme="majorBidi" w:cstheme="majorBidi"/>
          <w:sz w:val="24"/>
          <w:szCs w:val="24"/>
        </w:rPr>
        <w:t xml:space="preserve">, P. C., &amp; </w:t>
      </w:r>
      <w:proofErr w:type="spellStart"/>
      <w:r w:rsidRPr="00A24EBE">
        <w:rPr>
          <w:rFonts w:asciiTheme="majorBidi" w:hAnsiTheme="majorBidi" w:cstheme="majorBidi"/>
          <w:sz w:val="24"/>
          <w:szCs w:val="24"/>
        </w:rPr>
        <w:t>Amahalu</w:t>
      </w:r>
      <w:proofErr w:type="spellEnd"/>
      <w:r w:rsidRPr="00A24EBE">
        <w:rPr>
          <w:rFonts w:asciiTheme="majorBidi" w:hAnsiTheme="majorBidi" w:cstheme="majorBidi"/>
          <w:sz w:val="24"/>
          <w:szCs w:val="24"/>
        </w:rPr>
        <w:t>, N. N. (2023). Debt financing and shareholders wealth creation of quoted manufacturing firms in Nigeria. </w:t>
      </w:r>
      <w:r w:rsidRPr="00A24EBE">
        <w:rPr>
          <w:rFonts w:asciiTheme="majorBidi" w:hAnsiTheme="majorBidi" w:cstheme="majorBidi"/>
          <w:i/>
          <w:iCs/>
          <w:sz w:val="24"/>
          <w:szCs w:val="24"/>
        </w:rPr>
        <w:t>Journal of Global Accounting</w:t>
      </w:r>
      <w:r w:rsidRPr="00A24EBE">
        <w:rPr>
          <w:rFonts w:asciiTheme="majorBidi" w:hAnsiTheme="majorBidi" w:cstheme="majorBidi"/>
          <w:sz w:val="24"/>
          <w:szCs w:val="24"/>
        </w:rPr>
        <w:t>. </w:t>
      </w:r>
      <w:hyperlink r:id="rId8" w:tgtFrame="_blank" w:history="1">
        <w:r w:rsidRPr="00A24EBE">
          <w:rPr>
            <w:rStyle w:val="Hyperlink"/>
            <w:rFonts w:asciiTheme="majorBidi" w:hAnsiTheme="majorBidi" w:cstheme="majorBidi"/>
            <w:sz w:val="24"/>
            <w:szCs w:val="24"/>
          </w:rPr>
          <w:t>https://journals.unizik.edu.ng/index.php/joga</w:t>
        </w:r>
      </w:hyperlink>
    </w:p>
    <w:p w14:paraId="7EB5673D" w14:textId="135CF91B" w:rsidR="00CA7417" w:rsidRPr="00A24EBE" w:rsidRDefault="007A2E7B"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Ahmad, S. M., Bakar, R., &amp; Islam, M. A. (2020). The effect of debt financing on firm value: A panel data approach. </w:t>
      </w:r>
      <w:proofErr w:type="spellStart"/>
      <w:r w:rsidRPr="00A24EBE">
        <w:rPr>
          <w:rFonts w:asciiTheme="majorBidi" w:hAnsiTheme="majorBidi" w:cstheme="majorBidi"/>
          <w:sz w:val="24"/>
          <w:szCs w:val="24"/>
        </w:rPr>
        <w:t>Albukhary</w:t>
      </w:r>
      <w:proofErr w:type="spellEnd"/>
      <w:r w:rsidRPr="00A24EBE">
        <w:rPr>
          <w:rFonts w:asciiTheme="majorBidi" w:hAnsiTheme="majorBidi" w:cstheme="majorBidi"/>
          <w:sz w:val="24"/>
          <w:szCs w:val="24"/>
        </w:rPr>
        <w:t xml:space="preserve"> Social Business Journal. </w:t>
      </w:r>
      <w:hyperlink r:id="rId9" w:history="1">
        <w:r w:rsidRPr="00A24EBE">
          <w:rPr>
            <w:rStyle w:val="Hyperlink"/>
            <w:rFonts w:asciiTheme="majorBidi" w:hAnsiTheme="majorBidi" w:cstheme="majorBidi"/>
            <w:sz w:val="24"/>
            <w:szCs w:val="24"/>
          </w:rPr>
          <w:t>https://asbj.aiu.edu.my/images/Vol1Issue2Dec2020/4.pdf</w:t>
        </w:r>
      </w:hyperlink>
      <w:r w:rsidRPr="00A24EBE">
        <w:rPr>
          <w:rFonts w:asciiTheme="majorBidi" w:hAnsiTheme="majorBidi" w:cstheme="majorBidi"/>
          <w:sz w:val="24"/>
          <w:szCs w:val="24"/>
        </w:rPr>
        <w:t xml:space="preserve"> </w:t>
      </w:r>
      <w:r w:rsidR="00CA7417" w:rsidRPr="00A24EBE">
        <w:rPr>
          <w:rFonts w:asciiTheme="majorBidi" w:hAnsiTheme="majorBidi" w:cstheme="majorBidi"/>
          <w:sz w:val="24"/>
          <w:szCs w:val="24"/>
        </w:rPr>
        <w:t xml:space="preserve"> </w:t>
      </w:r>
    </w:p>
    <w:p w14:paraId="056EA74D" w14:textId="76DA77EB" w:rsidR="008B4ECC" w:rsidRPr="00A24EBE" w:rsidRDefault="00912783"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Ahmed, A. M., </w:t>
      </w:r>
      <w:proofErr w:type="spellStart"/>
      <w:r w:rsidRPr="00A24EBE">
        <w:rPr>
          <w:rFonts w:asciiTheme="majorBidi" w:hAnsiTheme="majorBidi" w:cstheme="majorBidi"/>
          <w:sz w:val="24"/>
          <w:szCs w:val="24"/>
        </w:rPr>
        <w:t>Nugraha</w:t>
      </w:r>
      <w:proofErr w:type="spellEnd"/>
      <w:r w:rsidRPr="00A24EBE">
        <w:rPr>
          <w:rFonts w:asciiTheme="majorBidi" w:hAnsiTheme="majorBidi" w:cstheme="majorBidi"/>
          <w:sz w:val="24"/>
          <w:szCs w:val="24"/>
        </w:rPr>
        <w:t xml:space="preserve">, D. P., &amp; </w:t>
      </w:r>
      <w:proofErr w:type="spellStart"/>
      <w:r w:rsidRPr="00A24EBE">
        <w:rPr>
          <w:rFonts w:asciiTheme="majorBidi" w:hAnsiTheme="majorBidi" w:cstheme="majorBidi"/>
          <w:sz w:val="24"/>
          <w:szCs w:val="24"/>
        </w:rPr>
        <w:t>Hágen</w:t>
      </w:r>
      <w:proofErr w:type="spellEnd"/>
      <w:r w:rsidRPr="00A24EBE">
        <w:rPr>
          <w:rFonts w:asciiTheme="majorBidi" w:hAnsiTheme="majorBidi" w:cstheme="majorBidi"/>
          <w:sz w:val="24"/>
          <w:szCs w:val="24"/>
        </w:rPr>
        <w:t xml:space="preserve">, I. (2023). The relationship between capital structure and firm performance: The moderating role of agency cost. Risks, 11(6), 102. </w:t>
      </w:r>
      <w:hyperlink r:id="rId10" w:history="1">
        <w:r w:rsidRPr="00A24EBE">
          <w:rPr>
            <w:rStyle w:val="Hyperlink"/>
            <w:rFonts w:asciiTheme="majorBidi" w:hAnsiTheme="majorBidi" w:cstheme="majorBidi"/>
            <w:sz w:val="24"/>
            <w:szCs w:val="24"/>
          </w:rPr>
          <w:t>https://doi.org/10.3390/risks11060102</w:t>
        </w:r>
      </w:hyperlink>
      <w:r w:rsidRPr="00A24EBE">
        <w:rPr>
          <w:rFonts w:asciiTheme="majorBidi" w:hAnsiTheme="majorBidi" w:cstheme="majorBidi"/>
          <w:sz w:val="24"/>
          <w:szCs w:val="24"/>
        </w:rPr>
        <w:t xml:space="preserve"> </w:t>
      </w:r>
    </w:p>
    <w:p w14:paraId="17DBEFD6" w14:textId="1FFC98DC" w:rsidR="008B4ECC" w:rsidRPr="00A24EBE" w:rsidRDefault="004710B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Anozie, O. R., Muritala, T. A., </w:t>
      </w:r>
      <w:proofErr w:type="spellStart"/>
      <w:r w:rsidRPr="00A24EBE">
        <w:rPr>
          <w:rFonts w:asciiTheme="majorBidi" w:hAnsiTheme="majorBidi" w:cstheme="majorBidi"/>
          <w:sz w:val="24"/>
          <w:szCs w:val="24"/>
        </w:rPr>
        <w:t>Ininm</w:t>
      </w:r>
      <w:proofErr w:type="spellEnd"/>
      <w:r w:rsidRPr="00A24EBE">
        <w:rPr>
          <w:rFonts w:asciiTheme="majorBidi" w:hAnsiTheme="majorBidi" w:cstheme="majorBidi"/>
          <w:sz w:val="24"/>
          <w:szCs w:val="24"/>
        </w:rPr>
        <w:t xml:space="preserve">, V. E., &amp; </w:t>
      </w:r>
      <w:proofErr w:type="spellStart"/>
      <w:r w:rsidRPr="00A24EBE">
        <w:rPr>
          <w:rFonts w:asciiTheme="majorBidi" w:hAnsiTheme="majorBidi" w:cstheme="majorBidi"/>
          <w:sz w:val="24"/>
          <w:szCs w:val="24"/>
        </w:rPr>
        <w:t>Yisau</w:t>
      </w:r>
      <w:proofErr w:type="spellEnd"/>
      <w:r w:rsidRPr="00A24EBE">
        <w:rPr>
          <w:rFonts w:asciiTheme="majorBidi" w:hAnsiTheme="majorBidi" w:cstheme="majorBidi"/>
          <w:sz w:val="24"/>
          <w:szCs w:val="24"/>
        </w:rPr>
        <w:t xml:space="preserve">, N. S. (2023). Impact of capital structure on financial performance of oil and gas firms in Nigeria. Future Business Journal, 9(1), 1-9. </w:t>
      </w:r>
      <w:hyperlink r:id="rId11" w:history="1">
        <w:r w:rsidRPr="00A24EBE">
          <w:rPr>
            <w:rStyle w:val="Hyperlink"/>
            <w:rFonts w:asciiTheme="majorBidi" w:hAnsiTheme="majorBidi" w:cstheme="majorBidi"/>
            <w:sz w:val="24"/>
            <w:szCs w:val="24"/>
          </w:rPr>
          <w:t>https://doi.org/10.1186/s43093-023-00186-4</w:t>
        </w:r>
      </w:hyperlink>
      <w:r w:rsidRPr="00A24EBE">
        <w:rPr>
          <w:rFonts w:asciiTheme="majorBidi" w:hAnsiTheme="majorBidi" w:cstheme="majorBidi"/>
          <w:sz w:val="24"/>
          <w:szCs w:val="24"/>
        </w:rPr>
        <w:t xml:space="preserve"> </w:t>
      </w:r>
    </w:p>
    <w:p w14:paraId="6B8C9478" w14:textId="27306E52" w:rsidR="008B4ECC" w:rsidRPr="00A24EBE" w:rsidRDefault="004D0BD5"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t>Arhinful</w:t>
      </w:r>
      <w:proofErr w:type="spellEnd"/>
      <w:r w:rsidRPr="00A24EBE">
        <w:rPr>
          <w:rFonts w:asciiTheme="majorBidi" w:hAnsiTheme="majorBidi" w:cstheme="majorBidi"/>
          <w:sz w:val="24"/>
          <w:szCs w:val="24"/>
        </w:rPr>
        <w:t xml:space="preserve">, R., Mensah, L., Amin, H. I. M., &amp; Obeng, H. A. (2024). The influence of cost of debt, cost of equity and weighted average cost of capital on dividend policy decision: evidence from non-financial companies listed on the Frankfurt Stock Exchange. Future Business Journal, 10(1), 1-24. </w:t>
      </w:r>
      <w:hyperlink r:id="rId12" w:history="1">
        <w:r w:rsidRPr="00A24EBE">
          <w:rPr>
            <w:rStyle w:val="Hyperlink"/>
            <w:rFonts w:asciiTheme="majorBidi" w:hAnsiTheme="majorBidi" w:cstheme="majorBidi"/>
            <w:sz w:val="24"/>
            <w:szCs w:val="24"/>
          </w:rPr>
          <w:t>https://doi.org/10.1186/s43093-024-00384-8</w:t>
        </w:r>
      </w:hyperlink>
      <w:r w:rsidRPr="00A24EBE">
        <w:rPr>
          <w:rFonts w:asciiTheme="majorBidi" w:hAnsiTheme="majorBidi" w:cstheme="majorBidi"/>
          <w:sz w:val="24"/>
          <w:szCs w:val="24"/>
        </w:rPr>
        <w:t xml:space="preserve"> </w:t>
      </w:r>
    </w:p>
    <w:p w14:paraId="0B28BFFD"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Bae, S. C., Klein, D. P., &amp; Padmaraj, R. (1994). Event risk bond covenants, agency costs of debt and equity, and stockholder wealth. </w:t>
      </w:r>
      <w:r w:rsidRPr="00A24EBE">
        <w:rPr>
          <w:rFonts w:asciiTheme="majorBidi" w:hAnsiTheme="majorBidi" w:cstheme="majorBidi"/>
          <w:i/>
          <w:iCs/>
          <w:sz w:val="24"/>
          <w:szCs w:val="24"/>
        </w:rPr>
        <w:t>Financial Management, 23</w:t>
      </w:r>
      <w:r w:rsidRPr="00A24EBE">
        <w:rPr>
          <w:rFonts w:asciiTheme="majorBidi" w:hAnsiTheme="majorBidi" w:cstheme="majorBidi"/>
          <w:sz w:val="24"/>
          <w:szCs w:val="24"/>
        </w:rPr>
        <w:t>(4), 28–40. </w:t>
      </w:r>
      <w:hyperlink r:id="rId13" w:tgtFrame="_blank" w:history="1">
        <w:r w:rsidRPr="00A24EBE">
          <w:rPr>
            <w:rStyle w:val="Hyperlink"/>
            <w:rFonts w:asciiTheme="majorBidi" w:hAnsiTheme="majorBidi" w:cstheme="majorBidi"/>
            <w:sz w:val="24"/>
            <w:szCs w:val="24"/>
          </w:rPr>
          <w:t>https://doi.org/10.2307/3665615</w:t>
        </w:r>
      </w:hyperlink>
    </w:p>
    <w:p w14:paraId="3559F67F" w14:textId="1AE71227" w:rsidR="008B4ECC" w:rsidRPr="00A24EBE" w:rsidRDefault="0020789B"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Barclay, M. J., &amp; Smith, C. W. (1995). The maturity structure of corporate debt. Journal of Finance, 50(2), 609–631. </w:t>
      </w:r>
      <w:hyperlink r:id="rId14" w:history="1">
        <w:r w:rsidRPr="00A24EBE">
          <w:rPr>
            <w:rStyle w:val="Hyperlink"/>
            <w:rFonts w:asciiTheme="majorBidi" w:hAnsiTheme="majorBidi" w:cstheme="majorBidi"/>
            <w:sz w:val="24"/>
            <w:szCs w:val="24"/>
          </w:rPr>
          <w:t>https://doi.org/10.1111/j.1540-6261.1995.tb04797.x</w:t>
        </w:r>
      </w:hyperlink>
      <w:r w:rsidRPr="00A24EBE">
        <w:rPr>
          <w:rFonts w:asciiTheme="majorBidi" w:hAnsiTheme="majorBidi" w:cstheme="majorBidi"/>
          <w:sz w:val="24"/>
          <w:szCs w:val="24"/>
        </w:rPr>
        <w:t xml:space="preserve"> </w:t>
      </w:r>
    </w:p>
    <w:p w14:paraId="575238B5" w14:textId="7683AB11" w:rsidR="008B4ECC" w:rsidRPr="00A24EBE" w:rsidRDefault="00D80F73"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Battisti, E., </w:t>
      </w:r>
      <w:proofErr w:type="spellStart"/>
      <w:r w:rsidRPr="00A24EBE">
        <w:rPr>
          <w:rFonts w:asciiTheme="majorBidi" w:hAnsiTheme="majorBidi" w:cstheme="majorBidi"/>
          <w:sz w:val="24"/>
          <w:szCs w:val="24"/>
        </w:rPr>
        <w:t>Bollani</w:t>
      </w:r>
      <w:proofErr w:type="spellEnd"/>
      <w:r w:rsidRPr="00A24EBE">
        <w:rPr>
          <w:rFonts w:asciiTheme="majorBidi" w:hAnsiTheme="majorBidi" w:cstheme="majorBidi"/>
          <w:sz w:val="24"/>
          <w:szCs w:val="24"/>
        </w:rPr>
        <w:t xml:space="preserve">, L., Miglietta, N., &amp; Salvi, A. (2020). The impact of leverage on the cost of capital and market value: Evidence from </w:t>
      </w:r>
      <w:proofErr w:type="spellStart"/>
      <w:r w:rsidRPr="00A24EBE">
        <w:rPr>
          <w:rFonts w:asciiTheme="majorBidi" w:hAnsiTheme="majorBidi" w:cstheme="majorBidi"/>
          <w:sz w:val="24"/>
          <w:szCs w:val="24"/>
        </w:rPr>
        <w:t>Sharīʿah</w:t>
      </w:r>
      <w:proofErr w:type="spellEnd"/>
      <w:r w:rsidRPr="00A24EBE">
        <w:rPr>
          <w:rFonts w:asciiTheme="majorBidi" w:hAnsiTheme="majorBidi" w:cstheme="majorBidi"/>
          <w:sz w:val="24"/>
          <w:szCs w:val="24"/>
        </w:rPr>
        <w:t xml:space="preserve">-compliant firms. Management Research Review, 43(9), 1081–1096. </w:t>
      </w:r>
      <w:hyperlink r:id="rId15" w:history="1">
        <w:r w:rsidRPr="00A24EBE">
          <w:rPr>
            <w:rStyle w:val="Hyperlink"/>
            <w:rFonts w:asciiTheme="majorBidi" w:hAnsiTheme="majorBidi" w:cstheme="majorBidi"/>
            <w:sz w:val="24"/>
            <w:szCs w:val="24"/>
          </w:rPr>
          <w:t>https://doi.org/10.1108/MRR-01-2019-0007</w:t>
        </w:r>
      </w:hyperlink>
      <w:r w:rsidRPr="00A24EBE">
        <w:rPr>
          <w:rFonts w:asciiTheme="majorBidi" w:hAnsiTheme="majorBidi" w:cstheme="majorBidi"/>
          <w:sz w:val="24"/>
          <w:szCs w:val="24"/>
        </w:rPr>
        <w:t xml:space="preserve"> </w:t>
      </w:r>
    </w:p>
    <w:p w14:paraId="0856580A" w14:textId="2FFBEB6D" w:rsidR="008B4ECC" w:rsidRPr="00A24EBE" w:rsidRDefault="00EB79E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Bett, T. C., Oluoch, O., </w:t>
      </w:r>
      <w:proofErr w:type="spellStart"/>
      <w:r w:rsidRPr="00A24EBE">
        <w:rPr>
          <w:rFonts w:asciiTheme="majorBidi" w:hAnsiTheme="majorBidi" w:cstheme="majorBidi"/>
          <w:sz w:val="24"/>
          <w:szCs w:val="24"/>
        </w:rPr>
        <w:t>Mwikamba</w:t>
      </w:r>
      <w:proofErr w:type="spellEnd"/>
      <w:r w:rsidRPr="00A24EBE">
        <w:rPr>
          <w:rFonts w:asciiTheme="majorBidi" w:hAnsiTheme="majorBidi" w:cstheme="majorBidi"/>
          <w:sz w:val="24"/>
          <w:szCs w:val="24"/>
        </w:rPr>
        <w:t xml:space="preserve">, T., &amp; Waga, C. (2025). Long term liabilities and financial performance of non-financial firms listed at Nairobi Securities Exchange, Kenya. International Academic Journal of Economics and Finance, 5(1), 183–203. </w:t>
      </w:r>
      <w:hyperlink r:id="rId16" w:history="1">
        <w:r w:rsidRPr="00A24EBE">
          <w:rPr>
            <w:rStyle w:val="Hyperlink"/>
            <w:rFonts w:asciiTheme="majorBidi" w:hAnsiTheme="majorBidi" w:cstheme="majorBidi"/>
            <w:sz w:val="24"/>
            <w:szCs w:val="24"/>
          </w:rPr>
          <w:t>https://iajournals.org/articles/iajef_v5_i1_183_203.pdf</w:t>
        </w:r>
      </w:hyperlink>
      <w:r w:rsidRPr="00A24EBE">
        <w:rPr>
          <w:rFonts w:asciiTheme="majorBidi" w:hAnsiTheme="majorBidi" w:cstheme="majorBidi"/>
          <w:sz w:val="24"/>
          <w:szCs w:val="24"/>
        </w:rPr>
        <w:t xml:space="preserve"> </w:t>
      </w:r>
    </w:p>
    <w:p w14:paraId="737C3AC4" w14:textId="46FE035B" w:rsidR="008B4ECC" w:rsidRPr="004914E6" w:rsidRDefault="00BD4B97" w:rsidP="00A24EBE">
      <w:pPr>
        <w:spacing w:line="240" w:lineRule="auto"/>
        <w:jc w:val="both"/>
      </w:pPr>
      <w:proofErr w:type="spellStart"/>
      <w:r w:rsidRPr="00A24EBE">
        <w:rPr>
          <w:rFonts w:asciiTheme="majorBidi" w:hAnsiTheme="majorBidi" w:cstheme="majorBidi"/>
          <w:sz w:val="24"/>
          <w:szCs w:val="24"/>
        </w:rPr>
        <w:t>Dabboussi</w:t>
      </w:r>
      <w:proofErr w:type="spellEnd"/>
      <w:r w:rsidRPr="00A24EBE">
        <w:rPr>
          <w:rFonts w:asciiTheme="majorBidi" w:hAnsiTheme="majorBidi" w:cstheme="majorBidi"/>
          <w:sz w:val="24"/>
          <w:szCs w:val="24"/>
        </w:rPr>
        <w:t xml:space="preserve">, M. (2024). Does debt structure explain the relationship between agency cost of free cash flow and dividend payment? Evidence from Saudi Arabia. Journal of Risk and Financial Management, 17(6), 1–13. </w:t>
      </w:r>
      <w:hyperlink r:id="rId17" w:history="1">
        <w:r w:rsidRPr="00A24EBE">
          <w:rPr>
            <w:rStyle w:val="Hyperlink"/>
            <w:rFonts w:asciiTheme="majorBidi" w:hAnsiTheme="majorBidi" w:cstheme="majorBidi"/>
            <w:sz w:val="24"/>
            <w:szCs w:val="24"/>
          </w:rPr>
          <w:t>https://doi.org/10.3390/jrfm17060001</w:t>
        </w:r>
      </w:hyperlink>
      <w:r w:rsidRPr="00A24EBE">
        <w:rPr>
          <w:rFonts w:asciiTheme="majorBidi" w:hAnsiTheme="majorBidi" w:cstheme="majorBidi"/>
          <w:sz w:val="24"/>
          <w:szCs w:val="24"/>
        </w:rPr>
        <w:t xml:space="preserve"> </w:t>
      </w:r>
    </w:p>
    <w:p w14:paraId="7DD77729" w14:textId="4FD4C40E" w:rsidR="003F611C" w:rsidRPr="00A24EBE" w:rsidRDefault="00D7556F"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lastRenderedPageBreak/>
        <w:t xml:space="preserve">Das, N. C., Chowdhury, M. A. F., &amp; Islam, M. N. (2021). The heterogeneous impact of leverage on firm performance: empirical evidence from Bangladesh. South Asian Journal of Business Studies, 11(2), 235–252. </w:t>
      </w:r>
      <w:hyperlink r:id="rId18" w:history="1">
        <w:r w:rsidRPr="00A24EBE">
          <w:rPr>
            <w:rStyle w:val="Hyperlink"/>
            <w:rFonts w:asciiTheme="majorBidi" w:hAnsiTheme="majorBidi" w:cstheme="majorBidi"/>
            <w:sz w:val="24"/>
            <w:szCs w:val="24"/>
          </w:rPr>
          <w:t>https://doi.org/10.1108/sajbs-04-2020-0100</w:t>
        </w:r>
      </w:hyperlink>
      <w:r w:rsidRPr="00A24EBE">
        <w:rPr>
          <w:rFonts w:asciiTheme="majorBidi" w:hAnsiTheme="majorBidi" w:cstheme="majorBidi"/>
          <w:sz w:val="24"/>
          <w:szCs w:val="24"/>
        </w:rPr>
        <w:t xml:space="preserve"> </w:t>
      </w:r>
      <w:r w:rsidR="00862C31" w:rsidRPr="00A24EBE">
        <w:rPr>
          <w:rFonts w:asciiTheme="majorBidi" w:hAnsiTheme="majorBidi" w:cstheme="majorBidi"/>
          <w:sz w:val="24"/>
          <w:szCs w:val="24"/>
        </w:rPr>
        <w:t xml:space="preserve"> </w:t>
      </w:r>
    </w:p>
    <w:p w14:paraId="558F9B10" w14:textId="05F7BD01" w:rsidR="00862C31" w:rsidRPr="00A24EBE" w:rsidRDefault="005F5462" w:rsidP="00A24EBE">
      <w:pPr>
        <w:spacing w:line="240" w:lineRule="auto"/>
        <w:jc w:val="both"/>
        <w:rPr>
          <w:rFonts w:asciiTheme="majorBidi" w:hAnsiTheme="majorBidi" w:cstheme="majorBidi"/>
          <w:sz w:val="24"/>
          <w:szCs w:val="24"/>
        </w:rPr>
      </w:pPr>
      <w:r w:rsidRPr="00535197">
        <w:rPr>
          <w:rFonts w:asciiTheme="majorBidi" w:hAnsiTheme="majorBidi" w:cstheme="majorBidi"/>
          <w:sz w:val="24"/>
          <w:szCs w:val="24"/>
          <w:lang w:val="pt-BR"/>
        </w:rPr>
        <w:t xml:space="preserve">Eduzor, G. C., Edeh, P. O., &amp; Akpadaka, O. S. (2025). </w:t>
      </w:r>
      <w:r w:rsidRPr="00A24EBE">
        <w:rPr>
          <w:rFonts w:asciiTheme="majorBidi" w:hAnsiTheme="majorBidi" w:cstheme="majorBidi"/>
          <w:sz w:val="24"/>
          <w:szCs w:val="24"/>
        </w:rPr>
        <w:t xml:space="preserve">Profitability as a Moderator of the Ownership Structure-Dividend Policy Nexus: Quantile Insights from Nigerian Banks. Asian Journal of Economics Business and Accounting, 25(8), 177–190. </w:t>
      </w:r>
      <w:hyperlink r:id="rId19" w:history="1">
        <w:r w:rsidRPr="00A24EBE">
          <w:rPr>
            <w:rStyle w:val="Hyperlink"/>
            <w:rFonts w:asciiTheme="majorBidi" w:hAnsiTheme="majorBidi" w:cstheme="majorBidi"/>
            <w:sz w:val="24"/>
            <w:szCs w:val="24"/>
          </w:rPr>
          <w:t>https://doi.org/10.9734/ajeba/2025/v25i81925</w:t>
        </w:r>
      </w:hyperlink>
      <w:r w:rsidRPr="00A24EBE">
        <w:rPr>
          <w:rFonts w:asciiTheme="majorBidi" w:hAnsiTheme="majorBidi" w:cstheme="majorBidi"/>
          <w:sz w:val="24"/>
          <w:szCs w:val="24"/>
        </w:rPr>
        <w:t xml:space="preserve"> </w:t>
      </w:r>
      <w:r w:rsidR="006A65B7" w:rsidRPr="00A24EBE">
        <w:rPr>
          <w:rFonts w:asciiTheme="majorBidi" w:hAnsiTheme="majorBidi" w:cstheme="majorBidi"/>
          <w:sz w:val="24"/>
          <w:szCs w:val="24"/>
        </w:rPr>
        <w:t xml:space="preserve"> </w:t>
      </w:r>
    </w:p>
    <w:p w14:paraId="7FE767D0" w14:textId="0A995600" w:rsidR="008B4ECC" w:rsidRPr="00A24EBE" w:rsidRDefault="00526D0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Egbadju, L. U., &amp; Jacob, R. B. (2022). Corporate governance characteristics and cost of debt of quoted non-financial firms in Nigeria. International Journal of Intellectual Discourse, 5(4), 124–134. </w:t>
      </w:r>
    </w:p>
    <w:p w14:paraId="6B868514" w14:textId="7A26D8AD" w:rsidR="008B4ECC" w:rsidRPr="00A24EBE" w:rsidRDefault="00BB3ECB"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Fama, E. F., &amp; French, K. R. (2002). Testing trade-off and pecking order predictions about dividends and debt. Review of Financial Studies, 15(1), 1–33. </w:t>
      </w:r>
      <w:hyperlink r:id="rId20" w:history="1">
        <w:r w:rsidRPr="00A24EBE">
          <w:rPr>
            <w:rStyle w:val="Hyperlink"/>
            <w:rFonts w:asciiTheme="majorBidi" w:hAnsiTheme="majorBidi" w:cstheme="majorBidi"/>
            <w:sz w:val="24"/>
            <w:szCs w:val="24"/>
          </w:rPr>
          <w:t>https://doi.org/10.1093/rfs/15.1.1</w:t>
        </w:r>
      </w:hyperlink>
      <w:r w:rsidRPr="00A24EBE">
        <w:rPr>
          <w:rFonts w:asciiTheme="majorBidi" w:hAnsiTheme="majorBidi" w:cstheme="majorBidi"/>
          <w:sz w:val="24"/>
          <w:szCs w:val="24"/>
        </w:rPr>
        <w:t xml:space="preserve"> </w:t>
      </w:r>
    </w:p>
    <w:p w14:paraId="22AC4D79" w14:textId="017AA703" w:rsidR="008B4ECC" w:rsidRPr="00A24EBE" w:rsidRDefault="00F80BCE"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Fan, J. P. H., Titman, S., &amp; Twite, G. (2012). An international comparison of capital structure and debt maturity choices. Journal of Financial and Quantitative Analysis, 47(1), 23–56. </w:t>
      </w:r>
      <w:hyperlink r:id="rId21" w:history="1">
        <w:r w:rsidRPr="00A24EBE">
          <w:rPr>
            <w:rStyle w:val="Hyperlink"/>
            <w:rFonts w:asciiTheme="majorBidi" w:hAnsiTheme="majorBidi" w:cstheme="majorBidi"/>
            <w:sz w:val="24"/>
            <w:szCs w:val="24"/>
          </w:rPr>
          <w:t>https://doi.org/10.1017/S0022109011000597</w:t>
        </w:r>
      </w:hyperlink>
      <w:r w:rsidRPr="00A24EBE">
        <w:rPr>
          <w:rFonts w:asciiTheme="majorBidi" w:hAnsiTheme="majorBidi" w:cstheme="majorBidi"/>
          <w:sz w:val="24"/>
          <w:szCs w:val="24"/>
        </w:rPr>
        <w:t xml:space="preserve"> </w:t>
      </w:r>
    </w:p>
    <w:p w14:paraId="4724E283"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Filbeck, G., Zhao, X., &amp; Knoll, R. (2017). An analysis of working capital efficiency and shareholder return. </w:t>
      </w:r>
      <w:r w:rsidRPr="00A24EBE">
        <w:rPr>
          <w:rFonts w:asciiTheme="majorBidi" w:hAnsiTheme="majorBidi" w:cstheme="majorBidi"/>
          <w:i/>
          <w:iCs/>
          <w:sz w:val="24"/>
          <w:szCs w:val="24"/>
        </w:rPr>
        <w:t>Review of Quantitative Finance and Accounting, 48</w:t>
      </w:r>
      <w:r w:rsidRPr="00A24EBE">
        <w:rPr>
          <w:rFonts w:asciiTheme="majorBidi" w:hAnsiTheme="majorBidi" w:cstheme="majorBidi"/>
          <w:sz w:val="24"/>
          <w:szCs w:val="24"/>
        </w:rPr>
        <w:t>(2), 265–288. </w:t>
      </w:r>
      <w:hyperlink r:id="rId22" w:tgtFrame="_blank" w:history="1">
        <w:r w:rsidRPr="00A24EBE">
          <w:rPr>
            <w:rStyle w:val="Hyperlink"/>
            <w:rFonts w:asciiTheme="majorBidi" w:hAnsiTheme="majorBidi" w:cstheme="majorBidi"/>
            <w:sz w:val="24"/>
            <w:szCs w:val="24"/>
          </w:rPr>
          <w:t>https://doi.org/10.1007/s11156-016-0550-8</w:t>
        </w:r>
      </w:hyperlink>
    </w:p>
    <w:p w14:paraId="6D12A756" w14:textId="505E9F4A" w:rsidR="008B4ECC" w:rsidRPr="004914E6" w:rsidRDefault="00CE1EFA" w:rsidP="00A24EBE">
      <w:pPr>
        <w:spacing w:line="240" w:lineRule="auto"/>
        <w:jc w:val="both"/>
      </w:pPr>
      <w:r w:rsidRPr="00A24EBE">
        <w:rPr>
          <w:rFonts w:asciiTheme="majorBidi" w:hAnsiTheme="majorBidi" w:cstheme="majorBidi"/>
          <w:sz w:val="24"/>
          <w:szCs w:val="24"/>
        </w:rPr>
        <w:t xml:space="preserve">Frank, M. Z., &amp; Goyal, V. K. (2009). Capital structure decisions: Which factors are reliably important? Financial Management, 38(1), 1–37. </w:t>
      </w:r>
      <w:hyperlink r:id="rId23" w:history="1">
        <w:r w:rsidRPr="00A24EBE">
          <w:rPr>
            <w:rStyle w:val="Hyperlink"/>
            <w:rFonts w:asciiTheme="majorBidi" w:hAnsiTheme="majorBidi" w:cstheme="majorBidi"/>
            <w:sz w:val="24"/>
            <w:szCs w:val="24"/>
          </w:rPr>
          <w:t>https://doi.org/10.1111/j.1755-053X.2009.01026.x</w:t>
        </w:r>
      </w:hyperlink>
      <w:r w:rsidRPr="00A24EBE">
        <w:rPr>
          <w:rFonts w:asciiTheme="majorBidi" w:hAnsiTheme="majorBidi" w:cstheme="majorBidi"/>
          <w:sz w:val="24"/>
          <w:szCs w:val="24"/>
        </w:rPr>
        <w:t xml:space="preserve"> </w:t>
      </w:r>
    </w:p>
    <w:p w14:paraId="625DEB68" w14:textId="428465A5" w:rsidR="00DE65B6" w:rsidRPr="00A24EBE" w:rsidRDefault="001915E6"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Ghardallou, W. (2023). The heterogeneous effect of leverage on firm performance: a quantile regression analysis. International Journal of Islamic and Middle Eastern Finance and Management, 16(1), 210–225. </w:t>
      </w:r>
      <w:hyperlink r:id="rId24" w:history="1">
        <w:r w:rsidRPr="00A24EBE">
          <w:rPr>
            <w:rStyle w:val="Hyperlink"/>
            <w:rFonts w:asciiTheme="majorBidi" w:hAnsiTheme="majorBidi" w:cstheme="majorBidi"/>
            <w:sz w:val="24"/>
            <w:szCs w:val="24"/>
          </w:rPr>
          <w:t>https://doi.org/10.1108/imefm-12-2021-0490</w:t>
        </w:r>
      </w:hyperlink>
      <w:r w:rsidRPr="00A24EBE">
        <w:rPr>
          <w:rFonts w:asciiTheme="majorBidi" w:hAnsiTheme="majorBidi" w:cstheme="majorBidi"/>
          <w:sz w:val="24"/>
          <w:szCs w:val="24"/>
        </w:rPr>
        <w:t xml:space="preserve"> </w:t>
      </w:r>
      <w:r w:rsidR="00DE65B6" w:rsidRPr="00A24EBE">
        <w:rPr>
          <w:rFonts w:asciiTheme="majorBidi" w:hAnsiTheme="majorBidi" w:cstheme="majorBidi"/>
          <w:sz w:val="24"/>
          <w:szCs w:val="24"/>
        </w:rPr>
        <w:t xml:space="preserve"> </w:t>
      </w:r>
    </w:p>
    <w:p w14:paraId="2CB6F5D7" w14:textId="30FA906B" w:rsidR="00D31907" w:rsidRPr="00A24EBE" w:rsidRDefault="00A37F2A"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Gamu, Y. G., Akpadaka, O. S., Dang, D. Y., &amp; </w:t>
      </w:r>
      <w:proofErr w:type="spellStart"/>
      <w:r w:rsidRPr="00A24EBE">
        <w:rPr>
          <w:rFonts w:asciiTheme="majorBidi" w:hAnsiTheme="majorBidi" w:cstheme="majorBidi"/>
          <w:sz w:val="24"/>
          <w:szCs w:val="24"/>
        </w:rPr>
        <w:t>Ngerebo</w:t>
      </w:r>
      <w:proofErr w:type="spellEnd"/>
      <w:r w:rsidRPr="00A24EBE">
        <w:rPr>
          <w:rFonts w:asciiTheme="majorBidi" w:hAnsiTheme="majorBidi" w:cstheme="majorBidi"/>
          <w:sz w:val="24"/>
          <w:szCs w:val="24"/>
        </w:rPr>
        <w:t xml:space="preserve">-A, T. (2025). Moderating Effect of Cost of Capital in the Investment Decisions–Firm Value Nexus: Evidence from Nigeria’s Manufacturing Sector. Asian Journal of Economics, Finance and Management </w:t>
      </w:r>
      <w:hyperlink r:id="rId25" w:history="1">
        <w:r w:rsidRPr="00A24EBE">
          <w:rPr>
            <w:rStyle w:val="Hyperlink"/>
            <w:rFonts w:asciiTheme="majorBidi" w:hAnsiTheme="majorBidi" w:cstheme="majorBidi"/>
            <w:sz w:val="24"/>
            <w:szCs w:val="24"/>
          </w:rPr>
          <w:t>https://doi.org/10.56557/ajefm/2025/v7i1275</w:t>
        </w:r>
      </w:hyperlink>
      <w:r w:rsidRPr="00A24EBE">
        <w:rPr>
          <w:rFonts w:asciiTheme="majorBidi" w:hAnsiTheme="majorBidi" w:cstheme="majorBidi"/>
          <w:sz w:val="24"/>
          <w:szCs w:val="24"/>
        </w:rPr>
        <w:t xml:space="preserve"> </w:t>
      </w:r>
      <w:r w:rsidR="00F343EF" w:rsidRPr="00A24EBE">
        <w:rPr>
          <w:rFonts w:asciiTheme="majorBidi" w:hAnsiTheme="majorBidi" w:cstheme="majorBidi"/>
          <w:sz w:val="24"/>
          <w:szCs w:val="24"/>
        </w:rPr>
        <w:t xml:space="preserve"> </w:t>
      </w:r>
    </w:p>
    <w:p w14:paraId="7FAA6FB8" w14:textId="03F1C088" w:rsidR="008B4ECC" w:rsidRPr="00A24EBE" w:rsidRDefault="00257155"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Ibrahim, U. A., &amp; Isiaka, A. (2020). Effect of financial leverage on firm value: Evidence from selected firms quoted on the Nigerian stock exchange. European Journal of Business and Management, 12(3), 124-135. </w:t>
      </w:r>
      <w:hyperlink r:id="rId26" w:history="1">
        <w:r w:rsidRPr="00A24EBE">
          <w:rPr>
            <w:rStyle w:val="Hyperlink"/>
            <w:rFonts w:asciiTheme="majorBidi" w:hAnsiTheme="majorBidi" w:cstheme="majorBidi"/>
            <w:sz w:val="24"/>
            <w:szCs w:val="24"/>
          </w:rPr>
          <w:t>https://doi.org/10.7176/ejbm/12-3-16</w:t>
        </w:r>
      </w:hyperlink>
      <w:r w:rsidRPr="00A24EBE">
        <w:rPr>
          <w:rFonts w:asciiTheme="majorBidi" w:hAnsiTheme="majorBidi" w:cstheme="majorBidi"/>
          <w:sz w:val="24"/>
          <w:szCs w:val="24"/>
        </w:rPr>
        <w:t xml:space="preserve"> </w:t>
      </w:r>
      <w:r w:rsidR="008B4ECC" w:rsidRPr="00A24EBE">
        <w:rPr>
          <w:rFonts w:asciiTheme="majorBidi" w:hAnsiTheme="majorBidi" w:cstheme="majorBidi"/>
          <w:sz w:val="24"/>
          <w:szCs w:val="24"/>
        </w:rPr>
        <w:t>.</w:t>
      </w:r>
    </w:p>
    <w:p w14:paraId="488CF22F" w14:textId="0FB3037E" w:rsidR="008B4ECC" w:rsidRPr="00A24EBE" w:rsidRDefault="0081232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Iwedi, M., </w:t>
      </w:r>
      <w:proofErr w:type="spellStart"/>
      <w:r w:rsidRPr="00A24EBE">
        <w:rPr>
          <w:rFonts w:asciiTheme="majorBidi" w:hAnsiTheme="majorBidi" w:cstheme="majorBidi"/>
          <w:sz w:val="24"/>
          <w:szCs w:val="24"/>
        </w:rPr>
        <w:t>Onwusiribe</w:t>
      </w:r>
      <w:proofErr w:type="spellEnd"/>
      <w:r w:rsidRPr="00A24EBE">
        <w:rPr>
          <w:rFonts w:asciiTheme="majorBidi" w:hAnsiTheme="majorBidi" w:cstheme="majorBidi"/>
          <w:sz w:val="24"/>
          <w:szCs w:val="24"/>
        </w:rPr>
        <w:t xml:space="preserve">, C. N., &amp; Edeh, M. B. (2023). The impact of cost of capital on market value of manufacturing companies in Nigeria. Eurasian Journal of Management &amp; Social Sciences, 4(1), 11–27. </w:t>
      </w:r>
      <w:hyperlink r:id="rId27" w:history="1">
        <w:r w:rsidRPr="00A24EBE">
          <w:rPr>
            <w:rStyle w:val="Hyperlink"/>
            <w:rFonts w:asciiTheme="majorBidi" w:hAnsiTheme="majorBidi" w:cstheme="majorBidi"/>
            <w:sz w:val="24"/>
            <w:szCs w:val="24"/>
          </w:rPr>
          <w:t>https://doi.org/10.23918/ejmss.V4i1p11</w:t>
        </w:r>
      </w:hyperlink>
      <w:r w:rsidRPr="00A24EBE">
        <w:rPr>
          <w:rFonts w:asciiTheme="majorBidi" w:hAnsiTheme="majorBidi" w:cstheme="majorBidi"/>
          <w:sz w:val="24"/>
          <w:szCs w:val="24"/>
        </w:rPr>
        <w:t xml:space="preserve"> </w:t>
      </w:r>
    </w:p>
    <w:p w14:paraId="6233D727" w14:textId="31D7F7E1" w:rsidR="008B4ECC" w:rsidRPr="00A24EBE" w:rsidRDefault="004B2A63"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t>Jabbouri</w:t>
      </w:r>
      <w:proofErr w:type="spellEnd"/>
      <w:r w:rsidRPr="00A24EBE">
        <w:rPr>
          <w:rFonts w:asciiTheme="majorBidi" w:hAnsiTheme="majorBidi" w:cstheme="majorBidi"/>
          <w:sz w:val="24"/>
          <w:szCs w:val="24"/>
        </w:rPr>
        <w:t xml:space="preserve">, I., &amp; Naili, M. (2019). Does ownership concentration affect cost of debt? Evidence from an emerging market. Review of </w:t>
      </w:r>
      <w:proofErr w:type="spellStart"/>
      <w:r w:rsidRPr="00A24EBE">
        <w:rPr>
          <w:rFonts w:asciiTheme="majorBidi" w:hAnsiTheme="majorBidi" w:cstheme="majorBidi"/>
          <w:sz w:val="24"/>
          <w:szCs w:val="24"/>
        </w:rPr>
        <w:t>Behavioral</w:t>
      </w:r>
      <w:proofErr w:type="spellEnd"/>
      <w:r w:rsidRPr="00A24EBE">
        <w:rPr>
          <w:rFonts w:asciiTheme="majorBidi" w:hAnsiTheme="majorBidi" w:cstheme="majorBidi"/>
          <w:sz w:val="24"/>
          <w:szCs w:val="24"/>
        </w:rPr>
        <w:t xml:space="preserve"> Finance, 12(3), 282–296. </w:t>
      </w:r>
      <w:hyperlink r:id="rId28" w:history="1">
        <w:r w:rsidRPr="00A24EBE">
          <w:rPr>
            <w:rStyle w:val="Hyperlink"/>
            <w:rFonts w:asciiTheme="majorBidi" w:hAnsiTheme="majorBidi" w:cstheme="majorBidi"/>
            <w:sz w:val="24"/>
            <w:szCs w:val="24"/>
          </w:rPr>
          <w:t>https://doi.org/10.1108/RBF-10-2018-0106</w:t>
        </w:r>
      </w:hyperlink>
      <w:r w:rsidRPr="00A24EBE">
        <w:rPr>
          <w:rFonts w:asciiTheme="majorBidi" w:hAnsiTheme="majorBidi" w:cstheme="majorBidi"/>
          <w:sz w:val="24"/>
          <w:szCs w:val="24"/>
        </w:rPr>
        <w:t xml:space="preserve"> </w:t>
      </w:r>
    </w:p>
    <w:p w14:paraId="79D1EA73" w14:textId="01C8268A" w:rsidR="008B4ECC" w:rsidRPr="00A24EBE" w:rsidRDefault="00D94A86"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Jensen, M. C. (1986). Agency costs of free cash flow, corporate finance, and takeovers. American Economic Review, 76(2), 323–329. </w:t>
      </w:r>
      <w:hyperlink r:id="rId29" w:history="1">
        <w:r w:rsidRPr="00A24EBE">
          <w:rPr>
            <w:rStyle w:val="Hyperlink"/>
            <w:rFonts w:asciiTheme="majorBidi" w:hAnsiTheme="majorBidi" w:cstheme="majorBidi"/>
            <w:sz w:val="24"/>
            <w:szCs w:val="24"/>
          </w:rPr>
          <w:t>https://www.jstor.org/stable/1818789</w:t>
        </w:r>
      </w:hyperlink>
      <w:r w:rsidRPr="00A24EBE">
        <w:rPr>
          <w:rFonts w:asciiTheme="majorBidi" w:hAnsiTheme="majorBidi" w:cstheme="majorBidi"/>
          <w:sz w:val="24"/>
          <w:szCs w:val="24"/>
        </w:rPr>
        <w:t xml:space="preserve"> </w:t>
      </w:r>
    </w:p>
    <w:p w14:paraId="6DE424EA" w14:textId="3DEB8C65" w:rsidR="00AF734D" w:rsidRPr="00A24EBE" w:rsidRDefault="00A47F2A"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Jensen, M. C., &amp; Meckling, W. H. (1976). Theory of the firm: Managerial </w:t>
      </w:r>
      <w:proofErr w:type="spellStart"/>
      <w:r w:rsidRPr="00A24EBE">
        <w:rPr>
          <w:rFonts w:asciiTheme="majorBidi" w:hAnsiTheme="majorBidi" w:cstheme="majorBidi"/>
          <w:sz w:val="24"/>
          <w:szCs w:val="24"/>
        </w:rPr>
        <w:t>behavior</w:t>
      </w:r>
      <w:proofErr w:type="spellEnd"/>
      <w:r w:rsidRPr="00A24EBE">
        <w:rPr>
          <w:rFonts w:asciiTheme="majorBidi" w:hAnsiTheme="majorBidi" w:cstheme="majorBidi"/>
          <w:sz w:val="24"/>
          <w:szCs w:val="24"/>
        </w:rPr>
        <w:t xml:space="preserve">, agency costs and ownership structure. Journal of Financial Economics. </w:t>
      </w:r>
      <w:hyperlink r:id="rId30" w:history="1">
        <w:r w:rsidRPr="00A24EBE">
          <w:rPr>
            <w:rStyle w:val="Hyperlink"/>
            <w:rFonts w:asciiTheme="majorBidi" w:hAnsiTheme="majorBidi" w:cstheme="majorBidi"/>
            <w:sz w:val="24"/>
            <w:szCs w:val="24"/>
          </w:rPr>
          <w:t>https://doi.org/10.1016/0304-405X(76)90026-X</w:t>
        </w:r>
      </w:hyperlink>
      <w:r w:rsidRPr="00A24EBE">
        <w:rPr>
          <w:rFonts w:asciiTheme="majorBidi" w:hAnsiTheme="majorBidi" w:cstheme="majorBidi"/>
          <w:sz w:val="24"/>
          <w:szCs w:val="24"/>
        </w:rPr>
        <w:t xml:space="preserve"> </w:t>
      </w:r>
    </w:p>
    <w:p w14:paraId="737CA142" w14:textId="41C8FCAE" w:rsidR="00AC6155" w:rsidRPr="00A24EBE" w:rsidRDefault="00D10CB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lastRenderedPageBreak/>
        <w:t xml:space="preserve">Kalash, I. (2023). The financial leverage–financial performance relationship in the emerging market of Turkey: the role of financial distress risk and currency crisis. </w:t>
      </w:r>
      <w:proofErr w:type="spellStart"/>
      <w:r w:rsidRPr="00A24EBE">
        <w:rPr>
          <w:rFonts w:asciiTheme="majorBidi" w:hAnsiTheme="majorBidi" w:cstheme="majorBidi"/>
          <w:sz w:val="24"/>
          <w:szCs w:val="24"/>
        </w:rPr>
        <w:t>EuroMed</w:t>
      </w:r>
      <w:proofErr w:type="spellEnd"/>
      <w:r w:rsidRPr="00A24EBE">
        <w:rPr>
          <w:rFonts w:asciiTheme="majorBidi" w:hAnsiTheme="majorBidi" w:cstheme="majorBidi"/>
          <w:sz w:val="24"/>
          <w:szCs w:val="24"/>
        </w:rPr>
        <w:t xml:space="preserve"> Journal of Business, 18(1), 1–20. </w:t>
      </w:r>
      <w:hyperlink r:id="rId31" w:history="1">
        <w:r w:rsidRPr="00A24EBE">
          <w:rPr>
            <w:rStyle w:val="Hyperlink"/>
            <w:rFonts w:asciiTheme="majorBidi" w:hAnsiTheme="majorBidi" w:cstheme="majorBidi"/>
            <w:sz w:val="24"/>
            <w:szCs w:val="24"/>
          </w:rPr>
          <w:t>https://doi.org/10.1108/emjb-04-2021-0056</w:t>
        </w:r>
      </w:hyperlink>
      <w:r w:rsidRPr="00A24EBE">
        <w:rPr>
          <w:rFonts w:asciiTheme="majorBidi" w:hAnsiTheme="majorBidi" w:cstheme="majorBidi"/>
          <w:sz w:val="24"/>
          <w:szCs w:val="24"/>
        </w:rPr>
        <w:t xml:space="preserve"> </w:t>
      </w:r>
      <w:r w:rsidR="00072C04" w:rsidRPr="00A24EBE">
        <w:rPr>
          <w:rFonts w:asciiTheme="majorBidi" w:hAnsiTheme="majorBidi" w:cstheme="majorBidi"/>
          <w:sz w:val="24"/>
          <w:szCs w:val="24"/>
        </w:rPr>
        <w:t xml:space="preserve"> </w:t>
      </w:r>
    </w:p>
    <w:p w14:paraId="11FC832E" w14:textId="0FB6B45F" w:rsidR="004C2DFB" w:rsidRPr="00A24EBE" w:rsidRDefault="00F456C5"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t>Kanoujiya</w:t>
      </w:r>
      <w:proofErr w:type="spellEnd"/>
      <w:r w:rsidRPr="00A24EBE">
        <w:rPr>
          <w:rFonts w:asciiTheme="majorBidi" w:hAnsiTheme="majorBidi" w:cstheme="majorBidi"/>
          <w:sz w:val="24"/>
          <w:szCs w:val="24"/>
        </w:rPr>
        <w:t xml:space="preserve">, J., Jain, P., Banerjee, S., Kalra, R., Rastogi, S., &amp; </w:t>
      </w:r>
      <w:proofErr w:type="spellStart"/>
      <w:r w:rsidRPr="00A24EBE">
        <w:rPr>
          <w:rFonts w:asciiTheme="majorBidi" w:hAnsiTheme="majorBidi" w:cstheme="majorBidi"/>
          <w:sz w:val="24"/>
          <w:szCs w:val="24"/>
        </w:rPr>
        <w:t>Bhimavarapu</w:t>
      </w:r>
      <w:proofErr w:type="spellEnd"/>
      <w:r w:rsidRPr="00A24EBE">
        <w:rPr>
          <w:rFonts w:asciiTheme="majorBidi" w:hAnsiTheme="majorBidi" w:cstheme="majorBidi"/>
          <w:sz w:val="24"/>
          <w:szCs w:val="24"/>
        </w:rPr>
        <w:t xml:space="preserve">, V. M. (2023). Impact of Leverage on Valuation of Non-Financial Firms in India under Profitability’s Moderating Effect: Evidence in Scenarios Applying Quantile Regression. Journal of Risk and Financial Management, 16(8), 366. </w:t>
      </w:r>
      <w:hyperlink r:id="rId32" w:history="1">
        <w:r w:rsidRPr="00A24EBE">
          <w:rPr>
            <w:rStyle w:val="Hyperlink"/>
            <w:rFonts w:asciiTheme="majorBidi" w:hAnsiTheme="majorBidi" w:cstheme="majorBidi"/>
            <w:sz w:val="24"/>
            <w:szCs w:val="24"/>
          </w:rPr>
          <w:t>https://doi.org/10.3390/jrfm16080366</w:t>
        </w:r>
      </w:hyperlink>
      <w:r w:rsidRPr="00A24EBE">
        <w:rPr>
          <w:rFonts w:asciiTheme="majorBidi" w:hAnsiTheme="majorBidi" w:cstheme="majorBidi"/>
          <w:sz w:val="24"/>
          <w:szCs w:val="24"/>
        </w:rPr>
        <w:t xml:space="preserve"> </w:t>
      </w:r>
      <w:r w:rsidR="009969AE" w:rsidRPr="00A24EBE">
        <w:rPr>
          <w:rFonts w:asciiTheme="majorBidi" w:hAnsiTheme="majorBidi" w:cstheme="majorBidi"/>
          <w:sz w:val="24"/>
          <w:szCs w:val="24"/>
        </w:rPr>
        <w:t xml:space="preserve"> </w:t>
      </w:r>
    </w:p>
    <w:p w14:paraId="7A556208" w14:textId="18CC27B7" w:rsidR="00AF734D" w:rsidRPr="00535197" w:rsidRDefault="00EE6C6F" w:rsidP="00A24EBE">
      <w:pPr>
        <w:spacing w:line="240" w:lineRule="auto"/>
        <w:jc w:val="both"/>
        <w:rPr>
          <w:rFonts w:asciiTheme="majorBidi" w:hAnsiTheme="majorBidi" w:cstheme="majorBidi"/>
          <w:sz w:val="24"/>
          <w:szCs w:val="24"/>
          <w:lang w:val="fr-FR"/>
        </w:rPr>
      </w:pPr>
      <w:r w:rsidRPr="00A24EBE">
        <w:rPr>
          <w:rFonts w:asciiTheme="majorBidi" w:hAnsiTheme="majorBidi" w:cstheme="majorBidi"/>
        </w:rPr>
        <w:t xml:space="preserve">Koenker, R. (2005). Quantile regression. Cambridge University Press. </w:t>
      </w:r>
      <w:hyperlink r:id="rId33" w:history="1">
        <w:r w:rsidRPr="00535197">
          <w:rPr>
            <w:rStyle w:val="Hyperlink"/>
            <w:rFonts w:asciiTheme="majorBidi" w:hAnsiTheme="majorBidi" w:cstheme="majorBidi"/>
            <w:lang w:val="fr-FR"/>
          </w:rPr>
          <w:t>https://doi.org/10.1017/CBO9780511754098</w:t>
        </w:r>
      </w:hyperlink>
      <w:r w:rsidRPr="00535197">
        <w:rPr>
          <w:rFonts w:asciiTheme="majorBidi" w:hAnsiTheme="majorBidi" w:cstheme="majorBidi"/>
          <w:lang w:val="fr-FR"/>
        </w:rPr>
        <w:t xml:space="preserve"> </w:t>
      </w:r>
      <w:r w:rsidR="00F863C8" w:rsidRPr="00535197">
        <w:rPr>
          <w:rFonts w:asciiTheme="majorBidi" w:hAnsiTheme="majorBidi" w:cstheme="majorBidi"/>
          <w:i/>
          <w:iCs/>
          <w:lang w:val="fr-FR"/>
        </w:rPr>
        <w:t xml:space="preserve"> </w:t>
      </w:r>
    </w:p>
    <w:p w14:paraId="40177EA7" w14:textId="7425C5B8" w:rsidR="008C28D3" w:rsidRPr="00A24EBE" w:rsidRDefault="00797C0E" w:rsidP="00A24EBE">
      <w:pPr>
        <w:spacing w:line="240" w:lineRule="auto"/>
        <w:jc w:val="both"/>
        <w:rPr>
          <w:rFonts w:asciiTheme="majorBidi" w:hAnsiTheme="majorBidi" w:cstheme="majorBidi"/>
          <w:sz w:val="24"/>
          <w:szCs w:val="24"/>
        </w:rPr>
      </w:pPr>
      <w:proofErr w:type="spellStart"/>
      <w:r w:rsidRPr="00535197">
        <w:rPr>
          <w:rFonts w:asciiTheme="majorBidi" w:hAnsiTheme="majorBidi" w:cstheme="majorBidi"/>
          <w:sz w:val="24"/>
          <w:szCs w:val="24"/>
          <w:lang w:val="fr-FR"/>
        </w:rPr>
        <w:t>Koenker</w:t>
      </w:r>
      <w:proofErr w:type="spellEnd"/>
      <w:r w:rsidRPr="00535197">
        <w:rPr>
          <w:rFonts w:asciiTheme="majorBidi" w:hAnsiTheme="majorBidi" w:cstheme="majorBidi"/>
          <w:sz w:val="24"/>
          <w:szCs w:val="24"/>
          <w:lang w:val="fr-FR"/>
        </w:rPr>
        <w:t xml:space="preserve">, R., &amp; </w:t>
      </w:r>
      <w:proofErr w:type="spellStart"/>
      <w:r w:rsidRPr="00535197">
        <w:rPr>
          <w:rFonts w:asciiTheme="majorBidi" w:hAnsiTheme="majorBidi" w:cstheme="majorBidi"/>
          <w:sz w:val="24"/>
          <w:szCs w:val="24"/>
          <w:lang w:val="fr-FR"/>
        </w:rPr>
        <w:t>Bassett</w:t>
      </w:r>
      <w:proofErr w:type="spellEnd"/>
      <w:r w:rsidRPr="00535197">
        <w:rPr>
          <w:rFonts w:asciiTheme="majorBidi" w:hAnsiTheme="majorBidi" w:cstheme="majorBidi"/>
          <w:sz w:val="24"/>
          <w:szCs w:val="24"/>
          <w:lang w:val="fr-FR"/>
        </w:rPr>
        <w:t xml:space="preserve">, G. (1978). </w:t>
      </w:r>
      <w:proofErr w:type="spellStart"/>
      <w:r w:rsidRPr="00535197">
        <w:rPr>
          <w:rFonts w:asciiTheme="majorBidi" w:hAnsiTheme="majorBidi" w:cstheme="majorBidi"/>
          <w:sz w:val="24"/>
          <w:szCs w:val="24"/>
          <w:lang w:val="fr-FR"/>
        </w:rPr>
        <w:t>Regression</w:t>
      </w:r>
      <w:proofErr w:type="spellEnd"/>
      <w:r w:rsidRPr="00535197">
        <w:rPr>
          <w:rFonts w:asciiTheme="majorBidi" w:hAnsiTheme="majorBidi" w:cstheme="majorBidi"/>
          <w:sz w:val="24"/>
          <w:szCs w:val="24"/>
          <w:lang w:val="fr-FR"/>
        </w:rPr>
        <w:t xml:space="preserve"> quantiles. </w:t>
      </w:r>
      <w:proofErr w:type="spellStart"/>
      <w:r w:rsidRPr="00A24EBE">
        <w:rPr>
          <w:rFonts w:asciiTheme="majorBidi" w:hAnsiTheme="majorBidi" w:cstheme="majorBidi"/>
          <w:sz w:val="24"/>
          <w:szCs w:val="24"/>
        </w:rPr>
        <w:t>Econometrica</w:t>
      </w:r>
      <w:proofErr w:type="spellEnd"/>
      <w:r w:rsidRPr="00A24EBE">
        <w:rPr>
          <w:rFonts w:asciiTheme="majorBidi" w:hAnsiTheme="majorBidi" w:cstheme="majorBidi"/>
          <w:sz w:val="24"/>
          <w:szCs w:val="24"/>
        </w:rPr>
        <w:t xml:space="preserve">, 46(1), 33-50. </w:t>
      </w:r>
      <w:hyperlink r:id="rId34" w:history="1">
        <w:r w:rsidRPr="00A24EBE">
          <w:rPr>
            <w:rStyle w:val="Hyperlink"/>
            <w:rFonts w:asciiTheme="majorBidi" w:hAnsiTheme="majorBidi" w:cstheme="majorBidi"/>
            <w:sz w:val="24"/>
            <w:szCs w:val="24"/>
          </w:rPr>
          <w:t>https://doi.org/10.2307/1913643</w:t>
        </w:r>
      </w:hyperlink>
      <w:r w:rsidRPr="00A24EBE">
        <w:rPr>
          <w:rFonts w:asciiTheme="majorBidi" w:hAnsiTheme="majorBidi" w:cstheme="majorBidi"/>
          <w:sz w:val="24"/>
          <w:szCs w:val="24"/>
        </w:rPr>
        <w:t xml:space="preserve"> </w:t>
      </w:r>
    </w:p>
    <w:p w14:paraId="38C93E4A" w14:textId="1F8DE57B" w:rsidR="008B4ECC" w:rsidRPr="00A24EBE" w:rsidRDefault="00946406"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Koenker, R., &amp; </w:t>
      </w:r>
      <w:proofErr w:type="spellStart"/>
      <w:r w:rsidRPr="00A24EBE">
        <w:rPr>
          <w:rFonts w:asciiTheme="majorBidi" w:hAnsiTheme="majorBidi" w:cstheme="majorBidi"/>
          <w:sz w:val="24"/>
          <w:szCs w:val="24"/>
        </w:rPr>
        <w:t>Hallock</w:t>
      </w:r>
      <w:proofErr w:type="spellEnd"/>
      <w:r w:rsidRPr="00A24EBE">
        <w:rPr>
          <w:rFonts w:asciiTheme="majorBidi" w:hAnsiTheme="majorBidi" w:cstheme="majorBidi"/>
          <w:sz w:val="24"/>
          <w:szCs w:val="24"/>
        </w:rPr>
        <w:t xml:space="preserve">, K. F. (2001). Quantile regression. Journal of Economic Perspectives, 15(4), 143–156. </w:t>
      </w:r>
      <w:hyperlink r:id="rId35" w:history="1">
        <w:r w:rsidRPr="00A24EBE">
          <w:rPr>
            <w:rStyle w:val="Hyperlink"/>
            <w:rFonts w:asciiTheme="majorBidi" w:hAnsiTheme="majorBidi" w:cstheme="majorBidi"/>
            <w:sz w:val="24"/>
            <w:szCs w:val="24"/>
          </w:rPr>
          <w:t>https://doi.org/10.1257/jep.15.4.143</w:t>
        </w:r>
      </w:hyperlink>
      <w:r w:rsidRPr="00A24EBE">
        <w:rPr>
          <w:rFonts w:asciiTheme="majorBidi" w:hAnsiTheme="majorBidi" w:cstheme="majorBidi"/>
          <w:sz w:val="24"/>
          <w:szCs w:val="24"/>
        </w:rPr>
        <w:t xml:space="preserve"> </w:t>
      </w:r>
    </w:p>
    <w:p w14:paraId="1B678184" w14:textId="6E2A4F3E"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hint="eastAsia"/>
          <w:sz w:val="24"/>
          <w:szCs w:val="24"/>
        </w:rPr>
        <w:t>Kraus, A., &amp; Litzenberger, R. H. (1973). A state</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preference model of optimal financial leverage. Journal of Finance, 28(4), 911</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 xml:space="preserve">922. </w:t>
      </w:r>
      <w:hyperlink r:id="rId36" w:history="1">
        <w:r w:rsidRPr="00A24EBE">
          <w:rPr>
            <w:rStyle w:val="Hyperlink"/>
            <w:rFonts w:asciiTheme="majorBidi" w:hAnsiTheme="majorBidi" w:cstheme="majorBidi" w:hint="eastAsia"/>
            <w:sz w:val="24"/>
            <w:szCs w:val="24"/>
          </w:rPr>
          <w:t>https://doi.org/10.1111/j.1540-6261.1973.tb01415.x</w:t>
        </w:r>
      </w:hyperlink>
      <w:r w:rsidRPr="00A24EBE">
        <w:rPr>
          <w:rFonts w:asciiTheme="majorBidi" w:hAnsiTheme="majorBidi" w:cstheme="majorBidi"/>
          <w:sz w:val="24"/>
          <w:szCs w:val="24"/>
        </w:rPr>
        <w:t xml:space="preserve"> </w:t>
      </w:r>
    </w:p>
    <w:p w14:paraId="6CE05641" w14:textId="2A9BC27A"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Lim, Y. (2011). Tax avoidance, cost of debt and shareholder activism: Evidence from Korea. Journal of Banking &amp; Finance, 35(2), 456–470. </w:t>
      </w:r>
      <w:hyperlink r:id="rId37" w:history="1">
        <w:r w:rsidRPr="00A24EBE">
          <w:rPr>
            <w:rStyle w:val="Hyperlink"/>
            <w:rFonts w:asciiTheme="majorBidi" w:hAnsiTheme="majorBidi" w:cstheme="majorBidi"/>
            <w:sz w:val="24"/>
            <w:szCs w:val="24"/>
          </w:rPr>
          <w:t>https://doi.org/10.1016/j.jbankfin.2010.08.021</w:t>
        </w:r>
      </w:hyperlink>
      <w:r w:rsidRPr="00A24EBE">
        <w:rPr>
          <w:rFonts w:asciiTheme="majorBidi" w:hAnsiTheme="majorBidi" w:cstheme="majorBidi"/>
          <w:sz w:val="24"/>
          <w:szCs w:val="24"/>
        </w:rPr>
        <w:t xml:space="preserve"> </w:t>
      </w:r>
    </w:p>
    <w:p w14:paraId="7559E961" w14:textId="1A081E23"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Masud, A., Abdul-Hamid, M. A., &amp; Nassir, A. M. (2022). The moderating effect of cost of capital on working capital management and firm's performance in Nigeria. International Journal of Financial Management and Economics. </w:t>
      </w:r>
      <w:hyperlink r:id="rId38" w:history="1">
        <w:r w:rsidRPr="00A24EBE">
          <w:rPr>
            <w:rStyle w:val="Hyperlink"/>
            <w:rFonts w:asciiTheme="majorBidi" w:hAnsiTheme="majorBidi" w:cstheme="majorBidi"/>
            <w:sz w:val="24"/>
            <w:szCs w:val="24"/>
          </w:rPr>
          <w:t>https://doi.org/10.33545/26179210.2022.v5.i2.159</w:t>
        </w:r>
      </w:hyperlink>
      <w:r w:rsidRPr="00A24EBE">
        <w:rPr>
          <w:rFonts w:asciiTheme="majorBidi" w:hAnsiTheme="majorBidi" w:cstheme="majorBidi"/>
          <w:sz w:val="24"/>
          <w:szCs w:val="24"/>
        </w:rPr>
        <w:t xml:space="preserve"> </w:t>
      </w:r>
    </w:p>
    <w:p w14:paraId="155B327D" w14:textId="1F8DFAEB" w:rsidR="008B4ECC" w:rsidRPr="00A24EBE" w:rsidRDefault="00B853C1" w:rsidP="00A24EBE">
      <w:pPr>
        <w:spacing w:line="240" w:lineRule="auto"/>
        <w:jc w:val="both"/>
        <w:rPr>
          <w:rFonts w:asciiTheme="majorBidi" w:hAnsiTheme="majorBidi" w:cstheme="majorBidi"/>
          <w:sz w:val="24"/>
          <w:szCs w:val="24"/>
        </w:rPr>
      </w:pPr>
      <w:r w:rsidRPr="00535197">
        <w:rPr>
          <w:rFonts w:asciiTheme="majorBidi" w:hAnsiTheme="majorBidi" w:cstheme="majorBidi"/>
          <w:sz w:val="24"/>
          <w:szCs w:val="24"/>
          <w:lang w:val="fr-FR"/>
        </w:rPr>
        <w:t xml:space="preserve">Modigliani, F., &amp; Miller, M. H. (1963). </w:t>
      </w:r>
      <w:r w:rsidRPr="00A24EBE">
        <w:rPr>
          <w:rFonts w:asciiTheme="majorBidi" w:hAnsiTheme="majorBidi" w:cstheme="majorBidi"/>
          <w:sz w:val="24"/>
          <w:szCs w:val="24"/>
        </w:rPr>
        <w:t xml:space="preserve">Corporate income taxes and the cost of capital: A correction. American Economic Review, 53(3), 433–443. </w:t>
      </w:r>
      <w:hyperlink r:id="rId39" w:history="1">
        <w:r w:rsidRPr="00A24EBE">
          <w:rPr>
            <w:rStyle w:val="Hyperlink"/>
            <w:rFonts w:asciiTheme="majorBidi" w:hAnsiTheme="majorBidi" w:cstheme="majorBidi"/>
            <w:sz w:val="24"/>
            <w:szCs w:val="24"/>
          </w:rPr>
          <w:t>https://doi.org/10.2307/1809167</w:t>
        </w:r>
      </w:hyperlink>
      <w:r w:rsidRPr="00A24EBE">
        <w:rPr>
          <w:rFonts w:asciiTheme="majorBidi" w:hAnsiTheme="majorBidi" w:cstheme="majorBidi"/>
          <w:sz w:val="24"/>
          <w:szCs w:val="24"/>
        </w:rPr>
        <w:t xml:space="preserve"> </w:t>
      </w:r>
    </w:p>
    <w:p w14:paraId="66ACAFD0" w14:textId="6786E682"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Myers, S. C. (1984). The capital structure puzzle. Journal of Finance, 39(3), 575–592. </w:t>
      </w:r>
      <w:hyperlink r:id="rId40" w:history="1">
        <w:r w:rsidRPr="00A24EBE">
          <w:rPr>
            <w:rStyle w:val="Hyperlink"/>
            <w:rFonts w:asciiTheme="majorBidi" w:hAnsiTheme="majorBidi" w:cstheme="majorBidi"/>
            <w:sz w:val="24"/>
            <w:szCs w:val="24"/>
          </w:rPr>
          <w:t>https://doi.org/10.1111/j.1540-6261.1984.tb03646.x</w:t>
        </w:r>
      </w:hyperlink>
      <w:r w:rsidRPr="00A24EBE">
        <w:rPr>
          <w:rFonts w:asciiTheme="majorBidi" w:hAnsiTheme="majorBidi" w:cstheme="majorBidi"/>
          <w:sz w:val="24"/>
          <w:szCs w:val="24"/>
        </w:rPr>
        <w:t xml:space="preserve"> </w:t>
      </w:r>
    </w:p>
    <w:p w14:paraId="09E1A691" w14:textId="42658F52" w:rsidR="008B4ECC" w:rsidRPr="00A24EBE" w:rsidRDefault="00B853C1" w:rsidP="00A24EBE">
      <w:pPr>
        <w:spacing w:line="240" w:lineRule="auto"/>
        <w:jc w:val="both"/>
        <w:rPr>
          <w:rFonts w:asciiTheme="majorBidi" w:hAnsiTheme="majorBidi" w:cstheme="majorBidi"/>
          <w:sz w:val="24"/>
          <w:szCs w:val="24"/>
        </w:rPr>
      </w:pPr>
      <w:r w:rsidRPr="00535197">
        <w:rPr>
          <w:rFonts w:asciiTheme="majorBidi" w:hAnsiTheme="majorBidi" w:cstheme="majorBidi"/>
          <w:sz w:val="24"/>
          <w:szCs w:val="24"/>
          <w:lang w:val="fr-FR"/>
        </w:rPr>
        <w:t xml:space="preserve">Myers, S. C., &amp; </w:t>
      </w:r>
      <w:proofErr w:type="spellStart"/>
      <w:r w:rsidRPr="00535197">
        <w:rPr>
          <w:rFonts w:asciiTheme="majorBidi" w:hAnsiTheme="majorBidi" w:cstheme="majorBidi"/>
          <w:sz w:val="24"/>
          <w:szCs w:val="24"/>
          <w:lang w:val="fr-FR"/>
        </w:rPr>
        <w:t>Majluf</w:t>
      </w:r>
      <w:proofErr w:type="spellEnd"/>
      <w:r w:rsidRPr="00535197">
        <w:rPr>
          <w:rFonts w:asciiTheme="majorBidi" w:hAnsiTheme="majorBidi" w:cstheme="majorBidi"/>
          <w:sz w:val="24"/>
          <w:szCs w:val="24"/>
          <w:lang w:val="fr-FR"/>
        </w:rPr>
        <w:t xml:space="preserve">, N. S. (1984). </w:t>
      </w:r>
      <w:r w:rsidRPr="00A24EBE">
        <w:rPr>
          <w:rFonts w:asciiTheme="majorBidi" w:hAnsiTheme="majorBidi" w:cstheme="majorBidi"/>
          <w:sz w:val="24"/>
          <w:szCs w:val="24"/>
        </w:rPr>
        <w:t xml:space="preserve">Corporate financing and investment decisions when firms have information that investors do not have. Journal of Financial Economics, 13(2), 187–221. </w:t>
      </w:r>
      <w:hyperlink r:id="rId41" w:history="1">
        <w:r w:rsidRPr="00A24EBE">
          <w:rPr>
            <w:rStyle w:val="Hyperlink"/>
            <w:rFonts w:asciiTheme="majorBidi" w:hAnsiTheme="majorBidi" w:cstheme="majorBidi"/>
            <w:sz w:val="24"/>
            <w:szCs w:val="24"/>
          </w:rPr>
          <w:t>https://doi.org/10.1016/0304-405X(84)90023-0</w:t>
        </w:r>
      </w:hyperlink>
      <w:r w:rsidRPr="00A24EBE">
        <w:rPr>
          <w:rFonts w:asciiTheme="majorBidi" w:hAnsiTheme="majorBidi" w:cstheme="majorBidi"/>
          <w:sz w:val="24"/>
          <w:szCs w:val="24"/>
        </w:rPr>
        <w:t xml:space="preserve"> </w:t>
      </w:r>
    </w:p>
    <w:p w14:paraId="30BFC0A6" w14:textId="77777777" w:rsidR="008B4ECC" w:rsidRPr="00535197" w:rsidRDefault="008B4ECC" w:rsidP="00A24EBE">
      <w:pPr>
        <w:spacing w:line="240" w:lineRule="auto"/>
        <w:jc w:val="both"/>
        <w:rPr>
          <w:rFonts w:asciiTheme="majorBidi" w:hAnsiTheme="majorBidi" w:cstheme="majorBidi"/>
          <w:sz w:val="24"/>
          <w:szCs w:val="24"/>
          <w:lang w:val="fr-FR"/>
        </w:rPr>
      </w:pPr>
      <w:r w:rsidRPr="00A24EBE">
        <w:rPr>
          <w:rFonts w:asciiTheme="majorBidi" w:hAnsiTheme="majorBidi" w:cstheme="majorBidi"/>
          <w:sz w:val="24"/>
          <w:szCs w:val="24"/>
        </w:rPr>
        <w:t>Narayanan, P. (2015). </w:t>
      </w:r>
      <w:r w:rsidRPr="00A24EBE">
        <w:rPr>
          <w:rFonts w:asciiTheme="majorBidi" w:hAnsiTheme="majorBidi" w:cstheme="majorBidi"/>
          <w:i/>
          <w:iCs/>
          <w:sz w:val="24"/>
          <w:szCs w:val="24"/>
        </w:rPr>
        <w:t>The moderating effect of cost of capital on the relationship between working capital management and financial health in selected Malaysian public listed firms</w:t>
      </w:r>
      <w:r w:rsidRPr="00A24EBE">
        <w:rPr>
          <w:rFonts w:asciiTheme="majorBidi" w:hAnsiTheme="majorBidi" w:cstheme="majorBidi"/>
          <w:sz w:val="24"/>
          <w:szCs w:val="24"/>
        </w:rPr>
        <w:t xml:space="preserve"> (Doctoral dissertation, </w:t>
      </w:r>
      <w:proofErr w:type="spellStart"/>
      <w:r w:rsidRPr="00A24EBE">
        <w:rPr>
          <w:rFonts w:asciiTheme="majorBidi" w:hAnsiTheme="majorBidi" w:cstheme="majorBidi"/>
          <w:sz w:val="24"/>
          <w:szCs w:val="24"/>
        </w:rPr>
        <w:t>Universiti</w:t>
      </w:r>
      <w:proofErr w:type="spellEnd"/>
      <w:r w:rsidRPr="00A24EBE">
        <w:rPr>
          <w:rFonts w:asciiTheme="majorBidi" w:hAnsiTheme="majorBidi" w:cstheme="majorBidi"/>
          <w:sz w:val="24"/>
          <w:szCs w:val="24"/>
        </w:rPr>
        <w:t xml:space="preserve"> Utara Malaysia). </w:t>
      </w:r>
      <w:hyperlink r:id="rId42" w:tgtFrame="_blank" w:history="1">
        <w:r w:rsidRPr="00535197">
          <w:rPr>
            <w:rStyle w:val="Hyperlink"/>
            <w:rFonts w:asciiTheme="majorBidi" w:hAnsiTheme="majorBidi" w:cstheme="majorBidi"/>
            <w:sz w:val="24"/>
            <w:szCs w:val="24"/>
            <w:lang w:val="fr-FR"/>
          </w:rPr>
          <w:t>http://etd.uum.edu.my/5152/</w:t>
        </w:r>
      </w:hyperlink>
    </w:p>
    <w:p w14:paraId="474E6E15" w14:textId="07422019" w:rsidR="008B4ECC" w:rsidRPr="00A24EBE" w:rsidRDefault="00B853C1" w:rsidP="00A24EBE">
      <w:pPr>
        <w:spacing w:line="240" w:lineRule="auto"/>
        <w:jc w:val="both"/>
        <w:rPr>
          <w:rFonts w:asciiTheme="majorBidi" w:hAnsiTheme="majorBidi" w:cstheme="majorBidi"/>
          <w:sz w:val="24"/>
          <w:szCs w:val="24"/>
        </w:rPr>
      </w:pPr>
      <w:r w:rsidRPr="00535197">
        <w:rPr>
          <w:rFonts w:asciiTheme="majorBidi" w:hAnsiTheme="majorBidi" w:cstheme="majorBidi"/>
          <w:sz w:val="24"/>
          <w:szCs w:val="24"/>
          <w:lang w:val="fr-FR"/>
        </w:rPr>
        <w:t xml:space="preserve">Nguyen, H. T., &amp; Nguyen, A. H. (2020). </w:t>
      </w:r>
      <w:r w:rsidRPr="00A24EBE">
        <w:rPr>
          <w:rFonts w:asciiTheme="majorBidi" w:hAnsiTheme="majorBidi" w:cstheme="majorBidi"/>
          <w:sz w:val="24"/>
          <w:szCs w:val="24"/>
        </w:rPr>
        <w:t xml:space="preserve">The impact of capital structure on firm performance: Evidence from Vietnam. Journal of Asian Finance, Economics and Business, 7(4), 97–106. </w:t>
      </w:r>
      <w:hyperlink r:id="rId43" w:history="1">
        <w:r w:rsidRPr="00A24EBE">
          <w:rPr>
            <w:rStyle w:val="Hyperlink"/>
            <w:rFonts w:asciiTheme="majorBidi" w:hAnsiTheme="majorBidi" w:cstheme="majorBidi"/>
            <w:sz w:val="24"/>
            <w:szCs w:val="24"/>
          </w:rPr>
          <w:t>https://doi.org/10.13106/jafeb.2020.vol7.no4.97</w:t>
        </w:r>
      </w:hyperlink>
      <w:r w:rsidRPr="00A24EBE">
        <w:rPr>
          <w:rFonts w:asciiTheme="majorBidi" w:hAnsiTheme="majorBidi" w:cstheme="majorBidi"/>
          <w:sz w:val="24"/>
          <w:szCs w:val="24"/>
        </w:rPr>
        <w:t xml:space="preserve"> </w:t>
      </w:r>
    </w:p>
    <w:p w14:paraId="26E1E3F0" w14:textId="76100D5E" w:rsidR="008B4ECC" w:rsidRPr="00A24EBE" w:rsidRDefault="00B853C1"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t>Omodara</w:t>
      </w:r>
      <w:proofErr w:type="spellEnd"/>
      <w:r w:rsidRPr="00A24EBE">
        <w:rPr>
          <w:rFonts w:asciiTheme="majorBidi" w:hAnsiTheme="majorBidi" w:cstheme="majorBidi"/>
          <w:sz w:val="24"/>
          <w:szCs w:val="24"/>
        </w:rPr>
        <w:t xml:space="preserve">, O. V. (2023). The dynamics of short-term debt ratio and firm performance: A comprehensive study of Nigerian manufacturing firms. </w:t>
      </w:r>
      <w:proofErr w:type="spellStart"/>
      <w:r w:rsidRPr="00A24EBE">
        <w:rPr>
          <w:rFonts w:asciiTheme="majorBidi" w:hAnsiTheme="majorBidi" w:cstheme="majorBidi"/>
          <w:sz w:val="24"/>
          <w:szCs w:val="24"/>
        </w:rPr>
        <w:t>Fuoye</w:t>
      </w:r>
      <w:proofErr w:type="spellEnd"/>
      <w:r w:rsidRPr="00A24EBE">
        <w:rPr>
          <w:rFonts w:asciiTheme="majorBidi" w:hAnsiTheme="majorBidi" w:cstheme="majorBidi"/>
          <w:sz w:val="24"/>
          <w:szCs w:val="24"/>
        </w:rPr>
        <w:t xml:space="preserve"> Journal of Accounting and Management. </w:t>
      </w:r>
      <w:hyperlink r:id="rId44" w:history="1">
        <w:r w:rsidRPr="00A24EBE">
          <w:rPr>
            <w:rStyle w:val="Hyperlink"/>
            <w:rFonts w:asciiTheme="majorBidi" w:hAnsiTheme="majorBidi" w:cstheme="majorBidi"/>
            <w:sz w:val="24"/>
            <w:szCs w:val="24"/>
          </w:rPr>
          <w:t>https://fjam.fuoye.edu.ng/index.php/fjam/issue/view/10</w:t>
        </w:r>
      </w:hyperlink>
      <w:r w:rsidRPr="00A24EBE">
        <w:rPr>
          <w:rFonts w:asciiTheme="majorBidi" w:hAnsiTheme="majorBidi" w:cstheme="majorBidi"/>
          <w:sz w:val="24"/>
          <w:szCs w:val="24"/>
        </w:rPr>
        <w:t xml:space="preserve"> </w:t>
      </w:r>
    </w:p>
    <w:p w14:paraId="42F22C87"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Perera, W., &amp; </w:t>
      </w:r>
      <w:proofErr w:type="spellStart"/>
      <w:r w:rsidRPr="00A24EBE">
        <w:rPr>
          <w:rFonts w:asciiTheme="majorBidi" w:hAnsiTheme="majorBidi" w:cstheme="majorBidi"/>
          <w:sz w:val="24"/>
          <w:szCs w:val="24"/>
        </w:rPr>
        <w:t>Priyashantha</w:t>
      </w:r>
      <w:proofErr w:type="spellEnd"/>
      <w:r w:rsidRPr="00A24EBE">
        <w:rPr>
          <w:rFonts w:asciiTheme="majorBidi" w:hAnsiTheme="majorBidi" w:cstheme="majorBidi"/>
          <w:sz w:val="24"/>
          <w:szCs w:val="24"/>
        </w:rPr>
        <w:t>, P. (2018). The impact of working capital management on shareholders' wealth and profitability: Evidence from Colombo Stock Exchange. </w:t>
      </w:r>
      <w:r w:rsidRPr="00A24EBE">
        <w:rPr>
          <w:rFonts w:asciiTheme="majorBidi" w:hAnsiTheme="majorBidi" w:cstheme="majorBidi"/>
          <w:i/>
          <w:iCs/>
          <w:sz w:val="24"/>
          <w:szCs w:val="24"/>
        </w:rPr>
        <w:t>Investment Management and Financial Innovations, 15</w:t>
      </w:r>
      <w:r w:rsidRPr="00A24EBE">
        <w:rPr>
          <w:rFonts w:asciiTheme="majorBidi" w:hAnsiTheme="majorBidi" w:cstheme="majorBidi"/>
          <w:sz w:val="24"/>
          <w:szCs w:val="24"/>
        </w:rPr>
        <w:t>(2), 104–115. </w:t>
      </w:r>
      <w:hyperlink r:id="rId45" w:tgtFrame="_blank" w:history="1">
        <w:r w:rsidRPr="00A24EBE">
          <w:rPr>
            <w:rStyle w:val="Hyperlink"/>
            <w:rFonts w:asciiTheme="majorBidi" w:hAnsiTheme="majorBidi" w:cstheme="majorBidi"/>
            <w:sz w:val="24"/>
            <w:szCs w:val="24"/>
          </w:rPr>
          <w:t>https://doi.org/10.21511/imfi.15(2).2018.10</w:t>
        </w:r>
      </w:hyperlink>
    </w:p>
    <w:p w14:paraId="5FA315AD" w14:textId="794B265B" w:rsidR="008B4ECC" w:rsidRPr="00A24EBE" w:rsidRDefault="00B853C1"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lastRenderedPageBreak/>
        <w:t>Purnanandam</w:t>
      </w:r>
      <w:proofErr w:type="spellEnd"/>
      <w:r w:rsidRPr="00A24EBE">
        <w:rPr>
          <w:rFonts w:asciiTheme="majorBidi" w:hAnsiTheme="majorBidi" w:cstheme="majorBidi"/>
          <w:sz w:val="24"/>
          <w:szCs w:val="24"/>
        </w:rPr>
        <w:t xml:space="preserve">, A. (2008). Financial distress and corporate risk management: Theory and evidence. Journal of Financial Economics, 87(3), 706–739. </w:t>
      </w:r>
      <w:hyperlink r:id="rId46" w:history="1">
        <w:r w:rsidRPr="00A24EBE">
          <w:rPr>
            <w:rStyle w:val="Hyperlink"/>
            <w:rFonts w:asciiTheme="majorBidi" w:hAnsiTheme="majorBidi" w:cstheme="majorBidi"/>
            <w:sz w:val="24"/>
            <w:szCs w:val="24"/>
          </w:rPr>
          <w:t>https://doi.org/10.1016/j.jfineco.2007.04.003</w:t>
        </w:r>
      </w:hyperlink>
      <w:r w:rsidRPr="00A24EBE">
        <w:rPr>
          <w:rFonts w:asciiTheme="majorBidi" w:hAnsiTheme="majorBidi" w:cstheme="majorBidi"/>
          <w:sz w:val="24"/>
          <w:szCs w:val="24"/>
        </w:rPr>
        <w:t xml:space="preserve"> </w:t>
      </w:r>
    </w:p>
    <w:p w14:paraId="0E837780" w14:textId="065F6010" w:rsidR="008B4ECC" w:rsidRPr="00A24EBE" w:rsidRDefault="00B853C1"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sz w:val="24"/>
          <w:szCs w:val="24"/>
        </w:rPr>
        <w:t>Shikumo</w:t>
      </w:r>
      <w:proofErr w:type="spellEnd"/>
      <w:r w:rsidRPr="00A24EBE">
        <w:rPr>
          <w:rFonts w:asciiTheme="majorBidi" w:hAnsiTheme="majorBidi" w:cstheme="majorBidi"/>
          <w:sz w:val="24"/>
          <w:szCs w:val="24"/>
        </w:rPr>
        <w:t xml:space="preserve">, D. H., Oluoch, O., &amp; Wepukhulu, J. M. (2020). Effect of Short-Term Debt on Financial Growth of Non-Financial Firms Listed at Nairobi Securities Exchange. Research Journal of Finance and Accounting. </w:t>
      </w:r>
      <w:hyperlink r:id="rId47" w:history="1">
        <w:r w:rsidRPr="00A24EBE">
          <w:rPr>
            <w:rStyle w:val="Hyperlink"/>
            <w:rFonts w:asciiTheme="majorBidi" w:hAnsiTheme="majorBidi" w:cstheme="majorBidi"/>
            <w:sz w:val="24"/>
            <w:szCs w:val="24"/>
          </w:rPr>
          <w:t>https://doi.org/10.7176/RJFA/11-17-16</w:t>
        </w:r>
      </w:hyperlink>
      <w:r w:rsidRPr="00A24EBE">
        <w:rPr>
          <w:rFonts w:asciiTheme="majorBidi" w:hAnsiTheme="majorBidi" w:cstheme="majorBidi"/>
          <w:sz w:val="24"/>
          <w:szCs w:val="24"/>
        </w:rPr>
        <w:t xml:space="preserve"> </w:t>
      </w:r>
    </w:p>
    <w:p w14:paraId="648C2152" w14:textId="2931692C" w:rsidR="008B4ECC" w:rsidRPr="00A24EBE" w:rsidRDefault="00B853C1" w:rsidP="00A24EBE">
      <w:pPr>
        <w:spacing w:line="240" w:lineRule="auto"/>
        <w:jc w:val="both"/>
        <w:rPr>
          <w:rFonts w:asciiTheme="majorBidi" w:hAnsiTheme="majorBidi" w:cstheme="majorBidi"/>
          <w:sz w:val="24"/>
          <w:szCs w:val="24"/>
        </w:rPr>
      </w:pPr>
      <w:proofErr w:type="spellStart"/>
      <w:r w:rsidRPr="00535197">
        <w:rPr>
          <w:rFonts w:asciiTheme="majorBidi" w:hAnsiTheme="majorBidi" w:cstheme="majorBidi"/>
          <w:sz w:val="24"/>
          <w:szCs w:val="24"/>
          <w:lang w:val="fr-FR"/>
        </w:rPr>
        <w:t>Stohs</w:t>
      </w:r>
      <w:proofErr w:type="spellEnd"/>
      <w:r w:rsidRPr="00535197">
        <w:rPr>
          <w:rFonts w:asciiTheme="majorBidi" w:hAnsiTheme="majorBidi" w:cstheme="majorBidi"/>
          <w:sz w:val="24"/>
          <w:szCs w:val="24"/>
          <w:lang w:val="fr-FR"/>
        </w:rPr>
        <w:t xml:space="preserve">, M. H., &amp; Mauer, D. C. (1996). </w:t>
      </w:r>
      <w:r w:rsidRPr="00A24EBE">
        <w:rPr>
          <w:rFonts w:asciiTheme="majorBidi" w:hAnsiTheme="majorBidi" w:cstheme="majorBidi"/>
          <w:sz w:val="24"/>
          <w:szCs w:val="24"/>
        </w:rPr>
        <w:t xml:space="preserve">The determinants of corporate debt maturity structure. Journal of Business, 69(3), 279–312. </w:t>
      </w:r>
      <w:hyperlink r:id="rId48" w:history="1">
        <w:r w:rsidRPr="00A24EBE">
          <w:rPr>
            <w:rStyle w:val="Hyperlink"/>
            <w:rFonts w:asciiTheme="majorBidi" w:hAnsiTheme="majorBidi" w:cstheme="majorBidi"/>
            <w:sz w:val="24"/>
            <w:szCs w:val="24"/>
          </w:rPr>
          <w:t>https://doi.org/10.1086/209692</w:t>
        </w:r>
      </w:hyperlink>
      <w:r w:rsidRPr="00A24EBE">
        <w:rPr>
          <w:rFonts w:asciiTheme="majorBidi" w:hAnsiTheme="majorBidi" w:cstheme="majorBidi"/>
          <w:sz w:val="24"/>
          <w:szCs w:val="24"/>
        </w:rPr>
        <w:t xml:space="preserve"> </w:t>
      </w:r>
    </w:p>
    <w:p w14:paraId="6EE72CFD" w14:textId="0756D067" w:rsidR="008B4ECC" w:rsidRPr="00A24EBE" w:rsidRDefault="00B853C1" w:rsidP="00A24EBE">
      <w:pPr>
        <w:spacing w:line="240" w:lineRule="auto"/>
        <w:jc w:val="both"/>
        <w:rPr>
          <w:rFonts w:asciiTheme="majorBidi" w:hAnsiTheme="majorBidi" w:cstheme="majorBidi"/>
          <w:sz w:val="24"/>
          <w:szCs w:val="24"/>
        </w:rPr>
      </w:pPr>
      <w:proofErr w:type="spellStart"/>
      <w:r w:rsidRPr="00A24EBE">
        <w:rPr>
          <w:rFonts w:asciiTheme="majorBidi" w:hAnsiTheme="majorBidi" w:cstheme="majorBidi" w:hint="eastAsia"/>
          <w:sz w:val="24"/>
          <w:szCs w:val="24"/>
        </w:rPr>
        <w:t>Suhaibu</w:t>
      </w:r>
      <w:proofErr w:type="spellEnd"/>
      <w:r w:rsidRPr="00A24EBE">
        <w:rPr>
          <w:rFonts w:asciiTheme="majorBidi" w:hAnsiTheme="majorBidi" w:cstheme="majorBidi" w:hint="eastAsia"/>
          <w:sz w:val="24"/>
          <w:szCs w:val="24"/>
        </w:rPr>
        <w:t>, I., &amp; Abdul-Malik, A. (2021). Debt policy, firm value, and the macroeconomic environment nexus: Evidence from non</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financial sector firms in Ghana. International Journal of Finance &amp; Economics, 26(2), 2106</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 xml:space="preserve">2117. </w:t>
      </w:r>
      <w:hyperlink r:id="rId49" w:history="1">
        <w:r w:rsidRPr="00A24EBE">
          <w:rPr>
            <w:rStyle w:val="Hyperlink"/>
            <w:rFonts w:asciiTheme="majorBidi" w:hAnsiTheme="majorBidi" w:cstheme="majorBidi" w:hint="eastAsia"/>
            <w:sz w:val="24"/>
            <w:szCs w:val="24"/>
          </w:rPr>
          <w:t>https://doi.org/10.1002/ijfe.1896</w:t>
        </w:r>
      </w:hyperlink>
      <w:r w:rsidRPr="00A24EBE">
        <w:rPr>
          <w:rFonts w:asciiTheme="majorBidi" w:hAnsiTheme="majorBidi" w:cstheme="majorBidi"/>
          <w:sz w:val="24"/>
          <w:szCs w:val="24"/>
        </w:rPr>
        <w:t xml:space="preserve"> </w:t>
      </w:r>
    </w:p>
    <w:p w14:paraId="35B5DCD3" w14:textId="4A613B25" w:rsidR="008B4ECC" w:rsidRPr="004914E6" w:rsidRDefault="00B853C1" w:rsidP="00A24EBE">
      <w:pPr>
        <w:spacing w:line="240" w:lineRule="auto"/>
        <w:jc w:val="both"/>
      </w:pPr>
      <w:proofErr w:type="spellStart"/>
      <w:r w:rsidRPr="00A24EBE">
        <w:rPr>
          <w:rFonts w:asciiTheme="majorBidi" w:hAnsiTheme="majorBidi" w:cstheme="majorBidi"/>
          <w:sz w:val="24"/>
          <w:szCs w:val="24"/>
        </w:rPr>
        <w:t>Tuoyo</w:t>
      </w:r>
      <w:proofErr w:type="spellEnd"/>
      <w:r w:rsidRPr="00A24EBE">
        <w:rPr>
          <w:rFonts w:asciiTheme="majorBidi" w:hAnsiTheme="majorBidi" w:cstheme="majorBidi"/>
          <w:sz w:val="24"/>
          <w:szCs w:val="24"/>
        </w:rPr>
        <w:t xml:space="preserve">, C. A., </w:t>
      </w:r>
      <w:proofErr w:type="spellStart"/>
      <w:r w:rsidRPr="00A24EBE">
        <w:rPr>
          <w:rFonts w:asciiTheme="majorBidi" w:hAnsiTheme="majorBidi" w:cstheme="majorBidi"/>
          <w:sz w:val="24"/>
          <w:szCs w:val="24"/>
        </w:rPr>
        <w:t>Debo-Ajagunna</w:t>
      </w:r>
      <w:proofErr w:type="spellEnd"/>
      <w:r w:rsidRPr="00A24EBE">
        <w:rPr>
          <w:rFonts w:asciiTheme="majorBidi" w:hAnsiTheme="majorBidi" w:cstheme="majorBidi"/>
          <w:sz w:val="24"/>
          <w:szCs w:val="24"/>
        </w:rPr>
        <w:t xml:space="preserve">, A. A., </w:t>
      </w:r>
      <w:proofErr w:type="spellStart"/>
      <w:r w:rsidRPr="00A24EBE">
        <w:rPr>
          <w:rFonts w:asciiTheme="majorBidi" w:hAnsiTheme="majorBidi" w:cstheme="majorBidi"/>
          <w:sz w:val="24"/>
          <w:szCs w:val="24"/>
        </w:rPr>
        <w:t>Efuntade</w:t>
      </w:r>
      <w:proofErr w:type="spellEnd"/>
      <w:r w:rsidRPr="00A24EBE">
        <w:rPr>
          <w:rFonts w:asciiTheme="majorBidi" w:hAnsiTheme="majorBidi" w:cstheme="majorBidi"/>
          <w:sz w:val="24"/>
          <w:szCs w:val="24"/>
        </w:rPr>
        <w:t xml:space="preserve">, A. O., &amp; Oladele, R. (2023). Debt Financing and Performance; a behavioural view of listed manufacturing firms in Nigeria. </w:t>
      </w:r>
      <w:proofErr w:type="spellStart"/>
      <w:r w:rsidRPr="00A24EBE">
        <w:rPr>
          <w:rFonts w:asciiTheme="majorBidi" w:hAnsiTheme="majorBidi" w:cstheme="majorBidi"/>
          <w:sz w:val="24"/>
          <w:szCs w:val="24"/>
        </w:rPr>
        <w:t>Fuoye</w:t>
      </w:r>
      <w:proofErr w:type="spellEnd"/>
      <w:r w:rsidRPr="00A24EBE">
        <w:rPr>
          <w:rFonts w:asciiTheme="majorBidi" w:hAnsiTheme="majorBidi" w:cstheme="majorBidi"/>
          <w:sz w:val="24"/>
          <w:szCs w:val="24"/>
        </w:rPr>
        <w:t xml:space="preserve"> Journal of Accounting and Management, 6(2) </w:t>
      </w:r>
      <w:hyperlink r:id="rId50" w:history="1">
        <w:r w:rsidRPr="00A24EBE">
          <w:rPr>
            <w:rStyle w:val="Hyperlink"/>
            <w:rFonts w:asciiTheme="majorBidi" w:hAnsiTheme="majorBidi" w:cstheme="majorBidi"/>
            <w:sz w:val="24"/>
            <w:szCs w:val="24"/>
          </w:rPr>
          <w:t>https://fjam.fuoye.edu.ng/index.php/fjam/article/view/170</w:t>
        </w:r>
      </w:hyperlink>
      <w:r w:rsidRPr="00A24EBE">
        <w:rPr>
          <w:rFonts w:asciiTheme="majorBidi" w:hAnsiTheme="majorBidi" w:cstheme="majorBidi"/>
          <w:sz w:val="24"/>
          <w:szCs w:val="24"/>
        </w:rPr>
        <w:t xml:space="preserve"> </w:t>
      </w:r>
    </w:p>
    <w:p w14:paraId="6C63116E" w14:textId="7036D8EA" w:rsidR="009A515B"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Zimny, A. (2021). The impact of financial leverage on a company’s market valuation. </w:t>
      </w:r>
      <w:proofErr w:type="spellStart"/>
      <w:r w:rsidRPr="00A24EBE">
        <w:rPr>
          <w:rFonts w:asciiTheme="majorBidi" w:hAnsiTheme="majorBidi" w:cstheme="majorBidi"/>
          <w:sz w:val="24"/>
          <w:szCs w:val="24"/>
        </w:rPr>
        <w:t>Finanse</w:t>
      </w:r>
      <w:proofErr w:type="spellEnd"/>
      <w:r w:rsidRPr="00A24EBE">
        <w:rPr>
          <w:rFonts w:asciiTheme="majorBidi" w:hAnsiTheme="majorBidi" w:cstheme="majorBidi"/>
          <w:sz w:val="24"/>
          <w:szCs w:val="24"/>
        </w:rPr>
        <w:t xml:space="preserve"> I </w:t>
      </w:r>
      <w:proofErr w:type="spellStart"/>
      <w:r w:rsidRPr="00A24EBE">
        <w:rPr>
          <w:rFonts w:asciiTheme="majorBidi" w:hAnsiTheme="majorBidi" w:cstheme="majorBidi"/>
          <w:sz w:val="24"/>
          <w:szCs w:val="24"/>
        </w:rPr>
        <w:t>Prawo</w:t>
      </w:r>
      <w:proofErr w:type="spellEnd"/>
      <w:r w:rsidRPr="00A24EBE">
        <w:rPr>
          <w:rFonts w:asciiTheme="majorBidi" w:hAnsiTheme="majorBidi" w:cstheme="majorBidi"/>
          <w:sz w:val="24"/>
          <w:szCs w:val="24"/>
        </w:rPr>
        <w:t xml:space="preserve"> </w:t>
      </w:r>
      <w:proofErr w:type="spellStart"/>
      <w:r w:rsidRPr="00A24EBE">
        <w:rPr>
          <w:rFonts w:asciiTheme="majorBidi" w:hAnsiTheme="majorBidi" w:cstheme="majorBidi"/>
          <w:sz w:val="24"/>
          <w:szCs w:val="24"/>
        </w:rPr>
        <w:t>Finansowe</w:t>
      </w:r>
      <w:proofErr w:type="spellEnd"/>
      <w:r w:rsidRPr="00A24EBE">
        <w:rPr>
          <w:rFonts w:asciiTheme="majorBidi" w:hAnsiTheme="majorBidi" w:cstheme="majorBidi"/>
          <w:sz w:val="24"/>
          <w:szCs w:val="24"/>
        </w:rPr>
        <w:t xml:space="preserve">, 199–214. </w:t>
      </w:r>
      <w:hyperlink r:id="rId51" w:history="1">
        <w:r w:rsidRPr="00A24EBE">
          <w:rPr>
            <w:rStyle w:val="Hyperlink"/>
            <w:rFonts w:asciiTheme="majorBidi" w:hAnsiTheme="majorBidi" w:cstheme="majorBidi"/>
            <w:sz w:val="24"/>
            <w:szCs w:val="24"/>
          </w:rPr>
          <w:t>https://doi.org/10.18778/2391-6478.s.2021.11</w:t>
        </w:r>
      </w:hyperlink>
      <w:r w:rsidRPr="00A24EBE">
        <w:rPr>
          <w:rFonts w:asciiTheme="majorBidi" w:hAnsiTheme="majorBidi" w:cstheme="majorBidi"/>
          <w:sz w:val="24"/>
          <w:szCs w:val="24"/>
        </w:rPr>
        <w:t xml:space="preserve"> </w:t>
      </w:r>
      <w:r w:rsidR="009A515B" w:rsidRPr="00A24EBE">
        <w:rPr>
          <w:rFonts w:asciiTheme="majorBidi" w:hAnsiTheme="majorBidi" w:cstheme="majorBidi"/>
          <w:sz w:val="24"/>
          <w:szCs w:val="24"/>
        </w:rPr>
        <w:t xml:space="preserve"> </w:t>
      </w:r>
    </w:p>
    <w:p w14:paraId="010C43F5" w14:textId="77777777" w:rsidR="009A515B" w:rsidRPr="004914E6" w:rsidRDefault="009A515B" w:rsidP="008B4ECC">
      <w:pPr>
        <w:spacing w:line="240" w:lineRule="auto"/>
        <w:ind w:left="720" w:hanging="720"/>
        <w:contextualSpacing/>
        <w:jc w:val="both"/>
        <w:rPr>
          <w:rFonts w:asciiTheme="majorBidi" w:hAnsiTheme="majorBidi" w:cstheme="majorBidi"/>
          <w:sz w:val="24"/>
          <w:szCs w:val="24"/>
        </w:rPr>
      </w:pPr>
    </w:p>
    <w:p w14:paraId="6C4791CF" w14:textId="77777777" w:rsidR="00ED01F4" w:rsidRPr="008B4ECC" w:rsidRDefault="00ED01F4" w:rsidP="008B4ECC">
      <w:pPr>
        <w:spacing w:line="240" w:lineRule="auto"/>
        <w:ind w:left="720" w:hanging="720"/>
        <w:contextualSpacing/>
        <w:jc w:val="both"/>
        <w:rPr>
          <w:rFonts w:asciiTheme="majorBidi" w:hAnsiTheme="majorBidi" w:cstheme="majorBidi"/>
          <w:sz w:val="24"/>
          <w:szCs w:val="24"/>
        </w:rPr>
      </w:pPr>
    </w:p>
    <w:sectPr w:rsidR="00ED01F4" w:rsidRPr="008B4ECC">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CFCD" w14:textId="77777777" w:rsidR="00AE599B" w:rsidRDefault="00AE599B" w:rsidP="005C6BF9">
      <w:pPr>
        <w:spacing w:after="0" w:line="240" w:lineRule="auto"/>
      </w:pPr>
      <w:r>
        <w:separator/>
      </w:r>
    </w:p>
  </w:endnote>
  <w:endnote w:type="continuationSeparator" w:id="0">
    <w:p w14:paraId="42B29CC7" w14:textId="77777777" w:rsidR="00AE599B" w:rsidRDefault="00AE599B" w:rsidP="005C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B477" w14:textId="77777777" w:rsidR="005C6BF9" w:rsidRDefault="005C6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3867" w14:textId="77777777" w:rsidR="005C6BF9" w:rsidRDefault="005C6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2C35" w14:textId="77777777" w:rsidR="005C6BF9" w:rsidRDefault="005C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3124E" w14:textId="77777777" w:rsidR="00AE599B" w:rsidRDefault="00AE599B" w:rsidP="005C6BF9">
      <w:pPr>
        <w:spacing w:after="0" w:line="240" w:lineRule="auto"/>
      </w:pPr>
      <w:r>
        <w:separator/>
      </w:r>
    </w:p>
  </w:footnote>
  <w:footnote w:type="continuationSeparator" w:id="0">
    <w:p w14:paraId="42276526" w14:textId="77777777" w:rsidR="00AE599B" w:rsidRDefault="00AE599B" w:rsidP="005C6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0685" w14:textId="1F81C34F" w:rsidR="005C6BF9" w:rsidRDefault="00AE599B">
    <w:pPr>
      <w:pStyle w:val="Header"/>
    </w:pPr>
    <w:r>
      <w:rPr>
        <w:noProof/>
      </w:rPr>
      <w:pict w14:anchorId="77EEC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4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A663" w14:textId="58403A54" w:rsidR="005C6BF9" w:rsidRDefault="00AE599B">
    <w:pPr>
      <w:pStyle w:val="Header"/>
    </w:pPr>
    <w:r>
      <w:rPr>
        <w:noProof/>
      </w:rPr>
      <w:pict w14:anchorId="56641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4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B645" w14:textId="7C721A34" w:rsidR="005C6BF9" w:rsidRDefault="00AE599B">
    <w:pPr>
      <w:pStyle w:val="Header"/>
    </w:pPr>
    <w:r>
      <w:rPr>
        <w:noProof/>
      </w:rPr>
      <w:pict w14:anchorId="7295E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4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164A"/>
    <w:multiLevelType w:val="hybridMultilevel"/>
    <w:tmpl w:val="AAD2B006"/>
    <w:lvl w:ilvl="0" w:tplc="613A5B6A">
      <w:start w:val="1"/>
      <w:numFmt w:val="bullet"/>
      <w:lvlText w:val="•"/>
      <w:lvlJc w:val="left"/>
      <w:pPr>
        <w:tabs>
          <w:tab w:val="num" w:pos="720"/>
        </w:tabs>
        <w:ind w:left="720" w:hanging="360"/>
      </w:pPr>
      <w:rPr>
        <w:rFonts w:ascii="Arial" w:hAnsi="Arial" w:hint="default"/>
      </w:rPr>
    </w:lvl>
    <w:lvl w:ilvl="1" w:tplc="4DD0B9D4" w:tentative="1">
      <w:start w:val="1"/>
      <w:numFmt w:val="bullet"/>
      <w:lvlText w:val="•"/>
      <w:lvlJc w:val="left"/>
      <w:pPr>
        <w:tabs>
          <w:tab w:val="num" w:pos="1440"/>
        </w:tabs>
        <w:ind w:left="1440" w:hanging="360"/>
      </w:pPr>
      <w:rPr>
        <w:rFonts w:ascii="Arial" w:hAnsi="Arial" w:hint="default"/>
      </w:rPr>
    </w:lvl>
    <w:lvl w:ilvl="2" w:tplc="7B4A6176" w:tentative="1">
      <w:start w:val="1"/>
      <w:numFmt w:val="bullet"/>
      <w:lvlText w:val="•"/>
      <w:lvlJc w:val="left"/>
      <w:pPr>
        <w:tabs>
          <w:tab w:val="num" w:pos="2160"/>
        </w:tabs>
        <w:ind w:left="2160" w:hanging="360"/>
      </w:pPr>
      <w:rPr>
        <w:rFonts w:ascii="Arial" w:hAnsi="Arial" w:hint="default"/>
      </w:rPr>
    </w:lvl>
    <w:lvl w:ilvl="3" w:tplc="7C58C87E" w:tentative="1">
      <w:start w:val="1"/>
      <w:numFmt w:val="bullet"/>
      <w:lvlText w:val="•"/>
      <w:lvlJc w:val="left"/>
      <w:pPr>
        <w:tabs>
          <w:tab w:val="num" w:pos="2880"/>
        </w:tabs>
        <w:ind w:left="2880" w:hanging="360"/>
      </w:pPr>
      <w:rPr>
        <w:rFonts w:ascii="Arial" w:hAnsi="Arial" w:hint="default"/>
      </w:rPr>
    </w:lvl>
    <w:lvl w:ilvl="4" w:tplc="3168B3A2" w:tentative="1">
      <w:start w:val="1"/>
      <w:numFmt w:val="bullet"/>
      <w:lvlText w:val="•"/>
      <w:lvlJc w:val="left"/>
      <w:pPr>
        <w:tabs>
          <w:tab w:val="num" w:pos="3600"/>
        </w:tabs>
        <w:ind w:left="3600" w:hanging="360"/>
      </w:pPr>
      <w:rPr>
        <w:rFonts w:ascii="Arial" w:hAnsi="Arial" w:hint="default"/>
      </w:rPr>
    </w:lvl>
    <w:lvl w:ilvl="5" w:tplc="BB58CCA6" w:tentative="1">
      <w:start w:val="1"/>
      <w:numFmt w:val="bullet"/>
      <w:lvlText w:val="•"/>
      <w:lvlJc w:val="left"/>
      <w:pPr>
        <w:tabs>
          <w:tab w:val="num" w:pos="4320"/>
        </w:tabs>
        <w:ind w:left="4320" w:hanging="360"/>
      </w:pPr>
      <w:rPr>
        <w:rFonts w:ascii="Arial" w:hAnsi="Arial" w:hint="default"/>
      </w:rPr>
    </w:lvl>
    <w:lvl w:ilvl="6" w:tplc="919C9AFC" w:tentative="1">
      <w:start w:val="1"/>
      <w:numFmt w:val="bullet"/>
      <w:lvlText w:val="•"/>
      <w:lvlJc w:val="left"/>
      <w:pPr>
        <w:tabs>
          <w:tab w:val="num" w:pos="5040"/>
        </w:tabs>
        <w:ind w:left="5040" w:hanging="360"/>
      </w:pPr>
      <w:rPr>
        <w:rFonts w:ascii="Arial" w:hAnsi="Arial" w:hint="default"/>
      </w:rPr>
    </w:lvl>
    <w:lvl w:ilvl="7" w:tplc="3BF81D76" w:tentative="1">
      <w:start w:val="1"/>
      <w:numFmt w:val="bullet"/>
      <w:lvlText w:val="•"/>
      <w:lvlJc w:val="left"/>
      <w:pPr>
        <w:tabs>
          <w:tab w:val="num" w:pos="5760"/>
        </w:tabs>
        <w:ind w:left="5760" w:hanging="360"/>
      </w:pPr>
      <w:rPr>
        <w:rFonts w:ascii="Arial" w:hAnsi="Arial" w:hint="default"/>
      </w:rPr>
    </w:lvl>
    <w:lvl w:ilvl="8" w:tplc="BC2A20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B72982"/>
    <w:multiLevelType w:val="hybridMultilevel"/>
    <w:tmpl w:val="1B2EF9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BA54D7"/>
    <w:multiLevelType w:val="multilevel"/>
    <w:tmpl w:val="016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86"/>
    <w:rsid w:val="00016932"/>
    <w:rsid w:val="00030825"/>
    <w:rsid w:val="0003282B"/>
    <w:rsid w:val="00032FFC"/>
    <w:rsid w:val="00033E69"/>
    <w:rsid w:val="00037748"/>
    <w:rsid w:val="00050A39"/>
    <w:rsid w:val="000668D9"/>
    <w:rsid w:val="00072C04"/>
    <w:rsid w:val="00077E13"/>
    <w:rsid w:val="00090345"/>
    <w:rsid w:val="00090D60"/>
    <w:rsid w:val="000A1C8A"/>
    <w:rsid w:val="000B6362"/>
    <w:rsid w:val="000C52B2"/>
    <w:rsid w:val="000C6444"/>
    <w:rsid w:val="000D7E3E"/>
    <w:rsid w:val="000E113B"/>
    <w:rsid w:val="000E34F6"/>
    <w:rsid w:val="000E412E"/>
    <w:rsid w:val="000F525F"/>
    <w:rsid w:val="00102031"/>
    <w:rsid w:val="001048E8"/>
    <w:rsid w:val="001105A9"/>
    <w:rsid w:val="00123793"/>
    <w:rsid w:val="0012454B"/>
    <w:rsid w:val="00124E2C"/>
    <w:rsid w:val="00136D86"/>
    <w:rsid w:val="00147399"/>
    <w:rsid w:val="0015111A"/>
    <w:rsid w:val="00153C9C"/>
    <w:rsid w:val="00162337"/>
    <w:rsid w:val="0018078B"/>
    <w:rsid w:val="001915E6"/>
    <w:rsid w:val="001934E4"/>
    <w:rsid w:val="0019451F"/>
    <w:rsid w:val="001959CF"/>
    <w:rsid w:val="00196357"/>
    <w:rsid w:val="001A4A79"/>
    <w:rsid w:val="001D3D7E"/>
    <w:rsid w:val="001F1F84"/>
    <w:rsid w:val="001F6FD8"/>
    <w:rsid w:val="00206CF4"/>
    <w:rsid w:val="0020789B"/>
    <w:rsid w:val="00214FC3"/>
    <w:rsid w:val="002313E8"/>
    <w:rsid w:val="00257155"/>
    <w:rsid w:val="0028137D"/>
    <w:rsid w:val="00284320"/>
    <w:rsid w:val="0029718C"/>
    <w:rsid w:val="002C4AAF"/>
    <w:rsid w:val="002E60A6"/>
    <w:rsid w:val="002F3D92"/>
    <w:rsid w:val="002F5762"/>
    <w:rsid w:val="00322D18"/>
    <w:rsid w:val="003335E4"/>
    <w:rsid w:val="00345218"/>
    <w:rsid w:val="003631A7"/>
    <w:rsid w:val="003743C5"/>
    <w:rsid w:val="003835EC"/>
    <w:rsid w:val="00391F4D"/>
    <w:rsid w:val="003A2CB1"/>
    <w:rsid w:val="003B1778"/>
    <w:rsid w:val="003B3D8D"/>
    <w:rsid w:val="003C10F5"/>
    <w:rsid w:val="003C1CD6"/>
    <w:rsid w:val="003C4897"/>
    <w:rsid w:val="003C577B"/>
    <w:rsid w:val="003E637F"/>
    <w:rsid w:val="003E71FA"/>
    <w:rsid w:val="003F110B"/>
    <w:rsid w:val="003F611C"/>
    <w:rsid w:val="00402371"/>
    <w:rsid w:val="00403D06"/>
    <w:rsid w:val="00413AC6"/>
    <w:rsid w:val="00422A27"/>
    <w:rsid w:val="00446FA3"/>
    <w:rsid w:val="00463C2E"/>
    <w:rsid w:val="004710BC"/>
    <w:rsid w:val="00476621"/>
    <w:rsid w:val="004914E6"/>
    <w:rsid w:val="00492A90"/>
    <w:rsid w:val="00497378"/>
    <w:rsid w:val="004A39FC"/>
    <w:rsid w:val="004B2A63"/>
    <w:rsid w:val="004B31B3"/>
    <w:rsid w:val="004B6009"/>
    <w:rsid w:val="004B777C"/>
    <w:rsid w:val="004C2DFB"/>
    <w:rsid w:val="004C501B"/>
    <w:rsid w:val="004D0BD5"/>
    <w:rsid w:val="004D1852"/>
    <w:rsid w:val="004D678B"/>
    <w:rsid w:val="004E1E21"/>
    <w:rsid w:val="004F4C26"/>
    <w:rsid w:val="005149B8"/>
    <w:rsid w:val="00524F11"/>
    <w:rsid w:val="00526D07"/>
    <w:rsid w:val="00535197"/>
    <w:rsid w:val="0054024D"/>
    <w:rsid w:val="00552053"/>
    <w:rsid w:val="00580F99"/>
    <w:rsid w:val="00583AB3"/>
    <w:rsid w:val="005C580C"/>
    <w:rsid w:val="005C6BF9"/>
    <w:rsid w:val="005F35B0"/>
    <w:rsid w:val="005F5462"/>
    <w:rsid w:val="005F75AD"/>
    <w:rsid w:val="00606D79"/>
    <w:rsid w:val="00625E22"/>
    <w:rsid w:val="006334F7"/>
    <w:rsid w:val="00634324"/>
    <w:rsid w:val="00645C0C"/>
    <w:rsid w:val="00653D04"/>
    <w:rsid w:val="00653DF4"/>
    <w:rsid w:val="00671235"/>
    <w:rsid w:val="006826C1"/>
    <w:rsid w:val="00685321"/>
    <w:rsid w:val="00697BD1"/>
    <w:rsid w:val="006A65B7"/>
    <w:rsid w:val="006B1CE9"/>
    <w:rsid w:val="006B4A1F"/>
    <w:rsid w:val="006C4F19"/>
    <w:rsid w:val="006D60C2"/>
    <w:rsid w:val="006F0922"/>
    <w:rsid w:val="006F5223"/>
    <w:rsid w:val="007003DE"/>
    <w:rsid w:val="00713A4F"/>
    <w:rsid w:val="00721587"/>
    <w:rsid w:val="007216B5"/>
    <w:rsid w:val="007268F6"/>
    <w:rsid w:val="00735B9D"/>
    <w:rsid w:val="0075392E"/>
    <w:rsid w:val="0079108A"/>
    <w:rsid w:val="007923E6"/>
    <w:rsid w:val="00797C0E"/>
    <w:rsid w:val="007A2CE0"/>
    <w:rsid w:val="007A2E7B"/>
    <w:rsid w:val="007A5352"/>
    <w:rsid w:val="007B5C73"/>
    <w:rsid w:val="007C103A"/>
    <w:rsid w:val="007D32D5"/>
    <w:rsid w:val="007E0FF3"/>
    <w:rsid w:val="007E31E8"/>
    <w:rsid w:val="007F5C70"/>
    <w:rsid w:val="008056C5"/>
    <w:rsid w:val="00806B48"/>
    <w:rsid w:val="00806BB1"/>
    <w:rsid w:val="008110AD"/>
    <w:rsid w:val="00812327"/>
    <w:rsid w:val="00834769"/>
    <w:rsid w:val="008446C1"/>
    <w:rsid w:val="0085379B"/>
    <w:rsid w:val="00862C31"/>
    <w:rsid w:val="00865B18"/>
    <w:rsid w:val="00872469"/>
    <w:rsid w:val="008A6991"/>
    <w:rsid w:val="008B0581"/>
    <w:rsid w:val="008B28AD"/>
    <w:rsid w:val="008B4ECC"/>
    <w:rsid w:val="008C0BF3"/>
    <w:rsid w:val="008C28D3"/>
    <w:rsid w:val="008D1A9F"/>
    <w:rsid w:val="008E7326"/>
    <w:rsid w:val="00912783"/>
    <w:rsid w:val="00916FCC"/>
    <w:rsid w:val="00946406"/>
    <w:rsid w:val="009465FE"/>
    <w:rsid w:val="009659C3"/>
    <w:rsid w:val="0098638F"/>
    <w:rsid w:val="009969AE"/>
    <w:rsid w:val="009A1A24"/>
    <w:rsid w:val="009A515B"/>
    <w:rsid w:val="009A7CBB"/>
    <w:rsid w:val="009B649F"/>
    <w:rsid w:val="009E1B8E"/>
    <w:rsid w:val="009F5330"/>
    <w:rsid w:val="00A17F35"/>
    <w:rsid w:val="00A21F02"/>
    <w:rsid w:val="00A24EBE"/>
    <w:rsid w:val="00A33BE1"/>
    <w:rsid w:val="00A37F2A"/>
    <w:rsid w:val="00A43785"/>
    <w:rsid w:val="00A47F2A"/>
    <w:rsid w:val="00A5750E"/>
    <w:rsid w:val="00A654AB"/>
    <w:rsid w:val="00A82E72"/>
    <w:rsid w:val="00A93FA9"/>
    <w:rsid w:val="00A95080"/>
    <w:rsid w:val="00A965A4"/>
    <w:rsid w:val="00AA6DFF"/>
    <w:rsid w:val="00AB1CF0"/>
    <w:rsid w:val="00AB52F5"/>
    <w:rsid w:val="00AC6155"/>
    <w:rsid w:val="00AE57BF"/>
    <w:rsid w:val="00AE599B"/>
    <w:rsid w:val="00AF1873"/>
    <w:rsid w:val="00AF4679"/>
    <w:rsid w:val="00AF734D"/>
    <w:rsid w:val="00B062BB"/>
    <w:rsid w:val="00B14EC3"/>
    <w:rsid w:val="00B20186"/>
    <w:rsid w:val="00B630E7"/>
    <w:rsid w:val="00B7121B"/>
    <w:rsid w:val="00B853C1"/>
    <w:rsid w:val="00B85681"/>
    <w:rsid w:val="00B86A66"/>
    <w:rsid w:val="00B92E2B"/>
    <w:rsid w:val="00BA72B4"/>
    <w:rsid w:val="00BA76F8"/>
    <w:rsid w:val="00BB32F7"/>
    <w:rsid w:val="00BB3ECB"/>
    <w:rsid w:val="00BD0806"/>
    <w:rsid w:val="00BD0E53"/>
    <w:rsid w:val="00BD2E52"/>
    <w:rsid w:val="00BD4B97"/>
    <w:rsid w:val="00BE74F6"/>
    <w:rsid w:val="00BF303F"/>
    <w:rsid w:val="00C038EF"/>
    <w:rsid w:val="00C040EF"/>
    <w:rsid w:val="00C06A68"/>
    <w:rsid w:val="00C131EC"/>
    <w:rsid w:val="00C14AD9"/>
    <w:rsid w:val="00C44BA7"/>
    <w:rsid w:val="00C554FC"/>
    <w:rsid w:val="00C735F5"/>
    <w:rsid w:val="00C81B96"/>
    <w:rsid w:val="00CA7417"/>
    <w:rsid w:val="00CD3247"/>
    <w:rsid w:val="00CD77F9"/>
    <w:rsid w:val="00CE1EFA"/>
    <w:rsid w:val="00D030B8"/>
    <w:rsid w:val="00D10CB7"/>
    <w:rsid w:val="00D15425"/>
    <w:rsid w:val="00D1792A"/>
    <w:rsid w:val="00D31907"/>
    <w:rsid w:val="00D33CC3"/>
    <w:rsid w:val="00D37101"/>
    <w:rsid w:val="00D5341B"/>
    <w:rsid w:val="00D612DA"/>
    <w:rsid w:val="00D63419"/>
    <w:rsid w:val="00D73E74"/>
    <w:rsid w:val="00D7556F"/>
    <w:rsid w:val="00D80F73"/>
    <w:rsid w:val="00D868D6"/>
    <w:rsid w:val="00D90378"/>
    <w:rsid w:val="00D94320"/>
    <w:rsid w:val="00D94A86"/>
    <w:rsid w:val="00DA075D"/>
    <w:rsid w:val="00DB3023"/>
    <w:rsid w:val="00DB3FEA"/>
    <w:rsid w:val="00DC64D5"/>
    <w:rsid w:val="00DE0689"/>
    <w:rsid w:val="00DE1937"/>
    <w:rsid w:val="00DE65B6"/>
    <w:rsid w:val="00DF1FF7"/>
    <w:rsid w:val="00E14139"/>
    <w:rsid w:val="00E21623"/>
    <w:rsid w:val="00E33590"/>
    <w:rsid w:val="00E670F4"/>
    <w:rsid w:val="00EA44E7"/>
    <w:rsid w:val="00EA563B"/>
    <w:rsid w:val="00EB57EC"/>
    <w:rsid w:val="00EB79E7"/>
    <w:rsid w:val="00ED01F4"/>
    <w:rsid w:val="00EE30B3"/>
    <w:rsid w:val="00EE5E98"/>
    <w:rsid w:val="00EE6C6F"/>
    <w:rsid w:val="00EF0CA1"/>
    <w:rsid w:val="00EF130F"/>
    <w:rsid w:val="00F02ED0"/>
    <w:rsid w:val="00F343EF"/>
    <w:rsid w:val="00F42FCE"/>
    <w:rsid w:val="00F456C5"/>
    <w:rsid w:val="00F54E56"/>
    <w:rsid w:val="00F617CD"/>
    <w:rsid w:val="00F80BCE"/>
    <w:rsid w:val="00F826F3"/>
    <w:rsid w:val="00F863C8"/>
    <w:rsid w:val="00FB31B5"/>
    <w:rsid w:val="00FE68B8"/>
    <w:rsid w:val="00FF75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010AF"/>
  <w15:chartTrackingRefBased/>
  <w15:docId w15:val="{92FA035E-735A-4BBB-B717-F6DF1577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873"/>
  </w:style>
  <w:style w:type="paragraph" w:styleId="Heading1">
    <w:name w:val="heading 1"/>
    <w:basedOn w:val="Normal"/>
    <w:next w:val="Normal"/>
    <w:link w:val="Heading1Char"/>
    <w:uiPriority w:val="9"/>
    <w:qFormat/>
    <w:rsid w:val="00B20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86"/>
    <w:rPr>
      <w:rFonts w:eastAsiaTheme="majorEastAsia" w:cstheme="majorBidi"/>
      <w:color w:val="272727" w:themeColor="text1" w:themeTint="D8"/>
    </w:rPr>
  </w:style>
  <w:style w:type="paragraph" w:styleId="Title">
    <w:name w:val="Title"/>
    <w:basedOn w:val="Normal"/>
    <w:next w:val="Normal"/>
    <w:link w:val="TitleChar"/>
    <w:uiPriority w:val="10"/>
    <w:qFormat/>
    <w:rsid w:val="00B20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86"/>
    <w:pPr>
      <w:spacing w:before="160"/>
      <w:jc w:val="center"/>
    </w:pPr>
    <w:rPr>
      <w:i/>
      <w:iCs/>
      <w:color w:val="404040" w:themeColor="text1" w:themeTint="BF"/>
    </w:rPr>
  </w:style>
  <w:style w:type="character" w:customStyle="1" w:styleId="QuoteChar">
    <w:name w:val="Quote Char"/>
    <w:basedOn w:val="DefaultParagraphFont"/>
    <w:link w:val="Quote"/>
    <w:uiPriority w:val="29"/>
    <w:rsid w:val="00B20186"/>
    <w:rPr>
      <w:i/>
      <w:iCs/>
      <w:color w:val="404040" w:themeColor="text1" w:themeTint="BF"/>
    </w:rPr>
  </w:style>
  <w:style w:type="paragraph" w:styleId="ListParagraph">
    <w:name w:val="List Paragraph"/>
    <w:basedOn w:val="Normal"/>
    <w:uiPriority w:val="34"/>
    <w:qFormat/>
    <w:rsid w:val="00B20186"/>
    <w:pPr>
      <w:ind w:left="720"/>
      <w:contextualSpacing/>
    </w:pPr>
  </w:style>
  <w:style w:type="character" w:styleId="IntenseEmphasis">
    <w:name w:val="Intense Emphasis"/>
    <w:basedOn w:val="DefaultParagraphFont"/>
    <w:uiPriority w:val="21"/>
    <w:qFormat/>
    <w:rsid w:val="00B20186"/>
    <w:rPr>
      <w:i/>
      <w:iCs/>
      <w:color w:val="0F4761" w:themeColor="accent1" w:themeShade="BF"/>
    </w:rPr>
  </w:style>
  <w:style w:type="paragraph" w:styleId="IntenseQuote">
    <w:name w:val="Intense Quote"/>
    <w:basedOn w:val="Normal"/>
    <w:next w:val="Normal"/>
    <w:link w:val="IntenseQuoteChar"/>
    <w:uiPriority w:val="30"/>
    <w:qFormat/>
    <w:rsid w:val="00B20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186"/>
    <w:rPr>
      <w:i/>
      <w:iCs/>
      <w:color w:val="0F4761" w:themeColor="accent1" w:themeShade="BF"/>
    </w:rPr>
  </w:style>
  <w:style w:type="character" w:styleId="IntenseReference">
    <w:name w:val="Intense Reference"/>
    <w:basedOn w:val="DefaultParagraphFont"/>
    <w:uiPriority w:val="32"/>
    <w:qFormat/>
    <w:rsid w:val="00B20186"/>
    <w:rPr>
      <w:b/>
      <w:bCs/>
      <w:smallCaps/>
      <w:color w:val="0F4761" w:themeColor="accent1" w:themeShade="BF"/>
      <w:spacing w:val="5"/>
    </w:rPr>
  </w:style>
  <w:style w:type="table" w:styleId="TableGrid">
    <w:name w:val="Table Grid"/>
    <w:basedOn w:val="TableNormal"/>
    <w:uiPriority w:val="3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F75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752C"/>
    <w:rPr>
      <w:b/>
      <w:bCs/>
    </w:rPr>
  </w:style>
  <w:style w:type="character" w:styleId="Hyperlink">
    <w:name w:val="Hyperlink"/>
    <w:basedOn w:val="DefaultParagraphFont"/>
    <w:uiPriority w:val="99"/>
    <w:unhideWhenUsed/>
    <w:rsid w:val="00C14AD9"/>
    <w:rPr>
      <w:color w:val="467886" w:themeColor="hyperlink"/>
      <w:u w:val="single"/>
    </w:rPr>
  </w:style>
  <w:style w:type="character" w:styleId="UnresolvedMention">
    <w:name w:val="Unresolved Mention"/>
    <w:basedOn w:val="DefaultParagraphFont"/>
    <w:uiPriority w:val="99"/>
    <w:semiHidden/>
    <w:unhideWhenUsed/>
    <w:rsid w:val="00C14AD9"/>
    <w:rPr>
      <w:color w:val="605E5C"/>
      <w:shd w:val="clear" w:color="auto" w:fill="E1DFDD"/>
    </w:rPr>
  </w:style>
  <w:style w:type="character" w:styleId="FollowedHyperlink">
    <w:name w:val="FollowedHyperlink"/>
    <w:basedOn w:val="DefaultParagraphFont"/>
    <w:uiPriority w:val="99"/>
    <w:semiHidden/>
    <w:unhideWhenUsed/>
    <w:rsid w:val="00C14AD9"/>
    <w:rPr>
      <w:color w:val="96607D" w:themeColor="followedHyperlink"/>
      <w:u w:val="single"/>
    </w:rPr>
  </w:style>
  <w:style w:type="paragraph" w:styleId="Header">
    <w:name w:val="header"/>
    <w:basedOn w:val="Normal"/>
    <w:link w:val="HeaderChar"/>
    <w:uiPriority w:val="99"/>
    <w:unhideWhenUsed/>
    <w:rsid w:val="005C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BF9"/>
  </w:style>
  <w:style w:type="paragraph" w:styleId="Footer">
    <w:name w:val="footer"/>
    <w:basedOn w:val="Normal"/>
    <w:link w:val="FooterChar"/>
    <w:uiPriority w:val="99"/>
    <w:unhideWhenUsed/>
    <w:rsid w:val="005C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3665615" TargetMode="External"/><Relationship Id="rId18" Type="http://schemas.openxmlformats.org/officeDocument/2006/relationships/hyperlink" Target="https://doi.org/10.1108/sajbs-04-2020-0100" TargetMode="External"/><Relationship Id="rId26" Type="http://schemas.openxmlformats.org/officeDocument/2006/relationships/hyperlink" Target="https://doi.org/10.7176/ejbm/12-3-16" TargetMode="External"/><Relationship Id="rId39" Type="http://schemas.openxmlformats.org/officeDocument/2006/relationships/hyperlink" Target="https://doi.org/10.2307/1809167" TargetMode="External"/><Relationship Id="rId21" Type="http://schemas.openxmlformats.org/officeDocument/2006/relationships/hyperlink" Target="https://doi.org/10.1017/S0022109011000597" TargetMode="External"/><Relationship Id="rId34" Type="http://schemas.openxmlformats.org/officeDocument/2006/relationships/hyperlink" Target="https://doi.org/10.2307/1913643" TargetMode="External"/><Relationship Id="rId42" Type="http://schemas.openxmlformats.org/officeDocument/2006/relationships/hyperlink" Target="http://etd.uum.edu.my/5152/" TargetMode="External"/><Relationship Id="rId47" Type="http://schemas.openxmlformats.org/officeDocument/2006/relationships/hyperlink" Target="https://doi.org/10.7176/RJFA/11-17-16" TargetMode="External"/><Relationship Id="rId50" Type="http://schemas.openxmlformats.org/officeDocument/2006/relationships/hyperlink" Target="https://fjam.fuoye.edu.ng/index.php/fjam/article/view/170" TargetMode="External"/><Relationship Id="rId55" Type="http://schemas.openxmlformats.org/officeDocument/2006/relationships/footer" Target="footer2.xml"/><Relationship Id="rId7" Type="http://schemas.openxmlformats.org/officeDocument/2006/relationships/hyperlink" Target="https://doi.org/10.1108/15265940510633505" TargetMode="External"/><Relationship Id="rId2" Type="http://schemas.openxmlformats.org/officeDocument/2006/relationships/styles" Target="styles.xml"/><Relationship Id="rId16" Type="http://schemas.openxmlformats.org/officeDocument/2006/relationships/hyperlink" Target="https://iajournals.org/articles/iajef_v5_i1_183_203.pdf" TargetMode="External"/><Relationship Id="rId29" Type="http://schemas.openxmlformats.org/officeDocument/2006/relationships/hyperlink" Target="https://www.jstor.org/stable/1818789" TargetMode="External"/><Relationship Id="rId11" Type="http://schemas.openxmlformats.org/officeDocument/2006/relationships/hyperlink" Target="https://doi.org/10.1186/s43093-023-00186-4" TargetMode="External"/><Relationship Id="rId24" Type="http://schemas.openxmlformats.org/officeDocument/2006/relationships/hyperlink" Target="https://doi.org/10.1108/imefm-12-2021-0490" TargetMode="External"/><Relationship Id="rId32" Type="http://schemas.openxmlformats.org/officeDocument/2006/relationships/hyperlink" Target="https://doi.org/10.3390/jrfm16080366" TargetMode="External"/><Relationship Id="rId37" Type="http://schemas.openxmlformats.org/officeDocument/2006/relationships/hyperlink" Target="https://doi.org/10.1016/j.jbankfin.2010.08.021" TargetMode="External"/><Relationship Id="rId40" Type="http://schemas.openxmlformats.org/officeDocument/2006/relationships/hyperlink" Target="https://doi.org/10.1111/j.1540-6261.1984.tb03646.x" TargetMode="External"/><Relationship Id="rId45" Type="http://schemas.openxmlformats.org/officeDocument/2006/relationships/hyperlink" Target="https://doi.org/10.21511/imfi.15(2).2018.10"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9734/ajeba/2025/v25i81925" TargetMode="External"/><Relationship Id="rId4" Type="http://schemas.openxmlformats.org/officeDocument/2006/relationships/webSettings" Target="webSettings.xml"/><Relationship Id="rId9" Type="http://schemas.openxmlformats.org/officeDocument/2006/relationships/hyperlink" Target="https://asbj.aiu.edu.my/images/Vol1Issue2Dec2020/4.pdf" TargetMode="External"/><Relationship Id="rId14" Type="http://schemas.openxmlformats.org/officeDocument/2006/relationships/hyperlink" Target="https://doi.org/10.1111/j.1540-6261.1995.tb04797.x" TargetMode="External"/><Relationship Id="rId22" Type="http://schemas.openxmlformats.org/officeDocument/2006/relationships/hyperlink" Target="https://doi.org/10.1007/s11156-016-0550-8" TargetMode="External"/><Relationship Id="rId27" Type="http://schemas.openxmlformats.org/officeDocument/2006/relationships/hyperlink" Target="https://doi.org/10.23918/ejmss.V4i1p11" TargetMode="External"/><Relationship Id="rId30" Type="http://schemas.openxmlformats.org/officeDocument/2006/relationships/hyperlink" Target="https://doi.org/10.1016/0304-405X(76)90026-X" TargetMode="External"/><Relationship Id="rId35" Type="http://schemas.openxmlformats.org/officeDocument/2006/relationships/hyperlink" Target="https://doi.org/10.1257/jep.15.4.143" TargetMode="External"/><Relationship Id="rId43" Type="http://schemas.openxmlformats.org/officeDocument/2006/relationships/hyperlink" Target="https://doi.org/10.13106/jafeb.2020.vol7.no4.97" TargetMode="External"/><Relationship Id="rId48" Type="http://schemas.openxmlformats.org/officeDocument/2006/relationships/hyperlink" Target="https://doi.org/10.1086/209692" TargetMode="External"/><Relationship Id="rId56" Type="http://schemas.openxmlformats.org/officeDocument/2006/relationships/header" Target="header3.xml"/><Relationship Id="rId8" Type="http://schemas.openxmlformats.org/officeDocument/2006/relationships/hyperlink" Target="https://journals.unizik.edu.ng/index.php/joga" TargetMode="External"/><Relationship Id="rId51" Type="http://schemas.openxmlformats.org/officeDocument/2006/relationships/hyperlink" Target="https://doi.org/10.18778/2391-6478.s.2021.11" TargetMode="External"/><Relationship Id="rId3" Type="http://schemas.openxmlformats.org/officeDocument/2006/relationships/settings" Target="settings.xml"/><Relationship Id="rId12" Type="http://schemas.openxmlformats.org/officeDocument/2006/relationships/hyperlink" Target="https://doi.org/10.1186/s43093-024-00384-8" TargetMode="External"/><Relationship Id="rId17" Type="http://schemas.openxmlformats.org/officeDocument/2006/relationships/hyperlink" Target="https://doi.org/10.3390/jrfm17060001" TargetMode="External"/><Relationship Id="rId25" Type="http://schemas.openxmlformats.org/officeDocument/2006/relationships/hyperlink" Target="https://doi.org/10.56557/ajefm/2025/v7i1275" TargetMode="External"/><Relationship Id="rId33" Type="http://schemas.openxmlformats.org/officeDocument/2006/relationships/hyperlink" Target="https://doi.org/10.1017/CBO9780511754098" TargetMode="External"/><Relationship Id="rId38" Type="http://schemas.openxmlformats.org/officeDocument/2006/relationships/hyperlink" Target="https://doi.org/10.33545/26179210.2022.v5.i2.159" TargetMode="External"/><Relationship Id="rId46" Type="http://schemas.openxmlformats.org/officeDocument/2006/relationships/hyperlink" Target="https://doi.org/10.1016/j.jfineco.2007.04.003" TargetMode="External"/><Relationship Id="rId59" Type="http://schemas.openxmlformats.org/officeDocument/2006/relationships/theme" Target="theme/theme1.xml"/><Relationship Id="rId20" Type="http://schemas.openxmlformats.org/officeDocument/2006/relationships/hyperlink" Target="https://doi.org/10.1093/rfs/15.1.1" TargetMode="External"/><Relationship Id="rId41" Type="http://schemas.openxmlformats.org/officeDocument/2006/relationships/hyperlink" Target="https://doi.org/10.1016/0304-405X(84)90023-0"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MRR-01-2019-0007" TargetMode="External"/><Relationship Id="rId23" Type="http://schemas.openxmlformats.org/officeDocument/2006/relationships/hyperlink" Target="https://doi.org/10.1111/j.1755-053X.2009.01026.x" TargetMode="External"/><Relationship Id="rId28" Type="http://schemas.openxmlformats.org/officeDocument/2006/relationships/hyperlink" Target="https://doi.org/10.1108/RBF-10-2018-0106" TargetMode="External"/><Relationship Id="rId36" Type="http://schemas.openxmlformats.org/officeDocument/2006/relationships/hyperlink" Target="https://doi.org/10.1111/j.1540-6261.1973.tb01415.x" TargetMode="External"/><Relationship Id="rId49" Type="http://schemas.openxmlformats.org/officeDocument/2006/relationships/hyperlink" Target="https://doi.org/10.1002/ijfe.1896" TargetMode="External"/><Relationship Id="rId57" Type="http://schemas.openxmlformats.org/officeDocument/2006/relationships/footer" Target="footer3.xml"/><Relationship Id="rId10" Type="http://schemas.openxmlformats.org/officeDocument/2006/relationships/hyperlink" Target="https://doi.org/10.3390/risks11060102" TargetMode="External"/><Relationship Id="rId31" Type="http://schemas.openxmlformats.org/officeDocument/2006/relationships/hyperlink" Target="https://doi.org/10.1108/emjb-04-2021-0056" TargetMode="External"/><Relationship Id="rId44" Type="http://schemas.openxmlformats.org/officeDocument/2006/relationships/hyperlink" Target="https://fjam.fuoye.edu.ng/index.php/fjam/issue/view/10"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15</Pages>
  <Words>7333</Words>
  <Characters>41804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Editor-1183</cp:lastModifiedBy>
  <cp:revision>255</cp:revision>
  <dcterms:created xsi:type="dcterms:W3CDTF">2025-09-06T15:56:00Z</dcterms:created>
  <dcterms:modified xsi:type="dcterms:W3CDTF">2025-12-27T09:52:00Z</dcterms:modified>
</cp:coreProperties>
</file>