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50339" w14:textId="77777777" w:rsidR="00DF6797" w:rsidRPr="00095A36" w:rsidRDefault="00DF6797" w:rsidP="002E3784">
      <w:pPr>
        <w:pStyle w:val="Title"/>
        <w:spacing w:after="0"/>
        <w:jc w:val="both"/>
        <w:rPr>
          <w:rFonts w:ascii="Arial" w:hAnsi="Arial" w:cs="Arial"/>
        </w:rPr>
      </w:pPr>
    </w:p>
    <w:p w14:paraId="05D2DD65" w14:textId="1F370B55" w:rsidR="00163BC4" w:rsidRPr="00A840BC" w:rsidRDefault="00A840BC" w:rsidP="002E3784">
      <w:pPr>
        <w:pStyle w:val="Author"/>
        <w:spacing w:line="240" w:lineRule="auto"/>
        <w:rPr>
          <w:rFonts w:ascii="Arial" w:hAnsi="Arial" w:cs="Arial"/>
          <w:bCs/>
          <w:iCs/>
          <w:kern w:val="28"/>
          <w:sz w:val="36"/>
        </w:rPr>
      </w:pPr>
      <w:r w:rsidRPr="00A840BC">
        <w:rPr>
          <w:rFonts w:ascii="Arial" w:hAnsi="Arial" w:cs="Arial"/>
          <w:bCs/>
          <w:iCs/>
          <w:kern w:val="28"/>
          <w:sz w:val="36"/>
        </w:rPr>
        <w:t xml:space="preserve">Government Policy </w:t>
      </w:r>
      <w:r>
        <w:rPr>
          <w:rFonts w:ascii="Arial" w:hAnsi="Arial" w:cs="Arial"/>
          <w:bCs/>
          <w:iCs/>
          <w:kern w:val="28"/>
          <w:sz w:val="36"/>
        </w:rPr>
        <w:t>a</w:t>
      </w:r>
      <w:r w:rsidRPr="00A840BC">
        <w:rPr>
          <w:rFonts w:ascii="Arial" w:hAnsi="Arial" w:cs="Arial"/>
          <w:bCs/>
          <w:iCs/>
          <w:kern w:val="28"/>
          <w:sz w:val="36"/>
        </w:rPr>
        <w:t xml:space="preserve">nd Digital Financial Literacy </w:t>
      </w:r>
      <w:r>
        <w:rPr>
          <w:rFonts w:ascii="Arial" w:hAnsi="Arial" w:cs="Arial"/>
          <w:bCs/>
          <w:iCs/>
          <w:kern w:val="28"/>
          <w:sz w:val="36"/>
        </w:rPr>
        <w:t>a</w:t>
      </w:r>
      <w:r w:rsidRPr="00A840BC">
        <w:rPr>
          <w:rFonts w:ascii="Arial" w:hAnsi="Arial" w:cs="Arial"/>
          <w:bCs/>
          <w:iCs/>
          <w:kern w:val="28"/>
          <w:sz w:val="36"/>
        </w:rPr>
        <w:t xml:space="preserve">s Drivers </w:t>
      </w:r>
      <w:r>
        <w:rPr>
          <w:rFonts w:ascii="Arial" w:hAnsi="Arial" w:cs="Arial"/>
          <w:bCs/>
          <w:iCs/>
          <w:kern w:val="28"/>
          <w:sz w:val="36"/>
        </w:rPr>
        <w:t>o</w:t>
      </w:r>
      <w:r w:rsidRPr="00A840BC">
        <w:rPr>
          <w:rFonts w:ascii="Arial" w:hAnsi="Arial" w:cs="Arial"/>
          <w:bCs/>
          <w:iCs/>
          <w:kern w:val="28"/>
          <w:sz w:val="36"/>
        </w:rPr>
        <w:t xml:space="preserve">f Digital Financial Inclusion: Evidence </w:t>
      </w:r>
      <w:r>
        <w:rPr>
          <w:rFonts w:ascii="Arial" w:hAnsi="Arial" w:cs="Arial"/>
          <w:bCs/>
          <w:iCs/>
          <w:kern w:val="28"/>
          <w:sz w:val="36"/>
        </w:rPr>
        <w:t>f</w:t>
      </w:r>
      <w:r w:rsidRPr="00A840BC">
        <w:rPr>
          <w:rFonts w:ascii="Arial" w:hAnsi="Arial" w:cs="Arial"/>
          <w:bCs/>
          <w:iCs/>
          <w:kern w:val="28"/>
          <w:sz w:val="36"/>
        </w:rPr>
        <w:t xml:space="preserve">rom Gen Z MSMEs </w:t>
      </w:r>
      <w:r>
        <w:rPr>
          <w:rFonts w:ascii="Arial" w:hAnsi="Arial" w:cs="Arial"/>
          <w:bCs/>
          <w:iCs/>
          <w:kern w:val="28"/>
          <w:sz w:val="36"/>
        </w:rPr>
        <w:t>i</w:t>
      </w:r>
      <w:r w:rsidRPr="00A840BC">
        <w:rPr>
          <w:rFonts w:ascii="Arial" w:hAnsi="Arial" w:cs="Arial"/>
          <w:bCs/>
          <w:iCs/>
          <w:kern w:val="28"/>
          <w:sz w:val="36"/>
        </w:rPr>
        <w:t>n East Java, Indonesia</w:t>
      </w:r>
    </w:p>
    <w:p w14:paraId="0584156E" w14:textId="77777777" w:rsidR="00A258C3" w:rsidRPr="00A840BC" w:rsidRDefault="00A258C3" w:rsidP="002E3784">
      <w:pPr>
        <w:pStyle w:val="Author"/>
        <w:spacing w:line="240" w:lineRule="auto"/>
        <w:jc w:val="both"/>
        <w:rPr>
          <w:rFonts w:ascii="Arial" w:hAnsi="Arial" w:cs="Arial"/>
          <w:sz w:val="36"/>
        </w:rPr>
      </w:pPr>
    </w:p>
    <w:p w14:paraId="02A063EE" w14:textId="77777777" w:rsidR="00DF6797" w:rsidRPr="00A840BC" w:rsidRDefault="00DF6797" w:rsidP="002E3784">
      <w:pPr>
        <w:pStyle w:val="Affiliation"/>
        <w:spacing w:after="0" w:line="240" w:lineRule="auto"/>
        <w:ind w:left="720" w:hanging="720"/>
        <w:rPr>
          <w:rFonts w:ascii="Arial" w:hAnsi="Arial" w:cs="Arial"/>
        </w:rPr>
      </w:pPr>
    </w:p>
    <w:p w14:paraId="6DEF30ED" w14:textId="77777777" w:rsidR="002C57D2" w:rsidRPr="00A840BC" w:rsidRDefault="002C57D2" w:rsidP="002E3784">
      <w:pPr>
        <w:pStyle w:val="Affiliation"/>
        <w:spacing w:after="0" w:line="240" w:lineRule="auto"/>
        <w:jc w:val="both"/>
        <w:rPr>
          <w:rFonts w:ascii="Arial" w:hAnsi="Arial" w:cs="Arial"/>
        </w:rPr>
      </w:pPr>
    </w:p>
    <w:p w14:paraId="7472D041" w14:textId="0621DB4A" w:rsidR="00B01FCD" w:rsidRPr="00A840BC" w:rsidRDefault="00D833A7" w:rsidP="002E3784">
      <w:pPr>
        <w:pStyle w:val="Copyright"/>
        <w:spacing w:after="0" w:line="240" w:lineRule="auto"/>
        <w:jc w:val="both"/>
        <w:rPr>
          <w:rFonts w:ascii="Arial" w:hAnsi="Arial" w:cs="Arial"/>
        </w:rPr>
      </w:pPr>
      <w:r w:rsidRPr="00A840BC">
        <w:rPr>
          <w:rFonts w:ascii="Arial" w:hAnsi="Arial" w:cs="Arial"/>
          <w:noProof/>
        </w:rPr>
        <mc:AlternateContent>
          <mc:Choice Requires="wps">
            <w:drawing>
              <wp:inline distT="0" distB="0" distL="0" distR="0" wp14:anchorId="2B11BA0C" wp14:editId="621B2E4E">
                <wp:extent cx="5303520" cy="635"/>
                <wp:effectExtent l="0" t="12700" r="5080" b="12065"/>
                <wp:docPr id="19412764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6F7B2B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p>
    <w:p w14:paraId="058577AB" w14:textId="77777777" w:rsidR="008123FB" w:rsidRPr="00A840BC" w:rsidRDefault="008123FB" w:rsidP="002E3784">
      <w:pPr>
        <w:pStyle w:val="Copyright"/>
        <w:spacing w:after="0" w:line="240" w:lineRule="auto"/>
        <w:jc w:val="both"/>
        <w:rPr>
          <w:rFonts w:ascii="Arial" w:hAnsi="Arial" w:cs="Arial"/>
        </w:rPr>
      </w:pPr>
    </w:p>
    <w:p w14:paraId="0C34F4C1" w14:textId="77777777" w:rsidR="00877EE9" w:rsidRPr="00A840BC" w:rsidRDefault="00877EE9" w:rsidP="002E3784">
      <w:pPr>
        <w:pStyle w:val="Copyright"/>
        <w:spacing w:after="0" w:line="240" w:lineRule="auto"/>
        <w:jc w:val="both"/>
        <w:rPr>
          <w:rFonts w:ascii="Arial" w:hAnsi="Arial" w:cs="Arial"/>
        </w:rPr>
        <w:sectPr w:rsidR="00877EE9" w:rsidRPr="00A840BC" w:rsidSect="00F34DF0">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p>
    <w:p w14:paraId="669E3EF1" w14:textId="2C1F7A73" w:rsidR="00B01FCD" w:rsidRPr="00A840BC" w:rsidRDefault="00B01FCD" w:rsidP="002E3784">
      <w:pPr>
        <w:pStyle w:val="AbstHead"/>
        <w:spacing w:after="0"/>
        <w:jc w:val="both"/>
        <w:rPr>
          <w:rFonts w:ascii="Arial" w:hAnsi="Arial" w:cs="Arial"/>
        </w:rPr>
      </w:pPr>
      <w:r w:rsidRPr="00A840BC">
        <w:rPr>
          <w:rFonts w:ascii="Arial" w:hAnsi="Arial" w:cs="Arial"/>
        </w:rPr>
        <w:t>ABSTRACT</w:t>
      </w:r>
    </w:p>
    <w:p w14:paraId="5FE1918B" w14:textId="77777777" w:rsidR="00790ADA" w:rsidRPr="00A840BC" w:rsidRDefault="00790ADA" w:rsidP="002E378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A840BC" w14:paraId="5C5DC6A5" w14:textId="77777777" w:rsidTr="001E44FE">
        <w:tc>
          <w:tcPr>
            <w:tcW w:w="9576" w:type="dxa"/>
            <w:shd w:val="clear" w:color="auto" w:fill="F2F2F2"/>
          </w:tcPr>
          <w:p w14:paraId="56C1DA73" w14:textId="48645F42" w:rsidR="00BA1B01" w:rsidRPr="00A840BC" w:rsidRDefault="00BA1B01" w:rsidP="002E3784">
            <w:pPr>
              <w:pStyle w:val="Body"/>
              <w:spacing w:after="0"/>
              <w:rPr>
                <w:rFonts w:ascii="Arial" w:eastAsia="Calibri" w:hAnsi="Arial" w:cs="Arial"/>
                <w:szCs w:val="22"/>
              </w:rPr>
            </w:pPr>
            <w:r w:rsidRPr="00A840BC">
              <w:rPr>
                <w:rFonts w:ascii="Arial" w:eastAsia="Calibri" w:hAnsi="Arial" w:cs="Arial"/>
                <w:b/>
                <w:szCs w:val="22"/>
              </w:rPr>
              <w:t xml:space="preserve">Aims: </w:t>
            </w:r>
            <w:r w:rsidR="00167818" w:rsidRPr="00A840BC">
              <w:rPr>
                <w:rFonts w:ascii="Arial" w:eastAsia="Calibri" w:hAnsi="Arial" w:cs="Arial"/>
                <w:szCs w:val="22"/>
              </w:rPr>
              <w:t xml:space="preserve">This study aims to analyze the influence of government policy and digital financial literacy, both partially and simultaneously, on digital financial inclusion among Generation Z </w:t>
            </w:r>
            <w:r w:rsidR="00017477" w:rsidRPr="00A840BC">
              <w:rPr>
                <w:rFonts w:ascii="Arial" w:eastAsia="Calibri" w:hAnsi="Arial" w:cs="Arial"/>
                <w:szCs w:val="22"/>
              </w:rPr>
              <w:t xml:space="preserve">Micro, Small, and Medium Enterprises (MSMEs) </w:t>
            </w:r>
            <w:r w:rsidR="00167818" w:rsidRPr="00A840BC">
              <w:rPr>
                <w:rFonts w:ascii="Arial" w:eastAsia="Calibri" w:hAnsi="Arial" w:cs="Arial"/>
                <w:szCs w:val="22"/>
              </w:rPr>
              <w:t>actors in East Java.</w:t>
            </w:r>
          </w:p>
          <w:p w14:paraId="65E65720" w14:textId="500E309F" w:rsidR="00BA1B01" w:rsidRPr="00A840BC" w:rsidRDefault="00BA1B01" w:rsidP="002E3784">
            <w:pPr>
              <w:pStyle w:val="Body"/>
              <w:spacing w:after="0"/>
              <w:rPr>
                <w:rFonts w:ascii="Arial" w:eastAsia="Calibri" w:hAnsi="Arial" w:cs="Arial"/>
                <w:szCs w:val="22"/>
              </w:rPr>
            </w:pPr>
            <w:r w:rsidRPr="00A840BC">
              <w:rPr>
                <w:rFonts w:ascii="Arial" w:eastAsia="Calibri" w:hAnsi="Arial" w:cs="Arial"/>
                <w:b/>
                <w:szCs w:val="22"/>
              </w:rPr>
              <w:t>Study design:</w:t>
            </w:r>
            <w:r w:rsidRPr="00A840BC">
              <w:rPr>
                <w:rFonts w:ascii="Arial" w:eastAsia="Calibri" w:hAnsi="Arial" w:cs="Arial"/>
                <w:szCs w:val="22"/>
              </w:rPr>
              <w:t xml:space="preserve"> </w:t>
            </w:r>
            <w:r w:rsidR="0077604B" w:rsidRPr="00A840BC">
              <w:rPr>
                <w:rFonts w:ascii="Arial" w:eastAsia="Calibri" w:hAnsi="Arial" w:cs="Arial"/>
                <w:szCs w:val="22"/>
              </w:rPr>
              <w:t>This study uses a quantitative method with a descriptive framework to examine hypotheses and clarify the cause-and-effect links among different factors.</w:t>
            </w:r>
          </w:p>
          <w:p w14:paraId="50A94F4D" w14:textId="58486118" w:rsidR="00BA1B01" w:rsidRPr="00A840BC" w:rsidRDefault="00BA1B01" w:rsidP="002E3784">
            <w:pPr>
              <w:pStyle w:val="Body"/>
              <w:spacing w:after="0"/>
              <w:rPr>
                <w:rFonts w:ascii="Arial" w:eastAsia="Calibri" w:hAnsi="Arial" w:cs="Arial"/>
                <w:szCs w:val="22"/>
              </w:rPr>
            </w:pPr>
            <w:r w:rsidRPr="00A840BC">
              <w:rPr>
                <w:rFonts w:ascii="Arial" w:eastAsia="Calibri" w:hAnsi="Arial" w:cs="Arial"/>
                <w:b/>
                <w:szCs w:val="22"/>
              </w:rPr>
              <w:t>Place and Duration of Study:</w:t>
            </w:r>
            <w:r w:rsidRPr="00A840BC">
              <w:rPr>
                <w:rFonts w:ascii="Arial" w:eastAsia="Calibri" w:hAnsi="Arial" w:cs="Arial"/>
                <w:szCs w:val="22"/>
              </w:rPr>
              <w:t xml:space="preserve"> </w:t>
            </w:r>
            <w:r w:rsidR="00706E44" w:rsidRPr="00A840BC">
              <w:rPr>
                <w:rFonts w:ascii="Arial" w:eastAsia="Calibri" w:hAnsi="Arial" w:cs="Arial"/>
                <w:szCs w:val="22"/>
              </w:rPr>
              <w:t xml:space="preserve">The research </w:t>
            </w:r>
            <w:r w:rsidR="00211C8B" w:rsidRPr="00A840BC">
              <w:rPr>
                <w:rFonts w:ascii="Arial" w:eastAsia="Calibri" w:hAnsi="Arial" w:cs="Arial"/>
                <w:szCs w:val="22"/>
              </w:rPr>
              <w:t>was conduc</w:t>
            </w:r>
            <w:r w:rsidR="00F64D28" w:rsidRPr="00A840BC">
              <w:rPr>
                <w:rFonts w:ascii="Arial" w:eastAsia="Calibri" w:hAnsi="Arial" w:cs="Arial"/>
                <w:szCs w:val="22"/>
              </w:rPr>
              <w:t>t</w:t>
            </w:r>
            <w:r w:rsidR="00211C8B" w:rsidRPr="00A840BC">
              <w:rPr>
                <w:rFonts w:ascii="Arial" w:eastAsia="Calibri" w:hAnsi="Arial" w:cs="Arial"/>
                <w:szCs w:val="22"/>
              </w:rPr>
              <w:t>ed</w:t>
            </w:r>
            <w:r w:rsidR="00706E44" w:rsidRPr="00A840BC">
              <w:rPr>
                <w:rFonts w:ascii="Arial" w:eastAsia="Calibri" w:hAnsi="Arial" w:cs="Arial"/>
                <w:szCs w:val="22"/>
              </w:rPr>
              <w:t xml:space="preserve"> in East Java Province, Indonesia, concentrating on small and medium-sized enterprises operated by Generation Z. Data collection was </w:t>
            </w:r>
            <w:r w:rsidR="00F64D28" w:rsidRPr="00A840BC">
              <w:rPr>
                <w:rFonts w:ascii="Arial" w:eastAsia="Calibri" w:hAnsi="Arial" w:cs="Arial"/>
                <w:szCs w:val="22"/>
              </w:rPr>
              <w:t xml:space="preserve">collected </w:t>
            </w:r>
            <w:r w:rsidR="00706E44" w:rsidRPr="00A840BC">
              <w:rPr>
                <w:rFonts w:ascii="Arial" w:eastAsia="Calibri" w:hAnsi="Arial" w:cs="Arial"/>
                <w:szCs w:val="22"/>
              </w:rPr>
              <w:t xml:space="preserve">from </w:t>
            </w:r>
            <w:r w:rsidR="008D2B6F" w:rsidRPr="00A840BC">
              <w:rPr>
                <w:rFonts w:ascii="Arial" w:eastAsia="Calibri" w:hAnsi="Arial" w:cs="Arial"/>
                <w:szCs w:val="22"/>
              </w:rPr>
              <w:t>September</w:t>
            </w:r>
            <w:r w:rsidR="00706E44" w:rsidRPr="00A840BC">
              <w:rPr>
                <w:rFonts w:ascii="Arial" w:eastAsia="Calibri" w:hAnsi="Arial" w:cs="Arial"/>
                <w:szCs w:val="22"/>
              </w:rPr>
              <w:t xml:space="preserve"> to </w:t>
            </w:r>
            <w:r w:rsidR="00584E96" w:rsidRPr="00A840BC">
              <w:rPr>
                <w:rFonts w:ascii="Arial" w:eastAsia="Calibri" w:hAnsi="Arial" w:cs="Arial"/>
                <w:szCs w:val="22"/>
              </w:rPr>
              <w:t xml:space="preserve">November </w:t>
            </w:r>
            <w:r w:rsidR="00706E44" w:rsidRPr="00A840BC">
              <w:rPr>
                <w:rFonts w:ascii="Arial" w:eastAsia="Calibri" w:hAnsi="Arial" w:cs="Arial"/>
                <w:szCs w:val="22"/>
              </w:rPr>
              <w:t xml:space="preserve">2025. </w:t>
            </w:r>
          </w:p>
          <w:p w14:paraId="0A540D4D" w14:textId="3F03930D" w:rsidR="00BA1B01" w:rsidRPr="00A840BC" w:rsidRDefault="00BA1B01" w:rsidP="002E3784">
            <w:pPr>
              <w:pStyle w:val="Body"/>
              <w:spacing w:after="0"/>
              <w:rPr>
                <w:rFonts w:ascii="Arial" w:eastAsia="Calibri" w:hAnsi="Arial" w:cs="Arial"/>
                <w:szCs w:val="22"/>
              </w:rPr>
            </w:pPr>
            <w:r w:rsidRPr="00A840BC">
              <w:rPr>
                <w:rFonts w:ascii="Arial" w:eastAsia="Calibri" w:hAnsi="Arial" w:cs="Arial"/>
                <w:b/>
                <w:bCs/>
                <w:szCs w:val="22"/>
              </w:rPr>
              <w:t>Methodology:</w:t>
            </w:r>
            <w:r w:rsidRPr="00A840BC">
              <w:rPr>
                <w:rFonts w:ascii="Arial" w:eastAsia="Calibri" w:hAnsi="Arial" w:cs="Arial"/>
                <w:szCs w:val="22"/>
              </w:rPr>
              <w:t xml:space="preserve"> </w:t>
            </w:r>
            <w:r w:rsidR="0077604B" w:rsidRPr="00A840BC">
              <w:rPr>
                <w:rFonts w:ascii="Arial" w:eastAsia="Calibri" w:hAnsi="Arial" w:cs="Arial"/>
                <w:szCs w:val="22"/>
              </w:rPr>
              <w:t>The group under consideration consists of all Gen Z MSME</w:t>
            </w:r>
            <w:r w:rsidR="00992E42" w:rsidRPr="00A840BC">
              <w:rPr>
                <w:rFonts w:ascii="Arial" w:eastAsia="Calibri" w:hAnsi="Arial" w:cs="Arial"/>
                <w:szCs w:val="22"/>
              </w:rPr>
              <w:t>s</w:t>
            </w:r>
            <w:r w:rsidR="0077604B" w:rsidRPr="00A840BC">
              <w:rPr>
                <w:rFonts w:ascii="Arial" w:eastAsia="Calibri" w:hAnsi="Arial" w:cs="Arial"/>
                <w:szCs w:val="22"/>
              </w:rPr>
              <w:t xml:space="preserve"> participants in East Java, creating an unbounded population. A total of 385 participants was identified using the Cochran formula and chosen through purposive sampling (requirements: aged between 18 and 28, residing in East Java, and utilizing digital financial services). Information was gathered through an online survey employing a 5-point Likert scale. The analysis of the data was conducted using Structural Equation Modeling grounded in Partial Least Square (PLS-SEM) with the aid of </w:t>
            </w:r>
            <w:proofErr w:type="spellStart"/>
            <w:r w:rsidR="0077604B" w:rsidRPr="00A840BC">
              <w:rPr>
                <w:rFonts w:ascii="Arial" w:eastAsia="Calibri" w:hAnsi="Arial" w:cs="Arial"/>
                <w:szCs w:val="22"/>
              </w:rPr>
              <w:t>SmartPLS</w:t>
            </w:r>
            <w:proofErr w:type="spellEnd"/>
            <w:r w:rsidR="0077604B" w:rsidRPr="00A840BC">
              <w:rPr>
                <w:rFonts w:ascii="Arial" w:eastAsia="Calibri" w:hAnsi="Arial" w:cs="Arial"/>
                <w:szCs w:val="22"/>
              </w:rPr>
              <w:t xml:space="preserve"> software, assessing both the measurement model (outer model) and the structural model (inner model).</w:t>
            </w:r>
          </w:p>
          <w:p w14:paraId="11294170" w14:textId="4FD2AA83" w:rsidR="00880BBF" w:rsidRPr="00A840BC" w:rsidRDefault="00BA1B01" w:rsidP="00880BBF">
            <w:pPr>
              <w:pStyle w:val="Body"/>
              <w:spacing w:after="0"/>
              <w:rPr>
                <w:rFonts w:ascii="Arial" w:eastAsia="Calibri" w:hAnsi="Arial" w:cs="Arial"/>
                <w:szCs w:val="22"/>
              </w:rPr>
            </w:pPr>
            <w:r w:rsidRPr="00A840BC">
              <w:rPr>
                <w:rFonts w:ascii="Arial" w:eastAsia="Calibri" w:hAnsi="Arial" w:cs="Arial"/>
                <w:b/>
                <w:bCs/>
                <w:szCs w:val="22"/>
              </w:rPr>
              <w:t>Results:</w:t>
            </w:r>
            <w:r w:rsidRPr="00A840BC">
              <w:rPr>
                <w:rFonts w:ascii="Arial" w:eastAsia="Calibri" w:hAnsi="Arial" w:cs="Arial"/>
                <w:szCs w:val="22"/>
              </w:rPr>
              <w:t xml:space="preserve"> </w:t>
            </w:r>
            <w:r w:rsidR="00464EC5" w:rsidRPr="00A840BC">
              <w:rPr>
                <w:rFonts w:ascii="Arial" w:eastAsia="Calibri" w:hAnsi="Arial" w:cs="Arial"/>
                <w:szCs w:val="22"/>
              </w:rPr>
              <w:t xml:space="preserve">The results indicate that Government Policy has a beneficial effect on Digital Financial Inclusion. Additionally, Digital Financial Literacy plays a crucial role in enhancing inclusion, showing a greater influence than policy initiatives by themselves. At the same time, both elements </w:t>
            </w:r>
            <w:r w:rsidR="00880BBF" w:rsidRPr="00A840BC">
              <w:rPr>
                <w:rFonts w:ascii="Arial" w:eastAsia="Calibri" w:hAnsi="Arial" w:cs="Arial"/>
                <w:szCs w:val="22"/>
              </w:rPr>
              <w:t>both factors effectively drive digital financial inclusion, accounting for a moderate portion of the variance (Adjusted R-Square = 0.246)</w:t>
            </w:r>
          </w:p>
          <w:p w14:paraId="263863EA" w14:textId="1A142056" w:rsidR="005774EA" w:rsidRPr="00A840BC" w:rsidRDefault="00BA1B01" w:rsidP="00880BBF">
            <w:pPr>
              <w:pStyle w:val="Body"/>
              <w:spacing w:after="0"/>
              <w:rPr>
                <w:rFonts w:ascii="Arial" w:eastAsia="Calibri" w:hAnsi="Arial" w:cs="Arial"/>
                <w:szCs w:val="22"/>
              </w:rPr>
            </w:pPr>
            <w:r w:rsidRPr="00A840BC">
              <w:rPr>
                <w:rFonts w:ascii="Arial" w:eastAsia="Calibri" w:hAnsi="Arial" w:cs="Arial"/>
                <w:b/>
                <w:bCs/>
                <w:szCs w:val="22"/>
              </w:rPr>
              <w:t>Conclusion:</w:t>
            </w:r>
            <w:r w:rsidRPr="00A840BC">
              <w:rPr>
                <w:rFonts w:ascii="Arial" w:eastAsia="Calibri" w:hAnsi="Arial" w:cs="Arial"/>
                <w:szCs w:val="22"/>
              </w:rPr>
              <w:t xml:space="preserve"> </w:t>
            </w:r>
            <w:r w:rsidR="00224967" w:rsidRPr="00A840BC">
              <w:rPr>
                <w:rFonts w:ascii="Arial" w:eastAsia="Calibri" w:hAnsi="Arial" w:cs="Arial"/>
                <w:szCs w:val="22"/>
              </w:rPr>
              <w:t>The research supports the fundamental idea of Human Capital Theory, establishing that even though government policies create the essential framework, the real catalyst for inclusion is 'human capital' represented by digital financial literacy. These results fill an important void in comprehending the actions of young entrepreneurs and suggest that those in charge of policy should redirect their attention from methods reliant on infrastructure to strategies that enhance skills, promoting a lasting digital economy.</w:t>
            </w:r>
          </w:p>
        </w:tc>
      </w:tr>
    </w:tbl>
    <w:p w14:paraId="149AA274" w14:textId="77777777" w:rsidR="00636EB2" w:rsidRPr="00A840BC" w:rsidRDefault="00636EB2" w:rsidP="002E3784">
      <w:pPr>
        <w:pStyle w:val="Body"/>
        <w:spacing w:after="0"/>
        <w:rPr>
          <w:rFonts w:ascii="Arial" w:hAnsi="Arial" w:cs="Arial"/>
          <w:i/>
        </w:rPr>
      </w:pPr>
    </w:p>
    <w:p w14:paraId="0B56EEF2" w14:textId="1A23C8BA" w:rsidR="00A24E7E" w:rsidRPr="00A840BC" w:rsidRDefault="00A24E7E" w:rsidP="002E3784">
      <w:pPr>
        <w:pStyle w:val="Body"/>
        <w:spacing w:after="0"/>
        <w:rPr>
          <w:rFonts w:ascii="Arial" w:hAnsi="Arial" w:cs="Arial"/>
          <w:i/>
        </w:rPr>
      </w:pPr>
      <w:r w:rsidRPr="00A840BC">
        <w:rPr>
          <w:rFonts w:ascii="Arial" w:hAnsi="Arial" w:cs="Arial"/>
          <w:i/>
        </w:rPr>
        <w:t>Keywords:</w:t>
      </w:r>
      <w:r w:rsidR="006E2983" w:rsidRPr="00A840BC">
        <w:rPr>
          <w:rFonts w:ascii="Arial" w:hAnsi="Arial" w:cs="Arial"/>
          <w:i/>
        </w:rPr>
        <w:t xml:space="preserve"> </w:t>
      </w:r>
      <w:r w:rsidR="002228C9" w:rsidRPr="00A840BC">
        <w:rPr>
          <w:rFonts w:ascii="Arial" w:hAnsi="Arial" w:cs="Arial"/>
          <w:i/>
        </w:rPr>
        <w:t>Digital Financial Inclusio</w:t>
      </w:r>
      <w:r w:rsidR="000F3778" w:rsidRPr="00A840BC">
        <w:rPr>
          <w:rFonts w:ascii="Arial" w:hAnsi="Arial" w:cs="Arial"/>
          <w:i/>
        </w:rPr>
        <w:t>n</w:t>
      </w:r>
      <w:r w:rsidR="006E2983" w:rsidRPr="00A840BC">
        <w:rPr>
          <w:rFonts w:ascii="Arial" w:hAnsi="Arial" w:cs="Arial"/>
          <w:i/>
        </w:rPr>
        <w:t>,</w:t>
      </w:r>
      <w:r w:rsidR="002228C9" w:rsidRPr="00A840BC">
        <w:rPr>
          <w:rFonts w:ascii="Arial" w:hAnsi="Arial" w:cs="Arial"/>
          <w:i/>
        </w:rPr>
        <w:t xml:space="preserve"> Digital Financial Literacy</w:t>
      </w:r>
      <w:r w:rsidR="006E2983" w:rsidRPr="00A840BC">
        <w:rPr>
          <w:rFonts w:ascii="Arial" w:hAnsi="Arial" w:cs="Arial"/>
          <w:i/>
        </w:rPr>
        <w:t>,</w:t>
      </w:r>
      <w:r w:rsidR="002228C9" w:rsidRPr="00A840BC">
        <w:rPr>
          <w:rFonts w:ascii="Arial" w:hAnsi="Arial" w:cs="Arial"/>
          <w:i/>
        </w:rPr>
        <w:t xml:space="preserve"> Government Policy</w:t>
      </w:r>
      <w:r w:rsidR="006E2983" w:rsidRPr="00A840BC">
        <w:rPr>
          <w:rFonts w:ascii="Arial" w:hAnsi="Arial" w:cs="Arial"/>
          <w:i/>
        </w:rPr>
        <w:t>,</w:t>
      </w:r>
      <w:r w:rsidR="002228C9" w:rsidRPr="00A840BC">
        <w:rPr>
          <w:rFonts w:ascii="Arial" w:hAnsi="Arial" w:cs="Arial"/>
          <w:i/>
        </w:rPr>
        <w:t xml:space="preserve"> MSME</w:t>
      </w:r>
      <w:r w:rsidR="006E2983" w:rsidRPr="00A840BC">
        <w:rPr>
          <w:rFonts w:ascii="Arial" w:hAnsi="Arial" w:cs="Arial"/>
          <w:i/>
        </w:rPr>
        <w:t>s,</w:t>
      </w:r>
      <w:r w:rsidR="002228C9" w:rsidRPr="00A840BC">
        <w:rPr>
          <w:rFonts w:ascii="Arial" w:hAnsi="Arial" w:cs="Arial"/>
          <w:i/>
        </w:rPr>
        <w:t xml:space="preserve"> Generation Z.</w:t>
      </w:r>
    </w:p>
    <w:p w14:paraId="2119733D" w14:textId="77777777" w:rsidR="00790ADA" w:rsidRPr="00A840BC" w:rsidRDefault="00790ADA" w:rsidP="002E3784">
      <w:pPr>
        <w:pStyle w:val="Body"/>
        <w:spacing w:after="0"/>
        <w:rPr>
          <w:rFonts w:ascii="Arial" w:hAnsi="Arial" w:cs="Arial"/>
          <w:i/>
        </w:rPr>
      </w:pPr>
    </w:p>
    <w:p w14:paraId="249B781F" w14:textId="77777777" w:rsidR="0024282C" w:rsidRPr="00A840BC" w:rsidRDefault="0024282C" w:rsidP="002E3784">
      <w:pPr>
        <w:pStyle w:val="Body"/>
        <w:spacing w:after="0"/>
        <w:rPr>
          <w:rFonts w:ascii="Arial" w:hAnsi="Arial" w:cs="Arial"/>
          <w:i/>
          <w:sz w:val="18"/>
        </w:rPr>
      </w:pPr>
    </w:p>
    <w:p w14:paraId="7B5C0D48" w14:textId="77777777" w:rsidR="00505F06" w:rsidRPr="00A840BC" w:rsidRDefault="00505F06" w:rsidP="002E3784">
      <w:pPr>
        <w:pStyle w:val="Body"/>
        <w:spacing w:after="0"/>
        <w:rPr>
          <w:rFonts w:ascii="Arial" w:hAnsi="Arial" w:cs="Arial"/>
          <w:i/>
        </w:rPr>
      </w:pPr>
    </w:p>
    <w:p w14:paraId="7E8EB2AF" w14:textId="1A28C512" w:rsidR="00790ADA" w:rsidRPr="00A840BC" w:rsidRDefault="00902823" w:rsidP="002E3784">
      <w:pPr>
        <w:pStyle w:val="AbstHead"/>
        <w:spacing w:after="0"/>
        <w:jc w:val="both"/>
        <w:rPr>
          <w:rFonts w:ascii="Arial" w:hAnsi="Arial" w:cs="Arial"/>
        </w:rPr>
      </w:pPr>
      <w:r w:rsidRPr="00A840BC">
        <w:rPr>
          <w:rFonts w:ascii="Arial" w:hAnsi="Arial" w:cs="Arial"/>
        </w:rPr>
        <w:t xml:space="preserve">1. </w:t>
      </w:r>
      <w:r w:rsidR="00B01FCD" w:rsidRPr="00A840BC">
        <w:rPr>
          <w:rFonts w:ascii="Arial" w:hAnsi="Arial" w:cs="Arial"/>
        </w:rPr>
        <w:t>INTRODUCTION</w:t>
      </w:r>
    </w:p>
    <w:p w14:paraId="49BF5C29" w14:textId="77777777" w:rsidR="00932AB9" w:rsidRPr="00A840BC" w:rsidRDefault="00932AB9" w:rsidP="002E3784">
      <w:pPr>
        <w:pStyle w:val="AbstHead"/>
        <w:spacing w:after="0"/>
        <w:jc w:val="both"/>
        <w:rPr>
          <w:rFonts w:ascii="Arial" w:hAnsi="Arial" w:cs="Arial"/>
        </w:rPr>
      </w:pPr>
    </w:p>
    <w:p w14:paraId="247D6841" w14:textId="26D22811" w:rsidR="00360CAB" w:rsidRPr="00A840BC" w:rsidRDefault="00360CAB" w:rsidP="002E3784">
      <w:pPr>
        <w:pStyle w:val="Body"/>
        <w:rPr>
          <w:rFonts w:ascii="Arial" w:hAnsi="Arial" w:cs="Arial"/>
        </w:rPr>
      </w:pPr>
      <w:r w:rsidRPr="00A840BC">
        <w:rPr>
          <w:rFonts w:ascii="Arial" w:hAnsi="Arial" w:cs="Arial"/>
        </w:rPr>
        <w:t xml:space="preserve">The surge in digital transformation has significantly altered the worldwide economy, particularly in the finance industry. Services driven by technology enable wider, more efficient, </w:t>
      </w:r>
      <w:r w:rsidRPr="00A840BC">
        <w:rPr>
          <w:rFonts w:ascii="Arial" w:hAnsi="Arial" w:cs="Arial"/>
        </w:rPr>
        <w:lastRenderedPageBreak/>
        <w:t xml:space="preserve">and inclusive access, acting as vital tools to diminish economic disparity. According to the </w:t>
      </w:r>
      <w:r w:rsidR="000F3778" w:rsidRPr="00A840BC">
        <w:rPr>
          <w:rFonts w:ascii="Arial" w:hAnsi="Arial" w:cs="Arial"/>
        </w:rPr>
        <w:fldChar w:fldCharType="begin" w:fldLock="1"/>
      </w:r>
      <w:r w:rsidR="00CC4F27" w:rsidRPr="00A840BC">
        <w:rPr>
          <w:rFonts w:ascii="Arial" w:hAnsi="Arial" w:cs="Arial"/>
        </w:rPr>
        <w:instrText xml:space="preserve"> ADDIN ZOTERO_ITEM CSL_CITATION {"citationID":"E36SZSVb","properties":{"formattedCitation":"(World Bank, 2022)","plainCitation":"(World Bank, 2022)","noteIndex":0},"citationItems":[{"id":"A3GAWW6d/idpwa9AK","uris":["http://www.mendeley.com/documents/?uuid=6f5ca88a-d363-4f1d-8906-472403dab677"],"itemData":{"author":[{"dropping-particle":"","family":"World Bank","given":"","non-dropping-particle":"","parse-names":false,"suffix":""}],"container-title":"Independent Evaluation Group (Ieg)","id":"ITEM-1","issued":{"date-parts":[["2022"]]},"title":"Universal Digital Inclusion and Usage","type":"article-journal","volume":"1"}}],"schema":"https://github.com/citation-style-language/schema/raw/master/csl-citation.json"} </w:instrText>
      </w:r>
      <w:r w:rsidR="000F3778" w:rsidRPr="00A840BC">
        <w:rPr>
          <w:rFonts w:ascii="Arial" w:hAnsi="Arial" w:cs="Arial"/>
        </w:rPr>
        <w:fldChar w:fldCharType="separate"/>
      </w:r>
      <w:r w:rsidR="00CC4F27" w:rsidRPr="00A840BC">
        <w:rPr>
          <w:rFonts w:ascii="Arial" w:hAnsi="Arial" w:cs="Arial"/>
          <w:noProof/>
        </w:rPr>
        <w:t>(World Bank, 2022)</w:t>
      </w:r>
      <w:r w:rsidR="000F3778" w:rsidRPr="00A840BC">
        <w:rPr>
          <w:rFonts w:ascii="Arial" w:hAnsi="Arial" w:cs="Arial"/>
        </w:rPr>
        <w:fldChar w:fldCharType="end"/>
      </w:r>
      <w:r w:rsidR="000F3778" w:rsidRPr="00A840BC">
        <w:rPr>
          <w:rFonts w:ascii="Arial" w:hAnsi="Arial" w:cs="Arial"/>
        </w:rPr>
        <w:t>,</w:t>
      </w:r>
      <w:r w:rsidRPr="00A840BC">
        <w:rPr>
          <w:rFonts w:ascii="Arial" w:hAnsi="Arial" w:cs="Arial"/>
        </w:rPr>
        <w:t xml:space="preserve"> digital financial inclusion is essential for promoting sustainable economic development. </w:t>
      </w:r>
      <w:r w:rsidR="005203CB" w:rsidRPr="00A840BC">
        <w:rPr>
          <w:rFonts w:ascii="Arial" w:hAnsi="Arial" w:cs="Arial"/>
        </w:rPr>
        <w:t>Recent research provides additional proof that being digitally financially literate is essential for reaching Sustainable Development Goals (SDGs), as it has a direct link to the financial success and economic strength of micro, small, and medium enterprises (MSMEs)</w:t>
      </w:r>
      <w:r w:rsidR="00CC4F27" w:rsidRPr="00A840BC">
        <w:rPr>
          <w:rFonts w:ascii="Arial" w:hAnsi="Arial" w:cs="Arial"/>
        </w:rPr>
        <w:t xml:space="preserve"> </w:t>
      </w:r>
      <w:r w:rsidR="00CC4F27" w:rsidRPr="00A840BC">
        <w:rPr>
          <w:rFonts w:ascii="Arial" w:hAnsi="Arial" w:cs="Arial"/>
        </w:rPr>
        <w:fldChar w:fldCharType="begin"/>
      </w:r>
      <w:r w:rsidR="00CC4F27" w:rsidRPr="00A840BC">
        <w:rPr>
          <w:rFonts w:ascii="Arial" w:hAnsi="Arial" w:cs="Arial"/>
        </w:rPr>
        <w:instrText xml:space="preserve"> ADDIN ZOTERO_ITEM CSL_CITATION {"citationID":"ZkCpOkW8","properties":{"formattedCitation":"(Nainggolan et al., 2025)","plainCitation":"(Nainggolan et al., 2025)","noteIndex":0},"citationItems":[{"id":6,"uris":["http://zotero.org/users/local/VzFVM8Nl/items/FGJ9Y4EV"],"itemData":{"id":6,"type":"article-journal","abstract":"Objective: The objective of this study is to examine the impact of a digital financial literacy program on the financial performance of micro, small, and medium enterprises in West Java and North Sumatra. The aim is to evaluate the effectiveness of the program in improving digital financial literacy and financial outcomes for MSMEs owners, thereby contributing to SDG goal 8 (Decent Work and Economic Growth).","container-title":"Journal of Lifestyle and SDGs Review","DOI":"10.47172/2965-730X.SDGsReview.v5.n03.pe03817","ISSN":"2965-730X","issue":"3","journalAbbreviation":"jlsdgr","language":"en","license":"https://creativecommons.org/licenses/by/4.0","page":"e03817","source":"DOI.org (Crossref)","title":"The Effect of A Digital Financial Literacy on Financial Performance of Msmes: A Quasi-Experimental Study Supporting SDG","title-short":"The Effect of A Digital Financial Literacy on Financial Performance of Msmes","volume":"5","author":[{"family":"Nainggolan","given":"Romauli"},{"family":"Padmalia","given":"Metta"},{"family":"Sitepu","given":"Rismawati"},{"family":"Andrina","given":"Anak Agung Ayu Puty"},{"family":"Win","given":"Thinzar"}],"issued":{"date-parts":[["2025",2,20]]}}}],"schema":"https://github.com/citation-style-language/schema/raw/master/csl-citation.json"} </w:instrText>
      </w:r>
      <w:r w:rsidR="00CC4F27" w:rsidRPr="00A840BC">
        <w:rPr>
          <w:rFonts w:ascii="Arial" w:hAnsi="Arial" w:cs="Arial"/>
        </w:rPr>
        <w:fldChar w:fldCharType="separate"/>
      </w:r>
      <w:r w:rsidR="00CC4F27" w:rsidRPr="00A840BC">
        <w:rPr>
          <w:rFonts w:ascii="Arial" w:hAnsi="Arial" w:cs="Arial"/>
          <w:noProof/>
        </w:rPr>
        <w:t>(Nainggolan et al., 2025)</w:t>
      </w:r>
      <w:r w:rsidR="00CC4F27" w:rsidRPr="00A840BC">
        <w:rPr>
          <w:rFonts w:ascii="Arial" w:hAnsi="Arial" w:cs="Arial"/>
        </w:rPr>
        <w:fldChar w:fldCharType="end"/>
      </w:r>
      <w:r w:rsidR="005203CB" w:rsidRPr="00A840BC">
        <w:rPr>
          <w:rFonts w:ascii="Arial" w:hAnsi="Arial" w:cs="Arial"/>
        </w:rPr>
        <w:t xml:space="preserve">. </w:t>
      </w:r>
      <w:r w:rsidR="006905C9" w:rsidRPr="00A840BC">
        <w:rPr>
          <w:rFonts w:ascii="Arial" w:hAnsi="Arial" w:cs="Arial"/>
        </w:rPr>
        <w:t xml:space="preserve">Specifically, current practical studies emphasize that financial knowledge in digital spaces is a key driving force for the success of MSMEs. </w:t>
      </w:r>
      <w:r w:rsidR="006905C9" w:rsidRPr="00A840BC">
        <w:rPr>
          <w:rFonts w:ascii="Arial" w:hAnsi="Arial" w:cs="Arial"/>
        </w:rPr>
        <w:fldChar w:fldCharType="begin"/>
      </w:r>
      <w:r w:rsidR="006905C9" w:rsidRPr="00A840BC">
        <w:rPr>
          <w:rFonts w:ascii="Arial" w:hAnsi="Arial" w:cs="Arial"/>
        </w:rPr>
        <w:instrText xml:space="preserve"> ADDIN ZOTERO_ITEM CSL_CITATION {"citationID":"Lj6vaTHL","properties":{"formattedCitation":"(Tubastuvi et al., 2024)","plainCitation":"(Tubastuvi et al., 2024)","noteIndex":0},"citationItems":[{"id":10,"uris":["http://zotero.org/users/local/VzFVM8Nl/items/7KVP8EUN"],"itemData":{"id":10,"type":"article-journal","abstract":"The growth of micro, small, and medium-sized enterprises (MSMEs) is critical to Indonesia's present economic development. This study has the purpose of examining how financial literacy, financial inclusion, and access to capital affect the performance of MSMEs in the Banyumas area. The performance of MSMEs is the dependent variable in this study, and the independent factors are financial literacy, financial inclusion, and access to finance. This study used partial Least Squares (PLS) to handle data in this work. Purposive sampling procedures were employed to select 127 MSMEs from a total of 8,559 MSMEs in the Banyumas Regency as research participants. The study's main findings of the relationship between the three variables of financial literacy, financial inclusion, and access to capital on MSME performance show that these three variables significantly influence MSME performance, both partially and simultaneously. As a result, MSMEs with a high degree of financial competence, simple access to finance, and suitable access to capital would improve MSMEs' performance in an area, resulting in the growth of the enterprises they manage. This research found that the financial literacy level of Banyumas MSMEs is quite high, available financial inclusion is easily accessible and sufficient access to capital can help MSMEs to improve their performance so that they can increase the development of the businesses they run.","container-title":"Airlangga Journal of Innovation Management","DOI":"10.20473/ajim.v5i1.53990","ISSN":"2722-5062","issue":"1","journalAbbreviation":"AJIM","language":"en","license":"http://creativecommons.org/licenses/by-nc-sa/4.0","page":"1-16","source":"DOI.org (Crossref)","title":"Enhancing MSME: Exploring the Relationship between Financial Literacy, Financial Inclusion, and Capital Access to Improve Performance","title-short":"Enhancing MSME","volume":"5","author":[{"family":"Tubastuvi","given":"Naelati"},{"family":"Nur Ainun","given":"Rania"},{"family":"Purwidianti","given":"Wida"},{"family":"Zamakhsyari","given":"Luthfi"}],"issued":{"date-parts":[["2024",4,26]]}}}],"schema":"https://github.com/citation-style-language/schema/raw/master/csl-citation.json"} </w:instrText>
      </w:r>
      <w:r w:rsidR="006905C9" w:rsidRPr="00A840BC">
        <w:rPr>
          <w:rFonts w:ascii="Arial" w:hAnsi="Arial" w:cs="Arial"/>
        </w:rPr>
        <w:fldChar w:fldCharType="separate"/>
      </w:r>
      <w:r w:rsidR="006905C9" w:rsidRPr="00A840BC">
        <w:rPr>
          <w:rFonts w:ascii="Arial" w:hAnsi="Arial" w:cs="Arial"/>
          <w:noProof/>
        </w:rPr>
        <w:t>(Tubastuvi et al., 2024)</w:t>
      </w:r>
      <w:r w:rsidR="006905C9" w:rsidRPr="00A840BC">
        <w:rPr>
          <w:rFonts w:ascii="Arial" w:hAnsi="Arial" w:cs="Arial"/>
        </w:rPr>
        <w:fldChar w:fldCharType="end"/>
      </w:r>
      <w:r w:rsidR="006905C9" w:rsidRPr="00A840BC">
        <w:rPr>
          <w:rFonts w:ascii="Arial" w:hAnsi="Arial" w:cs="Arial"/>
        </w:rPr>
        <w:t xml:space="preserve"> showed that entrepreneurs who possess greater financial skills are more adept at utilizing financial inclusion options and securing funding to enhance their operational productivity. This highlights the importance of tackling the education gap to guarantee that the availability of technology leads to real economic advantages. </w:t>
      </w:r>
      <w:r w:rsidRPr="00A840BC">
        <w:rPr>
          <w:rFonts w:ascii="Arial" w:hAnsi="Arial" w:cs="Arial"/>
        </w:rPr>
        <w:t>In Indonesia, this is reflected in the Bank Indonesia Payment System Blueprint 2025, which prioritizes the digitalization of payment methods (like QRIS) to enhance financial inclusion across the nation</w:t>
      </w:r>
      <w:r w:rsidR="000F3778" w:rsidRPr="00A840BC">
        <w:rPr>
          <w:rFonts w:ascii="Arial" w:hAnsi="Arial" w:cs="Arial"/>
        </w:rPr>
        <w:t xml:space="preserve"> </w:t>
      </w:r>
      <w:r w:rsidR="000F3778" w:rsidRPr="00A840BC">
        <w:rPr>
          <w:rFonts w:ascii="Arial" w:hAnsi="Arial" w:cs="Arial"/>
        </w:rPr>
        <w:fldChar w:fldCharType="begin" w:fldLock="1"/>
      </w:r>
      <w:r w:rsidR="00CC4F27" w:rsidRPr="00A840BC">
        <w:rPr>
          <w:rFonts w:ascii="Arial" w:hAnsi="Arial" w:cs="Arial"/>
        </w:rPr>
        <w:instrText xml:space="preserve"> ADDIN ZOTERO_ITEM CSL_CITATION {"citationID":"Gpi2wnUe","properties":{"formattedCitation":"(Bank Indonesia, 2019)","plainCitation":"(Bank Indonesia, 2019)","noteIndex":0},"citationItems":[{"id":"A3GAWW6d/kBaXsMid","uris":["http://www.mendeley.com/documents/?uuid=79f13d9a-7540-37e1-9d84-8d03e8c14812"],"itemData":{"author":[{"dropping-particle":"","family":"Bank Indonesia","given":"","non-dropping-particle":"","parse-names":false,"suffix":""}],"id":"ITEM-1","issued":{"date-parts":[["2019"]]},"publisher-place":"Jakarta","title":"Bank Indonesia: Menavigasi Sistem Pembayaran Nasional di Era Digital BANK INDONESIA","type":"chapter"}}],"schema":"https://github.com/citation-style-language/schema/raw/master/csl-citation.json"} </w:instrText>
      </w:r>
      <w:r w:rsidR="000F3778" w:rsidRPr="00A840BC">
        <w:rPr>
          <w:rFonts w:ascii="Arial" w:hAnsi="Arial" w:cs="Arial"/>
        </w:rPr>
        <w:fldChar w:fldCharType="separate"/>
      </w:r>
      <w:r w:rsidR="00CC4F27" w:rsidRPr="00A840BC">
        <w:rPr>
          <w:rFonts w:ascii="Arial" w:hAnsi="Arial" w:cs="Arial"/>
          <w:noProof/>
        </w:rPr>
        <w:t>(Bank Indonesia, 2019)</w:t>
      </w:r>
      <w:r w:rsidR="000F3778" w:rsidRPr="00A840BC">
        <w:rPr>
          <w:rFonts w:ascii="Arial" w:hAnsi="Arial" w:cs="Arial"/>
        </w:rPr>
        <w:fldChar w:fldCharType="end"/>
      </w:r>
      <w:r w:rsidR="000F3778" w:rsidRPr="00A840BC">
        <w:rPr>
          <w:rFonts w:ascii="Arial" w:hAnsi="Arial" w:cs="Arial"/>
        </w:rPr>
        <w:t>.</w:t>
      </w:r>
      <w:r w:rsidRPr="00A840BC">
        <w:rPr>
          <w:rFonts w:ascii="Arial" w:hAnsi="Arial" w:cs="Arial"/>
        </w:rPr>
        <w:t xml:space="preserve"> </w:t>
      </w:r>
    </w:p>
    <w:p w14:paraId="1D52A0FA" w14:textId="4133B22A" w:rsidR="00360CAB" w:rsidRPr="00A840BC" w:rsidRDefault="00360CAB" w:rsidP="002E3784">
      <w:pPr>
        <w:pStyle w:val="Body"/>
        <w:rPr>
          <w:rFonts w:ascii="Arial" w:hAnsi="Arial" w:cs="Arial"/>
        </w:rPr>
      </w:pPr>
      <w:r w:rsidRPr="00A840BC">
        <w:rPr>
          <w:rFonts w:ascii="Arial" w:hAnsi="Arial" w:cs="Arial"/>
        </w:rPr>
        <w:t xml:space="preserve">Despite the government's objective of achieving 91% ownership of formal accounts by 2025, there is still a considerable divide between access and understanding. </w:t>
      </w:r>
      <w:r w:rsidR="00954767" w:rsidRPr="00A840BC">
        <w:rPr>
          <w:rFonts w:ascii="Arial" w:hAnsi="Arial" w:cs="Arial"/>
        </w:rPr>
        <w:t xml:space="preserve">As infrastructure continues to grow, recent studies show that the genuine uptake of digital payment solutions by MSMEs greatly relies on their preparedness and the perceived simplicity of use, which frequently present obstacles for smaller businesses </w:t>
      </w:r>
      <w:r w:rsidR="00CC4F27" w:rsidRPr="00A840BC">
        <w:rPr>
          <w:rFonts w:ascii="Arial" w:hAnsi="Arial" w:cs="Arial"/>
        </w:rPr>
        <w:fldChar w:fldCharType="begin"/>
      </w:r>
      <w:r w:rsidR="00BA1006" w:rsidRPr="00A840BC">
        <w:rPr>
          <w:rFonts w:ascii="Arial" w:hAnsi="Arial" w:cs="Arial"/>
        </w:rPr>
        <w:instrText xml:space="preserve"> ADDIN ZOTERO_ITEM CSL_CITATION {"citationID":"UyvWQIXo","properties":{"formattedCitation":"(Kurniasari, 2021)","plainCitation":"(Kurniasari, 2021)","noteIndex":0},"citationItems":[{"id":5,"uris":["http://zotero.org/users/local/VzFVM8Nl/items/GTUCQ5UD"],"itemData":{"id":5,"type":"article-journal","abstract":"The advance of technology development today brings an innovation in the financial industries, especially in the sector of payment. The purpose of this research is to analyze the effect of personal innovativeness, security concerns and perceived enjoyment into customer adoption of digital payment services using trust as mediating variable. As a quantitative research, the study distributed questionnaires to 186 respondents who are customers who used digital payment platform in settling their business transactions. The data collection was furthered processed statistically using Structural Equation Method (SEM). The study showed that the customer decision to using the digital payment services had significantly influenced by trust variable, in which security concerns had the highest influence in creating the borrower’s trust.","container-title":"Emerging Markets : Business and Management Studies Journal","DOI":"10.33555/embm.v8i1.165","ISSN":"2620-9918, 2338-8854","issue":"1","journalAbbreviation":"EMBM","language":"en","license":"http://creativecommons.org/licenses/by-nc-sa/4.0","page":"15-24","source":"DOI.org (Crossref)","title":"THE FACTORS AFFECTING THE ADOPTION OF DIGITAL PAYMENT SERVICES USING TRUST AS MEDIATING VARIABLE","volume":"8","author":[{"family":"Kurniasari","given":"Florentina"}],"issued":{"date-parts":[["2021",6,18]]}}}],"schema":"https://github.com/citation-style-language/schema/raw/master/csl-citation.json"} </w:instrText>
      </w:r>
      <w:r w:rsidR="00CC4F27" w:rsidRPr="00A840BC">
        <w:rPr>
          <w:rFonts w:ascii="Arial" w:hAnsi="Arial" w:cs="Arial"/>
        </w:rPr>
        <w:fldChar w:fldCharType="separate"/>
      </w:r>
      <w:r w:rsidR="00BA1006" w:rsidRPr="00A840BC">
        <w:rPr>
          <w:rFonts w:ascii="Arial" w:hAnsi="Arial" w:cs="Arial"/>
          <w:noProof/>
        </w:rPr>
        <w:t>(Kurniasari, 2021)</w:t>
      </w:r>
      <w:r w:rsidR="00CC4F27" w:rsidRPr="00A840BC">
        <w:rPr>
          <w:rFonts w:ascii="Arial" w:hAnsi="Arial" w:cs="Arial"/>
        </w:rPr>
        <w:fldChar w:fldCharType="end"/>
      </w:r>
      <w:r w:rsidR="00BA1006" w:rsidRPr="00A840BC">
        <w:rPr>
          <w:rFonts w:ascii="Arial" w:hAnsi="Arial" w:cs="Arial"/>
        </w:rPr>
        <w:t xml:space="preserve">. </w:t>
      </w:r>
      <w:r w:rsidRPr="00A840BC">
        <w:rPr>
          <w:rFonts w:ascii="Arial" w:hAnsi="Arial" w:cs="Arial"/>
        </w:rPr>
        <w:t xml:space="preserve">The issue of </w:t>
      </w:r>
      <w:r w:rsidR="00626344" w:rsidRPr="00A840BC">
        <w:rPr>
          <w:rFonts w:ascii="Arial" w:hAnsi="Arial" w:cs="Arial"/>
        </w:rPr>
        <w:t>digital literacy gap</w:t>
      </w:r>
      <w:r w:rsidRPr="00A840BC">
        <w:rPr>
          <w:rFonts w:ascii="Arial" w:hAnsi="Arial" w:cs="Arial"/>
        </w:rPr>
        <w:t xml:space="preserve"> is apparent, where individuals have digital accounts without comprehending the associated risks, resulting in problems like illegal online lending. In 2023, the Financial Services Authority (OJK) identified and shut down 2248 unauthorized lending activities</w:t>
      </w:r>
      <w:r w:rsidR="000F3778" w:rsidRPr="00A840BC">
        <w:rPr>
          <w:rFonts w:ascii="Arial" w:hAnsi="Arial" w:cs="Arial"/>
        </w:rPr>
        <w:t xml:space="preserve"> </w:t>
      </w:r>
      <w:r w:rsidR="000F3778" w:rsidRPr="00A840BC">
        <w:rPr>
          <w:rFonts w:ascii="Arial" w:hAnsi="Arial" w:cs="Arial"/>
        </w:rPr>
        <w:fldChar w:fldCharType="begin" w:fldLock="1"/>
      </w:r>
      <w:r w:rsidR="00CC4F27" w:rsidRPr="00A840BC">
        <w:rPr>
          <w:rFonts w:ascii="Arial" w:hAnsi="Arial" w:cs="Arial"/>
        </w:rPr>
        <w:instrText xml:space="preserve"> ADDIN ZOTERO_ITEM CSL_CITATION {"citationID":"a0xpZCUp","properties":{"formattedCitation":"(Kominfo, 2024)","plainCitation":"(Kominfo, 2024)","noteIndex":0},"citationItems":[{"id":"A3GAWW6d/AN2GRgyJ","uris":["http://www.mendeley.com/documents/?uuid=63be8469-02d3-485f-b7b3-394dc3599f1a"],"itemData":{"author":[{"dropping-particle":"","family":"Kominfo","given":"","non-dropping-particle":"","parse-names":false,"suffix":""}],"id":"ITEM-1","issued":{"date-parts":[["2024"]]},"title":"Kominfo Blokir Belasan Ribu Aplikasi Pinjol Ilegal","type":"report"}}],"schema":"https://github.com/citation-style-language/schema/raw/master/csl-citation.json"} </w:instrText>
      </w:r>
      <w:r w:rsidR="000F3778" w:rsidRPr="00A840BC">
        <w:rPr>
          <w:rFonts w:ascii="Arial" w:hAnsi="Arial" w:cs="Arial"/>
        </w:rPr>
        <w:fldChar w:fldCharType="separate"/>
      </w:r>
      <w:r w:rsidR="00CC4F27" w:rsidRPr="00A840BC">
        <w:rPr>
          <w:rFonts w:ascii="Arial" w:hAnsi="Arial" w:cs="Arial"/>
          <w:noProof/>
        </w:rPr>
        <w:t>(Kominfo, 2024)</w:t>
      </w:r>
      <w:r w:rsidR="000F3778" w:rsidRPr="00A840BC">
        <w:rPr>
          <w:rFonts w:ascii="Arial" w:hAnsi="Arial" w:cs="Arial"/>
        </w:rPr>
        <w:fldChar w:fldCharType="end"/>
      </w:r>
      <w:r w:rsidR="000F3778" w:rsidRPr="00A840BC">
        <w:rPr>
          <w:rFonts w:ascii="Arial" w:hAnsi="Arial" w:cs="Arial"/>
        </w:rPr>
        <w:t>.</w:t>
      </w:r>
      <w:r w:rsidRPr="00A840BC">
        <w:rPr>
          <w:rFonts w:ascii="Arial" w:hAnsi="Arial" w:cs="Arial"/>
        </w:rPr>
        <w:t xml:space="preserve"> </w:t>
      </w:r>
    </w:p>
    <w:p w14:paraId="56FB95C8" w14:textId="743C6C93" w:rsidR="00EF3D5A" w:rsidRPr="00A840BC" w:rsidRDefault="00360CAB" w:rsidP="00EF3D5A">
      <w:pPr>
        <w:pStyle w:val="Body"/>
        <w:rPr>
          <w:rFonts w:ascii="Arial" w:hAnsi="Arial" w:cs="Arial"/>
        </w:rPr>
      </w:pPr>
      <w:r w:rsidRPr="00A840BC">
        <w:rPr>
          <w:rFonts w:ascii="Arial" w:hAnsi="Arial" w:cs="Arial"/>
        </w:rPr>
        <w:t xml:space="preserve">This issue is especially relevant in East Java, a region with a vibrant </w:t>
      </w:r>
      <w:r w:rsidR="00B31202" w:rsidRPr="00A840BC">
        <w:rPr>
          <w:rFonts w:ascii="Arial" w:eastAsia="Calibri" w:hAnsi="Arial" w:cs="Arial"/>
          <w:szCs w:val="22"/>
        </w:rPr>
        <w:t>Micro, Small, and Medium Enterprises (MSMEs)</w:t>
      </w:r>
      <w:r w:rsidRPr="00A840BC">
        <w:rPr>
          <w:rFonts w:ascii="Arial" w:hAnsi="Arial" w:cs="Arial"/>
        </w:rPr>
        <w:t xml:space="preserve"> landscape. Although financial inclusion in East Java reached 92.99% in 2022, surpassing the national average, the gap in literacy continues to pose a problem</w:t>
      </w:r>
      <w:r w:rsidR="000F3778" w:rsidRPr="00A840BC">
        <w:rPr>
          <w:rFonts w:ascii="Arial" w:hAnsi="Arial" w:cs="Arial"/>
        </w:rPr>
        <w:t xml:space="preserve"> </w:t>
      </w:r>
      <w:r w:rsidR="000F3778" w:rsidRPr="00A840BC">
        <w:rPr>
          <w:rFonts w:ascii="Arial" w:hAnsi="Arial" w:cs="Arial"/>
        </w:rPr>
        <w:fldChar w:fldCharType="begin" w:fldLock="1"/>
      </w:r>
      <w:r w:rsidR="00CC4F27" w:rsidRPr="00A840BC">
        <w:rPr>
          <w:rFonts w:ascii="Arial" w:hAnsi="Arial" w:cs="Arial"/>
        </w:rPr>
        <w:instrText xml:space="preserve"> ADDIN ZOTERO_ITEM CSL_CITATION {"citationID":"oFf7D47O","properties":{"formattedCitation":"(Bappeda Jatim, 2024)","plainCitation":"(Bappeda Jatim, 2024)","noteIndex":0},"citationItems":[{"id":"A3GAWW6d/sXCYLJbJ","uris":["http://www.mendeley.com/documents/?uuid=e2d621b6-a0e0-44b1-83b5-7456b6dfd40b"],"itemData":{"author":[{"dropping-particle":"","family":"Bappeda Jatim","given":"","non-dropping-particle":"","parse-names":false,"suffix":""}],"container-title":"Bappeda Provinsi Jawa Timur","id":"ITEM-1","issued":{"date-parts":[["2024"]]},"title":"Tingkat Inklusi dan Literasi Keuangan Jatim 2019-2022 Konsisten di Atas Nasional","type":"article-newspaper"}}],"schema":"https://github.com/citation-style-language/schema/raw/master/csl-citation.json"} </w:instrText>
      </w:r>
      <w:r w:rsidR="000F3778" w:rsidRPr="00A840BC">
        <w:rPr>
          <w:rFonts w:ascii="Arial" w:hAnsi="Arial" w:cs="Arial"/>
        </w:rPr>
        <w:fldChar w:fldCharType="separate"/>
      </w:r>
      <w:r w:rsidR="00CC4F27" w:rsidRPr="00A840BC">
        <w:rPr>
          <w:rFonts w:ascii="Arial" w:hAnsi="Arial" w:cs="Arial"/>
          <w:noProof/>
        </w:rPr>
        <w:t>(Bappeda Jatim, 2024)</w:t>
      </w:r>
      <w:r w:rsidR="000F3778" w:rsidRPr="00A840BC">
        <w:rPr>
          <w:rFonts w:ascii="Arial" w:hAnsi="Arial" w:cs="Arial"/>
        </w:rPr>
        <w:fldChar w:fldCharType="end"/>
      </w:r>
      <w:r w:rsidRPr="00A840BC">
        <w:rPr>
          <w:rFonts w:ascii="Arial" w:hAnsi="Arial" w:cs="Arial"/>
        </w:rPr>
        <w:t>. This research will concentrate on Generation Z MSMEs, a group that is adept with technology but susceptible to financial instability.</w:t>
      </w:r>
      <w:bookmarkStart w:id="0" w:name="OLE_LINK1"/>
    </w:p>
    <w:p w14:paraId="2002C504" w14:textId="0D2631A9" w:rsidR="00AB588C" w:rsidRPr="00A840BC" w:rsidRDefault="00EF3D5A" w:rsidP="002E3784">
      <w:pPr>
        <w:pStyle w:val="Body"/>
        <w:spacing w:after="0"/>
        <w:rPr>
          <w:rFonts w:ascii="Arial" w:hAnsi="Arial" w:cs="Arial"/>
        </w:rPr>
      </w:pPr>
      <w:r w:rsidRPr="00A840BC">
        <w:rPr>
          <w:rFonts w:ascii="Arial" w:hAnsi="Arial" w:cs="Arial"/>
        </w:rPr>
        <w:t xml:space="preserve">Previous studies have produced diverse outcomes. </w:t>
      </w:r>
      <w:r w:rsidRPr="00A840BC">
        <w:rPr>
          <w:rFonts w:ascii="Arial" w:hAnsi="Arial" w:cs="Arial"/>
        </w:rPr>
        <w:fldChar w:fldCharType="begin" w:fldLock="1"/>
      </w:r>
      <w:r w:rsidR="00CC4F27" w:rsidRPr="00A840BC">
        <w:rPr>
          <w:rFonts w:ascii="Arial" w:hAnsi="Arial" w:cs="Arial"/>
        </w:rPr>
        <w:instrText xml:space="preserve"> ADDIN ZOTERO_ITEM CSL_CITATION {"citationID":"E2K8DUFj","properties":{"formattedCitation":"(Sholihah et al., 2023)","plainCitation":"(Sholihah et al., 2023)","noteIndex":0},"citationItems":[{"id":"A3GAWW6d/13KSkaQZ","uris":["http://www.mendeley.com/documents/?uuid=98aee5a1-f1b2-478e-a054-f684c0acaa6b"],"itemData":{"DOI":"10.26905/jkdp.v27i3.11147","ISSN":"1410-8089","abstract":"This study aims to identify the role of financial literacy, digital literacy, and government support mediated by digital financial services adoption and financial inclusion in influencing the financial performance of MSMEs in Central Java. The model in this study was developed from the RBV (Resource Based View) theoretical framework. This study is a type of quantitative study with an explanatory design. The population determined is MSMEs in the food and beverage sector of Central Java Province. The sample was selected using a simple random sampling of 238 respondents using Google Forms. Next, the data analysis technique used SEM-PLS with SmartPLS 3. This study found that financial literacy, government support, digital financial services adoption, and financial inclusion determine the financial performance of MSMEs. These four factors show a significant influence. On the contrary, digital literacy did not significantly affect MSMEs’ financial performance. This research contribution is theoretically expected to be useful in developing RBV (Resource Based View) theory. In addition, it is a direction for three parties (government, entrepreneurs, and financiers) in formulating policies related to strategies to optimize MSMEs’ financial performance based on digital technology. DOI: 10.26905/jkdp.v27i3.11147","author":[{"dropping-particle":"","family":"Sholihah","given":"Erlinda","non-dropping-particle":"","parse-names":false,"suffix":""},{"dropping-particle":"","family":"Nurhapsari","given":"Risma","non-dropping-particle":"","parse-names":false,"suffix":""},{"dropping-particle":"","family":"Rohmania","given":"Aftuqa Sholikatur","non-dropping-particle":"","parse-names":false,"suffix":""}],"container-title":"Jurnal Keuangan dan Perbankan","id":"ITEM-1","issue":"3","issued":{"date-parts":[["2023"]]},"page":"424-436","title":"The Role of Literacy and Government Support in Improving MSME Performance Through Digital Financial Services Adoption and Financial Inclusion","type":"article-journal","volume":"27"}}],"schema":"https://github.com/citation-style-language/schema/raw/master/csl-citation.json"} </w:instrText>
      </w:r>
      <w:r w:rsidRPr="00A840BC">
        <w:rPr>
          <w:rFonts w:ascii="Arial" w:hAnsi="Arial" w:cs="Arial"/>
        </w:rPr>
        <w:fldChar w:fldCharType="separate"/>
      </w:r>
      <w:r w:rsidR="00CC4F27" w:rsidRPr="00A840BC">
        <w:rPr>
          <w:rFonts w:ascii="Arial" w:hAnsi="Arial" w:cs="Arial"/>
          <w:noProof/>
        </w:rPr>
        <w:t>(Sholihah et al., 2023)</w:t>
      </w:r>
      <w:r w:rsidRPr="00A840BC">
        <w:rPr>
          <w:rFonts w:ascii="Arial" w:hAnsi="Arial" w:cs="Arial"/>
        </w:rPr>
        <w:fldChar w:fldCharType="end"/>
      </w:r>
      <w:r w:rsidRPr="00A840BC">
        <w:rPr>
          <w:rFonts w:ascii="Arial" w:hAnsi="Arial" w:cs="Arial"/>
        </w:rPr>
        <w:t xml:space="preserve">  and colleagues suggested that financial knowledge and support from the government significantly boost the performance of MSMEs, while </w:t>
      </w:r>
      <w:r w:rsidRPr="00A840BC">
        <w:rPr>
          <w:rFonts w:ascii="Arial" w:hAnsi="Arial" w:cs="Arial"/>
        </w:rPr>
        <w:fldChar w:fldCharType="begin" w:fldLock="1"/>
      </w:r>
      <w:r w:rsidR="00CC4F27" w:rsidRPr="00A840BC">
        <w:rPr>
          <w:rFonts w:ascii="Arial" w:hAnsi="Arial" w:cs="Arial"/>
        </w:rPr>
        <w:instrText xml:space="preserve"> ADDIN ZOTERO_ITEM CSL_CITATION {"citationID":"8P21hBVj","properties":{"formattedCitation":"(Bozhinova &amp; Ganchev, 2022)","plainCitation":"(Bozhinova &amp; Ganchev, 2022)","noteIndex":0},"citationItems":[{"id":"A3GAWW6d/Eq7s7liQ","uris":["http://www.mendeley.com/documents/?uuid=7537fb8a-cb86-48a1-b241-b62334ba1d40"],"itemData":{"DOI":"10.51508/intcess.202206","ISBN":"9786050628647","author":[{"dropping-particle":"","family":"Bozhinova","given":"Mariyana","non-dropping-particle":"","parse-names":false,"suffix":""},{"dropping-particle":"","family":"Ganchev","given":"Alexander","non-dropping-particle":"","parse-names":false,"suffix":""}],"id":"ITEM-1","issue":"January","issued":{"date-parts":[["2022"]]},"page":"38-44","title":"Digitalisation of Financial Services and Financial Literacy of Young Generations – Trends, Challenges and Solutions From Bulgarian Practice","type":"article-journal"}}],"schema":"https://github.com/citation-style-language/schema/raw/master/csl-citation.json"} </w:instrText>
      </w:r>
      <w:r w:rsidRPr="00A840BC">
        <w:rPr>
          <w:rFonts w:ascii="Arial" w:hAnsi="Arial" w:cs="Arial"/>
        </w:rPr>
        <w:fldChar w:fldCharType="separate"/>
      </w:r>
      <w:r w:rsidR="00CC4F27" w:rsidRPr="00A840BC">
        <w:rPr>
          <w:rFonts w:ascii="Arial" w:hAnsi="Arial" w:cs="Arial"/>
          <w:noProof/>
        </w:rPr>
        <w:t>(Bozhinova &amp; Ganchev, 2022)</w:t>
      </w:r>
      <w:r w:rsidRPr="00A840BC">
        <w:rPr>
          <w:rFonts w:ascii="Arial" w:hAnsi="Arial" w:cs="Arial"/>
        </w:rPr>
        <w:fldChar w:fldCharType="end"/>
      </w:r>
      <w:r w:rsidRPr="00A840BC">
        <w:rPr>
          <w:rFonts w:ascii="Arial" w:hAnsi="Arial" w:cs="Arial"/>
        </w:rPr>
        <w:t xml:space="preserve"> contended that inadequate literacy weakens the impact of government initiatives. This difference emphasizes the importance of exploring the fundamental dynamics of these elements. In particular, there is a shortfall in examining how government policy functions as an external facilitator, while literacy serves as an internal resource in the context of Human Capital Theory, especially pertaining to MSMEs of Generation Z.</w:t>
      </w:r>
      <w:r w:rsidR="00AB588C" w:rsidRPr="00A840BC">
        <w:rPr>
          <w:rFonts w:ascii="Arial" w:hAnsi="Arial" w:cs="Arial"/>
        </w:rPr>
        <w:t xml:space="preserve"> </w:t>
      </w:r>
    </w:p>
    <w:p w14:paraId="11779ECD" w14:textId="77777777" w:rsidR="00AB588C" w:rsidRPr="00A840BC" w:rsidRDefault="00AB588C" w:rsidP="002E3784">
      <w:pPr>
        <w:pStyle w:val="Body"/>
        <w:spacing w:after="0"/>
        <w:rPr>
          <w:rFonts w:ascii="Arial" w:hAnsi="Arial" w:cs="Arial"/>
        </w:rPr>
      </w:pPr>
    </w:p>
    <w:p w14:paraId="1DAF804A" w14:textId="70D1D64C" w:rsidR="000C21EF" w:rsidRPr="00A840BC" w:rsidRDefault="000C21EF" w:rsidP="000C21EF">
      <w:pPr>
        <w:pStyle w:val="Body"/>
        <w:rPr>
          <w:rFonts w:ascii="Arial" w:hAnsi="Arial" w:cs="Arial"/>
        </w:rPr>
      </w:pPr>
      <w:r w:rsidRPr="00A840BC">
        <w:rPr>
          <w:rFonts w:ascii="Arial" w:hAnsi="Arial" w:cs="Arial"/>
        </w:rPr>
        <w:t xml:space="preserve">The importance of this study has both theoretical and practical aspects. Theoretically, it contributes to the existing literature on Human Capital Theory by offering empirical findings that show digital financial literacy is a crucial intangible asset for Generation Z, a demographic often regarded as tech-savvy but financially at risk. Practically, the findings serve as a strategic framework for decision-makers, like OJK and Bank Indonesia, encouraging a transition from infrastructure-focused strategies to those aimed at developing capabilities. Moreover, this research lays the groundwork for future investigations into how entrepreneurial behavior shifts among young individuals in emerging markets as they navigate the digital economy. </w:t>
      </w:r>
    </w:p>
    <w:p w14:paraId="5832234F" w14:textId="70D95A3E" w:rsidR="000D7844" w:rsidRPr="00A840BC" w:rsidRDefault="000C21EF" w:rsidP="000C21EF">
      <w:pPr>
        <w:pStyle w:val="Body"/>
        <w:spacing w:after="0"/>
        <w:rPr>
          <w:rFonts w:ascii="Arial" w:hAnsi="Arial" w:cs="Arial"/>
        </w:rPr>
      </w:pPr>
      <w:r w:rsidRPr="00A840BC">
        <w:rPr>
          <w:rFonts w:ascii="Arial" w:hAnsi="Arial" w:cs="Arial"/>
        </w:rPr>
        <w:t>To fill the recognized gap, this research goes beyond simple econometric analysis by grounding the study in Human Capital Theory. This theoretical foundation allows for a thorough assessment of how individual skills (literacy), enhanced by external assistance (policy), simultaneously impact Digital Financial Inclusion in East Java.</w:t>
      </w:r>
    </w:p>
    <w:p w14:paraId="0BA574BF" w14:textId="77777777" w:rsidR="000D7844" w:rsidRPr="00A840BC" w:rsidRDefault="000D7844" w:rsidP="002E3784">
      <w:pPr>
        <w:pStyle w:val="Body"/>
        <w:spacing w:after="0"/>
        <w:rPr>
          <w:rFonts w:ascii="Arial" w:hAnsi="Arial" w:cs="Arial"/>
        </w:rPr>
      </w:pPr>
    </w:p>
    <w:bookmarkEnd w:id="0"/>
    <w:p w14:paraId="621C35C3" w14:textId="54FA9CE4" w:rsidR="007F4DD1" w:rsidRPr="00A840BC" w:rsidRDefault="00902823" w:rsidP="002E3784">
      <w:pPr>
        <w:pStyle w:val="AbstHead"/>
        <w:spacing w:after="0"/>
        <w:jc w:val="both"/>
        <w:rPr>
          <w:rFonts w:ascii="Arial" w:hAnsi="Arial" w:cs="Arial"/>
        </w:rPr>
      </w:pPr>
      <w:r w:rsidRPr="00A840BC">
        <w:rPr>
          <w:rFonts w:ascii="Arial" w:hAnsi="Arial" w:cs="Arial"/>
        </w:rPr>
        <w:t xml:space="preserve">2. </w:t>
      </w:r>
      <w:r w:rsidR="007F4DD1" w:rsidRPr="00A840BC">
        <w:rPr>
          <w:rFonts w:ascii="Arial" w:hAnsi="Arial" w:cs="Arial"/>
        </w:rPr>
        <w:t>LITERATURE REVIEW AND THEORETICAL FRAMEWORK</w:t>
      </w:r>
    </w:p>
    <w:p w14:paraId="1A8681FB" w14:textId="77777777" w:rsidR="007F4DD1" w:rsidRPr="00A840BC" w:rsidRDefault="007F4DD1" w:rsidP="002E3784">
      <w:pPr>
        <w:pStyle w:val="AbstHead"/>
        <w:spacing w:after="0"/>
        <w:jc w:val="both"/>
        <w:rPr>
          <w:rFonts w:ascii="Arial" w:hAnsi="Arial" w:cs="Arial"/>
        </w:rPr>
      </w:pPr>
    </w:p>
    <w:p w14:paraId="2F05309A" w14:textId="2AE5CEA0" w:rsidR="009B7F2B" w:rsidRPr="00A840BC" w:rsidRDefault="007F4DD1" w:rsidP="007F4DD1">
      <w:pPr>
        <w:pStyle w:val="Body"/>
        <w:spacing w:after="0"/>
        <w:rPr>
          <w:rFonts w:ascii="Arial" w:hAnsi="Arial" w:cs="Arial"/>
          <w:b/>
          <w:sz w:val="22"/>
        </w:rPr>
      </w:pPr>
      <w:r w:rsidRPr="00A840BC">
        <w:rPr>
          <w:rFonts w:ascii="Arial" w:hAnsi="Arial" w:cs="Arial"/>
          <w:b/>
          <w:caps/>
          <w:sz w:val="22"/>
        </w:rPr>
        <w:t xml:space="preserve">2.1 </w:t>
      </w:r>
      <w:r w:rsidRPr="00A840BC">
        <w:rPr>
          <w:rFonts w:ascii="Arial" w:hAnsi="Arial" w:cs="Arial"/>
          <w:b/>
          <w:sz w:val="22"/>
        </w:rPr>
        <w:t>Theoretical Framework: Human Capital Theory</w:t>
      </w:r>
    </w:p>
    <w:p w14:paraId="5B44E110" w14:textId="77777777" w:rsidR="009B7F2B" w:rsidRPr="00A840BC" w:rsidRDefault="009B7F2B" w:rsidP="007F4DD1">
      <w:pPr>
        <w:pStyle w:val="Body"/>
        <w:spacing w:after="0"/>
        <w:rPr>
          <w:rFonts w:ascii="Arial" w:hAnsi="Arial" w:cs="Arial"/>
          <w:b/>
          <w:sz w:val="22"/>
        </w:rPr>
      </w:pPr>
    </w:p>
    <w:p w14:paraId="15E21CD8" w14:textId="14640B31" w:rsidR="009B7F2B" w:rsidRPr="00A840BC" w:rsidRDefault="00043C58" w:rsidP="009B7F2B">
      <w:pPr>
        <w:pStyle w:val="Body"/>
        <w:rPr>
          <w:rFonts w:ascii="Arial" w:hAnsi="Arial" w:cs="Arial"/>
        </w:rPr>
      </w:pPr>
      <w:r w:rsidRPr="00A840BC">
        <w:rPr>
          <w:rFonts w:ascii="Arial" w:hAnsi="Arial" w:cs="Arial"/>
        </w:rPr>
        <w:t xml:space="preserve">This research is grounded in Human Capital Theory, which was </w:t>
      </w:r>
      <w:proofErr w:type="spellStart"/>
      <w:r w:rsidRPr="00A840BC">
        <w:rPr>
          <w:rFonts w:ascii="Arial" w:hAnsi="Arial" w:cs="Arial"/>
        </w:rPr>
        <w:t>seminalized</w:t>
      </w:r>
      <w:proofErr w:type="spellEnd"/>
      <w:r w:rsidRPr="00A840BC">
        <w:rPr>
          <w:rFonts w:ascii="Arial" w:hAnsi="Arial" w:cs="Arial"/>
        </w:rPr>
        <w:t xml:space="preserve"> by Becker (1964). The theory suggests that </w:t>
      </w:r>
      <w:r w:rsidR="009B7F2B" w:rsidRPr="00A840BC">
        <w:rPr>
          <w:rFonts w:ascii="Arial" w:hAnsi="Arial" w:cs="Arial"/>
        </w:rPr>
        <w:t xml:space="preserve">the knowledge, skills, and abilities an individual possesses are types of capital that can be invested in and accumulated, ultimately boosting productivity and overall economic well-being. In the realm of the digital economy, Digital Financial Literacy is seen as a vital intangible asset or form of human capital. Teixeira pointed out in 2014 that human capital influences how well a person can adjust to shifting circumstances. For Generation Z micro, small, and medium enterprises (MSMEs), this form of capital affects their ability to assess, embrace, and effectively use digital financial products. </w:t>
      </w:r>
    </w:p>
    <w:p w14:paraId="1E7934A8" w14:textId="37F2958D" w:rsidR="009B7F2B" w:rsidRPr="00A840BC" w:rsidRDefault="009B7F2B" w:rsidP="009B7F2B">
      <w:pPr>
        <w:pStyle w:val="Body"/>
        <w:spacing w:after="0"/>
        <w:rPr>
          <w:rFonts w:ascii="Arial" w:hAnsi="Arial" w:cs="Arial"/>
        </w:rPr>
      </w:pPr>
      <w:r w:rsidRPr="00A840BC">
        <w:rPr>
          <w:rFonts w:ascii="Arial" w:hAnsi="Arial" w:cs="Arial"/>
        </w:rPr>
        <w:t xml:space="preserve">In this context, Government Policy is regarded as a means of external investment. The theory asserts that outside support such as educational initiatives, regulations, and infrastructure provided by the government aims to improve and support the quality of human capital. Thus, it explains that inclusion occurs when an individual’s human capital (literacy) is adequate and backed by supportive external conditions (policy). </w:t>
      </w:r>
    </w:p>
    <w:p w14:paraId="355E9C21" w14:textId="77777777" w:rsidR="009B7F2B" w:rsidRPr="00A840BC" w:rsidRDefault="009B7F2B" w:rsidP="009B7F2B">
      <w:pPr>
        <w:pStyle w:val="Body"/>
        <w:spacing w:after="0"/>
        <w:rPr>
          <w:rFonts w:ascii="Arial" w:hAnsi="Arial" w:cs="Arial"/>
        </w:rPr>
      </w:pPr>
    </w:p>
    <w:p w14:paraId="4BBAAD3B" w14:textId="17CBC7FD" w:rsidR="009B7F2B" w:rsidRPr="00A840BC" w:rsidRDefault="009B7F2B" w:rsidP="009B7F2B">
      <w:pPr>
        <w:pStyle w:val="Body"/>
        <w:spacing w:after="0"/>
        <w:rPr>
          <w:rFonts w:ascii="Arial" w:hAnsi="Arial" w:cs="Arial"/>
          <w:b/>
          <w:sz w:val="22"/>
        </w:rPr>
      </w:pPr>
      <w:r w:rsidRPr="00A840BC">
        <w:rPr>
          <w:rFonts w:ascii="Arial" w:hAnsi="Arial" w:cs="Arial"/>
          <w:b/>
          <w:caps/>
          <w:sz w:val="22"/>
        </w:rPr>
        <w:t xml:space="preserve">2.2 </w:t>
      </w:r>
      <w:r w:rsidRPr="00A840BC">
        <w:rPr>
          <w:rFonts w:ascii="Arial" w:hAnsi="Arial" w:cs="Arial"/>
          <w:b/>
          <w:sz w:val="22"/>
        </w:rPr>
        <w:t>Literature Review and Hypothesis Development</w:t>
      </w:r>
    </w:p>
    <w:p w14:paraId="45A08F00" w14:textId="77777777" w:rsidR="009B7F2B" w:rsidRPr="00A840BC" w:rsidRDefault="009B7F2B" w:rsidP="009B7F2B">
      <w:pPr>
        <w:pStyle w:val="Body"/>
        <w:spacing w:after="0"/>
        <w:rPr>
          <w:rFonts w:ascii="Arial" w:hAnsi="Arial" w:cs="Arial"/>
          <w:b/>
          <w:sz w:val="22"/>
        </w:rPr>
      </w:pPr>
    </w:p>
    <w:p w14:paraId="09AF9E67" w14:textId="736BC64C" w:rsidR="009B7F2B" w:rsidRPr="00A840BC" w:rsidRDefault="009B7F2B" w:rsidP="009B7F2B">
      <w:pPr>
        <w:pStyle w:val="Body"/>
        <w:rPr>
          <w:rFonts w:ascii="Arial" w:hAnsi="Arial" w:cs="Arial"/>
          <w:b/>
          <w:color w:val="000000" w:themeColor="text1"/>
          <w:u w:val="single"/>
        </w:rPr>
      </w:pPr>
      <w:r w:rsidRPr="00A840BC">
        <w:rPr>
          <w:rFonts w:ascii="Arial" w:hAnsi="Arial" w:cs="Arial"/>
          <w:b/>
          <w:color w:val="000000" w:themeColor="text1"/>
          <w:u w:val="single"/>
        </w:rPr>
        <w:t xml:space="preserve">2.2.1 Government Policy and Digital Financial Inclusion </w:t>
      </w:r>
    </w:p>
    <w:p w14:paraId="7F4A4736" w14:textId="03493167" w:rsidR="009B7F2B" w:rsidRPr="00A840BC" w:rsidRDefault="00254DDB" w:rsidP="00254DDB">
      <w:pPr>
        <w:pStyle w:val="Body"/>
        <w:rPr>
          <w:rFonts w:ascii="Arial" w:hAnsi="Arial" w:cs="Arial"/>
        </w:rPr>
      </w:pPr>
      <w:r w:rsidRPr="00A840BC">
        <w:rPr>
          <w:rFonts w:ascii="Arial" w:hAnsi="Arial" w:cs="Arial"/>
        </w:rPr>
        <w:t>Government policies act as the key foundation for enhancing human resources. Strategic initiatives create the necessary conditions for micro, small, and medium-sized businesses to operate effectively. Previous studies, including research conducted by Spivak et al. (2024), have shown that carefully designed government policies improve financial literacy and encourage inclusivity. From the perspective of Human Capital Theory, these policies assist in reducing barriers to entry, allowing individuals to effectively utilize their skills. In particular, the government actions examined in this study relate to the implementation of Law No. 4 of 2023 (P2SK Law) regarding the Development and Strengthening of the Financial Sector, as well as Bank Indonesia's Payment System Blueprint 2025. These initiatives serve as the regulatory framework (X1) aimed at facilitating digital transformation and protecting consumer rights in the financial sector.</w:t>
      </w:r>
    </w:p>
    <w:p w14:paraId="5AC46484" w14:textId="77777777" w:rsidR="009B7F2B" w:rsidRPr="00A840BC" w:rsidRDefault="009B7F2B" w:rsidP="009B7F2B">
      <w:pPr>
        <w:pStyle w:val="Body"/>
        <w:spacing w:after="0"/>
        <w:ind w:firstLine="720"/>
        <w:rPr>
          <w:rFonts w:ascii="Arial" w:hAnsi="Arial" w:cs="Arial"/>
        </w:rPr>
      </w:pPr>
    </w:p>
    <w:p w14:paraId="7060129E" w14:textId="56588756" w:rsidR="009B7F2B" w:rsidRPr="00A840BC" w:rsidRDefault="009B7F2B" w:rsidP="009B7F2B">
      <w:pPr>
        <w:pStyle w:val="Body"/>
        <w:spacing w:after="0"/>
        <w:ind w:left="720"/>
        <w:rPr>
          <w:rFonts w:ascii="Arial" w:hAnsi="Arial" w:cs="Arial"/>
          <w:b/>
          <w:bCs/>
        </w:rPr>
      </w:pPr>
      <w:r w:rsidRPr="00A840BC">
        <w:rPr>
          <w:rFonts w:ascii="Arial" w:hAnsi="Arial" w:cs="Arial"/>
          <w:b/>
          <w:bCs/>
        </w:rPr>
        <w:t>H1: Government Regulations have a considerable beneficial impact on Digital Financial Inclusion.</w:t>
      </w:r>
    </w:p>
    <w:p w14:paraId="17C207BD" w14:textId="77777777" w:rsidR="009B7F2B" w:rsidRPr="00A840BC" w:rsidRDefault="009B7F2B" w:rsidP="009B7F2B">
      <w:pPr>
        <w:pStyle w:val="Body"/>
        <w:spacing w:after="0"/>
        <w:rPr>
          <w:rFonts w:ascii="Arial" w:hAnsi="Arial" w:cs="Arial"/>
          <w:b/>
          <w:sz w:val="22"/>
        </w:rPr>
      </w:pPr>
    </w:p>
    <w:p w14:paraId="420275BE" w14:textId="1FEFBC60" w:rsidR="009B7F2B" w:rsidRPr="00A840BC" w:rsidRDefault="009B7F2B" w:rsidP="009B7F2B">
      <w:pPr>
        <w:pStyle w:val="Body"/>
        <w:rPr>
          <w:rFonts w:ascii="Arial" w:hAnsi="Arial" w:cs="Arial"/>
          <w:b/>
          <w:color w:val="000000" w:themeColor="text1"/>
          <w:u w:val="single"/>
        </w:rPr>
      </w:pPr>
      <w:r w:rsidRPr="00A840BC">
        <w:rPr>
          <w:rFonts w:ascii="Arial" w:hAnsi="Arial" w:cs="Arial"/>
          <w:b/>
          <w:color w:val="000000" w:themeColor="text1"/>
          <w:u w:val="single"/>
        </w:rPr>
        <w:t>2.2.2 Digital Financial Literacy and Digital Financial Inclusion</w:t>
      </w:r>
    </w:p>
    <w:p w14:paraId="4313F9B9" w14:textId="118EC6EE" w:rsidR="009B7F2B" w:rsidRPr="00A840BC" w:rsidRDefault="009B7F2B" w:rsidP="009B7F2B">
      <w:pPr>
        <w:pStyle w:val="Body"/>
        <w:spacing w:after="0"/>
        <w:rPr>
          <w:rFonts w:ascii="Arial" w:hAnsi="Arial" w:cs="Arial"/>
        </w:rPr>
      </w:pPr>
      <w:r w:rsidRPr="00A840BC">
        <w:rPr>
          <w:rFonts w:ascii="Arial" w:hAnsi="Arial" w:cs="Arial"/>
        </w:rPr>
        <w:t xml:space="preserve">Digital Financial Literacy is the direct manifestation of human capital in this study. </w:t>
      </w:r>
      <w:proofErr w:type="spellStart"/>
      <w:r w:rsidRPr="00A840BC">
        <w:rPr>
          <w:rFonts w:ascii="Arial" w:hAnsi="Arial" w:cs="Arial"/>
        </w:rPr>
        <w:t>Widyastuti</w:t>
      </w:r>
      <w:proofErr w:type="spellEnd"/>
      <w:r w:rsidRPr="00A840BC">
        <w:rPr>
          <w:rFonts w:ascii="Arial" w:hAnsi="Arial" w:cs="Arial"/>
        </w:rPr>
        <w:t xml:space="preserve"> and colleagues (2024) showed that literacy plays a crucial role in promoting financial inclusion. Merely having access to technology does not ensure it will be used effectively without sufficient literacy. In line with Human Capital Theory, possessing more specialized knowledge in digital finance enhances entrepreneurs' ability and confidence in engaging with the formal financial system. </w:t>
      </w:r>
    </w:p>
    <w:p w14:paraId="2CC02173" w14:textId="77777777" w:rsidR="009B7F2B" w:rsidRPr="00A840BC" w:rsidRDefault="009B7F2B" w:rsidP="009B7F2B">
      <w:pPr>
        <w:pStyle w:val="Body"/>
        <w:spacing w:after="0"/>
        <w:rPr>
          <w:rFonts w:ascii="Arial" w:hAnsi="Arial" w:cs="Arial"/>
        </w:rPr>
      </w:pPr>
    </w:p>
    <w:p w14:paraId="45A440A2" w14:textId="705FF829" w:rsidR="009B7F2B" w:rsidRPr="00A840BC" w:rsidRDefault="009B7F2B" w:rsidP="009B7F2B">
      <w:pPr>
        <w:pStyle w:val="Body"/>
        <w:spacing w:after="0"/>
        <w:ind w:firstLine="720"/>
        <w:rPr>
          <w:rFonts w:ascii="Arial" w:hAnsi="Arial" w:cs="Arial"/>
          <w:b/>
          <w:bCs/>
        </w:rPr>
      </w:pPr>
      <w:r w:rsidRPr="00A840BC">
        <w:rPr>
          <w:rFonts w:ascii="Arial" w:hAnsi="Arial" w:cs="Arial"/>
          <w:b/>
          <w:bCs/>
        </w:rPr>
        <w:t>H2: Digital Financial Literacy significantly promotes Digital Financial Inclusion.</w:t>
      </w:r>
    </w:p>
    <w:p w14:paraId="12E52E2F" w14:textId="77777777" w:rsidR="007F4DD1" w:rsidRPr="00A840BC" w:rsidRDefault="007F4DD1" w:rsidP="002E3784">
      <w:pPr>
        <w:pStyle w:val="AbstHead"/>
        <w:spacing w:after="0"/>
        <w:jc w:val="both"/>
        <w:rPr>
          <w:rFonts w:ascii="Arial" w:hAnsi="Arial" w:cs="Arial"/>
        </w:rPr>
      </w:pPr>
    </w:p>
    <w:p w14:paraId="1BACC4B2" w14:textId="5489CC0D" w:rsidR="009B7F2B" w:rsidRPr="00A840BC" w:rsidRDefault="009B7F2B" w:rsidP="00CA5BB4">
      <w:pPr>
        <w:pStyle w:val="Body"/>
        <w:rPr>
          <w:rFonts w:ascii="Arial" w:hAnsi="Arial" w:cs="Arial"/>
          <w:b/>
          <w:color w:val="000000" w:themeColor="text1"/>
          <w:u w:val="single"/>
        </w:rPr>
      </w:pPr>
      <w:r w:rsidRPr="00A840BC">
        <w:rPr>
          <w:rFonts w:ascii="Arial" w:hAnsi="Arial" w:cs="Arial"/>
          <w:b/>
          <w:color w:val="000000" w:themeColor="text1"/>
          <w:u w:val="single"/>
        </w:rPr>
        <w:t>2.2.3 Simultaneous Influence</w:t>
      </w:r>
    </w:p>
    <w:p w14:paraId="62E7EFCB" w14:textId="052529B4" w:rsidR="00CA5BB4" w:rsidRPr="00A840BC" w:rsidRDefault="00CA5BB4" w:rsidP="00CA5BB4">
      <w:pPr>
        <w:pStyle w:val="Body"/>
        <w:rPr>
          <w:rFonts w:ascii="Arial" w:hAnsi="Arial" w:cs="Arial"/>
        </w:rPr>
      </w:pPr>
      <w:r w:rsidRPr="00A840BC">
        <w:rPr>
          <w:rFonts w:ascii="Arial" w:hAnsi="Arial" w:cs="Arial"/>
        </w:rPr>
        <w:lastRenderedPageBreak/>
        <w:t xml:space="preserve">The World Bank (2022) highlights that inclusion necessitates both access and capability. Human Capital Theory indicates that economic success is optimized when personal skills (like literacy) align with suitable resources and surroundings (such as policy). As a result, these elements are anticipated to work together to enhance the digital financial inclusion of Gen Z business owners. </w:t>
      </w:r>
    </w:p>
    <w:p w14:paraId="2D725FDE" w14:textId="4AD184FE" w:rsidR="00CA5BB4" w:rsidRPr="00A840BC" w:rsidRDefault="00CA5BB4" w:rsidP="00CA5BB4">
      <w:pPr>
        <w:pStyle w:val="Body"/>
        <w:spacing w:after="0"/>
        <w:ind w:left="720"/>
        <w:rPr>
          <w:rFonts w:ascii="Arial" w:hAnsi="Arial" w:cs="Arial"/>
          <w:b/>
          <w:bCs/>
        </w:rPr>
      </w:pPr>
      <w:r w:rsidRPr="00A840BC">
        <w:rPr>
          <w:rFonts w:ascii="Arial" w:hAnsi="Arial" w:cs="Arial"/>
          <w:b/>
          <w:bCs/>
        </w:rPr>
        <w:t>H3: Government Policy and Digital Financial Literacy have a notable and positive impact on Digital Financial Inclusion at the same time.</w:t>
      </w:r>
    </w:p>
    <w:p w14:paraId="12FBDF55" w14:textId="77777777" w:rsidR="00CA5BB4" w:rsidRPr="00A840BC" w:rsidRDefault="00CA5BB4" w:rsidP="00CA5BB4">
      <w:pPr>
        <w:pStyle w:val="Body"/>
        <w:spacing w:after="0"/>
        <w:ind w:left="720"/>
        <w:rPr>
          <w:rFonts w:ascii="Arial" w:hAnsi="Arial" w:cs="Arial"/>
          <w:b/>
          <w:bCs/>
        </w:rPr>
      </w:pPr>
    </w:p>
    <w:p w14:paraId="6C3B8733" w14:textId="41B259BE" w:rsidR="00CA5BB4" w:rsidRPr="00A840BC" w:rsidRDefault="00CA5BB4" w:rsidP="00CA5BB4">
      <w:pPr>
        <w:pStyle w:val="Body"/>
        <w:spacing w:after="0"/>
        <w:rPr>
          <w:rFonts w:ascii="Arial" w:hAnsi="Arial" w:cs="Arial"/>
          <w:b/>
          <w:bCs/>
        </w:rPr>
      </w:pPr>
      <w:r w:rsidRPr="00A840BC">
        <w:rPr>
          <w:rFonts w:ascii="Arial" w:hAnsi="Arial" w:cs="Arial"/>
        </w:rPr>
        <w:t>Depending to the development of the hypothesis above, the framework is as stated:</w:t>
      </w:r>
    </w:p>
    <w:p w14:paraId="23DF1EEE" w14:textId="77777777" w:rsidR="00CA5BB4" w:rsidRPr="00A840BC" w:rsidRDefault="00CA5BB4" w:rsidP="00CA5BB4">
      <w:pPr>
        <w:pStyle w:val="Body"/>
        <w:spacing w:after="0"/>
        <w:ind w:left="720"/>
        <w:rPr>
          <w:rFonts w:ascii="Arial" w:hAnsi="Arial" w:cs="Arial"/>
          <w:b/>
          <w:bCs/>
        </w:rPr>
      </w:pPr>
    </w:p>
    <w:p w14:paraId="78C12435" w14:textId="6B25F66C" w:rsidR="00CA5BB4" w:rsidRPr="00A840BC" w:rsidRDefault="00CA5BB4" w:rsidP="00CA5BB4">
      <w:pPr>
        <w:pStyle w:val="Body"/>
        <w:spacing w:after="0"/>
        <w:ind w:left="720"/>
        <w:jc w:val="center"/>
        <w:rPr>
          <w:rFonts w:ascii="Arial" w:hAnsi="Arial" w:cs="Arial"/>
          <w:b/>
          <w:color w:val="000000" w:themeColor="text1"/>
          <w:szCs w:val="16"/>
        </w:rPr>
      </w:pPr>
      <w:r w:rsidRPr="00A840BC">
        <w:rPr>
          <w:rFonts w:ascii="Arial" w:hAnsi="Arial" w:cs="Arial"/>
          <w:b/>
          <w:color w:val="000000" w:themeColor="text1"/>
          <w:szCs w:val="16"/>
        </w:rPr>
        <w:t>Figure 1. Conceptual Framework</w:t>
      </w:r>
    </w:p>
    <w:p w14:paraId="79B01579" w14:textId="77777777" w:rsidR="00CA5BB4" w:rsidRPr="00A840BC" w:rsidRDefault="00CA5BB4" w:rsidP="00CA5BB4">
      <w:pPr>
        <w:pStyle w:val="Body"/>
        <w:spacing w:after="0"/>
        <w:ind w:left="720"/>
        <w:jc w:val="center"/>
        <w:rPr>
          <w:rFonts w:ascii="Arial" w:hAnsi="Arial" w:cs="Arial"/>
          <w:b/>
          <w:color w:val="000000" w:themeColor="text1"/>
          <w:szCs w:val="16"/>
        </w:rPr>
      </w:pPr>
    </w:p>
    <w:p w14:paraId="4D6FC350" w14:textId="06E80789" w:rsidR="00CA5BB4" w:rsidRPr="00A840BC" w:rsidRDefault="004549E2" w:rsidP="00CA5BB4">
      <w:pPr>
        <w:pStyle w:val="Body"/>
        <w:spacing w:after="0"/>
        <w:ind w:left="720"/>
        <w:jc w:val="center"/>
        <w:rPr>
          <w:rFonts w:ascii="Arial" w:hAnsi="Arial" w:cs="Arial"/>
          <w:b/>
          <w:color w:val="000000" w:themeColor="text1"/>
          <w:szCs w:val="16"/>
        </w:rPr>
      </w:pPr>
      <w:r w:rsidRPr="00A840BC">
        <w:rPr>
          <w:i/>
          <w:iCs/>
          <w:noProof/>
        </w:rPr>
        <mc:AlternateContent>
          <mc:Choice Requires="wpg">
            <w:drawing>
              <wp:anchor distT="0" distB="0" distL="114300" distR="114300" simplePos="0" relativeHeight="251663360" behindDoc="0" locked="0" layoutInCell="1" allowOverlap="1" wp14:anchorId="0E75D7A2" wp14:editId="4751D9FB">
                <wp:simplePos x="0" y="0"/>
                <wp:positionH relativeFrom="column">
                  <wp:posOffset>1206366</wp:posOffset>
                </wp:positionH>
                <wp:positionV relativeFrom="paragraph">
                  <wp:posOffset>477587</wp:posOffset>
                </wp:positionV>
                <wp:extent cx="3272590" cy="1443789"/>
                <wp:effectExtent l="0" t="0" r="4445" b="4445"/>
                <wp:wrapNone/>
                <wp:docPr id="78738156" name="Group 3"/>
                <wp:cNvGraphicFramePr/>
                <a:graphic xmlns:a="http://schemas.openxmlformats.org/drawingml/2006/main">
                  <a:graphicData uri="http://schemas.microsoft.com/office/word/2010/wordprocessingGroup">
                    <wpg:wgp>
                      <wpg:cNvGrpSpPr/>
                      <wpg:grpSpPr>
                        <a:xfrm>
                          <a:off x="0" y="0"/>
                          <a:ext cx="3272590" cy="1443789"/>
                          <a:chOff x="0" y="0"/>
                          <a:chExt cx="3272590" cy="1443789"/>
                        </a:xfrm>
                      </wpg:grpSpPr>
                      <wps:wsp>
                        <wps:cNvPr id="1715646779" name="Rectangle 2"/>
                        <wps:cNvSpPr/>
                        <wps:spPr>
                          <a:xfrm>
                            <a:off x="0" y="0"/>
                            <a:ext cx="1082842" cy="35292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EDFCAE" w14:textId="2EB3B2FA" w:rsidR="00D7792B" w:rsidRPr="00510870" w:rsidRDefault="00510870" w:rsidP="00D7792B">
                              <w:pPr>
                                <w:jc w:val="center"/>
                                <w:rPr>
                                  <w:rFonts w:ascii="Arial" w:hAnsi="Arial" w:cs="Arial"/>
                                  <w:color w:val="000000" w:themeColor="text1"/>
                                  <w:sz w:val="16"/>
                                  <w:szCs w:val="16"/>
                                </w:rPr>
                              </w:pPr>
                              <w:r w:rsidRPr="00510870">
                                <w:rPr>
                                  <w:rFonts w:ascii="Arial" w:hAnsi="Arial" w:cs="Arial"/>
                                  <w:color w:val="000000" w:themeColor="text1"/>
                                  <w:sz w:val="16"/>
                                  <w:szCs w:val="16"/>
                                </w:rPr>
                                <w:t>Government Policy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7885113" name="Rectangle 2"/>
                        <wps:cNvSpPr/>
                        <wps:spPr>
                          <a:xfrm>
                            <a:off x="0" y="1090863"/>
                            <a:ext cx="1082842" cy="35292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9E23ADE" w14:textId="510A90A3" w:rsidR="00510870" w:rsidRPr="00510870" w:rsidRDefault="00A42DAC" w:rsidP="00510870">
                              <w:pPr>
                                <w:jc w:val="center"/>
                                <w:rPr>
                                  <w:rFonts w:ascii="Arial" w:hAnsi="Arial" w:cs="Arial"/>
                                  <w:color w:val="000000" w:themeColor="text1"/>
                                  <w:sz w:val="16"/>
                                  <w:szCs w:val="16"/>
                                </w:rPr>
                              </w:pPr>
                              <w:r w:rsidRPr="00A42DAC">
                                <w:rPr>
                                  <w:rFonts w:ascii="Arial" w:hAnsi="Arial" w:cs="Arial"/>
                                  <w:color w:val="000000" w:themeColor="text1"/>
                                  <w:sz w:val="16"/>
                                  <w:szCs w:val="16"/>
                                </w:rPr>
                                <w:t>Digital Financial Literacy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7464691" name="Rectangle 2"/>
                        <wps:cNvSpPr/>
                        <wps:spPr>
                          <a:xfrm>
                            <a:off x="2189748" y="537410"/>
                            <a:ext cx="1082842" cy="35292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C2BFA07" w14:textId="4882A4A1" w:rsidR="00A42DAC" w:rsidRPr="00510870" w:rsidRDefault="004549E2" w:rsidP="00A42DAC">
                              <w:pPr>
                                <w:jc w:val="center"/>
                                <w:rPr>
                                  <w:rFonts w:ascii="Arial" w:hAnsi="Arial" w:cs="Arial"/>
                                  <w:color w:val="000000" w:themeColor="text1"/>
                                  <w:sz w:val="16"/>
                                  <w:szCs w:val="16"/>
                                </w:rPr>
                              </w:pPr>
                              <w:r w:rsidRPr="004549E2">
                                <w:rPr>
                                  <w:rFonts w:ascii="Arial" w:hAnsi="Arial" w:cs="Arial"/>
                                  <w:color w:val="000000" w:themeColor="text1"/>
                                  <w:sz w:val="16"/>
                                  <w:szCs w:val="16"/>
                                </w:rPr>
                                <w:t>Digital Financial Inclusion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E75D7A2" id="Group 3" o:spid="_x0000_s1026" style="position:absolute;left:0;text-align:left;margin-left:95pt;margin-top:37.6pt;width:257.7pt;height:113.7pt;z-index:251663360" coordsize="32725,14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">
                <v:rect id="Rectangle 2" o:spid="_x0000_s1027" style="position:absolute;width:10828;height:3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" fillcolor="white [3212]" stroked="f" strokeweight="2pt">
                  <v:textbox>
                    <w:txbxContent>
                      <w:p w14:paraId="67EDFCAE" w14:textId="2EB3B2FA" w:rsidR="00D7792B" w:rsidRPr="00510870" w:rsidRDefault="00510870" w:rsidP="00D7792B">
                        <w:pPr>
                          <w:jc w:val="center"/>
                          <w:rPr>
                            <w:rFonts w:ascii="Arial" w:hAnsi="Arial" w:cs="Arial"/>
                            <w:color w:val="000000" w:themeColor="text1"/>
                            <w:sz w:val="16"/>
                            <w:szCs w:val="16"/>
                          </w:rPr>
                        </w:pPr>
                        <w:r w:rsidRPr="00510870">
                          <w:rPr>
                            <w:rFonts w:ascii="Arial" w:hAnsi="Arial" w:cs="Arial"/>
                            <w:color w:val="000000" w:themeColor="text1"/>
                            <w:sz w:val="16"/>
                            <w:szCs w:val="16"/>
                          </w:rPr>
                          <w:t>Government Policy (X1)</w:t>
                        </w:r>
                      </w:p>
                    </w:txbxContent>
                  </v:textbox>
                </v:rect>
                <v:rect id="Rectangle 2" o:spid="_x0000_s1028" style="position:absolute;top:10908;width:10828;height:3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" fillcolor="white [3212]" stroked="f" strokeweight="2pt">
                  <v:textbox>
                    <w:txbxContent>
                      <w:p w14:paraId="49E23ADE" w14:textId="510A90A3" w:rsidR="00510870" w:rsidRPr="00510870" w:rsidRDefault="00A42DAC" w:rsidP="00510870">
                        <w:pPr>
                          <w:jc w:val="center"/>
                          <w:rPr>
                            <w:rFonts w:ascii="Arial" w:hAnsi="Arial" w:cs="Arial"/>
                            <w:color w:val="000000" w:themeColor="text1"/>
                            <w:sz w:val="16"/>
                            <w:szCs w:val="16"/>
                          </w:rPr>
                        </w:pPr>
                        <w:r w:rsidRPr="00A42DAC">
                          <w:rPr>
                            <w:rFonts w:ascii="Arial" w:hAnsi="Arial" w:cs="Arial"/>
                            <w:color w:val="000000" w:themeColor="text1"/>
                            <w:sz w:val="16"/>
                            <w:szCs w:val="16"/>
                          </w:rPr>
                          <w:t>Digital Financial Literacy (X2)</w:t>
                        </w:r>
                      </w:p>
                    </w:txbxContent>
                  </v:textbox>
                </v:rect>
                <v:rect id="Rectangle 2" o:spid="_x0000_s1029" style="position:absolute;left:21897;top:5374;width:10828;height:3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" fillcolor="white [3212]" stroked="f" strokeweight="2pt">
                  <v:textbox>
                    <w:txbxContent>
                      <w:p w14:paraId="6C2BFA07" w14:textId="4882A4A1" w:rsidR="00A42DAC" w:rsidRPr="00510870" w:rsidRDefault="004549E2" w:rsidP="00A42DAC">
                        <w:pPr>
                          <w:jc w:val="center"/>
                          <w:rPr>
                            <w:rFonts w:ascii="Arial" w:hAnsi="Arial" w:cs="Arial"/>
                            <w:color w:val="000000" w:themeColor="text1"/>
                            <w:sz w:val="16"/>
                            <w:szCs w:val="16"/>
                          </w:rPr>
                        </w:pPr>
                        <w:r w:rsidRPr="004549E2">
                          <w:rPr>
                            <w:rFonts w:ascii="Arial" w:hAnsi="Arial" w:cs="Arial"/>
                            <w:color w:val="000000" w:themeColor="text1"/>
                            <w:sz w:val="16"/>
                            <w:szCs w:val="16"/>
                          </w:rPr>
                          <w:t>Digital Financial Inclusion (Y)</w:t>
                        </w:r>
                      </w:p>
                    </w:txbxContent>
                  </v:textbox>
                </v:rect>
              </v:group>
            </w:pict>
          </mc:Fallback>
        </mc:AlternateContent>
      </w:r>
      <w:r w:rsidR="00CA5BB4" w:rsidRPr="00A840BC">
        <w:rPr>
          <w:i/>
          <w:iCs/>
          <w:noProof/>
        </w:rPr>
        <w:drawing>
          <wp:inline distT="0" distB="0" distL="0" distR="0" wp14:anchorId="14EBB880" wp14:editId="187963B3">
            <wp:extent cx="4583724" cy="2578236"/>
            <wp:effectExtent l="0" t="0" r="1270" b="0"/>
            <wp:docPr id="65433989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339897" name="Picture 654339897"/>
                    <pic:cNvPicPr/>
                  </pic:nvPicPr>
                  <pic:blipFill>
                    <a:blip r:embed="rId12"/>
                    <a:stretch>
                      <a:fillRect/>
                    </a:stretch>
                  </pic:blipFill>
                  <pic:spPr>
                    <a:xfrm>
                      <a:off x="0" y="0"/>
                      <a:ext cx="4600716" cy="2587794"/>
                    </a:xfrm>
                    <a:prstGeom prst="rect">
                      <a:avLst/>
                    </a:prstGeom>
                  </pic:spPr>
                </pic:pic>
              </a:graphicData>
            </a:graphic>
          </wp:inline>
        </w:drawing>
      </w:r>
    </w:p>
    <w:p w14:paraId="3A53E658" w14:textId="77777777" w:rsidR="00CA5BB4" w:rsidRPr="00A840BC" w:rsidRDefault="00CA5BB4" w:rsidP="00CA5BB4">
      <w:pPr>
        <w:pStyle w:val="Body"/>
        <w:spacing w:after="0"/>
        <w:ind w:left="720"/>
        <w:rPr>
          <w:rFonts w:ascii="Arial" w:hAnsi="Arial" w:cs="Arial"/>
          <w:b/>
          <w:bCs/>
        </w:rPr>
      </w:pPr>
    </w:p>
    <w:p w14:paraId="55EE243F" w14:textId="77777777" w:rsidR="009B7F2B" w:rsidRPr="00A840BC" w:rsidRDefault="009B7F2B" w:rsidP="002E3784">
      <w:pPr>
        <w:pStyle w:val="AbstHead"/>
        <w:spacing w:after="0"/>
        <w:jc w:val="both"/>
        <w:rPr>
          <w:rFonts w:ascii="Arial" w:hAnsi="Arial" w:cs="Arial"/>
        </w:rPr>
      </w:pPr>
    </w:p>
    <w:p w14:paraId="4ED3772E" w14:textId="3D827333" w:rsidR="007F4DD1" w:rsidRPr="00A840BC" w:rsidRDefault="007F4DD1" w:rsidP="002E3784">
      <w:pPr>
        <w:pStyle w:val="AbstHead"/>
        <w:spacing w:after="0"/>
        <w:jc w:val="both"/>
        <w:rPr>
          <w:rFonts w:ascii="Arial" w:hAnsi="Arial" w:cs="Arial"/>
        </w:rPr>
      </w:pPr>
      <w:r w:rsidRPr="00A840BC">
        <w:rPr>
          <w:rFonts w:ascii="Arial" w:hAnsi="Arial" w:cs="Arial"/>
        </w:rPr>
        <w:t>3. methodology</w:t>
      </w:r>
    </w:p>
    <w:p w14:paraId="1318DDBC" w14:textId="2295E334" w:rsidR="00932AB9" w:rsidRPr="00A840BC" w:rsidRDefault="00A42DAC" w:rsidP="00A42DAC">
      <w:pPr>
        <w:pStyle w:val="AbstHead"/>
        <w:tabs>
          <w:tab w:val="left" w:pos="7377"/>
        </w:tabs>
        <w:spacing w:after="0"/>
        <w:jc w:val="both"/>
        <w:rPr>
          <w:rFonts w:ascii="Arial" w:hAnsi="Arial" w:cs="Arial"/>
        </w:rPr>
      </w:pPr>
      <w:r w:rsidRPr="00A840BC">
        <w:rPr>
          <w:rFonts w:ascii="Arial" w:hAnsi="Arial" w:cs="Arial"/>
        </w:rPr>
        <w:tab/>
      </w:r>
    </w:p>
    <w:p w14:paraId="3DF67B59" w14:textId="65882251" w:rsidR="00CC6D37" w:rsidRPr="00A840BC" w:rsidRDefault="007F4DD1" w:rsidP="002E3784">
      <w:pPr>
        <w:pStyle w:val="Body"/>
        <w:spacing w:after="0"/>
        <w:rPr>
          <w:rFonts w:ascii="Arial" w:hAnsi="Arial" w:cs="Arial"/>
          <w:b/>
          <w:sz w:val="22"/>
        </w:rPr>
      </w:pPr>
      <w:r w:rsidRPr="00A840BC">
        <w:rPr>
          <w:rFonts w:ascii="Arial" w:hAnsi="Arial" w:cs="Arial"/>
          <w:b/>
          <w:caps/>
          <w:sz w:val="22"/>
        </w:rPr>
        <w:t>3</w:t>
      </w:r>
      <w:r w:rsidR="00AA74E0" w:rsidRPr="00A840BC">
        <w:rPr>
          <w:rFonts w:ascii="Arial" w:hAnsi="Arial" w:cs="Arial"/>
          <w:b/>
          <w:caps/>
          <w:sz w:val="22"/>
        </w:rPr>
        <w:t xml:space="preserve">.1 </w:t>
      </w:r>
      <w:r w:rsidR="00642B55" w:rsidRPr="00A840BC">
        <w:rPr>
          <w:rFonts w:ascii="Arial" w:hAnsi="Arial" w:cs="Arial"/>
          <w:b/>
          <w:sz w:val="22"/>
        </w:rPr>
        <w:t xml:space="preserve">Research Design and Data </w:t>
      </w:r>
    </w:p>
    <w:p w14:paraId="74DB863D" w14:textId="77777777" w:rsidR="004549E2" w:rsidRPr="00A840BC" w:rsidRDefault="004549E2" w:rsidP="002E3784">
      <w:pPr>
        <w:pStyle w:val="Body"/>
        <w:spacing w:after="0"/>
        <w:rPr>
          <w:rFonts w:ascii="Arial" w:hAnsi="Arial" w:cs="Arial"/>
          <w:b/>
          <w:sz w:val="22"/>
        </w:rPr>
      </w:pPr>
    </w:p>
    <w:p w14:paraId="329B48D0" w14:textId="36ABA238" w:rsidR="00CC6D37" w:rsidRPr="00A840BC" w:rsidRDefault="00CC6D37" w:rsidP="002E3784">
      <w:pPr>
        <w:pStyle w:val="Body"/>
        <w:rPr>
          <w:rFonts w:ascii="Arial" w:hAnsi="Arial" w:cs="Arial"/>
          <w:color w:val="000000" w:themeColor="text1"/>
        </w:rPr>
      </w:pPr>
      <w:r w:rsidRPr="00A840BC">
        <w:rPr>
          <w:rFonts w:ascii="Arial" w:hAnsi="Arial" w:cs="Arial"/>
          <w:color w:val="000000" w:themeColor="text1"/>
        </w:rPr>
        <w:t>This research utilizes a quantitative approach with a focus on explanation. The study is conducted in East Java Province, which was selected for its substantial impact on the MSME</w:t>
      </w:r>
      <w:r w:rsidR="00992E42" w:rsidRPr="00A840BC">
        <w:rPr>
          <w:rFonts w:ascii="Arial" w:hAnsi="Arial" w:cs="Arial"/>
          <w:color w:val="000000" w:themeColor="text1"/>
        </w:rPr>
        <w:t>s</w:t>
      </w:r>
      <w:r w:rsidRPr="00A840BC">
        <w:rPr>
          <w:rFonts w:ascii="Arial" w:hAnsi="Arial" w:cs="Arial"/>
          <w:color w:val="000000" w:themeColor="text1"/>
        </w:rPr>
        <w:t xml:space="preserve"> sector in Indonesia, boasting over 9.7 million enterprises. The target population includes Gen Z individuals involved in MSMEs. Given that the population size is vast, the sample size was determined using the Cochran formula, yielding a minimum of 385 participants. </w:t>
      </w:r>
    </w:p>
    <w:p w14:paraId="73626597" w14:textId="0F30A67D" w:rsidR="00AA74E0" w:rsidRPr="00A840BC" w:rsidRDefault="00CC6D37" w:rsidP="002E3784">
      <w:pPr>
        <w:pStyle w:val="Body"/>
        <w:spacing w:after="0"/>
        <w:rPr>
          <w:rFonts w:ascii="Arial" w:hAnsi="Arial" w:cs="Arial"/>
        </w:rPr>
      </w:pPr>
      <w:r w:rsidRPr="00A840BC">
        <w:rPr>
          <w:rFonts w:ascii="Arial" w:hAnsi="Arial" w:cs="Arial"/>
          <w:color w:val="000000" w:themeColor="text1"/>
        </w:rPr>
        <w:t>The method of sampling applied was Purposive Sampling, adhering to these criteria for inclusion:</w:t>
      </w:r>
      <w:r w:rsidR="00837E23" w:rsidRPr="00A840BC">
        <w:rPr>
          <w:rFonts w:ascii="Arial" w:hAnsi="Arial" w:cs="Arial"/>
          <w:color w:val="000000" w:themeColor="text1"/>
        </w:rPr>
        <w:t xml:space="preserve"> </w:t>
      </w:r>
      <w:r w:rsidRPr="00A840BC">
        <w:rPr>
          <w:rFonts w:ascii="Arial" w:hAnsi="Arial" w:cs="Arial"/>
          <w:color w:val="000000" w:themeColor="text1"/>
        </w:rPr>
        <w:t>Individuals aged 18 to 28 years (Gen Z)</w:t>
      </w:r>
      <w:r w:rsidR="00837E23" w:rsidRPr="00A840BC">
        <w:rPr>
          <w:rFonts w:ascii="Arial" w:hAnsi="Arial" w:cs="Arial"/>
          <w:color w:val="000000" w:themeColor="text1"/>
        </w:rPr>
        <w:t>,</w:t>
      </w:r>
      <w:r w:rsidRPr="00A840BC">
        <w:rPr>
          <w:rFonts w:ascii="Arial" w:hAnsi="Arial" w:cs="Arial"/>
          <w:color w:val="000000" w:themeColor="text1"/>
        </w:rPr>
        <w:t xml:space="preserve"> Residing in East Java</w:t>
      </w:r>
      <w:r w:rsidR="00837E23" w:rsidRPr="00A840BC">
        <w:rPr>
          <w:rFonts w:ascii="Arial" w:hAnsi="Arial" w:cs="Arial"/>
          <w:color w:val="000000" w:themeColor="text1"/>
        </w:rPr>
        <w:t xml:space="preserve">, </w:t>
      </w:r>
      <w:r w:rsidRPr="00A840BC">
        <w:rPr>
          <w:rFonts w:ascii="Arial" w:hAnsi="Arial" w:cs="Arial"/>
          <w:color w:val="000000" w:themeColor="text1"/>
        </w:rPr>
        <w:t>Engaging with digital financial services (such as e-wallets, mobile banking, QRIS, etc.).</w:t>
      </w:r>
      <w:r w:rsidR="00CC33EC" w:rsidRPr="00A840BC">
        <w:rPr>
          <w:rFonts w:ascii="Arial" w:hAnsi="Arial" w:cs="Arial"/>
        </w:rPr>
        <w:tab/>
      </w:r>
      <w:r w:rsidR="00CC33EC" w:rsidRPr="00A840BC">
        <w:rPr>
          <w:rFonts w:ascii="Arial" w:hAnsi="Arial" w:cs="Arial"/>
        </w:rPr>
        <w:tab/>
      </w:r>
    </w:p>
    <w:p w14:paraId="20E0488B" w14:textId="18BEF8E6" w:rsidR="00505F06" w:rsidRPr="00A840BC" w:rsidRDefault="00201DC8" w:rsidP="002E3784">
      <w:pPr>
        <w:pStyle w:val="Body"/>
        <w:spacing w:after="0"/>
        <w:rPr>
          <w:rFonts w:ascii="Arial" w:hAnsi="Arial" w:cs="Arial"/>
        </w:rPr>
      </w:pPr>
      <w:r w:rsidRPr="00A840BC">
        <w:rPr>
          <w:rFonts w:ascii="Arial" w:hAnsi="Arial" w:cs="Arial"/>
        </w:rPr>
        <w:t xml:space="preserve"> </w:t>
      </w:r>
    </w:p>
    <w:p w14:paraId="211E4DB8" w14:textId="499FBE9C" w:rsidR="00F53510" w:rsidRPr="00A840BC" w:rsidRDefault="00CA5BB4" w:rsidP="002E3784">
      <w:pPr>
        <w:pStyle w:val="Body"/>
        <w:spacing w:after="0"/>
        <w:rPr>
          <w:rFonts w:ascii="Arial" w:hAnsi="Arial" w:cs="Arial"/>
          <w:b/>
          <w:sz w:val="22"/>
        </w:rPr>
      </w:pPr>
      <w:r w:rsidRPr="00A840BC">
        <w:rPr>
          <w:rFonts w:ascii="Arial" w:hAnsi="Arial" w:cs="Arial"/>
          <w:b/>
          <w:caps/>
          <w:sz w:val="22"/>
        </w:rPr>
        <w:t>3</w:t>
      </w:r>
      <w:r w:rsidR="004B33A0" w:rsidRPr="00A840BC">
        <w:rPr>
          <w:rFonts w:ascii="Arial" w:hAnsi="Arial" w:cs="Arial"/>
          <w:b/>
          <w:caps/>
          <w:sz w:val="22"/>
        </w:rPr>
        <w:t>.</w:t>
      </w:r>
      <w:r w:rsidR="00BF0F70" w:rsidRPr="00A840BC">
        <w:rPr>
          <w:rFonts w:ascii="Arial" w:hAnsi="Arial" w:cs="Arial"/>
          <w:b/>
          <w:caps/>
          <w:sz w:val="22"/>
        </w:rPr>
        <w:t>2</w:t>
      </w:r>
      <w:r w:rsidR="004B33A0" w:rsidRPr="00A840BC">
        <w:rPr>
          <w:rFonts w:ascii="Arial" w:hAnsi="Arial" w:cs="Arial"/>
          <w:b/>
          <w:caps/>
          <w:sz w:val="22"/>
        </w:rPr>
        <w:t xml:space="preserve"> </w:t>
      </w:r>
      <w:r w:rsidR="00F53510" w:rsidRPr="00A840BC">
        <w:rPr>
          <w:rFonts w:ascii="Arial" w:hAnsi="Arial" w:cs="Arial"/>
          <w:b/>
          <w:sz w:val="22"/>
        </w:rPr>
        <w:t xml:space="preserve">Operational Definition of Variables </w:t>
      </w:r>
    </w:p>
    <w:p w14:paraId="6ED83F30" w14:textId="77777777" w:rsidR="002246FC" w:rsidRPr="00A840BC" w:rsidRDefault="002246FC" w:rsidP="002E3784">
      <w:pPr>
        <w:pStyle w:val="Body"/>
        <w:spacing w:after="0"/>
        <w:rPr>
          <w:rFonts w:ascii="Arial" w:hAnsi="Arial" w:cs="Arial"/>
          <w:b/>
          <w:sz w:val="22"/>
        </w:rPr>
      </w:pPr>
    </w:p>
    <w:p w14:paraId="2255F6FF" w14:textId="7E31F2D6" w:rsidR="00527547" w:rsidRPr="00A840BC" w:rsidRDefault="00527547" w:rsidP="002E3784">
      <w:pPr>
        <w:pStyle w:val="Body"/>
        <w:spacing w:after="0"/>
        <w:rPr>
          <w:rFonts w:ascii="Arial" w:hAnsi="Arial" w:cs="Arial"/>
        </w:rPr>
      </w:pPr>
      <w:r w:rsidRPr="00A840BC">
        <w:rPr>
          <w:rFonts w:ascii="Arial" w:hAnsi="Arial" w:cs="Arial"/>
        </w:rPr>
        <w:t xml:space="preserve">To simplify the measurement process and confirm the reliability of the tool, precise operational definitions were established for all </w:t>
      </w:r>
      <w:r w:rsidR="00485E56" w:rsidRPr="00A840BC">
        <w:rPr>
          <w:rFonts w:ascii="Arial" w:hAnsi="Arial" w:cs="Arial"/>
        </w:rPr>
        <w:t xml:space="preserve">latent variables </w:t>
      </w:r>
      <w:r w:rsidRPr="00A840BC">
        <w:rPr>
          <w:rFonts w:ascii="Arial" w:hAnsi="Arial" w:cs="Arial"/>
        </w:rPr>
        <w:t xml:space="preserve">employed in this study. The following Table </w:t>
      </w:r>
      <w:r w:rsidR="000258B9" w:rsidRPr="00A840BC">
        <w:rPr>
          <w:rFonts w:ascii="Arial" w:hAnsi="Arial" w:cs="Arial"/>
        </w:rPr>
        <w:t>1</w:t>
      </w:r>
      <w:r w:rsidRPr="00A840BC">
        <w:rPr>
          <w:rFonts w:ascii="Arial" w:hAnsi="Arial" w:cs="Arial"/>
        </w:rPr>
        <w:t xml:space="preserve"> presents a summary of these operational definitions, detailing the </w:t>
      </w:r>
      <w:r w:rsidR="00F527E7" w:rsidRPr="00A840BC">
        <w:rPr>
          <w:rFonts w:ascii="Arial" w:hAnsi="Arial" w:cs="Arial"/>
        </w:rPr>
        <w:t>indicators</w:t>
      </w:r>
      <w:r w:rsidRPr="00A840BC">
        <w:rPr>
          <w:rFonts w:ascii="Arial" w:hAnsi="Arial" w:cs="Arial"/>
        </w:rPr>
        <w:t xml:space="preserve"> for Government </w:t>
      </w:r>
      <w:r w:rsidRPr="00A840BC">
        <w:rPr>
          <w:rFonts w:ascii="Arial" w:hAnsi="Arial" w:cs="Arial"/>
        </w:rPr>
        <w:lastRenderedPageBreak/>
        <w:t>Policy, Digital Financial Literacy, and Digital Financial Inclusion, as well as their measurement scales and sources of reference.</w:t>
      </w:r>
    </w:p>
    <w:p w14:paraId="6040E077" w14:textId="77777777" w:rsidR="000258B9" w:rsidRPr="00A840BC" w:rsidRDefault="000258B9" w:rsidP="002E3784">
      <w:pPr>
        <w:pStyle w:val="Body"/>
        <w:spacing w:after="0"/>
        <w:rPr>
          <w:rFonts w:ascii="Arial" w:hAnsi="Arial" w:cs="Arial"/>
          <w:b/>
          <w:sz w:val="22"/>
        </w:rPr>
      </w:pPr>
    </w:p>
    <w:p w14:paraId="08884F8A" w14:textId="584506E2" w:rsidR="0002682A" w:rsidRPr="00A840BC" w:rsidRDefault="0002682A" w:rsidP="002E3784">
      <w:pPr>
        <w:pStyle w:val="Body"/>
        <w:spacing w:after="0"/>
        <w:jc w:val="center"/>
        <w:rPr>
          <w:rFonts w:ascii="Arial" w:hAnsi="Arial" w:cs="Arial"/>
          <w:b/>
          <w:color w:val="000000" w:themeColor="text1"/>
          <w:szCs w:val="16"/>
        </w:rPr>
      </w:pPr>
      <w:r w:rsidRPr="00A840BC">
        <w:rPr>
          <w:rFonts w:ascii="Arial" w:hAnsi="Arial" w:cs="Arial"/>
          <w:b/>
          <w:color w:val="000000" w:themeColor="text1"/>
          <w:szCs w:val="16"/>
        </w:rPr>
        <w:t>Table 1.</w:t>
      </w:r>
      <w:r w:rsidRPr="00A840BC">
        <w:rPr>
          <w:rFonts w:ascii="Arial" w:hAnsi="Arial" w:cs="Arial"/>
          <w:color w:val="000000" w:themeColor="text1"/>
          <w:sz w:val="16"/>
          <w:szCs w:val="16"/>
        </w:rPr>
        <w:t xml:space="preserve"> </w:t>
      </w:r>
      <w:r w:rsidRPr="00A840BC">
        <w:rPr>
          <w:rFonts w:ascii="Arial" w:hAnsi="Arial" w:cs="Arial"/>
          <w:b/>
          <w:color w:val="000000" w:themeColor="text1"/>
          <w:szCs w:val="16"/>
        </w:rPr>
        <w:t>Operational Definition of Variables</w:t>
      </w:r>
      <w:r w:rsidR="00CA5BB4" w:rsidRPr="00A840BC">
        <w:rPr>
          <w:rFonts w:ascii="Arial" w:hAnsi="Arial" w:cs="Arial"/>
          <w:b/>
          <w:color w:val="000000" w:themeColor="text1"/>
          <w:szCs w:val="16"/>
        </w:rPr>
        <w:t xml:space="preserve"> </w:t>
      </w:r>
    </w:p>
    <w:p w14:paraId="4FD836E7" w14:textId="77777777" w:rsidR="00F527E7" w:rsidRPr="00A840BC" w:rsidRDefault="00F527E7" w:rsidP="002E3784">
      <w:pPr>
        <w:pStyle w:val="Body"/>
        <w:spacing w:after="0"/>
        <w:jc w:val="center"/>
        <w:rPr>
          <w:rFonts w:ascii="Arial" w:hAnsi="Arial" w:cs="Arial"/>
          <w:b/>
          <w:color w:val="000000" w:themeColor="text1"/>
          <w:szCs w:val="16"/>
        </w:rPr>
      </w:pPr>
    </w:p>
    <w:tbl>
      <w:tblPr>
        <w:tblStyle w:val="TableGridLight"/>
        <w:tblW w:w="8876" w:type="dxa"/>
        <w:jc w:val="center"/>
        <w:tblLook w:val="04A0" w:firstRow="1" w:lastRow="0" w:firstColumn="1" w:lastColumn="0" w:noHBand="0" w:noVBand="1"/>
      </w:tblPr>
      <w:tblGrid>
        <w:gridCol w:w="1094"/>
        <w:gridCol w:w="3753"/>
        <w:gridCol w:w="1953"/>
        <w:gridCol w:w="9"/>
        <w:gridCol w:w="2067"/>
      </w:tblGrid>
      <w:tr w:rsidR="00886ED1" w:rsidRPr="00A840BC" w14:paraId="3AADBB58" w14:textId="77777777" w:rsidTr="00DD7654">
        <w:trPr>
          <w:trHeight w:val="320"/>
          <w:jc w:val="center"/>
        </w:trPr>
        <w:tc>
          <w:tcPr>
            <w:tcW w:w="1094" w:type="dxa"/>
            <w:noWrap/>
            <w:vAlign w:val="center"/>
            <w:hideMark/>
          </w:tcPr>
          <w:p w14:paraId="6DAB6550" w14:textId="2E25409A" w:rsidR="00062DA9" w:rsidRPr="00A840BC" w:rsidRDefault="00E74BF7" w:rsidP="002E3784">
            <w:pPr>
              <w:jc w:val="center"/>
              <w:rPr>
                <w:rFonts w:ascii="Arial" w:hAnsi="Arial" w:cs="Arial"/>
                <w:b/>
                <w:bCs/>
                <w:color w:val="000000"/>
                <w:lang w:val="en-ID"/>
              </w:rPr>
            </w:pPr>
            <w:r w:rsidRPr="00A840BC">
              <w:rPr>
                <w:rFonts w:ascii="Arial" w:hAnsi="Arial" w:cs="Arial"/>
                <w:b/>
                <w:bCs/>
                <w:color w:val="000000"/>
                <w:lang w:val="en-ID"/>
              </w:rPr>
              <w:t>No</w:t>
            </w:r>
          </w:p>
        </w:tc>
        <w:tc>
          <w:tcPr>
            <w:tcW w:w="3753" w:type="dxa"/>
            <w:noWrap/>
            <w:vAlign w:val="center"/>
            <w:hideMark/>
          </w:tcPr>
          <w:p w14:paraId="635A9BFB" w14:textId="77777777" w:rsidR="00062DA9" w:rsidRPr="00A840BC" w:rsidRDefault="00062DA9" w:rsidP="002E3784">
            <w:pPr>
              <w:jc w:val="center"/>
              <w:rPr>
                <w:rFonts w:ascii="Arial" w:hAnsi="Arial" w:cs="Arial"/>
                <w:b/>
                <w:bCs/>
                <w:color w:val="000000"/>
                <w:lang w:val="en-ID"/>
              </w:rPr>
            </w:pPr>
            <w:r w:rsidRPr="00A840BC">
              <w:rPr>
                <w:rFonts w:ascii="Arial" w:hAnsi="Arial" w:cs="Arial"/>
                <w:b/>
                <w:bCs/>
                <w:color w:val="000000"/>
                <w:lang w:val="en-ID"/>
              </w:rPr>
              <w:t>Question</w:t>
            </w:r>
          </w:p>
        </w:tc>
        <w:tc>
          <w:tcPr>
            <w:tcW w:w="1962" w:type="dxa"/>
            <w:gridSpan w:val="2"/>
            <w:noWrap/>
            <w:vAlign w:val="center"/>
            <w:hideMark/>
          </w:tcPr>
          <w:p w14:paraId="261ED802" w14:textId="6F95D777" w:rsidR="00062DA9" w:rsidRPr="00A840BC" w:rsidRDefault="00886ED1" w:rsidP="002E3784">
            <w:pPr>
              <w:jc w:val="center"/>
              <w:rPr>
                <w:rFonts w:ascii="Arial" w:hAnsi="Arial" w:cs="Arial"/>
                <w:b/>
                <w:bCs/>
                <w:color w:val="000000"/>
                <w:lang w:val="en-ID"/>
              </w:rPr>
            </w:pPr>
            <w:r w:rsidRPr="00A840BC">
              <w:rPr>
                <w:rFonts w:ascii="Arial" w:hAnsi="Arial" w:cs="Arial"/>
                <w:b/>
                <w:bCs/>
                <w:color w:val="000000"/>
                <w:lang w:val="en-ID"/>
              </w:rPr>
              <w:t>O</w:t>
            </w:r>
            <w:r w:rsidR="00062DA9" w:rsidRPr="00A840BC">
              <w:rPr>
                <w:rFonts w:ascii="Arial" w:hAnsi="Arial" w:cs="Arial"/>
                <w:b/>
                <w:bCs/>
                <w:color w:val="000000"/>
                <w:lang w:val="en-ID"/>
              </w:rPr>
              <w:t>perationalization</w:t>
            </w:r>
          </w:p>
        </w:tc>
        <w:tc>
          <w:tcPr>
            <w:tcW w:w="2067" w:type="dxa"/>
            <w:noWrap/>
            <w:vAlign w:val="center"/>
            <w:hideMark/>
          </w:tcPr>
          <w:p w14:paraId="085186D1" w14:textId="151895C9" w:rsidR="00062DA9" w:rsidRPr="00A840BC" w:rsidRDefault="003053FD" w:rsidP="002E3784">
            <w:pPr>
              <w:jc w:val="center"/>
              <w:rPr>
                <w:rFonts w:ascii="Arial" w:hAnsi="Arial" w:cs="Arial"/>
                <w:b/>
                <w:bCs/>
                <w:color w:val="000000"/>
                <w:lang w:val="en-ID"/>
              </w:rPr>
            </w:pPr>
            <w:r w:rsidRPr="00A840BC">
              <w:rPr>
                <w:rFonts w:ascii="Arial" w:hAnsi="Arial" w:cs="Arial"/>
                <w:b/>
                <w:bCs/>
                <w:color w:val="000000"/>
                <w:lang w:val="en-ID"/>
              </w:rPr>
              <w:t>S</w:t>
            </w:r>
            <w:r w:rsidR="00062DA9" w:rsidRPr="00A840BC">
              <w:rPr>
                <w:rFonts w:ascii="Arial" w:hAnsi="Arial" w:cs="Arial"/>
                <w:b/>
                <w:bCs/>
                <w:color w:val="000000"/>
                <w:lang w:val="en-ID"/>
              </w:rPr>
              <w:t>ource</w:t>
            </w:r>
          </w:p>
        </w:tc>
      </w:tr>
      <w:tr w:rsidR="00E35EA2" w:rsidRPr="00A840BC" w14:paraId="724B63E6" w14:textId="77777777" w:rsidTr="00944EBA">
        <w:trPr>
          <w:trHeight w:val="320"/>
          <w:jc w:val="center"/>
        </w:trPr>
        <w:tc>
          <w:tcPr>
            <w:tcW w:w="6800" w:type="dxa"/>
            <w:gridSpan w:val="3"/>
            <w:noWrap/>
            <w:vAlign w:val="center"/>
            <w:hideMark/>
          </w:tcPr>
          <w:p w14:paraId="2BAA4C28" w14:textId="69C2CE2B" w:rsidR="00E35EA2" w:rsidRPr="00A840BC" w:rsidRDefault="00E35EA2" w:rsidP="002E3784">
            <w:pPr>
              <w:rPr>
                <w:rFonts w:ascii="Arial" w:hAnsi="Arial" w:cs="Arial"/>
                <w:color w:val="000000"/>
                <w:lang w:val="en-ID"/>
              </w:rPr>
            </w:pPr>
            <w:r w:rsidRPr="00A840BC">
              <w:rPr>
                <w:rFonts w:ascii="Arial" w:hAnsi="Arial" w:cs="Arial"/>
                <w:b/>
                <w:bCs/>
                <w:color w:val="000000"/>
                <w:lang w:val="en-ID"/>
              </w:rPr>
              <w:t>Variable X1: Government Policy</w:t>
            </w:r>
          </w:p>
        </w:tc>
        <w:tc>
          <w:tcPr>
            <w:tcW w:w="2076" w:type="dxa"/>
            <w:gridSpan w:val="2"/>
            <w:vMerge w:val="restart"/>
            <w:noWrap/>
            <w:vAlign w:val="center"/>
            <w:hideMark/>
          </w:tcPr>
          <w:p w14:paraId="38332FEF" w14:textId="77777777" w:rsidR="00E35EA2" w:rsidRPr="00A840BC" w:rsidRDefault="00E35EA2" w:rsidP="002E3784">
            <w:pPr>
              <w:jc w:val="center"/>
              <w:rPr>
                <w:rFonts w:ascii="Arial" w:hAnsi="Arial" w:cs="Arial"/>
                <w:color w:val="000000"/>
                <w:lang w:val="en-ID"/>
              </w:rPr>
            </w:pPr>
          </w:p>
          <w:p w14:paraId="796FF128" w14:textId="4DC2F8C3" w:rsidR="00E35EA2" w:rsidRPr="00A840BC" w:rsidRDefault="00E35EA2" w:rsidP="002E3784">
            <w:pPr>
              <w:jc w:val="center"/>
              <w:rPr>
                <w:rFonts w:ascii="Arial" w:hAnsi="Arial" w:cs="Arial"/>
                <w:color w:val="000000"/>
                <w:lang w:val="en-ID"/>
              </w:rPr>
            </w:pPr>
            <w:r w:rsidRPr="00A840BC">
              <w:rPr>
                <w:rFonts w:ascii="Arial" w:hAnsi="Arial" w:cs="Arial"/>
                <w:color w:val="000000"/>
                <w:lang w:val="en-ID"/>
              </w:rPr>
              <w:fldChar w:fldCharType="begin" w:fldLock="1"/>
            </w:r>
            <w:r w:rsidR="00CC4F27" w:rsidRPr="00A840BC">
              <w:rPr>
                <w:rFonts w:ascii="Arial" w:hAnsi="Arial" w:cs="Arial"/>
                <w:color w:val="000000"/>
                <w:lang w:val="en-ID"/>
              </w:rPr>
              <w:instrText xml:space="preserve"> ADDIN ZOTERO_ITEM CSL_CITATION {"citationID":"kq2jCoar","properties":{"formattedCitation":"(Otoritas Jasa Keuangan, 2017; Remi Aiyede &amp; Muganda, 2022)","plainCitation":"(Otoritas Jasa Keuangan, 2017; Remi Aiyede &amp; Muganda, 2022)","noteIndex":0},"citationItems":[{"id":"A3GAWW6d/1XmTVB87","uris":["http://www.mendeley.com/documents/?uuid=0bd411b6-2cb2-49f4-9cc2-d197df52339d"],"itemData":{"ISBN":"9781119130536","ISSN":"1098-6596","PMID":"25246403","abstract":"Predicting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approach.","author":[{"dropping-particle":"","family":"Otoritas Jasa Keuangan","given":"","non-dropping-particle":"","parse-names":false,"suffix":""}],"container-title":"Otoritas Jasa Keuangan (OJK)","id":"ITEM-1","issued":{"date-parts":[["2017"]]},"number-of-pages":"9-25","title":"Surat Edaran Otoritas Jasa Keuangan Nomor 31 /Seojk.07/2017 Tentang Pelaksanaan Kegiatan Dalam Rangka Meningkatkan Inklusi Keuangan Di Sektor Jasa Keuangan","type":"report"}},{"id":"A3GAWW6d/AtkhUTWo","uris":["http://www.mendeley.com/documents/?uuid=aaf8b6a7-03bd-30ee-a8bf-4554a17127f7"],"itemData":{"DOI":"10.1007/978-3-030-99724-3","ISBN":"9783030997243","abstract":"This open access book responds to the need for a specifically African focus on public policy. It outlines the fundamental principles of public policy research, and engages with major issues in the study of public policy from an African perspective, covering essential topics such as the location and centrality of social sciences in relation to public policy, leadership, methodology, institutions, governance, and gender. This book is essential for understanding the various aspects and dimensions of policy making in Africa that underscore quality research and are at the core of excellence in teaching and learning.","author":[{"dropping-particle":"","family":"Remi Aiyede","given":"E.","non-dropping-particle":"","parse-names":false,"suffix":""},{"dropping-particle":"","family":"Muganda","given":"Beatrice","non-dropping-particle":"","parse-names":false,"suffix":""}],"container-title":"Public Policy and Research in Africa","id":"ITEM-2","issued":{"date-parts":[["2022","1","1"]]},"number-of-pages":"1-278","publisher":"Springer International Publishing","title":"Public Policy and Research in Africa","type":"book"}}],"schema":"https://github.com/citation-style-language/schema/raw/master/csl-citation.json"} </w:instrText>
            </w:r>
            <w:r w:rsidRPr="00A840BC">
              <w:rPr>
                <w:rFonts w:ascii="Arial" w:hAnsi="Arial" w:cs="Arial"/>
                <w:color w:val="000000"/>
                <w:lang w:val="en-ID"/>
              </w:rPr>
              <w:fldChar w:fldCharType="separate"/>
            </w:r>
            <w:r w:rsidR="00CC4F27" w:rsidRPr="00A840BC">
              <w:rPr>
                <w:rFonts w:ascii="Arial" w:hAnsi="Arial" w:cs="Arial"/>
                <w:noProof/>
                <w:color w:val="000000"/>
                <w:lang w:val="en-ID"/>
              </w:rPr>
              <w:t>(Otoritas Jasa Keuangan, 2017; Remi Aiyede &amp; Muganda, 2022)</w:t>
            </w:r>
            <w:r w:rsidRPr="00A840BC">
              <w:rPr>
                <w:rFonts w:ascii="Arial" w:hAnsi="Arial" w:cs="Arial"/>
                <w:color w:val="000000"/>
                <w:lang w:val="en-ID"/>
              </w:rPr>
              <w:fldChar w:fldCharType="end"/>
            </w:r>
          </w:p>
          <w:p w14:paraId="3F386A1B" w14:textId="77777777" w:rsidR="00E35EA2" w:rsidRPr="00A840BC" w:rsidRDefault="00E35EA2" w:rsidP="002E3784">
            <w:pPr>
              <w:jc w:val="center"/>
              <w:rPr>
                <w:rFonts w:ascii="Arial" w:hAnsi="Arial" w:cs="Arial"/>
                <w:color w:val="000000"/>
                <w:lang w:val="en-ID"/>
              </w:rPr>
            </w:pPr>
          </w:p>
        </w:tc>
      </w:tr>
      <w:tr w:rsidR="00886ED1" w:rsidRPr="00A840BC" w14:paraId="0223C05E" w14:textId="77777777" w:rsidTr="00DD7654">
        <w:trPr>
          <w:trHeight w:val="320"/>
          <w:jc w:val="center"/>
        </w:trPr>
        <w:tc>
          <w:tcPr>
            <w:tcW w:w="1094" w:type="dxa"/>
            <w:noWrap/>
            <w:vAlign w:val="center"/>
            <w:hideMark/>
          </w:tcPr>
          <w:p w14:paraId="51446371" w14:textId="77777777" w:rsidR="00062DA9" w:rsidRPr="00A840BC" w:rsidRDefault="00062DA9" w:rsidP="002E3784">
            <w:pPr>
              <w:jc w:val="center"/>
              <w:rPr>
                <w:rFonts w:ascii="Arial" w:hAnsi="Arial" w:cs="Arial"/>
                <w:color w:val="000000"/>
                <w:lang w:val="en-ID"/>
              </w:rPr>
            </w:pPr>
            <w:r w:rsidRPr="00A840BC">
              <w:rPr>
                <w:rFonts w:ascii="Arial" w:hAnsi="Arial" w:cs="Arial"/>
                <w:color w:val="000000"/>
                <w:lang w:val="en-ID"/>
              </w:rPr>
              <w:t>X1</w:t>
            </w:r>
          </w:p>
        </w:tc>
        <w:tc>
          <w:tcPr>
            <w:tcW w:w="3753" w:type="dxa"/>
            <w:noWrap/>
            <w:vAlign w:val="center"/>
            <w:hideMark/>
          </w:tcPr>
          <w:p w14:paraId="47A7CDAD" w14:textId="77777777" w:rsidR="00062DA9" w:rsidRPr="00A840BC" w:rsidRDefault="00062DA9" w:rsidP="002E3784">
            <w:pPr>
              <w:jc w:val="center"/>
              <w:rPr>
                <w:rFonts w:ascii="Arial" w:hAnsi="Arial" w:cs="Arial"/>
                <w:color w:val="000000"/>
                <w:lang w:val="en-ID"/>
              </w:rPr>
            </w:pPr>
            <w:r w:rsidRPr="00A840BC">
              <w:rPr>
                <w:rFonts w:ascii="Arial" w:hAnsi="Arial" w:cs="Arial"/>
                <w:color w:val="000000"/>
                <w:lang w:val="en-ID"/>
              </w:rPr>
              <w:t>Government policies facilitate easy access to digital financial services.</w:t>
            </w:r>
          </w:p>
        </w:tc>
        <w:tc>
          <w:tcPr>
            <w:tcW w:w="1953" w:type="dxa"/>
            <w:noWrap/>
            <w:vAlign w:val="center"/>
            <w:hideMark/>
          </w:tcPr>
          <w:p w14:paraId="0B8A47B5" w14:textId="77777777" w:rsidR="00062DA9" w:rsidRPr="00A840BC" w:rsidRDefault="00062DA9" w:rsidP="002E3784">
            <w:pPr>
              <w:jc w:val="center"/>
              <w:rPr>
                <w:rFonts w:ascii="Arial" w:hAnsi="Arial" w:cs="Arial"/>
                <w:color w:val="000000"/>
                <w:lang w:val="en-ID"/>
              </w:rPr>
            </w:pPr>
            <w:r w:rsidRPr="00A840BC">
              <w:rPr>
                <w:rFonts w:ascii="Arial" w:hAnsi="Arial" w:cs="Arial"/>
                <w:color w:val="000000"/>
                <w:lang w:val="en-ID"/>
              </w:rPr>
              <w:t>1 = Strongly Disagree</w:t>
            </w:r>
          </w:p>
        </w:tc>
        <w:tc>
          <w:tcPr>
            <w:tcW w:w="2076" w:type="dxa"/>
            <w:gridSpan w:val="2"/>
            <w:vMerge/>
            <w:vAlign w:val="center"/>
            <w:hideMark/>
          </w:tcPr>
          <w:p w14:paraId="52EDA6C5" w14:textId="77777777" w:rsidR="00062DA9" w:rsidRPr="00A840BC" w:rsidRDefault="00062DA9" w:rsidP="002E3784">
            <w:pPr>
              <w:jc w:val="center"/>
              <w:rPr>
                <w:rFonts w:ascii="Arial" w:hAnsi="Arial" w:cs="Arial"/>
                <w:color w:val="000000"/>
                <w:lang w:val="en-ID"/>
              </w:rPr>
            </w:pPr>
          </w:p>
        </w:tc>
      </w:tr>
      <w:tr w:rsidR="00886ED1" w:rsidRPr="00A840BC" w14:paraId="1BECFA0D" w14:textId="77777777" w:rsidTr="00DD7654">
        <w:trPr>
          <w:trHeight w:val="320"/>
          <w:jc w:val="center"/>
        </w:trPr>
        <w:tc>
          <w:tcPr>
            <w:tcW w:w="1094" w:type="dxa"/>
            <w:noWrap/>
            <w:vAlign w:val="center"/>
            <w:hideMark/>
          </w:tcPr>
          <w:p w14:paraId="30977FBC" w14:textId="77777777" w:rsidR="00062DA9" w:rsidRPr="00A840BC" w:rsidRDefault="00062DA9" w:rsidP="002E3784">
            <w:pPr>
              <w:jc w:val="center"/>
              <w:rPr>
                <w:rFonts w:ascii="Arial" w:hAnsi="Arial" w:cs="Arial"/>
                <w:color w:val="000000"/>
                <w:lang w:val="en-ID"/>
              </w:rPr>
            </w:pPr>
            <w:r w:rsidRPr="00A840BC">
              <w:rPr>
                <w:rFonts w:ascii="Arial" w:hAnsi="Arial" w:cs="Arial"/>
                <w:color w:val="000000"/>
                <w:lang w:val="en-ID"/>
              </w:rPr>
              <w:t>X1.2</w:t>
            </w:r>
          </w:p>
        </w:tc>
        <w:tc>
          <w:tcPr>
            <w:tcW w:w="3753" w:type="dxa"/>
            <w:noWrap/>
            <w:vAlign w:val="center"/>
            <w:hideMark/>
          </w:tcPr>
          <w:p w14:paraId="3F0C21DF" w14:textId="77777777" w:rsidR="00062DA9" w:rsidRPr="00A840BC" w:rsidRDefault="00062DA9" w:rsidP="002E3784">
            <w:pPr>
              <w:jc w:val="center"/>
              <w:rPr>
                <w:rFonts w:ascii="Arial" w:hAnsi="Arial" w:cs="Arial"/>
                <w:color w:val="000000"/>
                <w:lang w:val="en-ID"/>
              </w:rPr>
            </w:pPr>
            <w:r w:rsidRPr="00A840BC">
              <w:rPr>
                <w:rFonts w:ascii="Arial" w:hAnsi="Arial" w:cs="Arial"/>
                <w:color w:val="000000"/>
                <w:lang w:val="en-ID"/>
              </w:rPr>
              <w:t>Government digital financial literacy and education programs assist me in understanding digital financial products.</w:t>
            </w:r>
          </w:p>
        </w:tc>
        <w:tc>
          <w:tcPr>
            <w:tcW w:w="1953" w:type="dxa"/>
            <w:noWrap/>
            <w:vAlign w:val="center"/>
            <w:hideMark/>
          </w:tcPr>
          <w:p w14:paraId="4F7C38EF" w14:textId="77777777" w:rsidR="00062DA9" w:rsidRPr="00A840BC" w:rsidRDefault="00062DA9" w:rsidP="002E3784">
            <w:pPr>
              <w:jc w:val="center"/>
              <w:rPr>
                <w:rFonts w:ascii="Arial" w:hAnsi="Arial" w:cs="Arial"/>
                <w:color w:val="000000"/>
                <w:lang w:val="en-ID"/>
              </w:rPr>
            </w:pPr>
            <w:r w:rsidRPr="00A840BC">
              <w:rPr>
                <w:rFonts w:ascii="Arial" w:hAnsi="Arial" w:cs="Arial"/>
                <w:color w:val="000000"/>
                <w:lang w:val="en-ID"/>
              </w:rPr>
              <w:t>2 = Disagree</w:t>
            </w:r>
          </w:p>
        </w:tc>
        <w:tc>
          <w:tcPr>
            <w:tcW w:w="2076" w:type="dxa"/>
            <w:gridSpan w:val="2"/>
            <w:vMerge/>
            <w:vAlign w:val="center"/>
            <w:hideMark/>
          </w:tcPr>
          <w:p w14:paraId="6BA10941" w14:textId="77777777" w:rsidR="00062DA9" w:rsidRPr="00A840BC" w:rsidRDefault="00062DA9" w:rsidP="002E3784">
            <w:pPr>
              <w:jc w:val="center"/>
              <w:rPr>
                <w:rFonts w:ascii="Arial" w:hAnsi="Arial" w:cs="Arial"/>
                <w:color w:val="000000"/>
                <w:lang w:val="en-ID"/>
              </w:rPr>
            </w:pPr>
          </w:p>
        </w:tc>
      </w:tr>
      <w:tr w:rsidR="00886ED1" w:rsidRPr="00A840BC" w14:paraId="2A2A7871" w14:textId="77777777" w:rsidTr="00DD7654">
        <w:trPr>
          <w:trHeight w:val="320"/>
          <w:jc w:val="center"/>
        </w:trPr>
        <w:tc>
          <w:tcPr>
            <w:tcW w:w="1094" w:type="dxa"/>
            <w:noWrap/>
            <w:vAlign w:val="center"/>
            <w:hideMark/>
          </w:tcPr>
          <w:p w14:paraId="6D418CBA" w14:textId="77777777" w:rsidR="00062DA9" w:rsidRPr="00A840BC" w:rsidRDefault="00062DA9" w:rsidP="002E3784">
            <w:pPr>
              <w:jc w:val="center"/>
              <w:rPr>
                <w:rFonts w:ascii="Arial" w:hAnsi="Arial" w:cs="Arial"/>
                <w:color w:val="000000"/>
                <w:lang w:val="en-ID"/>
              </w:rPr>
            </w:pPr>
            <w:r w:rsidRPr="00A840BC">
              <w:rPr>
                <w:rFonts w:ascii="Arial" w:hAnsi="Arial" w:cs="Arial"/>
                <w:color w:val="000000"/>
                <w:lang w:val="en-ID"/>
              </w:rPr>
              <w:t>X1.3</w:t>
            </w:r>
          </w:p>
        </w:tc>
        <w:tc>
          <w:tcPr>
            <w:tcW w:w="3753" w:type="dxa"/>
            <w:noWrap/>
            <w:vAlign w:val="center"/>
            <w:hideMark/>
          </w:tcPr>
          <w:p w14:paraId="06C0AAC5" w14:textId="77777777" w:rsidR="00062DA9" w:rsidRPr="00A840BC" w:rsidRDefault="00062DA9" w:rsidP="002E3784">
            <w:pPr>
              <w:jc w:val="center"/>
              <w:rPr>
                <w:rFonts w:ascii="Arial" w:hAnsi="Arial" w:cs="Arial"/>
                <w:color w:val="000000"/>
                <w:lang w:val="en-ID"/>
              </w:rPr>
            </w:pPr>
            <w:r w:rsidRPr="00A840BC">
              <w:rPr>
                <w:rFonts w:ascii="Arial" w:hAnsi="Arial" w:cs="Arial"/>
                <w:color w:val="000000"/>
                <w:lang w:val="en-ID"/>
              </w:rPr>
              <w:t>Internet facilities and digital networks in my region adequately support the usage of digital financial services.</w:t>
            </w:r>
          </w:p>
        </w:tc>
        <w:tc>
          <w:tcPr>
            <w:tcW w:w="1953" w:type="dxa"/>
            <w:noWrap/>
            <w:vAlign w:val="center"/>
            <w:hideMark/>
          </w:tcPr>
          <w:p w14:paraId="2863E9F6" w14:textId="77777777" w:rsidR="00062DA9" w:rsidRPr="00A840BC" w:rsidRDefault="00062DA9" w:rsidP="002E3784">
            <w:pPr>
              <w:jc w:val="center"/>
              <w:rPr>
                <w:rFonts w:ascii="Arial" w:hAnsi="Arial" w:cs="Arial"/>
                <w:color w:val="000000"/>
                <w:lang w:val="en-ID"/>
              </w:rPr>
            </w:pPr>
            <w:r w:rsidRPr="00A840BC">
              <w:rPr>
                <w:rFonts w:ascii="Arial" w:hAnsi="Arial" w:cs="Arial"/>
                <w:color w:val="000000"/>
                <w:lang w:val="en-ID"/>
              </w:rPr>
              <w:t>3 = Neutral</w:t>
            </w:r>
          </w:p>
        </w:tc>
        <w:tc>
          <w:tcPr>
            <w:tcW w:w="2076" w:type="dxa"/>
            <w:gridSpan w:val="2"/>
            <w:vMerge/>
            <w:vAlign w:val="center"/>
            <w:hideMark/>
          </w:tcPr>
          <w:p w14:paraId="1C134428" w14:textId="77777777" w:rsidR="00062DA9" w:rsidRPr="00A840BC" w:rsidRDefault="00062DA9" w:rsidP="002E3784">
            <w:pPr>
              <w:jc w:val="center"/>
              <w:rPr>
                <w:rFonts w:ascii="Arial" w:hAnsi="Arial" w:cs="Arial"/>
                <w:color w:val="000000"/>
                <w:lang w:val="en-ID"/>
              </w:rPr>
            </w:pPr>
          </w:p>
        </w:tc>
      </w:tr>
      <w:tr w:rsidR="00886ED1" w:rsidRPr="00A840BC" w14:paraId="732627D6" w14:textId="77777777" w:rsidTr="00DD7654">
        <w:trPr>
          <w:trHeight w:val="320"/>
          <w:jc w:val="center"/>
        </w:trPr>
        <w:tc>
          <w:tcPr>
            <w:tcW w:w="1094" w:type="dxa"/>
            <w:noWrap/>
            <w:vAlign w:val="center"/>
            <w:hideMark/>
          </w:tcPr>
          <w:p w14:paraId="3A5B4C96" w14:textId="77777777" w:rsidR="00062DA9" w:rsidRPr="00A840BC" w:rsidRDefault="00062DA9" w:rsidP="002E3784">
            <w:pPr>
              <w:jc w:val="center"/>
              <w:rPr>
                <w:rFonts w:ascii="Arial" w:hAnsi="Arial" w:cs="Arial"/>
                <w:color w:val="000000"/>
                <w:lang w:val="en-ID"/>
              </w:rPr>
            </w:pPr>
            <w:r w:rsidRPr="00A840BC">
              <w:rPr>
                <w:rFonts w:ascii="Arial" w:hAnsi="Arial" w:cs="Arial"/>
                <w:color w:val="000000"/>
                <w:lang w:val="en-ID"/>
              </w:rPr>
              <w:t>X1.4</w:t>
            </w:r>
          </w:p>
        </w:tc>
        <w:tc>
          <w:tcPr>
            <w:tcW w:w="3753" w:type="dxa"/>
            <w:noWrap/>
            <w:vAlign w:val="center"/>
            <w:hideMark/>
          </w:tcPr>
          <w:p w14:paraId="5B95DF8C" w14:textId="77777777" w:rsidR="00062DA9" w:rsidRPr="00A840BC" w:rsidRDefault="00062DA9" w:rsidP="002E3784">
            <w:pPr>
              <w:jc w:val="center"/>
              <w:rPr>
                <w:rFonts w:ascii="Arial" w:hAnsi="Arial" w:cs="Arial"/>
                <w:color w:val="000000"/>
                <w:lang w:val="en-ID"/>
              </w:rPr>
            </w:pPr>
            <w:r w:rsidRPr="00A840BC">
              <w:rPr>
                <w:rFonts w:ascii="Arial" w:hAnsi="Arial" w:cs="Arial"/>
                <w:color w:val="000000"/>
                <w:lang w:val="en-ID"/>
              </w:rPr>
              <w:t>I feel secure using digital financial services due to the existence of government protection.</w:t>
            </w:r>
          </w:p>
        </w:tc>
        <w:tc>
          <w:tcPr>
            <w:tcW w:w="1953" w:type="dxa"/>
            <w:noWrap/>
            <w:vAlign w:val="center"/>
            <w:hideMark/>
          </w:tcPr>
          <w:p w14:paraId="1FADDB86" w14:textId="77777777" w:rsidR="00062DA9" w:rsidRPr="00A840BC" w:rsidRDefault="00062DA9" w:rsidP="002E3784">
            <w:pPr>
              <w:jc w:val="center"/>
              <w:rPr>
                <w:rFonts w:ascii="Arial" w:hAnsi="Arial" w:cs="Arial"/>
                <w:color w:val="000000"/>
                <w:lang w:val="en-ID"/>
              </w:rPr>
            </w:pPr>
            <w:r w:rsidRPr="00A840BC">
              <w:rPr>
                <w:rFonts w:ascii="Arial" w:hAnsi="Arial" w:cs="Arial"/>
                <w:color w:val="000000"/>
                <w:lang w:val="en-ID"/>
              </w:rPr>
              <w:t>4 = Agree</w:t>
            </w:r>
          </w:p>
        </w:tc>
        <w:tc>
          <w:tcPr>
            <w:tcW w:w="2076" w:type="dxa"/>
            <w:gridSpan w:val="2"/>
            <w:vMerge/>
            <w:vAlign w:val="center"/>
            <w:hideMark/>
          </w:tcPr>
          <w:p w14:paraId="6BCB591A" w14:textId="77777777" w:rsidR="00062DA9" w:rsidRPr="00A840BC" w:rsidRDefault="00062DA9" w:rsidP="002E3784">
            <w:pPr>
              <w:jc w:val="center"/>
              <w:rPr>
                <w:rFonts w:ascii="Arial" w:hAnsi="Arial" w:cs="Arial"/>
                <w:color w:val="000000"/>
                <w:lang w:val="en-ID"/>
              </w:rPr>
            </w:pPr>
          </w:p>
        </w:tc>
      </w:tr>
      <w:tr w:rsidR="00886ED1" w:rsidRPr="00A840BC" w14:paraId="14AEDF60" w14:textId="77777777" w:rsidTr="00DD7654">
        <w:trPr>
          <w:trHeight w:val="320"/>
          <w:jc w:val="center"/>
        </w:trPr>
        <w:tc>
          <w:tcPr>
            <w:tcW w:w="1094" w:type="dxa"/>
            <w:noWrap/>
            <w:vAlign w:val="center"/>
            <w:hideMark/>
          </w:tcPr>
          <w:p w14:paraId="19D34471" w14:textId="77777777" w:rsidR="00062DA9" w:rsidRPr="00A840BC" w:rsidRDefault="00062DA9" w:rsidP="002E3784">
            <w:pPr>
              <w:jc w:val="center"/>
              <w:rPr>
                <w:rFonts w:ascii="Arial" w:hAnsi="Arial" w:cs="Arial"/>
                <w:color w:val="000000"/>
                <w:lang w:val="en-ID"/>
              </w:rPr>
            </w:pPr>
            <w:r w:rsidRPr="00A840BC">
              <w:rPr>
                <w:rFonts w:ascii="Arial" w:hAnsi="Arial" w:cs="Arial"/>
                <w:color w:val="000000"/>
                <w:lang w:val="en-ID"/>
              </w:rPr>
              <w:t>X1.5</w:t>
            </w:r>
          </w:p>
        </w:tc>
        <w:tc>
          <w:tcPr>
            <w:tcW w:w="3753" w:type="dxa"/>
            <w:noWrap/>
            <w:vAlign w:val="center"/>
            <w:hideMark/>
          </w:tcPr>
          <w:p w14:paraId="58F554BA" w14:textId="77777777" w:rsidR="00062DA9" w:rsidRPr="00A840BC" w:rsidRDefault="00062DA9" w:rsidP="002E3784">
            <w:pPr>
              <w:jc w:val="center"/>
              <w:rPr>
                <w:rFonts w:ascii="Arial" w:hAnsi="Arial" w:cs="Arial"/>
                <w:color w:val="000000"/>
                <w:lang w:val="en-ID"/>
              </w:rPr>
            </w:pPr>
            <w:r w:rsidRPr="00A840BC">
              <w:rPr>
                <w:rFonts w:ascii="Arial" w:hAnsi="Arial" w:cs="Arial"/>
                <w:color w:val="000000"/>
                <w:lang w:val="en-ID"/>
              </w:rPr>
              <w:t>Government policies encourage an increase in digital transactions within my business operations.</w:t>
            </w:r>
          </w:p>
        </w:tc>
        <w:tc>
          <w:tcPr>
            <w:tcW w:w="1953" w:type="dxa"/>
            <w:noWrap/>
            <w:vAlign w:val="center"/>
            <w:hideMark/>
          </w:tcPr>
          <w:p w14:paraId="56C04DD1" w14:textId="77777777" w:rsidR="00062DA9" w:rsidRPr="00A840BC" w:rsidRDefault="00062DA9" w:rsidP="002E3784">
            <w:pPr>
              <w:jc w:val="center"/>
              <w:rPr>
                <w:rFonts w:ascii="Arial" w:hAnsi="Arial" w:cs="Arial"/>
                <w:color w:val="000000"/>
                <w:lang w:val="en-ID"/>
              </w:rPr>
            </w:pPr>
            <w:r w:rsidRPr="00A840BC">
              <w:rPr>
                <w:rFonts w:ascii="Arial" w:hAnsi="Arial" w:cs="Arial"/>
                <w:color w:val="000000"/>
                <w:lang w:val="en-ID"/>
              </w:rPr>
              <w:t>5 = Strongly Agree</w:t>
            </w:r>
          </w:p>
        </w:tc>
        <w:tc>
          <w:tcPr>
            <w:tcW w:w="2076" w:type="dxa"/>
            <w:gridSpan w:val="2"/>
            <w:vMerge/>
            <w:vAlign w:val="center"/>
            <w:hideMark/>
          </w:tcPr>
          <w:p w14:paraId="2A763A7F" w14:textId="77777777" w:rsidR="00062DA9" w:rsidRPr="00A840BC" w:rsidRDefault="00062DA9" w:rsidP="002E3784">
            <w:pPr>
              <w:jc w:val="center"/>
              <w:rPr>
                <w:rFonts w:ascii="Arial" w:hAnsi="Arial" w:cs="Arial"/>
                <w:color w:val="000000"/>
                <w:lang w:val="en-ID"/>
              </w:rPr>
            </w:pPr>
          </w:p>
        </w:tc>
      </w:tr>
      <w:tr w:rsidR="00E35EA2" w:rsidRPr="00A840BC" w14:paraId="34CBB954" w14:textId="77777777" w:rsidTr="00944EBA">
        <w:trPr>
          <w:trHeight w:val="320"/>
          <w:jc w:val="center"/>
        </w:trPr>
        <w:tc>
          <w:tcPr>
            <w:tcW w:w="6800" w:type="dxa"/>
            <w:gridSpan w:val="3"/>
            <w:noWrap/>
            <w:vAlign w:val="center"/>
            <w:hideMark/>
          </w:tcPr>
          <w:p w14:paraId="3133EE3B" w14:textId="6226E774" w:rsidR="00E35EA2" w:rsidRPr="00A840BC" w:rsidRDefault="00E35EA2" w:rsidP="002E3784">
            <w:pPr>
              <w:rPr>
                <w:rFonts w:ascii="Arial" w:hAnsi="Arial" w:cs="Arial"/>
                <w:color w:val="000000"/>
                <w:lang w:val="en-ID"/>
              </w:rPr>
            </w:pPr>
            <w:r w:rsidRPr="00A840BC">
              <w:rPr>
                <w:rFonts w:ascii="Arial" w:hAnsi="Arial" w:cs="Arial"/>
                <w:b/>
                <w:bCs/>
                <w:color w:val="000000"/>
                <w:lang w:val="en-ID"/>
              </w:rPr>
              <w:t>Variable X2: Digital Financial Literacy</w:t>
            </w:r>
          </w:p>
        </w:tc>
        <w:tc>
          <w:tcPr>
            <w:tcW w:w="2076" w:type="dxa"/>
            <w:gridSpan w:val="2"/>
            <w:noWrap/>
            <w:vAlign w:val="center"/>
            <w:hideMark/>
          </w:tcPr>
          <w:p w14:paraId="304727B9" w14:textId="77777777" w:rsidR="00E35EA2" w:rsidRPr="00A840BC" w:rsidRDefault="00E35EA2" w:rsidP="002E3784">
            <w:pPr>
              <w:jc w:val="center"/>
              <w:rPr>
                <w:rFonts w:ascii="Arial" w:hAnsi="Arial" w:cs="Arial"/>
                <w:lang w:val="en-ID"/>
              </w:rPr>
            </w:pPr>
          </w:p>
        </w:tc>
      </w:tr>
      <w:tr w:rsidR="0069748A" w:rsidRPr="00A840BC" w14:paraId="44893F02" w14:textId="77777777" w:rsidTr="00DD7654">
        <w:trPr>
          <w:trHeight w:val="143"/>
          <w:jc w:val="center"/>
        </w:trPr>
        <w:tc>
          <w:tcPr>
            <w:tcW w:w="1094" w:type="dxa"/>
            <w:noWrap/>
            <w:vAlign w:val="center"/>
            <w:hideMark/>
          </w:tcPr>
          <w:p w14:paraId="06918C2F" w14:textId="645D517C" w:rsidR="0069748A" w:rsidRPr="00A840BC" w:rsidRDefault="0069748A" w:rsidP="002E3784">
            <w:pPr>
              <w:jc w:val="center"/>
              <w:rPr>
                <w:rFonts w:ascii="Arial" w:hAnsi="Arial" w:cs="Arial"/>
                <w:color w:val="EE0000"/>
                <w:lang w:val="en-ID"/>
              </w:rPr>
            </w:pPr>
            <w:r w:rsidRPr="00A840BC">
              <w:rPr>
                <w:rFonts w:ascii="Arial" w:hAnsi="Arial" w:cs="Arial"/>
                <w:color w:val="000000"/>
                <w:lang w:val="en-ID"/>
              </w:rPr>
              <w:t>X2</w:t>
            </w:r>
          </w:p>
        </w:tc>
        <w:tc>
          <w:tcPr>
            <w:tcW w:w="3753" w:type="dxa"/>
            <w:noWrap/>
            <w:vAlign w:val="center"/>
          </w:tcPr>
          <w:p w14:paraId="18BB9130" w14:textId="6B0BE89F" w:rsidR="0069748A" w:rsidRPr="00A840BC" w:rsidRDefault="0069748A" w:rsidP="002E3784">
            <w:pPr>
              <w:jc w:val="center"/>
              <w:rPr>
                <w:rFonts w:ascii="Arial" w:hAnsi="Arial" w:cs="Arial"/>
                <w:color w:val="EE0000"/>
                <w:lang w:val="en-ID"/>
              </w:rPr>
            </w:pPr>
            <w:r w:rsidRPr="00A840BC">
              <w:rPr>
                <w:rFonts w:ascii="Arial" w:hAnsi="Arial" w:cs="Arial"/>
                <w:color w:val="000000"/>
                <w:lang w:val="en-ID"/>
              </w:rPr>
              <w:t>I understand various types of digital financial products, such as e-wallets, mobile banking, and fintech.</w:t>
            </w:r>
          </w:p>
        </w:tc>
        <w:tc>
          <w:tcPr>
            <w:tcW w:w="1953" w:type="dxa"/>
            <w:noWrap/>
            <w:vAlign w:val="center"/>
            <w:hideMark/>
          </w:tcPr>
          <w:p w14:paraId="6EBD950F" w14:textId="1490E2FA" w:rsidR="0069748A" w:rsidRPr="00A840BC" w:rsidRDefault="0069748A" w:rsidP="002E3784">
            <w:pPr>
              <w:jc w:val="center"/>
              <w:rPr>
                <w:rFonts w:ascii="Arial" w:hAnsi="Arial" w:cs="Arial"/>
                <w:lang w:val="en-ID"/>
              </w:rPr>
            </w:pPr>
            <w:r w:rsidRPr="00A840BC">
              <w:rPr>
                <w:rFonts w:ascii="Arial" w:hAnsi="Arial" w:cs="Arial"/>
                <w:color w:val="000000"/>
                <w:lang w:val="en-ID"/>
              </w:rPr>
              <w:t>1 = Strongly Disagree</w:t>
            </w:r>
          </w:p>
        </w:tc>
        <w:tc>
          <w:tcPr>
            <w:tcW w:w="2076" w:type="dxa"/>
            <w:gridSpan w:val="2"/>
            <w:vMerge w:val="restart"/>
            <w:noWrap/>
            <w:vAlign w:val="center"/>
            <w:hideMark/>
          </w:tcPr>
          <w:p w14:paraId="01849246" w14:textId="77777777" w:rsidR="00E35EA2" w:rsidRPr="00A840BC" w:rsidRDefault="00E35EA2" w:rsidP="002E3784">
            <w:pPr>
              <w:jc w:val="center"/>
              <w:rPr>
                <w:rFonts w:ascii="Arial" w:hAnsi="Arial" w:cs="Arial"/>
                <w:color w:val="000000"/>
                <w:lang w:val="en-ID"/>
              </w:rPr>
            </w:pPr>
          </w:p>
          <w:p w14:paraId="7A0C4A3F" w14:textId="1E486D58" w:rsidR="00E35EA2" w:rsidRPr="00A840BC" w:rsidRDefault="00E35EA2" w:rsidP="002E3784">
            <w:pPr>
              <w:jc w:val="center"/>
              <w:rPr>
                <w:rFonts w:ascii="Arial" w:hAnsi="Arial" w:cs="Arial"/>
                <w:color w:val="000000"/>
                <w:lang w:val="en-ID"/>
              </w:rPr>
            </w:pPr>
            <w:r w:rsidRPr="00A840BC">
              <w:rPr>
                <w:rFonts w:ascii="Arial" w:hAnsi="Arial" w:cs="Arial"/>
                <w:color w:val="000000"/>
                <w:lang w:val="en-ID"/>
              </w:rPr>
              <w:fldChar w:fldCharType="begin" w:fldLock="1"/>
            </w:r>
            <w:r w:rsidR="00CC4F27" w:rsidRPr="00A840BC">
              <w:rPr>
                <w:rFonts w:ascii="Arial" w:hAnsi="Arial" w:cs="Arial"/>
                <w:color w:val="000000"/>
                <w:lang w:val="en-ID"/>
              </w:rPr>
              <w:instrText xml:space="preserve"> ADDIN ZOTERO_ITEM CSL_CITATION {"citationID":"u4ENF6qY","properties":{"formattedCitation":"(Lusardi &amp; Mitchell, 2014; OECD, 2020; OJK, 2021)","plainCitation":"(Lusardi &amp; Mitchell, 2014; OECD, 2020; OJK, 2021)","noteIndex":0},"citationItems":[{"id":"A3GAWW6d/MfJlgHJj","uris":["http://www.mendeley.com/documents/?uuid=177f9b6d-58f8-3548-b842-78f7f3e9733d"],"itemData":{"DOI":"https://doi.org/10.1787/145f5607-en.","author":[{"dropping-particle":"","family":"OECD","given":"","non-dropping-particle":"","parse-names":false,"suffix":""}],"id":"ITEM-1","issued":{"date-parts":[["2020"]]},"publisher-place":"Paris","title":"OECD/INFE 2020 International Survey of Adult Financial Literacy","type":"report"}},{"id":"A3GAWW6d/hyodR3B4","uris":["http://www.mendeley.com/documents/?uuid=b3298655-f6bd-36ec-acab-49c1c3c6dbe9"],"itemData":{"author":[{"dropping-particle":"","family":"OJK","given":"","non-dropping-particle":"","parse-names":false,"suffix":""}],"id":"ITEM-2","issued":{"date-parts":[["2021","11","11"]]},"page":"1-5","publisher-place":"Jakarta","title":"Inilah Kebijakan Ojk Dorong Digitalisasi Di Sektor Keuangan","translator":[{"dropping-particle":"","family":"25","given":"","non-dropping-particle":"","parse-names":false,"suffix":""}],"type":"article-newspaper"}},{"id":"A3GAWW6d/YMOBZPms","uris":["http://www.mendeley.com/documents/?uuid=7550ae50-27bb-35a7-9453-2b788d2606d3"],"itemData":{"DOI":"10.1257/jel.52.1.5","ISSN":"00220515","PMID":"28579637","abstract":"This paper undertakes an assessment of a rapidly growing body of economic research on financial literacy. We start with an overview of theoretical research, which casts financial knowledge as a form of investment in human capital. Endogenizing financial knowledge has important implications for welfare, as well as policies intended to enhance levels of financial knowledge in the larger population. Next, we draw on recent surveys to establish how much (or how little) people know and identify the least financially savvy population subgroups. This is followed by an examination of the impact of financial literacy on economic decision making in the United States and elsewhere. While the literature is still young, conclusions may be drawn about the effects and consequences of financial illiteracy and what works to remedy these gaps. A final section offers thoughts on what remains to be learned if researchers are to better inform theoretical and empirical models as well as public policy.","author":[{"dropping-particle":"","family":"Lusardi","given":"Annamaria","non-dropping-particle":"","parse-names":false,"suffix":""},{"dropping-particle":"","family":"Mitchell","given":"Olivia S.","non-dropping-particle":"","parse-names":false,"suffix":""}],"container-title":"Journal of Economic Literature","id":"ITEM-3","issue":"1","issued":{"date-parts":[["2014"]]},"page":"5-44","publisher":"American Economic Association","title":"The economic importance of financial literacy: Theory and evidence","type":"article-journal","volume":"52"}}],"schema":"https://github.com/citation-style-language/schema/raw/master/csl-citation.json"} </w:instrText>
            </w:r>
            <w:r w:rsidRPr="00A840BC">
              <w:rPr>
                <w:rFonts w:ascii="Arial" w:hAnsi="Arial" w:cs="Arial"/>
                <w:color w:val="000000"/>
                <w:lang w:val="en-ID"/>
              </w:rPr>
              <w:fldChar w:fldCharType="separate"/>
            </w:r>
            <w:r w:rsidR="00CC4F27" w:rsidRPr="00A840BC">
              <w:rPr>
                <w:rFonts w:ascii="Arial" w:hAnsi="Arial" w:cs="Arial"/>
                <w:noProof/>
                <w:color w:val="000000"/>
                <w:lang w:val="en-ID"/>
              </w:rPr>
              <w:t>(Lusardi &amp; Mitchell, 2014; OECD, 2020; OJK, 2021)</w:t>
            </w:r>
            <w:r w:rsidRPr="00A840BC">
              <w:rPr>
                <w:rFonts w:ascii="Arial" w:hAnsi="Arial" w:cs="Arial"/>
                <w:color w:val="000000"/>
                <w:lang w:val="en-ID"/>
              </w:rPr>
              <w:fldChar w:fldCharType="end"/>
            </w:r>
          </w:p>
        </w:tc>
      </w:tr>
      <w:tr w:rsidR="0069748A" w:rsidRPr="00A840BC" w14:paraId="35B791BE" w14:textId="77777777" w:rsidTr="00DD7654">
        <w:trPr>
          <w:trHeight w:val="320"/>
          <w:jc w:val="center"/>
        </w:trPr>
        <w:tc>
          <w:tcPr>
            <w:tcW w:w="1094" w:type="dxa"/>
            <w:noWrap/>
            <w:vAlign w:val="center"/>
            <w:hideMark/>
          </w:tcPr>
          <w:p w14:paraId="60430DC3" w14:textId="5B9A1A84" w:rsidR="0069748A" w:rsidRPr="00A840BC" w:rsidRDefault="0069748A" w:rsidP="002E3784">
            <w:pPr>
              <w:jc w:val="center"/>
              <w:rPr>
                <w:rFonts w:ascii="Arial" w:hAnsi="Arial" w:cs="Arial"/>
                <w:color w:val="000000"/>
                <w:lang w:val="en-ID"/>
              </w:rPr>
            </w:pPr>
            <w:r w:rsidRPr="00A840BC">
              <w:rPr>
                <w:rFonts w:ascii="Arial" w:hAnsi="Arial" w:cs="Arial"/>
                <w:color w:val="000000"/>
                <w:lang w:val="en-ID"/>
              </w:rPr>
              <w:t>X2.2</w:t>
            </w:r>
          </w:p>
        </w:tc>
        <w:tc>
          <w:tcPr>
            <w:tcW w:w="3753" w:type="dxa"/>
            <w:noWrap/>
            <w:vAlign w:val="center"/>
            <w:hideMark/>
          </w:tcPr>
          <w:p w14:paraId="0773CA1C" w14:textId="672A2CC0" w:rsidR="0069748A" w:rsidRPr="00A840BC" w:rsidRDefault="0069748A" w:rsidP="002E3784">
            <w:pPr>
              <w:jc w:val="center"/>
              <w:rPr>
                <w:rFonts w:ascii="Arial" w:hAnsi="Arial" w:cs="Arial"/>
                <w:color w:val="000000"/>
                <w:lang w:val="en-ID"/>
              </w:rPr>
            </w:pPr>
            <w:r w:rsidRPr="00A840BC">
              <w:rPr>
                <w:rFonts w:ascii="Arial" w:hAnsi="Arial" w:cs="Arial"/>
                <w:color w:val="000000"/>
                <w:lang w:val="en-ID"/>
              </w:rPr>
              <w:t>I am able to utilize digital financial features (transfers, QRIS, transaction reports) with ease.</w:t>
            </w:r>
          </w:p>
        </w:tc>
        <w:tc>
          <w:tcPr>
            <w:tcW w:w="1953" w:type="dxa"/>
            <w:noWrap/>
            <w:vAlign w:val="center"/>
            <w:hideMark/>
          </w:tcPr>
          <w:p w14:paraId="001D469A" w14:textId="2BB28C0E" w:rsidR="0069748A" w:rsidRPr="00A840BC" w:rsidRDefault="0069748A" w:rsidP="002E3784">
            <w:pPr>
              <w:jc w:val="center"/>
              <w:rPr>
                <w:rFonts w:ascii="Arial" w:hAnsi="Arial" w:cs="Arial"/>
                <w:color w:val="000000"/>
                <w:lang w:val="en-ID"/>
              </w:rPr>
            </w:pPr>
            <w:r w:rsidRPr="00A840BC">
              <w:rPr>
                <w:rFonts w:ascii="Arial" w:hAnsi="Arial" w:cs="Arial"/>
                <w:color w:val="000000"/>
                <w:lang w:val="en-ID"/>
              </w:rPr>
              <w:t>2 = Disagree</w:t>
            </w:r>
          </w:p>
        </w:tc>
        <w:tc>
          <w:tcPr>
            <w:tcW w:w="2076" w:type="dxa"/>
            <w:gridSpan w:val="2"/>
            <w:vMerge/>
            <w:vAlign w:val="center"/>
            <w:hideMark/>
          </w:tcPr>
          <w:p w14:paraId="7E2A3EC9" w14:textId="77777777" w:rsidR="0069748A" w:rsidRPr="00A840BC" w:rsidRDefault="0069748A" w:rsidP="002E3784">
            <w:pPr>
              <w:jc w:val="center"/>
              <w:rPr>
                <w:rFonts w:ascii="Arial" w:hAnsi="Arial" w:cs="Arial"/>
                <w:color w:val="000000"/>
                <w:lang w:val="en-ID"/>
              </w:rPr>
            </w:pPr>
          </w:p>
        </w:tc>
      </w:tr>
      <w:tr w:rsidR="0069748A" w:rsidRPr="00A840BC" w14:paraId="259B6273" w14:textId="77777777" w:rsidTr="00DD7654">
        <w:trPr>
          <w:trHeight w:val="320"/>
          <w:jc w:val="center"/>
        </w:trPr>
        <w:tc>
          <w:tcPr>
            <w:tcW w:w="1094" w:type="dxa"/>
            <w:noWrap/>
            <w:vAlign w:val="center"/>
            <w:hideMark/>
          </w:tcPr>
          <w:p w14:paraId="5E5EFD50" w14:textId="1F5A8BAC" w:rsidR="0069748A" w:rsidRPr="00A840BC" w:rsidRDefault="0069748A" w:rsidP="002E3784">
            <w:pPr>
              <w:jc w:val="center"/>
              <w:rPr>
                <w:rFonts w:ascii="Arial" w:hAnsi="Arial" w:cs="Arial"/>
                <w:color w:val="000000"/>
                <w:lang w:val="en-ID"/>
              </w:rPr>
            </w:pPr>
            <w:r w:rsidRPr="00A840BC">
              <w:rPr>
                <w:rFonts w:ascii="Arial" w:hAnsi="Arial" w:cs="Arial"/>
                <w:color w:val="000000"/>
                <w:lang w:val="en-ID"/>
              </w:rPr>
              <w:t>X2.3</w:t>
            </w:r>
          </w:p>
        </w:tc>
        <w:tc>
          <w:tcPr>
            <w:tcW w:w="3753" w:type="dxa"/>
            <w:noWrap/>
            <w:vAlign w:val="center"/>
            <w:hideMark/>
          </w:tcPr>
          <w:p w14:paraId="7D28D75A" w14:textId="5EA32FD1" w:rsidR="0069748A" w:rsidRPr="00A840BC" w:rsidRDefault="0069748A" w:rsidP="002E3784">
            <w:pPr>
              <w:jc w:val="center"/>
              <w:rPr>
                <w:rFonts w:ascii="Arial" w:hAnsi="Arial" w:cs="Arial"/>
                <w:color w:val="000000"/>
                <w:lang w:val="en-ID"/>
              </w:rPr>
            </w:pPr>
            <w:r w:rsidRPr="00A840BC">
              <w:rPr>
                <w:rFonts w:ascii="Arial" w:hAnsi="Arial" w:cs="Arial"/>
                <w:color w:val="000000"/>
                <w:lang w:val="en-ID"/>
              </w:rPr>
              <w:t>I understand the importance of verifying the legality of financial applications prior to use.</w:t>
            </w:r>
          </w:p>
        </w:tc>
        <w:tc>
          <w:tcPr>
            <w:tcW w:w="1953" w:type="dxa"/>
            <w:noWrap/>
            <w:vAlign w:val="center"/>
            <w:hideMark/>
          </w:tcPr>
          <w:p w14:paraId="22DA8A1D" w14:textId="3A6CBEE9" w:rsidR="0069748A" w:rsidRPr="00A840BC" w:rsidRDefault="0069748A" w:rsidP="002E3784">
            <w:pPr>
              <w:jc w:val="center"/>
              <w:rPr>
                <w:rFonts w:ascii="Arial" w:hAnsi="Arial" w:cs="Arial"/>
                <w:color w:val="000000"/>
                <w:lang w:val="en-ID"/>
              </w:rPr>
            </w:pPr>
            <w:r w:rsidRPr="00A840BC">
              <w:rPr>
                <w:rFonts w:ascii="Arial" w:hAnsi="Arial" w:cs="Arial"/>
                <w:color w:val="000000"/>
                <w:lang w:val="en-ID"/>
              </w:rPr>
              <w:t>3 = Neutral</w:t>
            </w:r>
          </w:p>
        </w:tc>
        <w:tc>
          <w:tcPr>
            <w:tcW w:w="2076" w:type="dxa"/>
            <w:gridSpan w:val="2"/>
            <w:vMerge/>
            <w:vAlign w:val="center"/>
            <w:hideMark/>
          </w:tcPr>
          <w:p w14:paraId="34F13C19" w14:textId="77777777" w:rsidR="0069748A" w:rsidRPr="00A840BC" w:rsidRDefault="0069748A" w:rsidP="002E3784">
            <w:pPr>
              <w:jc w:val="center"/>
              <w:rPr>
                <w:rFonts w:ascii="Arial" w:hAnsi="Arial" w:cs="Arial"/>
                <w:color w:val="000000"/>
                <w:lang w:val="en-ID"/>
              </w:rPr>
            </w:pPr>
          </w:p>
        </w:tc>
      </w:tr>
      <w:tr w:rsidR="0069748A" w:rsidRPr="00A840BC" w14:paraId="7B8F1393" w14:textId="77777777" w:rsidTr="00DD7654">
        <w:trPr>
          <w:trHeight w:val="320"/>
          <w:jc w:val="center"/>
        </w:trPr>
        <w:tc>
          <w:tcPr>
            <w:tcW w:w="1094" w:type="dxa"/>
            <w:noWrap/>
            <w:vAlign w:val="center"/>
            <w:hideMark/>
          </w:tcPr>
          <w:p w14:paraId="551CA7AC" w14:textId="621CEEDB" w:rsidR="0069748A" w:rsidRPr="00A840BC" w:rsidRDefault="0069748A" w:rsidP="002E3784">
            <w:pPr>
              <w:jc w:val="center"/>
              <w:rPr>
                <w:rFonts w:ascii="Arial" w:hAnsi="Arial" w:cs="Arial"/>
                <w:color w:val="000000"/>
                <w:lang w:val="en-ID"/>
              </w:rPr>
            </w:pPr>
            <w:r w:rsidRPr="00A840BC">
              <w:rPr>
                <w:rFonts w:ascii="Arial" w:hAnsi="Arial" w:cs="Arial"/>
                <w:color w:val="000000"/>
                <w:lang w:val="en-ID"/>
              </w:rPr>
              <w:t>X2.4</w:t>
            </w:r>
          </w:p>
        </w:tc>
        <w:tc>
          <w:tcPr>
            <w:tcW w:w="3753" w:type="dxa"/>
            <w:noWrap/>
            <w:vAlign w:val="center"/>
            <w:hideMark/>
          </w:tcPr>
          <w:p w14:paraId="47595FC7" w14:textId="3A650200" w:rsidR="0069748A" w:rsidRPr="00A840BC" w:rsidRDefault="0069748A" w:rsidP="002E3784">
            <w:pPr>
              <w:jc w:val="center"/>
              <w:rPr>
                <w:rFonts w:ascii="Arial" w:hAnsi="Arial" w:cs="Arial"/>
                <w:color w:val="000000"/>
                <w:lang w:val="en-ID"/>
              </w:rPr>
            </w:pPr>
            <w:r w:rsidRPr="00A840BC">
              <w:rPr>
                <w:rFonts w:ascii="Arial" w:hAnsi="Arial" w:cs="Arial"/>
                <w:color w:val="000000"/>
                <w:lang w:val="en-ID"/>
              </w:rPr>
              <w:t>I always maintain the confidentiality of my PIN or passwords for digital financial services.</w:t>
            </w:r>
          </w:p>
        </w:tc>
        <w:tc>
          <w:tcPr>
            <w:tcW w:w="1953" w:type="dxa"/>
            <w:noWrap/>
            <w:vAlign w:val="center"/>
            <w:hideMark/>
          </w:tcPr>
          <w:p w14:paraId="4ABC3D85" w14:textId="7B921037" w:rsidR="0069748A" w:rsidRPr="00A840BC" w:rsidRDefault="0069748A" w:rsidP="002E3784">
            <w:pPr>
              <w:jc w:val="center"/>
              <w:rPr>
                <w:rFonts w:ascii="Arial" w:hAnsi="Arial" w:cs="Arial"/>
                <w:color w:val="000000"/>
                <w:lang w:val="en-ID"/>
              </w:rPr>
            </w:pPr>
            <w:r w:rsidRPr="00A840BC">
              <w:rPr>
                <w:rFonts w:ascii="Arial" w:hAnsi="Arial" w:cs="Arial"/>
                <w:color w:val="000000"/>
                <w:lang w:val="en-ID"/>
              </w:rPr>
              <w:t>4 = Agree</w:t>
            </w:r>
          </w:p>
        </w:tc>
        <w:tc>
          <w:tcPr>
            <w:tcW w:w="2076" w:type="dxa"/>
            <w:gridSpan w:val="2"/>
            <w:vMerge/>
            <w:vAlign w:val="center"/>
            <w:hideMark/>
          </w:tcPr>
          <w:p w14:paraId="3290E432" w14:textId="77777777" w:rsidR="0069748A" w:rsidRPr="00A840BC" w:rsidRDefault="0069748A" w:rsidP="002E3784">
            <w:pPr>
              <w:jc w:val="center"/>
              <w:rPr>
                <w:rFonts w:ascii="Arial" w:hAnsi="Arial" w:cs="Arial"/>
                <w:color w:val="000000"/>
                <w:lang w:val="en-ID"/>
              </w:rPr>
            </w:pPr>
          </w:p>
        </w:tc>
      </w:tr>
      <w:tr w:rsidR="0069748A" w:rsidRPr="00A840BC" w14:paraId="5CAD3A6E" w14:textId="77777777" w:rsidTr="00DD7654">
        <w:trPr>
          <w:trHeight w:val="583"/>
          <w:jc w:val="center"/>
        </w:trPr>
        <w:tc>
          <w:tcPr>
            <w:tcW w:w="1094" w:type="dxa"/>
            <w:noWrap/>
            <w:vAlign w:val="center"/>
            <w:hideMark/>
          </w:tcPr>
          <w:p w14:paraId="3AEEDE32" w14:textId="408034A8" w:rsidR="0069748A" w:rsidRPr="00A840BC" w:rsidRDefault="0069748A" w:rsidP="002E3784">
            <w:pPr>
              <w:jc w:val="center"/>
              <w:rPr>
                <w:rFonts w:ascii="Arial" w:hAnsi="Arial" w:cs="Arial"/>
                <w:color w:val="000000"/>
                <w:lang w:val="en-ID"/>
              </w:rPr>
            </w:pPr>
            <w:r w:rsidRPr="00A840BC">
              <w:rPr>
                <w:rFonts w:ascii="Arial" w:hAnsi="Arial" w:cs="Arial"/>
                <w:color w:val="000000"/>
                <w:lang w:val="en-ID"/>
              </w:rPr>
              <w:t>X2.5</w:t>
            </w:r>
          </w:p>
        </w:tc>
        <w:tc>
          <w:tcPr>
            <w:tcW w:w="3753" w:type="dxa"/>
            <w:noWrap/>
            <w:vAlign w:val="center"/>
            <w:hideMark/>
          </w:tcPr>
          <w:p w14:paraId="78CEFE4D" w14:textId="3525B0B8" w:rsidR="0069748A" w:rsidRPr="00A840BC" w:rsidRDefault="0069748A" w:rsidP="002E3784">
            <w:pPr>
              <w:jc w:val="center"/>
              <w:rPr>
                <w:rFonts w:ascii="Arial" w:hAnsi="Arial" w:cs="Arial"/>
                <w:color w:val="000000"/>
                <w:lang w:val="en-ID"/>
              </w:rPr>
            </w:pPr>
            <w:r w:rsidRPr="00A840BC">
              <w:rPr>
                <w:rFonts w:ascii="Arial" w:hAnsi="Arial" w:cs="Arial"/>
                <w:color w:val="000000"/>
                <w:lang w:val="en-ID"/>
              </w:rPr>
              <w:t>I am capable of selecting digital financial services that align with my business needs.</w:t>
            </w:r>
          </w:p>
        </w:tc>
        <w:tc>
          <w:tcPr>
            <w:tcW w:w="1953" w:type="dxa"/>
            <w:noWrap/>
            <w:vAlign w:val="center"/>
            <w:hideMark/>
          </w:tcPr>
          <w:p w14:paraId="37FEBD85" w14:textId="65BFE456" w:rsidR="0069748A" w:rsidRPr="00A840BC" w:rsidRDefault="0069748A" w:rsidP="002E3784">
            <w:pPr>
              <w:jc w:val="center"/>
              <w:rPr>
                <w:rFonts w:ascii="Arial" w:hAnsi="Arial" w:cs="Arial"/>
                <w:color w:val="000000"/>
                <w:lang w:val="en-ID"/>
              </w:rPr>
            </w:pPr>
            <w:r w:rsidRPr="00A840BC">
              <w:rPr>
                <w:rFonts w:ascii="Arial" w:hAnsi="Arial" w:cs="Arial"/>
                <w:color w:val="000000"/>
                <w:lang w:val="en-ID"/>
              </w:rPr>
              <w:t>5 = Strongly Agree</w:t>
            </w:r>
          </w:p>
        </w:tc>
        <w:tc>
          <w:tcPr>
            <w:tcW w:w="2076" w:type="dxa"/>
            <w:gridSpan w:val="2"/>
            <w:vMerge/>
            <w:vAlign w:val="center"/>
            <w:hideMark/>
          </w:tcPr>
          <w:p w14:paraId="42B96039" w14:textId="77777777" w:rsidR="0069748A" w:rsidRPr="00A840BC" w:rsidRDefault="0069748A" w:rsidP="002E3784">
            <w:pPr>
              <w:jc w:val="center"/>
              <w:rPr>
                <w:rFonts w:ascii="Arial" w:hAnsi="Arial" w:cs="Arial"/>
                <w:color w:val="000000"/>
                <w:lang w:val="en-ID"/>
              </w:rPr>
            </w:pPr>
          </w:p>
        </w:tc>
      </w:tr>
      <w:tr w:rsidR="00E35EA2" w:rsidRPr="00A840BC" w14:paraId="19146DF8" w14:textId="77777777" w:rsidTr="00944EBA">
        <w:trPr>
          <w:trHeight w:val="295"/>
          <w:jc w:val="center"/>
        </w:trPr>
        <w:tc>
          <w:tcPr>
            <w:tcW w:w="6800" w:type="dxa"/>
            <w:gridSpan w:val="3"/>
            <w:noWrap/>
            <w:vAlign w:val="center"/>
          </w:tcPr>
          <w:p w14:paraId="6D335378" w14:textId="3A005AD6" w:rsidR="00E35EA2" w:rsidRPr="00A840BC" w:rsidRDefault="00E35EA2" w:rsidP="002E3784">
            <w:pPr>
              <w:rPr>
                <w:rFonts w:ascii="Arial" w:hAnsi="Arial" w:cs="Arial"/>
                <w:color w:val="000000"/>
                <w:lang w:val="en-ID"/>
              </w:rPr>
            </w:pPr>
            <w:r w:rsidRPr="00A840BC">
              <w:rPr>
                <w:rFonts w:ascii="Arial" w:hAnsi="Arial" w:cs="Arial"/>
                <w:b/>
                <w:bCs/>
                <w:color w:val="000000"/>
                <w:lang w:val="en-ID"/>
              </w:rPr>
              <w:t>Variable Y: Digital Financial Inclusion</w:t>
            </w:r>
          </w:p>
        </w:tc>
        <w:tc>
          <w:tcPr>
            <w:tcW w:w="2076" w:type="dxa"/>
            <w:gridSpan w:val="2"/>
            <w:vAlign w:val="center"/>
          </w:tcPr>
          <w:p w14:paraId="651606EC" w14:textId="77777777" w:rsidR="00E35EA2" w:rsidRPr="00A840BC" w:rsidRDefault="00E35EA2" w:rsidP="002E3784">
            <w:pPr>
              <w:jc w:val="center"/>
              <w:rPr>
                <w:rFonts w:ascii="Arial" w:hAnsi="Arial" w:cs="Arial"/>
                <w:color w:val="000000"/>
                <w:lang w:val="en-ID"/>
              </w:rPr>
            </w:pPr>
          </w:p>
        </w:tc>
      </w:tr>
      <w:tr w:rsidR="0069748A" w:rsidRPr="00A840BC" w14:paraId="6D85E18B" w14:textId="77777777" w:rsidTr="00DD7654">
        <w:trPr>
          <w:trHeight w:val="320"/>
          <w:jc w:val="center"/>
        </w:trPr>
        <w:tc>
          <w:tcPr>
            <w:tcW w:w="1094" w:type="dxa"/>
            <w:noWrap/>
            <w:vAlign w:val="center"/>
            <w:hideMark/>
          </w:tcPr>
          <w:p w14:paraId="797233CC" w14:textId="3726F530" w:rsidR="0069748A" w:rsidRPr="00A840BC" w:rsidRDefault="0069748A" w:rsidP="002E3784">
            <w:pPr>
              <w:jc w:val="center"/>
              <w:rPr>
                <w:rFonts w:ascii="Arial" w:hAnsi="Arial" w:cs="Arial"/>
                <w:color w:val="EE0000"/>
                <w:lang w:val="en-ID"/>
              </w:rPr>
            </w:pPr>
            <w:r w:rsidRPr="00A840BC">
              <w:rPr>
                <w:rFonts w:ascii="Arial" w:hAnsi="Arial" w:cs="Arial"/>
                <w:color w:val="000000"/>
                <w:lang w:val="en-ID"/>
              </w:rPr>
              <w:t>Y1</w:t>
            </w:r>
          </w:p>
        </w:tc>
        <w:tc>
          <w:tcPr>
            <w:tcW w:w="3753" w:type="dxa"/>
            <w:noWrap/>
            <w:vAlign w:val="center"/>
            <w:hideMark/>
          </w:tcPr>
          <w:p w14:paraId="2D3A00BD" w14:textId="47F72044" w:rsidR="0069748A" w:rsidRPr="00A840BC" w:rsidRDefault="0069748A" w:rsidP="002E3784">
            <w:pPr>
              <w:jc w:val="center"/>
              <w:rPr>
                <w:rFonts w:ascii="Arial" w:hAnsi="Arial" w:cs="Arial"/>
                <w:color w:val="EE0000"/>
                <w:lang w:val="en-ID"/>
              </w:rPr>
            </w:pPr>
            <w:r w:rsidRPr="00A840BC">
              <w:rPr>
                <w:rFonts w:ascii="Arial" w:hAnsi="Arial" w:cs="Arial"/>
                <w:color w:val="000000"/>
                <w:lang w:val="en-ID"/>
              </w:rPr>
              <w:t>I find it easy to register for and use digital financial applications.</w:t>
            </w:r>
          </w:p>
        </w:tc>
        <w:tc>
          <w:tcPr>
            <w:tcW w:w="1953" w:type="dxa"/>
            <w:noWrap/>
            <w:vAlign w:val="center"/>
            <w:hideMark/>
          </w:tcPr>
          <w:p w14:paraId="253B0E3B" w14:textId="7141BB1E" w:rsidR="0069748A" w:rsidRPr="00A840BC" w:rsidRDefault="0069748A" w:rsidP="002E3784">
            <w:pPr>
              <w:jc w:val="center"/>
              <w:rPr>
                <w:rFonts w:ascii="Arial" w:hAnsi="Arial" w:cs="Arial"/>
                <w:color w:val="000000"/>
                <w:lang w:val="en-ID"/>
              </w:rPr>
            </w:pPr>
            <w:r w:rsidRPr="00A840BC">
              <w:rPr>
                <w:rFonts w:ascii="Arial" w:hAnsi="Arial" w:cs="Arial"/>
                <w:color w:val="000000"/>
                <w:lang w:val="en-ID"/>
              </w:rPr>
              <w:t>1 = Strongly Disagree</w:t>
            </w:r>
          </w:p>
        </w:tc>
        <w:tc>
          <w:tcPr>
            <w:tcW w:w="2076" w:type="dxa"/>
            <w:gridSpan w:val="2"/>
            <w:vMerge w:val="restart"/>
            <w:noWrap/>
            <w:vAlign w:val="center"/>
            <w:hideMark/>
          </w:tcPr>
          <w:p w14:paraId="2C517BD4" w14:textId="77777777" w:rsidR="00E35EA2" w:rsidRPr="00A840BC" w:rsidRDefault="00E35EA2" w:rsidP="002E3784">
            <w:pPr>
              <w:jc w:val="center"/>
              <w:rPr>
                <w:rFonts w:ascii="Arial" w:hAnsi="Arial" w:cs="Arial"/>
                <w:noProof/>
                <w:color w:val="000000"/>
                <w:lang w:val="en-ID"/>
              </w:rPr>
            </w:pPr>
          </w:p>
          <w:p w14:paraId="659DB06B" w14:textId="5C23965E" w:rsidR="00E35EA2" w:rsidRPr="00A840BC" w:rsidRDefault="00E35EA2" w:rsidP="002E3784">
            <w:pPr>
              <w:jc w:val="center"/>
              <w:rPr>
                <w:rFonts w:ascii="Arial" w:hAnsi="Arial" w:cs="Arial"/>
                <w:color w:val="000000"/>
                <w:lang w:val="en-ID"/>
              </w:rPr>
            </w:pPr>
            <w:r w:rsidRPr="00A840BC">
              <w:rPr>
                <w:rFonts w:ascii="Arial" w:hAnsi="Arial" w:cs="Arial"/>
                <w:color w:val="000000"/>
                <w:lang w:val="en-ID"/>
              </w:rPr>
              <w:fldChar w:fldCharType="begin" w:fldLock="1"/>
            </w:r>
            <w:r w:rsidR="00CC4F27" w:rsidRPr="00A840BC">
              <w:rPr>
                <w:rFonts w:ascii="Arial" w:hAnsi="Arial" w:cs="Arial"/>
                <w:color w:val="000000"/>
                <w:lang w:val="en-ID"/>
              </w:rPr>
              <w:instrText xml:space="preserve"> ADDIN ZOTERO_ITEM CSL_CITATION {"citationID":"VstU0T3g","properties":{"formattedCitation":"(OJK, 2021; World Bank, 2022)","plainCitation":"(OJK, 2021; World Bank, 2022)","noteIndex":0},"citationItems":[{"id":"A3GAWW6d/hyodR3B4","uris":["http://www.mendeley.com/documents/?uuid=b3298655-f6bd-36ec-acab-49c1c3c6dbe9"],"itemData":{"author":[{"dropping-particle":"","family":"OJK","given":"","non-dropping-particle":"","parse-names":false,"suffix":""}],"id":"ITEM-1","issued":{"date-parts":[["2021","11","11"]]},"page":"1-5","publisher-place":"Jakarta","title":"Inilah Kebijakan Ojk Dorong Digitalisasi Di Sektor Keuangan","translator":[{"dropping-particle":"","family":"25","given":"","non-dropping-particle":"","parse-names":false,"suffix":""}],"type":"article-newspaper"}},{"id":"A3GAWW6d/idpwa9AK","uris":["http://www.mendeley.com/documents/?uuid=6f5ca88a-d363-4f1d-8906-472403dab677"],"itemData":{"author":[{"dropping-particle":"","family":"World Bank","given":"","non-dropping-particle":"","parse-names":false,"suffix":""}],"container-title":"Independent Evaluation Group (Ieg)","id":"ITEM-2","issued":{"date-parts":[["2022"]]},"title":"Universal Digital Inclusion and Usage","type":"article-journal","volume":"1"}}],"schema":"https://github.com/citation-style-language/schema/raw/master/csl-citation.json"} </w:instrText>
            </w:r>
            <w:r w:rsidRPr="00A840BC">
              <w:rPr>
                <w:rFonts w:ascii="Arial" w:hAnsi="Arial" w:cs="Arial"/>
                <w:color w:val="000000"/>
                <w:lang w:val="en-ID"/>
              </w:rPr>
              <w:fldChar w:fldCharType="separate"/>
            </w:r>
            <w:r w:rsidR="00CC4F27" w:rsidRPr="00A840BC">
              <w:rPr>
                <w:rFonts w:ascii="Arial" w:hAnsi="Arial" w:cs="Arial"/>
                <w:noProof/>
                <w:color w:val="000000"/>
                <w:lang w:val="en-ID"/>
              </w:rPr>
              <w:t>(OJK, 2021; World Bank, 2022)</w:t>
            </w:r>
            <w:r w:rsidRPr="00A840BC">
              <w:rPr>
                <w:rFonts w:ascii="Arial" w:hAnsi="Arial" w:cs="Arial"/>
                <w:color w:val="000000"/>
                <w:lang w:val="en-ID"/>
              </w:rPr>
              <w:fldChar w:fldCharType="end"/>
            </w:r>
          </w:p>
        </w:tc>
      </w:tr>
      <w:tr w:rsidR="0069748A" w:rsidRPr="00A840BC" w14:paraId="75C96EF8" w14:textId="77777777" w:rsidTr="00DD7654">
        <w:trPr>
          <w:trHeight w:val="320"/>
          <w:jc w:val="center"/>
        </w:trPr>
        <w:tc>
          <w:tcPr>
            <w:tcW w:w="1094" w:type="dxa"/>
            <w:noWrap/>
            <w:vAlign w:val="center"/>
            <w:hideMark/>
          </w:tcPr>
          <w:p w14:paraId="442A882F" w14:textId="2FEF7BD4" w:rsidR="0069748A" w:rsidRPr="00A840BC" w:rsidRDefault="0069748A" w:rsidP="002E3784">
            <w:pPr>
              <w:jc w:val="center"/>
              <w:rPr>
                <w:rFonts w:ascii="Arial" w:hAnsi="Arial" w:cs="Arial"/>
                <w:color w:val="000000"/>
                <w:lang w:val="en-ID"/>
              </w:rPr>
            </w:pPr>
            <w:r w:rsidRPr="00A840BC">
              <w:rPr>
                <w:rFonts w:ascii="Arial" w:hAnsi="Arial" w:cs="Arial"/>
                <w:color w:val="000000"/>
                <w:lang w:val="en-ID"/>
              </w:rPr>
              <w:t>Y2</w:t>
            </w:r>
          </w:p>
        </w:tc>
        <w:tc>
          <w:tcPr>
            <w:tcW w:w="3753" w:type="dxa"/>
            <w:noWrap/>
            <w:vAlign w:val="center"/>
            <w:hideMark/>
          </w:tcPr>
          <w:p w14:paraId="2EB74220" w14:textId="4BBF897E" w:rsidR="0069748A" w:rsidRPr="00A840BC" w:rsidRDefault="0069748A" w:rsidP="002E3784">
            <w:pPr>
              <w:jc w:val="center"/>
              <w:rPr>
                <w:rFonts w:ascii="Arial" w:hAnsi="Arial" w:cs="Arial"/>
                <w:color w:val="000000"/>
                <w:lang w:val="en-ID"/>
              </w:rPr>
            </w:pPr>
            <w:r w:rsidRPr="00A840BC">
              <w:rPr>
                <w:rFonts w:ascii="Arial" w:hAnsi="Arial" w:cs="Arial"/>
                <w:color w:val="000000"/>
                <w:lang w:val="en-ID"/>
              </w:rPr>
              <w:t>I regularly use digital financial services for business activities (transactions, payments, etc.).</w:t>
            </w:r>
          </w:p>
        </w:tc>
        <w:tc>
          <w:tcPr>
            <w:tcW w:w="1953" w:type="dxa"/>
            <w:noWrap/>
            <w:vAlign w:val="center"/>
            <w:hideMark/>
          </w:tcPr>
          <w:p w14:paraId="4770914D" w14:textId="7E44B767" w:rsidR="0069748A" w:rsidRPr="00A840BC" w:rsidRDefault="0069748A" w:rsidP="002E3784">
            <w:pPr>
              <w:jc w:val="center"/>
              <w:rPr>
                <w:rFonts w:ascii="Arial" w:hAnsi="Arial" w:cs="Arial"/>
                <w:color w:val="000000"/>
                <w:lang w:val="en-ID"/>
              </w:rPr>
            </w:pPr>
            <w:r w:rsidRPr="00A840BC">
              <w:rPr>
                <w:rFonts w:ascii="Arial" w:hAnsi="Arial" w:cs="Arial"/>
                <w:color w:val="000000"/>
                <w:lang w:val="en-ID"/>
              </w:rPr>
              <w:t>2 = Disagree</w:t>
            </w:r>
          </w:p>
        </w:tc>
        <w:tc>
          <w:tcPr>
            <w:tcW w:w="2076" w:type="dxa"/>
            <w:gridSpan w:val="2"/>
            <w:vMerge/>
            <w:vAlign w:val="center"/>
            <w:hideMark/>
          </w:tcPr>
          <w:p w14:paraId="44832258" w14:textId="77777777" w:rsidR="0069748A" w:rsidRPr="00A840BC" w:rsidRDefault="0069748A" w:rsidP="002E3784">
            <w:pPr>
              <w:jc w:val="center"/>
              <w:rPr>
                <w:rFonts w:ascii="Arial" w:hAnsi="Arial" w:cs="Arial"/>
                <w:color w:val="000000"/>
                <w:lang w:val="en-ID"/>
              </w:rPr>
            </w:pPr>
          </w:p>
        </w:tc>
      </w:tr>
      <w:tr w:rsidR="0069748A" w:rsidRPr="00A840BC" w14:paraId="5A9CA0E7" w14:textId="77777777" w:rsidTr="00DD7654">
        <w:trPr>
          <w:trHeight w:val="320"/>
          <w:jc w:val="center"/>
        </w:trPr>
        <w:tc>
          <w:tcPr>
            <w:tcW w:w="1094" w:type="dxa"/>
            <w:noWrap/>
            <w:vAlign w:val="center"/>
            <w:hideMark/>
          </w:tcPr>
          <w:p w14:paraId="4BB31A9A" w14:textId="475331E9" w:rsidR="0069748A" w:rsidRPr="00A840BC" w:rsidRDefault="0069748A" w:rsidP="002E3784">
            <w:pPr>
              <w:jc w:val="center"/>
              <w:rPr>
                <w:rFonts w:ascii="Arial" w:hAnsi="Arial" w:cs="Arial"/>
                <w:color w:val="000000"/>
                <w:lang w:val="en-ID"/>
              </w:rPr>
            </w:pPr>
            <w:r w:rsidRPr="00A840BC">
              <w:rPr>
                <w:rFonts w:ascii="Arial" w:hAnsi="Arial" w:cs="Arial"/>
                <w:color w:val="000000"/>
                <w:lang w:val="en-ID"/>
              </w:rPr>
              <w:t>Y3</w:t>
            </w:r>
          </w:p>
        </w:tc>
        <w:tc>
          <w:tcPr>
            <w:tcW w:w="3753" w:type="dxa"/>
            <w:noWrap/>
            <w:vAlign w:val="center"/>
            <w:hideMark/>
          </w:tcPr>
          <w:p w14:paraId="31105F30" w14:textId="0BB16380" w:rsidR="0069748A" w:rsidRPr="00A840BC" w:rsidRDefault="0069748A" w:rsidP="002E3784">
            <w:pPr>
              <w:jc w:val="center"/>
              <w:rPr>
                <w:rFonts w:ascii="Arial" w:hAnsi="Arial" w:cs="Arial"/>
                <w:color w:val="000000"/>
                <w:lang w:val="en-ID"/>
              </w:rPr>
            </w:pPr>
            <w:r w:rsidRPr="00A840BC">
              <w:rPr>
                <w:rFonts w:ascii="Arial" w:hAnsi="Arial" w:cs="Arial"/>
                <w:color w:val="000000"/>
                <w:lang w:val="en-ID"/>
              </w:rPr>
              <w:t>I utilize digital financial services for various purposes (payments, savings, loans).</w:t>
            </w:r>
          </w:p>
        </w:tc>
        <w:tc>
          <w:tcPr>
            <w:tcW w:w="1953" w:type="dxa"/>
            <w:noWrap/>
            <w:vAlign w:val="center"/>
            <w:hideMark/>
          </w:tcPr>
          <w:p w14:paraId="5C2074B9" w14:textId="15AB56BC" w:rsidR="0069748A" w:rsidRPr="00A840BC" w:rsidRDefault="0069748A" w:rsidP="002E3784">
            <w:pPr>
              <w:jc w:val="center"/>
              <w:rPr>
                <w:rFonts w:ascii="Arial" w:hAnsi="Arial" w:cs="Arial"/>
                <w:color w:val="000000"/>
                <w:lang w:val="en-ID"/>
              </w:rPr>
            </w:pPr>
            <w:r w:rsidRPr="00A840BC">
              <w:rPr>
                <w:rFonts w:ascii="Arial" w:hAnsi="Arial" w:cs="Arial"/>
                <w:color w:val="000000"/>
                <w:lang w:val="en-ID"/>
              </w:rPr>
              <w:t>3 = Neutral</w:t>
            </w:r>
          </w:p>
        </w:tc>
        <w:tc>
          <w:tcPr>
            <w:tcW w:w="2076" w:type="dxa"/>
            <w:gridSpan w:val="2"/>
            <w:vMerge/>
            <w:vAlign w:val="center"/>
            <w:hideMark/>
          </w:tcPr>
          <w:p w14:paraId="642AD790" w14:textId="77777777" w:rsidR="0069748A" w:rsidRPr="00A840BC" w:rsidRDefault="0069748A" w:rsidP="002E3784">
            <w:pPr>
              <w:jc w:val="center"/>
              <w:rPr>
                <w:rFonts w:ascii="Arial" w:hAnsi="Arial" w:cs="Arial"/>
                <w:color w:val="000000"/>
                <w:lang w:val="en-ID"/>
              </w:rPr>
            </w:pPr>
          </w:p>
        </w:tc>
      </w:tr>
      <w:tr w:rsidR="0069748A" w:rsidRPr="00A840BC" w14:paraId="7B226B73" w14:textId="77777777" w:rsidTr="00DD7654">
        <w:trPr>
          <w:trHeight w:val="320"/>
          <w:jc w:val="center"/>
        </w:trPr>
        <w:tc>
          <w:tcPr>
            <w:tcW w:w="1094" w:type="dxa"/>
            <w:noWrap/>
            <w:vAlign w:val="center"/>
            <w:hideMark/>
          </w:tcPr>
          <w:p w14:paraId="45D5A5D8" w14:textId="3314BA49" w:rsidR="0069748A" w:rsidRPr="00A840BC" w:rsidRDefault="0069748A" w:rsidP="002E3784">
            <w:pPr>
              <w:jc w:val="center"/>
              <w:rPr>
                <w:rFonts w:ascii="Arial" w:hAnsi="Arial" w:cs="Arial"/>
                <w:color w:val="000000"/>
                <w:lang w:val="en-ID"/>
              </w:rPr>
            </w:pPr>
            <w:r w:rsidRPr="00A840BC">
              <w:rPr>
                <w:rFonts w:ascii="Arial" w:hAnsi="Arial" w:cs="Arial"/>
                <w:color w:val="000000"/>
                <w:lang w:val="en-ID"/>
              </w:rPr>
              <w:t>Y4</w:t>
            </w:r>
          </w:p>
        </w:tc>
        <w:tc>
          <w:tcPr>
            <w:tcW w:w="3753" w:type="dxa"/>
            <w:noWrap/>
            <w:vAlign w:val="center"/>
            <w:hideMark/>
          </w:tcPr>
          <w:p w14:paraId="304826D6" w14:textId="285BD238" w:rsidR="0069748A" w:rsidRPr="00A840BC" w:rsidRDefault="0069748A" w:rsidP="002E3784">
            <w:pPr>
              <w:jc w:val="center"/>
              <w:rPr>
                <w:rFonts w:ascii="Arial" w:hAnsi="Arial" w:cs="Arial"/>
                <w:color w:val="000000"/>
                <w:lang w:val="en-ID"/>
              </w:rPr>
            </w:pPr>
            <w:r w:rsidRPr="00A840BC">
              <w:rPr>
                <w:rFonts w:ascii="Arial" w:hAnsi="Arial" w:cs="Arial"/>
                <w:color w:val="000000"/>
                <w:lang w:val="en-ID"/>
              </w:rPr>
              <w:t>Digital financial applications possess interfaces and features that are easy to comprehend.</w:t>
            </w:r>
          </w:p>
        </w:tc>
        <w:tc>
          <w:tcPr>
            <w:tcW w:w="1953" w:type="dxa"/>
            <w:noWrap/>
            <w:vAlign w:val="center"/>
            <w:hideMark/>
          </w:tcPr>
          <w:p w14:paraId="5B06B1A3" w14:textId="37781736" w:rsidR="0069748A" w:rsidRPr="00A840BC" w:rsidRDefault="0069748A" w:rsidP="002E3784">
            <w:pPr>
              <w:jc w:val="center"/>
              <w:rPr>
                <w:rFonts w:ascii="Arial" w:hAnsi="Arial" w:cs="Arial"/>
                <w:color w:val="000000"/>
                <w:lang w:val="en-ID"/>
              </w:rPr>
            </w:pPr>
            <w:r w:rsidRPr="00A840BC">
              <w:rPr>
                <w:rFonts w:ascii="Arial" w:hAnsi="Arial" w:cs="Arial"/>
                <w:color w:val="000000"/>
                <w:lang w:val="en-ID"/>
              </w:rPr>
              <w:t>4 = Agree</w:t>
            </w:r>
          </w:p>
        </w:tc>
        <w:tc>
          <w:tcPr>
            <w:tcW w:w="2076" w:type="dxa"/>
            <w:gridSpan w:val="2"/>
            <w:vMerge/>
            <w:vAlign w:val="center"/>
            <w:hideMark/>
          </w:tcPr>
          <w:p w14:paraId="2AD9A883" w14:textId="77777777" w:rsidR="0069748A" w:rsidRPr="00A840BC" w:rsidRDefault="0069748A" w:rsidP="002E3784">
            <w:pPr>
              <w:jc w:val="center"/>
              <w:rPr>
                <w:rFonts w:ascii="Arial" w:hAnsi="Arial" w:cs="Arial"/>
                <w:color w:val="000000"/>
                <w:lang w:val="en-ID"/>
              </w:rPr>
            </w:pPr>
          </w:p>
        </w:tc>
      </w:tr>
      <w:tr w:rsidR="0069748A" w:rsidRPr="00A840BC" w14:paraId="660B31AB" w14:textId="77777777" w:rsidTr="00DD7654">
        <w:trPr>
          <w:trHeight w:val="320"/>
          <w:jc w:val="center"/>
        </w:trPr>
        <w:tc>
          <w:tcPr>
            <w:tcW w:w="1094" w:type="dxa"/>
            <w:noWrap/>
            <w:vAlign w:val="center"/>
            <w:hideMark/>
          </w:tcPr>
          <w:p w14:paraId="72810E04" w14:textId="3CAEF7F6" w:rsidR="0069748A" w:rsidRPr="00A840BC" w:rsidRDefault="0069748A" w:rsidP="002E3784">
            <w:pPr>
              <w:jc w:val="center"/>
              <w:rPr>
                <w:rFonts w:ascii="Arial" w:hAnsi="Arial" w:cs="Arial"/>
                <w:color w:val="000000"/>
                <w:lang w:val="en-ID"/>
              </w:rPr>
            </w:pPr>
            <w:r w:rsidRPr="00A840BC">
              <w:rPr>
                <w:rFonts w:ascii="Arial" w:hAnsi="Arial" w:cs="Arial"/>
                <w:color w:val="000000"/>
                <w:lang w:val="en-ID"/>
              </w:rPr>
              <w:lastRenderedPageBreak/>
              <w:t>Y5</w:t>
            </w:r>
          </w:p>
        </w:tc>
        <w:tc>
          <w:tcPr>
            <w:tcW w:w="3753" w:type="dxa"/>
            <w:noWrap/>
            <w:vAlign w:val="center"/>
            <w:hideMark/>
          </w:tcPr>
          <w:p w14:paraId="5C03973A" w14:textId="75518C38" w:rsidR="0069748A" w:rsidRPr="00A840BC" w:rsidRDefault="0069748A" w:rsidP="002E3784">
            <w:pPr>
              <w:jc w:val="center"/>
              <w:rPr>
                <w:rFonts w:ascii="Arial" w:hAnsi="Arial" w:cs="Arial"/>
                <w:color w:val="000000"/>
                <w:lang w:val="en-ID"/>
              </w:rPr>
            </w:pPr>
            <w:r w:rsidRPr="00A840BC">
              <w:rPr>
                <w:rFonts w:ascii="Arial" w:hAnsi="Arial" w:cs="Arial"/>
                <w:color w:val="000000"/>
                <w:lang w:val="en-ID"/>
              </w:rPr>
              <w:t>The use of digital financial services assists me in recording business finances more effectively.</w:t>
            </w:r>
          </w:p>
        </w:tc>
        <w:tc>
          <w:tcPr>
            <w:tcW w:w="1953" w:type="dxa"/>
            <w:noWrap/>
            <w:vAlign w:val="center"/>
            <w:hideMark/>
          </w:tcPr>
          <w:p w14:paraId="10CD7BF1" w14:textId="6DF2C898" w:rsidR="0069748A" w:rsidRPr="00A840BC" w:rsidRDefault="0069748A" w:rsidP="002E3784">
            <w:pPr>
              <w:jc w:val="center"/>
              <w:rPr>
                <w:rFonts w:ascii="Arial" w:hAnsi="Arial" w:cs="Arial"/>
                <w:color w:val="000000"/>
                <w:lang w:val="en-ID"/>
              </w:rPr>
            </w:pPr>
            <w:r w:rsidRPr="00A840BC">
              <w:rPr>
                <w:rFonts w:ascii="Arial" w:hAnsi="Arial" w:cs="Arial"/>
                <w:color w:val="000000"/>
                <w:lang w:val="en-ID"/>
              </w:rPr>
              <w:t>5 = Strongly Agree</w:t>
            </w:r>
          </w:p>
        </w:tc>
        <w:tc>
          <w:tcPr>
            <w:tcW w:w="2076" w:type="dxa"/>
            <w:gridSpan w:val="2"/>
            <w:vMerge/>
            <w:vAlign w:val="center"/>
            <w:hideMark/>
          </w:tcPr>
          <w:p w14:paraId="3618874C" w14:textId="77777777" w:rsidR="0069748A" w:rsidRPr="00A840BC" w:rsidRDefault="0069748A" w:rsidP="002E3784">
            <w:pPr>
              <w:jc w:val="center"/>
              <w:rPr>
                <w:rFonts w:ascii="Arial" w:hAnsi="Arial" w:cs="Arial"/>
                <w:color w:val="000000"/>
                <w:lang w:val="en-ID"/>
              </w:rPr>
            </w:pPr>
          </w:p>
        </w:tc>
      </w:tr>
    </w:tbl>
    <w:p w14:paraId="3023EFA8" w14:textId="578EA2C8" w:rsidR="004B33A0" w:rsidRPr="00A840BC" w:rsidRDefault="004B33A0" w:rsidP="002E3784">
      <w:pPr>
        <w:pStyle w:val="Body"/>
        <w:spacing w:after="0"/>
        <w:rPr>
          <w:rFonts w:ascii="Arial" w:hAnsi="Arial" w:cs="Arial"/>
        </w:rPr>
      </w:pPr>
    </w:p>
    <w:p w14:paraId="2B0F2E59" w14:textId="77777777" w:rsidR="00BF0F70" w:rsidRPr="00A840BC" w:rsidRDefault="00BF0F70" w:rsidP="002E3784">
      <w:pPr>
        <w:pStyle w:val="Body"/>
        <w:spacing w:after="0"/>
        <w:rPr>
          <w:rFonts w:ascii="Arial" w:hAnsi="Arial" w:cs="Arial"/>
        </w:rPr>
      </w:pPr>
    </w:p>
    <w:p w14:paraId="24CF316C" w14:textId="55810B51" w:rsidR="00BF0F70" w:rsidRPr="00A840BC" w:rsidRDefault="00CA5BB4" w:rsidP="002E3784">
      <w:pPr>
        <w:pStyle w:val="Body"/>
        <w:spacing w:after="0"/>
        <w:rPr>
          <w:rFonts w:ascii="Arial" w:hAnsi="Arial" w:cs="Arial"/>
          <w:b/>
          <w:caps/>
          <w:sz w:val="22"/>
        </w:rPr>
      </w:pPr>
      <w:r w:rsidRPr="00A840BC">
        <w:rPr>
          <w:rFonts w:ascii="Arial" w:hAnsi="Arial" w:cs="Arial"/>
          <w:b/>
          <w:caps/>
          <w:sz w:val="22"/>
        </w:rPr>
        <w:t>3</w:t>
      </w:r>
      <w:r w:rsidR="00BF0F70" w:rsidRPr="00A840BC">
        <w:rPr>
          <w:rFonts w:ascii="Arial" w:hAnsi="Arial" w:cs="Arial"/>
          <w:b/>
          <w:caps/>
          <w:sz w:val="22"/>
        </w:rPr>
        <w:t xml:space="preserve">.3 Data Analysis </w:t>
      </w:r>
    </w:p>
    <w:p w14:paraId="5DDD671C" w14:textId="77777777" w:rsidR="00990779" w:rsidRPr="00A840BC" w:rsidRDefault="00990779" w:rsidP="002E3784">
      <w:pPr>
        <w:pStyle w:val="Body"/>
        <w:spacing w:after="0"/>
        <w:rPr>
          <w:rFonts w:ascii="Arial" w:hAnsi="Arial" w:cs="Arial"/>
          <w:b/>
          <w:caps/>
          <w:sz w:val="22"/>
        </w:rPr>
      </w:pPr>
    </w:p>
    <w:p w14:paraId="20107E15" w14:textId="5ECB325E" w:rsidR="00790ADA" w:rsidRPr="00A840BC" w:rsidRDefault="00BF0F70" w:rsidP="002E3784">
      <w:pPr>
        <w:pStyle w:val="Body"/>
        <w:spacing w:after="0"/>
        <w:rPr>
          <w:rFonts w:ascii="Arial" w:hAnsi="Arial" w:cs="Arial"/>
        </w:rPr>
      </w:pPr>
      <w:r w:rsidRPr="00A840BC">
        <w:rPr>
          <w:rFonts w:ascii="Arial" w:hAnsi="Arial" w:cs="Arial"/>
        </w:rPr>
        <w:t xml:space="preserve">Data analysis was conducted through Partial Least Square Structural Equation Modeling (PLS-SEM). The assessment included the Measurement Model, also known as the Outer Model, which aimed to verify Convergent Validity (Loading Factor exceeding 0.70, AVE surpassing </w:t>
      </w:r>
      <w:r w:rsidR="0029352C" w:rsidRPr="00A840BC">
        <w:rPr>
          <w:rFonts w:ascii="Arial" w:hAnsi="Arial" w:cs="Arial"/>
        </w:rPr>
        <w:t>0.</w:t>
      </w:r>
      <w:r w:rsidRPr="00A840BC">
        <w:rPr>
          <w:rFonts w:ascii="Arial" w:hAnsi="Arial" w:cs="Arial"/>
        </w:rPr>
        <w:t xml:space="preserve">50) and Discriminant Validity (HTMT below 0.70, Composite Reliability above </w:t>
      </w:r>
      <w:r w:rsidR="0029352C" w:rsidRPr="00A840BC">
        <w:rPr>
          <w:rFonts w:ascii="Arial" w:hAnsi="Arial" w:cs="Arial"/>
        </w:rPr>
        <w:t>0.</w:t>
      </w:r>
      <w:r w:rsidRPr="00A840BC">
        <w:rPr>
          <w:rFonts w:ascii="Arial" w:hAnsi="Arial" w:cs="Arial"/>
        </w:rPr>
        <w:t>70). Following that, the Structural Model, referred to as the Inner Model, was assessed by examining R-square, F-square, Q-Square, and testing hypotheses through Bootstrapping.</w:t>
      </w:r>
      <w:r w:rsidR="00AA74E0" w:rsidRPr="00A840BC">
        <w:rPr>
          <w:rFonts w:ascii="Arial" w:hAnsi="Arial" w:cs="Arial"/>
          <w:color w:val="EE0000"/>
        </w:rPr>
        <w:t xml:space="preserve"> </w:t>
      </w:r>
    </w:p>
    <w:p w14:paraId="3B90F092" w14:textId="77777777" w:rsidR="00D27E78" w:rsidRPr="00A840BC" w:rsidRDefault="00D27E78" w:rsidP="002E3784">
      <w:pPr>
        <w:pStyle w:val="Body"/>
        <w:spacing w:after="0"/>
        <w:rPr>
          <w:rFonts w:ascii="Arial" w:hAnsi="Arial" w:cs="Arial"/>
        </w:rPr>
      </w:pPr>
    </w:p>
    <w:p w14:paraId="40147F14" w14:textId="468522A6" w:rsidR="00863BD3" w:rsidRPr="00A840BC" w:rsidRDefault="00CA5BB4" w:rsidP="002E3784">
      <w:pPr>
        <w:pStyle w:val="Head1"/>
        <w:spacing w:after="0"/>
        <w:jc w:val="both"/>
        <w:rPr>
          <w:rFonts w:ascii="Arial" w:hAnsi="Arial" w:cs="Arial"/>
        </w:rPr>
      </w:pPr>
      <w:r w:rsidRPr="00A840BC">
        <w:rPr>
          <w:rFonts w:ascii="Arial" w:hAnsi="Arial" w:cs="Arial"/>
        </w:rPr>
        <w:t>4</w:t>
      </w:r>
      <w:r w:rsidR="00902823" w:rsidRPr="00A840BC">
        <w:rPr>
          <w:rFonts w:ascii="Arial" w:hAnsi="Arial" w:cs="Arial"/>
        </w:rPr>
        <w:t xml:space="preserve">. </w:t>
      </w:r>
      <w:r w:rsidR="00000F8F" w:rsidRPr="00A840BC">
        <w:rPr>
          <w:rFonts w:ascii="Arial" w:hAnsi="Arial" w:cs="Arial"/>
        </w:rPr>
        <w:t xml:space="preserve">results </w:t>
      </w:r>
    </w:p>
    <w:p w14:paraId="530E7B68" w14:textId="77777777" w:rsidR="001E5DE6" w:rsidRPr="00A840BC" w:rsidRDefault="001E5DE6" w:rsidP="002E3784">
      <w:pPr>
        <w:pStyle w:val="Head1"/>
        <w:spacing w:after="0"/>
        <w:jc w:val="both"/>
        <w:rPr>
          <w:rFonts w:ascii="Arial" w:hAnsi="Arial" w:cs="Arial"/>
        </w:rPr>
      </w:pPr>
    </w:p>
    <w:p w14:paraId="2F9C50F5" w14:textId="379545AF" w:rsidR="006B6E34" w:rsidRPr="00A840BC" w:rsidRDefault="00CA5BB4" w:rsidP="002E3784">
      <w:pPr>
        <w:pStyle w:val="Body"/>
        <w:spacing w:after="0"/>
        <w:rPr>
          <w:rFonts w:ascii="Arial" w:hAnsi="Arial" w:cs="Arial"/>
          <w:b/>
          <w:color w:val="000000" w:themeColor="text1"/>
          <w:sz w:val="22"/>
        </w:rPr>
      </w:pPr>
      <w:r w:rsidRPr="00A840BC">
        <w:rPr>
          <w:rFonts w:ascii="Arial" w:hAnsi="Arial" w:cs="Arial"/>
          <w:b/>
          <w:caps/>
          <w:color w:val="000000" w:themeColor="text1"/>
          <w:sz w:val="22"/>
        </w:rPr>
        <w:t>4</w:t>
      </w:r>
      <w:r w:rsidR="00C30A0F" w:rsidRPr="00A840BC">
        <w:rPr>
          <w:rFonts w:ascii="Arial" w:hAnsi="Arial" w:cs="Arial"/>
          <w:b/>
          <w:caps/>
          <w:color w:val="000000" w:themeColor="text1"/>
          <w:sz w:val="22"/>
        </w:rPr>
        <w:t xml:space="preserve">.1 </w:t>
      </w:r>
      <w:r w:rsidR="002A21DD" w:rsidRPr="00A840BC">
        <w:rPr>
          <w:rFonts w:ascii="Arial" w:hAnsi="Arial" w:cs="Arial"/>
          <w:b/>
          <w:color w:val="000000" w:themeColor="text1"/>
          <w:sz w:val="22"/>
        </w:rPr>
        <w:t>Demographic Profile</w:t>
      </w:r>
    </w:p>
    <w:p w14:paraId="2687E938" w14:textId="77777777" w:rsidR="00C27344" w:rsidRPr="00A840BC" w:rsidRDefault="00C27344" w:rsidP="002E3784">
      <w:pPr>
        <w:pStyle w:val="Body"/>
        <w:spacing w:after="0"/>
        <w:rPr>
          <w:rFonts w:ascii="Arial" w:hAnsi="Arial" w:cs="Arial"/>
          <w:color w:val="000000" w:themeColor="text1"/>
        </w:rPr>
      </w:pPr>
    </w:p>
    <w:p w14:paraId="5101893B" w14:textId="439F96F0" w:rsidR="00932929" w:rsidRPr="00A840BC" w:rsidRDefault="00814835" w:rsidP="002E3784">
      <w:pPr>
        <w:pStyle w:val="Body"/>
        <w:rPr>
          <w:rFonts w:ascii="Arial" w:hAnsi="Arial" w:cs="Arial"/>
          <w:color w:val="000000" w:themeColor="text1"/>
        </w:rPr>
      </w:pPr>
      <w:r w:rsidRPr="00A840BC">
        <w:rPr>
          <w:rFonts w:ascii="Arial" w:hAnsi="Arial" w:cs="Arial"/>
          <w:color w:val="000000" w:themeColor="text1"/>
        </w:rPr>
        <w:t>The research involved 385 participants from the MSME</w:t>
      </w:r>
      <w:r w:rsidR="006D01A3" w:rsidRPr="00A840BC">
        <w:rPr>
          <w:rFonts w:ascii="Arial" w:hAnsi="Arial" w:cs="Arial"/>
          <w:color w:val="000000" w:themeColor="text1"/>
        </w:rPr>
        <w:t>s</w:t>
      </w:r>
      <w:r w:rsidRPr="00A840BC">
        <w:rPr>
          <w:rFonts w:ascii="Arial" w:hAnsi="Arial" w:cs="Arial"/>
          <w:color w:val="000000" w:themeColor="text1"/>
        </w:rPr>
        <w:t xml:space="preserve"> sector in East Java. The demographic </w:t>
      </w:r>
      <w:r w:rsidR="00CB5252" w:rsidRPr="00A840BC">
        <w:rPr>
          <w:rFonts w:ascii="Arial" w:hAnsi="Arial" w:cs="Arial"/>
          <w:color w:val="000000" w:themeColor="text1"/>
        </w:rPr>
        <w:t xml:space="preserve">information shown in Table 2 reveals </w:t>
      </w:r>
      <w:r w:rsidRPr="00A840BC">
        <w:rPr>
          <w:rFonts w:ascii="Arial" w:hAnsi="Arial" w:cs="Arial"/>
          <w:color w:val="000000" w:themeColor="text1"/>
        </w:rPr>
        <w:t>distribution of genders, with 51% of the participants being female and 49% male. This suggests that the MSME</w:t>
      </w:r>
      <w:r w:rsidR="006D01A3" w:rsidRPr="00A840BC">
        <w:rPr>
          <w:rFonts w:ascii="Arial" w:hAnsi="Arial" w:cs="Arial"/>
          <w:color w:val="000000" w:themeColor="text1"/>
        </w:rPr>
        <w:t>s</w:t>
      </w:r>
      <w:r w:rsidRPr="00A840BC">
        <w:rPr>
          <w:rFonts w:ascii="Arial" w:hAnsi="Arial" w:cs="Arial"/>
          <w:color w:val="000000" w:themeColor="text1"/>
        </w:rPr>
        <w:t xml:space="preserve"> sector in East Java is very inclusive and plays a crucial role in promoting economic empowerment for both genders. The age distribution highlights a strong presence of a productive young workforce</w:t>
      </w:r>
      <w:r w:rsidR="00AB1B97" w:rsidRPr="00A840BC">
        <w:rPr>
          <w:rFonts w:ascii="Arial" w:hAnsi="Arial" w:cs="Arial"/>
          <w:color w:val="000000" w:themeColor="text1"/>
        </w:rPr>
        <w:t>,</w:t>
      </w:r>
      <w:r w:rsidRPr="00A840BC">
        <w:rPr>
          <w:rFonts w:ascii="Arial" w:hAnsi="Arial" w:cs="Arial"/>
          <w:color w:val="000000" w:themeColor="text1"/>
        </w:rPr>
        <w:t xml:space="preserve"> most respondents fall within the age groups of 21–23 years (43%) and 24–26 years (28%), confirming that the participants are genuinely representative of Generation Z.</w:t>
      </w:r>
    </w:p>
    <w:p w14:paraId="253D681D" w14:textId="77777777" w:rsidR="005B368D" w:rsidRPr="00A840BC" w:rsidRDefault="00B85B81" w:rsidP="002E3784">
      <w:pPr>
        <w:pStyle w:val="Body"/>
        <w:rPr>
          <w:rFonts w:ascii="Arial" w:hAnsi="Arial" w:cs="Arial"/>
          <w:color w:val="000000" w:themeColor="text1"/>
        </w:rPr>
      </w:pPr>
      <w:r w:rsidRPr="00A840BC">
        <w:rPr>
          <w:rFonts w:ascii="Arial" w:hAnsi="Arial" w:cs="Arial"/>
          <w:color w:val="000000" w:themeColor="text1"/>
        </w:rPr>
        <w:t>In relation to intellectual assets, the participants have a comparatively strong educational foundation. A notable share (42%) has obtained a Bachelor’s degree, and another 42% are graduates from high school or vocational programs. This educational makeup indicates a substantial capability for understanding and implementing new technologies. Concerning business development, most are in the initial growth phase, with 54% having been in operation for 1 to 3 years, and 29% having been active for over 3 years.</w:t>
      </w:r>
      <w:r w:rsidR="005D19B5" w:rsidRPr="00A840BC">
        <w:rPr>
          <w:rFonts w:ascii="Arial" w:hAnsi="Arial" w:cs="Arial"/>
          <w:color w:val="000000" w:themeColor="text1"/>
        </w:rPr>
        <w:t xml:space="preserve"> </w:t>
      </w:r>
    </w:p>
    <w:p w14:paraId="2D71793C" w14:textId="72C25B81" w:rsidR="00B85B81" w:rsidRPr="00A840BC" w:rsidRDefault="005D19B5" w:rsidP="002E3784">
      <w:pPr>
        <w:pStyle w:val="Body"/>
        <w:rPr>
          <w:rFonts w:ascii="Arial" w:hAnsi="Arial" w:cs="Arial"/>
          <w:color w:val="000000" w:themeColor="text1"/>
        </w:rPr>
      </w:pPr>
      <w:r w:rsidRPr="00A840BC">
        <w:rPr>
          <w:rFonts w:ascii="Arial" w:hAnsi="Arial" w:cs="Arial"/>
          <w:color w:val="000000" w:themeColor="text1"/>
        </w:rPr>
        <w:t>Regarding the business profile, the research divides the enterprises into various essential categories. Most participants are involved in the Food and Beverage sector (51%), trailed by the Services sector (19%), Retail/Trade (13%), and Fashion (13%). This prevalence of the culinary field emphasizes its significance as a key contributor to MSME activity in the area. In terms of business development, the majority are in the early stages of growth, with 54% operating for 1 to 3 years, and 29% having been functioning for more than 3 years.</w:t>
      </w:r>
    </w:p>
    <w:p w14:paraId="787B3152" w14:textId="77777777" w:rsidR="005D19B5" w:rsidRPr="00A840BC" w:rsidRDefault="005D19B5" w:rsidP="002E3784">
      <w:pPr>
        <w:pStyle w:val="Body"/>
        <w:rPr>
          <w:rFonts w:ascii="Arial" w:hAnsi="Arial" w:cs="Arial"/>
          <w:color w:val="000000" w:themeColor="text1"/>
        </w:rPr>
      </w:pPr>
    </w:p>
    <w:p w14:paraId="668E8D2A" w14:textId="0F21D7D5" w:rsidR="00932929" w:rsidRPr="00A840BC" w:rsidRDefault="00932929" w:rsidP="002E3784">
      <w:pPr>
        <w:pStyle w:val="Body"/>
        <w:spacing w:after="0"/>
        <w:jc w:val="center"/>
        <w:rPr>
          <w:rFonts w:ascii="Arial" w:hAnsi="Arial" w:cs="Arial"/>
          <w:b/>
          <w:color w:val="000000" w:themeColor="text1"/>
          <w:szCs w:val="16"/>
        </w:rPr>
      </w:pPr>
      <w:r w:rsidRPr="00A840BC">
        <w:rPr>
          <w:rFonts w:ascii="Arial" w:hAnsi="Arial" w:cs="Arial"/>
          <w:b/>
          <w:color w:val="000000" w:themeColor="text1"/>
          <w:szCs w:val="16"/>
        </w:rPr>
        <w:t xml:space="preserve">Table </w:t>
      </w:r>
      <w:r w:rsidR="003D039F" w:rsidRPr="00A840BC">
        <w:rPr>
          <w:rFonts w:ascii="Arial" w:hAnsi="Arial" w:cs="Arial"/>
          <w:b/>
          <w:color w:val="000000" w:themeColor="text1"/>
          <w:szCs w:val="16"/>
        </w:rPr>
        <w:t>2</w:t>
      </w:r>
      <w:r w:rsidRPr="00A840BC">
        <w:rPr>
          <w:rFonts w:ascii="Arial" w:hAnsi="Arial" w:cs="Arial"/>
          <w:b/>
          <w:color w:val="000000" w:themeColor="text1"/>
          <w:szCs w:val="16"/>
        </w:rPr>
        <w:t>.</w:t>
      </w:r>
      <w:r w:rsidRPr="00A840BC">
        <w:rPr>
          <w:rFonts w:ascii="Arial" w:hAnsi="Arial" w:cs="Arial"/>
          <w:color w:val="000000" w:themeColor="text1"/>
          <w:sz w:val="16"/>
          <w:szCs w:val="16"/>
        </w:rPr>
        <w:t xml:space="preserve"> </w:t>
      </w:r>
      <w:r w:rsidR="00E35EA2" w:rsidRPr="00A840BC">
        <w:rPr>
          <w:rFonts w:ascii="Arial" w:hAnsi="Arial" w:cs="Arial"/>
          <w:b/>
          <w:color w:val="000000" w:themeColor="text1"/>
          <w:szCs w:val="16"/>
        </w:rPr>
        <w:t>Demograp</w:t>
      </w:r>
      <w:r w:rsidR="00972AE1" w:rsidRPr="00A840BC">
        <w:rPr>
          <w:rFonts w:ascii="Arial" w:hAnsi="Arial" w:cs="Arial"/>
          <w:b/>
          <w:color w:val="000000" w:themeColor="text1"/>
          <w:szCs w:val="16"/>
        </w:rPr>
        <w:t>h</w:t>
      </w:r>
      <w:r w:rsidR="00E35EA2" w:rsidRPr="00A840BC">
        <w:rPr>
          <w:rFonts w:ascii="Arial" w:hAnsi="Arial" w:cs="Arial"/>
          <w:b/>
          <w:color w:val="000000" w:themeColor="text1"/>
          <w:szCs w:val="16"/>
        </w:rPr>
        <w:t>ic</w:t>
      </w:r>
      <w:r w:rsidR="004A4751" w:rsidRPr="00A840BC">
        <w:rPr>
          <w:rFonts w:ascii="Arial" w:hAnsi="Arial" w:cs="Arial"/>
          <w:b/>
          <w:color w:val="000000" w:themeColor="text1"/>
          <w:szCs w:val="16"/>
        </w:rPr>
        <w:t xml:space="preserve"> Profile</w:t>
      </w:r>
    </w:p>
    <w:p w14:paraId="71205CC9" w14:textId="77777777" w:rsidR="005E4C45" w:rsidRPr="00A840BC" w:rsidRDefault="005E4C45" w:rsidP="002E3784">
      <w:pPr>
        <w:pStyle w:val="Body"/>
        <w:spacing w:after="0"/>
        <w:jc w:val="center"/>
        <w:rPr>
          <w:rFonts w:ascii="Arial" w:hAnsi="Arial" w:cs="Arial"/>
          <w:color w:val="000000" w:themeColor="text1"/>
          <w:sz w:val="16"/>
          <w:szCs w:val="16"/>
        </w:rPr>
      </w:pPr>
    </w:p>
    <w:tbl>
      <w:tblPr>
        <w:tblStyle w:val="TableGridLight"/>
        <w:tblW w:w="6442" w:type="dxa"/>
        <w:jc w:val="center"/>
        <w:tblLook w:val="04A0" w:firstRow="1" w:lastRow="0" w:firstColumn="1" w:lastColumn="0" w:noHBand="0" w:noVBand="1"/>
      </w:tblPr>
      <w:tblGrid>
        <w:gridCol w:w="1418"/>
        <w:gridCol w:w="2084"/>
        <w:gridCol w:w="2080"/>
        <w:gridCol w:w="860"/>
      </w:tblGrid>
      <w:tr w:rsidR="00FC1504" w:rsidRPr="00A840BC" w14:paraId="347FFB6A" w14:textId="77777777" w:rsidTr="00FC1504">
        <w:trPr>
          <w:trHeight w:val="280"/>
          <w:jc w:val="center"/>
        </w:trPr>
        <w:tc>
          <w:tcPr>
            <w:tcW w:w="3502" w:type="dxa"/>
            <w:gridSpan w:val="2"/>
            <w:noWrap/>
            <w:vAlign w:val="center"/>
            <w:hideMark/>
          </w:tcPr>
          <w:p w14:paraId="5BBAAA21" w14:textId="0909BBF6" w:rsidR="00FC1504" w:rsidRPr="00A840BC" w:rsidRDefault="00FC1504" w:rsidP="002E3784">
            <w:pPr>
              <w:jc w:val="center"/>
              <w:rPr>
                <w:rFonts w:ascii="Arial" w:hAnsi="Arial" w:cs="Arial"/>
                <w:b/>
                <w:bCs/>
                <w:color w:val="000000" w:themeColor="text1"/>
              </w:rPr>
            </w:pPr>
            <w:r w:rsidRPr="00A840BC">
              <w:rPr>
                <w:rFonts w:ascii="Arial" w:hAnsi="Arial" w:cs="Arial"/>
                <w:b/>
                <w:bCs/>
                <w:color w:val="000000" w:themeColor="text1"/>
              </w:rPr>
              <w:t>Category</w:t>
            </w:r>
          </w:p>
        </w:tc>
        <w:tc>
          <w:tcPr>
            <w:tcW w:w="2080" w:type="dxa"/>
            <w:noWrap/>
            <w:vAlign w:val="center"/>
            <w:hideMark/>
          </w:tcPr>
          <w:p w14:paraId="231D9ACB" w14:textId="77777777" w:rsidR="00FC1504" w:rsidRPr="00A840BC" w:rsidRDefault="00FC1504" w:rsidP="002E3784">
            <w:pPr>
              <w:jc w:val="center"/>
              <w:rPr>
                <w:rFonts w:ascii="Arial" w:hAnsi="Arial" w:cs="Arial"/>
                <w:b/>
                <w:bCs/>
                <w:color w:val="000000" w:themeColor="text1"/>
              </w:rPr>
            </w:pPr>
            <w:r w:rsidRPr="00A840BC">
              <w:rPr>
                <w:rFonts w:ascii="Arial" w:hAnsi="Arial" w:cs="Arial"/>
                <w:b/>
                <w:bCs/>
                <w:color w:val="000000" w:themeColor="text1"/>
              </w:rPr>
              <w:t>Frequency</w:t>
            </w:r>
          </w:p>
        </w:tc>
        <w:tc>
          <w:tcPr>
            <w:tcW w:w="860" w:type="dxa"/>
            <w:noWrap/>
            <w:vAlign w:val="center"/>
            <w:hideMark/>
          </w:tcPr>
          <w:p w14:paraId="41C81950" w14:textId="56816312" w:rsidR="00FC1504" w:rsidRPr="00A840BC" w:rsidRDefault="00FC1504" w:rsidP="002E3784">
            <w:pPr>
              <w:jc w:val="center"/>
              <w:rPr>
                <w:rFonts w:ascii="Arial" w:hAnsi="Arial" w:cs="Arial"/>
                <w:b/>
                <w:bCs/>
                <w:color w:val="000000" w:themeColor="text1"/>
              </w:rPr>
            </w:pPr>
            <w:r w:rsidRPr="00A840BC">
              <w:rPr>
                <w:rFonts w:ascii="Arial" w:hAnsi="Arial" w:cs="Arial"/>
                <w:b/>
                <w:bCs/>
                <w:color w:val="000000" w:themeColor="text1"/>
              </w:rPr>
              <w:t>%</w:t>
            </w:r>
          </w:p>
        </w:tc>
      </w:tr>
      <w:tr w:rsidR="00FC1504" w:rsidRPr="00A840BC" w14:paraId="10F5D8DB" w14:textId="77777777" w:rsidTr="00FC1504">
        <w:trPr>
          <w:trHeight w:val="260"/>
          <w:jc w:val="center"/>
        </w:trPr>
        <w:tc>
          <w:tcPr>
            <w:tcW w:w="1418" w:type="dxa"/>
            <w:vMerge w:val="restart"/>
            <w:noWrap/>
            <w:vAlign w:val="center"/>
            <w:hideMark/>
          </w:tcPr>
          <w:p w14:paraId="02A97959" w14:textId="252240DC" w:rsidR="00FC1504" w:rsidRPr="00A840BC" w:rsidRDefault="00FC1504" w:rsidP="002E3784">
            <w:pPr>
              <w:jc w:val="center"/>
              <w:rPr>
                <w:rFonts w:ascii="Arial" w:hAnsi="Arial" w:cs="Arial"/>
                <w:b/>
                <w:bCs/>
                <w:color w:val="000000" w:themeColor="text1"/>
              </w:rPr>
            </w:pPr>
            <w:r w:rsidRPr="00A840BC">
              <w:rPr>
                <w:rFonts w:ascii="Arial" w:hAnsi="Arial" w:cs="Arial"/>
                <w:b/>
                <w:bCs/>
                <w:color w:val="000000" w:themeColor="text1"/>
              </w:rPr>
              <w:t>Gender</w:t>
            </w:r>
          </w:p>
        </w:tc>
        <w:tc>
          <w:tcPr>
            <w:tcW w:w="2084" w:type="dxa"/>
            <w:vAlign w:val="center"/>
          </w:tcPr>
          <w:p w14:paraId="71B9177E" w14:textId="3B1B6A71"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Male</w:t>
            </w:r>
          </w:p>
        </w:tc>
        <w:tc>
          <w:tcPr>
            <w:tcW w:w="2080" w:type="dxa"/>
            <w:vAlign w:val="center"/>
            <w:hideMark/>
          </w:tcPr>
          <w:p w14:paraId="64C721C6" w14:textId="77777777"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187</w:t>
            </w:r>
          </w:p>
        </w:tc>
        <w:tc>
          <w:tcPr>
            <w:tcW w:w="860" w:type="dxa"/>
            <w:vAlign w:val="center"/>
            <w:hideMark/>
          </w:tcPr>
          <w:p w14:paraId="4667A370" w14:textId="431EE3DE"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49%</w:t>
            </w:r>
          </w:p>
        </w:tc>
      </w:tr>
      <w:tr w:rsidR="00FC1504" w:rsidRPr="00A840BC" w14:paraId="4448A497" w14:textId="77777777" w:rsidTr="00FC1504">
        <w:trPr>
          <w:trHeight w:val="260"/>
          <w:jc w:val="center"/>
        </w:trPr>
        <w:tc>
          <w:tcPr>
            <w:tcW w:w="1418" w:type="dxa"/>
            <w:vMerge/>
            <w:noWrap/>
            <w:vAlign w:val="center"/>
            <w:hideMark/>
          </w:tcPr>
          <w:p w14:paraId="2F90BF95" w14:textId="566E373A" w:rsidR="00FC1504" w:rsidRPr="00A840BC" w:rsidRDefault="00FC1504" w:rsidP="002E3784">
            <w:pPr>
              <w:jc w:val="center"/>
              <w:rPr>
                <w:rFonts w:ascii="Arial" w:hAnsi="Arial" w:cs="Arial"/>
                <w:b/>
                <w:bCs/>
                <w:color w:val="000000" w:themeColor="text1"/>
              </w:rPr>
            </w:pPr>
          </w:p>
        </w:tc>
        <w:tc>
          <w:tcPr>
            <w:tcW w:w="2084" w:type="dxa"/>
            <w:vAlign w:val="center"/>
          </w:tcPr>
          <w:p w14:paraId="428D02E1" w14:textId="5D499950"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Female</w:t>
            </w:r>
          </w:p>
        </w:tc>
        <w:tc>
          <w:tcPr>
            <w:tcW w:w="2080" w:type="dxa"/>
            <w:vAlign w:val="center"/>
            <w:hideMark/>
          </w:tcPr>
          <w:p w14:paraId="36B449DB" w14:textId="77777777"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196</w:t>
            </w:r>
          </w:p>
        </w:tc>
        <w:tc>
          <w:tcPr>
            <w:tcW w:w="860" w:type="dxa"/>
            <w:vAlign w:val="center"/>
            <w:hideMark/>
          </w:tcPr>
          <w:p w14:paraId="3D82216A" w14:textId="0AEA7FAC"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51%</w:t>
            </w:r>
          </w:p>
        </w:tc>
      </w:tr>
      <w:tr w:rsidR="00FC1504" w:rsidRPr="00A840BC" w14:paraId="1696C77A" w14:textId="77777777" w:rsidTr="00FC1504">
        <w:trPr>
          <w:trHeight w:val="280"/>
          <w:jc w:val="center"/>
        </w:trPr>
        <w:tc>
          <w:tcPr>
            <w:tcW w:w="1418" w:type="dxa"/>
            <w:vMerge w:val="restart"/>
            <w:vAlign w:val="center"/>
          </w:tcPr>
          <w:p w14:paraId="39CE8520" w14:textId="0E6E353F" w:rsidR="00FC1504" w:rsidRPr="00A840BC" w:rsidRDefault="00FC1504" w:rsidP="002E3784">
            <w:pPr>
              <w:jc w:val="center"/>
              <w:rPr>
                <w:rFonts w:ascii="Arial" w:hAnsi="Arial" w:cs="Arial"/>
                <w:b/>
                <w:bCs/>
                <w:color w:val="000000" w:themeColor="text1"/>
              </w:rPr>
            </w:pPr>
            <w:r w:rsidRPr="00A840BC">
              <w:rPr>
                <w:rFonts w:ascii="Arial" w:hAnsi="Arial" w:cs="Arial"/>
                <w:b/>
                <w:bCs/>
                <w:color w:val="000000" w:themeColor="text1"/>
              </w:rPr>
              <w:t>Age</w:t>
            </w:r>
          </w:p>
        </w:tc>
        <w:tc>
          <w:tcPr>
            <w:tcW w:w="2084" w:type="dxa"/>
            <w:vAlign w:val="center"/>
          </w:tcPr>
          <w:p w14:paraId="39A48351" w14:textId="11430C7F"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18-20</w:t>
            </w:r>
          </w:p>
        </w:tc>
        <w:tc>
          <w:tcPr>
            <w:tcW w:w="2080" w:type="dxa"/>
            <w:vAlign w:val="center"/>
            <w:hideMark/>
          </w:tcPr>
          <w:p w14:paraId="774E8726" w14:textId="77777777"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39</w:t>
            </w:r>
          </w:p>
        </w:tc>
        <w:tc>
          <w:tcPr>
            <w:tcW w:w="860" w:type="dxa"/>
            <w:vAlign w:val="center"/>
            <w:hideMark/>
          </w:tcPr>
          <w:p w14:paraId="1AA3BD02" w14:textId="4F9B675B"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10%</w:t>
            </w:r>
          </w:p>
        </w:tc>
      </w:tr>
      <w:tr w:rsidR="00FC1504" w:rsidRPr="00A840BC" w14:paraId="45BC3F3A" w14:textId="77777777" w:rsidTr="00FC1504">
        <w:trPr>
          <w:trHeight w:val="280"/>
          <w:jc w:val="center"/>
        </w:trPr>
        <w:tc>
          <w:tcPr>
            <w:tcW w:w="1418" w:type="dxa"/>
            <w:vMerge/>
            <w:vAlign w:val="center"/>
          </w:tcPr>
          <w:p w14:paraId="5A371BA3" w14:textId="46A4A4F4" w:rsidR="00FC1504" w:rsidRPr="00A840BC" w:rsidRDefault="00FC1504" w:rsidP="002E3784">
            <w:pPr>
              <w:jc w:val="center"/>
              <w:rPr>
                <w:rFonts w:ascii="Arial" w:hAnsi="Arial" w:cs="Arial"/>
                <w:b/>
                <w:bCs/>
                <w:color w:val="000000" w:themeColor="text1"/>
              </w:rPr>
            </w:pPr>
          </w:p>
        </w:tc>
        <w:tc>
          <w:tcPr>
            <w:tcW w:w="2084" w:type="dxa"/>
            <w:vAlign w:val="center"/>
          </w:tcPr>
          <w:p w14:paraId="316F4D51" w14:textId="5443161D"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21-23</w:t>
            </w:r>
          </w:p>
        </w:tc>
        <w:tc>
          <w:tcPr>
            <w:tcW w:w="2080" w:type="dxa"/>
            <w:vAlign w:val="center"/>
            <w:hideMark/>
          </w:tcPr>
          <w:p w14:paraId="15F5E688" w14:textId="77777777"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166</w:t>
            </w:r>
          </w:p>
        </w:tc>
        <w:tc>
          <w:tcPr>
            <w:tcW w:w="860" w:type="dxa"/>
            <w:vAlign w:val="center"/>
            <w:hideMark/>
          </w:tcPr>
          <w:p w14:paraId="1599BB89" w14:textId="09AB7183"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43%</w:t>
            </w:r>
          </w:p>
        </w:tc>
      </w:tr>
      <w:tr w:rsidR="00FC1504" w:rsidRPr="00A840BC" w14:paraId="533DB473" w14:textId="77777777" w:rsidTr="00FC1504">
        <w:trPr>
          <w:trHeight w:val="300"/>
          <w:jc w:val="center"/>
        </w:trPr>
        <w:tc>
          <w:tcPr>
            <w:tcW w:w="1418" w:type="dxa"/>
            <w:vMerge/>
            <w:vAlign w:val="center"/>
          </w:tcPr>
          <w:p w14:paraId="7E564761" w14:textId="3558F5F0" w:rsidR="00FC1504" w:rsidRPr="00A840BC" w:rsidRDefault="00FC1504" w:rsidP="002E3784">
            <w:pPr>
              <w:jc w:val="center"/>
              <w:rPr>
                <w:rFonts w:ascii="Arial" w:hAnsi="Arial" w:cs="Arial"/>
                <w:b/>
                <w:bCs/>
                <w:color w:val="000000" w:themeColor="text1"/>
              </w:rPr>
            </w:pPr>
          </w:p>
        </w:tc>
        <w:tc>
          <w:tcPr>
            <w:tcW w:w="2084" w:type="dxa"/>
            <w:vAlign w:val="center"/>
          </w:tcPr>
          <w:p w14:paraId="61D26058" w14:textId="2CB4364C"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24-26</w:t>
            </w:r>
          </w:p>
        </w:tc>
        <w:tc>
          <w:tcPr>
            <w:tcW w:w="2080" w:type="dxa"/>
            <w:vAlign w:val="center"/>
            <w:hideMark/>
          </w:tcPr>
          <w:p w14:paraId="5EC70CB9" w14:textId="77777777"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106</w:t>
            </w:r>
          </w:p>
        </w:tc>
        <w:tc>
          <w:tcPr>
            <w:tcW w:w="860" w:type="dxa"/>
            <w:vAlign w:val="center"/>
            <w:hideMark/>
          </w:tcPr>
          <w:p w14:paraId="153FFF9C" w14:textId="61C1E368"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28%</w:t>
            </w:r>
          </w:p>
        </w:tc>
      </w:tr>
      <w:tr w:rsidR="00FC1504" w:rsidRPr="00A840BC" w14:paraId="0388E0F1" w14:textId="77777777" w:rsidTr="00FC1504">
        <w:trPr>
          <w:trHeight w:val="273"/>
          <w:jc w:val="center"/>
        </w:trPr>
        <w:tc>
          <w:tcPr>
            <w:tcW w:w="1418" w:type="dxa"/>
            <w:vMerge/>
            <w:vAlign w:val="center"/>
          </w:tcPr>
          <w:p w14:paraId="67A07F70" w14:textId="30DFD51A" w:rsidR="00FC1504" w:rsidRPr="00A840BC" w:rsidRDefault="00FC1504" w:rsidP="002E3784">
            <w:pPr>
              <w:jc w:val="center"/>
              <w:rPr>
                <w:rFonts w:ascii="Arial" w:hAnsi="Arial" w:cs="Arial"/>
                <w:b/>
                <w:bCs/>
                <w:color w:val="000000" w:themeColor="text1"/>
              </w:rPr>
            </w:pPr>
          </w:p>
        </w:tc>
        <w:tc>
          <w:tcPr>
            <w:tcW w:w="2084" w:type="dxa"/>
            <w:vAlign w:val="center"/>
          </w:tcPr>
          <w:p w14:paraId="01408323" w14:textId="1893BA55"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27-28</w:t>
            </w:r>
          </w:p>
        </w:tc>
        <w:tc>
          <w:tcPr>
            <w:tcW w:w="2080" w:type="dxa"/>
            <w:vAlign w:val="center"/>
            <w:hideMark/>
          </w:tcPr>
          <w:p w14:paraId="22F383A6" w14:textId="77777777"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74</w:t>
            </w:r>
          </w:p>
        </w:tc>
        <w:tc>
          <w:tcPr>
            <w:tcW w:w="860" w:type="dxa"/>
            <w:vAlign w:val="center"/>
            <w:hideMark/>
          </w:tcPr>
          <w:p w14:paraId="730E380B" w14:textId="3F28B4B9"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19%</w:t>
            </w:r>
          </w:p>
        </w:tc>
      </w:tr>
      <w:tr w:rsidR="00FC1504" w:rsidRPr="00A840BC" w14:paraId="2972B5E1" w14:textId="77777777" w:rsidTr="00FC1504">
        <w:trPr>
          <w:trHeight w:val="360"/>
          <w:jc w:val="center"/>
        </w:trPr>
        <w:tc>
          <w:tcPr>
            <w:tcW w:w="1418" w:type="dxa"/>
            <w:vMerge w:val="restart"/>
            <w:noWrap/>
            <w:vAlign w:val="center"/>
          </w:tcPr>
          <w:p w14:paraId="34C98BE7" w14:textId="4DD49C71" w:rsidR="00FC1504" w:rsidRPr="00A840BC" w:rsidRDefault="00FC1504" w:rsidP="002E3784">
            <w:pPr>
              <w:jc w:val="center"/>
              <w:rPr>
                <w:rFonts w:ascii="Arial" w:hAnsi="Arial" w:cs="Arial"/>
                <w:b/>
                <w:bCs/>
                <w:color w:val="000000" w:themeColor="text1"/>
              </w:rPr>
            </w:pPr>
            <w:r w:rsidRPr="00A840BC">
              <w:rPr>
                <w:rFonts w:ascii="Arial" w:hAnsi="Arial" w:cs="Arial"/>
                <w:b/>
                <w:bCs/>
                <w:color w:val="000000" w:themeColor="text1"/>
              </w:rPr>
              <w:lastRenderedPageBreak/>
              <w:t>Education</w:t>
            </w:r>
          </w:p>
        </w:tc>
        <w:tc>
          <w:tcPr>
            <w:tcW w:w="2084" w:type="dxa"/>
            <w:vAlign w:val="center"/>
          </w:tcPr>
          <w:p w14:paraId="04394393" w14:textId="5FA68C6B"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High School/ Vocational</w:t>
            </w:r>
          </w:p>
        </w:tc>
        <w:tc>
          <w:tcPr>
            <w:tcW w:w="2080" w:type="dxa"/>
            <w:vAlign w:val="center"/>
            <w:hideMark/>
          </w:tcPr>
          <w:p w14:paraId="23E20D89" w14:textId="77777777"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163</w:t>
            </w:r>
          </w:p>
        </w:tc>
        <w:tc>
          <w:tcPr>
            <w:tcW w:w="860" w:type="dxa"/>
            <w:vAlign w:val="center"/>
            <w:hideMark/>
          </w:tcPr>
          <w:p w14:paraId="322DFDEA" w14:textId="05F682E3"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42%</w:t>
            </w:r>
          </w:p>
        </w:tc>
      </w:tr>
      <w:tr w:rsidR="00FC1504" w:rsidRPr="00A840BC" w14:paraId="0E9F0E43" w14:textId="77777777" w:rsidTr="00FC1504">
        <w:trPr>
          <w:trHeight w:val="360"/>
          <w:jc w:val="center"/>
        </w:trPr>
        <w:tc>
          <w:tcPr>
            <w:tcW w:w="1418" w:type="dxa"/>
            <w:vMerge/>
            <w:noWrap/>
            <w:vAlign w:val="center"/>
          </w:tcPr>
          <w:p w14:paraId="266405AD" w14:textId="175A18BF" w:rsidR="00FC1504" w:rsidRPr="00A840BC" w:rsidRDefault="00FC1504" w:rsidP="002E3784">
            <w:pPr>
              <w:jc w:val="center"/>
              <w:rPr>
                <w:rFonts w:ascii="Arial" w:hAnsi="Arial" w:cs="Arial"/>
                <w:b/>
                <w:bCs/>
                <w:color w:val="000000" w:themeColor="text1"/>
              </w:rPr>
            </w:pPr>
          </w:p>
        </w:tc>
        <w:tc>
          <w:tcPr>
            <w:tcW w:w="2084" w:type="dxa"/>
            <w:vAlign w:val="center"/>
          </w:tcPr>
          <w:p w14:paraId="30B8313C" w14:textId="413B1ED3"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Bachelor's Degree</w:t>
            </w:r>
          </w:p>
        </w:tc>
        <w:tc>
          <w:tcPr>
            <w:tcW w:w="2080" w:type="dxa"/>
            <w:vAlign w:val="center"/>
            <w:hideMark/>
          </w:tcPr>
          <w:p w14:paraId="2545A2FD" w14:textId="77777777"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161</w:t>
            </w:r>
          </w:p>
        </w:tc>
        <w:tc>
          <w:tcPr>
            <w:tcW w:w="860" w:type="dxa"/>
            <w:vAlign w:val="center"/>
            <w:hideMark/>
          </w:tcPr>
          <w:p w14:paraId="7B8A95BB" w14:textId="00DE7464"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42%</w:t>
            </w:r>
          </w:p>
        </w:tc>
      </w:tr>
      <w:tr w:rsidR="00FC1504" w:rsidRPr="00A840BC" w14:paraId="419758F8" w14:textId="77777777" w:rsidTr="00FC1504">
        <w:trPr>
          <w:trHeight w:val="360"/>
          <w:jc w:val="center"/>
        </w:trPr>
        <w:tc>
          <w:tcPr>
            <w:tcW w:w="1418" w:type="dxa"/>
            <w:vMerge/>
            <w:noWrap/>
            <w:vAlign w:val="center"/>
          </w:tcPr>
          <w:p w14:paraId="475BA3E3" w14:textId="767416B3" w:rsidR="00FC1504" w:rsidRPr="00A840BC" w:rsidRDefault="00FC1504" w:rsidP="002E3784">
            <w:pPr>
              <w:jc w:val="center"/>
              <w:rPr>
                <w:rFonts w:ascii="Arial" w:hAnsi="Arial" w:cs="Arial"/>
                <w:b/>
                <w:bCs/>
                <w:color w:val="000000" w:themeColor="text1"/>
              </w:rPr>
            </w:pPr>
          </w:p>
        </w:tc>
        <w:tc>
          <w:tcPr>
            <w:tcW w:w="2084" w:type="dxa"/>
            <w:vAlign w:val="center"/>
          </w:tcPr>
          <w:p w14:paraId="06F2E667" w14:textId="25200F1A"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Diploma</w:t>
            </w:r>
          </w:p>
        </w:tc>
        <w:tc>
          <w:tcPr>
            <w:tcW w:w="2080" w:type="dxa"/>
            <w:vAlign w:val="center"/>
            <w:hideMark/>
          </w:tcPr>
          <w:p w14:paraId="2F7DAA87" w14:textId="77777777"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61</w:t>
            </w:r>
          </w:p>
        </w:tc>
        <w:tc>
          <w:tcPr>
            <w:tcW w:w="860" w:type="dxa"/>
            <w:vAlign w:val="center"/>
            <w:hideMark/>
          </w:tcPr>
          <w:p w14:paraId="0303BDDC" w14:textId="4FE2EC2F"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16%</w:t>
            </w:r>
          </w:p>
        </w:tc>
      </w:tr>
      <w:tr w:rsidR="00FC1504" w:rsidRPr="00A840BC" w14:paraId="7A3469EF" w14:textId="77777777" w:rsidTr="00FC1504">
        <w:trPr>
          <w:trHeight w:val="280"/>
          <w:jc w:val="center"/>
        </w:trPr>
        <w:tc>
          <w:tcPr>
            <w:tcW w:w="1418" w:type="dxa"/>
            <w:vMerge w:val="restart"/>
            <w:vAlign w:val="center"/>
          </w:tcPr>
          <w:p w14:paraId="533B0C09" w14:textId="6BA358F9" w:rsidR="00FC1504" w:rsidRPr="00A840BC" w:rsidRDefault="00FC1504" w:rsidP="002E3784">
            <w:pPr>
              <w:jc w:val="center"/>
              <w:rPr>
                <w:rFonts w:ascii="Arial" w:hAnsi="Arial" w:cs="Arial"/>
                <w:b/>
                <w:bCs/>
                <w:color w:val="000000" w:themeColor="text1"/>
              </w:rPr>
            </w:pPr>
            <w:r w:rsidRPr="00A840BC">
              <w:rPr>
                <w:rFonts w:ascii="Arial" w:hAnsi="Arial" w:cs="Arial"/>
                <w:b/>
                <w:bCs/>
                <w:color w:val="000000" w:themeColor="text1"/>
              </w:rPr>
              <w:t>Business duration</w:t>
            </w:r>
          </w:p>
        </w:tc>
        <w:tc>
          <w:tcPr>
            <w:tcW w:w="2084" w:type="dxa"/>
            <w:vAlign w:val="center"/>
          </w:tcPr>
          <w:p w14:paraId="30A61F0D" w14:textId="7860A01B"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 xml:space="preserve">&lt; 1 </w:t>
            </w:r>
            <w:proofErr w:type="spellStart"/>
            <w:r w:rsidRPr="00A840BC">
              <w:rPr>
                <w:rFonts w:ascii="Arial" w:hAnsi="Arial" w:cs="Arial"/>
                <w:color w:val="000000" w:themeColor="text1"/>
              </w:rPr>
              <w:t>tahun</w:t>
            </w:r>
            <w:proofErr w:type="spellEnd"/>
          </w:p>
        </w:tc>
        <w:tc>
          <w:tcPr>
            <w:tcW w:w="2080" w:type="dxa"/>
            <w:vAlign w:val="center"/>
            <w:hideMark/>
          </w:tcPr>
          <w:p w14:paraId="700215C7" w14:textId="77777777"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65</w:t>
            </w:r>
          </w:p>
        </w:tc>
        <w:tc>
          <w:tcPr>
            <w:tcW w:w="860" w:type="dxa"/>
            <w:vAlign w:val="center"/>
            <w:hideMark/>
          </w:tcPr>
          <w:p w14:paraId="1B0A6E41" w14:textId="02739E68"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17%</w:t>
            </w:r>
          </w:p>
        </w:tc>
      </w:tr>
      <w:tr w:rsidR="00FC1504" w:rsidRPr="00A840BC" w14:paraId="0CD6B180" w14:textId="77777777" w:rsidTr="00FC1504">
        <w:trPr>
          <w:trHeight w:val="280"/>
          <w:jc w:val="center"/>
        </w:trPr>
        <w:tc>
          <w:tcPr>
            <w:tcW w:w="1418" w:type="dxa"/>
            <w:vMerge/>
            <w:vAlign w:val="center"/>
          </w:tcPr>
          <w:p w14:paraId="2B4FC6EE" w14:textId="04C88D9F" w:rsidR="00FC1504" w:rsidRPr="00A840BC" w:rsidRDefault="00FC1504" w:rsidP="002E3784">
            <w:pPr>
              <w:jc w:val="center"/>
              <w:rPr>
                <w:rFonts w:ascii="Arial" w:hAnsi="Arial" w:cs="Arial"/>
                <w:color w:val="000000" w:themeColor="text1"/>
              </w:rPr>
            </w:pPr>
          </w:p>
        </w:tc>
        <w:tc>
          <w:tcPr>
            <w:tcW w:w="2084" w:type="dxa"/>
            <w:vAlign w:val="center"/>
          </w:tcPr>
          <w:p w14:paraId="47D0EA1D" w14:textId="2DEB1276"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 xml:space="preserve">1–3 </w:t>
            </w:r>
            <w:proofErr w:type="spellStart"/>
            <w:r w:rsidRPr="00A840BC">
              <w:rPr>
                <w:rFonts w:ascii="Arial" w:hAnsi="Arial" w:cs="Arial"/>
                <w:color w:val="000000" w:themeColor="text1"/>
              </w:rPr>
              <w:t>tahun</w:t>
            </w:r>
            <w:proofErr w:type="spellEnd"/>
          </w:p>
        </w:tc>
        <w:tc>
          <w:tcPr>
            <w:tcW w:w="2080" w:type="dxa"/>
            <w:vAlign w:val="center"/>
            <w:hideMark/>
          </w:tcPr>
          <w:p w14:paraId="34B230C7" w14:textId="77777777"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208</w:t>
            </w:r>
          </w:p>
        </w:tc>
        <w:tc>
          <w:tcPr>
            <w:tcW w:w="860" w:type="dxa"/>
            <w:vAlign w:val="center"/>
            <w:hideMark/>
          </w:tcPr>
          <w:p w14:paraId="33061EC1" w14:textId="4375115E"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54%</w:t>
            </w:r>
          </w:p>
        </w:tc>
      </w:tr>
      <w:tr w:rsidR="00FC1504" w:rsidRPr="00A840BC" w14:paraId="3DC41E35" w14:textId="77777777" w:rsidTr="00FC1504">
        <w:trPr>
          <w:trHeight w:val="300"/>
          <w:jc w:val="center"/>
        </w:trPr>
        <w:tc>
          <w:tcPr>
            <w:tcW w:w="1418" w:type="dxa"/>
            <w:vMerge/>
            <w:vAlign w:val="center"/>
          </w:tcPr>
          <w:p w14:paraId="7ACCD14E" w14:textId="1CEDB719" w:rsidR="00FC1504" w:rsidRPr="00A840BC" w:rsidRDefault="00FC1504" w:rsidP="002E3784">
            <w:pPr>
              <w:jc w:val="center"/>
              <w:rPr>
                <w:rFonts w:ascii="Arial" w:hAnsi="Arial" w:cs="Arial"/>
                <w:color w:val="000000" w:themeColor="text1"/>
              </w:rPr>
            </w:pPr>
          </w:p>
        </w:tc>
        <w:tc>
          <w:tcPr>
            <w:tcW w:w="2084" w:type="dxa"/>
            <w:vAlign w:val="center"/>
          </w:tcPr>
          <w:p w14:paraId="236437BF" w14:textId="2E300CDD"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 xml:space="preserve">&gt; 3 </w:t>
            </w:r>
            <w:proofErr w:type="spellStart"/>
            <w:r w:rsidRPr="00A840BC">
              <w:rPr>
                <w:rFonts w:ascii="Arial" w:hAnsi="Arial" w:cs="Arial"/>
                <w:color w:val="000000" w:themeColor="text1"/>
              </w:rPr>
              <w:t>tahun</w:t>
            </w:r>
            <w:proofErr w:type="spellEnd"/>
          </w:p>
        </w:tc>
        <w:tc>
          <w:tcPr>
            <w:tcW w:w="2080" w:type="dxa"/>
            <w:vAlign w:val="center"/>
            <w:hideMark/>
          </w:tcPr>
          <w:p w14:paraId="56BB4F5C" w14:textId="77777777"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112</w:t>
            </w:r>
          </w:p>
        </w:tc>
        <w:tc>
          <w:tcPr>
            <w:tcW w:w="860" w:type="dxa"/>
            <w:vAlign w:val="center"/>
            <w:hideMark/>
          </w:tcPr>
          <w:p w14:paraId="6AE0665E" w14:textId="483A5BA8" w:rsidR="00FC1504" w:rsidRPr="00A840BC" w:rsidRDefault="00FC1504" w:rsidP="002E3784">
            <w:pPr>
              <w:jc w:val="center"/>
              <w:rPr>
                <w:rFonts w:ascii="Arial" w:hAnsi="Arial" w:cs="Arial"/>
                <w:color w:val="000000" w:themeColor="text1"/>
              </w:rPr>
            </w:pPr>
            <w:r w:rsidRPr="00A840BC">
              <w:rPr>
                <w:rFonts w:ascii="Arial" w:hAnsi="Arial" w:cs="Arial"/>
                <w:color w:val="000000" w:themeColor="text1"/>
              </w:rPr>
              <w:t>29%</w:t>
            </w:r>
          </w:p>
        </w:tc>
      </w:tr>
      <w:tr w:rsidR="005B368D" w:rsidRPr="00A840BC" w14:paraId="393D4F22" w14:textId="77777777" w:rsidTr="00FC1504">
        <w:trPr>
          <w:trHeight w:val="300"/>
          <w:jc w:val="center"/>
        </w:trPr>
        <w:tc>
          <w:tcPr>
            <w:tcW w:w="1418" w:type="dxa"/>
            <w:vMerge w:val="restart"/>
            <w:vAlign w:val="center"/>
          </w:tcPr>
          <w:p w14:paraId="035A1A00" w14:textId="3BBB3591" w:rsidR="005B368D" w:rsidRPr="00A840BC" w:rsidRDefault="005B368D" w:rsidP="005B368D">
            <w:pPr>
              <w:jc w:val="center"/>
              <w:rPr>
                <w:rFonts w:ascii="Arial" w:hAnsi="Arial" w:cs="Arial"/>
                <w:b/>
                <w:bCs/>
                <w:color w:val="000000" w:themeColor="text1"/>
              </w:rPr>
            </w:pPr>
            <w:r w:rsidRPr="00A840BC">
              <w:rPr>
                <w:rFonts w:ascii="Arial" w:hAnsi="Arial" w:cs="Arial"/>
                <w:b/>
                <w:bCs/>
                <w:color w:val="000000" w:themeColor="text1"/>
              </w:rPr>
              <w:t>Business Sector</w:t>
            </w:r>
          </w:p>
        </w:tc>
        <w:tc>
          <w:tcPr>
            <w:tcW w:w="2084" w:type="dxa"/>
            <w:vAlign w:val="center"/>
          </w:tcPr>
          <w:p w14:paraId="32A43450" w14:textId="3FAA48BD" w:rsidR="005B368D" w:rsidRPr="00A840BC" w:rsidRDefault="005B368D" w:rsidP="005B368D">
            <w:pPr>
              <w:jc w:val="center"/>
              <w:rPr>
                <w:rFonts w:ascii="Arial" w:hAnsi="Arial" w:cs="Arial"/>
                <w:color w:val="000000" w:themeColor="text1"/>
              </w:rPr>
            </w:pPr>
            <w:r w:rsidRPr="00A840BC">
              <w:rPr>
                <w:rFonts w:ascii="Arial" w:hAnsi="Arial" w:cs="Arial"/>
                <w:color w:val="000000" w:themeColor="text1"/>
              </w:rPr>
              <w:t>F&amp;B (Culinary)</w:t>
            </w:r>
          </w:p>
        </w:tc>
        <w:tc>
          <w:tcPr>
            <w:tcW w:w="2080" w:type="dxa"/>
            <w:vAlign w:val="center"/>
          </w:tcPr>
          <w:p w14:paraId="6077B162" w14:textId="21716CFB" w:rsidR="005B368D" w:rsidRPr="00A840BC" w:rsidRDefault="005B368D" w:rsidP="005B368D">
            <w:pPr>
              <w:jc w:val="center"/>
              <w:rPr>
                <w:rFonts w:ascii="Arial" w:hAnsi="Arial" w:cs="Arial"/>
                <w:color w:val="000000" w:themeColor="text1"/>
              </w:rPr>
            </w:pPr>
            <w:r w:rsidRPr="00A840BC">
              <w:rPr>
                <w:rFonts w:ascii="Arial" w:hAnsi="Arial" w:cs="Arial"/>
                <w:color w:val="000000" w:themeColor="text1"/>
              </w:rPr>
              <w:t>196</w:t>
            </w:r>
          </w:p>
        </w:tc>
        <w:tc>
          <w:tcPr>
            <w:tcW w:w="860" w:type="dxa"/>
            <w:vAlign w:val="center"/>
          </w:tcPr>
          <w:p w14:paraId="6ADCF203" w14:textId="4527405D" w:rsidR="005B368D" w:rsidRPr="00A840BC" w:rsidRDefault="005B368D" w:rsidP="005B368D">
            <w:pPr>
              <w:jc w:val="center"/>
              <w:rPr>
                <w:rFonts w:ascii="Arial" w:hAnsi="Arial" w:cs="Arial"/>
                <w:color w:val="000000" w:themeColor="text1"/>
              </w:rPr>
            </w:pPr>
            <w:r w:rsidRPr="00A840BC">
              <w:rPr>
                <w:rFonts w:ascii="Arial" w:hAnsi="Arial" w:cs="Arial"/>
                <w:color w:val="000000" w:themeColor="text1"/>
              </w:rPr>
              <w:t>51%</w:t>
            </w:r>
          </w:p>
        </w:tc>
      </w:tr>
      <w:tr w:rsidR="005B368D" w:rsidRPr="00A840BC" w14:paraId="58A66F63" w14:textId="77777777" w:rsidTr="00FC1504">
        <w:trPr>
          <w:trHeight w:val="300"/>
          <w:jc w:val="center"/>
        </w:trPr>
        <w:tc>
          <w:tcPr>
            <w:tcW w:w="1418" w:type="dxa"/>
            <w:vMerge/>
            <w:vAlign w:val="center"/>
          </w:tcPr>
          <w:p w14:paraId="630F0088" w14:textId="77777777" w:rsidR="005B368D" w:rsidRPr="00A840BC" w:rsidRDefault="005B368D" w:rsidP="005B368D">
            <w:pPr>
              <w:jc w:val="center"/>
              <w:rPr>
                <w:rFonts w:ascii="Arial" w:hAnsi="Arial" w:cs="Arial"/>
                <w:color w:val="000000" w:themeColor="text1"/>
              </w:rPr>
            </w:pPr>
          </w:p>
        </w:tc>
        <w:tc>
          <w:tcPr>
            <w:tcW w:w="2084" w:type="dxa"/>
            <w:vAlign w:val="center"/>
          </w:tcPr>
          <w:p w14:paraId="51946009" w14:textId="3014D7B5" w:rsidR="005B368D" w:rsidRPr="00A840BC" w:rsidRDefault="005B368D" w:rsidP="005B368D">
            <w:pPr>
              <w:jc w:val="center"/>
              <w:rPr>
                <w:rFonts w:ascii="Arial" w:hAnsi="Arial" w:cs="Arial"/>
                <w:color w:val="000000" w:themeColor="text1"/>
              </w:rPr>
            </w:pPr>
            <w:r w:rsidRPr="00A840BC">
              <w:rPr>
                <w:rFonts w:ascii="Arial" w:hAnsi="Arial" w:cs="Arial"/>
                <w:color w:val="000000" w:themeColor="text1"/>
              </w:rPr>
              <w:t>Services</w:t>
            </w:r>
          </w:p>
        </w:tc>
        <w:tc>
          <w:tcPr>
            <w:tcW w:w="2080" w:type="dxa"/>
            <w:vAlign w:val="center"/>
          </w:tcPr>
          <w:p w14:paraId="4435120F" w14:textId="089DEF7B" w:rsidR="005B368D" w:rsidRPr="00A840BC" w:rsidRDefault="005B368D" w:rsidP="005B368D">
            <w:pPr>
              <w:jc w:val="center"/>
              <w:rPr>
                <w:rFonts w:ascii="Arial" w:hAnsi="Arial" w:cs="Arial"/>
                <w:color w:val="000000" w:themeColor="text1"/>
              </w:rPr>
            </w:pPr>
            <w:r w:rsidRPr="00A840BC">
              <w:rPr>
                <w:rFonts w:ascii="Arial" w:hAnsi="Arial" w:cs="Arial"/>
                <w:color w:val="000000" w:themeColor="text1"/>
              </w:rPr>
              <w:t>73</w:t>
            </w:r>
          </w:p>
        </w:tc>
        <w:tc>
          <w:tcPr>
            <w:tcW w:w="860" w:type="dxa"/>
            <w:vAlign w:val="center"/>
          </w:tcPr>
          <w:p w14:paraId="4302ACA8" w14:textId="6F6D13D2" w:rsidR="005B368D" w:rsidRPr="00A840BC" w:rsidRDefault="005B368D" w:rsidP="005B368D">
            <w:pPr>
              <w:jc w:val="center"/>
              <w:rPr>
                <w:rFonts w:ascii="Arial" w:hAnsi="Arial" w:cs="Arial"/>
                <w:color w:val="000000" w:themeColor="text1"/>
              </w:rPr>
            </w:pPr>
            <w:r w:rsidRPr="00A840BC">
              <w:rPr>
                <w:rFonts w:ascii="Arial" w:hAnsi="Arial" w:cs="Arial"/>
                <w:color w:val="000000" w:themeColor="text1"/>
              </w:rPr>
              <w:t>19%</w:t>
            </w:r>
          </w:p>
        </w:tc>
      </w:tr>
      <w:tr w:rsidR="005B368D" w:rsidRPr="00A840BC" w14:paraId="095DC484" w14:textId="77777777" w:rsidTr="00FC1504">
        <w:trPr>
          <w:trHeight w:val="300"/>
          <w:jc w:val="center"/>
        </w:trPr>
        <w:tc>
          <w:tcPr>
            <w:tcW w:w="1418" w:type="dxa"/>
            <w:vMerge/>
            <w:vAlign w:val="center"/>
          </w:tcPr>
          <w:p w14:paraId="4798BC24" w14:textId="77777777" w:rsidR="005B368D" w:rsidRPr="00A840BC" w:rsidRDefault="005B368D" w:rsidP="005B368D">
            <w:pPr>
              <w:jc w:val="center"/>
              <w:rPr>
                <w:rFonts w:ascii="Arial" w:hAnsi="Arial" w:cs="Arial"/>
                <w:color w:val="000000" w:themeColor="text1"/>
              </w:rPr>
            </w:pPr>
          </w:p>
        </w:tc>
        <w:tc>
          <w:tcPr>
            <w:tcW w:w="2084" w:type="dxa"/>
            <w:vAlign w:val="center"/>
          </w:tcPr>
          <w:p w14:paraId="497688D2" w14:textId="35B22B0D" w:rsidR="005B368D" w:rsidRPr="00A840BC" w:rsidRDefault="005B368D" w:rsidP="005B368D">
            <w:pPr>
              <w:jc w:val="center"/>
              <w:rPr>
                <w:rFonts w:ascii="Arial" w:hAnsi="Arial" w:cs="Arial"/>
                <w:color w:val="000000" w:themeColor="text1"/>
              </w:rPr>
            </w:pPr>
            <w:r w:rsidRPr="00A840BC">
              <w:rPr>
                <w:rFonts w:ascii="Arial" w:hAnsi="Arial" w:cs="Arial"/>
                <w:color w:val="000000" w:themeColor="text1"/>
              </w:rPr>
              <w:t>Retail/Trade</w:t>
            </w:r>
          </w:p>
        </w:tc>
        <w:tc>
          <w:tcPr>
            <w:tcW w:w="2080" w:type="dxa"/>
            <w:vAlign w:val="center"/>
          </w:tcPr>
          <w:p w14:paraId="636BAEAA" w14:textId="450F9E7A" w:rsidR="005B368D" w:rsidRPr="00A840BC" w:rsidRDefault="005B368D" w:rsidP="005B368D">
            <w:pPr>
              <w:jc w:val="center"/>
              <w:rPr>
                <w:rFonts w:ascii="Arial" w:hAnsi="Arial" w:cs="Arial"/>
                <w:color w:val="000000" w:themeColor="text1"/>
              </w:rPr>
            </w:pPr>
            <w:r w:rsidRPr="00A840BC">
              <w:rPr>
                <w:rFonts w:ascii="Arial" w:hAnsi="Arial" w:cs="Arial"/>
                <w:color w:val="000000" w:themeColor="text1"/>
              </w:rPr>
              <w:t>51</w:t>
            </w:r>
          </w:p>
        </w:tc>
        <w:tc>
          <w:tcPr>
            <w:tcW w:w="860" w:type="dxa"/>
            <w:vAlign w:val="center"/>
          </w:tcPr>
          <w:p w14:paraId="35188973" w14:textId="37154C63" w:rsidR="005B368D" w:rsidRPr="00A840BC" w:rsidRDefault="005B368D" w:rsidP="005B368D">
            <w:pPr>
              <w:jc w:val="center"/>
              <w:rPr>
                <w:rFonts w:ascii="Arial" w:hAnsi="Arial" w:cs="Arial"/>
                <w:color w:val="000000" w:themeColor="text1"/>
              </w:rPr>
            </w:pPr>
            <w:r w:rsidRPr="00A840BC">
              <w:rPr>
                <w:rFonts w:ascii="Arial" w:hAnsi="Arial" w:cs="Arial"/>
                <w:color w:val="000000" w:themeColor="text1"/>
              </w:rPr>
              <w:t>13%</w:t>
            </w:r>
          </w:p>
        </w:tc>
      </w:tr>
      <w:tr w:rsidR="005B368D" w:rsidRPr="00A840BC" w14:paraId="7BC0CB72" w14:textId="77777777" w:rsidTr="00FC1504">
        <w:trPr>
          <w:trHeight w:val="300"/>
          <w:jc w:val="center"/>
        </w:trPr>
        <w:tc>
          <w:tcPr>
            <w:tcW w:w="1418" w:type="dxa"/>
            <w:vMerge/>
            <w:vAlign w:val="center"/>
          </w:tcPr>
          <w:p w14:paraId="26AF6A3B" w14:textId="77777777" w:rsidR="005B368D" w:rsidRPr="00A840BC" w:rsidRDefault="005B368D" w:rsidP="005B368D">
            <w:pPr>
              <w:jc w:val="center"/>
              <w:rPr>
                <w:rFonts w:ascii="Arial" w:hAnsi="Arial" w:cs="Arial"/>
                <w:color w:val="000000" w:themeColor="text1"/>
              </w:rPr>
            </w:pPr>
          </w:p>
        </w:tc>
        <w:tc>
          <w:tcPr>
            <w:tcW w:w="2084" w:type="dxa"/>
            <w:vAlign w:val="center"/>
          </w:tcPr>
          <w:p w14:paraId="328B0F9C" w14:textId="5FCA7E3B" w:rsidR="005B368D" w:rsidRPr="00A840BC" w:rsidRDefault="005B368D" w:rsidP="005B368D">
            <w:pPr>
              <w:jc w:val="center"/>
              <w:rPr>
                <w:rFonts w:ascii="Arial" w:hAnsi="Arial" w:cs="Arial"/>
                <w:color w:val="000000" w:themeColor="text1"/>
              </w:rPr>
            </w:pPr>
            <w:r w:rsidRPr="00A840BC">
              <w:rPr>
                <w:rFonts w:ascii="Arial" w:hAnsi="Arial" w:cs="Arial"/>
                <w:color w:val="000000" w:themeColor="text1"/>
              </w:rPr>
              <w:t>Fashion</w:t>
            </w:r>
          </w:p>
        </w:tc>
        <w:tc>
          <w:tcPr>
            <w:tcW w:w="2080" w:type="dxa"/>
            <w:vAlign w:val="center"/>
          </w:tcPr>
          <w:p w14:paraId="1BE293AA" w14:textId="3831D4BD" w:rsidR="005B368D" w:rsidRPr="00A840BC" w:rsidRDefault="005B368D" w:rsidP="005B368D">
            <w:pPr>
              <w:jc w:val="center"/>
              <w:rPr>
                <w:rFonts w:ascii="Arial" w:hAnsi="Arial" w:cs="Arial"/>
                <w:color w:val="000000" w:themeColor="text1"/>
              </w:rPr>
            </w:pPr>
            <w:r w:rsidRPr="00A840BC">
              <w:rPr>
                <w:rFonts w:ascii="Arial" w:hAnsi="Arial" w:cs="Arial"/>
                <w:color w:val="000000" w:themeColor="text1"/>
              </w:rPr>
              <w:t>50</w:t>
            </w:r>
          </w:p>
        </w:tc>
        <w:tc>
          <w:tcPr>
            <w:tcW w:w="860" w:type="dxa"/>
            <w:vAlign w:val="center"/>
          </w:tcPr>
          <w:p w14:paraId="5E4798E1" w14:textId="4E53DA96" w:rsidR="005B368D" w:rsidRPr="00A840BC" w:rsidRDefault="005B368D" w:rsidP="005B368D">
            <w:pPr>
              <w:jc w:val="center"/>
              <w:rPr>
                <w:rFonts w:ascii="Arial" w:hAnsi="Arial" w:cs="Arial"/>
                <w:color w:val="000000" w:themeColor="text1"/>
              </w:rPr>
            </w:pPr>
            <w:r w:rsidRPr="00A840BC">
              <w:rPr>
                <w:rFonts w:ascii="Arial" w:hAnsi="Arial" w:cs="Arial"/>
                <w:color w:val="000000" w:themeColor="text1"/>
              </w:rPr>
              <w:t>13%</w:t>
            </w:r>
          </w:p>
        </w:tc>
      </w:tr>
      <w:tr w:rsidR="005B368D" w:rsidRPr="00A840BC" w14:paraId="0C2B3F80" w14:textId="77777777" w:rsidTr="00FC1504">
        <w:trPr>
          <w:trHeight w:val="300"/>
          <w:jc w:val="center"/>
        </w:trPr>
        <w:tc>
          <w:tcPr>
            <w:tcW w:w="1418" w:type="dxa"/>
            <w:vMerge/>
            <w:vAlign w:val="center"/>
          </w:tcPr>
          <w:p w14:paraId="01B32F70" w14:textId="77777777" w:rsidR="005B368D" w:rsidRPr="00A840BC" w:rsidRDefault="005B368D" w:rsidP="005B368D">
            <w:pPr>
              <w:jc w:val="center"/>
              <w:rPr>
                <w:rFonts w:ascii="Arial" w:hAnsi="Arial" w:cs="Arial"/>
                <w:color w:val="000000" w:themeColor="text1"/>
              </w:rPr>
            </w:pPr>
          </w:p>
        </w:tc>
        <w:tc>
          <w:tcPr>
            <w:tcW w:w="2084" w:type="dxa"/>
            <w:vAlign w:val="center"/>
          </w:tcPr>
          <w:p w14:paraId="522F892B" w14:textId="71F34F90" w:rsidR="005B368D" w:rsidRPr="00A840BC" w:rsidRDefault="005B368D" w:rsidP="005B368D">
            <w:pPr>
              <w:jc w:val="center"/>
              <w:rPr>
                <w:rFonts w:ascii="Arial" w:hAnsi="Arial" w:cs="Arial"/>
                <w:color w:val="000000" w:themeColor="text1"/>
              </w:rPr>
            </w:pPr>
            <w:r w:rsidRPr="00A840BC">
              <w:rPr>
                <w:rFonts w:ascii="Arial" w:hAnsi="Arial" w:cs="Arial"/>
                <w:color w:val="000000" w:themeColor="text1"/>
              </w:rPr>
              <w:t>Agriculture/Livestock</w:t>
            </w:r>
          </w:p>
        </w:tc>
        <w:tc>
          <w:tcPr>
            <w:tcW w:w="2080" w:type="dxa"/>
            <w:vAlign w:val="center"/>
          </w:tcPr>
          <w:p w14:paraId="04AE1A48" w14:textId="6ABB29C1" w:rsidR="005B368D" w:rsidRPr="00A840BC" w:rsidRDefault="005B368D" w:rsidP="005B368D">
            <w:pPr>
              <w:jc w:val="center"/>
              <w:rPr>
                <w:rFonts w:ascii="Arial" w:hAnsi="Arial" w:cs="Arial"/>
                <w:color w:val="000000" w:themeColor="text1"/>
              </w:rPr>
            </w:pPr>
            <w:r w:rsidRPr="00A840BC">
              <w:rPr>
                <w:rFonts w:ascii="Arial" w:hAnsi="Arial" w:cs="Arial"/>
                <w:color w:val="000000" w:themeColor="text1"/>
              </w:rPr>
              <w:t>9</w:t>
            </w:r>
          </w:p>
        </w:tc>
        <w:tc>
          <w:tcPr>
            <w:tcW w:w="860" w:type="dxa"/>
            <w:vAlign w:val="center"/>
          </w:tcPr>
          <w:p w14:paraId="2632F69A" w14:textId="1A349C36" w:rsidR="005B368D" w:rsidRPr="00A840BC" w:rsidRDefault="005B368D" w:rsidP="005B368D">
            <w:pPr>
              <w:jc w:val="center"/>
              <w:rPr>
                <w:rFonts w:ascii="Arial" w:hAnsi="Arial" w:cs="Arial"/>
                <w:color w:val="000000" w:themeColor="text1"/>
              </w:rPr>
            </w:pPr>
            <w:r w:rsidRPr="00A840BC">
              <w:rPr>
                <w:rFonts w:ascii="Arial" w:hAnsi="Arial" w:cs="Arial"/>
                <w:color w:val="000000" w:themeColor="text1"/>
              </w:rPr>
              <w:t>2%</w:t>
            </w:r>
          </w:p>
        </w:tc>
      </w:tr>
      <w:tr w:rsidR="005B368D" w:rsidRPr="00A840BC" w14:paraId="3336C036" w14:textId="77777777" w:rsidTr="00FC1504">
        <w:trPr>
          <w:trHeight w:val="300"/>
          <w:jc w:val="center"/>
        </w:trPr>
        <w:tc>
          <w:tcPr>
            <w:tcW w:w="1418" w:type="dxa"/>
            <w:vMerge/>
            <w:vAlign w:val="center"/>
          </w:tcPr>
          <w:p w14:paraId="057A4753" w14:textId="77777777" w:rsidR="005B368D" w:rsidRPr="00A840BC" w:rsidRDefault="005B368D" w:rsidP="005B368D">
            <w:pPr>
              <w:jc w:val="center"/>
              <w:rPr>
                <w:rFonts w:ascii="Arial" w:hAnsi="Arial" w:cs="Arial"/>
                <w:color w:val="000000" w:themeColor="text1"/>
              </w:rPr>
            </w:pPr>
          </w:p>
        </w:tc>
        <w:tc>
          <w:tcPr>
            <w:tcW w:w="2084" w:type="dxa"/>
            <w:vAlign w:val="center"/>
          </w:tcPr>
          <w:p w14:paraId="3F0EF5D2" w14:textId="45A48AD3" w:rsidR="005B368D" w:rsidRPr="00A840BC" w:rsidRDefault="005B368D" w:rsidP="005B368D">
            <w:pPr>
              <w:jc w:val="center"/>
              <w:rPr>
                <w:rFonts w:ascii="Arial" w:hAnsi="Arial" w:cs="Arial"/>
                <w:color w:val="000000" w:themeColor="text1"/>
              </w:rPr>
            </w:pPr>
            <w:r w:rsidRPr="00A840BC">
              <w:rPr>
                <w:rFonts w:ascii="Arial" w:hAnsi="Arial" w:cs="Arial"/>
                <w:color w:val="000000" w:themeColor="text1"/>
              </w:rPr>
              <w:t>Others</w:t>
            </w:r>
          </w:p>
        </w:tc>
        <w:tc>
          <w:tcPr>
            <w:tcW w:w="2080" w:type="dxa"/>
            <w:vAlign w:val="center"/>
          </w:tcPr>
          <w:p w14:paraId="3BF95BBF" w14:textId="293DD2D1" w:rsidR="005B368D" w:rsidRPr="00A840BC" w:rsidRDefault="005B368D" w:rsidP="005B368D">
            <w:pPr>
              <w:jc w:val="center"/>
              <w:rPr>
                <w:rFonts w:ascii="Arial" w:hAnsi="Arial" w:cs="Arial"/>
                <w:color w:val="000000" w:themeColor="text1"/>
              </w:rPr>
            </w:pPr>
            <w:r w:rsidRPr="00A840BC">
              <w:rPr>
                <w:rFonts w:ascii="Arial" w:hAnsi="Arial" w:cs="Arial"/>
                <w:color w:val="000000" w:themeColor="text1"/>
              </w:rPr>
              <w:t>6</w:t>
            </w:r>
          </w:p>
        </w:tc>
        <w:tc>
          <w:tcPr>
            <w:tcW w:w="860" w:type="dxa"/>
            <w:vAlign w:val="center"/>
          </w:tcPr>
          <w:p w14:paraId="68417BC9" w14:textId="38D5F849" w:rsidR="005B368D" w:rsidRPr="00A840BC" w:rsidRDefault="005B368D" w:rsidP="005B368D">
            <w:pPr>
              <w:jc w:val="center"/>
              <w:rPr>
                <w:rFonts w:ascii="Arial" w:hAnsi="Arial" w:cs="Arial"/>
                <w:color w:val="000000" w:themeColor="text1"/>
              </w:rPr>
            </w:pPr>
            <w:r w:rsidRPr="00A840BC">
              <w:rPr>
                <w:rFonts w:ascii="Arial" w:hAnsi="Arial" w:cs="Arial"/>
                <w:color w:val="000000" w:themeColor="text1"/>
              </w:rPr>
              <w:t>2%</w:t>
            </w:r>
          </w:p>
        </w:tc>
      </w:tr>
      <w:tr w:rsidR="00570383" w:rsidRPr="00A840BC" w14:paraId="2EF2BF83" w14:textId="77777777" w:rsidTr="00DE5A54">
        <w:trPr>
          <w:trHeight w:val="300"/>
          <w:jc w:val="center"/>
        </w:trPr>
        <w:tc>
          <w:tcPr>
            <w:tcW w:w="1418" w:type="dxa"/>
            <w:vMerge/>
            <w:vAlign w:val="center"/>
          </w:tcPr>
          <w:p w14:paraId="6E342A95" w14:textId="77777777" w:rsidR="00570383" w:rsidRPr="00A840BC" w:rsidRDefault="00570383" w:rsidP="005B368D">
            <w:pPr>
              <w:jc w:val="center"/>
              <w:rPr>
                <w:rFonts w:ascii="Arial" w:hAnsi="Arial" w:cs="Arial"/>
                <w:color w:val="000000" w:themeColor="text1"/>
              </w:rPr>
            </w:pPr>
          </w:p>
        </w:tc>
        <w:tc>
          <w:tcPr>
            <w:tcW w:w="5024" w:type="dxa"/>
            <w:gridSpan w:val="3"/>
            <w:vAlign w:val="center"/>
          </w:tcPr>
          <w:p w14:paraId="607977B8" w14:textId="77777777" w:rsidR="00570383" w:rsidRPr="00A840BC" w:rsidRDefault="00570383" w:rsidP="005B368D">
            <w:pPr>
              <w:jc w:val="center"/>
              <w:rPr>
                <w:rFonts w:ascii="Arial" w:hAnsi="Arial" w:cs="Arial"/>
                <w:color w:val="000000" w:themeColor="text1"/>
              </w:rPr>
            </w:pPr>
          </w:p>
        </w:tc>
      </w:tr>
    </w:tbl>
    <w:p w14:paraId="75914115" w14:textId="79730F04" w:rsidR="005874E8" w:rsidRPr="00A840BC" w:rsidRDefault="005874E8" w:rsidP="002E3784">
      <w:pPr>
        <w:pStyle w:val="p1"/>
        <w:jc w:val="center"/>
        <w:rPr>
          <w:color w:val="000000" w:themeColor="text1"/>
        </w:rPr>
      </w:pPr>
      <w:r w:rsidRPr="00A840BC">
        <w:rPr>
          <w:i/>
          <w:iCs/>
          <w:color w:val="000000" w:themeColor="text1"/>
        </w:rPr>
        <w:t>Source: Compiled by the author based on the anal</w:t>
      </w:r>
      <w:r w:rsidR="00FC5106" w:rsidRPr="00A840BC">
        <w:rPr>
          <w:i/>
          <w:iCs/>
          <w:color w:val="000000" w:themeColor="text1"/>
        </w:rPr>
        <w:t>ys</w:t>
      </w:r>
      <w:r w:rsidRPr="00A840BC">
        <w:rPr>
          <w:i/>
          <w:iCs/>
          <w:color w:val="000000" w:themeColor="text1"/>
        </w:rPr>
        <w:t>ed data</w:t>
      </w:r>
    </w:p>
    <w:p w14:paraId="7B56BB53" w14:textId="77777777" w:rsidR="00505F06" w:rsidRPr="00A840BC" w:rsidRDefault="00505F06" w:rsidP="002E3784">
      <w:pPr>
        <w:pStyle w:val="Body"/>
        <w:spacing w:after="0"/>
        <w:rPr>
          <w:rFonts w:ascii="Arial" w:hAnsi="Arial" w:cs="Arial"/>
          <w:color w:val="000000" w:themeColor="text1"/>
        </w:rPr>
      </w:pPr>
    </w:p>
    <w:p w14:paraId="03576F59" w14:textId="77777777" w:rsidR="00CB5252" w:rsidRPr="00A840BC" w:rsidRDefault="00CB5252" w:rsidP="002E3784">
      <w:pPr>
        <w:pStyle w:val="Body"/>
        <w:spacing w:after="0"/>
        <w:rPr>
          <w:rFonts w:ascii="Arial" w:hAnsi="Arial" w:cs="Arial"/>
          <w:color w:val="000000" w:themeColor="text1"/>
        </w:rPr>
      </w:pPr>
    </w:p>
    <w:p w14:paraId="7D92477A" w14:textId="77777777" w:rsidR="00CB5252" w:rsidRPr="00A840BC" w:rsidRDefault="00CB5252" w:rsidP="002E3784">
      <w:pPr>
        <w:pStyle w:val="Body"/>
        <w:spacing w:after="0"/>
        <w:rPr>
          <w:rFonts w:ascii="Arial" w:hAnsi="Arial" w:cs="Arial"/>
          <w:color w:val="000000" w:themeColor="text1"/>
        </w:rPr>
      </w:pPr>
    </w:p>
    <w:p w14:paraId="20A074E8" w14:textId="18DA5876" w:rsidR="001D3C18" w:rsidRPr="00A840BC" w:rsidRDefault="00CA5BB4" w:rsidP="002E3784">
      <w:pPr>
        <w:pStyle w:val="Body"/>
        <w:spacing w:after="0"/>
        <w:rPr>
          <w:rFonts w:ascii="Arial" w:hAnsi="Arial" w:cs="Arial"/>
          <w:b/>
          <w:color w:val="000000" w:themeColor="text1"/>
          <w:sz w:val="22"/>
        </w:rPr>
      </w:pPr>
      <w:r w:rsidRPr="00A840BC">
        <w:rPr>
          <w:rFonts w:ascii="Arial" w:hAnsi="Arial" w:cs="Arial"/>
          <w:b/>
          <w:caps/>
          <w:color w:val="000000" w:themeColor="text1"/>
          <w:sz w:val="22"/>
        </w:rPr>
        <w:t>4</w:t>
      </w:r>
      <w:r w:rsidR="001D3C18" w:rsidRPr="00A840BC">
        <w:rPr>
          <w:rFonts w:ascii="Arial" w:hAnsi="Arial" w:cs="Arial"/>
          <w:b/>
          <w:caps/>
          <w:color w:val="000000" w:themeColor="text1"/>
          <w:sz w:val="22"/>
        </w:rPr>
        <w:t xml:space="preserve">.2 </w:t>
      </w:r>
      <w:r w:rsidR="006A48B5" w:rsidRPr="00A840BC">
        <w:rPr>
          <w:rFonts w:ascii="Arial" w:hAnsi="Arial" w:cs="Arial"/>
          <w:b/>
          <w:color w:val="000000" w:themeColor="text1"/>
          <w:sz w:val="22"/>
        </w:rPr>
        <w:t>Descriptive Statistical Analysis</w:t>
      </w:r>
    </w:p>
    <w:p w14:paraId="2612AFB5" w14:textId="77777777" w:rsidR="002246FC" w:rsidRPr="00A840BC" w:rsidRDefault="002246FC" w:rsidP="002E3784">
      <w:pPr>
        <w:pStyle w:val="Body"/>
        <w:spacing w:after="0"/>
        <w:rPr>
          <w:rFonts w:ascii="Arial" w:hAnsi="Arial" w:cs="Arial"/>
          <w:b/>
          <w:color w:val="000000" w:themeColor="text1"/>
          <w:sz w:val="22"/>
        </w:rPr>
      </w:pPr>
    </w:p>
    <w:p w14:paraId="2140E1D0" w14:textId="77777777" w:rsidR="001B4A3E" w:rsidRPr="00A840BC" w:rsidRDefault="00F279B5" w:rsidP="002E3784">
      <w:pPr>
        <w:pStyle w:val="Body"/>
        <w:rPr>
          <w:rFonts w:ascii="Arial" w:hAnsi="Arial" w:cs="Arial"/>
          <w:color w:val="000000" w:themeColor="text1"/>
        </w:rPr>
      </w:pPr>
      <w:r w:rsidRPr="00A840BC">
        <w:rPr>
          <w:rFonts w:ascii="Arial" w:hAnsi="Arial" w:cs="Arial"/>
          <w:color w:val="000000" w:themeColor="text1"/>
        </w:rPr>
        <w:t>Before evaluating the structural model, a descriptive analysis was conducted to understand the respondents' perceptions.</w:t>
      </w:r>
      <w:r w:rsidR="009E31F3" w:rsidRPr="00A840BC">
        <w:rPr>
          <w:rFonts w:ascii="Arial" w:hAnsi="Arial" w:cs="Arial"/>
          <w:color w:val="000000" w:themeColor="text1"/>
        </w:rPr>
        <w:t xml:space="preserve"> </w:t>
      </w:r>
    </w:p>
    <w:p w14:paraId="77F5835E" w14:textId="570DE884" w:rsidR="002246FC" w:rsidRPr="00A840BC" w:rsidRDefault="00CA5BB4" w:rsidP="002E3784">
      <w:pPr>
        <w:pStyle w:val="Body"/>
        <w:rPr>
          <w:rFonts w:ascii="Arial" w:hAnsi="Arial" w:cs="Arial"/>
          <w:b/>
          <w:color w:val="000000" w:themeColor="text1"/>
          <w:u w:val="single"/>
        </w:rPr>
      </w:pPr>
      <w:r w:rsidRPr="00A840BC">
        <w:rPr>
          <w:rFonts w:ascii="Arial" w:hAnsi="Arial" w:cs="Arial"/>
          <w:b/>
          <w:color w:val="000000" w:themeColor="text1"/>
          <w:u w:val="single"/>
        </w:rPr>
        <w:t>4</w:t>
      </w:r>
      <w:r w:rsidR="001B4A3E" w:rsidRPr="00A840BC">
        <w:rPr>
          <w:rFonts w:ascii="Arial" w:hAnsi="Arial" w:cs="Arial"/>
          <w:b/>
          <w:color w:val="000000" w:themeColor="text1"/>
          <w:u w:val="single"/>
        </w:rPr>
        <w:t>.</w:t>
      </w:r>
      <w:r w:rsidR="005017DB" w:rsidRPr="00A840BC">
        <w:rPr>
          <w:rFonts w:ascii="Arial" w:hAnsi="Arial" w:cs="Arial"/>
          <w:b/>
          <w:color w:val="000000" w:themeColor="text1"/>
          <w:u w:val="single"/>
        </w:rPr>
        <w:t>2</w:t>
      </w:r>
      <w:r w:rsidR="001B4A3E" w:rsidRPr="00A840BC">
        <w:rPr>
          <w:rFonts w:ascii="Arial" w:hAnsi="Arial" w:cs="Arial"/>
          <w:b/>
          <w:color w:val="000000" w:themeColor="text1"/>
          <w:u w:val="single"/>
        </w:rPr>
        <w:t xml:space="preserve">.1 </w:t>
      </w:r>
      <w:r w:rsidR="0056231D" w:rsidRPr="00A840BC">
        <w:rPr>
          <w:rFonts w:ascii="Arial" w:hAnsi="Arial" w:cs="Arial"/>
          <w:b/>
          <w:color w:val="000000" w:themeColor="text1"/>
          <w:u w:val="single"/>
        </w:rPr>
        <w:t>Government Policy (X1)</w:t>
      </w:r>
    </w:p>
    <w:p w14:paraId="56C4224E" w14:textId="166963B9" w:rsidR="002B7206" w:rsidRPr="00A840BC" w:rsidRDefault="002E2B46" w:rsidP="002E3784">
      <w:pPr>
        <w:pStyle w:val="Body"/>
        <w:rPr>
          <w:rFonts w:ascii="Arial" w:hAnsi="Arial" w:cs="Arial"/>
          <w:color w:val="000000" w:themeColor="text1"/>
        </w:rPr>
      </w:pPr>
      <w:r w:rsidRPr="00A840BC">
        <w:rPr>
          <w:rFonts w:ascii="Arial" w:hAnsi="Arial" w:cs="Arial"/>
          <w:color w:val="000000" w:themeColor="text1"/>
        </w:rPr>
        <w:t xml:space="preserve">Table 3 presents </w:t>
      </w:r>
      <w:r w:rsidR="002E4D3C" w:rsidRPr="00A840BC">
        <w:rPr>
          <w:rFonts w:ascii="Arial" w:hAnsi="Arial" w:cs="Arial"/>
          <w:color w:val="000000" w:themeColor="text1"/>
        </w:rPr>
        <w:t>examination of Government Policy shows an average rating of 3.85, which signifies that Gen Z MSMEs view the existing regulations and framework as advantageous. In particular, the high endorsement for policies that encourage transactions (X1.5, mean 3.88) points to the effective implementation of cashless solutions such as QRIS. On the other hand, the somewhat reduced ratings for accessibility and education (X1 and X1.2, mean 3.83) indicate a significant shortcoming, underscoring the necessity for the government to redirect its attention from simply building infrastructure to creating more efficient and accessible digital literacy initiatives.</w:t>
      </w:r>
    </w:p>
    <w:p w14:paraId="714534A3" w14:textId="17168A4B" w:rsidR="003D039F" w:rsidRPr="00A840BC" w:rsidRDefault="003D039F" w:rsidP="002E3784">
      <w:pPr>
        <w:pStyle w:val="Body"/>
        <w:jc w:val="center"/>
        <w:rPr>
          <w:rFonts w:ascii="Arial" w:hAnsi="Arial" w:cs="Arial"/>
          <w:color w:val="000000" w:themeColor="text1"/>
          <w:sz w:val="18"/>
          <w:szCs w:val="18"/>
        </w:rPr>
      </w:pPr>
      <w:r w:rsidRPr="00A840BC">
        <w:rPr>
          <w:rFonts w:ascii="Arial" w:hAnsi="Arial" w:cs="Arial"/>
          <w:b/>
          <w:color w:val="000000" w:themeColor="text1"/>
          <w:szCs w:val="16"/>
        </w:rPr>
        <w:t>Table 3</w:t>
      </w:r>
      <w:r w:rsidR="00C16FBF" w:rsidRPr="00A840BC">
        <w:rPr>
          <w:rFonts w:ascii="Arial" w:hAnsi="Arial" w:cs="Arial"/>
          <w:b/>
          <w:color w:val="000000" w:themeColor="text1"/>
          <w:szCs w:val="16"/>
        </w:rPr>
        <w:t>.</w:t>
      </w:r>
      <w:r w:rsidR="00C16FBF" w:rsidRPr="00A840BC">
        <w:rPr>
          <w:rFonts w:ascii="Arial" w:hAnsi="Arial" w:cs="Arial"/>
          <w:color w:val="000000" w:themeColor="text1"/>
          <w:sz w:val="16"/>
          <w:szCs w:val="16"/>
        </w:rPr>
        <w:t xml:space="preserve"> </w:t>
      </w:r>
      <w:r w:rsidR="00C16FBF" w:rsidRPr="00A840BC">
        <w:rPr>
          <w:rFonts w:ascii="Arial" w:hAnsi="Arial" w:cs="Arial"/>
          <w:b/>
          <w:color w:val="000000" w:themeColor="text1"/>
          <w:szCs w:val="16"/>
        </w:rPr>
        <w:t>Government Policy (X1) Description</w:t>
      </w:r>
    </w:p>
    <w:tbl>
      <w:tblPr>
        <w:tblStyle w:val="TableGridLight"/>
        <w:tblW w:w="0" w:type="auto"/>
        <w:tblLook w:val="04A0" w:firstRow="1" w:lastRow="0" w:firstColumn="1" w:lastColumn="0" w:noHBand="0" w:noVBand="1"/>
      </w:tblPr>
      <w:tblGrid>
        <w:gridCol w:w="995"/>
        <w:gridCol w:w="947"/>
        <w:gridCol w:w="970"/>
        <w:gridCol w:w="1139"/>
        <w:gridCol w:w="1250"/>
        <w:gridCol w:w="1139"/>
        <w:gridCol w:w="790"/>
        <w:gridCol w:w="851"/>
      </w:tblGrid>
      <w:tr w:rsidR="00AB5E0E" w:rsidRPr="00A840BC" w14:paraId="14BB53CF" w14:textId="77777777" w:rsidTr="007A0D88">
        <w:trPr>
          <w:trHeight w:val="615"/>
        </w:trPr>
        <w:tc>
          <w:tcPr>
            <w:tcW w:w="995" w:type="dxa"/>
            <w:vAlign w:val="center"/>
            <w:hideMark/>
          </w:tcPr>
          <w:p w14:paraId="1FC2160C" w14:textId="04AF4155" w:rsidR="00676471" w:rsidRPr="00A840BC" w:rsidRDefault="00801662" w:rsidP="002E3784">
            <w:pPr>
              <w:jc w:val="center"/>
              <w:rPr>
                <w:rFonts w:ascii="Arial" w:hAnsi="Arial" w:cs="Arial"/>
                <w:b/>
                <w:color w:val="1F1F1F"/>
                <w:lang w:eastAsia="en-ID"/>
              </w:rPr>
            </w:pPr>
            <w:r w:rsidRPr="00A840BC">
              <w:rPr>
                <w:rFonts w:ascii="Arial" w:hAnsi="Arial" w:cs="Arial"/>
                <w:b/>
                <w:color w:val="1F1F1F"/>
              </w:rPr>
              <w:t>Variable</w:t>
            </w:r>
          </w:p>
        </w:tc>
        <w:tc>
          <w:tcPr>
            <w:tcW w:w="947" w:type="dxa"/>
            <w:vAlign w:val="center"/>
            <w:hideMark/>
          </w:tcPr>
          <w:p w14:paraId="73D47C09" w14:textId="05214A11" w:rsidR="00676471" w:rsidRPr="00A840BC" w:rsidRDefault="00EB44BF" w:rsidP="002E3784">
            <w:pPr>
              <w:jc w:val="center"/>
              <w:rPr>
                <w:rFonts w:ascii="Arial" w:hAnsi="Arial" w:cs="Arial"/>
                <w:b/>
                <w:color w:val="1F1F1F"/>
              </w:rPr>
            </w:pPr>
            <w:r w:rsidRPr="00A840BC">
              <w:rPr>
                <w:rFonts w:ascii="Arial" w:hAnsi="Arial" w:cs="Arial"/>
                <w:b/>
                <w:color w:val="1F1F1F"/>
              </w:rPr>
              <w:t>Scale</w:t>
            </w:r>
            <w:r w:rsidR="00CE1860" w:rsidRPr="00A840BC">
              <w:rPr>
                <w:rFonts w:ascii="Arial" w:hAnsi="Arial" w:cs="Arial"/>
                <w:b/>
                <w:color w:val="1F1F1F"/>
              </w:rPr>
              <w:t xml:space="preserve"> </w:t>
            </w:r>
            <w:r w:rsidR="00676471" w:rsidRPr="00A840BC">
              <w:rPr>
                <w:rFonts w:ascii="Arial" w:hAnsi="Arial" w:cs="Arial"/>
                <w:b/>
                <w:color w:val="1F1F1F"/>
              </w:rPr>
              <w:t xml:space="preserve">1 </w:t>
            </w:r>
            <w:r w:rsidR="00671AE1" w:rsidRPr="00A840BC">
              <w:rPr>
                <w:rFonts w:ascii="Arial" w:hAnsi="Arial" w:cs="Arial"/>
                <w:b/>
                <w:color w:val="1F1F1F"/>
              </w:rPr>
              <w:t>Value</w:t>
            </w:r>
            <w:r w:rsidR="007E0BD5" w:rsidRPr="00A840BC">
              <w:rPr>
                <w:rFonts w:ascii="Arial" w:hAnsi="Arial" w:cs="Arial"/>
                <w:b/>
                <w:color w:val="1F1F1F"/>
              </w:rPr>
              <w:t xml:space="preserve"> (</w:t>
            </w:r>
            <w:r w:rsidR="00676471" w:rsidRPr="00A840BC">
              <w:rPr>
                <w:rFonts w:ascii="Arial" w:hAnsi="Arial" w:cs="Arial"/>
                <w:b/>
                <w:color w:val="1F1F1F"/>
              </w:rPr>
              <w:t>%)</w:t>
            </w:r>
          </w:p>
        </w:tc>
        <w:tc>
          <w:tcPr>
            <w:tcW w:w="970" w:type="dxa"/>
            <w:vAlign w:val="center"/>
            <w:hideMark/>
          </w:tcPr>
          <w:p w14:paraId="32807FFE" w14:textId="4B9F895C" w:rsidR="00C40F37" w:rsidRPr="00A840BC" w:rsidRDefault="00EB44BF" w:rsidP="002E3784">
            <w:pPr>
              <w:jc w:val="center"/>
              <w:rPr>
                <w:rFonts w:ascii="Arial" w:hAnsi="Arial" w:cs="Arial"/>
                <w:b/>
                <w:color w:val="1F1F1F"/>
              </w:rPr>
            </w:pPr>
            <w:r w:rsidRPr="00A840BC">
              <w:rPr>
                <w:rFonts w:ascii="Arial" w:hAnsi="Arial" w:cs="Arial"/>
                <w:b/>
                <w:color w:val="1F1F1F"/>
              </w:rPr>
              <w:t>Scale</w:t>
            </w:r>
            <w:r w:rsidR="00CE1860" w:rsidRPr="00A840BC">
              <w:rPr>
                <w:rFonts w:ascii="Arial" w:hAnsi="Arial" w:cs="Arial"/>
                <w:b/>
                <w:color w:val="1F1F1F"/>
              </w:rPr>
              <w:t xml:space="preserve"> </w:t>
            </w:r>
            <w:r w:rsidR="00676471" w:rsidRPr="00A840BC">
              <w:rPr>
                <w:rFonts w:ascii="Arial" w:hAnsi="Arial" w:cs="Arial"/>
                <w:b/>
                <w:color w:val="1F1F1F"/>
              </w:rPr>
              <w:t>2</w:t>
            </w:r>
          </w:p>
          <w:p w14:paraId="39A74F85" w14:textId="57A6BBD3" w:rsidR="00676471" w:rsidRPr="00A840BC" w:rsidRDefault="007E0BD5" w:rsidP="002E3784">
            <w:pPr>
              <w:jc w:val="center"/>
              <w:rPr>
                <w:rFonts w:ascii="Arial" w:hAnsi="Arial" w:cs="Arial"/>
                <w:b/>
                <w:color w:val="1F1F1F"/>
              </w:rPr>
            </w:pPr>
            <w:r w:rsidRPr="00A840BC">
              <w:rPr>
                <w:rFonts w:ascii="Arial" w:hAnsi="Arial" w:cs="Arial"/>
                <w:b/>
                <w:color w:val="1F1F1F"/>
              </w:rPr>
              <w:t>Value (%)</w:t>
            </w:r>
          </w:p>
        </w:tc>
        <w:tc>
          <w:tcPr>
            <w:tcW w:w="1139" w:type="dxa"/>
            <w:vAlign w:val="center"/>
            <w:hideMark/>
          </w:tcPr>
          <w:p w14:paraId="767845A7" w14:textId="42657539" w:rsidR="00AB5E0E" w:rsidRPr="00A840BC" w:rsidRDefault="00EB44BF" w:rsidP="002E3784">
            <w:pPr>
              <w:jc w:val="center"/>
              <w:rPr>
                <w:rFonts w:ascii="Arial" w:hAnsi="Arial" w:cs="Arial"/>
                <w:b/>
                <w:color w:val="1F1F1F"/>
              </w:rPr>
            </w:pPr>
            <w:r w:rsidRPr="00A840BC">
              <w:rPr>
                <w:rFonts w:ascii="Arial" w:hAnsi="Arial" w:cs="Arial"/>
                <w:b/>
                <w:color w:val="1F1F1F"/>
              </w:rPr>
              <w:t>Scale</w:t>
            </w:r>
            <w:r w:rsidR="00CE1860" w:rsidRPr="00A840BC">
              <w:rPr>
                <w:rFonts w:ascii="Arial" w:hAnsi="Arial" w:cs="Arial"/>
                <w:b/>
                <w:color w:val="1F1F1F"/>
              </w:rPr>
              <w:t xml:space="preserve"> </w:t>
            </w:r>
            <w:r w:rsidR="00676471" w:rsidRPr="00A840BC">
              <w:rPr>
                <w:rFonts w:ascii="Arial" w:hAnsi="Arial" w:cs="Arial"/>
                <w:b/>
                <w:color w:val="1F1F1F"/>
              </w:rPr>
              <w:t xml:space="preserve">3 </w:t>
            </w:r>
            <w:r w:rsidR="007E0BD5" w:rsidRPr="00A840BC">
              <w:rPr>
                <w:rFonts w:ascii="Arial" w:hAnsi="Arial" w:cs="Arial"/>
                <w:b/>
                <w:color w:val="1F1F1F"/>
              </w:rPr>
              <w:t>Value</w:t>
            </w:r>
          </w:p>
          <w:p w14:paraId="62A26A85" w14:textId="158A51FE" w:rsidR="00676471" w:rsidRPr="00A840BC" w:rsidRDefault="007E0BD5" w:rsidP="002E3784">
            <w:pPr>
              <w:jc w:val="center"/>
              <w:rPr>
                <w:rFonts w:ascii="Arial" w:hAnsi="Arial" w:cs="Arial"/>
                <w:b/>
                <w:color w:val="1F1F1F"/>
              </w:rPr>
            </w:pPr>
            <w:r w:rsidRPr="00A840BC">
              <w:rPr>
                <w:rFonts w:ascii="Arial" w:hAnsi="Arial" w:cs="Arial"/>
                <w:b/>
                <w:color w:val="1F1F1F"/>
              </w:rPr>
              <w:t>(%)</w:t>
            </w:r>
          </w:p>
        </w:tc>
        <w:tc>
          <w:tcPr>
            <w:tcW w:w="1250" w:type="dxa"/>
            <w:vAlign w:val="center"/>
            <w:hideMark/>
          </w:tcPr>
          <w:p w14:paraId="793783BD" w14:textId="494EEDA3" w:rsidR="00AB5E0E" w:rsidRPr="00A840BC" w:rsidRDefault="00EB44BF" w:rsidP="002E3784">
            <w:pPr>
              <w:jc w:val="center"/>
              <w:rPr>
                <w:rFonts w:ascii="Arial" w:hAnsi="Arial" w:cs="Arial"/>
                <w:b/>
                <w:color w:val="1F1F1F"/>
              </w:rPr>
            </w:pPr>
            <w:r w:rsidRPr="00A840BC">
              <w:rPr>
                <w:rFonts w:ascii="Arial" w:hAnsi="Arial" w:cs="Arial"/>
                <w:b/>
                <w:color w:val="1F1F1F"/>
              </w:rPr>
              <w:t>Scale</w:t>
            </w:r>
            <w:r w:rsidR="00CE1860" w:rsidRPr="00A840BC">
              <w:rPr>
                <w:rFonts w:ascii="Arial" w:hAnsi="Arial" w:cs="Arial"/>
                <w:b/>
                <w:color w:val="1F1F1F"/>
              </w:rPr>
              <w:t xml:space="preserve"> </w:t>
            </w:r>
            <w:r w:rsidR="00676471" w:rsidRPr="00A840BC">
              <w:rPr>
                <w:rFonts w:ascii="Arial" w:hAnsi="Arial" w:cs="Arial"/>
                <w:b/>
                <w:color w:val="1F1F1F"/>
              </w:rPr>
              <w:t xml:space="preserve">4 </w:t>
            </w:r>
            <w:r w:rsidR="007E0BD5" w:rsidRPr="00A840BC">
              <w:rPr>
                <w:rFonts w:ascii="Arial" w:hAnsi="Arial" w:cs="Arial"/>
                <w:b/>
                <w:color w:val="1F1F1F"/>
              </w:rPr>
              <w:t>Value</w:t>
            </w:r>
          </w:p>
          <w:p w14:paraId="0BDD5BEB" w14:textId="0A8A5DA7" w:rsidR="00676471" w:rsidRPr="00A840BC" w:rsidRDefault="007E0BD5" w:rsidP="002E3784">
            <w:pPr>
              <w:jc w:val="center"/>
              <w:rPr>
                <w:rFonts w:ascii="Arial" w:hAnsi="Arial" w:cs="Arial"/>
                <w:b/>
                <w:color w:val="1F1F1F"/>
              </w:rPr>
            </w:pPr>
            <w:r w:rsidRPr="00A840BC">
              <w:rPr>
                <w:rFonts w:ascii="Arial" w:hAnsi="Arial" w:cs="Arial"/>
                <w:b/>
                <w:color w:val="1F1F1F"/>
              </w:rPr>
              <w:t>(%)</w:t>
            </w:r>
          </w:p>
        </w:tc>
        <w:tc>
          <w:tcPr>
            <w:tcW w:w="1139" w:type="dxa"/>
            <w:vAlign w:val="center"/>
            <w:hideMark/>
          </w:tcPr>
          <w:p w14:paraId="4540E429" w14:textId="73FF6F90" w:rsidR="00AB5E0E" w:rsidRPr="00A840BC" w:rsidRDefault="00EB44BF" w:rsidP="002E3784">
            <w:pPr>
              <w:jc w:val="center"/>
              <w:rPr>
                <w:rFonts w:ascii="Arial" w:hAnsi="Arial" w:cs="Arial"/>
                <w:b/>
                <w:color w:val="1F1F1F"/>
              </w:rPr>
            </w:pPr>
            <w:r w:rsidRPr="00A840BC">
              <w:rPr>
                <w:rFonts w:ascii="Arial" w:hAnsi="Arial" w:cs="Arial"/>
                <w:b/>
                <w:color w:val="1F1F1F"/>
              </w:rPr>
              <w:t>Scale</w:t>
            </w:r>
            <w:r w:rsidR="00CE1860" w:rsidRPr="00A840BC">
              <w:rPr>
                <w:rFonts w:ascii="Arial" w:hAnsi="Arial" w:cs="Arial"/>
                <w:b/>
                <w:color w:val="1F1F1F"/>
              </w:rPr>
              <w:t xml:space="preserve"> </w:t>
            </w:r>
            <w:r w:rsidR="00676471" w:rsidRPr="00A840BC">
              <w:rPr>
                <w:rFonts w:ascii="Arial" w:hAnsi="Arial" w:cs="Arial"/>
                <w:b/>
                <w:color w:val="1F1F1F"/>
              </w:rPr>
              <w:t xml:space="preserve">5 </w:t>
            </w:r>
            <w:r w:rsidR="007E0BD5" w:rsidRPr="00A840BC">
              <w:rPr>
                <w:rFonts w:ascii="Arial" w:hAnsi="Arial" w:cs="Arial"/>
                <w:b/>
                <w:color w:val="1F1F1F"/>
              </w:rPr>
              <w:t>Value</w:t>
            </w:r>
          </w:p>
          <w:p w14:paraId="461BF38E" w14:textId="02745DD8" w:rsidR="00676471" w:rsidRPr="00A840BC" w:rsidRDefault="007E0BD5" w:rsidP="002E3784">
            <w:pPr>
              <w:jc w:val="center"/>
              <w:rPr>
                <w:rFonts w:ascii="Arial" w:hAnsi="Arial" w:cs="Arial"/>
                <w:b/>
                <w:color w:val="1F1F1F"/>
              </w:rPr>
            </w:pPr>
            <w:r w:rsidRPr="00A840BC">
              <w:rPr>
                <w:rFonts w:ascii="Arial" w:hAnsi="Arial" w:cs="Arial"/>
                <w:b/>
                <w:color w:val="1F1F1F"/>
              </w:rPr>
              <w:t>(%)</w:t>
            </w:r>
          </w:p>
        </w:tc>
        <w:tc>
          <w:tcPr>
            <w:tcW w:w="790" w:type="dxa"/>
            <w:vAlign w:val="center"/>
            <w:hideMark/>
          </w:tcPr>
          <w:p w14:paraId="395B565E" w14:textId="77777777" w:rsidR="00676471" w:rsidRPr="00A840BC" w:rsidRDefault="00676471" w:rsidP="002E3784">
            <w:pPr>
              <w:jc w:val="center"/>
              <w:rPr>
                <w:rFonts w:ascii="Arial" w:hAnsi="Arial" w:cs="Arial"/>
                <w:b/>
                <w:color w:val="1F1F1F"/>
              </w:rPr>
            </w:pPr>
            <w:r w:rsidRPr="00A840BC">
              <w:rPr>
                <w:rFonts w:ascii="Arial" w:hAnsi="Arial" w:cs="Arial"/>
                <w:b/>
                <w:color w:val="1F1F1F"/>
              </w:rPr>
              <w:t>Total</w:t>
            </w:r>
          </w:p>
        </w:tc>
        <w:tc>
          <w:tcPr>
            <w:tcW w:w="851" w:type="dxa"/>
            <w:vAlign w:val="center"/>
            <w:hideMark/>
          </w:tcPr>
          <w:p w14:paraId="000D2E71" w14:textId="77777777" w:rsidR="00676471" w:rsidRPr="00A840BC" w:rsidRDefault="00676471" w:rsidP="002E3784">
            <w:pPr>
              <w:jc w:val="center"/>
              <w:rPr>
                <w:rFonts w:ascii="Arial" w:hAnsi="Arial" w:cs="Arial"/>
                <w:b/>
                <w:color w:val="1F1F1F"/>
              </w:rPr>
            </w:pPr>
            <w:r w:rsidRPr="00A840BC">
              <w:rPr>
                <w:rFonts w:ascii="Arial" w:hAnsi="Arial" w:cs="Arial"/>
                <w:b/>
                <w:color w:val="1F1F1F"/>
              </w:rPr>
              <w:t>Mean</w:t>
            </w:r>
          </w:p>
        </w:tc>
      </w:tr>
      <w:tr w:rsidR="00AB5E0E" w:rsidRPr="00A840BC" w14:paraId="6DBD12E6" w14:textId="77777777" w:rsidTr="007A0D88">
        <w:trPr>
          <w:trHeight w:val="585"/>
        </w:trPr>
        <w:tc>
          <w:tcPr>
            <w:tcW w:w="995" w:type="dxa"/>
            <w:vAlign w:val="center"/>
            <w:hideMark/>
          </w:tcPr>
          <w:p w14:paraId="718AECDC" w14:textId="77777777" w:rsidR="00676471" w:rsidRPr="00A840BC" w:rsidRDefault="00676471" w:rsidP="002E3784">
            <w:pPr>
              <w:jc w:val="center"/>
              <w:rPr>
                <w:rFonts w:ascii="Arial" w:hAnsi="Arial" w:cs="Arial"/>
                <w:b/>
                <w:color w:val="1F1F1F"/>
              </w:rPr>
            </w:pPr>
            <w:r w:rsidRPr="00A840BC">
              <w:rPr>
                <w:rFonts w:ascii="Arial" w:hAnsi="Arial" w:cs="Arial"/>
                <w:b/>
                <w:color w:val="1F1F1F"/>
              </w:rPr>
              <w:t>X1</w:t>
            </w:r>
          </w:p>
        </w:tc>
        <w:tc>
          <w:tcPr>
            <w:tcW w:w="947" w:type="dxa"/>
            <w:vAlign w:val="center"/>
            <w:hideMark/>
          </w:tcPr>
          <w:p w14:paraId="79ADB869" w14:textId="77777777" w:rsidR="00676471" w:rsidRPr="00A840BC" w:rsidRDefault="00676471" w:rsidP="002E3784">
            <w:pPr>
              <w:jc w:val="center"/>
              <w:rPr>
                <w:rFonts w:ascii="Arial" w:hAnsi="Arial" w:cs="Arial"/>
                <w:color w:val="1F1F1F"/>
              </w:rPr>
            </w:pPr>
            <w:r w:rsidRPr="00A840BC">
              <w:rPr>
                <w:rFonts w:ascii="Arial" w:hAnsi="Arial" w:cs="Arial"/>
                <w:color w:val="1F1F1F"/>
              </w:rPr>
              <w:t>5 (1.3%)</w:t>
            </w:r>
          </w:p>
        </w:tc>
        <w:tc>
          <w:tcPr>
            <w:tcW w:w="970" w:type="dxa"/>
            <w:vAlign w:val="center"/>
            <w:hideMark/>
          </w:tcPr>
          <w:p w14:paraId="188891F4" w14:textId="77777777" w:rsidR="00676471" w:rsidRPr="00A840BC" w:rsidRDefault="00676471" w:rsidP="002E3784">
            <w:pPr>
              <w:ind w:firstLineChars="100" w:firstLine="200"/>
              <w:jc w:val="center"/>
              <w:rPr>
                <w:rFonts w:ascii="Arial" w:hAnsi="Arial" w:cs="Arial"/>
                <w:color w:val="1F1F1F"/>
              </w:rPr>
            </w:pPr>
            <w:r w:rsidRPr="00A840BC">
              <w:rPr>
                <w:rFonts w:ascii="Arial" w:hAnsi="Arial" w:cs="Arial"/>
                <w:color w:val="1F1F1F"/>
              </w:rPr>
              <w:t>24 (6.2%)</w:t>
            </w:r>
          </w:p>
        </w:tc>
        <w:tc>
          <w:tcPr>
            <w:tcW w:w="1139" w:type="dxa"/>
            <w:vAlign w:val="center"/>
            <w:hideMark/>
          </w:tcPr>
          <w:p w14:paraId="4A53F038" w14:textId="77777777" w:rsidR="00676471" w:rsidRPr="00A840BC" w:rsidRDefault="00676471" w:rsidP="002E3784">
            <w:pPr>
              <w:jc w:val="center"/>
              <w:rPr>
                <w:rFonts w:ascii="Arial" w:hAnsi="Arial" w:cs="Arial"/>
                <w:color w:val="1F1F1F"/>
              </w:rPr>
            </w:pPr>
            <w:r w:rsidRPr="00A840BC">
              <w:rPr>
                <w:rFonts w:ascii="Arial" w:hAnsi="Arial" w:cs="Arial"/>
                <w:color w:val="1F1F1F"/>
              </w:rPr>
              <w:t>98 (25.5%)</w:t>
            </w:r>
          </w:p>
        </w:tc>
        <w:tc>
          <w:tcPr>
            <w:tcW w:w="1250" w:type="dxa"/>
            <w:vAlign w:val="center"/>
            <w:hideMark/>
          </w:tcPr>
          <w:p w14:paraId="1857EECD" w14:textId="77777777" w:rsidR="00AB5E0E" w:rsidRPr="00A840BC" w:rsidRDefault="00676471" w:rsidP="002E3784">
            <w:pPr>
              <w:jc w:val="center"/>
              <w:rPr>
                <w:rFonts w:ascii="Arial" w:hAnsi="Arial" w:cs="Arial"/>
                <w:color w:val="1F1F1F"/>
              </w:rPr>
            </w:pPr>
            <w:r w:rsidRPr="00A840BC">
              <w:rPr>
                <w:rFonts w:ascii="Arial" w:hAnsi="Arial" w:cs="Arial"/>
                <w:color w:val="1F1F1F"/>
              </w:rPr>
              <w:t>161</w:t>
            </w:r>
          </w:p>
          <w:p w14:paraId="11335F20" w14:textId="3CDD7ED8" w:rsidR="00676471" w:rsidRPr="00A840BC" w:rsidRDefault="00676471" w:rsidP="002E3784">
            <w:pPr>
              <w:jc w:val="center"/>
              <w:rPr>
                <w:rFonts w:ascii="Arial" w:hAnsi="Arial" w:cs="Arial"/>
                <w:color w:val="1F1F1F"/>
              </w:rPr>
            </w:pPr>
            <w:r w:rsidRPr="00A840BC">
              <w:rPr>
                <w:rFonts w:ascii="Arial" w:hAnsi="Arial" w:cs="Arial"/>
                <w:color w:val="1F1F1F"/>
              </w:rPr>
              <w:t>(41.8%)</w:t>
            </w:r>
          </w:p>
        </w:tc>
        <w:tc>
          <w:tcPr>
            <w:tcW w:w="1139" w:type="dxa"/>
            <w:vAlign w:val="center"/>
            <w:hideMark/>
          </w:tcPr>
          <w:p w14:paraId="64CE9C50" w14:textId="77777777" w:rsidR="00AB5E0E" w:rsidRPr="00A840BC" w:rsidRDefault="00676471" w:rsidP="002E3784">
            <w:pPr>
              <w:jc w:val="center"/>
              <w:rPr>
                <w:rFonts w:ascii="Arial" w:hAnsi="Arial" w:cs="Arial"/>
                <w:color w:val="1F1F1F"/>
              </w:rPr>
            </w:pPr>
            <w:r w:rsidRPr="00A840BC">
              <w:rPr>
                <w:rFonts w:ascii="Arial" w:hAnsi="Arial" w:cs="Arial"/>
                <w:color w:val="1F1F1F"/>
              </w:rPr>
              <w:t>97</w:t>
            </w:r>
          </w:p>
          <w:p w14:paraId="7AD50CBD" w14:textId="32FB112C" w:rsidR="00676471" w:rsidRPr="00A840BC" w:rsidRDefault="00C40F37" w:rsidP="002E3784">
            <w:pPr>
              <w:jc w:val="center"/>
              <w:rPr>
                <w:rFonts w:ascii="Arial" w:hAnsi="Arial" w:cs="Arial"/>
                <w:color w:val="1F1F1F"/>
              </w:rPr>
            </w:pPr>
            <w:r w:rsidRPr="00A840BC">
              <w:rPr>
                <w:rFonts w:ascii="Arial" w:hAnsi="Arial" w:cs="Arial"/>
                <w:color w:val="1F1F1F"/>
              </w:rPr>
              <w:t>(</w:t>
            </w:r>
            <w:r w:rsidR="00676471" w:rsidRPr="00A840BC">
              <w:rPr>
                <w:rFonts w:ascii="Arial" w:hAnsi="Arial" w:cs="Arial"/>
                <w:color w:val="1F1F1F"/>
              </w:rPr>
              <w:t>25.2%)</w:t>
            </w:r>
          </w:p>
        </w:tc>
        <w:tc>
          <w:tcPr>
            <w:tcW w:w="790" w:type="dxa"/>
            <w:vAlign w:val="center"/>
            <w:hideMark/>
          </w:tcPr>
          <w:p w14:paraId="5A569EC0" w14:textId="77777777" w:rsidR="00676471" w:rsidRPr="00A840BC" w:rsidRDefault="00676471" w:rsidP="002E3784">
            <w:pPr>
              <w:jc w:val="center"/>
              <w:rPr>
                <w:rFonts w:ascii="Arial" w:hAnsi="Arial" w:cs="Arial"/>
                <w:color w:val="1F1F1F"/>
              </w:rPr>
            </w:pPr>
            <w:r w:rsidRPr="00A840BC">
              <w:rPr>
                <w:rFonts w:ascii="Arial" w:hAnsi="Arial" w:cs="Arial"/>
                <w:color w:val="1F1F1F"/>
              </w:rPr>
              <w:t>385</w:t>
            </w:r>
          </w:p>
        </w:tc>
        <w:tc>
          <w:tcPr>
            <w:tcW w:w="851" w:type="dxa"/>
            <w:vAlign w:val="center"/>
            <w:hideMark/>
          </w:tcPr>
          <w:p w14:paraId="481521C3" w14:textId="77777777" w:rsidR="00676471" w:rsidRPr="00A840BC" w:rsidRDefault="00676471" w:rsidP="002E3784">
            <w:pPr>
              <w:jc w:val="center"/>
              <w:rPr>
                <w:rFonts w:ascii="Arial" w:hAnsi="Arial" w:cs="Arial"/>
                <w:b/>
                <w:color w:val="1F1F1F"/>
              </w:rPr>
            </w:pPr>
            <w:r w:rsidRPr="00A840BC">
              <w:rPr>
                <w:rFonts w:ascii="Arial" w:hAnsi="Arial" w:cs="Arial"/>
                <w:b/>
                <w:color w:val="1F1F1F"/>
              </w:rPr>
              <w:t>3.83</w:t>
            </w:r>
          </w:p>
        </w:tc>
      </w:tr>
      <w:tr w:rsidR="00AB5E0E" w:rsidRPr="00A840BC" w14:paraId="02B35D78" w14:textId="77777777" w:rsidTr="007A0D88">
        <w:trPr>
          <w:trHeight w:val="585"/>
        </w:trPr>
        <w:tc>
          <w:tcPr>
            <w:tcW w:w="995" w:type="dxa"/>
            <w:vAlign w:val="center"/>
            <w:hideMark/>
          </w:tcPr>
          <w:p w14:paraId="098AF253" w14:textId="77777777" w:rsidR="00676471" w:rsidRPr="00A840BC" w:rsidRDefault="00676471" w:rsidP="002E3784">
            <w:pPr>
              <w:jc w:val="center"/>
              <w:rPr>
                <w:rFonts w:ascii="Arial" w:hAnsi="Arial" w:cs="Arial"/>
                <w:b/>
                <w:color w:val="1F1F1F"/>
              </w:rPr>
            </w:pPr>
            <w:r w:rsidRPr="00A840BC">
              <w:rPr>
                <w:rFonts w:ascii="Arial" w:hAnsi="Arial" w:cs="Arial"/>
                <w:b/>
                <w:color w:val="1F1F1F"/>
              </w:rPr>
              <w:t>X1.2</w:t>
            </w:r>
          </w:p>
        </w:tc>
        <w:tc>
          <w:tcPr>
            <w:tcW w:w="947" w:type="dxa"/>
            <w:vAlign w:val="center"/>
            <w:hideMark/>
          </w:tcPr>
          <w:p w14:paraId="327F1BDE" w14:textId="77777777" w:rsidR="00676471" w:rsidRPr="00A840BC" w:rsidRDefault="00676471" w:rsidP="002E3784">
            <w:pPr>
              <w:jc w:val="center"/>
              <w:rPr>
                <w:rFonts w:ascii="Arial" w:hAnsi="Arial" w:cs="Arial"/>
                <w:color w:val="1F1F1F"/>
              </w:rPr>
            </w:pPr>
            <w:r w:rsidRPr="00A840BC">
              <w:rPr>
                <w:rFonts w:ascii="Arial" w:hAnsi="Arial" w:cs="Arial"/>
                <w:color w:val="1F1F1F"/>
              </w:rPr>
              <w:t>5 (1.3%)</w:t>
            </w:r>
          </w:p>
        </w:tc>
        <w:tc>
          <w:tcPr>
            <w:tcW w:w="970" w:type="dxa"/>
            <w:vAlign w:val="center"/>
            <w:hideMark/>
          </w:tcPr>
          <w:p w14:paraId="515CD296" w14:textId="77777777" w:rsidR="00676471" w:rsidRPr="00A840BC" w:rsidRDefault="00676471" w:rsidP="002E3784">
            <w:pPr>
              <w:ind w:firstLineChars="100" w:firstLine="200"/>
              <w:jc w:val="center"/>
              <w:rPr>
                <w:rFonts w:ascii="Arial" w:hAnsi="Arial" w:cs="Arial"/>
                <w:color w:val="1F1F1F"/>
              </w:rPr>
            </w:pPr>
            <w:r w:rsidRPr="00A840BC">
              <w:rPr>
                <w:rFonts w:ascii="Arial" w:hAnsi="Arial" w:cs="Arial"/>
                <w:color w:val="1F1F1F"/>
              </w:rPr>
              <w:t>30 (7.8%)</w:t>
            </w:r>
          </w:p>
        </w:tc>
        <w:tc>
          <w:tcPr>
            <w:tcW w:w="1139" w:type="dxa"/>
            <w:vAlign w:val="center"/>
            <w:hideMark/>
          </w:tcPr>
          <w:p w14:paraId="7107B482" w14:textId="77777777" w:rsidR="00676471" w:rsidRPr="00A840BC" w:rsidRDefault="00676471" w:rsidP="002E3784">
            <w:pPr>
              <w:jc w:val="center"/>
              <w:rPr>
                <w:rFonts w:ascii="Arial" w:hAnsi="Arial" w:cs="Arial"/>
                <w:color w:val="1F1F1F"/>
              </w:rPr>
            </w:pPr>
            <w:r w:rsidRPr="00A840BC">
              <w:rPr>
                <w:rFonts w:ascii="Arial" w:hAnsi="Arial" w:cs="Arial"/>
                <w:color w:val="1F1F1F"/>
              </w:rPr>
              <w:t>91 (23.6%)</w:t>
            </w:r>
          </w:p>
        </w:tc>
        <w:tc>
          <w:tcPr>
            <w:tcW w:w="1250" w:type="dxa"/>
            <w:vAlign w:val="center"/>
            <w:hideMark/>
          </w:tcPr>
          <w:p w14:paraId="4FA4CE45" w14:textId="77777777" w:rsidR="00676471" w:rsidRPr="00A840BC" w:rsidRDefault="00676471" w:rsidP="002E3784">
            <w:pPr>
              <w:jc w:val="center"/>
              <w:rPr>
                <w:rFonts w:ascii="Arial" w:hAnsi="Arial" w:cs="Arial"/>
                <w:color w:val="1F1F1F"/>
              </w:rPr>
            </w:pPr>
            <w:r w:rsidRPr="00A840BC">
              <w:rPr>
                <w:rFonts w:ascii="Arial" w:hAnsi="Arial" w:cs="Arial"/>
                <w:color w:val="1F1F1F"/>
              </w:rPr>
              <w:t>159 (41.3%)</w:t>
            </w:r>
          </w:p>
        </w:tc>
        <w:tc>
          <w:tcPr>
            <w:tcW w:w="1139" w:type="dxa"/>
            <w:vAlign w:val="center"/>
            <w:hideMark/>
          </w:tcPr>
          <w:p w14:paraId="008A0E41" w14:textId="77777777" w:rsidR="00676471" w:rsidRPr="00A840BC" w:rsidRDefault="00676471" w:rsidP="002E3784">
            <w:pPr>
              <w:jc w:val="center"/>
              <w:rPr>
                <w:rFonts w:ascii="Arial" w:hAnsi="Arial" w:cs="Arial"/>
                <w:color w:val="1F1F1F"/>
              </w:rPr>
            </w:pPr>
            <w:r w:rsidRPr="00A840BC">
              <w:rPr>
                <w:rFonts w:ascii="Arial" w:hAnsi="Arial" w:cs="Arial"/>
                <w:color w:val="1F1F1F"/>
              </w:rPr>
              <w:t>100 (26.0%)</w:t>
            </w:r>
          </w:p>
        </w:tc>
        <w:tc>
          <w:tcPr>
            <w:tcW w:w="790" w:type="dxa"/>
            <w:vAlign w:val="center"/>
            <w:hideMark/>
          </w:tcPr>
          <w:p w14:paraId="4B517747" w14:textId="77777777" w:rsidR="00676471" w:rsidRPr="00A840BC" w:rsidRDefault="00676471" w:rsidP="002E3784">
            <w:pPr>
              <w:jc w:val="center"/>
              <w:rPr>
                <w:rFonts w:ascii="Arial" w:hAnsi="Arial" w:cs="Arial"/>
                <w:color w:val="1F1F1F"/>
              </w:rPr>
            </w:pPr>
            <w:r w:rsidRPr="00A840BC">
              <w:rPr>
                <w:rFonts w:ascii="Arial" w:hAnsi="Arial" w:cs="Arial"/>
                <w:color w:val="1F1F1F"/>
              </w:rPr>
              <w:t>385</w:t>
            </w:r>
          </w:p>
        </w:tc>
        <w:tc>
          <w:tcPr>
            <w:tcW w:w="851" w:type="dxa"/>
            <w:vAlign w:val="center"/>
            <w:hideMark/>
          </w:tcPr>
          <w:p w14:paraId="0F59CA52" w14:textId="77777777" w:rsidR="00676471" w:rsidRPr="00A840BC" w:rsidRDefault="00676471" w:rsidP="002E3784">
            <w:pPr>
              <w:jc w:val="center"/>
              <w:rPr>
                <w:rFonts w:ascii="Arial" w:hAnsi="Arial" w:cs="Arial"/>
                <w:b/>
                <w:color w:val="1F1F1F"/>
              </w:rPr>
            </w:pPr>
            <w:r w:rsidRPr="00A840BC">
              <w:rPr>
                <w:rFonts w:ascii="Arial" w:hAnsi="Arial" w:cs="Arial"/>
                <w:b/>
                <w:color w:val="1F1F1F"/>
              </w:rPr>
              <w:t>3.83</w:t>
            </w:r>
          </w:p>
        </w:tc>
      </w:tr>
      <w:tr w:rsidR="00AB5E0E" w:rsidRPr="00A840BC" w14:paraId="3B7E972A" w14:textId="77777777" w:rsidTr="007A0D88">
        <w:trPr>
          <w:trHeight w:val="585"/>
        </w:trPr>
        <w:tc>
          <w:tcPr>
            <w:tcW w:w="995" w:type="dxa"/>
            <w:vAlign w:val="center"/>
            <w:hideMark/>
          </w:tcPr>
          <w:p w14:paraId="3615887B" w14:textId="77777777" w:rsidR="00676471" w:rsidRPr="00A840BC" w:rsidRDefault="00676471" w:rsidP="002E3784">
            <w:pPr>
              <w:jc w:val="center"/>
              <w:rPr>
                <w:rFonts w:ascii="Arial" w:hAnsi="Arial" w:cs="Arial"/>
                <w:b/>
                <w:color w:val="1F1F1F"/>
              </w:rPr>
            </w:pPr>
            <w:r w:rsidRPr="00A840BC">
              <w:rPr>
                <w:rFonts w:ascii="Arial" w:hAnsi="Arial" w:cs="Arial"/>
                <w:b/>
                <w:color w:val="1F1F1F"/>
              </w:rPr>
              <w:t>X1.3</w:t>
            </w:r>
          </w:p>
        </w:tc>
        <w:tc>
          <w:tcPr>
            <w:tcW w:w="947" w:type="dxa"/>
            <w:vAlign w:val="center"/>
            <w:hideMark/>
          </w:tcPr>
          <w:p w14:paraId="73219FE3" w14:textId="77777777" w:rsidR="00676471" w:rsidRPr="00A840BC" w:rsidRDefault="00676471" w:rsidP="002E3784">
            <w:pPr>
              <w:jc w:val="center"/>
              <w:rPr>
                <w:rFonts w:ascii="Arial" w:hAnsi="Arial" w:cs="Arial"/>
                <w:color w:val="1F1F1F"/>
              </w:rPr>
            </w:pPr>
            <w:r w:rsidRPr="00A840BC">
              <w:rPr>
                <w:rFonts w:ascii="Arial" w:hAnsi="Arial" w:cs="Arial"/>
                <w:color w:val="1F1F1F"/>
              </w:rPr>
              <w:t>5 (1.3%)</w:t>
            </w:r>
          </w:p>
        </w:tc>
        <w:tc>
          <w:tcPr>
            <w:tcW w:w="970" w:type="dxa"/>
            <w:vAlign w:val="center"/>
            <w:hideMark/>
          </w:tcPr>
          <w:p w14:paraId="6BFFCA10" w14:textId="77777777" w:rsidR="00676471" w:rsidRPr="00A840BC" w:rsidRDefault="00676471" w:rsidP="002E3784">
            <w:pPr>
              <w:ind w:firstLineChars="100" w:firstLine="200"/>
              <w:jc w:val="center"/>
              <w:rPr>
                <w:rFonts w:ascii="Arial" w:hAnsi="Arial" w:cs="Arial"/>
                <w:color w:val="1F1F1F"/>
              </w:rPr>
            </w:pPr>
            <w:r w:rsidRPr="00A840BC">
              <w:rPr>
                <w:rFonts w:ascii="Arial" w:hAnsi="Arial" w:cs="Arial"/>
                <w:color w:val="1F1F1F"/>
              </w:rPr>
              <w:t>25 (6.5%)</w:t>
            </w:r>
          </w:p>
        </w:tc>
        <w:tc>
          <w:tcPr>
            <w:tcW w:w="1139" w:type="dxa"/>
            <w:vAlign w:val="center"/>
            <w:hideMark/>
          </w:tcPr>
          <w:p w14:paraId="4EF7B8BB" w14:textId="77777777" w:rsidR="00676471" w:rsidRPr="00A840BC" w:rsidRDefault="00676471" w:rsidP="002E3784">
            <w:pPr>
              <w:jc w:val="center"/>
              <w:rPr>
                <w:rFonts w:ascii="Arial" w:hAnsi="Arial" w:cs="Arial"/>
                <w:color w:val="1F1F1F"/>
              </w:rPr>
            </w:pPr>
            <w:r w:rsidRPr="00A840BC">
              <w:rPr>
                <w:rFonts w:ascii="Arial" w:hAnsi="Arial" w:cs="Arial"/>
                <w:color w:val="1F1F1F"/>
              </w:rPr>
              <w:t>99 (25.7%)</w:t>
            </w:r>
          </w:p>
        </w:tc>
        <w:tc>
          <w:tcPr>
            <w:tcW w:w="1250" w:type="dxa"/>
            <w:vAlign w:val="center"/>
            <w:hideMark/>
          </w:tcPr>
          <w:p w14:paraId="1076AD96" w14:textId="77777777" w:rsidR="00676471" w:rsidRPr="00A840BC" w:rsidRDefault="00676471" w:rsidP="002E3784">
            <w:pPr>
              <w:jc w:val="center"/>
              <w:rPr>
                <w:rFonts w:ascii="Arial" w:hAnsi="Arial" w:cs="Arial"/>
                <w:color w:val="1F1F1F"/>
              </w:rPr>
            </w:pPr>
            <w:r w:rsidRPr="00A840BC">
              <w:rPr>
                <w:rFonts w:ascii="Arial" w:hAnsi="Arial" w:cs="Arial"/>
                <w:color w:val="1F1F1F"/>
              </w:rPr>
              <w:t>147 (38.2%)</w:t>
            </w:r>
          </w:p>
        </w:tc>
        <w:tc>
          <w:tcPr>
            <w:tcW w:w="1139" w:type="dxa"/>
            <w:vAlign w:val="center"/>
            <w:hideMark/>
          </w:tcPr>
          <w:p w14:paraId="33EE0A31" w14:textId="77777777" w:rsidR="00676471" w:rsidRPr="00A840BC" w:rsidRDefault="00676471" w:rsidP="002E3784">
            <w:pPr>
              <w:jc w:val="center"/>
              <w:rPr>
                <w:rFonts w:ascii="Arial" w:hAnsi="Arial" w:cs="Arial"/>
                <w:color w:val="1F1F1F"/>
              </w:rPr>
            </w:pPr>
            <w:r w:rsidRPr="00A840BC">
              <w:rPr>
                <w:rFonts w:ascii="Arial" w:hAnsi="Arial" w:cs="Arial"/>
                <w:color w:val="1F1F1F"/>
              </w:rPr>
              <w:t>109 (28.3%)</w:t>
            </w:r>
          </w:p>
        </w:tc>
        <w:tc>
          <w:tcPr>
            <w:tcW w:w="790" w:type="dxa"/>
            <w:vAlign w:val="center"/>
            <w:hideMark/>
          </w:tcPr>
          <w:p w14:paraId="4E09C434" w14:textId="77777777" w:rsidR="00676471" w:rsidRPr="00A840BC" w:rsidRDefault="00676471" w:rsidP="002E3784">
            <w:pPr>
              <w:jc w:val="center"/>
              <w:rPr>
                <w:rFonts w:ascii="Arial" w:hAnsi="Arial" w:cs="Arial"/>
                <w:color w:val="1F1F1F"/>
              </w:rPr>
            </w:pPr>
            <w:r w:rsidRPr="00A840BC">
              <w:rPr>
                <w:rFonts w:ascii="Arial" w:hAnsi="Arial" w:cs="Arial"/>
                <w:color w:val="1F1F1F"/>
              </w:rPr>
              <w:t>385</w:t>
            </w:r>
          </w:p>
        </w:tc>
        <w:tc>
          <w:tcPr>
            <w:tcW w:w="851" w:type="dxa"/>
            <w:vAlign w:val="center"/>
            <w:hideMark/>
          </w:tcPr>
          <w:p w14:paraId="67B8E6E4" w14:textId="77777777" w:rsidR="00676471" w:rsidRPr="00A840BC" w:rsidRDefault="00676471" w:rsidP="002E3784">
            <w:pPr>
              <w:jc w:val="center"/>
              <w:rPr>
                <w:rFonts w:ascii="Arial" w:hAnsi="Arial" w:cs="Arial"/>
                <w:b/>
                <w:color w:val="1F1F1F"/>
              </w:rPr>
            </w:pPr>
            <w:r w:rsidRPr="00A840BC">
              <w:rPr>
                <w:rFonts w:ascii="Arial" w:hAnsi="Arial" w:cs="Arial"/>
                <w:b/>
                <w:color w:val="1F1F1F"/>
              </w:rPr>
              <w:t>3.86</w:t>
            </w:r>
          </w:p>
        </w:tc>
      </w:tr>
      <w:tr w:rsidR="00AB5E0E" w:rsidRPr="00A840BC" w14:paraId="7CC0A2F8" w14:textId="77777777" w:rsidTr="007A0D88">
        <w:trPr>
          <w:trHeight w:val="585"/>
        </w:trPr>
        <w:tc>
          <w:tcPr>
            <w:tcW w:w="995" w:type="dxa"/>
            <w:vAlign w:val="center"/>
            <w:hideMark/>
          </w:tcPr>
          <w:p w14:paraId="0279F40A" w14:textId="77777777" w:rsidR="00676471" w:rsidRPr="00A840BC" w:rsidRDefault="00676471" w:rsidP="002E3784">
            <w:pPr>
              <w:jc w:val="center"/>
              <w:rPr>
                <w:rFonts w:ascii="Arial" w:hAnsi="Arial" w:cs="Arial"/>
                <w:b/>
                <w:color w:val="1F1F1F"/>
              </w:rPr>
            </w:pPr>
            <w:r w:rsidRPr="00A840BC">
              <w:rPr>
                <w:rFonts w:ascii="Arial" w:hAnsi="Arial" w:cs="Arial"/>
                <w:b/>
                <w:color w:val="1F1F1F"/>
              </w:rPr>
              <w:lastRenderedPageBreak/>
              <w:t>X1.4</w:t>
            </w:r>
          </w:p>
        </w:tc>
        <w:tc>
          <w:tcPr>
            <w:tcW w:w="947" w:type="dxa"/>
            <w:vAlign w:val="center"/>
            <w:hideMark/>
          </w:tcPr>
          <w:p w14:paraId="1B93C594" w14:textId="77777777" w:rsidR="00676471" w:rsidRPr="00A840BC" w:rsidRDefault="00676471" w:rsidP="002E3784">
            <w:pPr>
              <w:jc w:val="center"/>
              <w:rPr>
                <w:rFonts w:ascii="Arial" w:hAnsi="Arial" w:cs="Arial"/>
                <w:color w:val="1F1F1F"/>
              </w:rPr>
            </w:pPr>
            <w:r w:rsidRPr="00A840BC">
              <w:rPr>
                <w:rFonts w:ascii="Arial" w:hAnsi="Arial" w:cs="Arial"/>
                <w:color w:val="1F1F1F"/>
              </w:rPr>
              <w:t>2 (0.5%)</w:t>
            </w:r>
          </w:p>
        </w:tc>
        <w:tc>
          <w:tcPr>
            <w:tcW w:w="970" w:type="dxa"/>
            <w:vAlign w:val="center"/>
            <w:hideMark/>
          </w:tcPr>
          <w:p w14:paraId="0F0F7D1D" w14:textId="77777777" w:rsidR="00676471" w:rsidRPr="00A840BC" w:rsidRDefault="00676471" w:rsidP="002E3784">
            <w:pPr>
              <w:ind w:firstLineChars="100" w:firstLine="200"/>
              <w:jc w:val="center"/>
              <w:rPr>
                <w:rFonts w:ascii="Arial" w:hAnsi="Arial" w:cs="Arial"/>
                <w:color w:val="1F1F1F"/>
              </w:rPr>
            </w:pPr>
            <w:r w:rsidRPr="00A840BC">
              <w:rPr>
                <w:rFonts w:ascii="Arial" w:hAnsi="Arial" w:cs="Arial"/>
                <w:color w:val="1F1F1F"/>
              </w:rPr>
              <w:t>25 (6.5%)</w:t>
            </w:r>
          </w:p>
        </w:tc>
        <w:tc>
          <w:tcPr>
            <w:tcW w:w="1139" w:type="dxa"/>
            <w:vAlign w:val="center"/>
            <w:hideMark/>
          </w:tcPr>
          <w:p w14:paraId="603F6A72" w14:textId="77777777" w:rsidR="00676471" w:rsidRPr="00A840BC" w:rsidRDefault="00676471" w:rsidP="002E3784">
            <w:pPr>
              <w:jc w:val="center"/>
              <w:rPr>
                <w:rFonts w:ascii="Arial" w:hAnsi="Arial" w:cs="Arial"/>
                <w:color w:val="1F1F1F"/>
              </w:rPr>
            </w:pPr>
            <w:r w:rsidRPr="00A840BC">
              <w:rPr>
                <w:rFonts w:ascii="Arial" w:hAnsi="Arial" w:cs="Arial"/>
                <w:color w:val="1F1F1F"/>
              </w:rPr>
              <w:t>97 (25.2%)</w:t>
            </w:r>
          </w:p>
        </w:tc>
        <w:tc>
          <w:tcPr>
            <w:tcW w:w="1250" w:type="dxa"/>
            <w:vAlign w:val="center"/>
            <w:hideMark/>
          </w:tcPr>
          <w:p w14:paraId="7BE377FE" w14:textId="77777777" w:rsidR="00676471" w:rsidRPr="00A840BC" w:rsidRDefault="00676471" w:rsidP="002E3784">
            <w:pPr>
              <w:jc w:val="center"/>
              <w:rPr>
                <w:rFonts w:ascii="Arial" w:hAnsi="Arial" w:cs="Arial"/>
                <w:color w:val="1F1F1F"/>
              </w:rPr>
            </w:pPr>
            <w:r w:rsidRPr="00A840BC">
              <w:rPr>
                <w:rFonts w:ascii="Arial" w:hAnsi="Arial" w:cs="Arial"/>
                <w:color w:val="1F1F1F"/>
              </w:rPr>
              <w:t>160 (41.6%)</w:t>
            </w:r>
          </w:p>
        </w:tc>
        <w:tc>
          <w:tcPr>
            <w:tcW w:w="1139" w:type="dxa"/>
            <w:vAlign w:val="center"/>
            <w:hideMark/>
          </w:tcPr>
          <w:p w14:paraId="607F50A5" w14:textId="77777777" w:rsidR="00676471" w:rsidRPr="00A840BC" w:rsidRDefault="00676471" w:rsidP="002E3784">
            <w:pPr>
              <w:jc w:val="center"/>
              <w:rPr>
                <w:rFonts w:ascii="Arial" w:hAnsi="Arial" w:cs="Arial"/>
                <w:color w:val="1F1F1F"/>
              </w:rPr>
            </w:pPr>
            <w:r w:rsidRPr="00A840BC">
              <w:rPr>
                <w:rFonts w:ascii="Arial" w:hAnsi="Arial" w:cs="Arial"/>
                <w:color w:val="1F1F1F"/>
              </w:rPr>
              <w:t>101 (26.2%)</w:t>
            </w:r>
          </w:p>
        </w:tc>
        <w:tc>
          <w:tcPr>
            <w:tcW w:w="790" w:type="dxa"/>
            <w:vAlign w:val="center"/>
            <w:hideMark/>
          </w:tcPr>
          <w:p w14:paraId="0F45B012" w14:textId="77777777" w:rsidR="00676471" w:rsidRPr="00A840BC" w:rsidRDefault="00676471" w:rsidP="002E3784">
            <w:pPr>
              <w:jc w:val="center"/>
              <w:rPr>
                <w:rFonts w:ascii="Arial" w:hAnsi="Arial" w:cs="Arial"/>
                <w:color w:val="1F1F1F"/>
              </w:rPr>
            </w:pPr>
            <w:r w:rsidRPr="00A840BC">
              <w:rPr>
                <w:rFonts w:ascii="Arial" w:hAnsi="Arial" w:cs="Arial"/>
                <w:color w:val="1F1F1F"/>
              </w:rPr>
              <w:t>385</w:t>
            </w:r>
          </w:p>
        </w:tc>
        <w:tc>
          <w:tcPr>
            <w:tcW w:w="851" w:type="dxa"/>
            <w:vAlign w:val="center"/>
            <w:hideMark/>
          </w:tcPr>
          <w:p w14:paraId="7F806C1D" w14:textId="77777777" w:rsidR="00676471" w:rsidRPr="00A840BC" w:rsidRDefault="00676471" w:rsidP="002E3784">
            <w:pPr>
              <w:jc w:val="center"/>
              <w:rPr>
                <w:rFonts w:ascii="Arial" w:hAnsi="Arial" w:cs="Arial"/>
                <w:b/>
                <w:color w:val="1F1F1F"/>
              </w:rPr>
            </w:pPr>
            <w:r w:rsidRPr="00A840BC">
              <w:rPr>
                <w:rFonts w:ascii="Arial" w:hAnsi="Arial" w:cs="Arial"/>
                <w:b/>
                <w:color w:val="1F1F1F"/>
              </w:rPr>
              <w:t>3.86</w:t>
            </w:r>
          </w:p>
        </w:tc>
      </w:tr>
      <w:tr w:rsidR="00AB5E0E" w:rsidRPr="00A840BC" w14:paraId="171E702A" w14:textId="77777777" w:rsidTr="007A0D88">
        <w:trPr>
          <w:trHeight w:val="585"/>
        </w:trPr>
        <w:tc>
          <w:tcPr>
            <w:tcW w:w="995" w:type="dxa"/>
            <w:vAlign w:val="center"/>
            <w:hideMark/>
          </w:tcPr>
          <w:p w14:paraId="05390FD7" w14:textId="77777777" w:rsidR="00676471" w:rsidRPr="00A840BC" w:rsidRDefault="00676471" w:rsidP="002E3784">
            <w:pPr>
              <w:jc w:val="center"/>
              <w:rPr>
                <w:rFonts w:ascii="Arial" w:hAnsi="Arial" w:cs="Arial"/>
                <w:b/>
                <w:color w:val="1F1F1F"/>
              </w:rPr>
            </w:pPr>
            <w:r w:rsidRPr="00A840BC">
              <w:rPr>
                <w:rFonts w:ascii="Arial" w:hAnsi="Arial" w:cs="Arial"/>
                <w:b/>
                <w:color w:val="1F1F1F"/>
              </w:rPr>
              <w:t>X1.5</w:t>
            </w:r>
          </w:p>
        </w:tc>
        <w:tc>
          <w:tcPr>
            <w:tcW w:w="947" w:type="dxa"/>
            <w:vAlign w:val="center"/>
            <w:hideMark/>
          </w:tcPr>
          <w:p w14:paraId="79215570" w14:textId="77777777" w:rsidR="00676471" w:rsidRPr="00A840BC" w:rsidRDefault="00676471" w:rsidP="002E3784">
            <w:pPr>
              <w:jc w:val="center"/>
              <w:rPr>
                <w:rFonts w:ascii="Arial" w:hAnsi="Arial" w:cs="Arial"/>
                <w:color w:val="1F1F1F"/>
              </w:rPr>
            </w:pPr>
            <w:r w:rsidRPr="00A840BC">
              <w:rPr>
                <w:rFonts w:ascii="Arial" w:hAnsi="Arial" w:cs="Arial"/>
                <w:color w:val="1F1F1F"/>
              </w:rPr>
              <w:t>2 (0.5%)</w:t>
            </w:r>
          </w:p>
        </w:tc>
        <w:tc>
          <w:tcPr>
            <w:tcW w:w="970" w:type="dxa"/>
            <w:vAlign w:val="center"/>
            <w:hideMark/>
          </w:tcPr>
          <w:p w14:paraId="0ED79B95" w14:textId="77777777" w:rsidR="00676471" w:rsidRPr="00A840BC" w:rsidRDefault="00676471" w:rsidP="002E3784">
            <w:pPr>
              <w:ind w:firstLineChars="100" w:firstLine="200"/>
              <w:jc w:val="center"/>
              <w:rPr>
                <w:rFonts w:ascii="Arial" w:hAnsi="Arial" w:cs="Arial"/>
                <w:color w:val="1F1F1F"/>
              </w:rPr>
            </w:pPr>
            <w:r w:rsidRPr="00A840BC">
              <w:rPr>
                <w:rFonts w:ascii="Arial" w:hAnsi="Arial" w:cs="Arial"/>
                <w:color w:val="1F1F1F"/>
              </w:rPr>
              <w:t>17 (4.4%)</w:t>
            </w:r>
          </w:p>
        </w:tc>
        <w:tc>
          <w:tcPr>
            <w:tcW w:w="1139" w:type="dxa"/>
            <w:vAlign w:val="center"/>
            <w:hideMark/>
          </w:tcPr>
          <w:p w14:paraId="75C857DE" w14:textId="77777777" w:rsidR="00AB5E0E" w:rsidRPr="00A840BC" w:rsidRDefault="00676471" w:rsidP="002E3784">
            <w:pPr>
              <w:jc w:val="center"/>
              <w:rPr>
                <w:rFonts w:ascii="Arial" w:hAnsi="Arial" w:cs="Arial"/>
                <w:color w:val="1F1F1F"/>
              </w:rPr>
            </w:pPr>
            <w:r w:rsidRPr="00A840BC">
              <w:rPr>
                <w:rFonts w:ascii="Arial" w:hAnsi="Arial" w:cs="Arial"/>
                <w:color w:val="1F1F1F"/>
              </w:rPr>
              <w:t>97</w:t>
            </w:r>
          </w:p>
          <w:p w14:paraId="00785A35" w14:textId="0FB6E052" w:rsidR="00676471" w:rsidRPr="00A840BC" w:rsidRDefault="00676471" w:rsidP="002E3784">
            <w:pPr>
              <w:jc w:val="center"/>
              <w:rPr>
                <w:rFonts w:ascii="Arial" w:hAnsi="Arial" w:cs="Arial"/>
                <w:color w:val="1F1F1F"/>
              </w:rPr>
            </w:pPr>
            <w:r w:rsidRPr="00A840BC">
              <w:rPr>
                <w:rFonts w:ascii="Arial" w:hAnsi="Arial" w:cs="Arial"/>
                <w:color w:val="1F1F1F"/>
              </w:rPr>
              <w:t>(25.2%)</w:t>
            </w:r>
          </w:p>
        </w:tc>
        <w:tc>
          <w:tcPr>
            <w:tcW w:w="1250" w:type="dxa"/>
            <w:vAlign w:val="center"/>
            <w:hideMark/>
          </w:tcPr>
          <w:p w14:paraId="242943C6" w14:textId="77777777" w:rsidR="00676471" w:rsidRPr="00A840BC" w:rsidRDefault="00676471" w:rsidP="002E3784">
            <w:pPr>
              <w:jc w:val="center"/>
              <w:rPr>
                <w:rFonts w:ascii="Arial" w:hAnsi="Arial" w:cs="Arial"/>
                <w:color w:val="1F1F1F"/>
              </w:rPr>
            </w:pPr>
            <w:r w:rsidRPr="00A840BC">
              <w:rPr>
                <w:rFonts w:ascii="Arial" w:hAnsi="Arial" w:cs="Arial"/>
                <w:color w:val="1F1F1F"/>
              </w:rPr>
              <w:t>180 (46.8%)</w:t>
            </w:r>
          </w:p>
        </w:tc>
        <w:tc>
          <w:tcPr>
            <w:tcW w:w="1139" w:type="dxa"/>
            <w:vAlign w:val="center"/>
            <w:hideMark/>
          </w:tcPr>
          <w:p w14:paraId="5E19D653" w14:textId="77777777" w:rsidR="00676471" w:rsidRPr="00A840BC" w:rsidRDefault="00676471" w:rsidP="002E3784">
            <w:pPr>
              <w:jc w:val="center"/>
              <w:rPr>
                <w:rFonts w:ascii="Arial" w:hAnsi="Arial" w:cs="Arial"/>
                <w:color w:val="1F1F1F"/>
              </w:rPr>
            </w:pPr>
            <w:r w:rsidRPr="00A840BC">
              <w:rPr>
                <w:rFonts w:ascii="Arial" w:hAnsi="Arial" w:cs="Arial"/>
                <w:color w:val="1F1F1F"/>
              </w:rPr>
              <w:t>89 (23.1%)</w:t>
            </w:r>
          </w:p>
        </w:tc>
        <w:tc>
          <w:tcPr>
            <w:tcW w:w="790" w:type="dxa"/>
            <w:vAlign w:val="center"/>
            <w:hideMark/>
          </w:tcPr>
          <w:p w14:paraId="204019DD" w14:textId="77777777" w:rsidR="00676471" w:rsidRPr="00A840BC" w:rsidRDefault="00676471" w:rsidP="002E3784">
            <w:pPr>
              <w:jc w:val="center"/>
              <w:rPr>
                <w:rFonts w:ascii="Arial" w:hAnsi="Arial" w:cs="Arial"/>
                <w:color w:val="1F1F1F"/>
              </w:rPr>
            </w:pPr>
            <w:r w:rsidRPr="00A840BC">
              <w:rPr>
                <w:rFonts w:ascii="Arial" w:hAnsi="Arial" w:cs="Arial"/>
                <w:color w:val="1F1F1F"/>
              </w:rPr>
              <w:t>385</w:t>
            </w:r>
          </w:p>
        </w:tc>
        <w:tc>
          <w:tcPr>
            <w:tcW w:w="851" w:type="dxa"/>
            <w:vAlign w:val="center"/>
            <w:hideMark/>
          </w:tcPr>
          <w:p w14:paraId="562CFE23" w14:textId="77777777" w:rsidR="00676471" w:rsidRPr="00A840BC" w:rsidRDefault="00676471" w:rsidP="002E3784">
            <w:pPr>
              <w:jc w:val="center"/>
              <w:rPr>
                <w:rFonts w:ascii="Arial" w:hAnsi="Arial" w:cs="Arial"/>
                <w:b/>
                <w:color w:val="1F1F1F"/>
              </w:rPr>
            </w:pPr>
            <w:r w:rsidRPr="00A840BC">
              <w:rPr>
                <w:rFonts w:ascii="Arial" w:hAnsi="Arial" w:cs="Arial"/>
                <w:b/>
                <w:color w:val="1F1F1F"/>
              </w:rPr>
              <w:t>3.88</w:t>
            </w:r>
          </w:p>
        </w:tc>
      </w:tr>
    </w:tbl>
    <w:p w14:paraId="4E596093" w14:textId="1FB3ADAF" w:rsidR="009E31F3" w:rsidRPr="00A840BC" w:rsidRDefault="00E17751" w:rsidP="002E3784">
      <w:pPr>
        <w:pStyle w:val="p1"/>
        <w:jc w:val="center"/>
        <w:rPr>
          <w:i/>
          <w:iCs/>
          <w:color w:val="000000" w:themeColor="text1"/>
        </w:rPr>
      </w:pPr>
      <w:r w:rsidRPr="00A840BC">
        <w:rPr>
          <w:i/>
          <w:iCs/>
          <w:color w:val="000000" w:themeColor="text1"/>
        </w:rPr>
        <w:t>Source: Compiled by the author based on the analy</w:t>
      </w:r>
      <w:r w:rsidR="00FC5106" w:rsidRPr="00A840BC">
        <w:rPr>
          <w:i/>
          <w:iCs/>
          <w:color w:val="000000" w:themeColor="text1"/>
        </w:rPr>
        <w:t>s</w:t>
      </w:r>
      <w:r w:rsidRPr="00A840BC">
        <w:rPr>
          <w:i/>
          <w:iCs/>
          <w:color w:val="000000" w:themeColor="text1"/>
        </w:rPr>
        <w:t>ed data</w:t>
      </w:r>
    </w:p>
    <w:p w14:paraId="01C38A34" w14:textId="77777777" w:rsidR="002B7206" w:rsidRPr="00A840BC" w:rsidRDefault="002B7206" w:rsidP="002E3784">
      <w:pPr>
        <w:pStyle w:val="p1"/>
        <w:jc w:val="center"/>
        <w:rPr>
          <w:color w:val="000000" w:themeColor="text1"/>
        </w:rPr>
      </w:pPr>
    </w:p>
    <w:p w14:paraId="2590961D" w14:textId="086EB0C3" w:rsidR="003803D6" w:rsidRPr="00A840BC" w:rsidRDefault="00CA5BB4" w:rsidP="002E3784">
      <w:pPr>
        <w:pStyle w:val="Body"/>
        <w:rPr>
          <w:rFonts w:ascii="Arial" w:hAnsi="Arial" w:cs="Arial"/>
          <w:color w:val="000000" w:themeColor="text1"/>
          <w:u w:val="single"/>
        </w:rPr>
      </w:pPr>
      <w:r w:rsidRPr="00A840BC">
        <w:rPr>
          <w:rFonts w:ascii="Arial" w:hAnsi="Arial" w:cs="Arial"/>
          <w:b/>
          <w:color w:val="000000" w:themeColor="text1"/>
          <w:u w:val="single"/>
        </w:rPr>
        <w:t>4</w:t>
      </w:r>
      <w:r w:rsidR="003803D6" w:rsidRPr="00A840BC">
        <w:rPr>
          <w:rFonts w:ascii="Arial" w:hAnsi="Arial" w:cs="Arial"/>
          <w:b/>
          <w:color w:val="000000" w:themeColor="text1"/>
          <w:u w:val="single"/>
        </w:rPr>
        <w:t>.</w:t>
      </w:r>
      <w:r w:rsidR="005017DB" w:rsidRPr="00A840BC">
        <w:rPr>
          <w:rFonts w:ascii="Arial" w:hAnsi="Arial" w:cs="Arial"/>
          <w:b/>
          <w:color w:val="000000" w:themeColor="text1"/>
          <w:u w:val="single"/>
        </w:rPr>
        <w:t>2</w:t>
      </w:r>
      <w:r w:rsidR="003803D6" w:rsidRPr="00A840BC">
        <w:rPr>
          <w:rFonts w:ascii="Arial" w:hAnsi="Arial" w:cs="Arial"/>
          <w:b/>
          <w:color w:val="000000" w:themeColor="text1"/>
          <w:u w:val="single"/>
        </w:rPr>
        <w:t xml:space="preserve">.2 </w:t>
      </w:r>
      <w:r w:rsidR="002222DE" w:rsidRPr="00A840BC">
        <w:rPr>
          <w:rFonts w:ascii="Arial" w:hAnsi="Arial" w:cs="Arial"/>
          <w:b/>
          <w:bCs/>
          <w:color w:val="000000"/>
          <w:u w:val="single"/>
        </w:rPr>
        <w:t>Digital Financial Literacy (X2)</w:t>
      </w:r>
    </w:p>
    <w:p w14:paraId="55DAD279" w14:textId="38A06EBD" w:rsidR="009E31F3" w:rsidRPr="00A840BC" w:rsidRDefault="0088126D" w:rsidP="002E3784">
      <w:pPr>
        <w:pStyle w:val="Body"/>
        <w:rPr>
          <w:rFonts w:ascii="Arial" w:hAnsi="Arial" w:cs="Arial"/>
          <w:color w:val="000000" w:themeColor="text1"/>
        </w:rPr>
      </w:pPr>
      <w:r w:rsidRPr="00A840BC">
        <w:rPr>
          <w:rFonts w:ascii="Arial" w:hAnsi="Arial" w:cs="Arial"/>
          <w:color w:val="000000" w:themeColor="text1"/>
        </w:rPr>
        <w:t xml:space="preserve">Digital Financial Literacy </w:t>
      </w:r>
      <w:r w:rsidR="00237D49" w:rsidRPr="00A840BC">
        <w:rPr>
          <w:rFonts w:ascii="Arial" w:hAnsi="Arial" w:cs="Arial"/>
          <w:color w:val="000000" w:themeColor="text1"/>
        </w:rPr>
        <w:t xml:space="preserve">in Table 4 </w:t>
      </w:r>
      <w:r w:rsidRPr="00A840BC">
        <w:rPr>
          <w:rFonts w:ascii="Arial" w:hAnsi="Arial" w:cs="Arial"/>
          <w:color w:val="000000" w:themeColor="text1"/>
        </w:rPr>
        <w:t>achieved the highest overall mean of 4.10, indicating a classification of High</w:t>
      </w:r>
      <w:r w:rsidR="005A0D97" w:rsidRPr="00A840BC">
        <w:rPr>
          <w:rFonts w:ascii="Arial" w:hAnsi="Arial" w:cs="Arial"/>
          <w:color w:val="000000" w:themeColor="text1"/>
        </w:rPr>
        <w:t xml:space="preserve"> </w:t>
      </w:r>
      <w:r w:rsidRPr="00A840BC">
        <w:rPr>
          <w:rFonts w:ascii="Arial" w:hAnsi="Arial" w:cs="Arial"/>
          <w:color w:val="000000" w:themeColor="text1"/>
        </w:rPr>
        <w:t xml:space="preserve">and showing that Generation Z MSMEs have significant skills in handling digital finance. The top rating in PIN confidentiality (X2.4, mean 4.12) reflects a strong </w:t>
      </w:r>
      <w:r w:rsidR="009E42B4" w:rsidRPr="00A840BC">
        <w:rPr>
          <w:rFonts w:ascii="Arial" w:hAnsi="Arial" w:cs="Arial"/>
          <w:color w:val="000000" w:themeColor="text1"/>
        </w:rPr>
        <w:t xml:space="preserve">protective security behaviors </w:t>
      </w:r>
      <w:r w:rsidRPr="00A840BC">
        <w:rPr>
          <w:rFonts w:ascii="Arial" w:hAnsi="Arial" w:cs="Arial"/>
          <w:color w:val="000000" w:themeColor="text1"/>
        </w:rPr>
        <w:t>and security practices. On the other hand, the lowest rating concerning the verification of application legality (X2.3, mean 4.06) indicates a minor weakness although participants are skilled at protecting their accounts, they show slightly less diligence in verifying the legitimacy of platforms, potentially putting them at risk for illegal lending schemes.</w:t>
      </w:r>
    </w:p>
    <w:p w14:paraId="5803FF51" w14:textId="0C7F198C" w:rsidR="0067714D" w:rsidRPr="00A840BC" w:rsidRDefault="0067714D" w:rsidP="002E3784">
      <w:pPr>
        <w:pStyle w:val="Body"/>
        <w:jc w:val="center"/>
        <w:rPr>
          <w:rFonts w:ascii="Arial" w:hAnsi="Arial" w:cs="Arial"/>
          <w:b/>
          <w:color w:val="000000" w:themeColor="text1"/>
          <w:szCs w:val="16"/>
        </w:rPr>
      </w:pPr>
      <w:r w:rsidRPr="00A840BC">
        <w:rPr>
          <w:rFonts w:ascii="Arial" w:hAnsi="Arial" w:cs="Arial"/>
          <w:b/>
          <w:color w:val="000000" w:themeColor="text1"/>
          <w:szCs w:val="16"/>
        </w:rPr>
        <w:t>Table 4. Digital Financial Literacy (X2) Description</w:t>
      </w:r>
    </w:p>
    <w:tbl>
      <w:tblPr>
        <w:tblStyle w:val="TableGridLight"/>
        <w:tblW w:w="0" w:type="auto"/>
        <w:tblLook w:val="04A0" w:firstRow="1" w:lastRow="0" w:firstColumn="1" w:lastColumn="0" w:noHBand="0" w:noVBand="1"/>
      </w:tblPr>
      <w:tblGrid>
        <w:gridCol w:w="995"/>
        <w:gridCol w:w="947"/>
        <w:gridCol w:w="970"/>
        <w:gridCol w:w="1139"/>
        <w:gridCol w:w="1250"/>
        <w:gridCol w:w="1139"/>
        <w:gridCol w:w="790"/>
        <w:gridCol w:w="851"/>
      </w:tblGrid>
      <w:tr w:rsidR="0067714D" w:rsidRPr="00A840BC" w14:paraId="4A8C94D6" w14:textId="77777777" w:rsidTr="007A0D88">
        <w:trPr>
          <w:trHeight w:val="615"/>
        </w:trPr>
        <w:tc>
          <w:tcPr>
            <w:tcW w:w="995" w:type="dxa"/>
            <w:vAlign w:val="center"/>
            <w:hideMark/>
          </w:tcPr>
          <w:p w14:paraId="71B0A00F" w14:textId="77777777" w:rsidR="0067714D" w:rsidRPr="00A840BC" w:rsidRDefault="0067714D" w:rsidP="002E3784">
            <w:pPr>
              <w:jc w:val="center"/>
              <w:rPr>
                <w:rFonts w:ascii="Arial" w:hAnsi="Arial" w:cs="Arial"/>
                <w:b/>
                <w:color w:val="1F1F1F"/>
                <w:lang w:eastAsia="en-ID"/>
              </w:rPr>
            </w:pPr>
            <w:r w:rsidRPr="00A840BC">
              <w:rPr>
                <w:rFonts w:ascii="Arial" w:hAnsi="Arial" w:cs="Arial"/>
                <w:b/>
                <w:color w:val="1F1F1F"/>
              </w:rPr>
              <w:t>Variable</w:t>
            </w:r>
          </w:p>
        </w:tc>
        <w:tc>
          <w:tcPr>
            <w:tcW w:w="947" w:type="dxa"/>
            <w:vAlign w:val="center"/>
            <w:hideMark/>
          </w:tcPr>
          <w:p w14:paraId="1FF946B4" w14:textId="77777777" w:rsidR="0067714D" w:rsidRPr="00A840BC" w:rsidRDefault="0067714D" w:rsidP="002E3784">
            <w:pPr>
              <w:jc w:val="center"/>
              <w:rPr>
                <w:rFonts w:ascii="Arial" w:hAnsi="Arial" w:cs="Arial"/>
                <w:b/>
                <w:color w:val="1F1F1F"/>
              </w:rPr>
            </w:pPr>
            <w:r w:rsidRPr="00A840BC">
              <w:rPr>
                <w:rFonts w:ascii="Arial" w:hAnsi="Arial" w:cs="Arial"/>
                <w:b/>
                <w:color w:val="1F1F1F"/>
              </w:rPr>
              <w:t>Scale 1 Value (%)</w:t>
            </w:r>
          </w:p>
        </w:tc>
        <w:tc>
          <w:tcPr>
            <w:tcW w:w="970" w:type="dxa"/>
            <w:vAlign w:val="center"/>
            <w:hideMark/>
          </w:tcPr>
          <w:p w14:paraId="391A2668" w14:textId="77777777" w:rsidR="0067714D" w:rsidRPr="00A840BC" w:rsidRDefault="0067714D" w:rsidP="002E3784">
            <w:pPr>
              <w:jc w:val="center"/>
              <w:rPr>
                <w:rFonts w:ascii="Arial" w:hAnsi="Arial" w:cs="Arial"/>
                <w:b/>
                <w:color w:val="1F1F1F"/>
              </w:rPr>
            </w:pPr>
            <w:r w:rsidRPr="00A840BC">
              <w:rPr>
                <w:rFonts w:ascii="Arial" w:hAnsi="Arial" w:cs="Arial"/>
                <w:b/>
                <w:color w:val="1F1F1F"/>
              </w:rPr>
              <w:t>Scale 2</w:t>
            </w:r>
          </w:p>
          <w:p w14:paraId="3B403468" w14:textId="77777777" w:rsidR="0067714D" w:rsidRPr="00A840BC" w:rsidRDefault="0067714D" w:rsidP="002E3784">
            <w:pPr>
              <w:jc w:val="center"/>
              <w:rPr>
                <w:rFonts w:ascii="Arial" w:hAnsi="Arial" w:cs="Arial"/>
                <w:b/>
                <w:color w:val="1F1F1F"/>
              </w:rPr>
            </w:pPr>
            <w:r w:rsidRPr="00A840BC">
              <w:rPr>
                <w:rFonts w:ascii="Arial" w:hAnsi="Arial" w:cs="Arial"/>
                <w:b/>
                <w:color w:val="1F1F1F"/>
              </w:rPr>
              <w:t>Value (%)</w:t>
            </w:r>
          </w:p>
        </w:tc>
        <w:tc>
          <w:tcPr>
            <w:tcW w:w="1139" w:type="dxa"/>
            <w:vAlign w:val="center"/>
            <w:hideMark/>
          </w:tcPr>
          <w:p w14:paraId="29273E58" w14:textId="77777777" w:rsidR="0067714D" w:rsidRPr="00A840BC" w:rsidRDefault="0067714D" w:rsidP="002E3784">
            <w:pPr>
              <w:jc w:val="center"/>
              <w:rPr>
                <w:rFonts w:ascii="Arial" w:hAnsi="Arial" w:cs="Arial"/>
                <w:b/>
                <w:color w:val="1F1F1F"/>
              </w:rPr>
            </w:pPr>
            <w:r w:rsidRPr="00A840BC">
              <w:rPr>
                <w:rFonts w:ascii="Arial" w:hAnsi="Arial" w:cs="Arial"/>
                <w:b/>
                <w:color w:val="1F1F1F"/>
              </w:rPr>
              <w:t>Scale 3 Value</w:t>
            </w:r>
          </w:p>
          <w:p w14:paraId="618F7129" w14:textId="77777777" w:rsidR="0067714D" w:rsidRPr="00A840BC" w:rsidRDefault="0067714D" w:rsidP="002E3784">
            <w:pPr>
              <w:jc w:val="center"/>
              <w:rPr>
                <w:rFonts w:ascii="Arial" w:hAnsi="Arial" w:cs="Arial"/>
                <w:b/>
                <w:color w:val="1F1F1F"/>
              </w:rPr>
            </w:pPr>
            <w:r w:rsidRPr="00A840BC">
              <w:rPr>
                <w:rFonts w:ascii="Arial" w:hAnsi="Arial" w:cs="Arial"/>
                <w:b/>
                <w:color w:val="1F1F1F"/>
              </w:rPr>
              <w:t>(%)</w:t>
            </w:r>
          </w:p>
        </w:tc>
        <w:tc>
          <w:tcPr>
            <w:tcW w:w="1250" w:type="dxa"/>
            <w:vAlign w:val="center"/>
            <w:hideMark/>
          </w:tcPr>
          <w:p w14:paraId="56F51EC4" w14:textId="77777777" w:rsidR="0067714D" w:rsidRPr="00A840BC" w:rsidRDefault="0067714D" w:rsidP="002E3784">
            <w:pPr>
              <w:jc w:val="center"/>
              <w:rPr>
                <w:rFonts w:ascii="Arial" w:hAnsi="Arial" w:cs="Arial"/>
                <w:b/>
                <w:color w:val="1F1F1F"/>
              </w:rPr>
            </w:pPr>
            <w:r w:rsidRPr="00A840BC">
              <w:rPr>
                <w:rFonts w:ascii="Arial" w:hAnsi="Arial" w:cs="Arial"/>
                <w:b/>
                <w:color w:val="1F1F1F"/>
              </w:rPr>
              <w:t>Scale 4 Value</w:t>
            </w:r>
          </w:p>
          <w:p w14:paraId="14AA1C1F" w14:textId="77777777" w:rsidR="0067714D" w:rsidRPr="00A840BC" w:rsidRDefault="0067714D" w:rsidP="002E3784">
            <w:pPr>
              <w:jc w:val="center"/>
              <w:rPr>
                <w:rFonts w:ascii="Arial" w:hAnsi="Arial" w:cs="Arial"/>
                <w:b/>
                <w:color w:val="1F1F1F"/>
              </w:rPr>
            </w:pPr>
            <w:r w:rsidRPr="00A840BC">
              <w:rPr>
                <w:rFonts w:ascii="Arial" w:hAnsi="Arial" w:cs="Arial"/>
                <w:b/>
                <w:color w:val="1F1F1F"/>
              </w:rPr>
              <w:t>(%)</w:t>
            </w:r>
          </w:p>
        </w:tc>
        <w:tc>
          <w:tcPr>
            <w:tcW w:w="1139" w:type="dxa"/>
            <w:vAlign w:val="center"/>
            <w:hideMark/>
          </w:tcPr>
          <w:p w14:paraId="5D059FB6" w14:textId="77777777" w:rsidR="0067714D" w:rsidRPr="00A840BC" w:rsidRDefault="0067714D" w:rsidP="002E3784">
            <w:pPr>
              <w:jc w:val="center"/>
              <w:rPr>
                <w:rFonts w:ascii="Arial" w:hAnsi="Arial" w:cs="Arial"/>
                <w:b/>
                <w:color w:val="1F1F1F"/>
              </w:rPr>
            </w:pPr>
            <w:r w:rsidRPr="00A840BC">
              <w:rPr>
                <w:rFonts w:ascii="Arial" w:hAnsi="Arial" w:cs="Arial"/>
                <w:b/>
                <w:color w:val="1F1F1F"/>
              </w:rPr>
              <w:t>Scale 5 Value</w:t>
            </w:r>
          </w:p>
          <w:p w14:paraId="3BCCE9C6" w14:textId="77777777" w:rsidR="0067714D" w:rsidRPr="00A840BC" w:rsidRDefault="0067714D" w:rsidP="002E3784">
            <w:pPr>
              <w:jc w:val="center"/>
              <w:rPr>
                <w:rFonts w:ascii="Arial" w:hAnsi="Arial" w:cs="Arial"/>
                <w:b/>
                <w:color w:val="1F1F1F"/>
              </w:rPr>
            </w:pPr>
            <w:r w:rsidRPr="00A840BC">
              <w:rPr>
                <w:rFonts w:ascii="Arial" w:hAnsi="Arial" w:cs="Arial"/>
                <w:b/>
                <w:color w:val="1F1F1F"/>
              </w:rPr>
              <w:t>(%)</w:t>
            </w:r>
          </w:p>
        </w:tc>
        <w:tc>
          <w:tcPr>
            <w:tcW w:w="790" w:type="dxa"/>
            <w:vAlign w:val="center"/>
            <w:hideMark/>
          </w:tcPr>
          <w:p w14:paraId="3F3136E8" w14:textId="77777777" w:rsidR="0067714D" w:rsidRPr="00A840BC" w:rsidRDefault="0067714D" w:rsidP="002E3784">
            <w:pPr>
              <w:jc w:val="center"/>
              <w:rPr>
                <w:rFonts w:ascii="Arial" w:hAnsi="Arial" w:cs="Arial"/>
                <w:b/>
                <w:color w:val="1F1F1F"/>
              </w:rPr>
            </w:pPr>
            <w:r w:rsidRPr="00A840BC">
              <w:rPr>
                <w:rFonts w:ascii="Arial" w:hAnsi="Arial" w:cs="Arial"/>
                <w:b/>
                <w:color w:val="1F1F1F"/>
              </w:rPr>
              <w:t>Total</w:t>
            </w:r>
          </w:p>
        </w:tc>
        <w:tc>
          <w:tcPr>
            <w:tcW w:w="851" w:type="dxa"/>
            <w:vAlign w:val="center"/>
            <w:hideMark/>
          </w:tcPr>
          <w:p w14:paraId="5E144449" w14:textId="77777777" w:rsidR="0067714D" w:rsidRPr="00A840BC" w:rsidRDefault="0067714D" w:rsidP="002E3784">
            <w:pPr>
              <w:jc w:val="center"/>
              <w:rPr>
                <w:rFonts w:ascii="Arial" w:hAnsi="Arial" w:cs="Arial"/>
                <w:b/>
                <w:color w:val="1F1F1F"/>
              </w:rPr>
            </w:pPr>
            <w:r w:rsidRPr="00A840BC">
              <w:rPr>
                <w:rFonts w:ascii="Arial" w:hAnsi="Arial" w:cs="Arial"/>
                <w:b/>
                <w:color w:val="1F1F1F"/>
              </w:rPr>
              <w:t>Mean</w:t>
            </w:r>
          </w:p>
        </w:tc>
      </w:tr>
      <w:tr w:rsidR="0067714D" w:rsidRPr="00A840BC" w14:paraId="42E275D4" w14:textId="77777777" w:rsidTr="007A0D88">
        <w:trPr>
          <w:trHeight w:val="585"/>
        </w:trPr>
        <w:tc>
          <w:tcPr>
            <w:tcW w:w="995" w:type="dxa"/>
            <w:vAlign w:val="center"/>
            <w:hideMark/>
          </w:tcPr>
          <w:p w14:paraId="0E36BA4D" w14:textId="11CAC312" w:rsidR="0067714D" w:rsidRPr="00A840BC" w:rsidRDefault="0067714D" w:rsidP="002E3784">
            <w:pPr>
              <w:jc w:val="center"/>
              <w:rPr>
                <w:rFonts w:ascii="Arial" w:hAnsi="Arial" w:cs="Arial"/>
                <w:b/>
                <w:color w:val="1F1F1F"/>
              </w:rPr>
            </w:pPr>
            <w:r w:rsidRPr="00A840BC">
              <w:rPr>
                <w:rFonts w:ascii="Arial" w:hAnsi="Arial" w:cs="Arial"/>
                <w:b/>
                <w:color w:val="1F1F1F"/>
              </w:rPr>
              <w:t>X2</w:t>
            </w:r>
          </w:p>
        </w:tc>
        <w:tc>
          <w:tcPr>
            <w:tcW w:w="947" w:type="dxa"/>
            <w:vAlign w:val="center"/>
            <w:hideMark/>
          </w:tcPr>
          <w:p w14:paraId="6495C64E" w14:textId="5FA5F79D" w:rsidR="0067714D" w:rsidRPr="00A840BC" w:rsidRDefault="0067714D" w:rsidP="002E3784">
            <w:pPr>
              <w:jc w:val="center"/>
              <w:rPr>
                <w:rFonts w:ascii="Arial" w:hAnsi="Arial" w:cs="Arial"/>
                <w:color w:val="1F1F1F"/>
              </w:rPr>
            </w:pPr>
            <w:r w:rsidRPr="00A840BC">
              <w:rPr>
                <w:rFonts w:ascii="Arial" w:hAnsi="Arial" w:cs="Arial"/>
                <w:color w:val="1F1F1F"/>
              </w:rPr>
              <w:t>2 (0.5%)</w:t>
            </w:r>
          </w:p>
        </w:tc>
        <w:tc>
          <w:tcPr>
            <w:tcW w:w="970" w:type="dxa"/>
            <w:vAlign w:val="center"/>
            <w:hideMark/>
          </w:tcPr>
          <w:p w14:paraId="60E5903A" w14:textId="4C6B1734" w:rsidR="0067714D" w:rsidRPr="00A840BC" w:rsidRDefault="0067714D" w:rsidP="002E3784">
            <w:pPr>
              <w:ind w:firstLineChars="100" w:firstLine="200"/>
              <w:jc w:val="center"/>
              <w:rPr>
                <w:rFonts w:ascii="Arial" w:hAnsi="Arial" w:cs="Arial"/>
                <w:color w:val="1F1F1F"/>
              </w:rPr>
            </w:pPr>
            <w:r w:rsidRPr="00A840BC">
              <w:rPr>
                <w:rFonts w:ascii="Arial" w:hAnsi="Arial" w:cs="Arial"/>
                <w:color w:val="1F1F1F"/>
              </w:rPr>
              <w:t>12 (3.1%)</w:t>
            </w:r>
          </w:p>
        </w:tc>
        <w:tc>
          <w:tcPr>
            <w:tcW w:w="1139" w:type="dxa"/>
            <w:vAlign w:val="center"/>
            <w:hideMark/>
          </w:tcPr>
          <w:p w14:paraId="61DADE81" w14:textId="3BB7331B" w:rsidR="0067714D" w:rsidRPr="00A840BC" w:rsidRDefault="0067714D" w:rsidP="002E3784">
            <w:pPr>
              <w:jc w:val="center"/>
              <w:rPr>
                <w:rFonts w:ascii="Arial" w:hAnsi="Arial" w:cs="Arial"/>
                <w:color w:val="1F1F1F"/>
              </w:rPr>
            </w:pPr>
            <w:r w:rsidRPr="00A840BC">
              <w:rPr>
                <w:rFonts w:ascii="Arial" w:hAnsi="Arial" w:cs="Arial"/>
                <w:color w:val="1F1F1F"/>
              </w:rPr>
              <w:t>75 (19.5%)</w:t>
            </w:r>
          </w:p>
        </w:tc>
        <w:tc>
          <w:tcPr>
            <w:tcW w:w="1250" w:type="dxa"/>
            <w:vAlign w:val="center"/>
            <w:hideMark/>
          </w:tcPr>
          <w:p w14:paraId="4C534D91" w14:textId="21607E04" w:rsidR="0067714D" w:rsidRPr="00A840BC" w:rsidRDefault="0067714D" w:rsidP="002E3784">
            <w:pPr>
              <w:jc w:val="center"/>
              <w:rPr>
                <w:rFonts w:ascii="Arial" w:hAnsi="Arial" w:cs="Arial"/>
                <w:color w:val="1F1F1F"/>
              </w:rPr>
            </w:pPr>
            <w:r w:rsidRPr="00A840BC">
              <w:rPr>
                <w:rFonts w:ascii="Arial" w:hAnsi="Arial" w:cs="Arial"/>
                <w:color w:val="1F1F1F"/>
              </w:rPr>
              <w:t>152 (39.5%)</w:t>
            </w:r>
          </w:p>
        </w:tc>
        <w:tc>
          <w:tcPr>
            <w:tcW w:w="1139" w:type="dxa"/>
            <w:vAlign w:val="center"/>
            <w:hideMark/>
          </w:tcPr>
          <w:p w14:paraId="79DD27A1" w14:textId="5DDC31B3" w:rsidR="0067714D" w:rsidRPr="00A840BC" w:rsidRDefault="0067714D" w:rsidP="002E3784">
            <w:pPr>
              <w:jc w:val="center"/>
              <w:rPr>
                <w:rFonts w:ascii="Arial" w:hAnsi="Arial" w:cs="Arial"/>
                <w:color w:val="1F1F1F"/>
              </w:rPr>
            </w:pPr>
            <w:r w:rsidRPr="00A840BC">
              <w:rPr>
                <w:rFonts w:ascii="Arial" w:hAnsi="Arial" w:cs="Arial"/>
                <w:color w:val="1F1F1F"/>
              </w:rPr>
              <w:t>144 (37.4%)</w:t>
            </w:r>
          </w:p>
        </w:tc>
        <w:tc>
          <w:tcPr>
            <w:tcW w:w="790" w:type="dxa"/>
            <w:vAlign w:val="center"/>
            <w:hideMark/>
          </w:tcPr>
          <w:p w14:paraId="34464639" w14:textId="2D460A4A" w:rsidR="0067714D" w:rsidRPr="00A840BC" w:rsidRDefault="0067714D" w:rsidP="002E3784">
            <w:pPr>
              <w:jc w:val="center"/>
              <w:rPr>
                <w:rFonts w:ascii="Arial" w:hAnsi="Arial" w:cs="Arial"/>
                <w:color w:val="1F1F1F"/>
              </w:rPr>
            </w:pPr>
            <w:r w:rsidRPr="00A840BC">
              <w:rPr>
                <w:rFonts w:ascii="Arial" w:hAnsi="Arial" w:cs="Arial"/>
                <w:color w:val="1F1F1F"/>
              </w:rPr>
              <w:t>385</w:t>
            </w:r>
          </w:p>
        </w:tc>
        <w:tc>
          <w:tcPr>
            <w:tcW w:w="851" w:type="dxa"/>
            <w:vAlign w:val="center"/>
            <w:hideMark/>
          </w:tcPr>
          <w:p w14:paraId="0700C06B" w14:textId="32D88E8F" w:rsidR="0067714D" w:rsidRPr="00A840BC" w:rsidRDefault="0067714D" w:rsidP="002E3784">
            <w:pPr>
              <w:jc w:val="center"/>
              <w:rPr>
                <w:rFonts w:ascii="Arial" w:hAnsi="Arial" w:cs="Arial"/>
                <w:b/>
                <w:color w:val="1F1F1F"/>
              </w:rPr>
            </w:pPr>
            <w:r w:rsidRPr="00A840BC">
              <w:rPr>
                <w:rFonts w:ascii="Arial" w:hAnsi="Arial" w:cs="Arial"/>
                <w:b/>
                <w:color w:val="1F1F1F"/>
              </w:rPr>
              <w:t>4.10</w:t>
            </w:r>
          </w:p>
        </w:tc>
      </w:tr>
      <w:tr w:rsidR="0067714D" w:rsidRPr="00A840BC" w14:paraId="0C6D46A5" w14:textId="77777777" w:rsidTr="007A0D88">
        <w:trPr>
          <w:trHeight w:val="585"/>
        </w:trPr>
        <w:tc>
          <w:tcPr>
            <w:tcW w:w="995" w:type="dxa"/>
            <w:vAlign w:val="center"/>
            <w:hideMark/>
          </w:tcPr>
          <w:p w14:paraId="04CF1F42" w14:textId="4B70E6C7" w:rsidR="0067714D" w:rsidRPr="00A840BC" w:rsidRDefault="0067714D" w:rsidP="002E3784">
            <w:pPr>
              <w:jc w:val="center"/>
              <w:rPr>
                <w:rFonts w:ascii="Arial" w:hAnsi="Arial" w:cs="Arial"/>
                <w:b/>
                <w:color w:val="1F1F1F"/>
              </w:rPr>
            </w:pPr>
            <w:r w:rsidRPr="00A840BC">
              <w:rPr>
                <w:rFonts w:ascii="Arial" w:hAnsi="Arial" w:cs="Arial"/>
                <w:b/>
                <w:color w:val="1F1F1F"/>
              </w:rPr>
              <w:t>X2.2</w:t>
            </w:r>
          </w:p>
        </w:tc>
        <w:tc>
          <w:tcPr>
            <w:tcW w:w="947" w:type="dxa"/>
            <w:vAlign w:val="center"/>
            <w:hideMark/>
          </w:tcPr>
          <w:p w14:paraId="18EEE745" w14:textId="01DA1601" w:rsidR="0067714D" w:rsidRPr="00A840BC" w:rsidRDefault="0067714D" w:rsidP="002E3784">
            <w:pPr>
              <w:jc w:val="center"/>
              <w:rPr>
                <w:rFonts w:ascii="Arial" w:hAnsi="Arial" w:cs="Arial"/>
                <w:color w:val="1F1F1F"/>
              </w:rPr>
            </w:pPr>
            <w:r w:rsidRPr="00A840BC">
              <w:rPr>
                <w:rFonts w:ascii="Arial" w:hAnsi="Arial" w:cs="Arial"/>
                <w:color w:val="1F1F1F"/>
              </w:rPr>
              <w:t>2 (0.5%)</w:t>
            </w:r>
          </w:p>
        </w:tc>
        <w:tc>
          <w:tcPr>
            <w:tcW w:w="970" w:type="dxa"/>
            <w:vAlign w:val="center"/>
            <w:hideMark/>
          </w:tcPr>
          <w:p w14:paraId="202AEFB3" w14:textId="39DD09E1" w:rsidR="0067714D" w:rsidRPr="00A840BC" w:rsidRDefault="0067714D" w:rsidP="002E3784">
            <w:pPr>
              <w:ind w:firstLineChars="100" w:firstLine="200"/>
              <w:jc w:val="center"/>
              <w:rPr>
                <w:rFonts w:ascii="Arial" w:hAnsi="Arial" w:cs="Arial"/>
                <w:color w:val="1F1F1F"/>
              </w:rPr>
            </w:pPr>
            <w:r w:rsidRPr="00A840BC">
              <w:rPr>
                <w:rFonts w:ascii="Arial" w:hAnsi="Arial" w:cs="Arial"/>
                <w:color w:val="1F1F1F"/>
              </w:rPr>
              <w:t>15 (3.9%)</w:t>
            </w:r>
          </w:p>
        </w:tc>
        <w:tc>
          <w:tcPr>
            <w:tcW w:w="1139" w:type="dxa"/>
            <w:vAlign w:val="center"/>
            <w:hideMark/>
          </w:tcPr>
          <w:p w14:paraId="2A3A7142" w14:textId="3B2C0D46" w:rsidR="0067714D" w:rsidRPr="00A840BC" w:rsidRDefault="0067714D" w:rsidP="002E3784">
            <w:pPr>
              <w:jc w:val="center"/>
              <w:rPr>
                <w:rFonts w:ascii="Arial" w:hAnsi="Arial" w:cs="Arial"/>
                <w:color w:val="1F1F1F"/>
              </w:rPr>
            </w:pPr>
            <w:r w:rsidRPr="00A840BC">
              <w:rPr>
                <w:rFonts w:ascii="Arial" w:hAnsi="Arial" w:cs="Arial"/>
                <w:color w:val="1F1F1F"/>
              </w:rPr>
              <w:t>67 (17.4%)</w:t>
            </w:r>
          </w:p>
        </w:tc>
        <w:tc>
          <w:tcPr>
            <w:tcW w:w="1250" w:type="dxa"/>
            <w:vAlign w:val="center"/>
            <w:hideMark/>
          </w:tcPr>
          <w:p w14:paraId="1F17B28B" w14:textId="152715B6" w:rsidR="0067714D" w:rsidRPr="00A840BC" w:rsidRDefault="0067714D" w:rsidP="002E3784">
            <w:pPr>
              <w:jc w:val="center"/>
              <w:rPr>
                <w:rFonts w:ascii="Arial" w:hAnsi="Arial" w:cs="Arial"/>
                <w:color w:val="1F1F1F"/>
              </w:rPr>
            </w:pPr>
            <w:r w:rsidRPr="00A840BC">
              <w:rPr>
                <w:rFonts w:ascii="Arial" w:hAnsi="Arial" w:cs="Arial"/>
                <w:color w:val="1F1F1F"/>
              </w:rPr>
              <w:t>156 (40.5%)</w:t>
            </w:r>
          </w:p>
        </w:tc>
        <w:tc>
          <w:tcPr>
            <w:tcW w:w="1139" w:type="dxa"/>
            <w:vAlign w:val="center"/>
            <w:hideMark/>
          </w:tcPr>
          <w:p w14:paraId="6B292F7F" w14:textId="091A4788" w:rsidR="0067714D" w:rsidRPr="00A840BC" w:rsidRDefault="0067714D" w:rsidP="002E3784">
            <w:pPr>
              <w:jc w:val="center"/>
              <w:rPr>
                <w:rFonts w:ascii="Arial" w:hAnsi="Arial" w:cs="Arial"/>
                <w:color w:val="1F1F1F"/>
              </w:rPr>
            </w:pPr>
            <w:r w:rsidRPr="00A840BC">
              <w:rPr>
                <w:rFonts w:ascii="Arial" w:hAnsi="Arial" w:cs="Arial"/>
                <w:color w:val="1F1F1F"/>
              </w:rPr>
              <w:t>145 (37.7%)</w:t>
            </w:r>
          </w:p>
        </w:tc>
        <w:tc>
          <w:tcPr>
            <w:tcW w:w="790" w:type="dxa"/>
            <w:vAlign w:val="center"/>
            <w:hideMark/>
          </w:tcPr>
          <w:p w14:paraId="26101366" w14:textId="655725D7" w:rsidR="0067714D" w:rsidRPr="00A840BC" w:rsidRDefault="0067714D" w:rsidP="002E3784">
            <w:pPr>
              <w:jc w:val="center"/>
              <w:rPr>
                <w:rFonts w:ascii="Arial" w:hAnsi="Arial" w:cs="Arial"/>
                <w:color w:val="1F1F1F"/>
              </w:rPr>
            </w:pPr>
            <w:r w:rsidRPr="00A840BC">
              <w:rPr>
                <w:rFonts w:ascii="Arial" w:hAnsi="Arial" w:cs="Arial"/>
                <w:color w:val="1F1F1F"/>
              </w:rPr>
              <w:t>385</w:t>
            </w:r>
          </w:p>
        </w:tc>
        <w:tc>
          <w:tcPr>
            <w:tcW w:w="851" w:type="dxa"/>
            <w:vAlign w:val="center"/>
            <w:hideMark/>
          </w:tcPr>
          <w:p w14:paraId="51C4F80F" w14:textId="2F3D7F4B" w:rsidR="0067714D" w:rsidRPr="00A840BC" w:rsidRDefault="0067714D" w:rsidP="002E3784">
            <w:pPr>
              <w:jc w:val="center"/>
              <w:rPr>
                <w:rFonts w:ascii="Arial" w:hAnsi="Arial" w:cs="Arial"/>
                <w:b/>
                <w:color w:val="1F1F1F"/>
              </w:rPr>
            </w:pPr>
            <w:r w:rsidRPr="00A840BC">
              <w:rPr>
                <w:rFonts w:ascii="Arial" w:hAnsi="Arial" w:cs="Arial"/>
                <w:b/>
                <w:color w:val="1F1F1F"/>
              </w:rPr>
              <w:t>4.11</w:t>
            </w:r>
          </w:p>
        </w:tc>
      </w:tr>
      <w:tr w:rsidR="0067714D" w:rsidRPr="00A840BC" w14:paraId="1013F94E" w14:textId="77777777" w:rsidTr="007A0D88">
        <w:trPr>
          <w:trHeight w:val="585"/>
        </w:trPr>
        <w:tc>
          <w:tcPr>
            <w:tcW w:w="995" w:type="dxa"/>
            <w:vAlign w:val="center"/>
            <w:hideMark/>
          </w:tcPr>
          <w:p w14:paraId="573BF0B2" w14:textId="422153E0" w:rsidR="0067714D" w:rsidRPr="00A840BC" w:rsidRDefault="0067714D" w:rsidP="002E3784">
            <w:pPr>
              <w:jc w:val="center"/>
              <w:rPr>
                <w:rFonts w:ascii="Arial" w:hAnsi="Arial" w:cs="Arial"/>
                <w:b/>
                <w:color w:val="1F1F1F"/>
              </w:rPr>
            </w:pPr>
            <w:r w:rsidRPr="00A840BC">
              <w:rPr>
                <w:rFonts w:ascii="Arial" w:hAnsi="Arial" w:cs="Arial"/>
                <w:b/>
                <w:color w:val="1F1F1F"/>
              </w:rPr>
              <w:t>X2.3</w:t>
            </w:r>
          </w:p>
        </w:tc>
        <w:tc>
          <w:tcPr>
            <w:tcW w:w="947" w:type="dxa"/>
            <w:vAlign w:val="center"/>
            <w:hideMark/>
          </w:tcPr>
          <w:p w14:paraId="318DC4D1" w14:textId="52A6D541" w:rsidR="0067714D" w:rsidRPr="00A840BC" w:rsidRDefault="0067714D" w:rsidP="002E3784">
            <w:pPr>
              <w:jc w:val="center"/>
              <w:rPr>
                <w:rFonts w:ascii="Arial" w:hAnsi="Arial" w:cs="Arial"/>
                <w:color w:val="1F1F1F"/>
              </w:rPr>
            </w:pPr>
            <w:r w:rsidRPr="00A840BC">
              <w:rPr>
                <w:rFonts w:ascii="Arial" w:hAnsi="Arial" w:cs="Arial"/>
                <w:color w:val="1F1F1F"/>
              </w:rPr>
              <w:t>1 (0.3%)</w:t>
            </w:r>
          </w:p>
        </w:tc>
        <w:tc>
          <w:tcPr>
            <w:tcW w:w="970" w:type="dxa"/>
            <w:vAlign w:val="center"/>
            <w:hideMark/>
          </w:tcPr>
          <w:p w14:paraId="26C44BD6" w14:textId="49E9B591" w:rsidR="0067714D" w:rsidRPr="00A840BC" w:rsidRDefault="0067714D" w:rsidP="002E3784">
            <w:pPr>
              <w:ind w:firstLineChars="100" w:firstLine="200"/>
              <w:jc w:val="center"/>
              <w:rPr>
                <w:rFonts w:ascii="Arial" w:hAnsi="Arial" w:cs="Arial"/>
                <w:color w:val="1F1F1F"/>
              </w:rPr>
            </w:pPr>
            <w:r w:rsidRPr="00A840BC">
              <w:rPr>
                <w:rFonts w:ascii="Arial" w:hAnsi="Arial" w:cs="Arial"/>
                <w:color w:val="1F1F1F"/>
              </w:rPr>
              <w:t>19 (4.9%)</w:t>
            </w:r>
          </w:p>
        </w:tc>
        <w:tc>
          <w:tcPr>
            <w:tcW w:w="1139" w:type="dxa"/>
            <w:vAlign w:val="center"/>
            <w:hideMark/>
          </w:tcPr>
          <w:p w14:paraId="539E1646" w14:textId="39B998BE" w:rsidR="0067714D" w:rsidRPr="00A840BC" w:rsidRDefault="0067714D" w:rsidP="002E3784">
            <w:pPr>
              <w:jc w:val="center"/>
              <w:rPr>
                <w:rFonts w:ascii="Arial" w:hAnsi="Arial" w:cs="Arial"/>
                <w:color w:val="1F1F1F"/>
              </w:rPr>
            </w:pPr>
            <w:r w:rsidRPr="00A840BC">
              <w:rPr>
                <w:rFonts w:ascii="Arial" w:hAnsi="Arial" w:cs="Arial"/>
                <w:color w:val="1F1F1F"/>
              </w:rPr>
              <w:t>75 (19.5%)</w:t>
            </w:r>
          </w:p>
        </w:tc>
        <w:tc>
          <w:tcPr>
            <w:tcW w:w="1250" w:type="dxa"/>
            <w:vAlign w:val="center"/>
            <w:hideMark/>
          </w:tcPr>
          <w:p w14:paraId="72C96AD8" w14:textId="5A671C4D" w:rsidR="0067714D" w:rsidRPr="00A840BC" w:rsidRDefault="0067714D" w:rsidP="002E3784">
            <w:pPr>
              <w:jc w:val="center"/>
              <w:rPr>
                <w:rFonts w:ascii="Arial" w:hAnsi="Arial" w:cs="Arial"/>
                <w:color w:val="1F1F1F"/>
              </w:rPr>
            </w:pPr>
            <w:r w:rsidRPr="00A840BC">
              <w:rPr>
                <w:rFonts w:ascii="Arial" w:hAnsi="Arial" w:cs="Arial"/>
                <w:color w:val="1F1F1F"/>
              </w:rPr>
              <w:t>151 (39.2%)</w:t>
            </w:r>
          </w:p>
        </w:tc>
        <w:tc>
          <w:tcPr>
            <w:tcW w:w="1139" w:type="dxa"/>
            <w:vAlign w:val="center"/>
            <w:hideMark/>
          </w:tcPr>
          <w:p w14:paraId="3414E47E" w14:textId="13B389B3" w:rsidR="0067714D" w:rsidRPr="00A840BC" w:rsidRDefault="0067714D" w:rsidP="002E3784">
            <w:pPr>
              <w:jc w:val="center"/>
              <w:rPr>
                <w:rFonts w:ascii="Arial" w:hAnsi="Arial" w:cs="Arial"/>
                <w:color w:val="1F1F1F"/>
              </w:rPr>
            </w:pPr>
            <w:r w:rsidRPr="00A840BC">
              <w:rPr>
                <w:rFonts w:ascii="Arial" w:hAnsi="Arial" w:cs="Arial"/>
                <w:color w:val="1F1F1F"/>
              </w:rPr>
              <w:t>139 (36.1%)</w:t>
            </w:r>
          </w:p>
        </w:tc>
        <w:tc>
          <w:tcPr>
            <w:tcW w:w="790" w:type="dxa"/>
            <w:vAlign w:val="center"/>
            <w:hideMark/>
          </w:tcPr>
          <w:p w14:paraId="208E9190" w14:textId="1158E717" w:rsidR="0067714D" w:rsidRPr="00A840BC" w:rsidRDefault="0067714D" w:rsidP="002E3784">
            <w:pPr>
              <w:jc w:val="center"/>
              <w:rPr>
                <w:rFonts w:ascii="Arial" w:hAnsi="Arial" w:cs="Arial"/>
                <w:color w:val="1F1F1F"/>
              </w:rPr>
            </w:pPr>
            <w:r w:rsidRPr="00A840BC">
              <w:rPr>
                <w:rFonts w:ascii="Arial" w:hAnsi="Arial" w:cs="Arial"/>
                <w:color w:val="1F1F1F"/>
              </w:rPr>
              <w:t>385</w:t>
            </w:r>
          </w:p>
        </w:tc>
        <w:tc>
          <w:tcPr>
            <w:tcW w:w="851" w:type="dxa"/>
            <w:vAlign w:val="center"/>
            <w:hideMark/>
          </w:tcPr>
          <w:p w14:paraId="18730859" w14:textId="7178BAAF" w:rsidR="0067714D" w:rsidRPr="00A840BC" w:rsidRDefault="0067714D" w:rsidP="002E3784">
            <w:pPr>
              <w:jc w:val="center"/>
              <w:rPr>
                <w:rFonts w:ascii="Arial" w:hAnsi="Arial" w:cs="Arial"/>
                <w:b/>
                <w:color w:val="1F1F1F"/>
              </w:rPr>
            </w:pPr>
            <w:r w:rsidRPr="00A840BC">
              <w:rPr>
                <w:rFonts w:ascii="Arial" w:hAnsi="Arial" w:cs="Arial"/>
                <w:b/>
                <w:color w:val="1F1F1F"/>
              </w:rPr>
              <w:t>4.06</w:t>
            </w:r>
          </w:p>
        </w:tc>
      </w:tr>
      <w:tr w:rsidR="0067714D" w:rsidRPr="00A840BC" w14:paraId="376F2E4B" w14:textId="77777777" w:rsidTr="007A0D88">
        <w:trPr>
          <w:trHeight w:val="585"/>
        </w:trPr>
        <w:tc>
          <w:tcPr>
            <w:tcW w:w="995" w:type="dxa"/>
            <w:vAlign w:val="center"/>
            <w:hideMark/>
          </w:tcPr>
          <w:p w14:paraId="694FD6F0" w14:textId="487574A1" w:rsidR="0067714D" w:rsidRPr="00A840BC" w:rsidRDefault="0067714D" w:rsidP="002E3784">
            <w:pPr>
              <w:jc w:val="center"/>
              <w:rPr>
                <w:rFonts w:ascii="Arial" w:hAnsi="Arial" w:cs="Arial"/>
                <w:b/>
                <w:color w:val="1F1F1F"/>
              </w:rPr>
            </w:pPr>
            <w:r w:rsidRPr="00A840BC">
              <w:rPr>
                <w:rFonts w:ascii="Arial" w:hAnsi="Arial" w:cs="Arial"/>
                <w:b/>
                <w:color w:val="1F1F1F"/>
              </w:rPr>
              <w:t>X2.4</w:t>
            </w:r>
          </w:p>
        </w:tc>
        <w:tc>
          <w:tcPr>
            <w:tcW w:w="947" w:type="dxa"/>
            <w:vAlign w:val="center"/>
            <w:hideMark/>
          </w:tcPr>
          <w:p w14:paraId="36F59878" w14:textId="1A3B7CCE" w:rsidR="0067714D" w:rsidRPr="00A840BC" w:rsidRDefault="0067714D" w:rsidP="002E3784">
            <w:pPr>
              <w:jc w:val="center"/>
              <w:rPr>
                <w:rFonts w:ascii="Arial" w:hAnsi="Arial" w:cs="Arial"/>
                <w:color w:val="1F1F1F"/>
              </w:rPr>
            </w:pPr>
            <w:r w:rsidRPr="00A840BC">
              <w:rPr>
                <w:rFonts w:ascii="Arial" w:hAnsi="Arial" w:cs="Arial"/>
                <w:color w:val="1F1F1F"/>
              </w:rPr>
              <w:t>1 (0.3%)</w:t>
            </w:r>
          </w:p>
        </w:tc>
        <w:tc>
          <w:tcPr>
            <w:tcW w:w="970" w:type="dxa"/>
            <w:vAlign w:val="center"/>
            <w:hideMark/>
          </w:tcPr>
          <w:p w14:paraId="06E700EC" w14:textId="79940C53" w:rsidR="0067714D" w:rsidRPr="00A840BC" w:rsidRDefault="0067714D" w:rsidP="002E3784">
            <w:pPr>
              <w:ind w:firstLineChars="100" w:firstLine="200"/>
              <w:jc w:val="center"/>
              <w:rPr>
                <w:rFonts w:ascii="Arial" w:hAnsi="Arial" w:cs="Arial"/>
                <w:color w:val="1F1F1F"/>
              </w:rPr>
            </w:pPr>
            <w:r w:rsidRPr="00A840BC">
              <w:rPr>
                <w:rFonts w:ascii="Arial" w:hAnsi="Arial" w:cs="Arial"/>
                <w:color w:val="1F1F1F"/>
              </w:rPr>
              <w:t>18 (4.7%)</w:t>
            </w:r>
          </w:p>
        </w:tc>
        <w:tc>
          <w:tcPr>
            <w:tcW w:w="1139" w:type="dxa"/>
            <w:vAlign w:val="center"/>
            <w:hideMark/>
          </w:tcPr>
          <w:p w14:paraId="671B2297" w14:textId="701D1049" w:rsidR="0067714D" w:rsidRPr="00A840BC" w:rsidRDefault="0067714D" w:rsidP="002E3784">
            <w:pPr>
              <w:jc w:val="center"/>
              <w:rPr>
                <w:rFonts w:ascii="Arial" w:hAnsi="Arial" w:cs="Arial"/>
                <w:color w:val="1F1F1F"/>
              </w:rPr>
            </w:pPr>
            <w:r w:rsidRPr="00A840BC">
              <w:rPr>
                <w:rFonts w:ascii="Arial" w:hAnsi="Arial" w:cs="Arial"/>
                <w:color w:val="1F1F1F"/>
              </w:rPr>
              <w:t>66 (17.1%)</w:t>
            </w:r>
          </w:p>
        </w:tc>
        <w:tc>
          <w:tcPr>
            <w:tcW w:w="1250" w:type="dxa"/>
            <w:vAlign w:val="center"/>
            <w:hideMark/>
          </w:tcPr>
          <w:p w14:paraId="170AF84A" w14:textId="6A9DFC14" w:rsidR="0067714D" w:rsidRPr="00A840BC" w:rsidRDefault="0067714D" w:rsidP="002E3784">
            <w:pPr>
              <w:jc w:val="center"/>
              <w:rPr>
                <w:rFonts w:ascii="Arial" w:hAnsi="Arial" w:cs="Arial"/>
                <w:color w:val="1F1F1F"/>
              </w:rPr>
            </w:pPr>
            <w:r w:rsidRPr="00A840BC">
              <w:rPr>
                <w:rFonts w:ascii="Arial" w:hAnsi="Arial" w:cs="Arial"/>
                <w:color w:val="1F1F1F"/>
              </w:rPr>
              <w:t>150 (39.0%)</w:t>
            </w:r>
          </w:p>
        </w:tc>
        <w:tc>
          <w:tcPr>
            <w:tcW w:w="1139" w:type="dxa"/>
            <w:vAlign w:val="center"/>
            <w:hideMark/>
          </w:tcPr>
          <w:p w14:paraId="1AE3E4E9" w14:textId="28B4DC3F" w:rsidR="0067714D" w:rsidRPr="00A840BC" w:rsidRDefault="0067714D" w:rsidP="002E3784">
            <w:pPr>
              <w:jc w:val="center"/>
              <w:rPr>
                <w:rFonts w:ascii="Arial" w:hAnsi="Arial" w:cs="Arial"/>
                <w:color w:val="1F1F1F"/>
              </w:rPr>
            </w:pPr>
            <w:r w:rsidRPr="00A840BC">
              <w:rPr>
                <w:rFonts w:ascii="Arial" w:hAnsi="Arial" w:cs="Arial"/>
                <w:color w:val="1F1F1F"/>
              </w:rPr>
              <w:t>150 (39.0%)</w:t>
            </w:r>
          </w:p>
        </w:tc>
        <w:tc>
          <w:tcPr>
            <w:tcW w:w="790" w:type="dxa"/>
            <w:vAlign w:val="center"/>
            <w:hideMark/>
          </w:tcPr>
          <w:p w14:paraId="33D170B3" w14:textId="60C179B7" w:rsidR="0067714D" w:rsidRPr="00A840BC" w:rsidRDefault="0067714D" w:rsidP="002E3784">
            <w:pPr>
              <w:jc w:val="center"/>
              <w:rPr>
                <w:rFonts w:ascii="Arial" w:hAnsi="Arial" w:cs="Arial"/>
                <w:color w:val="1F1F1F"/>
              </w:rPr>
            </w:pPr>
            <w:r w:rsidRPr="00A840BC">
              <w:rPr>
                <w:rFonts w:ascii="Arial" w:hAnsi="Arial" w:cs="Arial"/>
                <w:color w:val="1F1F1F"/>
              </w:rPr>
              <w:t>385</w:t>
            </w:r>
          </w:p>
        </w:tc>
        <w:tc>
          <w:tcPr>
            <w:tcW w:w="851" w:type="dxa"/>
            <w:vAlign w:val="center"/>
            <w:hideMark/>
          </w:tcPr>
          <w:p w14:paraId="04DD4365" w14:textId="0C523CD0" w:rsidR="0067714D" w:rsidRPr="00A840BC" w:rsidRDefault="0067714D" w:rsidP="002E3784">
            <w:pPr>
              <w:jc w:val="center"/>
              <w:rPr>
                <w:rFonts w:ascii="Arial" w:hAnsi="Arial" w:cs="Arial"/>
                <w:b/>
                <w:color w:val="1F1F1F"/>
              </w:rPr>
            </w:pPr>
            <w:r w:rsidRPr="00A840BC">
              <w:rPr>
                <w:rFonts w:ascii="Arial" w:hAnsi="Arial" w:cs="Arial"/>
                <w:b/>
                <w:color w:val="1F1F1F"/>
              </w:rPr>
              <w:t>4.12</w:t>
            </w:r>
          </w:p>
        </w:tc>
      </w:tr>
      <w:tr w:rsidR="0067714D" w:rsidRPr="00A840BC" w14:paraId="76BB99B8" w14:textId="77777777" w:rsidTr="007A0D88">
        <w:trPr>
          <w:trHeight w:val="585"/>
        </w:trPr>
        <w:tc>
          <w:tcPr>
            <w:tcW w:w="995" w:type="dxa"/>
            <w:vAlign w:val="center"/>
            <w:hideMark/>
          </w:tcPr>
          <w:p w14:paraId="3F4FBA5A" w14:textId="245CEBA7" w:rsidR="0067714D" w:rsidRPr="00A840BC" w:rsidRDefault="0067714D" w:rsidP="002E3784">
            <w:pPr>
              <w:jc w:val="center"/>
              <w:rPr>
                <w:rFonts w:ascii="Arial" w:hAnsi="Arial" w:cs="Arial"/>
                <w:b/>
                <w:color w:val="1F1F1F"/>
              </w:rPr>
            </w:pPr>
            <w:r w:rsidRPr="00A840BC">
              <w:rPr>
                <w:rFonts w:ascii="Arial" w:hAnsi="Arial" w:cs="Arial"/>
                <w:b/>
                <w:color w:val="1F1F1F"/>
              </w:rPr>
              <w:t>X2.5</w:t>
            </w:r>
          </w:p>
        </w:tc>
        <w:tc>
          <w:tcPr>
            <w:tcW w:w="947" w:type="dxa"/>
            <w:vAlign w:val="center"/>
            <w:hideMark/>
          </w:tcPr>
          <w:p w14:paraId="70ACF6FE" w14:textId="0D88AA19" w:rsidR="0067714D" w:rsidRPr="00A840BC" w:rsidRDefault="0067714D" w:rsidP="002E3784">
            <w:pPr>
              <w:jc w:val="center"/>
              <w:rPr>
                <w:rFonts w:ascii="Arial" w:hAnsi="Arial" w:cs="Arial"/>
                <w:color w:val="1F1F1F"/>
              </w:rPr>
            </w:pPr>
            <w:r w:rsidRPr="00A840BC">
              <w:rPr>
                <w:rFonts w:ascii="Arial" w:hAnsi="Arial" w:cs="Arial"/>
                <w:color w:val="1F1F1F"/>
              </w:rPr>
              <w:t>4 (1.0%)</w:t>
            </w:r>
          </w:p>
        </w:tc>
        <w:tc>
          <w:tcPr>
            <w:tcW w:w="970" w:type="dxa"/>
            <w:vAlign w:val="center"/>
            <w:hideMark/>
          </w:tcPr>
          <w:p w14:paraId="368C687B" w14:textId="3EBA0DE5" w:rsidR="0067714D" w:rsidRPr="00A840BC" w:rsidRDefault="0067714D" w:rsidP="002E3784">
            <w:pPr>
              <w:ind w:firstLineChars="100" w:firstLine="200"/>
              <w:jc w:val="center"/>
              <w:rPr>
                <w:rFonts w:ascii="Arial" w:hAnsi="Arial" w:cs="Arial"/>
                <w:color w:val="1F1F1F"/>
              </w:rPr>
            </w:pPr>
            <w:r w:rsidRPr="00A840BC">
              <w:rPr>
                <w:rFonts w:ascii="Arial" w:hAnsi="Arial" w:cs="Arial"/>
                <w:color w:val="1F1F1F"/>
              </w:rPr>
              <w:t>11 (2.9%)</w:t>
            </w:r>
          </w:p>
        </w:tc>
        <w:tc>
          <w:tcPr>
            <w:tcW w:w="1139" w:type="dxa"/>
            <w:vAlign w:val="center"/>
            <w:hideMark/>
          </w:tcPr>
          <w:p w14:paraId="30AF2548" w14:textId="49E99C75" w:rsidR="0067714D" w:rsidRPr="00A840BC" w:rsidRDefault="0067714D" w:rsidP="002E3784">
            <w:pPr>
              <w:jc w:val="center"/>
              <w:rPr>
                <w:rFonts w:ascii="Arial" w:hAnsi="Arial" w:cs="Arial"/>
                <w:color w:val="1F1F1F"/>
              </w:rPr>
            </w:pPr>
            <w:r w:rsidRPr="00A840BC">
              <w:rPr>
                <w:rFonts w:ascii="Arial" w:hAnsi="Arial" w:cs="Arial"/>
                <w:color w:val="1F1F1F"/>
              </w:rPr>
              <w:t>76 (19.7%)</w:t>
            </w:r>
          </w:p>
        </w:tc>
        <w:tc>
          <w:tcPr>
            <w:tcW w:w="1250" w:type="dxa"/>
            <w:vAlign w:val="center"/>
            <w:hideMark/>
          </w:tcPr>
          <w:p w14:paraId="4A360DA7" w14:textId="5D7DA0AD" w:rsidR="0067714D" w:rsidRPr="00A840BC" w:rsidRDefault="0067714D" w:rsidP="002E3784">
            <w:pPr>
              <w:jc w:val="center"/>
              <w:rPr>
                <w:rFonts w:ascii="Arial" w:hAnsi="Arial" w:cs="Arial"/>
                <w:color w:val="1F1F1F"/>
              </w:rPr>
            </w:pPr>
            <w:r w:rsidRPr="00A840BC">
              <w:rPr>
                <w:rFonts w:ascii="Arial" w:hAnsi="Arial" w:cs="Arial"/>
                <w:color w:val="1F1F1F"/>
              </w:rPr>
              <w:t>151 (39.2%)</w:t>
            </w:r>
          </w:p>
        </w:tc>
        <w:tc>
          <w:tcPr>
            <w:tcW w:w="1139" w:type="dxa"/>
            <w:vAlign w:val="center"/>
            <w:hideMark/>
          </w:tcPr>
          <w:p w14:paraId="16B698FC" w14:textId="414115A7" w:rsidR="0067714D" w:rsidRPr="00A840BC" w:rsidRDefault="0067714D" w:rsidP="002E3784">
            <w:pPr>
              <w:jc w:val="center"/>
              <w:rPr>
                <w:rFonts w:ascii="Arial" w:hAnsi="Arial" w:cs="Arial"/>
                <w:color w:val="1F1F1F"/>
              </w:rPr>
            </w:pPr>
            <w:r w:rsidRPr="00A840BC">
              <w:rPr>
                <w:rFonts w:ascii="Arial" w:hAnsi="Arial" w:cs="Arial"/>
                <w:color w:val="1F1F1F"/>
              </w:rPr>
              <w:t>143 (37.1%)</w:t>
            </w:r>
          </w:p>
        </w:tc>
        <w:tc>
          <w:tcPr>
            <w:tcW w:w="790" w:type="dxa"/>
            <w:vAlign w:val="center"/>
            <w:hideMark/>
          </w:tcPr>
          <w:p w14:paraId="7617C2CD" w14:textId="091C5CA8" w:rsidR="0067714D" w:rsidRPr="00A840BC" w:rsidRDefault="0067714D" w:rsidP="002E3784">
            <w:pPr>
              <w:jc w:val="center"/>
              <w:rPr>
                <w:rFonts w:ascii="Arial" w:hAnsi="Arial" w:cs="Arial"/>
                <w:color w:val="1F1F1F"/>
              </w:rPr>
            </w:pPr>
            <w:r w:rsidRPr="00A840BC">
              <w:rPr>
                <w:rFonts w:ascii="Arial" w:hAnsi="Arial" w:cs="Arial"/>
                <w:color w:val="1F1F1F"/>
              </w:rPr>
              <w:t>385</w:t>
            </w:r>
          </w:p>
        </w:tc>
        <w:tc>
          <w:tcPr>
            <w:tcW w:w="851" w:type="dxa"/>
            <w:vAlign w:val="center"/>
            <w:hideMark/>
          </w:tcPr>
          <w:p w14:paraId="089928B7" w14:textId="4FD4C59C" w:rsidR="0067714D" w:rsidRPr="00A840BC" w:rsidRDefault="0067714D" w:rsidP="002E3784">
            <w:pPr>
              <w:jc w:val="center"/>
              <w:rPr>
                <w:rFonts w:ascii="Arial" w:hAnsi="Arial" w:cs="Arial"/>
                <w:b/>
                <w:color w:val="1F1F1F"/>
              </w:rPr>
            </w:pPr>
            <w:r w:rsidRPr="00A840BC">
              <w:rPr>
                <w:rFonts w:ascii="Arial" w:hAnsi="Arial" w:cs="Arial"/>
                <w:b/>
                <w:color w:val="1F1F1F"/>
              </w:rPr>
              <w:t>4.09</w:t>
            </w:r>
          </w:p>
        </w:tc>
      </w:tr>
    </w:tbl>
    <w:p w14:paraId="46C95B73" w14:textId="73C35D8B" w:rsidR="009E31F3" w:rsidRPr="00A840BC" w:rsidRDefault="00E17751" w:rsidP="002E3784">
      <w:pPr>
        <w:pStyle w:val="p1"/>
        <w:jc w:val="center"/>
        <w:rPr>
          <w:i/>
          <w:iCs/>
          <w:color w:val="000000" w:themeColor="text1"/>
        </w:rPr>
      </w:pPr>
      <w:r w:rsidRPr="00A840BC">
        <w:rPr>
          <w:i/>
          <w:iCs/>
          <w:color w:val="000000" w:themeColor="text1"/>
        </w:rPr>
        <w:t>Source: Compiled by the author based on the analy</w:t>
      </w:r>
      <w:r w:rsidR="00FC5106" w:rsidRPr="00A840BC">
        <w:rPr>
          <w:i/>
          <w:iCs/>
          <w:color w:val="000000" w:themeColor="text1"/>
        </w:rPr>
        <w:t>s</w:t>
      </w:r>
      <w:r w:rsidRPr="00A840BC">
        <w:rPr>
          <w:i/>
          <w:iCs/>
          <w:color w:val="000000" w:themeColor="text1"/>
        </w:rPr>
        <w:t>ed data</w:t>
      </w:r>
    </w:p>
    <w:p w14:paraId="06548A79" w14:textId="77777777" w:rsidR="00CD0BA2" w:rsidRPr="00A840BC" w:rsidRDefault="00CD0BA2" w:rsidP="002E3784">
      <w:pPr>
        <w:pStyle w:val="p1"/>
        <w:jc w:val="center"/>
        <w:rPr>
          <w:color w:val="000000" w:themeColor="text1"/>
        </w:rPr>
      </w:pPr>
    </w:p>
    <w:p w14:paraId="1AFD5B9E" w14:textId="57B2B26D" w:rsidR="002222DE" w:rsidRPr="00A840BC" w:rsidRDefault="00CA5BB4" w:rsidP="002E3784">
      <w:pPr>
        <w:pStyle w:val="Body"/>
        <w:rPr>
          <w:rFonts w:ascii="Arial" w:hAnsi="Arial" w:cs="Arial"/>
          <w:color w:val="000000" w:themeColor="text1"/>
          <w:u w:val="single"/>
        </w:rPr>
      </w:pPr>
      <w:r w:rsidRPr="00A840BC">
        <w:rPr>
          <w:rFonts w:ascii="Arial" w:hAnsi="Arial" w:cs="Arial"/>
          <w:b/>
          <w:color w:val="000000" w:themeColor="text1"/>
          <w:u w:val="single"/>
        </w:rPr>
        <w:t>4</w:t>
      </w:r>
      <w:r w:rsidR="002222DE" w:rsidRPr="00A840BC">
        <w:rPr>
          <w:rFonts w:ascii="Arial" w:hAnsi="Arial" w:cs="Arial"/>
          <w:b/>
          <w:color w:val="000000" w:themeColor="text1"/>
          <w:u w:val="single"/>
        </w:rPr>
        <w:t>.</w:t>
      </w:r>
      <w:r w:rsidR="005017DB" w:rsidRPr="00A840BC">
        <w:rPr>
          <w:rFonts w:ascii="Arial" w:hAnsi="Arial" w:cs="Arial"/>
          <w:b/>
          <w:color w:val="000000" w:themeColor="text1"/>
          <w:u w:val="single"/>
        </w:rPr>
        <w:t>2</w:t>
      </w:r>
      <w:r w:rsidR="002222DE" w:rsidRPr="00A840BC">
        <w:rPr>
          <w:rFonts w:ascii="Arial" w:hAnsi="Arial" w:cs="Arial"/>
          <w:b/>
          <w:color w:val="000000" w:themeColor="text1"/>
          <w:u w:val="single"/>
        </w:rPr>
        <w:t>.3</w:t>
      </w:r>
      <w:r w:rsidR="00AD1533" w:rsidRPr="00A840BC">
        <w:rPr>
          <w:rFonts w:ascii="Arial" w:hAnsi="Arial" w:cs="Arial"/>
          <w:b/>
          <w:color w:val="000000" w:themeColor="text1"/>
          <w:u w:val="single"/>
        </w:rPr>
        <w:t xml:space="preserve"> </w:t>
      </w:r>
      <w:r w:rsidR="00462AC6" w:rsidRPr="00A840BC">
        <w:rPr>
          <w:rFonts w:ascii="Arial" w:hAnsi="Arial" w:cs="Arial"/>
          <w:b/>
          <w:bCs/>
          <w:color w:val="000000"/>
          <w:u w:val="single"/>
        </w:rPr>
        <w:t>Digital Financial Inclusion (Y)</w:t>
      </w:r>
    </w:p>
    <w:p w14:paraId="01FC580C" w14:textId="5C9FCCC2" w:rsidR="00454E7C" w:rsidRPr="00A840BC" w:rsidRDefault="003C4C8A" w:rsidP="002E3784">
      <w:pPr>
        <w:pStyle w:val="Body"/>
        <w:rPr>
          <w:rFonts w:ascii="Arial" w:hAnsi="Arial" w:cs="Arial"/>
          <w:color w:val="000000" w:themeColor="text1"/>
        </w:rPr>
      </w:pPr>
      <w:r w:rsidRPr="00A840BC">
        <w:rPr>
          <w:rFonts w:ascii="Arial" w:hAnsi="Arial" w:cs="Arial"/>
          <w:color w:val="000000" w:themeColor="text1"/>
        </w:rPr>
        <w:t>Based on Table 5, t</w:t>
      </w:r>
      <w:r w:rsidR="001111C9" w:rsidRPr="00A840BC">
        <w:rPr>
          <w:rFonts w:ascii="Arial" w:hAnsi="Arial" w:cs="Arial"/>
          <w:color w:val="000000" w:themeColor="text1"/>
        </w:rPr>
        <w:t>he dependent variable, Digital Financial Inclusion, shows a strong overall average of 4.07, suggesting that Generation Z significantly incorporates digital services into their business practices. The top ratings for varied use and financial documentation (Y3 and Y5, average 4.09) indicate that these resources are employed for a wider scope of business professionalism beyond mere transactions. Nevertheless, the somewhat reduced score in everyday usage (Y2, average 4.05) implies that digital payments have not entirely taken over cash in regular transactions, highlighting the continued presence of a mixed financial approach in local markets.</w:t>
      </w:r>
    </w:p>
    <w:p w14:paraId="0007407B" w14:textId="4EB12ABE" w:rsidR="0067714D" w:rsidRPr="00A840BC" w:rsidRDefault="0067714D" w:rsidP="002E3784">
      <w:pPr>
        <w:pStyle w:val="Body"/>
        <w:jc w:val="center"/>
        <w:rPr>
          <w:rFonts w:ascii="Arial" w:hAnsi="Arial" w:cs="Arial"/>
          <w:color w:val="000000" w:themeColor="text1"/>
          <w:sz w:val="16"/>
          <w:szCs w:val="16"/>
        </w:rPr>
      </w:pPr>
      <w:r w:rsidRPr="00A840BC">
        <w:rPr>
          <w:rFonts w:ascii="Arial" w:hAnsi="Arial" w:cs="Arial"/>
          <w:b/>
          <w:color w:val="000000" w:themeColor="text1"/>
          <w:szCs w:val="16"/>
        </w:rPr>
        <w:t>Table 5. Digital Financial Inclusion (Y) Description</w:t>
      </w:r>
    </w:p>
    <w:tbl>
      <w:tblPr>
        <w:tblStyle w:val="TableGridLight"/>
        <w:tblW w:w="0" w:type="auto"/>
        <w:tblLook w:val="04A0" w:firstRow="1" w:lastRow="0" w:firstColumn="1" w:lastColumn="0" w:noHBand="0" w:noVBand="1"/>
      </w:tblPr>
      <w:tblGrid>
        <w:gridCol w:w="995"/>
        <w:gridCol w:w="947"/>
        <w:gridCol w:w="970"/>
        <w:gridCol w:w="1139"/>
        <w:gridCol w:w="1250"/>
        <w:gridCol w:w="1139"/>
        <w:gridCol w:w="790"/>
        <w:gridCol w:w="851"/>
      </w:tblGrid>
      <w:tr w:rsidR="0067714D" w:rsidRPr="00A840BC" w14:paraId="3775421E" w14:textId="77777777" w:rsidTr="007A0D88">
        <w:trPr>
          <w:trHeight w:val="615"/>
        </w:trPr>
        <w:tc>
          <w:tcPr>
            <w:tcW w:w="995" w:type="dxa"/>
            <w:vAlign w:val="center"/>
            <w:hideMark/>
          </w:tcPr>
          <w:p w14:paraId="0AC38D86" w14:textId="77777777" w:rsidR="0067714D" w:rsidRPr="00A840BC" w:rsidRDefault="0067714D" w:rsidP="002E3784">
            <w:pPr>
              <w:jc w:val="center"/>
              <w:rPr>
                <w:rFonts w:ascii="Arial" w:hAnsi="Arial" w:cs="Arial"/>
                <w:b/>
                <w:color w:val="1F1F1F"/>
                <w:lang w:eastAsia="en-ID"/>
              </w:rPr>
            </w:pPr>
            <w:r w:rsidRPr="00A840BC">
              <w:rPr>
                <w:rFonts w:ascii="Arial" w:hAnsi="Arial" w:cs="Arial"/>
                <w:b/>
                <w:color w:val="1F1F1F"/>
              </w:rPr>
              <w:t>Variable</w:t>
            </w:r>
          </w:p>
        </w:tc>
        <w:tc>
          <w:tcPr>
            <w:tcW w:w="947" w:type="dxa"/>
            <w:vAlign w:val="center"/>
            <w:hideMark/>
          </w:tcPr>
          <w:p w14:paraId="0B190DAC" w14:textId="77777777" w:rsidR="0067714D" w:rsidRPr="00A840BC" w:rsidRDefault="0067714D" w:rsidP="002E3784">
            <w:pPr>
              <w:jc w:val="center"/>
              <w:rPr>
                <w:rFonts w:ascii="Arial" w:hAnsi="Arial" w:cs="Arial"/>
                <w:b/>
                <w:color w:val="1F1F1F"/>
              </w:rPr>
            </w:pPr>
            <w:r w:rsidRPr="00A840BC">
              <w:rPr>
                <w:rFonts w:ascii="Arial" w:hAnsi="Arial" w:cs="Arial"/>
                <w:b/>
                <w:color w:val="1F1F1F"/>
              </w:rPr>
              <w:t>Scale 1 Value (%)</w:t>
            </w:r>
          </w:p>
        </w:tc>
        <w:tc>
          <w:tcPr>
            <w:tcW w:w="970" w:type="dxa"/>
            <w:vAlign w:val="center"/>
            <w:hideMark/>
          </w:tcPr>
          <w:p w14:paraId="5B2E379B" w14:textId="77777777" w:rsidR="0067714D" w:rsidRPr="00A840BC" w:rsidRDefault="0067714D" w:rsidP="002E3784">
            <w:pPr>
              <w:jc w:val="center"/>
              <w:rPr>
                <w:rFonts w:ascii="Arial" w:hAnsi="Arial" w:cs="Arial"/>
                <w:b/>
                <w:color w:val="1F1F1F"/>
              </w:rPr>
            </w:pPr>
            <w:r w:rsidRPr="00A840BC">
              <w:rPr>
                <w:rFonts w:ascii="Arial" w:hAnsi="Arial" w:cs="Arial"/>
                <w:b/>
                <w:color w:val="1F1F1F"/>
              </w:rPr>
              <w:t>Scale 2</w:t>
            </w:r>
          </w:p>
          <w:p w14:paraId="17181106" w14:textId="77777777" w:rsidR="0067714D" w:rsidRPr="00A840BC" w:rsidRDefault="0067714D" w:rsidP="002E3784">
            <w:pPr>
              <w:jc w:val="center"/>
              <w:rPr>
                <w:rFonts w:ascii="Arial" w:hAnsi="Arial" w:cs="Arial"/>
                <w:b/>
                <w:color w:val="1F1F1F"/>
              </w:rPr>
            </w:pPr>
            <w:r w:rsidRPr="00A840BC">
              <w:rPr>
                <w:rFonts w:ascii="Arial" w:hAnsi="Arial" w:cs="Arial"/>
                <w:b/>
                <w:color w:val="1F1F1F"/>
              </w:rPr>
              <w:t>Value (%)</w:t>
            </w:r>
          </w:p>
        </w:tc>
        <w:tc>
          <w:tcPr>
            <w:tcW w:w="1139" w:type="dxa"/>
            <w:vAlign w:val="center"/>
            <w:hideMark/>
          </w:tcPr>
          <w:p w14:paraId="1151D33F" w14:textId="77777777" w:rsidR="0067714D" w:rsidRPr="00A840BC" w:rsidRDefault="0067714D" w:rsidP="002E3784">
            <w:pPr>
              <w:jc w:val="center"/>
              <w:rPr>
                <w:rFonts w:ascii="Arial" w:hAnsi="Arial" w:cs="Arial"/>
                <w:b/>
                <w:color w:val="1F1F1F"/>
              </w:rPr>
            </w:pPr>
            <w:r w:rsidRPr="00A840BC">
              <w:rPr>
                <w:rFonts w:ascii="Arial" w:hAnsi="Arial" w:cs="Arial"/>
                <w:b/>
                <w:color w:val="1F1F1F"/>
              </w:rPr>
              <w:t>Scale 3 Value</w:t>
            </w:r>
          </w:p>
          <w:p w14:paraId="0B21D6FB" w14:textId="77777777" w:rsidR="0067714D" w:rsidRPr="00A840BC" w:rsidRDefault="0067714D" w:rsidP="002E3784">
            <w:pPr>
              <w:jc w:val="center"/>
              <w:rPr>
                <w:rFonts w:ascii="Arial" w:hAnsi="Arial" w:cs="Arial"/>
                <w:b/>
                <w:color w:val="1F1F1F"/>
              </w:rPr>
            </w:pPr>
            <w:r w:rsidRPr="00A840BC">
              <w:rPr>
                <w:rFonts w:ascii="Arial" w:hAnsi="Arial" w:cs="Arial"/>
                <w:b/>
                <w:color w:val="1F1F1F"/>
              </w:rPr>
              <w:t>(%)</w:t>
            </w:r>
          </w:p>
        </w:tc>
        <w:tc>
          <w:tcPr>
            <w:tcW w:w="1250" w:type="dxa"/>
            <w:vAlign w:val="center"/>
            <w:hideMark/>
          </w:tcPr>
          <w:p w14:paraId="2C410C6A" w14:textId="77777777" w:rsidR="0067714D" w:rsidRPr="00A840BC" w:rsidRDefault="0067714D" w:rsidP="002E3784">
            <w:pPr>
              <w:jc w:val="center"/>
              <w:rPr>
                <w:rFonts w:ascii="Arial" w:hAnsi="Arial" w:cs="Arial"/>
                <w:b/>
                <w:color w:val="1F1F1F"/>
              </w:rPr>
            </w:pPr>
            <w:r w:rsidRPr="00A840BC">
              <w:rPr>
                <w:rFonts w:ascii="Arial" w:hAnsi="Arial" w:cs="Arial"/>
                <w:b/>
                <w:color w:val="1F1F1F"/>
              </w:rPr>
              <w:t>Scale 4 Value</w:t>
            </w:r>
          </w:p>
          <w:p w14:paraId="5685FEF2" w14:textId="77777777" w:rsidR="0067714D" w:rsidRPr="00A840BC" w:rsidRDefault="0067714D" w:rsidP="002E3784">
            <w:pPr>
              <w:jc w:val="center"/>
              <w:rPr>
                <w:rFonts w:ascii="Arial" w:hAnsi="Arial" w:cs="Arial"/>
                <w:b/>
                <w:color w:val="1F1F1F"/>
              </w:rPr>
            </w:pPr>
            <w:r w:rsidRPr="00A840BC">
              <w:rPr>
                <w:rFonts w:ascii="Arial" w:hAnsi="Arial" w:cs="Arial"/>
                <w:b/>
                <w:color w:val="1F1F1F"/>
              </w:rPr>
              <w:t>(%)</w:t>
            </w:r>
          </w:p>
        </w:tc>
        <w:tc>
          <w:tcPr>
            <w:tcW w:w="1139" w:type="dxa"/>
            <w:vAlign w:val="center"/>
            <w:hideMark/>
          </w:tcPr>
          <w:p w14:paraId="6D926BD8" w14:textId="77777777" w:rsidR="0067714D" w:rsidRPr="00A840BC" w:rsidRDefault="0067714D" w:rsidP="002E3784">
            <w:pPr>
              <w:jc w:val="center"/>
              <w:rPr>
                <w:rFonts w:ascii="Arial" w:hAnsi="Arial" w:cs="Arial"/>
                <w:b/>
                <w:color w:val="1F1F1F"/>
              </w:rPr>
            </w:pPr>
            <w:r w:rsidRPr="00A840BC">
              <w:rPr>
                <w:rFonts w:ascii="Arial" w:hAnsi="Arial" w:cs="Arial"/>
                <w:b/>
                <w:color w:val="1F1F1F"/>
              </w:rPr>
              <w:t>Scale 5 Value</w:t>
            </w:r>
          </w:p>
          <w:p w14:paraId="254026D2" w14:textId="77777777" w:rsidR="0067714D" w:rsidRPr="00A840BC" w:rsidRDefault="0067714D" w:rsidP="002E3784">
            <w:pPr>
              <w:jc w:val="center"/>
              <w:rPr>
                <w:rFonts w:ascii="Arial" w:hAnsi="Arial" w:cs="Arial"/>
                <w:b/>
                <w:color w:val="1F1F1F"/>
              </w:rPr>
            </w:pPr>
            <w:r w:rsidRPr="00A840BC">
              <w:rPr>
                <w:rFonts w:ascii="Arial" w:hAnsi="Arial" w:cs="Arial"/>
                <w:b/>
                <w:color w:val="1F1F1F"/>
              </w:rPr>
              <w:t>(%)</w:t>
            </w:r>
          </w:p>
        </w:tc>
        <w:tc>
          <w:tcPr>
            <w:tcW w:w="790" w:type="dxa"/>
            <w:vAlign w:val="center"/>
            <w:hideMark/>
          </w:tcPr>
          <w:p w14:paraId="291E089A" w14:textId="77777777" w:rsidR="0067714D" w:rsidRPr="00A840BC" w:rsidRDefault="0067714D" w:rsidP="002E3784">
            <w:pPr>
              <w:jc w:val="center"/>
              <w:rPr>
                <w:rFonts w:ascii="Arial" w:hAnsi="Arial" w:cs="Arial"/>
                <w:b/>
                <w:color w:val="1F1F1F"/>
              </w:rPr>
            </w:pPr>
            <w:r w:rsidRPr="00A840BC">
              <w:rPr>
                <w:rFonts w:ascii="Arial" w:hAnsi="Arial" w:cs="Arial"/>
                <w:b/>
                <w:color w:val="1F1F1F"/>
              </w:rPr>
              <w:t>Total</w:t>
            </w:r>
          </w:p>
        </w:tc>
        <w:tc>
          <w:tcPr>
            <w:tcW w:w="851" w:type="dxa"/>
            <w:vAlign w:val="center"/>
            <w:hideMark/>
          </w:tcPr>
          <w:p w14:paraId="003CCC46" w14:textId="77777777" w:rsidR="0067714D" w:rsidRPr="00A840BC" w:rsidRDefault="0067714D" w:rsidP="002E3784">
            <w:pPr>
              <w:jc w:val="center"/>
              <w:rPr>
                <w:rFonts w:ascii="Arial" w:hAnsi="Arial" w:cs="Arial"/>
                <w:b/>
                <w:color w:val="1F1F1F"/>
              </w:rPr>
            </w:pPr>
            <w:r w:rsidRPr="00A840BC">
              <w:rPr>
                <w:rFonts w:ascii="Arial" w:hAnsi="Arial" w:cs="Arial"/>
                <w:b/>
                <w:color w:val="1F1F1F"/>
              </w:rPr>
              <w:t>Mean</w:t>
            </w:r>
          </w:p>
        </w:tc>
      </w:tr>
      <w:tr w:rsidR="0067714D" w:rsidRPr="00A840BC" w14:paraId="32C905F9" w14:textId="77777777" w:rsidTr="007A0D88">
        <w:trPr>
          <w:trHeight w:val="585"/>
        </w:trPr>
        <w:tc>
          <w:tcPr>
            <w:tcW w:w="995" w:type="dxa"/>
            <w:vAlign w:val="center"/>
            <w:hideMark/>
          </w:tcPr>
          <w:p w14:paraId="28764494" w14:textId="12D01B3A" w:rsidR="0067714D" w:rsidRPr="00A840BC" w:rsidRDefault="0067714D" w:rsidP="002E3784">
            <w:pPr>
              <w:jc w:val="center"/>
              <w:rPr>
                <w:rFonts w:ascii="Arial" w:hAnsi="Arial" w:cs="Arial"/>
                <w:b/>
                <w:color w:val="1F1F1F"/>
              </w:rPr>
            </w:pPr>
            <w:r w:rsidRPr="00A840BC">
              <w:rPr>
                <w:rFonts w:ascii="Arial" w:hAnsi="Arial" w:cs="Arial"/>
                <w:b/>
                <w:color w:val="1F1F1F"/>
              </w:rPr>
              <w:lastRenderedPageBreak/>
              <w:t>Y1</w:t>
            </w:r>
          </w:p>
        </w:tc>
        <w:tc>
          <w:tcPr>
            <w:tcW w:w="947" w:type="dxa"/>
            <w:vAlign w:val="center"/>
            <w:hideMark/>
          </w:tcPr>
          <w:p w14:paraId="5C31B529" w14:textId="2E46E5B2" w:rsidR="0067714D" w:rsidRPr="00A840BC" w:rsidRDefault="0067714D" w:rsidP="002E3784">
            <w:pPr>
              <w:jc w:val="center"/>
              <w:rPr>
                <w:rFonts w:ascii="Arial" w:hAnsi="Arial" w:cs="Arial"/>
                <w:color w:val="1F1F1F"/>
              </w:rPr>
            </w:pPr>
            <w:r w:rsidRPr="00A840BC">
              <w:rPr>
                <w:rFonts w:ascii="Arial" w:hAnsi="Arial" w:cs="Arial"/>
                <w:color w:val="1F1F1F"/>
              </w:rPr>
              <w:t>2 (0.5%)</w:t>
            </w:r>
          </w:p>
        </w:tc>
        <w:tc>
          <w:tcPr>
            <w:tcW w:w="970" w:type="dxa"/>
            <w:vAlign w:val="center"/>
            <w:hideMark/>
          </w:tcPr>
          <w:p w14:paraId="79FFC619" w14:textId="5B322307" w:rsidR="0067714D" w:rsidRPr="00A840BC" w:rsidRDefault="0067714D" w:rsidP="002E3784">
            <w:pPr>
              <w:ind w:firstLineChars="100" w:firstLine="200"/>
              <w:jc w:val="center"/>
              <w:rPr>
                <w:rFonts w:ascii="Arial" w:hAnsi="Arial" w:cs="Arial"/>
                <w:color w:val="1F1F1F"/>
              </w:rPr>
            </w:pPr>
            <w:r w:rsidRPr="00A840BC">
              <w:rPr>
                <w:rFonts w:ascii="Arial" w:hAnsi="Arial" w:cs="Arial"/>
                <w:color w:val="1F1F1F"/>
              </w:rPr>
              <w:t>17 (4.4%)</w:t>
            </w:r>
          </w:p>
        </w:tc>
        <w:tc>
          <w:tcPr>
            <w:tcW w:w="1139" w:type="dxa"/>
            <w:vAlign w:val="center"/>
            <w:hideMark/>
          </w:tcPr>
          <w:p w14:paraId="645FB5F9" w14:textId="3F2C5479" w:rsidR="0067714D" w:rsidRPr="00A840BC" w:rsidRDefault="0067714D" w:rsidP="002E3784">
            <w:pPr>
              <w:jc w:val="center"/>
              <w:rPr>
                <w:rFonts w:ascii="Arial" w:hAnsi="Arial" w:cs="Arial"/>
                <w:color w:val="1F1F1F"/>
              </w:rPr>
            </w:pPr>
            <w:r w:rsidRPr="00A840BC">
              <w:rPr>
                <w:rFonts w:ascii="Arial" w:hAnsi="Arial" w:cs="Arial"/>
                <w:color w:val="1F1F1F"/>
              </w:rPr>
              <w:t>79 (20.5%)</w:t>
            </w:r>
          </w:p>
        </w:tc>
        <w:tc>
          <w:tcPr>
            <w:tcW w:w="1250" w:type="dxa"/>
            <w:vAlign w:val="center"/>
            <w:hideMark/>
          </w:tcPr>
          <w:p w14:paraId="46D50C44" w14:textId="103B32DE" w:rsidR="0067714D" w:rsidRPr="00A840BC" w:rsidRDefault="0067714D" w:rsidP="002E3784">
            <w:pPr>
              <w:jc w:val="center"/>
              <w:rPr>
                <w:rFonts w:ascii="Arial" w:hAnsi="Arial" w:cs="Arial"/>
                <w:color w:val="1F1F1F"/>
              </w:rPr>
            </w:pPr>
            <w:r w:rsidRPr="00A840BC">
              <w:rPr>
                <w:rFonts w:ascii="Arial" w:hAnsi="Arial" w:cs="Arial"/>
                <w:color w:val="1F1F1F"/>
              </w:rPr>
              <w:t>145 (37.7%)</w:t>
            </w:r>
          </w:p>
        </w:tc>
        <w:tc>
          <w:tcPr>
            <w:tcW w:w="1139" w:type="dxa"/>
            <w:vAlign w:val="center"/>
            <w:hideMark/>
          </w:tcPr>
          <w:p w14:paraId="76445B60" w14:textId="108859D0" w:rsidR="0067714D" w:rsidRPr="00A840BC" w:rsidRDefault="0067714D" w:rsidP="002E3784">
            <w:pPr>
              <w:jc w:val="center"/>
              <w:rPr>
                <w:rFonts w:ascii="Arial" w:hAnsi="Arial" w:cs="Arial"/>
                <w:color w:val="1F1F1F"/>
              </w:rPr>
            </w:pPr>
            <w:r w:rsidRPr="00A840BC">
              <w:rPr>
                <w:rFonts w:ascii="Arial" w:hAnsi="Arial" w:cs="Arial"/>
                <w:color w:val="1F1F1F"/>
              </w:rPr>
              <w:t>142 (36.9%)</w:t>
            </w:r>
          </w:p>
        </w:tc>
        <w:tc>
          <w:tcPr>
            <w:tcW w:w="790" w:type="dxa"/>
            <w:vAlign w:val="center"/>
            <w:hideMark/>
          </w:tcPr>
          <w:p w14:paraId="37726770" w14:textId="0BB55476" w:rsidR="0067714D" w:rsidRPr="00A840BC" w:rsidRDefault="0067714D" w:rsidP="002E3784">
            <w:pPr>
              <w:jc w:val="center"/>
              <w:rPr>
                <w:rFonts w:ascii="Arial" w:hAnsi="Arial" w:cs="Arial"/>
                <w:color w:val="1F1F1F"/>
              </w:rPr>
            </w:pPr>
            <w:r w:rsidRPr="00A840BC">
              <w:rPr>
                <w:rFonts w:ascii="Arial" w:hAnsi="Arial" w:cs="Arial"/>
                <w:color w:val="1F1F1F"/>
              </w:rPr>
              <w:t>385</w:t>
            </w:r>
          </w:p>
        </w:tc>
        <w:tc>
          <w:tcPr>
            <w:tcW w:w="851" w:type="dxa"/>
            <w:vAlign w:val="center"/>
            <w:hideMark/>
          </w:tcPr>
          <w:p w14:paraId="3AF70D61" w14:textId="325DA34D" w:rsidR="0067714D" w:rsidRPr="00A840BC" w:rsidRDefault="0067714D" w:rsidP="002E3784">
            <w:pPr>
              <w:jc w:val="center"/>
              <w:rPr>
                <w:rFonts w:ascii="Arial" w:hAnsi="Arial" w:cs="Arial"/>
                <w:b/>
                <w:color w:val="1F1F1F"/>
              </w:rPr>
            </w:pPr>
            <w:r w:rsidRPr="00A840BC">
              <w:rPr>
                <w:rFonts w:ascii="Arial" w:hAnsi="Arial" w:cs="Arial"/>
                <w:b/>
                <w:color w:val="1F1F1F"/>
              </w:rPr>
              <w:t>4.06</w:t>
            </w:r>
          </w:p>
        </w:tc>
      </w:tr>
      <w:tr w:rsidR="0067714D" w:rsidRPr="00A840BC" w14:paraId="10F68D1B" w14:textId="77777777" w:rsidTr="007A0D88">
        <w:trPr>
          <w:trHeight w:val="585"/>
        </w:trPr>
        <w:tc>
          <w:tcPr>
            <w:tcW w:w="995" w:type="dxa"/>
            <w:vAlign w:val="center"/>
            <w:hideMark/>
          </w:tcPr>
          <w:p w14:paraId="64F70316" w14:textId="57A7DC7F" w:rsidR="0067714D" w:rsidRPr="00A840BC" w:rsidRDefault="0067714D" w:rsidP="002E3784">
            <w:pPr>
              <w:jc w:val="center"/>
              <w:rPr>
                <w:rFonts w:ascii="Arial" w:hAnsi="Arial" w:cs="Arial"/>
                <w:b/>
                <w:color w:val="1F1F1F"/>
              </w:rPr>
            </w:pPr>
            <w:r w:rsidRPr="00A840BC">
              <w:rPr>
                <w:rFonts w:ascii="Arial" w:hAnsi="Arial" w:cs="Arial"/>
                <w:b/>
                <w:color w:val="1F1F1F"/>
              </w:rPr>
              <w:t>Y2</w:t>
            </w:r>
          </w:p>
        </w:tc>
        <w:tc>
          <w:tcPr>
            <w:tcW w:w="947" w:type="dxa"/>
            <w:vAlign w:val="center"/>
            <w:hideMark/>
          </w:tcPr>
          <w:p w14:paraId="733E56D4" w14:textId="18C31AB2" w:rsidR="0067714D" w:rsidRPr="00A840BC" w:rsidRDefault="0067714D" w:rsidP="002E3784">
            <w:pPr>
              <w:jc w:val="center"/>
              <w:rPr>
                <w:rFonts w:ascii="Arial" w:hAnsi="Arial" w:cs="Arial"/>
                <w:color w:val="1F1F1F"/>
              </w:rPr>
            </w:pPr>
            <w:r w:rsidRPr="00A840BC">
              <w:rPr>
                <w:rFonts w:ascii="Arial" w:hAnsi="Arial" w:cs="Arial"/>
                <w:color w:val="1F1F1F"/>
              </w:rPr>
              <w:t>5 (1.3%)</w:t>
            </w:r>
          </w:p>
        </w:tc>
        <w:tc>
          <w:tcPr>
            <w:tcW w:w="970" w:type="dxa"/>
            <w:vAlign w:val="center"/>
            <w:hideMark/>
          </w:tcPr>
          <w:p w14:paraId="3995FC2D" w14:textId="36628E50" w:rsidR="0067714D" w:rsidRPr="00A840BC" w:rsidRDefault="0067714D" w:rsidP="002E3784">
            <w:pPr>
              <w:ind w:firstLineChars="100" w:firstLine="200"/>
              <w:jc w:val="center"/>
              <w:rPr>
                <w:rFonts w:ascii="Arial" w:hAnsi="Arial" w:cs="Arial"/>
                <w:color w:val="1F1F1F"/>
              </w:rPr>
            </w:pPr>
            <w:r w:rsidRPr="00A840BC">
              <w:rPr>
                <w:rFonts w:ascii="Arial" w:hAnsi="Arial" w:cs="Arial"/>
                <w:color w:val="1F1F1F"/>
              </w:rPr>
              <w:t>6 (1.6%)</w:t>
            </w:r>
          </w:p>
        </w:tc>
        <w:tc>
          <w:tcPr>
            <w:tcW w:w="1139" w:type="dxa"/>
            <w:vAlign w:val="center"/>
            <w:hideMark/>
          </w:tcPr>
          <w:p w14:paraId="49F8193F" w14:textId="0BBAA563" w:rsidR="0067714D" w:rsidRPr="00A840BC" w:rsidRDefault="0067714D" w:rsidP="002E3784">
            <w:pPr>
              <w:jc w:val="center"/>
              <w:rPr>
                <w:rFonts w:ascii="Arial" w:hAnsi="Arial" w:cs="Arial"/>
                <w:color w:val="1F1F1F"/>
              </w:rPr>
            </w:pPr>
            <w:r w:rsidRPr="00A840BC">
              <w:rPr>
                <w:rFonts w:ascii="Arial" w:hAnsi="Arial" w:cs="Arial"/>
                <w:color w:val="1F1F1F"/>
              </w:rPr>
              <w:t>75 (19.5%)</w:t>
            </w:r>
          </w:p>
        </w:tc>
        <w:tc>
          <w:tcPr>
            <w:tcW w:w="1250" w:type="dxa"/>
            <w:vAlign w:val="center"/>
            <w:hideMark/>
          </w:tcPr>
          <w:p w14:paraId="4DED69FE" w14:textId="25D9DDD9" w:rsidR="0067714D" w:rsidRPr="00A840BC" w:rsidRDefault="0067714D" w:rsidP="002E3784">
            <w:pPr>
              <w:jc w:val="center"/>
              <w:rPr>
                <w:rFonts w:ascii="Arial" w:hAnsi="Arial" w:cs="Arial"/>
                <w:color w:val="1F1F1F"/>
              </w:rPr>
            </w:pPr>
            <w:r w:rsidRPr="00A840BC">
              <w:rPr>
                <w:rFonts w:ascii="Arial" w:hAnsi="Arial" w:cs="Arial"/>
                <w:color w:val="1F1F1F"/>
              </w:rPr>
              <w:t>177 (46.0%)</w:t>
            </w:r>
          </w:p>
        </w:tc>
        <w:tc>
          <w:tcPr>
            <w:tcW w:w="1139" w:type="dxa"/>
            <w:vAlign w:val="center"/>
            <w:hideMark/>
          </w:tcPr>
          <w:p w14:paraId="28080287" w14:textId="255AF65F" w:rsidR="0067714D" w:rsidRPr="00A840BC" w:rsidRDefault="0067714D" w:rsidP="002E3784">
            <w:pPr>
              <w:jc w:val="center"/>
              <w:rPr>
                <w:rFonts w:ascii="Arial" w:hAnsi="Arial" w:cs="Arial"/>
                <w:color w:val="1F1F1F"/>
              </w:rPr>
            </w:pPr>
            <w:r w:rsidRPr="00A840BC">
              <w:rPr>
                <w:rFonts w:ascii="Arial" w:hAnsi="Arial" w:cs="Arial"/>
                <w:color w:val="1F1F1F"/>
              </w:rPr>
              <w:t>122 (31.7%)</w:t>
            </w:r>
          </w:p>
        </w:tc>
        <w:tc>
          <w:tcPr>
            <w:tcW w:w="790" w:type="dxa"/>
            <w:vAlign w:val="center"/>
            <w:hideMark/>
          </w:tcPr>
          <w:p w14:paraId="5655B2EF" w14:textId="7C86D1A9" w:rsidR="0067714D" w:rsidRPr="00A840BC" w:rsidRDefault="0067714D" w:rsidP="002E3784">
            <w:pPr>
              <w:jc w:val="center"/>
              <w:rPr>
                <w:rFonts w:ascii="Arial" w:hAnsi="Arial" w:cs="Arial"/>
                <w:color w:val="1F1F1F"/>
              </w:rPr>
            </w:pPr>
            <w:r w:rsidRPr="00A840BC">
              <w:rPr>
                <w:rFonts w:ascii="Arial" w:hAnsi="Arial" w:cs="Arial"/>
                <w:color w:val="1F1F1F"/>
              </w:rPr>
              <w:t>385</w:t>
            </w:r>
          </w:p>
        </w:tc>
        <w:tc>
          <w:tcPr>
            <w:tcW w:w="851" w:type="dxa"/>
            <w:vAlign w:val="center"/>
            <w:hideMark/>
          </w:tcPr>
          <w:p w14:paraId="30BE5603" w14:textId="6572005D" w:rsidR="0067714D" w:rsidRPr="00A840BC" w:rsidRDefault="0067714D" w:rsidP="002E3784">
            <w:pPr>
              <w:jc w:val="center"/>
              <w:rPr>
                <w:rFonts w:ascii="Arial" w:hAnsi="Arial" w:cs="Arial"/>
                <w:b/>
                <w:color w:val="1F1F1F"/>
              </w:rPr>
            </w:pPr>
            <w:r w:rsidRPr="00A840BC">
              <w:rPr>
                <w:rFonts w:ascii="Arial" w:hAnsi="Arial" w:cs="Arial"/>
                <w:b/>
                <w:color w:val="1F1F1F"/>
              </w:rPr>
              <w:t>4.05</w:t>
            </w:r>
          </w:p>
        </w:tc>
      </w:tr>
      <w:tr w:rsidR="0067714D" w:rsidRPr="00A840BC" w14:paraId="5A03E7A7" w14:textId="77777777" w:rsidTr="007A0D88">
        <w:trPr>
          <w:trHeight w:val="585"/>
        </w:trPr>
        <w:tc>
          <w:tcPr>
            <w:tcW w:w="995" w:type="dxa"/>
            <w:vAlign w:val="center"/>
            <w:hideMark/>
          </w:tcPr>
          <w:p w14:paraId="5D8FFA61" w14:textId="3E62EEDB" w:rsidR="0067714D" w:rsidRPr="00A840BC" w:rsidRDefault="0067714D" w:rsidP="002E3784">
            <w:pPr>
              <w:jc w:val="center"/>
              <w:rPr>
                <w:rFonts w:ascii="Arial" w:hAnsi="Arial" w:cs="Arial"/>
                <w:b/>
                <w:color w:val="1F1F1F"/>
              </w:rPr>
            </w:pPr>
            <w:r w:rsidRPr="00A840BC">
              <w:rPr>
                <w:rFonts w:ascii="Arial" w:hAnsi="Arial" w:cs="Arial"/>
                <w:b/>
                <w:color w:val="1F1F1F"/>
              </w:rPr>
              <w:t>Y3</w:t>
            </w:r>
          </w:p>
        </w:tc>
        <w:tc>
          <w:tcPr>
            <w:tcW w:w="947" w:type="dxa"/>
            <w:vAlign w:val="center"/>
            <w:hideMark/>
          </w:tcPr>
          <w:p w14:paraId="77855691" w14:textId="5BA2DEC4" w:rsidR="0067714D" w:rsidRPr="00A840BC" w:rsidRDefault="0067714D" w:rsidP="002E3784">
            <w:pPr>
              <w:jc w:val="center"/>
              <w:rPr>
                <w:rFonts w:ascii="Arial" w:hAnsi="Arial" w:cs="Arial"/>
                <w:color w:val="1F1F1F"/>
              </w:rPr>
            </w:pPr>
            <w:r w:rsidRPr="00A840BC">
              <w:rPr>
                <w:rFonts w:ascii="Arial" w:hAnsi="Arial" w:cs="Arial"/>
                <w:color w:val="1F1F1F"/>
              </w:rPr>
              <w:t>1 (0.3%)</w:t>
            </w:r>
          </w:p>
        </w:tc>
        <w:tc>
          <w:tcPr>
            <w:tcW w:w="970" w:type="dxa"/>
            <w:vAlign w:val="center"/>
            <w:hideMark/>
          </w:tcPr>
          <w:p w14:paraId="5156F821" w14:textId="121CE99A" w:rsidR="0067714D" w:rsidRPr="00A840BC" w:rsidRDefault="0067714D" w:rsidP="002E3784">
            <w:pPr>
              <w:ind w:firstLineChars="100" w:firstLine="200"/>
              <w:jc w:val="center"/>
              <w:rPr>
                <w:rFonts w:ascii="Arial" w:hAnsi="Arial" w:cs="Arial"/>
                <w:color w:val="1F1F1F"/>
              </w:rPr>
            </w:pPr>
            <w:r w:rsidRPr="00A840BC">
              <w:rPr>
                <w:rFonts w:ascii="Arial" w:hAnsi="Arial" w:cs="Arial"/>
                <w:color w:val="1F1F1F"/>
              </w:rPr>
              <w:t>14 (3.6%)</w:t>
            </w:r>
          </w:p>
        </w:tc>
        <w:tc>
          <w:tcPr>
            <w:tcW w:w="1139" w:type="dxa"/>
            <w:vAlign w:val="center"/>
            <w:hideMark/>
          </w:tcPr>
          <w:p w14:paraId="1079E2C8" w14:textId="2D448995" w:rsidR="0067714D" w:rsidRPr="00A840BC" w:rsidRDefault="0067714D" w:rsidP="002E3784">
            <w:pPr>
              <w:jc w:val="center"/>
              <w:rPr>
                <w:rFonts w:ascii="Arial" w:hAnsi="Arial" w:cs="Arial"/>
                <w:color w:val="1F1F1F"/>
              </w:rPr>
            </w:pPr>
            <w:r w:rsidRPr="00A840BC">
              <w:rPr>
                <w:rFonts w:ascii="Arial" w:hAnsi="Arial" w:cs="Arial"/>
                <w:color w:val="1F1F1F"/>
              </w:rPr>
              <w:t>75 (19.5%)</w:t>
            </w:r>
          </w:p>
        </w:tc>
        <w:tc>
          <w:tcPr>
            <w:tcW w:w="1250" w:type="dxa"/>
            <w:vAlign w:val="center"/>
            <w:hideMark/>
          </w:tcPr>
          <w:p w14:paraId="2EFDCF80" w14:textId="07D305D8" w:rsidR="0067714D" w:rsidRPr="00A840BC" w:rsidRDefault="0067714D" w:rsidP="002E3784">
            <w:pPr>
              <w:jc w:val="center"/>
              <w:rPr>
                <w:rFonts w:ascii="Arial" w:hAnsi="Arial" w:cs="Arial"/>
                <w:color w:val="1F1F1F"/>
              </w:rPr>
            </w:pPr>
            <w:r w:rsidRPr="00A840BC">
              <w:rPr>
                <w:rFonts w:ascii="Arial" w:hAnsi="Arial" w:cs="Arial"/>
                <w:color w:val="1F1F1F"/>
              </w:rPr>
              <w:t>154 (40.0%)</w:t>
            </w:r>
          </w:p>
        </w:tc>
        <w:tc>
          <w:tcPr>
            <w:tcW w:w="1139" w:type="dxa"/>
            <w:vAlign w:val="center"/>
            <w:hideMark/>
          </w:tcPr>
          <w:p w14:paraId="5A0E27DB" w14:textId="53540828" w:rsidR="0067714D" w:rsidRPr="00A840BC" w:rsidRDefault="0067714D" w:rsidP="002E3784">
            <w:pPr>
              <w:jc w:val="center"/>
              <w:rPr>
                <w:rFonts w:ascii="Arial" w:hAnsi="Arial" w:cs="Arial"/>
                <w:color w:val="1F1F1F"/>
              </w:rPr>
            </w:pPr>
            <w:r w:rsidRPr="00A840BC">
              <w:rPr>
                <w:rFonts w:ascii="Arial" w:hAnsi="Arial" w:cs="Arial"/>
                <w:color w:val="1F1F1F"/>
              </w:rPr>
              <w:t>141 (36.6%)</w:t>
            </w:r>
          </w:p>
        </w:tc>
        <w:tc>
          <w:tcPr>
            <w:tcW w:w="790" w:type="dxa"/>
            <w:vAlign w:val="center"/>
            <w:hideMark/>
          </w:tcPr>
          <w:p w14:paraId="6C1BEBE6" w14:textId="2E3033CD" w:rsidR="0067714D" w:rsidRPr="00A840BC" w:rsidRDefault="0067714D" w:rsidP="002E3784">
            <w:pPr>
              <w:jc w:val="center"/>
              <w:rPr>
                <w:rFonts w:ascii="Arial" w:hAnsi="Arial" w:cs="Arial"/>
                <w:color w:val="1F1F1F"/>
              </w:rPr>
            </w:pPr>
            <w:r w:rsidRPr="00A840BC">
              <w:rPr>
                <w:rFonts w:ascii="Arial" w:hAnsi="Arial" w:cs="Arial"/>
                <w:color w:val="1F1F1F"/>
              </w:rPr>
              <w:t>385</w:t>
            </w:r>
          </w:p>
        </w:tc>
        <w:tc>
          <w:tcPr>
            <w:tcW w:w="851" w:type="dxa"/>
            <w:vAlign w:val="center"/>
            <w:hideMark/>
          </w:tcPr>
          <w:p w14:paraId="0635D39D" w14:textId="58851ED2" w:rsidR="0067714D" w:rsidRPr="00A840BC" w:rsidRDefault="0067714D" w:rsidP="002E3784">
            <w:pPr>
              <w:jc w:val="center"/>
              <w:rPr>
                <w:rFonts w:ascii="Arial" w:hAnsi="Arial" w:cs="Arial"/>
                <w:b/>
                <w:color w:val="1F1F1F"/>
              </w:rPr>
            </w:pPr>
            <w:r w:rsidRPr="00A840BC">
              <w:rPr>
                <w:rFonts w:ascii="Arial" w:hAnsi="Arial" w:cs="Arial"/>
                <w:b/>
                <w:color w:val="1F1F1F"/>
              </w:rPr>
              <w:t>4.09</w:t>
            </w:r>
          </w:p>
        </w:tc>
      </w:tr>
      <w:tr w:rsidR="0067714D" w:rsidRPr="00A840BC" w14:paraId="5D13FEE8" w14:textId="77777777" w:rsidTr="007A0D88">
        <w:trPr>
          <w:trHeight w:val="585"/>
        </w:trPr>
        <w:tc>
          <w:tcPr>
            <w:tcW w:w="995" w:type="dxa"/>
            <w:vAlign w:val="center"/>
            <w:hideMark/>
          </w:tcPr>
          <w:p w14:paraId="62DAE5A8" w14:textId="377821DE" w:rsidR="0067714D" w:rsidRPr="00A840BC" w:rsidRDefault="0067714D" w:rsidP="002E3784">
            <w:pPr>
              <w:jc w:val="center"/>
              <w:rPr>
                <w:rFonts w:ascii="Arial" w:hAnsi="Arial" w:cs="Arial"/>
                <w:b/>
                <w:color w:val="1F1F1F"/>
              </w:rPr>
            </w:pPr>
            <w:r w:rsidRPr="00A840BC">
              <w:rPr>
                <w:rFonts w:ascii="Arial" w:hAnsi="Arial" w:cs="Arial"/>
                <w:b/>
                <w:color w:val="1F1F1F"/>
              </w:rPr>
              <w:t>Y4</w:t>
            </w:r>
          </w:p>
        </w:tc>
        <w:tc>
          <w:tcPr>
            <w:tcW w:w="947" w:type="dxa"/>
            <w:vAlign w:val="center"/>
            <w:hideMark/>
          </w:tcPr>
          <w:p w14:paraId="02A93EC5" w14:textId="30D81283" w:rsidR="0067714D" w:rsidRPr="00A840BC" w:rsidRDefault="0067714D" w:rsidP="002E3784">
            <w:pPr>
              <w:jc w:val="center"/>
              <w:rPr>
                <w:rFonts w:ascii="Arial" w:hAnsi="Arial" w:cs="Arial"/>
                <w:color w:val="1F1F1F"/>
              </w:rPr>
            </w:pPr>
            <w:r w:rsidRPr="00A840BC">
              <w:rPr>
                <w:rFonts w:ascii="Arial" w:hAnsi="Arial" w:cs="Arial"/>
                <w:color w:val="1F1F1F"/>
              </w:rPr>
              <w:t>1 (0.3%)</w:t>
            </w:r>
          </w:p>
        </w:tc>
        <w:tc>
          <w:tcPr>
            <w:tcW w:w="970" w:type="dxa"/>
            <w:vAlign w:val="center"/>
            <w:hideMark/>
          </w:tcPr>
          <w:p w14:paraId="31D9ABC9" w14:textId="15559C0D" w:rsidR="0067714D" w:rsidRPr="00A840BC" w:rsidRDefault="0067714D" w:rsidP="002E3784">
            <w:pPr>
              <w:ind w:firstLineChars="100" w:firstLine="200"/>
              <w:jc w:val="center"/>
              <w:rPr>
                <w:rFonts w:ascii="Arial" w:hAnsi="Arial" w:cs="Arial"/>
                <w:color w:val="1F1F1F"/>
              </w:rPr>
            </w:pPr>
            <w:r w:rsidRPr="00A840BC">
              <w:rPr>
                <w:rFonts w:ascii="Arial" w:hAnsi="Arial" w:cs="Arial"/>
                <w:color w:val="1F1F1F"/>
              </w:rPr>
              <w:t>13 (3.4%)</w:t>
            </w:r>
          </w:p>
        </w:tc>
        <w:tc>
          <w:tcPr>
            <w:tcW w:w="1139" w:type="dxa"/>
            <w:vAlign w:val="center"/>
            <w:hideMark/>
          </w:tcPr>
          <w:p w14:paraId="06A01BE9" w14:textId="73828ACD" w:rsidR="0067714D" w:rsidRPr="00A840BC" w:rsidRDefault="0067714D" w:rsidP="002E3784">
            <w:pPr>
              <w:jc w:val="center"/>
              <w:rPr>
                <w:rFonts w:ascii="Arial" w:hAnsi="Arial" w:cs="Arial"/>
                <w:color w:val="1F1F1F"/>
              </w:rPr>
            </w:pPr>
            <w:r w:rsidRPr="00A840BC">
              <w:rPr>
                <w:rFonts w:ascii="Arial" w:hAnsi="Arial" w:cs="Arial"/>
                <w:color w:val="1F1F1F"/>
              </w:rPr>
              <w:t>78 (20.3%)</w:t>
            </w:r>
          </w:p>
        </w:tc>
        <w:tc>
          <w:tcPr>
            <w:tcW w:w="1250" w:type="dxa"/>
            <w:vAlign w:val="center"/>
            <w:hideMark/>
          </w:tcPr>
          <w:p w14:paraId="475B749D" w14:textId="7D8DFE0A" w:rsidR="0067714D" w:rsidRPr="00A840BC" w:rsidRDefault="0067714D" w:rsidP="002E3784">
            <w:pPr>
              <w:jc w:val="center"/>
              <w:rPr>
                <w:rFonts w:ascii="Arial" w:hAnsi="Arial" w:cs="Arial"/>
                <w:color w:val="1F1F1F"/>
              </w:rPr>
            </w:pPr>
            <w:r w:rsidRPr="00A840BC">
              <w:rPr>
                <w:rFonts w:ascii="Arial" w:hAnsi="Arial" w:cs="Arial"/>
                <w:color w:val="1F1F1F"/>
              </w:rPr>
              <w:t>159 (41.3%)</w:t>
            </w:r>
          </w:p>
        </w:tc>
        <w:tc>
          <w:tcPr>
            <w:tcW w:w="1139" w:type="dxa"/>
            <w:vAlign w:val="center"/>
            <w:hideMark/>
          </w:tcPr>
          <w:p w14:paraId="1A958301" w14:textId="03475DBB" w:rsidR="0067714D" w:rsidRPr="00A840BC" w:rsidRDefault="0067714D" w:rsidP="002E3784">
            <w:pPr>
              <w:jc w:val="center"/>
              <w:rPr>
                <w:rFonts w:ascii="Arial" w:hAnsi="Arial" w:cs="Arial"/>
                <w:color w:val="1F1F1F"/>
              </w:rPr>
            </w:pPr>
            <w:r w:rsidRPr="00A840BC">
              <w:rPr>
                <w:rFonts w:ascii="Arial" w:hAnsi="Arial" w:cs="Arial"/>
                <w:color w:val="1F1F1F"/>
              </w:rPr>
              <w:t>134 (34.8%)</w:t>
            </w:r>
          </w:p>
        </w:tc>
        <w:tc>
          <w:tcPr>
            <w:tcW w:w="790" w:type="dxa"/>
            <w:vAlign w:val="center"/>
            <w:hideMark/>
          </w:tcPr>
          <w:p w14:paraId="74CF7A47" w14:textId="2B92D65C" w:rsidR="0067714D" w:rsidRPr="00A840BC" w:rsidRDefault="0067714D" w:rsidP="002E3784">
            <w:pPr>
              <w:jc w:val="center"/>
              <w:rPr>
                <w:rFonts w:ascii="Arial" w:hAnsi="Arial" w:cs="Arial"/>
                <w:color w:val="1F1F1F"/>
              </w:rPr>
            </w:pPr>
            <w:r w:rsidRPr="00A840BC">
              <w:rPr>
                <w:rFonts w:ascii="Arial" w:hAnsi="Arial" w:cs="Arial"/>
                <w:color w:val="1F1F1F"/>
              </w:rPr>
              <w:t>385</w:t>
            </w:r>
          </w:p>
        </w:tc>
        <w:tc>
          <w:tcPr>
            <w:tcW w:w="851" w:type="dxa"/>
            <w:vAlign w:val="center"/>
            <w:hideMark/>
          </w:tcPr>
          <w:p w14:paraId="5692E97B" w14:textId="30BC9353" w:rsidR="0067714D" w:rsidRPr="00A840BC" w:rsidRDefault="0067714D" w:rsidP="002E3784">
            <w:pPr>
              <w:jc w:val="center"/>
              <w:rPr>
                <w:rFonts w:ascii="Arial" w:hAnsi="Arial" w:cs="Arial"/>
                <w:b/>
                <w:color w:val="1F1F1F"/>
              </w:rPr>
            </w:pPr>
            <w:r w:rsidRPr="00A840BC">
              <w:rPr>
                <w:rFonts w:ascii="Arial" w:hAnsi="Arial" w:cs="Arial"/>
                <w:b/>
                <w:color w:val="1F1F1F"/>
              </w:rPr>
              <w:t>4.07</w:t>
            </w:r>
          </w:p>
        </w:tc>
      </w:tr>
      <w:tr w:rsidR="0067714D" w:rsidRPr="00A840BC" w14:paraId="24542D67" w14:textId="77777777" w:rsidTr="007A0D88">
        <w:trPr>
          <w:trHeight w:val="585"/>
        </w:trPr>
        <w:tc>
          <w:tcPr>
            <w:tcW w:w="995" w:type="dxa"/>
            <w:vAlign w:val="center"/>
            <w:hideMark/>
          </w:tcPr>
          <w:p w14:paraId="6326E159" w14:textId="599042D4" w:rsidR="0067714D" w:rsidRPr="00A840BC" w:rsidRDefault="0067714D" w:rsidP="002E3784">
            <w:pPr>
              <w:jc w:val="center"/>
              <w:rPr>
                <w:rFonts w:ascii="Arial" w:hAnsi="Arial" w:cs="Arial"/>
                <w:b/>
                <w:color w:val="1F1F1F"/>
              </w:rPr>
            </w:pPr>
            <w:r w:rsidRPr="00A840BC">
              <w:rPr>
                <w:rFonts w:ascii="Arial" w:hAnsi="Arial" w:cs="Arial"/>
                <w:b/>
                <w:color w:val="1F1F1F"/>
              </w:rPr>
              <w:t>Y5</w:t>
            </w:r>
          </w:p>
        </w:tc>
        <w:tc>
          <w:tcPr>
            <w:tcW w:w="947" w:type="dxa"/>
            <w:vAlign w:val="center"/>
            <w:hideMark/>
          </w:tcPr>
          <w:p w14:paraId="659FEFB7" w14:textId="2E3EB3EB" w:rsidR="0067714D" w:rsidRPr="00A840BC" w:rsidRDefault="0067714D" w:rsidP="002E3784">
            <w:pPr>
              <w:jc w:val="center"/>
              <w:rPr>
                <w:rFonts w:ascii="Arial" w:hAnsi="Arial" w:cs="Arial"/>
                <w:color w:val="1F1F1F"/>
              </w:rPr>
            </w:pPr>
            <w:r w:rsidRPr="00A840BC">
              <w:rPr>
                <w:rFonts w:ascii="Arial" w:hAnsi="Arial" w:cs="Arial"/>
                <w:color w:val="1F1F1F"/>
              </w:rPr>
              <w:t>0 (0.0%)</w:t>
            </w:r>
          </w:p>
        </w:tc>
        <w:tc>
          <w:tcPr>
            <w:tcW w:w="970" w:type="dxa"/>
            <w:vAlign w:val="center"/>
            <w:hideMark/>
          </w:tcPr>
          <w:p w14:paraId="43BC3E42" w14:textId="409B8D85" w:rsidR="0067714D" w:rsidRPr="00A840BC" w:rsidRDefault="0067714D" w:rsidP="002E3784">
            <w:pPr>
              <w:ind w:firstLineChars="100" w:firstLine="200"/>
              <w:jc w:val="center"/>
              <w:rPr>
                <w:rFonts w:ascii="Arial" w:hAnsi="Arial" w:cs="Arial"/>
                <w:color w:val="1F1F1F"/>
              </w:rPr>
            </w:pPr>
            <w:r w:rsidRPr="00A840BC">
              <w:rPr>
                <w:rFonts w:ascii="Arial" w:hAnsi="Arial" w:cs="Arial"/>
                <w:color w:val="1F1F1F"/>
              </w:rPr>
              <w:t>26 (6.8%)</w:t>
            </w:r>
          </w:p>
        </w:tc>
        <w:tc>
          <w:tcPr>
            <w:tcW w:w="1139" w:type="dxa"/>
            <w:vAlign w:val="center"/>
            <w:hideMark/>
          </w:tcPr>
          <w:p w14:paraId="27AD50B4" w14:textId="1653BF50" w:rsidR="0067714D" w:rsidRPr="00A840BC" w:rsidRDefault="0067714D" w:rsidP="002E3784">
            <w:pPr>
              <w:jc w:val="center"/>
              <w:rPr>
                <w:rFonts w:ascii="Arial" w:hAnsi="Arial" w:cs="Arial"/>
                <w:color w:val="1F1F1F"/>
              </w:rPr>
            </w:pPr>
            <w:r w:rsidRPr="00A840BC">
              <w:rPr>
                <w:rFonts w:ascii="Arial" w:hAnsi="Arial" w:cs="Arial"/>
                <w:color w:val="1F1F1F"/>
              </w:rPr>
              <w:t>53 (13.8%)</w:t>
            </w:r>
          </w:p>
        </w:tc>
        <w:tc>
          <w:tcPr>
            <w:tcW w:w="1250" w:type="dxa"/>
            <w:vAlign w:val="center"/>
            <w:hideMark/>
          </w:tcPr>
          <w:p w14:paraId="3EFDE45B" w14:textId="7A25A4FE" w:rsidR="0067714D" w:rsidRPr="00A840BC" w:rsidRDefault="0067714D" w:rsidP="002E3784">
            <w:pPr>
              <w:jc w:val="center"/>
              <w:rPr>
                <w:rFonts w:ascii="Arial" w:hAnsi="Arial" w:cs="Arial"/>
                <w:color w:val="1F1F1F"/>
              </w:rPr>
            </w:pPr>
            <w:r w:rsidRPr="00A840BC">
              <w:rPr>
                <w:rFonts w:ascii="Arial" w:hAnsi="Arial" w:cs="Arial"/>
                <w:color w:val="1F1F1F"/>
              </w:rPr>
              <w:t>166 (43.1%)</w:t>
            </w:r>
          </w:p>
        </w:tc>
        <w:tc>
          <w:tcPr>
            <w:tcW w:w="1139" w:type="dxa"/>
            <w:vAlign w:val="center"/>
            <w:hideMark/>
          </w:tcPr>
          <w:p w14:paraId="2D2E3E2B" w14:textId="1BB6D036" w:rsidR="0067714D" w:rsidRPr="00A840BC" w:rsidRDefault="0067714D" w:rsidP="002E3784">
            <w:pPr>
              <w:jc w:val="center"/>
              <w:rPr>
                <w:rFonts w:ascii="Arial" w:hAnsi="Arial" w:cs="Arial"/>
                <w:color w:val="1F1F1F"/>
              </w:rPr>
            </w:pPr>
            <w:r w:rsidRPr="00A840BC">
              <w:rPr>
                <w:rFonts w:ascii="Arial" w:hAnsi="Arial" w:cs="Arial"/>
                <w:color w:val="1F1F1F"/>
              </w:rPr>
              <w:t>140 (36.4%)</w:t>
            </w:r>
          </w:p>
        </w:tc>
        <w:tc>
          <w:tcPr>
            <w:tcW w:w="790" w:type="dxa"/>
            <w:vAlign w:val="center"/>
            <w:hideMark/>
          </w:tcPr>
          <w:p w14:paraId="6213B98E" w14:textId="74E47657" w:rsidR="0067714D" w:rsidRPr="00A840BC" w:rsidRDefault="0067714D" w:rsidP="002E3784">
            <w:pPr>
              <w:jc w:val="center"/>
              <w:rPr>
                <w:rFonts w:ascii="Arial" w:hAnsi="Arial" w:cs="Arial"/>
                <w:color w:val="1F1F1F"/>
              </w:rPr>
            </w:pPr>
            <w:r w:rsidRPr="00A840BC">
              <w:rPr>
                <w:rFonts w:ascii="Arial" w:hAnsi="Arial" w:cs="Arial"/>
                <w:color w:val="1F1F1F"/>
              </w:rPr>
              <w:t>385</w:t>
            </w:r>
          </w:p>
        </w:tc>
        <w:tc>
          <w:tcPr>
            <w:tcW w:w="851" w:type="dxa"/>
            <w:vAlign w:val="center"/>
            <w:hideMark/>
          </w:tcPr>
          <w:p w14:paraId="29C276CC" w14:textId="4CC0AA05" w:rsidR="0067714D" w:rsidRPr="00A840BC" w:rsidRDefault="0067714D" w:rsidP="002E3784">
            <w:pPr>
              <w:jc w:val="center"/>
              <w:rPr>
                <w:rFonts w:ascii="Arial" w:hAnsi="Arial" w:cs="Arial"/>
                <w:b/>
                <w:color w:val="1F1F1F"/>
              </w:rPr>
            </w:pPr>
            <w:r w:rsidRPr="00A840BC">
              <w:rPr>
                <w:rFonts w:ascii="Arial" w:hAnsi="Arial" w:cs="Arial"/>
                <w:b/>
                <w:color w:val="1F1F1F"/>
              </w:rPr>
              <w:t>4.09</w:t>
            </w:r>
          </w:p>
        </w:tc>
      </w:tr>
    </w:tbl>
    <w:p w14:paraId="4CF7BEF4" w14:textId="22463A54" w:rsidR="00E17751" w:rsidRPr="00A840BC" w:rsidRDefault="00E17751" w:rsidP="002E3784">
      <w:pPr>
        <w:pStyle w:val="p1"/>
        <w:jc w:val="center"/>
        <w:rPr>
          <w:color w:val="000000" w:themeColor="text1"/>
        </w:rPr>
      </w:pPr>
      <w:r w:rsidRPr="00A840BC">
        <w:rPr>
          <w:i/>
          <w:iCs/>
          <w:color w:val="000000" w:themeColor="text1"/>
        </w:rPr>
        <w:t>Source: Compiled by the author based on the analy</w:t>
      </w:r>
      <w:r w:rsidR="00FC5106" w:rsidRPr="00A840BC">
        <w:rPr>
          <w:i/>
          <w:iCs/>
          <w:color w:val="000000" w:themeColor="text1"/>
        </w:rPr>
        <w:t>s</w:t>
      </w:r>
      <w:r w:rsidRPr="00A840BC">
        <w:rPr>
          <w:i/>
          <w:iCs/>
          <w:color w:val="000000" w:themeColor="text1"/>
        </w:rPr>
        <w:t>ed data</w:t>
      </w:r>
    </w:p>
    <w:p w14:paraId="4D18D2F7" w14:textId="73D10EFD" w:rsidR="00F279B5" w:rsidRPr="00A840BC" w:rsidRDefault="00F279B5" w:rsidP="002E3784">
      <w:pPr>
        <w:pStyle w:val="Body"/>
        <w:spacing w:after="0"/>
        <w:rPr>
          <w:rFonts w:ascii="Arial" w:hAnsi="Arial" w:cs="Arial"/>
          <w:b/>
          <w:color w:val="000000" w:themeColor="text1"/>
          <w:sz w:val="22"/>
        </w:rPr>
      </w:pPr>
    </w:p>
    <w:p w14:paraId="00F8540C" w14:textId="08E28D8C" w:rsidR="006A48B5" w:rsidRPr="00A840BC" w:rsidRDefault="00CA5BB4" w:rsidP="002E3784">
      <w:pPr>
        <w:pStyle w:val="Body"/>
        <w:spacing w:after="0"/>
        <w:rPr>
          <w:rFonts w:ascii="Arial" w:hAnsi="Arial" w:cs="Arial"/>
          <w:b/>
          <w:color w:val="000000" w:themeColor="text1"/>
          <w:sz w:val="22"/>
        </w:rPr>
      </w:pPr>
      <w:r w:rsidRPr="00A840BC">
        <w:rPr>
          <w:rFonts w:ascii="Arial" w:hAnsi="Arial" w:cs="Arial"/>
          <w:b/>
          <w:caps/>
          <w:color w:val="000000" w:themeColor="text1"/>
          <w:sz w:val="22"/>
        </w:rPr>
        <w:t>4</w:t>
      </w:r>
      <w:r w:rsidR="006A48B5" w:rsidRPr="00A840BC">
        <w:rPr>
          <w:rFonts w:ascii="Arial" w:hAnsi="Arial" w:cs="Arial"/>
          <w:b/>
          <w:caps/>
          <w:color w:val="000000" w:themeColor="text1"/>
          <w:sz w:val="22"/>
        </w:rPr>
        <w:t>.</w:t>
      </w:r>
      <w:r w:rsidR="005F337C" w:rsidRPr="00A840BC">
        <w:rPr>
          <w:rFonts w:ascii="Arial" w:hAnsi="Arial" w:cs="Arial"/>
          <w:b/>
          <w:caps/>
          <w:color w:val="000000" w:themeColor="text1"/>
          <w:sz w:val="22"/>
        </w:rPr>
        <w:t>3</w:t>
      </w:r>
      <w:r w:rsidR="006A48B5" w:rsidRPr="00A840BC">
        <w:rPr>
          <w:rFonts w:ascii="Arial" w:hAnsi="Arial" w:cs="Arial"/>
          <w:b/>
          <w:caps/>
          <w:color w:val="000000" w:themeColor="text1"/>
          <w:sz w:val="22"/>
        </w:rPr>
        <w:t xml:space="preserve"> </w:t>
      </w:r>
      <w:r w:rsidR="006A48B5" w:rsidRPr="00A840BC">
        <w:rPr>
          <w:rFonts w:ascii="Arial" w:hAnsi="Arial" w:cs="Arial"/>
          <w:b/>
          <w:color w:val="000000" w:themeColor="text1"/>
          <w:sz w:val="22"/>
        </w:rPr>
        <w:t>Measurement Model Evaluation (Outer Model)</w:t>
      </w:r>
    </w:p>
    <w:p w14:paraId="2E88437D" w14:textId="77777777" w:rsidR="001111C9" w:rsidRPr="00A840BC" w:rsidRDefault="001111C9" w:rsidP="002E3784">
      <w:pPr>
        <w:pStyle w:val="Body"/>
        <w:spacing w:after="0"/>
        <w:rPr>
          <w:rFonts w:ascii="Arial" w:hAnsi="Arial" w:cs="Arial"/>
          <w:b/>
          <w:color w:val="000000" w:themeColor="text1"/>
          <w:sz w:val="22"/>
        </w:rPr>
      </w:pPr>
    </w:p>
    <w:p w14:paraId="7FA05281" w14:textId="72BE4D8E" w:rsidR="00BB31FB" w:rsidRPr="00A840BC" w:rsidRDefault="00BB31FB" w:rsidP="002E3784">
      <w:pPr>
        <w:pStyle w:val="Body"/>
        <w:rPr>
          <w:rFonts w:ascii="Arial" w:hAnsi="Arial" w:cs="Arial"/>
          <w:color w:val="000000" w:themeColor="text1"/>
        </w:rPr>
      </w:pPr>
      <w:r w:rsidRPr="00A840BC">
        <w:rPr>
          <w:rFonts w:ascii="Arial" w:hAnsi="Arial" w:cs="Arial"/>
          <w:color w:val="000000" w:themeColor="text1"/>
        </w:rPr>
        <w:t xml:space="preserve">The effectiveness of the research tool was thoroughly evaluated. </w:t>
      </w:r>
      <w:r w:rsidR="0040702A" w:rsidRPr="00A840BC">
        <w:rPr>
          <w:rFonts w:ascii="Arial" w:hAnsi="Arial" w:cs="Arial"/>
          <w:color w:val="000000" w:themeColor="text1"/>
        </w:rPr>
        <w:t>As provided in Table 6, t</w:t>
      </w:r>
      <w:r w:rsidRPr="00A840BC">
        <w:rPr>
          <w:rFonts w:ascii="Arial" w:hAnsi="Arial" w:cs="Arial"/>
          <w:color w:val="000000" w:themeColor="text1"/>
        </w:rPr>
        <w:t xml:space="preserve">he Convergent Validity test indicated that the outer loading values for Government Policy (X1), Digital Financial Literacy (X2), and Digital Financial Inclusion (Y) lay between 0.723 and 0.808, exceeding the minimum requirement of 0.70. In addition, the Average Variance Extracted (AVE) for each variable was over 0.50 (X1=0.591; X2=0.610; Y=0.573), indicating that the underlying constructs represent more than 50% of the variability in their respective indicators. </w:t>
      </w:r>
    </w:p>
    <w:p w14:paraId="4E235C36" w14:textId="59E963E3" w:rsidR="00F446C0" w:rsidRPr="00A840BC" w:rsidRDefault="00BB31FB" w:rsidP="002E3784">
      <w:pPr>
        <w:pStyle w:val="Body"/>
        <w:rPr>
          <w:rFonts w:ascii="Arial" w:hAnsi="Arial" w:cs="Arial"/>
          <w:color w:val="000000" w:themeColor="text1"/>
          <w:sz w:val="27"/>
          <w:szCs w:val="27"/>
        </w:rPr>
      </w:pPr>
      <w:r w:rsidRPr="00A840BC">
        <w:rPr>
          <w:rFonts w:ascii="Arial" w:hAnsi="Arial" w:cs="Arial"/>
          <w:color w:val="000000" w:themeColor="text1"/>
        </w:rPr>
        <w:t xml:space="preserve">To evaluate discriminant validity, the </w:t>
      </w:r>
      <w:proofErr w:type="spellStart"/>
      <w:r w:rsidRPr="00A840BC">
        <w:rPr>
          <w:rFonts w:ascii="Arial" w:hAnsi="Arial" w:cs="Arial"/>
          <w:color w:val="000000" w:themeColor="text1"/>
        </w:rPr>
        <w:t>Heterotrait-Monotrait</w:t>
      </w:r>
      <w:proofErr w:type="spellEnd"/>
      <w:r w:rsidRPr="00A840BC">
        <w:rPr>
          <w:rFonts w:ascii="Arial" w:hAnsi="Arial" w:cs="Arial"/>
          <w:color w:val="000000" w:themeColor="text1"/>
        </w:rPr>
        <w:t xml:space="preserve"> Ratio (HTMT) was used as a more precise measure compared to Fornell-Larcker. The maximum HTMT value recorded was 0.537, which is significantly lower than the conservative limit of 0.90, confirming that the variables are empirically separate. The reliability test further validated the model's reliability, with both Cronbach’s Alpha and Composite Reliability scores consistently registering above 0.80</w:t>
      </w:r>
      <w:r w:rsidR="00143C78" w:rsidRPr="00A840BC">
        <w:rPr>
          <w:rFonts w:ascii="Arial" w:hAnsi="Arial" w:cs="Arial"/>
          <w:color w:val="000000" w:themeColor="text1"/>
        </w:rPr>
        <w:t>0</w:t>
      </w:r>
      <w:r w:rsidRPr="00A840BC">
        <w:rPr>
          <w:rFonts w:ascii="Arial" w:hAnsi="Arial" w:cs="Arial"/>
          <w:color w:val="000000" w:themeColor="text1"/>
        </w:rPr>
        <w:t xml:space="preserve"> across all variables.</w:t>
      </w:r>
    </w:p>
    <w:p w14:paraId="10B94B3E" w14:textId="655C4A50" w:rsidR="0050317A" w:rsidRPr="00A840BC" w:rsidRDefault="0050317A" w:rsidP="002E3784">
      <w:pPr>
        <w:pStyle w:val="Body"/>
        <w:spacing w:after="0"/>
        <w:jc w:val="center"/>
        <w:rPr>
          <w:rFonts w:ascii="Arial" w:hAnsi="Arial" w:cs="Arial"/>
          <w:b/>
          <w:color w:val="000000" w:themeColor="text1"/>
          <w:szCs w:val="16"/>
        </w:rPr>
      </w:pPr>
      <w:r w:rsidRPr="00A840BC">
        <w:rPr>
          <w:rFonts w:ascii="Arial" w:hAnsi="Arial" w:cs="Arial"/>
          <w:b/>
          <w:color w:val="000000" w:themeColor="text1"/>
          <w:szCs w:val="16"/>
        </w:rPr>
        <w:t xml:space="preserve">Table </w:t>
      </w:r>
      <w:r w:rsidR="00C16FBF" w:rsidRPr="00A840BC">
        <w:rPr>
          <w:rFonts w:ascii="Arial" w:hAnsi="Arial" w:cs="Arial"/>
          <w:b/>
          <w:color w:val="000000" w:themeColor="text1"/>
          <w:szCs w:val="16"/>
        </w:rPr>
        <w:t>6</w:t>
      </w:r>
      <w:r w:rsidRPr="00A840BC">
        <w:rPr>
          <w:rFonts w:ascii="Arial" w:hAnsi="Arial" w:cs="Arial"/>
          <w:b/>
          <w:color w:val="000000" w:themeColor="text1"/>
          <w:szCs w:val="16"/>
        </w:rPr>
        <w:t>.</w:t>
      </w:r>
      <w:r w:rsidR="00990101" w:rsidRPr="00A840BC">
        <w:rPr>
          <w:rFonts w:ascii="Arial" w:hAnsi="Arial" w:cs="Arial"/>
          <w:color w:val="000000" w:themeColor="text1"/>
          <w:sz w:val="16"/>
          <w:szCs w:val="16"/>
        </w:rPr>
        <w:t xml:space="preserve"> </w:t>
      </w:r>
      <w:r w:rsidR="00990101" w:rsidRPr="00A840BC">
        <w:rPr>
          <w:rFonts w:ascii="Arial" w:hAnsi="Arial" w:cs="Arial"/>
          <w:b/>
          <w:color w:val="000000" w:themeColor="text1"/>
          <w:szCs w:val="16"/>
        </w:rPr>
        <w:t>Reliability and Validity Results</w:t>
      </w:r>
    </w:p>
    <w:p w14:paraId="515AA4BF" w14:textId="77777777" w:rsidR="00EA595A" w:rsidRPr="00A840BC" w:rsidRDefault="00EA595A" w:rsidP="002E3784">
      <w:pPr>
        <w:pStyle w:val="Body"/>
        <w:spacing w:after="0"/>
        <w:jc w:val="center"/>
        <w:rPr>
          <w:rFonts w:ascii="Arial" w:hAnsi="Arial" w:cs="Arial"/>
          <w:b/>
          <w:color w:val="000000" w:themeColor="text1"/>
          <w:szCs w:val="16"/>
        </w:rPr>
      </w:pPr>
    </w:p>
    <w:tbl>
      <w:tblPr>
        <w:tblStyle w:val="TableGridLight"/>
        <w:tblW w:w="7221" w:type="dxa"/>
        <w:jc w:val="center"/>
        <w:tblLook w:val="04A0" w:firstRow="1" w:lastRow="0" w:firstColumn="1" w:lastColumn="0" w:noHBand="0" w:noVBand="1"/>
      </w:tblPr>
      <w:tblGrid>
        <w:gridCol w:w="862"/>
        <w:gridCol w:w="2080"/>
        <w:gridCol w:w="860"/>
        <w:gridCol w:w="860"/>
        <w:gridCol w:w="1309"/>
        <w:gridCol w:w="1250"/>
      </w:tblGrid>
      <w:tr w:rsidR="001B0794" w:rsidRPr="00A840BC" w14:paraId="15CE6FCF" w14:textId="77777777" w:rsidTr="007A0D88">
        <w:trPr>
          <w:trHeight w:val="560"/>
          <w:jc w:val="center"/>
        </w:trPr>
        <w:tc>
          <w:tcPr>
            <w:tcW w:w="1027" w:type="dxa"/>
            <w:vAlign w:val="center"/>
            <w:hideMark/>
          </w:tcPr>
          <w:p w14:paraId="1F0E69C7" w14:textId="670506B1" w:rsidR="001B0794" w:rsidRPr="00A840BC" w:rsidRDefault="001B0794" w:rsidP="002E3784">
            <w:pPr>
              <w:jc w:val="center"/>
              <w:rPr>
                <w:rFonts w:ascii="Arial" w:hAnsi="Arial" w:cs="Arial"/>
                <w:b/>
                <w:bCs/>
                <w:color w:val="000000" w:themeColor="text1"/>
              </w:rPr>
            </w:pPr>
            <w:r w:rsidRPr="00A840BC">
              <w:rPr>
                <w:rFonts w:ascii="Arial" w:hAnsi="Arial" w:cs="Arial"/>
                <w:b/>
                <w:bCs/>
                <w:color w:val="000000" w:themeColor="text1"/>
              </w:rPr>
              <w:t>Item</w:t>
            </w:r>
          </w:p>
        </w:tc>
        <w:tc>
          <w:tcPr>
            <w:tcW w:w="2080" w:type="dxa"/>
            <w:vAlign w:val="center"/>
            <w:hideMark/>
          </w:tcPr>
          <w:p w14:paraId="06FCBF4E" w14:textId="77777777" w:rsidR="001B0794" w:rsidRPr="00A840BC" w:rsidRDefault="001B0794" w:rsidP="002E3784">
            <w:pPr>
              <w:jc w:val="center"/>
              <w:rPr>
                <w:rFonts w:ascii="Arial" w:hAnsi="Arial" w:cs="Arial"/>
                <w:b/>
                <w:bCs/>
                <w:color w:val="000000" w:themeColor="text1"/>
              </w:rPr>
            </w:pPr>
            <w:r w:rsidRPr="00A840BC">
              <w:rPr>
                <w:rFonts w:ascii="Arial" w:hAnsi="Arial" w:cs="Arial"/>
                <w:b/>
                <w:bCs/>
                <w:color w:val="000000" w:themeColor="text1"/>
              </w:rPr>
              <w:t>Outer Loading</w:t>
            </w:r>
          </w:p>
        </w:tc>
        <w:tc>
          <w:tcPr>
            <w:tcW w:w="860" w:type="dxa"/>
            <w:vAlign w:val="center"/>
            <w:hideMark/>
          </w:tcPr>
          <w:p w14:paraId="2943B5CE" w14:textId="77777777" w:rsidR="001B0794" w:rsidRPr="00A840BC" w:rsidRDefault="001B0794" w:rsidP="002E3784">
            <w:pPr>
              <w:jc w:val="center"/>
              <w:rPr>
                <w:rFonts w:ascii="Arial" w:hAnsi="Arial" w:cs="Arial"/>
                <w:b/>
                <w:bCs/>
                <w:color w:val="000000" w:themeColor="text1"/>
              </w:rPr>
            </w:pPr>
            <w:r w:rsidRPr="00A840BC">
              <w:rPr>
                <w:rFonts w:ascii="Arial" w:hAnsi="Arial" w:cs="Arial"/>
                <w:b/>
                <w:bCs/>
                <w:color w:val="000000" w:themeColor="text1"/>
              </w:rPr>
              <w:t>AVE</w:t>
            </w:r>
          </w:p>
        </w:tc>
        <w:tc>
          <w:tcPr>
            <w:tcW w:w="860" w:type="dxa"/>
            <w:vAlign w:val="center"/>
            <w:hideMark/>
          </w:tcPr>
          <w:p w14:paraId="62935101" w14:textId="77777777" w:rsidR="001B0794" w:rsidRPr="00A840BC" w:rsidRDefault="001B0794" w:rsidP="002E3784">
            <w:pPr>
              <w:jc w:val="center"/>
              <w:rPr>
                <w:rFonts w:ascii="Arial" w:hAnsi="Arial" w:cs="Arial"/>
                <w:b/>
                <w:bCs/>
                <w:color w:val="000000" w:themeColor="text1"/>
              </w:rPr>
            </w:pPr>
            <w:r w:rsidRPr="00A840BC">
              <w:rPr>
                <w:rFonts w:ascii="Arial" w:hAnsi="Arial" w:cs="Arial"/>
                <w:b/>
                <w:bCs/>
                <w:color w:val="000000" w:themeColor="text1"/>
              </w:rPr>
              <w:t>HTMT</w:t>
            </w:r>
          </w:p>
        </w:tc>
        <w:tc>
          <w:tcPr>
            <w:tcW w:w="1222" w:type="dxa"/>
            <w:vAlign w:val="center"/>
            <w:hideMark/>
          </w:tcPr>
          <w:p w14:paraId="48977FA2" w14:textId="77777777" w:rsidR="001B0794" w:rsidRPr="00A840BC" w:rsidRDefault="001B0794" w:rsidP="002E3784">
            <w:pPr>
              <w:jc w:val="center"/>
              <w:rPr>
                <w:rFonts w:ascii="Arial" w:hAnsi="Arial" w:cs="Arial"/>
                <w:b/>
                <w:bCs/>
                <w:color w:val="000000" w:themeColor="text1"/>
              </w:rPr>
            </w:pPr>
            <w:r w:rsidRPr="00A840BC">
              <w:rPr>
                <w:rFonts w:ascii="Arial" w:hAnsi="Arial" w:cs="Arial"/>
                <w:b/>
                <w:bCs/>
                <w:color w:val="000000" w:themeColor="text1"/>
              </w:rPr>
              <w:t>Cronbach's Alpha</w:t>
            </w:r>
          </w:p>
        </w:tc>
        <w:tc>
          <w:tcPr>
            <w:tcW w:w="1172" w:type="dxa"/>
            <w:vAlign w:val="center"/>
            <w:hideMark/>
          </w:tcPr>
          <w:p w14:paraId="770855BF" w14:textId="77777777" w:rsidR="001B0794" w:rsidRPr="00A840BC" w:rsidRDefault="001B0794" w:rsidP="002E3784">
            <w:pPr>
              <w:jc w:val="center"/>
              <w:rPr>
                <w:rFonts w:ascii="Arial" w:hAnsi="Arial" w:cs="Arial"/>
                <w:b/>
                <w:bCs/>
                <w:color w:val="000000" w:themeColor="text1"/>
              </w:rPr>
            </w:pPr>
            <w:r w:rsidRPr="00A840BC">
              <w:rPr>
                <w:rFonts w:ascii="Arial" w:hAnsi="Arial" w:cs="Arial"/>
                <w:b/>
                <w:bCs/>
                <w:color w:val="000000" w:themeColor="text1"/>
              </w:rPr>
              <w:t>Composite Reliability</w:t>
            </w:r>
          </w:p>
        </w:tc>
      </w:tr>
      <w:tr w:rsidR="001B0794" w:rsidRPr="00A840BC" w14:paraId="58AEA599" w14:textId="77777777" w:rsidTr="007A0D88">
        <w:trPr>
          <w:trHeight w:val="280"/>
          <w:jc w:val="center"/>
        </w:trPr>
        <w:tc>
          <w:tcPr>
            <w:tcW w:w="1027" w:type="dxa"/>
            <w:vAlign w:val="center"/>
            <w:hideMark/>
          </w:tcPr>
          <w:p w14:paraId="2BA40F93" w14:textId="77777777" w:rsidR="001B0794" w:rsidRPr="00A840BC" w:rsidRDefault="001B0794" w:rsidP="002E3784">
            <w:pPr>
              <w:jc w:val="center"/>
              <w:rPr>
                <w:rFonts w:ascii="Arial" w:hAnsi="Arial" w:cs="Arial"/>
                <w:color w:val="000000" w:themeColor="text1"/>
              </w:rPr>
            </w:pPr>
            <w:r w:rsidRPr="00A840BC">
              <w:rPr>
                <w:rFonts w:ascii="Tahoma" w:hAnsi="Tahoma" w:cs="Tahoma"/>
                <w:color w:val="000000" w:themeColor="text1"/>
              </w:rPr>
              <w:t>﻿</w:t>
            </w:r>
            <w:r w:rsidRPr="00A840BC">
              <w:rPr>
                <w:rFonts w:ascii="Arial" w:hAnsi="Arial" w:cs="Arial"/>
                <w:color w:val="000000" w:themeColor="text1"/>
              </w:rPr>
              <w:t>X1</w:t>
            </w:r>
          </w:p>
        </w:tc>
        <w:tc>
          <w:tcPr>
            <w:tcW w:w="2080" w:type="dxa"/>
            <w:noWrap/>
            <w:vAlign w:val="center"/>
            <w:hideMark/>
          </w:tcPr>
          <w:p w14:paraId="4FF636CB" w14:textId="50FE5FAF"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0.784</w:t>
            </w:r>
          </w:p>
        </w:tc>
        <w:tc>
          <w:tcPr>
            <w:tcW w:w="860" w:type="dxa"/>
            <w:noWrap/>
            <w:vAlign w:val="center"/>
            <w:hideMark/>
          </w:tcPr>
          <w:p w14:paraId="33A0F305" w14:textId="6F3BE2B1"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0.591</w:t>
            </w:r>
          </w:p>
        </w:tc>
        <w:tc>
          <w:tcPr>
            <w:tcW w:w="860" w:type="dxa"/>
            <w:noWrap/>
            <w:vAlign w:val="center"/>
            <w:hideMark/>
          </w:tcPr>
          <w:p w14:paraId="1EC03120" w14:textId="1BD4D5D3"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0.366</w:t>
            </w:r>
          </w:p>
        </w:tc>
        <w:tc>
          <w:tcPr>
            <w:tcW w:w="1222" w:type="dxa"/>
            <w:noWrap/>
            <w:vAlign w:val="center"/>
            <w:hideMark/>
          </w:tcPr>
          <w:p w14:paraId="4E29674D" w14:textId="764BF84B"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0.827</w:t>
            </w:r>
          </w:p>
        </w:tc>
        <w:tc>
          <w:tcPr>
            <w:tcW w:w="1172" w:type="dxa"/>
            <w:noWrap/>
            <w:vAlign w:val="center"/>
            <w:hideMark/>
          </w:tcPr>
          <w:p w14:paraId="256CC42C" w14:textId="0A31001E"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0.878</w:t>
            </w:r>
          </w:p>
        </w:tc>
      </w:tr>
      <w:tr w:rsidR="001B0794" w:rsidRPr="00A840BC" w14:paraId="00B03C1B" w14:textId="77777777" w:rsidTr="007A0D88">
        <w:trPr>
          <w:trHeight w:val="280"/>
          <w:jc w:val="center"/>
        </w:trPr>
        <w:tc>
          <w:tcPr>
            <w:tcW w:w="1027" w:type="dxa"/>
            <w:vAlign w:val="center"/>
            <w:hideMark/>
          </w:tcPr>
          <w:p w14:paraId="3F13C1B6" w14:textId="77777777"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X1.2</w:t>
            </w:r>
          </w:p>
        </w:tc>
        <w:tc>
          <w:tcPr>
            <w:tcW w:w="2080" w:type="dxa"/>
            <w:noWrap/>
            <w:vAlign w:val="center"/>
            <w:hideMark/>
          </w:tcPr>
          <w:p w14:paraId="73FB48DE" w14:textId="29FA8D2A"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0.767</w:t>
            </w:r>
          </w:p>
        </w:tc>
        <w:tc>
          <w:tcPr>
            <w:tcW w:w="860" w:type="dxa"/>
            <w:noWrap/>
            <w:vAlign w:val="center"/>
            <w:hideMark/>
          </w:tcPr>
          <w:p w14:paraId="0A27601E" w14:textId="77777777" w:rsidR="001B0794" w:rsidRPr="00A840BC" w:rsidRDefault="001B0794" w:rsidP="002E3784">
            <w:pPr>
              <w:jc w:val="center"/>
              <w:rPr>
                <w:rFonts w:ascii="Arial" w:hAnsi="Arial" w:cs="Arial"/>
                <w:color w:val="000000" w:themeColor="text1"/>
              </w:rPr>
            </w:pPr>
          </w:p>
        </w:tc>
        <w:tc>
          <w:tcPr>
            <w:tcW w:w="860" w:type="dxa"/>
            <w:vAlign w:val="center"/>
            <w:hideMark/>
          </w:tcPr>
          <w:p w14:paraId="280C847F" w14:textId="77777777" w:rsidR="001B0794" w:rsidRPr="00A840BC" w:rsidRDefault="001B0794" w:rsidP="002E3784">
            <w:pPr>
              <w:jc w:val="center"/>
              <w:rPr>
                <w:rFonts w:ascii="Arial" w:hAnsi="Arial" w:cs="Arial"/>
                <w:color w:val="000000" w:themeColor="text1"/>
              </w:rPr>
            </w:pPr>
          </w:p>
        </w:tc>
        <w:tc>
          <w:tcPr>
            <w:tcW w:w="1222" w:type="dxa"/>
            <w:noWrap/>
            <w:vAlign w:val="center"/>
            <w:hideMark/>
          </w:tcPr>
          <w:p w14:paraId="0343D348" w14:textId="77777777" w:rsidR="001B0794" w:rsidRPr="00A840BC" w:rsidRDefault="001B0794" w:rsidP="002E3784">
            <w:pPr>
              <w:jc w:val="center"/>
              <w:rPr>
                <w:rFonts w:ascii="Arial" w:hAnsi="Arial" w:cs="Arial"/>
                <w:color w:val="000000" w:themeColor="text1"/>
              </w:rPr>
            </w:pPr>
          </w:p>
        </w:tc>
        <w:tc>
          <w:tcPr>
            <w:tcW w:w="1172" w:type="dxa"/>
            <w:noWrap/>
            <w:vAlign w:val="center"/>
            <w:hideMark/>
          </w:tcPr>
          <w:p w14:paraId="5C0D2E26" w14:textId="77777777" w:rsidR="001B0794" w:rsidRPr="00A840BC" w:rsidRDefault="001B0794" w:rsidP="002E3784">
            <w:pPr>
              <w:jc w:val="center"/>
              <w:rPr>
                <w:rFonts w:ascii="Arial" w:hAnsi="Arial" w:cs="Arial"/>
                <w:color w:val="000000" w:themeColor="text1"/>
              </w:rPr>
            </w:pPr>
          </w:p>
        </w:tc>
      </w:tr>
      <w:tr w:rsidR="001B0794" w:rsidRPr="00A840BC" w14:paraId="4737C15F" w14:textId="77777777" w:rsidTr="007A0D88">
        <w:trPr>
          <w:trHeight w:val="280"/>
          <w:jc w:val="center"/>
        </w:trPr>
        <w:tc>
          <w:tcPr>
            <w:tcW w:w="1027" w:type="dxa"/>
            <w:vAlign w:val="center"/>
            <w:hideMark/>
          </w:tcPr>
          <w:p w14:paraId="03FE8931" w14:textId="77777777"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X1.3</w:t>
            </w:r>
          </w:p>
        </w:tc>
        <w:tc>
          <w:tcPr>
            <w:tcW w:w="2080" w:type="dxa"/>
            <w:noWrap/>
            <w:vAlign w:val="center"/>
            <w:hideMark/>
          </w:tcPr>
          <w:p w14:paraId="56E1C4D0" w14:textId="664FD08F"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0.808</w:t>
            </w:r>
          </w:p>
        </w:tc>
        <w:tc>
          <w:tcPr>
            <w:tcW w:w="860" w:type="dxa"/>
            <w:noWrap/>
            <w:vAlign w:val="center"/>
            <w:hideMark/>
          </w:tcPr>
          <w:p w14:paraId="2E4844C1" w14:textId="77777777" w:rsidR="001B0794" w:rsidRPr="00A840BC" w:rsidRDefault="001B0794" w:rsidP="002E3784">
            <w:pPr>
              <w:jc w:val="center"/>
              <w:rPr>
                <w:rFonts w:ascii="Arial" w:hAnsi="Arial" w:cs="Arial"/>
                <w:color w:val="000000" w:themeColor="text1"/>
              </w:rPr>
            </w:pPr>
          </w:p>
        </w:tc>
        <w:tc>
          <w:tcPr>
            <w:tcW w:w="860" w:type="dxa"/>
            <w:vAlign w:val="center"/>
            <w:hideMark/>
          </w:tcPr>
          <w:p w14:paraId="1870C41E" w14:textId="77777777" w:rsidR="001B0794" w:rsidRPr="00A840BC" w:rsidRDefault="001B0794" w:rsidP="002E3784">
            <w:pPr>
              <w:jc w:val="center"/>
              <w:rPr>
                <w:rFonts w:ascii="Arial" w:hAnsi="Arial" w:cs="Arial"/>
                <w:color w:val="000000" w:themeColor="text1"/>
              </w:rPr>
            </w:pPr>
          </w:p>
        </w:tc>
        <w:tc>
          <w:tcPr>
            <w:tcW w:w="1222" w:type="dxa"/>
            <w:noWrap/>
            <w:vAlign w:val="center"/>
            <w:hideMark/>
          </w:tcPr>
          <w:p w14:paraId="39207E47" w14:textId="77777777" w:rsidR="001B0794" w:rsidRPr="00A840BC" w:rsidRDefault="001B0794" w:rsidP="002E3784">
            <w:pPr>
              <w:jc w:val="center"/>
              <w:rPr>
                <w:rFonts w:ascii="Arial" w:hAnsi="Arial" w:cs="Arial"/>
                <w:color w:val="000000" w:themeColor="text1"/>
              </w:rPr>
            </w:pPr>
          </w:p>
        </w:tc>
        <w:tc>
          <w:tcPr>
            <w:tcW w:w="1172" w:type="dxa"/>
            <w:noWrap/>
            <w:vAlign w:val="center"/>
            <w:hideMark/>
          </w:tcPr>
          <w:p w14:paraId="2E99394B" w14:textId="77777777" w:rsidR="001B0794" w:rsidRPr="00A840BC" w:rsidRDefault="001B0794" w:rsidP="002E3784">
            <w:pPr>
              <w:jc w:val="center"/>
              <w:rPr>
                <w:rFonts w:ascii="Arial" w:hAnsi="Arial" w:cs="Arial"/>
                <w:color w:val="000000" w:themeColor="text1"/>
              </w:rPr>
            </w:pPr>
          </w:p>
        </w:tc>
      </w:tr>
      <w:tr w:rsidR="001B0794" w:rsidRPr="00A840BC" w14:paraId="4E16512C" w14:textId="77777777" w:rsidTr="007A0D88">
        <w:trPr>
          <w:trHeight w:val="280"/>
          <w:jc w:val="center"/>
        </w:trPr>
        <w:tc>
          <w:tcPr>
            <w:tcW w:w="1027" w:type="dxa"/>
            <w:vAlign w:val="center"/>
            <w:hideMark/>
          </w:tcPr>
          <w:p w14:paraId="41022C28" w14:textId="77777777"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X1.4</w:t>
            </w:r>
          </w:p>
        </w:tc>
        <w:tc>
          <w:tcPr>
            <w:tcW w:w="2080" w:type="dxa"/>
            <w:noWrap/>
            <w:vAlign w:val="center"/>
            <w:hideMark/>
          </w:tcPr>
          <w:p w14:paraId="0B64E1C9" w14:textId="6B07C1B8"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0.76</w:t>
            </w:r>
            <w:r w:rsidR="00E63E0C" w:rsidRPr="00A840BC">
              <w:rPr>
                <w:rFonts w:ascii="Arial" w:hAnsi="Arial" w:cs="Arial"/>
                <w:color w:val="000000" w:themeColor="text1"/>
              </w:rPr>
              <w:t>0</w:t>
            </w:r>
          </w:p>
        </w:tc>
        <w:tc>
          <w:tcPr>
            <w:tcW w:w="860" w:type="dxa"/>
            <w:vAlign w:val="center"/>
            <w:hideMark/>
          </w:tcPr>
          <w:p w14:paraId="38369B09" w14:textId="77777777" w:rsidR="001B0794" w:rsidRPr="00A840BC" w:rsidRDefault="001B0794" w:rsidP="002E3784">
            <w:pPr>
              <w:jc w:val="center"/>
              <w:rPr>
                <w:rFonts w:ascii="Arial" w:hAnsi="Arial" w:cs="Arial"/>
                <w:color w:val="000000" w:themeColor="text1"/>
              </w:rPr>
            </w:pPr>
          </w:p>
        </w:tc>
        <w:tc>
          <w:tcPr>
            <w:tcW w:w="860" w:type="dxa"/>
            <w:vAlign w:val="center"/>
            <w:hideMark/>
          </w:tcPr>
          <w:p w14:paraId="21B8ADC1" w14:textId="77777777" w:rsidR="001B0794" w:rsidRPr="00A840BC" w:rsidRDefault="001B0794" w:rsidP="002E3784">
            <w:pPr>
              <w:jc w:val="center"/>
              <w:rPr>
                <w:rFonts w:ascii="Arial" w:hAnsi="Arial" w:cs="Arial"/>
                <w:color w:val="000000" w:themeColor="text1"/>
              </w:rPr>
            </w:pPr>
          </w:p>
        </w:tc>
        <w:tc>
          <w:tcPr>
            <w:tcW w:w="1222" w:type="dxa"/>
            <w:noWrap/>
            <w:vAlign w:val="center"/>
            <w:hideMark/>
          </w:tcPr>
          <w:p w14:paraId="44EE804F" w14:textId="77777777" w:rsidR="001B0794" w:rsidRPr="00A840BC" w:rsidRDefault="001B0794" w:rsidP="002E3784">
            <w:pPr>
              <w:jc w:val="center"/>
              <w:rPr>
                <w:rFonts w:ascii="Arial" w:hAnsi="Arial" w:cs="Arial"/>
                <w:color w:val="000000" w:themeColor="text1"/>
              </w:rPr>
            </w:pPr>
          </w:p>
        </w:tc>
        <w:tc>
          <w:tcPr>
            <w:tcW w:w="1172" w:type="dxa"/>
            <w:noWrap/>
            <w:vAlign w:val="center"/>
            <w:hideMark/>
          </w:tcPr>
          <w:p w14:paraId="0CBD1D36" w14:textId="77777777" w:rsidR="001B0794" w:rsidRPr="00A840BC" w:rsidRDefault="001B0794" w:rsidP="002E3784">
            <w:pPr>
              <w:jc w:val="center"/>
              <w:rPr>
                <w:rFonts w:ascii="Arial" w:hAnsi="Arial" w:cs="Arial"/>
                <w:color w:val="000000" w:themeColor="text1"/>
              </w:rPr>
            </w:pPr>
          </w:p>
        </w:tc>
      </w:tr>
      <w:tr w:rsidR="001B0794" w:rsidRPr="00A840BC" w14:paraId="4F3AE567" w14:textId="77777777" w:rsidTr="007A0D88">
        <w:trPr>
          <w:trHeight w:val="280"/>
          <w:jc w:val="center"/>
        </w:trPr>
        <w:tc>
          <w:tcPr>
            <w:tcW w:w="1027" w:type="dxa"/>
            <w:vAlign w:val="center"/>
            <w:hideMark/>
          </w:tcPr>
          <w:p w14:paraId="4934D36F" w14:textId="77777777"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X1.5</w:t>
            </w:r>
          </w:p>
        </w:tc>
        <w:tc>
          <w:tcPr>
            <w:tcW w:w="2080" w:type="dxa"/>
            <w:noWrap/>
            <w:vAlign w:val="center"/>
            <w:hideMark/>
          </w:tcPr>
          <w:p w14:paraId="0AA029FC" w14:textId="0FCA9AF9"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0.723</w:t>
            </w:r>
          </w:p>
        </w:tc>
        <w:tc>
          <w:tcPr>
            <w:tcW w:w="860" w:type="dxa"/>
            <w:vAlign w:val="center"/>
            <w:hideMark/>
          </w:tcPr>
          <w:p w14:paraId="3D776829" w14:textId="77777777" w:rsidR="001B0794" w:rsidRPr="00A840BC" w:rsidRDefault="001B0794" w:rsidP="002E3784">
            <w:pPr>
              <w:jc w:val="center"/>
              <w:rPr>
                <w:rFonts w:ascii="Arial" w:hAnsi="Arial" w:cs="Arial"/>
                <w:color w:val="000000" w:themeColor="text1"/>
              </w:rPr>
            </w:pPr>
          </w:p>
        </w:tc>
        <w:tc>
          <w:tcPr>
            <w:tcW w:w="860" w:type="dxa"/>
            <w:vAlign w:val="center"/>
            <w:hideMark/>
          </w:tcPr>
          <w:p w14:paraId="46853DDF" w14:textId="77777777" w:rsidR="001B0794" w:rsidRPr="00A840BC" w:rsidRDefault="001B0794" w:rsidP="002E3784">
            <w:pPr>
              <w:jc w:val="center"/>
              <w:rPr>
                <w:rFonts w:ascii="Arial" w:hAnsi="Arial" w:cs="Arial"/>
                <w:color w:val="000000" w:themeColor="text1"/>
              </w:rPr>
            </w:pPr>
          </w:p>
        </w:tc>
        <w:tc>
          <w:tcPr>
            <w:tcW w:w="1222" w:type="dxa"/>
            <w:noWrap/>
            <w:vAlign w:val="center"/>
            <w:hideMark/>
          </w:tcPr>
          <w:p w14:paraId="00A37892" w14:textId="77777777" w:rsidR="001B0794" w:rsidRPr="00A840BC" w:rsidRDefault="001B0794" w:rsidP="002E3784">
            <w:pPr>
              <w:jc w:val="center"/>
              <w:rPr>
                <w:rFonts w:ascii="Arial" w:hAnsi="Arial" w:cs="Arial"/>
                <w:color w:val="000000" w:themeColor="text1"/>
              </w:rPr>
            </w:pPr>
          </w:p>
        </w:tc>
        <w:tc>
          <w:tcPr>
            <w:tcW w:w="1172" w:type="dxa"/>
            <w:noWrap/>
            <w:vAlign w:val="center"/>
            <w:hideMark/>
          </w:tcPr>
          <w:p w14:paraId="1A552360" w14:textId="77777777" w:rsidR="001B0794" w:rsidRPr="00A840BC" w:rsidRDefault="001B0794" w:rsidP="002E3784">
            <w:pPr>
              <w:jc w:val="center"/>
              <w:rPr>
                <w:rFonts w:ascii="Arial" w:hAnsi="Arial" w:cs="Arial"/>
                <w:color w:val="000000" w:themeColor="text1"/>
              </w:rPr>
            </w:pPr>
          </w:p>
        </w:tc>
      </w:tr>
      <w:tr w:rsidR="001B0794" w:rsidRPr="00A840BC" w14:paraId="37385B1E" w14:textId="77777777" w:rsidTr="007A0D88">
        <w:trPr>
          <w:trHeight w:val="280"/>
          <w:jc w:val="center"/>
        </w:trPr>
        <w:tc>
          <w:tcPr>
            <w:tcW w:w="1027" w:type="dxa"/>
            <w:vAlign w:val="center"/>
            <w:hideMark/>
          </w:tcPr>
          <w:p w14:paraId="217F895B" w14:textId="77777777"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X2</w:t>
            </w:r>
          </w:p>
        </w:tc>
        <w:tc>
          <w:tcPr>
            <w:tcW w:w="2080" w:type="dxa"/>
            <w:noWrap/>
            <w:vAlign w:val="center"/>
            <w:hideMark/>
          </w:tcPr>
          <w:p w14:paraId="34C53DA1" w14:textId="4AA0ABD4"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0.764</w:t>
            </w:r>
          </w:p>
        </w:tc>
        <w:tc>
          <w:tcPr>
            <w:tcW w:w="860" w:type="dxa"/>
            <w:noWrap/>
            <w:vAlign w:val="center"/>
            <w:hideMark/>
          </w:tcPr>
          <w:p w14:paraId="0DDA0D9A" w14:textId="6722165F"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0.610</w:t>
            </w:r>
          </w:p>
        </w:tc>
        <w:tc>
          <w:tcPr>
            <w:tcW w:w="860" w:type="dxa"/>
            <w:noWrap/>
            <w:vAlign w:val="center"/>
            <w:hideMark/>
          </w:tcPr>
          <w:p w14:paraId="56175989" w14:textId="0C01FB26"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0.421</w:t>
            </w:r>
          </w:p>
        </w:tc>
        <w:tc>
          <w:tcPr>
            <w:tcW w:w="1222" w:type="dxa"/>
            <w:noWrap/>
            <w:vAlign w:val="center"/>
            <w:hideMark/>
          </w:tcPr>
          <w:p w14:paraId="58D2B170" w14:textId="020CEB4B"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0.84</w:t>
            </w:r>
            <w:r w:rsidR="00143C78" w:rsidRPr="00A840BC">
              <w:rPr>
                <w:rFonts w:ascii="Arial" w:hAnsi="Arial" w:cs="Arial"/>
                <w:color w:val="000000" w:themeColor="text1"/>
              </w:rPr>
              <w:t>0</w:t>
            </w:r>
          </w:p>
        </w:tc>
        <w:tc>
          <w:tcPr>
            <w:tcW w:w="1172" w:type="dxa"/>
            <w:noWrap/>
            <w:vAlign w:val="center"/>
            <w:hideMark/>
          </w:tcPr>
          <w:p w14:paraId="25EE04BC" w14:textId="59CB7D60"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0.887</w:t>
            </w:r>
          </w:p>
        </w:tc>
      </w:tr>
      <w:tr w:rsidR="001B0794" w:rsidRPr="00A840BC" w14:paraId="5AFD7891" w14:textId="77777777" w:rsidTr="007A0D88">
        <w:trPr>
          <w:trHeight w:val="280"/>
          <w:jc w:val="center"/>
        </w:trPr>
        <w:tc>
          <w:tcPr>
            <w:tcW w:w="1027" w:type="dxa"/>
            <w:vAlign w:val="center"/>
            <w:hideMark/>
          </w:tcPr>
          <w:p w14:paraId="080C57EE" w14:textId="77777777"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X2.2</w:t>
            </w:r>
          </w:p>
        </w:tc>
        <w:tc>
          <w:tcPr>
            <w:tcW w:w="2080" w:type="dxa"/>
            <w:noWrap/>
            <w:vAlign w:val="center"/>
            <w:hideMark/>
          </w:tcPr>
          <w:p w14:paraId="5C960A9E" w14:textId="7E340CF3"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0.767</w:t>
            </w:r>
          </w:p>
        </w:tc>
        <w:tc>
          <w:tcPr>
            <w:tcW w:w="860" w:type="dxa"/>
            <w:noWrap/>
            <w:vAlign w:val="center"/>
            <w:hideMark/>
          </w:tcPr>
          <w:p w14:paraId="03224258" w14:textId="77777777" w:rsidR="001B0794" w:rsidRPr="00A840BC" w:rsidRDefault="001B0794" w:rsidP="002E3784">
            <w:pPr>
              <w:jc w:val="center"/>
              <w:rPr>
                <w:rFonts w:ascii="Arial" w:hAnsi="Arial" w:cs="Arial"/>
                <w:color w:val="000000" w:themeColor="text1"/>
              </w:rPr>
            </w:pPr>
          </w:p>
        </w:tc>
        <w:tc>
          <w:tcPr>
            <w:tcW w:w="860" w:type="dxa"/>
            <w:vAlign w:val="center"/>
            <w:hideMark/>
          </w:tcPr>
          <w:p w14:paraId="47C08825" w14:textId="77777777" w:rsidR="001B0794" w:rsidRPr="00A840BC" w:rsidRDefault="001B0794" w:rsidP="002E3784">
            <w:pPr>
              <w:jc w:val="center"/>
              <w:rPr>
                <w:rFonts w:ascii="Arial" w:hAnsi="Arial" w:cs="Arial"/>
                <w:color w:val="000000" w:themeColor="text1"/>
              </w:rPr>
            </w:pPr>
          </w:p>
        </w:tc>
        <w:tc>
          <w:tcPr>
            <w:tcW w:w="1222" w:type="dxa"/>
            <w:noWrap/>
            <w:vAlign w:val="center"/>
            <w:hideMark/>
          </w:tcPr>
          <w:p w14:paraId="4033BCB9" w14:textId="77777777" w:rsidR="001B0794" w:rsidRPr="00A840BC" w:rsidRDefault="001B0794" w:rsidP="002E3784">
            <w:pPr>
              <w:jc w:val="center"/>
              <w:rPr>
                <w:rFonts w:ascii="Arial" w:hAnsi="Arial" w:cs="Arial"/>
                <w:color w:val="000000" w:themeColor="text1"/>
              </w:rPr>
            </w:pPr>
          </w:p>
        </w:tc>
        <w:tc>
          <w:tcPr>
            <w:tcW w:w="1172" w:type="dxa"/>
            <w:noWrap/>
            <w:vAlign w:val="center"/>
            <w:hideMark/>
          </w:tcPr>
          <w:p w14:paraId="1BDBD169" w14:textId="77777777" w:rsidR="001B0794" w:rsidRPr="00A840BC" w:rsidRDefault="001B0794" w:rsidP="002E3784">
            <w:pPr>
              <w:jc w:val="center"/>
              <w:rPr>
                <w:rFonts w:ascii="Arial" w:hAnsi="Arial" w:cs="Arial"/>
                <w:color w:val="000000" w:themeColor="text1"/>
              </w:rPr>
            </w:pPr>
          </w:p>
        </w:tc>
      </w:tr>
      <w:tr w:rsidR="001B0794" w:rsidRPr="00A840BC" w14:paraId="6129FF02" w14:textId="77777777" w:rsidTr="007A0D88">
        <w:trPr>
          <w:trHeight w:val="280"/>
          <w:jc w:val="center"/>
        </w:trPr>
        <w:tc>
          <w:tcPr>
            <w:tcW w:w="1027" w:type="dxa"/>
            <w:vAlign w:val="center"/>
            <w:hideMark/>
          </w:tcPr>
          <w:p w14:paraId="49074132" w14:textId="77777777"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X2.3</w:t>
            </w:r>
          </w:p>
        </w:tc>
        <w:tc>
          <w:tcPr>
            <w:tcW w:w="2080" w:type="dxa"/>
            <w:noWrap/>
            <w:vAlign w:val="center"/>
            <w:hideMark/>
          </w:tcPr>
          <w:p w14:paraId="365CF1EF" w14:textId="4A79A391"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0.795</w:t>
            </w:r>
          </w:p>
        </w:tc>
        <w:tc>
          <w:tcPr>
            <w:tcW w:w="860" w:type="dxa"/>
            <w:noWrap/>
            <w:vAlign w:val="center"/>
            <w:hideMark/>
          </w:tcPr>
          <w:p w14:paraId="26BA1E57" w14:textId="77777777" w:rsidR="001B0794" w:rsidRPr="00A840BC" w:rsidRDefault="001B0794" w:rsidP="002E3784">
            <w:pPr>
              <w:jc w:val="center"/>
              <w:rPr>
                <w:rFonts w:ascii="Arial" w:hAnsi="Arial" w:cs="Arial"/>
                <w:color w:val="000000" w:themeColor="text1"/>
              </w:rPr>
            </w:pPr>
          </w:p>
        </w:tc>
        <w:tc>
          <w:tcPr>
            <w:tcW w:w="860" w:type="dxa"/>
            <w:vAlign w:val="center"/>
            <w:hideMark/>
          </w:tcPr>
          <w:p w14:paraId="7A00F44E" w14:textId="77777777" w:rsidR="001B0794" w:rsidRPr="00A840BC" w:rsidRDefault="001B0794" w:rsidP="002E3784">
            <w:pPr>
              <w:jc w:val="center"/>
              <w:rPr>
                <w:rFonts w:ascii="Arial" w:hAnsi="Arial" w:cs="Arial"/>
                <w:color w:val="000000" w:themeColor="text1"/>
              </w:rPr>
            </w:pPr>
          </w:p>
        </w:tc>
        <w:tc>
          <w:tcPr>
            <w:tcW w:w="1222" w:type="dxa"/>
            <w:noWrap/>
            <w:vAlign w:val="center"/>
            <w:hideMark/>
          </w:tcPr>
          <w:p w14:paraId="11A93D63" w14:textId="77777777" w:rsidR="001B0794" w:rsidRPr="00A840BC" w:rsidRDefault="001B0794" w:rsidP="002E3784">
            <w:pPr>
              <w:jc w:val="center"/>
              <w:rPr>
                <w:rFonts w:ascii="Arial" w:hAnsi="Arial" w:cs="Arial"/>
                <w:color w:val="000000" w:themeColor="text1"/>
              </w:rPr>
            </w:pPr>
          </w:p>
        </w:tc>
        <w:tc>
          <w:tcPr>
            <w:tcW w:w="1172" w:type="dxa"/>
            <w:noWrap/>
            <w:vAlign w:val="center"/>
            <w:hideMark/>
          </w:tcPr>
          <w:p w14:paraId="24A4CBC5" w14:textId="77777777" w:rsidR="001B0794" w:rsidRPr="00A840BC" w:rsidRDefault="001B0794" w:rsidP="002E3784">
            <w:pPr>
              <w:jc w:val="center"/>
              <w:rPr>
                <w:rFonts w:ascii="Arial" w:hAnsi="Arial" w:cs="Arial"/>
                <w:color w:val="000000" w:themeColor="text1"/>
              </w:rPr>
            </w:pPr>
          </w:p>
        </w:tc>
      </w:tr>
      <w:tr w:rsidR="001B0794" w:rsidRPr="00A840BC" w14:paraId="63EC5DE8" w14:textId="77777777" w:rsidTr="007A0D88">
        <w:trPr>
          <w:trHeight w:val="280"/>
          <w:jc w:val="center"/>
        </w:trPr>
        <w:tc>
          <w:tcPr>
            <w:tcW w:w="1027" w:type="dxa"/>
            <w:vAlign w:val="center"/>
            <w:hideMark/>
          </w:tcPr>
          <w:p w14:paraId="2328E3A5" w14:textId="77777777"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X2.4</w:t>
            </w:r>
          </w:p>
        </w:tc>
        <w:tc>
          <w:tcPr>
            <w:tcW w:w="2080" w:type="dxa"/>
            <w:noWrap/>
            <w:vAlign w:val="center"/>
            <w:hideMark/>
          </w:tcPr>
          <w:p w14:paraId="72B1E457" w14:textId="0FEBD464"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0.797</w:t>
            </w:r>
          </w:p>
        </w:tc>
        <w:tc>
          <w:tcPr>
            <w:tcW w:w="860" w:type="dxa"/>
            <w:noWrap/>
            <w:vAlign w:val="center"/>
            <w:hideMark/>
          </w:tcPr>
          <w:p w14:paraId="2D91CEAC" w14:textId="77777777" w:rsidR="001B0794" w:rsidRPr="00A840BC" w:rsidRDefault="001B0794" w:rsidP="002E3784">
            <w:pPr>
              <w:jc w:val="center"/>
              <w:rPr>
                <w:rFonts w:ascii="Arial" w:hAnsi="Arial" w:cs="Arial"/>
                <w:color w:val="000000" w:themeColor="text1"/>
              </w:rPr>
            </w:pPr>
          </w:p>
        </w:tc>
        <w:tc>
          <w:tcPr>
            <w:tcW w:w="860" w:type="dxa"/>
            <w:vAlign w:val="center"/>
            <w:hideMark/>
          </w:tcPr>
          <w:p w14:paraId="5301D95B" w14:textId="77777777" w:rsidR="001B0794" w:rsidRPr="00A840BC" w:rsidRDefault="001B0794" w:rsidP="002E3784">
            <w:pPr>
              <w:jc w:val="center"/>
              <w:rPr>
                <w:rFonts w:ascii="Arial" w:hAnsi="Arial" w:cs="Arial"/>
                <w:color w:val="000000" w:themeColor="text1"/>
              </w:rPr>
            </w:pPr>
          </w:p>
        </w:tc>
        <w:tc>
          <w:tcPr>
            <w:tcW w:w="1222" w:type="dxa"/>
            <w:noWrap/>
            <w:vAlign w:val="center"/>
            <w:hideMark/>
          </w:tcPr>
          <w:p w14:paraId="08FC6994" w14:textId="77777777" w:rsidR="001B0794" w:rsidRPr="00A840BC" w:rsidRDefault="001B0794" w:rsidP="002E3784">
            <w:pPr>
              <w:jc w:val="center"/>
              <w:rPr>
                <w:rFonts w:ascii="Arial" w:hAnsi="Arial" w:cs="Arial"/>
                <w:color w:val="000000" w:themeColor="text1"/>
              </w:rPr>
            </w:pPr>
          </w:p>
        </w:tc>
        <w:tc>
          <w:tcPr>
            <w:tcW w:w="1172" w:type="dxa"/>
            <w:noWrap/>
            <w:vAlign w:val="center"/>
            <w:hideMark/>
          </w:tcPr>
          <w:p w14:paraId="566B0D5C" w14:textId="77777777" w:rsidR="001B0794" w:rsidRPr="00A840BC" w:rsidRDefault="001B0794" w:rsidP="002E3784">
            <w:pPr>
              <w:jc w:val="center"/>
              <w:rPr>
                <w:rFonts w:ascii="Arial" w:hAnsi="Arial" w:cs="Arial"/>
                <w:color w:val="000000" w:themeColor="text1"/>
              </w:rPr>
            </w:pPr>
          </w:p>
        </w:tc>
      </w:tr>
      <w:tr w:rsidR="001B0794" w:rsidRPr="00A840BC" w14:paraId="44365505" w14:textId="77777777" w:rsidTr="007A0D88">
        <w:trPr>
          <w:trHeight w:val="280"/>
          <w:jc w:val="center"/>
        </w:trPr>
        <w:tc>
          <w:tcPr>
            <w:tcW w:w="1027" w:type="dxa"/>
            <w:vAlign w:val="center"/>
            <w:hideMark/>
          </w:tcPr>
          <w:p w14:paraId="7DDB852A" w14:textId="77777777"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X2.5</w:t>
            </w:r>
          </w:p>
        </w:tc>
        <w:tc>
          <w:tcPr>
            <w:tcW w:w="2080" w:type="dxa"/>
            <w:noWrap/>
            <w:vAlign w:val="center"/>
            <w:hideMark/>
          </w:tcPr>
          <w:p w14:paraId="69908E12" w14:textId="69DFDBA7"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0.781</w:t>
            </w:r>
          </w:p>
        </w:tc>
        <w:tc>
          <w:tcPr>
            <w:tcW w:w="860" w:type="dxa"/>
            <w:noWrap/>
            <w:vAlign w:val="center"/>
            <w:hideMark/>
          </w:tcPr>
          <w:p w14:paraId="69A74571" w14:textId="77777777" w:rsidR="001B0794" w:rsidRPr="00A840BC" w:rsidRDefault="001B0794" w:rsidP="002E3784">
            <w:pPr>
              <w:jc w:val="center"/>
              <w:rPr>
                <w:rFonts w:ascii="Arial" w:hAnsi="Arial" w:cs="Arial"/>
                <w:color w:val="000000" w:themeColor="text1"/>
              </w:rPr>
            </w:pPr>
          </w:p>
        </w:tc>
        <w:tc>
          <w:tcPr>
            <w:tcW w:w="860" w:type="dxa"/>
            <w:vAlign w:val="center"/>
            <w:hideMark/>
          </w:tcPr>
          <w:p w14:paraId="5288BCDD" w14:textId="77777777" w:rsidR="001B0794" w:rsidRPr="00A840BC" w:rsidRDefault="001B0794" w:rsidP="002E3784">
            <w:pPr>
              <w:jc w:val="center"/>
              <w:rPr>
                <w:rFonts w:ascii="Arial" w:hAnsi="Arial" w:cs="Arial"/>
                <w:color w:val="000000" w:themeColor="text1"/>
              </w:rPr>
            </w:pPr>
          </w:p>
        </w:tc>
        <w:tc>
          <w:tcPr>
            <w:tcW w:w="1222" w:type="dxa"/>
            <w:noWrap/>
            <w:vAlign w:val="center"/>
            <w:hideMark/>
          </w:tcPr>
          <w:p w14:paraId="62C24E63" w14:textId="77777777" w:rsidR="001B0794" w:rsidRPr="00A840BC" w:rsidRDefault="001B0794" w:rsidP="002E3784">
            <w:pPr>
              <w:jc w:val="center"/>
              <w:rPr>
                <w:rFonts w:ascii="Arial" w:hAnsi="Arial" w:cs="Arial"/>
                <w:color w:val="000000" w:themeColor="text1"/>
              </w:rPr>
            </w:pPr>
          </w:p>
        </w:tc>
        <w:tc>
          <w:tcPr>
            <w:tcW w:w="1172" w:type="dxa"/>
            <w:noWrap/>
            <w:vAlign w:val="center"/>
            <w:hideMark/>
          </w:tcPr>
          <w:p w14:paraId="53461F94" w14:textId="77777777" w:rsidR="001B0794" w:rsidRPr="00A840BC" w:rsidRDefault="001B0794" w:rsidP="002E3784">
            <w:pPr>
              <w:jc w:val="center"/>
              <w:rPr>
                <w:rFonts w:ascii="Arial" w:hAnsi="Arial" w:cs="Arial"/>
                <w:color w:val="000000" w:themeColor="text1"/>
              </w:rPr>
            </w:pPr>
          </w:p>
        </w:tc>
      </w:tr>
      <w:tr w:rsidR="001B0794" w:rsidRPr="00A840BC" w14:paraId="00BCA7B3" w14:textId="77777777" w:rsidTr="007A0D88">
        <w:trPr>
          <w:trHeight w:val="280"/>
          <w:jc w:val="center"/>
        </w:trPr>
        <w:tc>
          <w:tcPr>
            <w:tcW w:w="1027" w:type="dxa"/>
            <w:vAlign w:val="center"/>
            <w:hideMark/>
          </w:tcPr>
          <w:p w14:paraId="73687C00" w14:textId="77777777"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Y1</w:t>
            </w:r>
          </w:p>
        </w:tc>
        <w:tc>
          <w:tcPr>
            <w:tcW w:w="2080" w:type="dxa"/>
            <w:noWrap/>
            <w:vAlign w:val="center"/>
            <w:hideMark/>
          </w:tcPr>
          <w:p w14:paraId="0A6A0E61" w14:textId="7F95BB15"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0.79</w:t>
            </w:r>
            <w:r w:rsidR="00E63E0C" w:rsidRPr="00A840BC">
              <w:rPr>
                <w:rFonts w:ascii="Arial" w:hAnsi="Arial" w:cs="Arial"/>
                <w:color w:val="000000" w:themeColor="text1"/>
              </w:rPr>
              <w:t>0</w:t>
            </w:r>
          </w:p>
        </w:tc>
        <w:tc>
          <w:tcPr>
            <w:tcW w:w="860" w:type="dxa"/>
            <w:noWrap/>
            <w:vAlign w:val="center"/>
            <w:hideMark/>
          </w:tcPr>
          <w:p w14:paraId="21B654D0" w14:textId="72AE4969"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0.573</w:t>
            </w:r>
          </w:p>
        </w:tc>
        <w:tc>
          <w:tcPr>
            <w:tcW w:w="860" w:type="dxa"/>
            <w:noWrap/>
            <w:vAlign w:val="center"/>
            <w:hideMark/>
          </w:tcPr>
          <w:p w14:paraId="42492E7F" w14:textId="6742B8A9"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0.537</w:t>
            </w:r>
          </w:p>
        </w:tc>
        <w:tc>
          <w:tcPr>
            <w:tcW w:w="1222" w:type="dxa"/>
            <w:noWrap/>
            <w:vAlign w:val="center"/>
            <w:hideMark/>
          </w:tcPr>
          <w:p w14:paraId="0C8996EE" w14:textId="44CA87B2"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0.814</w:t>
            </w:r>
          </w:p>
        </w:tc>
        <w:tc>
          <w:tcPr>
            <w:tcW w:w="1172" w:type="dxa"/>
            <w:noWrap/>
            <w:vAlign w:val="center"/>
            <w:hideMark/>
          </w:tcPr>
          <w:p w14:paraId="156FE54E" w14:textId="1F88FC1C"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0.87</w:t>
            </w:r>
            <w:r w:rsidR="00503B85" w:rsidRPr="00A840BC">
              <w:rPr>
                <w:rFonts w:ascii="Arial" w:hAnsi="Arial" w:cs="Arial"/>
                <w:color w:val="000000" w:themeColor="text1"/>
              </w:rPr>
              <w:t>0</w:t>
            </w:r>
          </w:p>
        </w:tc>
      </w:tr>
      <w:tr w:rsidR="001B0794" w:rsidRPr="00A840BC" w14:paraId="2F140CFA" w14:textId="77777777" w:rsidTr="007A0D88">
        <w:trPr>
          <w:trHeight w:val="280"/>
          <w:jc w:val="center"/>
        </w:trPr>
        <w:tc>
          <w:tcPr>
            <w:tcW w:w="1027" w:type="dxa"/>
            <w:vAlign w:val="center"/>
            <w:hideMark/>
          </w:tcPr>
          <w:p w14:paraId="607A20A4" w14:textId="77777777"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Y2</w:t>
            </w:r>
          </w:p>
        </w:tc>
        <w:tc>
          <w:tcPr>
            <w:tcW w:w="2080" w:type="dxa"/>
            <w:noWrap/>
            <w:vAlign w:val="center"/>
            <w:hideMark/>
          </w:tcPr>
          <w:p w14:paraId="484330A2" w14:textId="021EA893"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0.761</w:t>
            </w:r>
          </w:p>
        </w:tc>
        <w:tc>
          <w:tcPr>
            <w:tcW w:w="860" w:type="dxa"/>
            <w:vAlign w:val="center"/>
            <w:hideMark/>
          </w:tcPr>
          <w:p w14:paraId="54ADA239" w14:textId="77777777" w:rsidR="001B0794" w:rsidRPr="00A840BC" w:rsidRDefault="001B0794" w:rsidP="002E3784">
            <w:pPr>
              <w:jc w:val="center"/>
              <w:rPr>
                <w:rFonts w:ascii="Arial" w:hAnsi="Arial" w:cs="Arial"/>
                <w:color w:val="000000" w:themeColor="text1"/>
              </w:rPr>
            </w:pPr>
          </w:p>
        </w:tc>
        <w:tc>
          <w:tcPr>
            <w:tcW w:w="860" w:type="dxa"/>
            <w:noWrap/>
            <w:vAlign w:val="center"/>
            <w:hideMark/>
          </w:tcPr>
          <w:p w14:paraId="2B599F43" w14:textId="77777777" w:rsidR="001B0794" w:rsidRPr="00A840BC" w:rsidRDefault="001B0794" w:rsidP="002E3784">
            <w:pPr>
              <w:jc w:val="center"/>
              <w:rPr>
                <w:rFonts w:ascii="Arial" w:hAnsi="Arial" w:cs="Arial"/>
                <w:color w:val="000000" w:themeColor="text1"/>
              </w:rPr>
            </w:pPr>
          </w:p>
        </w:tc>
        <w:tc>
          <w:tcPr>
            <w:tcW w:w="1222" w:type="dxa"/>
            <w:noWrap/>
            <w:vAlign w:val="center"/>
            <w:hideMark/>
          </w:tcPr>
          <w:p w14:paraId="283FA682" w14:textId="77777777" w:rsidR="001B0794" w:rsidRPr="00A840BC" w:rsidRDefault="001B0794" w:rsidP="002E3784">
            <w:pPr>
              <w:jc w:val="center"/>
              <w:rPr>
                <w:rFonts w:ascii="Arial" w:hAnsi="Arial" w:cs="Arial"/>
                <w:color w:val="000000" w:themeColor="text1"/>
              </w:rPr>
            </w:pPr>
          </w:p>
        </w:tc>
        <w:tc>
          <w:tcPr>
            <w:tcW w:w="1172" w:type="dxa"/>
            <w:noWrap/>
            <w:vAlign w:val="center"/>
            <w:hideMark/>
          </w:tcPr>
          <w:p w14:paraId="2CE3828C" w14:textId="77777777" w:rsidR="001B0794" w:rsidRPr="00A840BC" w:rsidRDefault="001B0794" w:rsidP="002E3784">
            <w:pPr>
              <w:jc w:val="center"/>
              <w:rPr>
                <w:rFonts w:ascii="Arial" w:hAnsi="Arial" w:cs="Arial"/>
                <w:color w:val="000000" w:themeColor="text1"/>
              </w:rPr>
            </w:pPr>
          </w:p>
        </w:tc>
      </w:tr>
      <w:tr w:rsidR="001B0794" w:rsidRPr="00A840BC" w14:paraId="10AAA1D6" w14:textId="77777777" w:rsidTr="007A0D88">
        <w:trPr>
          <w:trHeight w:val="280"/>
          <w:jc w:val="center"/>
        </w:trPr>
        <w:tc>
          <w:tcPr>
            <w:tcW w:w="1027" w:type="dxa"/>
            <w:vAlign w:val="center"/>
            <w:hideMark/>
          </w:tcPr>
          <w:p w14:paraId="2F429DAD" w14:textId="77777777"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Y3</w:t>
            </w:r>
          </w:p>
        </w:tc>
        <w:tc>
          <w:tcPr>
            <w:tcW w:w="2080" w:type="dxa"/>
            <w:noWrap/>
            <w:vAlign w:val="center"/>
            <w:hideMark/>
          </w:tcPr>
          <w:p w14:paraId="29A7BAEF" w14:textId="0D75609B"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0.77</w:t>
            </w:r>
            <w:r w:rsidR="00E63E0C" w:rsidRPr="00A840BC">
              <w:rPr>
                <w:rFonts w:ascii="Arial" w:hAnsi="Arial" w:cs="Arial"/>
                <w:color w:val="000000" w:themeColor="text1"/>
              </w:rPr>
              <w:t>0</w:t>
            </w:r>
          </w:p>
        </w:tc>
        <w:tc>
          <w:tcPr>
            <w:tcW w:w="860" w:type="dxa"/>
            <w:vAlign w:val="center"/>
            <w:hideMark/>
          </w:tcPr>
          <w:p w14:paraId="22BB286F" w14:textId="77777777" w:rsidR="001B0794" w:rsidRPr="00A840BC" w:rsidRDefault="001B0794" w:rsidP="002E3784">
            <w:pPr>
              <w:jc w:val="center"/>
              <w:rPr>
                <w:rFonts w:ascii="Arial" w:hAnsi="Arial" w:cs="Arial"/>
                <w:color w:val="000000" w:themeColor="text1"/>
              </w:rPr>
            </w:pPr>
          </w:p>
        </w:tc>
        <w:tc>
          <w:tcPr>
            <w:tcW w:w="860" w:type="dxa"/>
            <w:noWrap/>
            <w:vAlign w:val="center"/>
            <w:hideMark/>
          </w:tcPr>
          <w:p w14:paraId="1D3301E0" w14:textId="77777777" w:rsidR="001B0794" w:rsidRPr="00A840BC" w:rsidRDefault="001B0794" w:rsidP="002E3784">
            <w:pPr>
              <w:jc w:val="center"/>
              <w:rPr>
                <w:rFonts w:ascii="Arial" w:hAnsi="Arial" w:cs="Arial"/>
                <w:color w:val="000000" w:themeColor="text1"/>
              </w:rPr>
            </w:pPr>
          </w:p>
        </w:tc>
        <w:tc>
          <w:tcPr>
            <w:tcW w:w="1222" w:type="dxa"/>
            <w:noWrap/>
            <w:vAlign w:val="center"/>
            <w:hideMark/>
          </w:tcPr>
          <w:p w14:paraId="48DBA42D" w14:textId="77777777" w:rsidR="001B0794" w:rsidRPr="00A840BC" w:rsidRDefault="001B0794" w:rsidP="002E3784">
            <w:pPr>
              <w:jc w:val="center"/>
              <w:rPr>
                <w:rFonts w:ascii="Arial" w:hAnsi="Arial" w:cs="Arial"/>
                <w:color w:val="000000" w:themeColor="text1"/>
              </w:rPr>
            </w:pPr>
          </w:p>
        </w:tc>
        <w:tc>
          <w:tcPr>
            <w:tcW w:w="1172" w:type="dxa"/>
            <w:noWrap/>
            <w:vAlign w:val="center"/>
            <w:hideMark/>
          </w:tcPr>
          <w:p w14:paraId="2D36215C" w14:textId="77777777" w:rsidR="001B0794" w:rsidRPr="00A840BC" w:rsidRDefault="001B0794" w:rsidP="002E3784">
            <w:pPr>
              <w:jc w:val="center"/>
              <w:rPr>
                <w:rFonts w:ascii="Arial" w:hAnsi="Arial" w:cs="Arial"/>
                <w:color w:val="000000" w:themeColor="text1"/>
              </w:rPr>
            </w:pPr>
          </w:p>
        </w:tc>
      </w:tr>
      <w:tr w:rsidR="001B0794" w:rsidRPr="00A840BC" w14:paraId="347BF051" w14:textId="77777777" w:rsidTr="007A0D88">
        <w:trPr>
          <w:trHeight w:val="280"/>
          <w:jc w:val="center"/>
        </w:trPr>
        <w:tc>
          <w:tcPr>
            <w:tcW w:w="1027" w:type="dxa"/>
            <w:vAlign w:val="center"/>
            <w:hideMark/>
          </w:tcPr>
          <w:p w14:paraId="7D0F594B" w14:textId="77777777"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Y4</w:t>
            </w:r>
          </w:p>
        </w:tc>
        <w:tc>
          <w:tcPr>
            <w:tcW w:w="2080" w:type="dxa"/>
            <w:noWrap/>
            <w:vAlign w:val="center"/>
            <w:hideMark/>
          </w:tcPr>
          <w:p w14:paraId="50E1882F" w14:textId="3A2593D4"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0.739</w:t>
            </w:r>
          </w:p>
        </w:tc>
        <w:tc>
          <w:tcPr>
            <w:tcW w:w="860" w:type="dxa"/>
            <w:vAlign w:val="center"/>
            <w:hideMark/>
          </w:tcPr>
          <w:p w14:paraId="7732492A" w14:textId="77777777" w:rsidR="001B0794" w:rsidRPr="00A840BC" w:rsidRDefault="001B0794" w:rsidP="002E3784">
            <w:pPr>
              <w:jc w:val="center"/>
              <w:rPr>
                <w:rFonts w:ascii="Arial" w:hAnsi="Arial" w:cs="Arial"/>
                <w:color w:val="000000" w:themeColor="text1"/>
              </w:rPr>
            </w:pPr>
          </w:p>
        </w:tc>
        <w:tc>
          <w:tcPr>
            <w:tcW w:w="860" w:type="dxa"/>
            <w:noWrap/>
            <w:vAlign w:val="center"/>
            <w:hideMark/>
          </w:tcPr>
          <w:p w14:paraId="79F10410" w14:textId="77777777" w:rsidR="001B0794" w:rsidRPr="00A840BC" w:rsidRDefault="001B0794" w:rsidP="002E3784">
            <w:pPr>
              <w:jc w:val="center"/>
              <w:rPr>
                <w:rFonts w:ascii="Arial" w:hAnsi="Arial" w:cs="Arial"/>
                <w:color w:val="000000" w:themeColor="text1"/>
              </w:rPr>
            </w:pPr>
          </w:p>
        </w:tc>
        <w:tc>
          <w:tcPr>
            <w:tcW w:w="1222" w:type="dxa"/>
            <w:noWrap/>
            <w:vAlign w:val="center"/>
            <w:hideMark/>
          </w:tcPr>
          <w:p w14:paraId="2E35E209" w14:textId="77777777" w:rsidR="001B0794" w:rsidRPr="00A840BC" w:rsidRDefault="001B0794" w:rsidP="002E3784">
            <w:pPr>
              <w:jc w:val="center"/>
              <w:rPr>
                <w:rFonts w:ascii="Arial" w:hAnsi="Arial" w:cs="Arial"/>
                <w:color w:val="000000" w:themeColor="text1"/>
              </w:rPr>
            </w:pPr>
          </w:p>
        </w:tc>
        <w:tc>
          <w:tcPr>
            <w:tcW w:w="1172" w:type="dxa"/>
            <w:noWrap/>
            <w:vAlign w:val="center"/>
            <w:hideMark/>
          </w:tcPr>
          <w:p w14:paraId="642D2F49" w14:textId="77777777" w:rsidR="001B0794" w:rsidRPr="00A840BC" w:rsidRDefault="001B0794" w:rsidP="002E3784">
            <w:pPr>
              <w:jc w:val="center"/>
              <w:rPr>
                <w:rFonts w:ascii="Arial" w:hAnsi="Arial" w:cs="Arial"/>
                <w:color w:val="000000" w:themeColor="text1"/>
              </w:rPr>
            </w:pPr>
          </w:p>
        </w:tc>
      </w:tr>
      <w:tr w:rsidR="001B0794" w:rsidRPr="00A840BC" w14:paraId="26228D81" w14:textId="77777777" w:rsidTr="007A0D88">
        <w:trPr>
          <w:trHeight w:val="280"/>
          <w:jc w:val="center"/>
        </w:trPr>
        <w:tc>
          <w:tcPr>
            <w:tcW w:w="1027" w:type="dxa"/>
            <w:vAlign w:val="center"/>
            <w:hideMark/>
          </w:tcPr>
          <w:p w14:paraId="11BF2361" w14:textId="77777777"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lastRenderedPageBreak/>
              <w:t>Y5</w:t>
            </w:r>
          </w:p>
        </w:tc>
        <w:tc>
          <w:tcPr>
            <w:tcW w:w="2080" w:type="dxa"/>
            <w:noWrap/>
            <w:vAlign w:val="center"/>
            <w:hideMark/>
          </w:tcPr>
          <w:p w14:paraId="6CBCEC72" w14:textId="596DCCB1" w:rsidR="001B0794" w:rsidRPr="00A840BC" w:rsidRDefault="001B0794" w:rsidP="002E3784">
            <w:pPr>
              <w:jc w:val="center"/>
              <w:rPr>
                <w:rFonts w:ascii="Arial" w:hAnsi="Arial" w:cs="Arial"/>
                <w:color w:val="000000" w:themeColor="text1"/>
              </w:rPr>
            </w:pPr>
            <w:r w:rsidRPr="00A840BC">
              <w:rPr>
                <w:rFonts w:ascii="Arial" w:hAnsi="Arial" w:cs="Arial"/>
                <w:color w:val="000000" w:themeColor="text1"/>
              </w:rPr>
              <w:t>0.724</w:t>
            </w:r>
          </w:p>
        </w:tc>
        <w:tc>
          <w:tcPr>
            <w:tcW w:w="860" w:type="dxa"/>
            <w:vAlign w:val="center"/>
            <w:hideMark/>
          </w:tcPr>
          <w:p w14:paraId="26C7B1B3" w14:textId="46DEA12C" w:rsidR="001B0794" w:rsidRPr="00A840BC" w:rsidRDefault="001B0794" w:rsidP="002E3784">
            <w:pPr>
              <w:jc w:val="center"/>
              <w:rPr>
                <w:rFonts w:ascii="Arial" w:hAnsi="Arial" w:cs="Arial"/>
                <w:color w:val="000000" w:themeColor="text1"/>
              </w:rPr>
            </w:pPr>
          </w:p>
        </w:tc>
        <w:tc>
          <w:tcPr>
            <w:tcW w:w="860" w:type="dxa"/>
            <w:noWrap/>
            <w:vAlign w:val="center"/>
            <w:hideMark/>
          </w:tcPr>
          <w:p w14:paraId="48327260" w14:textId="65D9EBE6" w:rsidR="001B0794" w:rsidRPr="00A840BC" w:rsidRDefault="001B0794" w:rsidP="002E3784">
            <w:pPr>
              <w:jc w:val="center"/>
              <w:rPr>
                <w:rFonts w:ascii="Arial" w:hAnsi="Arial" w:cs="Arial"/>
                <w:color w:val="000000" w:themeColor="text1"/>
              </w:rPr>
            </w:pPr>
          </w:p>
        </w:tc>
        <w:tc>
          <w:tcPr>
            <w:tcW w:w="1222" w:type="dxa"/>
            <w:noWrap/>
            <w:vAlign w:val="center"/>
            <w:hideMark/>
          </w:tcPr>
          <w:p w14:paraId="525AB733" w14:textId="743BCB5D" w:rsidR="001B0794" w:rsidRPr="00A840BC" w:rsidRDefault="001B0794" w:rsidP="002E3784">
            <w:pPr>
              <w:jc w:val="center"/>
              <w:rPr>
                <w:rFonts w:ascii="Arial" w:hAnsi="Arial" w:cs="Arial"/>
                <w:color w:val="000000" w:themeColor="text1"/>
              </w:rPr>
            </w:pPr>
          </w:p>
        </w:tc>
        <w:tc>
          <w:tcPr>
            <w:tcW w:w="1172" w:type="dxa"/>
            <w:noWrap/>
            <w:vAlign w:val="center"/>
            <w:hideMark/>
          </w:tcPr>
          <w:p w14:paraId="7D32EFB2" w14:textId="34F5B5CF" w:rsidR="001B0794" w:rsidRPr="00A840BC" w:rsidRDefault="001B0794" w:rsidP="002E3784">
            <w:pPr>
              <w:jc w:val="center"/>
              <w:rPr>
                <w:rFonts w:ascii="Arial" w:hAnsi="Arial" w:cs="Arial"/>
                <w:color w:val="000000" w:themeColor="text1"/>
              </w:rPr>
            </w:pPr>
          </w:p>
        </w:tc>
      </w:tr>
    </w:tbl>
    <w:p w14:paraId="0001BB03" w14:textId="4DC80FF5" w:rsidR="00F44B7E" w:rsidRPr="00A840BC" w:rsidRDefault="00F44B7E" w:rsidP="002E3784">
      <w:pPr>
        <w:pStyle w:val="p1"/>
        <w:jc w:val="center"/>
        <w:rPr>
          <w:color w:val="000000" w:themeColor="text1"/>
        </w:rPr>
      </w:pPr>
      <w:r w:rsidRPr="00A840BC">
        <w:rPr>
          <w:i/>
          <w:iCs/>
          <w:color w:val="000000" w:themeColor="text1"/>
        </w:rPr>
        <w:t>Source: Compiled by the author based on the analy</w:t>
      </w:r>
      <w:r w:rsidR="00FC5106" w:rsidRPr="00A840BC">
        <w:rPr>
          <w:i/>
          <w:iCs/>
          <w:color w:val="000000" w:themeColor="text1"/>
        </w:rPr>
        <w:t>s</w:t>
      </w:r>
      <w:r w:rsidRPr="00A840BC">
        <w:rPr>
          <w:i/>
          <w:iCs/>
          <w:color w:val="000000" w:themeColor="text1"/>
        </w:rPr>
        <w:t>ed data</w:t>
      </w:r>
    </w:p>
    <w:p w14:paraId="7A9D4BA5" w14:textId="77777777" w:rsidR="008E0607" w:rsidRPr="00A840BC" w:rsidRDefault="008E0607" w:rsidP="002E3784">
      <w:pPr>
        <w:pStyle w:val="Body"/>
        <w:spacing w:after="0"/>
        <w:rPr>
          <w:rFonts w:ascii="Arial" w:hAnsi="Arial" w:cs="Arial"/>
          <w:b/>
          <w:color w:val="000000" w:themeColor="text1"/>
          <w:sz w:val="22"/>
        </w:rPr>
      </w:pPr>
    </w:p>
    <w:p w14:paraId="390B5075" w14:textId="6648D2B9" w:rsidR="00425E50" w:rsidRPr="00A840BC" w:rsidRDefault="00CA5BB4" w:rsidP="002E3784">
      <w:pPr>
        <w:pStyle w:val="Body"/>
        <w:spacing w:after="0"/>
        <w:rPr>
          <w:rFonts w:ascii="Arial" w:hAnsi="Arial" w:cs="Arial"/>
          <w:b/>
          <w:color w:val="000000" w:themeColor="text1"/>
          <w:sz w:val="22"/>
        </w:rPr>
      </w:pPr>
      <w:r w:rsidRPr="00A840BC">
        <w:rPr>
          <w:rFonts w:ascii="Arial" w:hAnsi="Arial" w:cs="Arial"/>
          <w:b/>
          <w:caps/>
          <w:color w:val="000000" w:themeColor="text1"/>
          <w:sz w:val="22"/>
        </w:rPr>
        <w:t>4</w:t>
      </w:r>
      <w:r w:rsidR="008E0607" w:rsidRPr="00A840BC">
        <w:rPr>
          <w:rFonts w:ascii="Arial" w:hAnsi="Arial" w:cs="Arial"/>
          <w:b/>
          <w:caps/>
          <w:color w:val="000000" w:themeColor="text1"/>
          <w:sz w:val="22"/>
        </w:rPr>
        <w:t>.</w:t>
      </w:r>
      <w:r w:rsidR="001766EA" w:rsidRPr="00A840BC">
        <w:rPr>
          <w:rFonts w:ascii="Arial" w:hAnsi="Arial" w:cs="Arial"/>
          <w:b/>
          <w:caps/>
          <w:color w:val="000000" w:themeColor="text1"/>
          <w:sz w:val="22"/>
        </w:rPr>
        <w:t>4</w:t>
      </w:r>
      <w:r w:rsidR="008E0607" w:rsidRPr="00A840BC">
        <w:rPr>
          <w:rFonts w:ascii="Arial" w:hAnsi="Arial" w:cs="Arial"/>
          <w:b/>
          <w:caps/>
          <w:color w:val="000000" w:themeColor="text1"/>
          <w:sz w:val="22"/>
        </w:rPr>
        <w:t xml:space="preserve"> </w:t>
      </w:r>
      <w:r w:rsidR="00095E17" w:rsidRPr="00A840BC">
        <w:rPr>
          <w:rFonts w:ascii="Arial" w:hAnsi="Arial" w:cs="Arial"/>
          <w:b/>
          <w:color w:val="000000" w:themeColor="text1"/>
          <w:sz w:val="22"/>
        </w:rPr>
        <w:t>Structural Model Evaluation (Inner Model) and Hypothesis Testing</w:t>
      </w:r>
    </w:p>
    <w:p w14:paraId="336B45F3" w14:textId="77777777" w:rsidR="006D3D3F" w:rsidRPr="00A840BC" w:rsidRDefault="006D3D3F" w:rsidP="002E3784">
      <w:pPr>
        <w:pStyle w:val="Body"/>
        <w:spacing w:after="0"/>
        <w:rPr>
          <w:rFonts w:ascii="Arial" w:hAnsi="Arial" w:cs="Arial"/>
          <w:b/>
          <w:color w:val="000000" w:themeColor="text1"/>
          <w:sz w:val="22"/>
        </w:rPr>
      </w:pPr>
    </w:p>
    <w:p w14:paraId="0712E93D" w14:textId="198A073B" w:rsidR="00E25E46" w:rsidRPr="00A840BC" w:rsidRDefault="00B8164A" w:rsidP="002E3784">
      <w:pPr>
        <w:pStyle w:val="Body"/>
        <w:rPr>
          <w:rFonts w:ascii="Arial" w:hAnsi="Arial" w:cs="Arial"/>
          <w:color w:val="000000" w:themeColor="text1"/>
        </w:rPr>
      </w:pPr>
      <w:r w:rsidRPr="00A840BC">
        <w:rPr>
          <w:rFonts w:ascii="Arial" w:hAnsi="Arial" w:cs="Arial"/>
          <w:color w:val="000000" w:themeColor="text1"/>
        </w:rPr>
        <w:t>The s</w:t>
      </w:r>
      <w:r w:rsidR="00E25E46" w:rsidRPr="00A840BC">
        <w:rPr>
          <w:rFonts w:ascii="Arial" w:hAnsi="Arial" w:cs="Arial"/>
          <w:color w:val="000000" w:themeColor="text1"/>
        </w:rPr>
        <w:t>tructural framework was analyzed to evaluate collinearity, the ability to predict outcomes, and the significance of the connections among different variables</w:t>
      </w:r>
      <w:r w:rsidR="00CF556C" w:rsidRPr="00A840BC">
        <w:rPr>
          <w:rFonts w:ascii="Arial" w:hAnsi="Arial" w:cs="Arial"/>
          <w:color w:val="000000" w:themeColor="text1"/>
        </w:rPr>
        <w:t xml:space="preserve"> in Table 7</w:t>
      </w:r>
      <w:r w:rsidR="00E25E46" w:rsidRPr="00A840BC">
        <w:rPr>
          <w:rFonts w:ascii="Arial" w:hAnsi="Arial" w:cs="Arial"/>
          <w:color w:val="000000" w:themeColor="text1"/>
        </w:rPr>
        <w:t xml:space="preserve">. Initially, the collinearity assessment resulted in Variance Inflation Factor (VIF) scores of 1.105 for each predictor, which is considerably lower than the cut-off of 5 (and the more stringent cut-off of 3), indicating that there are no multicollinearity concerns within the model. </w:t>
      </w:r>
    </w:p>
    <w:p w14:paraId="099499A2" w14:textId="7570CBC7" w:rsidR="00E25E46" w:rsidRPr="00A840BC" w:rsidRDefault="00E25E46" w:rsidP="007838E5">
      <w:pPr>
        <w:pStyle w:val="Body"/>
        <w:rPr>
          <w:rFonts w:ascii="Arial" w:hAnsi="Arial" w:cs="Arial"/>
          <w:color w:val="000000" w:themeColor="text1"/>
        </w:rPr>
      </w:pPr>
      <w:r w:rsidRPr="00A840BC">
        <w:rPr>
          <w:rFonts w:ascii="Arial" w:hAnsi="Arial" w:cs="Arial"/>
          <w:color w:val="000000" w:themeColor="text1"/>
        </w:rPr>
        <w:t xml:space="preserve">Next, the model's predictive capability was measured through the Adjusted R-Square </w:t>
      </w:r>
      <w:r w:rsidR="00C0428E" w:rsidRPr="00A840BC">
        <w:rPr>
          <w:rFonts w:ascii="Arial" w:eastAsia="Calibri" w:hAnsi="Arial" w:cs="Arial"/>
          <w:color w:val="000000" w:themeColor="text1"/>
        </w:rPr>
        <w:t>(</w:t>
      </w:r>
      <m:oMath>
        <m:sSup>
          <m:sSupPr>
            <m:ctrlPr>
              <w:rPr>
                <w:rFonts w:ascii="Cambria Math" w:eastAsia="Calibri" w:hAnsi="Cambria Math" w:cs="Arial"/>
                <w:i/>
                <w:color w:val="000000" w:themeColor="text1"/>
              </w:rPr>
            </m:ctrlPr>
          </m:sSupPr>
          <m:e>
            <m:r>
              <w:rPr>
                <w:rFonts w:ascii="Cambria Math" w:eastAsia="Calibri" w:hAnsi="Cambria Math" w:cs="Arial"/>
                <w:color w:val="000000" w:themeColor="text1"/>
              </w:rPr>
              <m:t>R</m:t>
            </m:r>
          </m:e>
          <m:sup>
            <m:r>
              <w:rPr>
                <w:rFonts w:ascii="Cambria Math" w:eastAsia="Calibri" w:hAnsi="Cambria Math" w:cs="Arial"/>
                <w:color w:val="000000" w:themeColor="text1"/>
              </w:rPr>
              <m:t>2</m:t>
            </m:r>
          </m:sup>
        </m:sSup>
      </m:oMath>
      <w:r w:rsidR="00C0428E" w:rsidRPr="00A840BC">
        <w:rPr>
          <w:rFonts w:ascii="Arial" w:eastAsia="Calibri" w:hAnsi="Arial" w:cs="Arial"/>
          <w:color w:val="000000" w:themeColor="text1"/>
        </w:rPr>
        <w:t>)</w:t>
      </w:r>
      <w:r w:rsidR="002B4A94" w:rsidRPr="00A840BC">
        <w:rPr>
          <w:rFonts w:ascii="Arial" w:eastAsia="Calibri" w:hAnsi="Arial" w:cs="Arial"/>
          <w:color w:val="000000" w:themeColor="text1"/>
        </w:rPr>
        <w:t xml:space="preserve"> </w:t>
      </w:r>
      <w:r w:rsidRPr="00A840BC">
        <w:rPr>
          <w:rFonts w:ascii="Arial" w:hAnsi="Arial" w:cs="Arial"/>
          <w:color w:val="000000" w:themeColor="text1"/>
        </w:rPr>
        <w:t xml:space="preserve">and Q-Square </w:t>
      </w:r>
      <w:r w:rsidR="00C0428E" w:rsidRPr="00A840BC">
        <w:rPr>
          <w:rFonts w:ascii="Arial" w:eastAsia="Calibri" w:hAnsi="Arial" w:cs="Arial"/>
          <w:color w:val="000000" w:themeColor="text1"/>
        </w:rPr>
        <w:t>(</w:t>
      </w:r>
      <m:oMath>
        <m:sSup>
          <m:sSupPr>
            <m:ctrlPr>
              <w:rPr>
                <w:rFonts w:ascii="Cambria Math" w:eastAsia="Calibri" w:hAnsi="Cambria Math" w:cs="Arial"/>
                <w:i/>
                <w:color w:val="000000" w:themeColor="text1"/>
              </w:rPr>
            </m:ctrlPr>
          </m:sSupPr>
          <m:e>
            <m:r>
              <w:rPr>
                <w:rFonts w:ascii="Cambria Math" w:eastAsia="Calibri" w:hAnsi="Cambria Math" w:cs="Arial"/>
                <w:color w:val="000000" w:themeColor="text1"/>
              </w:rPr>
              <m:t>Q</m:t>
            </m:r>
          </m:e>
          <m:sup>
            <m:r>
              <w:rPr>
                <w:rFonts w:ascii="Cambria Math" w:eastAsia="Calibri" w:hAnsi="Cambria Math" w:cs="Arial"/>
                <w:color w:val="000000" w:themeColor="text1"/>
              </w:rPr>
              <m:t>2</m:t>
            </m:r>
          </m:sup>
        </m:sSup>
      </m:oMath>
      <w:r w:rsidR="00C0428E" w:rsidRPr="00A840BC">
        <w:rPr>
          <w:rFonts w:ascii="Arial" w:eastAsia="Calibri" w:hAnsi="Arial" w:cs="Arial"/>
          <w:color w:val="000000" w:themeColor="text1"/>
        </w:rPr>
        <w:t>)</w:t>
      </w:r>
      <w:r w:rsidRPr="00A840BC">
        <w:rPr>
          <w:rFonts w:ascii="Arial" w:hAnsi="Arial" w:cs="Arial"/>
          <w:color w:val="000000" w:themeColor="text1"/>
        </w:rPr>
        <w:t xml:space="preserve">. The findings reveal an Adjusted </w:t>
      </w:r>
      <w:r w:rsidR="00C0428E" w:rsidRPr="00A840BC">
        <w:rPr>
          <w:rFonts w:ascii="Arial" w:eastAsia="Calibri" w:hAnsi="Arial" w:cs="Arial"/>
          <w:color w:val="000000" w:themeColor="text1"/>
        </w:rPr>
        <w:t>(</w:t>
      </w:r>
      <m:oMath>
        <m:sSup>
          <m:sSupPr>
            <m:ctrlPr>
              <w:rPr>
                <w:rFonts w:ascii="Cambria Math" w:eastAsia="Calibri" w:hAnsi="Cambria Math" w:cs="Arial"/>
                <w:i/>
                <w:color w:val="000000" w:themeColor="text1"/>
              </w:rPr>
            </m:ctrlPr>
          </m:sSupPr>
          <m:e>
            <m:r>
              <w:rPr>
                <w:rFonts w:ascii="Cambria Math" w:eastAsia="Calibri" w:hAnsi="Cambria Math" w:cs="Arial"/>
                <w:color w:val="000000" w:themeColor="text1"/>
              </w:rPr>
              <m:t>R</m:t>
            </m:r>
          </m:e>
          <m:sup>
            <m:r>
              <w:rPr>
                <w:rFonts w:ascii="Cambria Math" w:eastAsia="Calibri" w:hAnsi="Cambria Math" w:cs="Arial"/>
                <w:color w:val="000000" w:themeColor="text1"/>
              </w:rPr>
              <m:t>2</m:t>
            </m:r>
          </m:sup>
        </m:sSup>
      </m:oMath>
      <w:r w:rsidR="00C0428E" w:rsidRPr="00A840BC">
        <w:rPr>
          <w:rFonts w:ascii="Arial" w:eastAsia="Calibri" w:hAnsi="Arial" w:cs="Arial"/>
          <w:color w:val="000000" w:themeColor="text1"/>
        </w:rPr>
        <w:t>)</w:t>
      </w:r>
      <w:r w:rsidRPr="00A840BC">
        <w:rPr>
          <w:rFonts w:ascii="Arial" w:hAnsi="Arial" w:cs="Arial"/>
          <w:color w:val="000000" w:themeColor="text1"/>
        </w:rPr>
        <w:t xml:space="preserve"> of 0.246, </w:t>
      </w:r>
      <w:r w:rsidR="007838E5" w:rsidRPr="00A840BC">
        <w:rPr>
          <w:rFonts w:ascii="Arial" w:hAnsi="Arial" w:cs="Arial"/>
          <w:color w:val="000000" w:themeColor="text1"/>
        </w:rPr>
        <w:t xml:space="preserve">The findings reveal an Adjusted </w:t>
      </w:r>
      <w:r w:rsidR="007838E5" w:rsidRPr="00A840BC">
        <w:rPr>
          <w:rFonts w:ascii="Arial" w:eastAsia="Calibri" w:hAnsi="Arial" w:cs="Arial"/>
          <w:color w:val="000000" w:themeColor="text1"/>
        </w:rPr>
        <w:t>(</w:t>
      </w:r>
      <m:oMath>
        <m:sSup>
          <m:sSupPr>
            <m:ctrlPr>
              <w:rPr>
                <w:rFonts w:ascii="Cambria Math" w:eastAsia="Calibri" w:hAnsi="Cambria Math" w:cs="Arial"/>
                <w:i/>
                <w:color w:val="000000" w:themeColor="text1"/>
              </w:rPr>
            </m:ctrlPr>
          </m:sSupPr>
          <m:e>
            <m:r>
              <w:rPr>
                <w:rFonts w:ascii="Cambria Math" w:eastAsia="Calibri" w:hAnsi="Cambria Math" w:cs="Arial"/>
                <w:color w:val="000000" w:themeColor="text1"/>
              </w:rPr>
              <m:t>R</m:t>
            </m:r>
          </m:e>
          <m:sup>
            <m:r>
              <w:rPr>
                <w:rFonts w:ascii="Cambria Math" w:eastAsia="Calibri" w:hAnsi="Cambria Math" w:cs="Arial"/>
                <w:color w:val="000000" w:themeColor="text1"/>
              </w:rPr>
              <m:t>2</m:t>
            </m:r>
          </m:sup>
        </m:sSup>
      </m:oMath>
      <w:r w:rsidR="007838E5" w:rsidRPr="00A840BC">
        <w:rPr>
          <w:rFonts w:ascii="Arial" w:eastAsia="Calibri" w:hAnsi="Arial" w:cs="Arial"/>
          <w:color w:val="000000" w:themeColor="text1"/>
        </w:rPr>
        <w:t>)</w:t>
      </w:r>
      <w:r w:rsidR="0022282F" w:rsidRPr="00A840BC">
        <w:rPr>
          <w:rFonts w:ascii="Arial" w:hAnsi="Arial" w:cs="Arial"/>
          <w:color w:val="000000" w:themeColor="text1"/>
        </w:rPr>
        <w:t xml:space="preserve"> </w:t>
      </w:r>
      <w:r w:rsidR="007838E5" w:rsidRPr="00A840BC">
        <w:rPr>
          <w:rFonts w:ascii="Arial" w:hAnsi="Arial" w:cs="Arial"/>
          <w:color w:val="000000" w:themeColor="text1"/>
        </w:rPr>
        <w:t>of 0.246, suggesting that Government Policy and Digital Financial Literacy moderately explain the variance in Digital Financial Inclusion (24.6%), while the remaining 75.4% is influenced by other factors not examined in this model.</w:t>
      </w:r>
      <w:r w:rsidRPr="00A840BC">
        <w:rPr>
          <w:rFonts w:ascii="Arial" w:hAnsi="Arial" w:cs="Arial"/>
          <w:color w:val="000000" w:themeColor="text1"/>
        </w:rPr>
        <w:t xml:space="preserve"> Additionally, the blindfolding technique resulted in predictive relevance </w:t>
      </w:r>
      <w:r w:rsidR="00C0428E" w:rsidRPr="00A840BC">
        <w:rPr>
          <w:rFonts w:ascii="Arial" w:eastAsia="Calibri" w:hAnsi="Arial" w:cs="Arial"/>
          <w:color w:val="000000" w:themeColor="text1"/>
        </w:rPr>
        <w:t>(</w:t>
      </w:r>
      <m:oMath>
        <m:sSup>
          <m:sSupPr>
            <m:ctrlPr>
              <w:rPr>
                <w:rFonts w:ascii="Cambria Math" w:eastAsia="Calibri" w:hAnsi="Cambria Math" w:cs="Arial"/>
                <w:i/>
                <w:color w:val="000000" w:themeColor="text1"/>
              </w:rPr>
            </m:ctrlPr>
          </m:sSupPr>
          <m:e>
            <m:r>
              <w:rPr>
                <w:rFonts w:ascii="Cambria Math" w:eastAsia="Calibri" w:hAnsi="Cambria Math" w:cs="Arial"/>
                <w:color w:val="000000" w:themeColor="text1"/>
              </w:rPr>
              <m:t>Q</m:t>
            </m:r>
          </m:e>
          <m:sup>
            <m:r>
              <w:rPr>
                <w:rFonts w:ascii="Cambria Math" w:eastAsia="Calibri" w:hAnsi="Cambria Math" w:cs="Arial"/>
                <w:color w:val="000000" w:themeColor="text1"/>
              </w:rPr>
              <m:t>2</m:t>
            </m:r>
          </m:sup>
        </m:sSup>
      </m:oMath>
      <w:r w:rsidR="00C0428E" w:rsidRPr="00A840BC">
        <w:rPr>
          <w:rFonts w:ascii="Arial" w:eastAsia="Calibri" w:hAnsi="Arial" w:cs="Arial"/>
          <w:color w:val="000000" w:themeColor="text1"/>
        </w:rPr>
        <w:t xml:space="preserve">) </w:t>
      </w:r>
      <w:r w:rsidRPr="00A840BC">
        <w:rPr>
          <w:rFonts w:ascii="Arial" w:hAnsi="Arial" w:cs="Arial"/>
          <w:color w:val="000000" w:themeColor="text1"/>
        </w:rPr>
        <w:t xml:space="preserve">values ranging from 0.107 to 0.170 (all &gt; 0), which corroborates that the model possesses sufficient predictive relevance for the dependent construct. </w:t>
      </w:r>
    </w:p>
    <w:p w14:paraId="0ABABB9F" w14:textId="5BEE3765" w:rsidR="00BC414D" w:rsidRPr="00A840BC" w:rsidRDefault="00E25E46" w:rsidP="002E3784">
      <w:pPr>
        <w:pStyle w:val="Body"/>
        <w:rPr>
          <w:rFonts w:ascii="Arial" w:hAnsi="Arial" w:cs="Arial"/>
          <w:color w:val="000000" w:themeColor="text1"/>
        </w:rPr>
      </w:pPr>
      <w:r w:rsidRPr="00A840BC">
        <w:rPr>
          <w:rFonts w:ascii="Arial" w:hAnsi="Arial" w:cs="Arial"/>
          <w:color w:val="000000" w:themeColor="text1"/>
        </w:rPr>
        <w:t xml:space="preserve">Lastly, </w:t>
      </w:r>
      <w:r w:rsidR="00C30AA0" w:rsidRPr="00A840BC">
        <w:rPr>
          <w:rFonts w:ascii="Arial" w:hAnsi="Arial" w:cs="Arial"/>
          <w:color w:val="000000" w:themeColor="text1"/>
        </w:rPr>
        <w:t xml:space="preserve">Table 8 </w:t>
      </w:r>
      <w:r w:rsidRPr="00A840BC">
        <w:rPr>
          <w:rFonts w:ascii="Arial" w:hAnsi="Arial" w:cs="Arial"/>
          <w:color w:val="000000" w:themeColor="text1"/>
        </w:rPr>
        <w:t xml:space="preserve">hypothesis testing was performed via bootstrapping to analyze the significance (T-statistics and P-values) and the level of influence </w:t>
      </w:r>
      <w:r w:rsidR="0021283E" w:rsidRPr="00A840BC">
        <w:rPr>
          <w:rFonts w:ascii="Arial" w:eastAsia="Calibri" w:hAnsi="Arial" w:cs="Arial"/>
          <w:color w:val="000000" w:themeColor="text1"/>
        </w:rPr>
        <w:t>(</w:t>
      </w:r>
      <m:oMath>
        <m:sSup>
          <m:sSupPr>
            <m:ctrlPr>
              <w:rPr>
                <w:rFonts w:ascii="Cambria Math" w:eastAsia="Calibri" w:hAnsi="Cambria Math" w:cs="Arial"/>
                <w:i/>
                <w:color w:val="000000" w:themeColor="text1"/>
              </w:rPr>
            </m:ctrlPr>
          </m:sSupPr>
          <m:e>
            <m:r>
              <w:rPr>
                <w:rFonts w:ascii="Cambria Math" w:eastAsia="Calibri" w:hAnsi="Cambria Math" w:cs="Arial"/>
                <w:color w:val="000000" w:themeColor="text1"/>
              </w:rPr>
              <m:t>f</m:t>
            </m:r>
          </m:e>
          <m:sup>
            <m:r>
              <w:rPr>
                <w:rFonts w:ascii="Cambria Math" w:eastAsia="Calibri" w:hAnsi="Cambria Math" w:cs="Arial"/>
                <w:color w:val="000000" w:themeColor="text1"/>
              </w:rPr>
              <m:t>2</m:t>
            </m:r>
          </m:sup>
        </m:sSup>
      </m:oMath>
      <w:r w:rsidR="0021283E" w:rsidRPr="00A840BC">
        <w:rPr>
          <w:rFonts w:ascii="Arial" w:eastAsia="Calibri" w:hAnsi="Arial" w:cs="Arial"/>
          <w:color w:val="000000" w:themeColor="text1"/>
        </w:rPr>
        <w:t>)</w:t>
      </w:r>
      <w:r w:rsidRPr="00A840BC">
        <w:rPr>
          <w:rFonts w:ascii="Arial" w:hAnsi="Arial" w:cs="Arial"/>
          <w:color w:val="000000" w:themeColor="text1"/>
        </w:rPr>
        <w:t>. As shown in the summary tables, Government Policy (H1) has a positive and significant impact on inclusion (T</w:t>
      </w:r>
      <w:r w:rsidR="00143C78" w:rsidRPr="00A840BC">
        <w:rPr>
          <w:rFonts w:ascii="Arial" w:hAnsi="Arial" w:cs="Arial"/>
          <w:color w:val="000000" w:themeColor="text1"/>
        </w:rPr>
        <w:t xml:space="preserve"> </w:t>
      </w:r>
      <w:r w:rsidRPr="00A840BC">
        <w:rPr>
          <w:rFonts w:ascii="Arial" w:hAnsi="Arial" w:cs="Arial"/>
          <w:color w:val="000000" w:themeColor="text1"/>
        </w:rPr>
        <w:t>=</w:t>
      </w:r>
      <w:r w:rsidR="00143C78" w:rsidRPr="00A840BC">
        <w:rPr>
          <w:rFonts w:ascii="Arial" w:hAnsi="Arial" w:cs="Arial"/>
          <w:color w:val="000000" w:themeColor="text1"/>
        </w:rPr>
        <w:t xml:space="preserve"> </w:t>
      </w:r>
      <w:r w:rsidRPr="00A840BC">
        <w:rPr>
          <w:rFonts w:ascii="Arial" w:hAnsi="Arial" w:cs="Arial"/>
          <w:color w:val="000000" w:themeColor="text1"/>
        </w:rPr>
        <w:t xml:space="preserve">2.236, </w:t>
      </w:r>
      <w:r w:rsidR="00C0428E" w:rsidRPr="00A840BC">
        <w:rPr>
          <w:rFonts w:ascii="Arial" w:hAnsi="Arial" w:cs="Arial"/>
          <w:i/>
          <w:iCs/>
          <w:color w:val="000000" w:themeColor="text1"/>
        </w:rPr>
        <w:t>P</w:t>
      </w:r>
      <w:r w:rsidR="00143C78" w:rsidRPr="00A840BC">
        <w:rPr>
          <w:rFonts w:ascii="Arial" w:hAnsi="Arial" w:cs="Arial"/>
          <w:i/>
          <w:iCs/>
          <w:color w:val="000000" w:themeColor="text1"/>
        </w:rPr>
        <w:t xml:space="preserve"> </w:t>
      </w:r>
      <w:r w:rsidR="00C0428E" w:rsidRPr="00A840BC">
        <w:rPr>
          <w:rFonts w:ascii="Arial" w:hAnsi="Arial" w:cs="Arial"/>
          <w:i/>
          <w:iCs/>
          <w:color w:val="000000" w:themeColor="text1"/>
        </w:rPr>
        <w:t>=</w:t>
      </w:r>
      <w:r w:rsidR="00143C78" w:rsidRPr="00A840BC">
        <w:rPr>
          <w:rFonts w:ascii="Arial" w:hAnsi="Arial" w:cs="Arial"/>
          <w:color w:val="000000" w:themeColor="text1"/>
        </w:rPr>
        <w:t xml:space="preserve"> </w:t>
      </w:r>
      <w:r w:rsidRPr="00A840BC">
        <w:rPr>
          <w:rFonts w:ascii="Arial" w:hAnsi="Arial" w:cs="Arial"/>
          <w:color w:val="000000" w:themeColor="text1"/>
        </w:rPr>
        <w:t xml:space="preserve">.025). However, following </w:t>
      </w:r>
      <w:r w:rsidR="003125ED" w:rsidRPr="00A840BC">
        <w:rPr>
          <w:rFonts w:ascii="Arial" w:hAnsi="Arial" w:cs="Arial"/>
          <w:color w:val="000000" w:themeColor="text1"/>
        </w:rPr>
        <w:fldChar w:fldCharType="begin" w:fldLock="1"/>
      </w:r>
      <w:r w:rsidR="00CC4F27" w:rsidRPr="00A840BC">
        <w:rPr>
          <w:rFonts w:ascii="Arial" w:hAnsi="Arial" w:cs="Arial"/>
          <w:color w:val="000000" w:themeColor="text1"/>
        </w:rPr>
        <w:instrText xml:space="preserve"> ADDIN ZOTERO_ITEM CSL_CITATION {"citationID":"iqsBZaxb","properties":{"formattedCitation":"(Cohen, 1992)","plainCitation":"(Cohen, 1992)","noteIndex":0},"citationItems":[{"id":"A3GAWW6d/XHiapSG2","uris":["http://www.mendeley.com/documents/?uuid=f6cf3a2a-72af-434c-93ab-b037dcf3655e"],"itemData":{"DOI":"10.1037/0033-2909.112.1.155","author":[{"dropping-particle":"","family":"Cohen","given":"Jacob","non-dropping-particle":"","parse-names":false,"suffix":""}],"id":"ITEM-1","issue":"I","issued":{"date-parts":[["1992"]]},"page":"155-159","title":"QUANTITATIVE METHODS IN PSYCHOLOGY A Power Primer","type":"article-journal","volume":"112"}}],"schema":"https://github.com/citation-style-language/schema/raw/master/csl-citation.json"} </w:instrText>
      </w:r>
      <w:r w:rsidR="003125ED" w:rsidRPr="00A840BC">
        <w:rPr>
          <w:rFonts w:ascii="Arial" w:hAnsi="Arial" w:cs="Arial"/>
          <w:color w:val="000000" w:themeColor="text1"/>
        </w:rPr>
        <w:fldChar w:fldCharType="separate"/>
      </w:r>
      <w:r w:rsidR="00CC4F27" w:rsidRPr="00A840BC">
        <w:rPr>
          <w:rFonts w:ascii="Arial" w:hAnsi="Arial" w:cs="Arial"/>
          <w:noProof/>
          <w:color w:val="000000" w:themeColor="text1"/>
        </w:rPr>
        <w:t>(Cohen, 1992)</w:t>
      </w:r>
      <w:r w:rsidR="003125ED" w:rsidRPr="00A840BC">
        <w:rPr>
          <w:rFonts w:ascii="Arial" w:hAnsi="Arial" w:cs="Arial"/>
          <w:color w:val="000000" w:themeColor="text1"/>
        </w:rPr>
        <w:fldChar w:fldCharType="end"/>
      </w:r>
      <w:r w:rsidRPr="00A840BC">
        <w:rPr>
          <w:rFonts w:ascii="Arial" w:hAnsi="Arial" w:cs="Arial"/>
          <w:color w:val="000000" w:themeColor="text1"/>
        </w:rPr>
        <w:t xml:space="preserve"> criteria, the effect size is deemed small (</w:t>
      </w:r>
      <m:oMath>
        <m:sSup>
          <m:sSupPr>
            <m:ctrlPr>
              <w:rPr>
                <w:rFonts w:ascii="Cambria Math" w:eastAsia="Calibri" w:hAnsi="Cambria Math" w:cs="Arial"/>
                <w:i/>
                <w:color w:val="000000" w:themeColor="text1"/>
              </w:rPr>
            </m:ctrlPr>
          </m:sSupPr>
          <m:e>
            <m:r>
              <w:rPr>
                <w:rFonts w:ascii="Cambria Math" w:eastAsia="Calibri" w:hAnsi="Cambria Math" w:cs="Arial"/>
                <w:color w:val="000000" w:themeColor="text1"/>
              </w:rPr>
              <m:t>f</m:t>
            </m:r>
          </m:e>
          <m:sup>
            <m:r>
              <w:rPr>
                <w:rFonts w:ascii="Cambria Math" w:eastAsia="Calibri" w:hAnsi="Cambria Math" w:cs="Arial"/>
                <w:color w:val="000000" w:themeColor="text1"/>
              </w:rPr>
              <m:t>2</m:t>
            </m:r>
          </m:sup>
        </m:sSup>
      </m:oMath>
      <w:r w:rsidRPr="00A840BC">
        <w:rPr>
          <w:rFonts w:ascii="Arial" w:hAnsi="Arial" w:cs="Arial"/>
          <w:color w:val="000000" w:themeColor="text1"/>
        </w:rPr>
        <w:t>=</w:t>
      </w:r>
      <w:r w:rsidR="00143C78" w:rsidRPr="00A840BC">
        <w:rPr>
          <w:rFonts w:ascii="Arial" w:hAnsi="Arial" w:cs="Arial"/>
          <w:color w:val="000000" w:themeColor="text1"/>
        </w:rPr>
        <w:t xml:space="preserve"> </w:t>
      </w:r>
      <w:r w:rsidRPr="00A840BC">
        <w:rPr>
          <w:rFonts w:ascii="Arial" w:hAnsi="Arial" w:cs="Arial"/>
          <w:color w:val="000000" w:themeColor="text1"/>
        </w:rPr>
        <w:t>0.067). Meanwhile, Digital Financial Literacy (H2) also shows a positive and significant influence (T</w:t>
      </w:r>
      <w:r w:rsidR="00143C78" w:rsidRPr="00A840BC">
        <w:rPr>
          <w:rFonts w:ascii="Arial" w:hAnsi="Arial" w:cs="Arial"/>
          <w:color w:val="000000" w:themeColor="text1"/>
        </w:rPr>
        <w:t xml:space="preserve"> </w:t>
      </w:r>
      <w:r w:rsidRPr="00A840BC">
        <w:rPr>
          <w:rFonts w:ascii="Arial" w:hAnsi="Arial" w:cs="Arial"/>
          <w:color w:val="000000" w:themeColor="text1"/>
        </w:rPr>
        <w:t>=</w:t>
      </w:r>
      <w:r w:rsidR="00143C78" w:rsidRPr="00A840BC">
        <w:rPr>
          <w:rFonts w:ascii="Arial" w:hAnsi="Arial" w:cs="Arial"/>
          <w:color w:val="000000" w:themeColor="text1"/>
        </w:rPr>
        <w:t xml:space="preserve"> </w:t>
      </w:r>
      <w:r w:rsidRPr="00A840BC">
        <w:rPr>
          <w:rFonts w:ascii="Arial" w:hAnsi="Arial" w:cs="Arial"/>
          <w:color w:val="000000" w:themeColor="text1"/>
        </w:rPr>
        <w:t xml:space="preserve">3.311, </w:t>
      </w:r>
      <w:r w:rsidR="00C0428E" w:rsidRPr="00A840BC">
        <w:rPr>
          <w:rFonts w:ascii="Arial" w:hAnsi="Arial" w:cs="Arial"/>
          <w:i/>
          <w:iCs/>
          <w:color w:val="000000" w:themeColor="text1"/>
        </w:rPr>
        <w:t>P</w:t>
      </w:r>
      <w:r w:rsidR="00143C78" w:rsidRPr="00A840BC">
        <w:rPr>
          <w:rFonts w:ascii="Arial" w:hAnsi="Arial" w:cs="Arial"/>
          <w:i/>
          <w:iCs/>
          <w:color w:val="000000" w:themeColor="text1"/>
        </w:rPr>
        <w:t xml:space="preserve"> </w:t>
      </w:r>
      <w:r w:rsidR="00C0428E" w:rsidRPr="00A840BC">
        <w:rPr>
          <w:rFonts w:ascii="Arial" w:hAnsi="Arial" w:cs="Arial"/>
          <w:i/>
          <w:iCs/>
          <w:color w:val="000000" w:themeColor="text1"/>
        </w:rPr>
        <w:t>=</w:t>
      </w:r>
      <w:r w:rsidR="00143C78" w:rsidRPr="00A840BC">
        <w:rPr>
          <w:rFonts w:ascii="Arial" w:hAnsi="Arial" w:cs="Arial"/>
          <w:color w:val="000000" w:themeColor="text1"/>
        </w:rPr>
        <w:t xml:space="preserve"> </w:t>
      </w:r>
      <w:r w:rsidRPr="00A840BC">
        <w:rPr>
          <w:rFonts w:ascii="Arial" w:hAnsi="Arial" w:cs="Arial"/>
          <w:color w:val="000000" w:themeColor="text1"/>
        </w:rPr>
        <w:t xml:space="preserve">.001), but with a higher magnitude, classified as a moderate effect </w:t>
      </w:r>
      <w:r w:rsidR="00D47037" w:rsidRPr="00A840BC">
        <w:rPr>
          <w:rFonts w:ascii="Arial" w:eastAsia="Calibri" w:hAnsi="Arial" w:cs="Arial"/>
          <w:color w:val="000000" w:themeColor="text1"/>
        </w:rPr>
        <w:t>(</w:t>
      </w:r>
      <m:oMath>
        <m:sSup>
          <m:sSupPr>
            <m:ctrlPr>
              <w:rPr>
                <w:rFonts w:ascii="Cambria Math" w:eastAsia="Calibri" w:hAnsi="Cambria Math" w:cs="Arial"/>
                <w:i/>
                <w:color w:val="000000" w:themeColor="text1"/>
              </w:rPr>
            </m:ctrlPr>
          </m:sSupPr>
          <m:e>
            <m:r>
              <w:rPr>
                <w:rFonts w:ascii="Cambria Math" w:eastAsia="Calibri" w:hAnsi="Cambria Math" w:cs="Arial"/>
                <w:color w:val="000000" w:themeColor="text1"/>
              </w:rPr>
              <m:t>f</m:t>
            </m:r>
          </m:e>
          <m:sup>
            <m:r>
              <w:rPr>
                <w:rFonts w:ascii="Cambria Math" w:eastAsia="Calibri" w:hAnsi="Cambria Math" w:cs="Arial"/>
                <w:color w:val="000000" w:themeColor="text1"/>
              </w:rPr>
              <m:t>2</m:t>
            </m:r>
          </m:sup>
        </m:sSup>
      </m:oMath>
      <w:r w:rsidRPr="00A840BC">
        <w:rPr>
          <w:rFonts w:ascii="Arial" w:hAnsi="Arial" w:cs="Arial"/>
          <w:color w:val="000000" w:themeColor="text1"/>
        </w:rPr>
        <w:t>=0.169). This illustrates that literacy serves as a stronger predictor of inclusion compared to policy.</w:t>
      </w:r>
      <w:r w:rsidR="00BC414D" w:rsidRPr="00A840BC">
        <w:rPr>
          <w:rFonts w:ascii="Arial" w:hAnsi="Arial" w:cs="Arial"/>
          <w:color w:val="000000" w:themeColor="text1"/>
        </w:rPr>
        <w:t xml:space="preserve"> </w:t>
      </w:r>
      <w:r w:rsidR="00502733" w:rsidRPr="00A840BC">
        <w:rPr>
          <w:rFonts w:ascii="Arial" w:hAnsi="Arial" w:cs="Arial"/>
          <w:color w:val="000000" w:themeColor="text1"/>
        </w:rPr>
        <w:t xml:space="preserve">In the meantime, Digital Financial Literacy (H2) shows a favorable and significant impact </w:t>
      </w:r>
      <w:r w:rsidR="007B0743" w:rsidRPr="00A840BC">
        <w:rPr>
          <w:rFonts w:ascii="Arial" w:hAnsi="Arial" w:cs="Arial"/>
          <w:color w:val="000000" w:themeColor="text1"/>
        </w:rPr>
        <w:t xml:space="preserve">(T = 3.311, </w:t>
      </w:r>
      <w:r w:rsidR="007B0743" w:rsidRPr="00A840BC">
        <w:rPr>
          <w:rFonts w:ascii="Arial" w:hAnsi="Arial" w:cs="Arial"/>
          <w:i/>
          <w:iCs/>
          <w:color w:val="000000" w:themeColor="text1"/>
        </w:rPr>
        <w:t>P =</w:t>
      </w:r>
      <w:r w:rsidR="007B0743" w:rsidRPr="00A840BC">
        <w:rPr>
          <w:rFonts w:ascii="Arial" w:hAnsi="Arial" w:cs="Arial"/>
          <w:color w:val="000000" w:themeColor="text1"/>
        </w:rPr>
        <w:t xml:space="preserve"> .001), </w:t>
      </w:r>
      <w:r w:rsidR="00502733" w:rsidRPr="00A840BC">
        <w:rPr>
          <w:rFonts w:ascii="Arial" w:hAnsi="Arial" w:cs="Arial"/>
          <w:color w:val="000000" w:themeColor="text1"/>
        </w:rPr>
        <w:t xml:space="preserve">along with a moderate effect size </w:t>
      </w:r>
      <w:r w:rsidR="007B0743" w:rsidRPr="00A840BC">
        <w:rPr>
          <w:rFonts w:ascii="Arial" w:eastAsia="Calibri" w:hAnsi="Arial" w:cs="Arial"/>
          <w:color w:val="000000" w:themeColor="text1"/>
        </w:rPr>
        <w:t>(</w:t>
      </w:r>
      <m:oMath>
        <m:sSup>
          <m:sSupPr>
            <m:ctrlPr>
              <w:rPr>
                <w:rFonts w:ascii="Cambria Math" w:eastAsia="Calibri" w:hAnsi="Cambria Math" w:cs="Arial"/>
                <w:i/>
                <w:color w:val="000000" w:themeColor="text1"/>
              </w:rPr>
            </m:ctrlPr>
          </m:sSupPr>
          <m:e>
            <m:r>
              <w:rPr>
                <w:rFonts w:ascii="Cambria Math" w:eastAsia="Calibri" w:hAnsi="Cambria Math" w:cs="Arial"/>
                <w:color w:val="000000" w:themeColor="text1"/>
              </w:rPr>
              <m:t>f</m:t>
            </m:r>
          </m:e>
          <m:sup>
            <m:r>
              <w:rPr>
                <w:rFonts w:ascii="Cambria Math" w:eastAsia="Calibri" w:hAnsi="Cambria Math" w:cs="Arial"/>
                <w:color w:val="000000" w:themeColor="text1"/>
              </w:rPr>
              <m:t>2</m:t>
            </m:r>
          </m:sup>
        </m:sSup>
      </m:oMath>
      <w:r w:rsidR="007B0743" w:rsidRPr="00A840BC">
        <w:rPr>
          <w:rFonts w:ascii="Arial" w:hAnsi="Arial" w:cs="Arial"/>
          <w:color w:val="000000" w:themeColor="text1"/>
        </w:rPr>
        <w:t>=0.169)</w:t>
      </w:r>
      <w:r w:rsidR="00502733" w:rsidRPr="00A840BC">
        <w:rPr>
          <w:rFonts w:ascii="Arial" w:hAnsi="Arial" w:cs="Arial"/>
          <w:color w:val="000000" w:themeColor="text1"/>
        </w:rPr>
        <w:t>. Concerning the combined influence (H3), the calculation of the</w:t>
      </w:r>
      <w:r w:rsidR="00092D0B" w:rsidRPr="00A840BC">
        <w:rPr>
          <w:rFonts w:ascii="Arial" w:hAnsi="Arial" w:cs="Arial"/>
          <w:color w:val="000000" w:themeColor="text1"/>
        </w:rPr>
        <w:t xml:space="preserve"> </w:t>
      </w:r>
      <m:oMath>
        <m:sSub>
          <m:sSubPr>
            <m:ctrlPr>
              <w:rPr>
                <w:rFonts w:ascii="Cambria Math" w:eastAsia="Calibri" w:hAnsi="Cambria Math"/>
                <w:i/>
                <w:color w:val="000000" w:themeColor="text1"/>
              </w:rPr>
            </m:ctrlPr>
          </m:sSubPr>
          <m:e>
            <m:r>
              <w:rPr>
                <w:rFonts w:ascii="Cambria Math" w:eastAsia="Calibri" w:hAnsi="Cambria Math"/>
                <w:color w:val="000000" w:themeColor="text1"/>
              </w:rPr>
              <m:t>F</m:t>
            </m:r>
          </m:e>
          <m:sub>
            <m:r>
              <w:rPr>
                <w:rFonts w:ascii="Cambria Math" w:eastAsia="Calibri" w:hAnsi="Cambria Math"/>
                <w:color w:val="000000" w:themeColor="text1"/>
              </w:rPr>
              <m:t>statistic</m:t>
            </m:r>
          </m:sub>
        </m:sSub>
        <m:r>
          <w:rPr>
            <w:rFonts w:ascii="Cambria Math" w:eastAsia="Calibri" w:hAnsi="Cambria Math"/>
            <w:color w:val="000000" w:themeColor="text1"/>
          </w:rPr>
          <m:t xml:space="preserve"> </m:t>
        </m:r>
      </m:oMath>
      <w:r w:rsidR="00502733" w:rsidRPr="00A840BC">
        <w:rPr>
          <w:rFonts w:ascii="Arial" w:hAnsi="Arial" w:cs="Arial"/>
          <w:color w:val="000000" w:themeColor="text1"/>
        </w:rPr>
        <w:t xml:space="preserve"> resulted in a value of 62.34, surpassing the </w:t>
      </w:r>
      <m:oMath>
        <m:sSub>
          <m:sSubPr>
            <m:ctrlPr>
              <w:rPr>
                <w:rFonts w:ascii="Cambria Math" w:eastAsia="Calibri" w:hAnsi="Cambria Math"/>
                <w:i/>
                <w:color w:val="000000" w:themeColor="text1"/>
              </w:rPr>
            </m:ctrlPr>
          </m:sSubPr>
          <m:e>
            <m:r>
              <w:rPr>
                <w:rFonts w:ascii="Cambria Math" w:eastAsia="Calibri" w:hAnsi="Cambria Math"/>
                <w:color w:val="000000" w:themeColor="text1"/>
              </w:rPr>
              <m:t>F</m:t>
            </m:r>
          </m:e>
          <m:sub>
            <m:r>
              <w:rPr>
                <w:rFonts w:ascii="Cambria Math" w:eastAsia="Calibri" w:hAnsi="Cambria Math"/>
                <w:color w:val="000000" w:themeColor="text1"/>
              </w:rPr>
              <m:t>table</m:t>
            </m:r>
          </m:sub>
        </m:sSub>
      </m:oMath>
      <w:r w:rsidR="00092D0B" w:rsidRPr="00A840BC">
        <w:rPr>
          <w:rFonts w:ascii="Arial" w:eastAsia="Calibri" w:hAnsi="Arial" w:cs="Arial"/>
          <w:szCs w:val="22"/>
        </w:rPr>
        <w:t xml:space="preserve"> </w:t>
      </w:r>
      <w:r w:rsidR="00502733" w:rsidRPr="00A840BC">
        <w:rPr>
          <w:rFonts w:ascii="Arial" w:hAnsi="Arial" w:cs="Arial"/>
          <w:color w:val="000000" w:themeColor="text1"/>
        </w:rPr>
        <w:t xml:space="preserve"> limit of 3.02, thus validating a significant collective effect</w:t>
      </w:r>
      <w:r w:rsidR="00092D0B" w:rsidRPr="00A840BC">
        <w:rPr>
          <w:rFonts w:ascii="Arial" w:hAnsi="Arial" w:cs="Arial"/>
          <w:color w:val="000000" w:themeColor="text1"/>
        </w:rPr>
        <w:t>.</w:t>
      </w:r>
      <m:oMath>
        <m:r>
          <w:rPr>
            <w:rFonts w:ascii="Cambria Math" w:eastAsia="Calibri" w:hAnsi="Cambria Math"/>
            <w:color w:val="000000" w:themeColor="text1"/>
          </w:rPr>
          <m:t xml:space="preserve"> </m:t>
        </m:r>
      </m:oMath>
    </w:p>
    <w:p w14:paraId="0A3A7C82" w14:textId="558BFCD8" w:rsidR="0038789F" w:rsidRPr="00A840BC" w:rsidRDefault="0038789F" w:rsidP="002E3784">
      <w:pPr>
        <w:pStyle w:val="Body"/>
        <w:spacing w:after="0"/>
        <w:jc w:val="center"/>
        <w:rPr>
          <w:rFonts w:ascii="Arial" w:hAnsi="Arial" w:cs="Arial"/>
          <w:b/>
          <w:color w:val="000000" w:themeColor="text1"/>
          <w:szCs w:val="16"/>
        </w:rPr>
      </w:pPr>
      <w:r w:rsidRPr="00A840BC">
        <w:rPr>
          <w:rFonts w:ascii="Arial" w:hAnsi="Arial" w:cs="Arial"/>
          <w:b/>
          <w:color w:val="000000" w:themeColor="text1"/>
          <w:szCs w:val="16"/>
        </w:rPr>
        <w:t>Table 7.</w:t>
      </w:r>
      <w:r w:rsidRPr="00A840BC">
        <w:rPr>
          <w:rFonts w:ascii="Arial" w:hAnsi="Arial" w:cs="Arial"/>
          <w:color w:val="000000" w:themeColor="text1"/>
          <w:sz w:val="16"/>
          <w:szCs w:val="16"/>
        </w:rPr>
        <w:t xml:space="preserve"> </w:t>
      </w:r>
      <w:r w:rsidR="00273D7B" w:rsidRPr="00A840BC">
        <w:rPr>
          <w:rFonts w:ascii="Arial" w:hAnsi="Arial" w:cs="Arial"/>
          <w:b/>
          <w:color w:val="000000" w:themeColor="text1"/>
          <w:szCs w:val="16"/>
        </w:rPr>
        <w:t>Structural Model</w:t>
      </w:r>
    </w:p>
    <w:p w14:paraId="3349CA74" w14:textId="77777777" w:rsidR="0038789F" w:rsidRPr="00A840BC" w:rsidRDefault="0038789F" w:rsidP="002E3784">
      <w:pPr>
        <w:pStyle w:val="Body"/>
        <w:spacing w:after="0"/>
        <w:jc w:val="center"/>
        <w:rPr>
          <w:rFonts w:ascii="Arial" w:hAnsi="Arial" w:cs="Arial"/>
          <w:b/>
          <w:color w:val="000000" w:themeColor="text1"/>
          <w:szCs w:val="16"/>
        </w:rPr>
      </w:pPr>
    </w:p>
    <w:tbl>
      <w:tblPr>
        <w:tblStyle w:val="TableGridLight"/>
        <w:tblW w:w="4684" w:type="dxa"/>
        <w:jc w:val="center"/>
        <w:tblLook w:val="04A0" w:firstRow="1" w:lastRow="0" w:firstColumn="1" w:lastColumn="0" w:noHBand="0" w:noVBand="1"/>
      </w:tblPr>
      <w:tblGrid>
        <w:gridCol w:w="1555"/>
        <w:gridCol w:w="1134"/>
        <w:gridCol w:w="1134"/>
        <w:gridCol w:w="861"/>
      </w:tblGrid>
      <w:tr w:rsidR="00F66741" w:rsidRPr="00A840BC" w14:paraId="6F11D209" w14:textId="77777777" w:rsidTr="002B4A94">
        <w:trPr>
          <w:trHeight w:val="320"/>
          <w:jc w:val="center"/>
        </w:trPr>
        <w:tc>
          <w:tcPr>
            <w:tcW w:w="1555" w:type="dxa"/>
            <w:noWrap/>
            <w:vAlign w:val="center"/>
            <w:hideMark/>
          </w:tcPr>
          <w:p w14:paraId="50DE88DC" w14:textId="1938A584" w:rsidR="00F66741" w:rsidRPr="00A840BC" w:rsidRDefault="00F66741" w:rsidP="002E3784">
            <w:pPr>
              <w:jc w:val="center"/>
              <w:rPr>
                <w:rFonts w:ascii="Arial" w:hAnsi="Arial" w:cs="Arial"/>
                <w:b/>
                <w:bCs/>
                <w:color w:val="000000"/>
                <w:lang w:val="en-ID"/>
              </w:rPr>
            </w:pPr>
            <w:r w:rsidRPr="00A840BC">
              <w:rPr>
                <w:rFonts w:ascii="Arial" w:hAnsi="Arial" w:cs="Arial"/>
                <w:b/>
                <w:bCs/>
                <w:color w:val="000000"/>
                <w:lang w:val="en-ID"/>
              </w:rPr>
              <w:t>Dependent</w:t>
            </w:r>
          </w:p>
          <w:p w14:paraId="71E3C440" w14:textId="269F85D8" w:rsidR="00F66741" w:rsidRPr="00A840BC" w:rsidRDefault="00F66741" w:rsidP="002E3784">
            <w:pPr>
              <w:jc w:val="center"/>
              <w:rPr>
                <w:rFonts w:ascii="Arial" w:hAnsi="Arial" w:cs="Arial"/>
                <w:b/>
                <w:bCs/>
                <w:color w:val="000000"/>
                <w:lang w:val="en-ID"/>
              </w:rPr>
            </w:pPr>
            <w:r w:rsidRPr="00A840BC">
              <w:rPr>
                <w:rFonts w:ascii="Arial" w:hAnsi="Arial" w:cs="Arial"/>
                <w:b/>
                <w:bCs/>
                <w:color w:val="000000"/>
                <w:lang w:val="en-ID"/>
              </w:rPr>
              <w:t>Variable</w:t>
            </w:r>
          </w:p>
        </w:tc>
        <w:tc>
          <w:tcPr>
            <w:tcW w:w="1134" w:type="dxa"/>
            <w:noWrap/>
            <w:vAlign w:val="center"/>
            <w:hideMark/>
          </w:tcPr>
          <w:p w14:paraId="49ECC60F" w14:textId="77777777" w:rsidR="00F66741" w:rsidRPr="00A840BC" w:rsidRDefault="00F66741" w:rsidP="002E3784">
            <w:pPr>
              <w:jc w:val="center"/>
              <w:rPr>
                <w:rFonts w:ascii="Arial" w:hAnsi="Arial" w:cs="Arial"/>
                <w:b/>
                <w:bCs/>
                <w:color w:val="000000"/>
                <w:lang w:val="en-ID"/>
              </w:rPr>
            </w:pPr>
            <w:r w:rsidRPr="00A840BC">
              <w:rPr>
                <w:rFonts w:ascii="Arial" w:hAnsi="Arial" w:cs="Arial"/>
                <w:b/>
                <w:bCs/>
                <w:color w:val="000000"/>
                <w:lang w:val="en-ID"/>
              </w:rPr>
              <w:t>Adjusted R-Square</w:t>
            </w:r>
          </w:p>
        </w:tc>
        <w:tc>
          <w:tcPr>
            <w:tcW w:w="1134" w:type="dxa"/>
            <w:noWrap/>
            <w:vAlign w:val="center"/>
            <w:hideMark/>
          </w:tcPr>
          <w:p w14:paraId="1B76FC34" w14:textId="376CEFBB" w:rsidR="00F66741" w:rsidRPr="00A840BC" w:rsidRDefault="00F66741" w:rsidP="002E3784">
            <w:pPr>
              <w:jc w:val="center"/>
              <w:rPr>
                <w:rFonts w:ascii="Arial" w:hAnsi="Arial" w:cs="Arial"/>
                <w:b/>
                <w:bCs/>
                <w:color w:val="000000"/>
                <w:lang w:val="en-ID"/>
              </w:rPr>
            </w:pPr>
            <w:r w:rsidRPr="00A840BC">
              <w:rPr>
                <w:rFonts w:ascii="Arial" w:hAnsi="Arial" w:cs="Arial"/>
                <w:b/>
                <w:bCs/>
                <w:color w:val="000000"/>
                <w:lang w:val="en-ID"/>
              </w:rPr>
              <w:t xml:space="preserve">Q-Square </w:t>
            </w:r>
            <w:r w:rsidR="00C0428E" w:rsidRPr="00A840BC">
              <w:rPr>
                <w:rFonts w:ascii="Arial" w:eastAsia="Calibri" w:hAnsi="Arial" w:cs="Arial"/>
                <w:color w:val="000000" w:themeColor="text1"/>
              </w:rPr>
              <w:t>(</w:t>
            </w:r>
            <m:oMath>
              <m:sSup>
                <m:sSupPr>
                  <m:ctrlPr>
                    <w:rPr>
                      <w:rFonts w:ascii="Cambria Math" w:eastAsia="Calibri" w:hAnsi="Cambria Math" w:cs="Arial"/>
                      <w:i/>
                      <w:color w:val="000000" w:themeColor="text1"/>
                    </w:rPr>
                  </m:ctrlPr>
                </m:sSupPr>
                <m:e>
                  <m:r>
                    <w:rPr>
                      <w:rFonts w:ascii="Cambria Math" w:eastAsia="Calibri" w:hAnsi="Cambria Math" w:cs="Arial"/>
                      <w:color w:val="000000" w:themeColor="text1"/>
                    </w:rPr>
                    <m:t>Q</m:t>
                  </m:r>
                </m:e>
                <m:sup>
                  <m:r>
                    <w:rPr>
                      <w:rFonts w:ascii="Cambria Math" w:eastAsia="Calibri" w:hAnsi="Cambria Math" w:cs="Arial"/>
                      <w:color w:val="000000" w:themeColor="text1"/>
                    </w:rPr>
                    <m:t>2</m:t>
                  </m:r>
                </m:sup>
              </m:sSup>
            </m:oMath>
            <w:r w:rsidR="00C0428E" w:rsidRPr="00A840BC">
              <w:rPr>
                <w:rFonts w:ascii="Arial" w:eastAsia="Calibri" w:hAnsi="Arial" w:cs="Arial"/>
                <w:color w:val="000000" w:themeColor="text1"/>
              </w:rPr>
              <w:t>)</w:t>
            </w:r>
          </w:p>
        </w:tc>
        <w:tc>
          <w:tcPr>
            <w:tcW w:w="861" w:type="dxa"/>
            <w:noWrap/>
            <w:vAlign w:val="center"/>
            <w:hideMark/>
          </w:tcPr>
          <w:p w14:paraId="3EB606B2" w14:textId="77777777" w:rsidR="00F66741" w:rsidRPr="00A840BC" w:rsidRDefault="00F66741" w:rsidP="002E3784">
            <w:pPr>
              <w:jc w:val="center"/>
              <w:rPr>
                <w:rFonts w:ascii="Arial" w:hAnsi="Arial" w:cs="Arial"/>
                <w:b/>
                <w:bCs/>
                <w:color w:val="000000"/>
                <w:lang w:val="en-ID"/>
              </w:rPr>
            </w:pPr>
            <w:r w:rsidRPr="00A840BC">
              <w:rPr>
                <w:rFonts w:ascii="Arial" w:hAnsi="Arial" w:cs="Arial"/>
                <w:b/>
                <w:bCs/>
                <w:color w:val="000000"/>
                <w:lang w:val="en-ID"/>
              </w:rPr>
              <w:t>VIF (Inner Model)</w:t>
            </w:r>
          </w:p>
        </w:tc>
      </w:tr>
      <w:tr w:rsidR="00F66741" w:rsidRPr="00A840BC" w14:paraId="50CD74D1" w14:textId="77777777" w:rsidTr="002B4A94">
        <w:trPr>
          <w:trHeight w:val="360"/>
          <w:jc w:val="center"/>
        </w:trPr>
        <w:tc>
          <w:tcPr>
            <w:tcW w:w="1555" w:type="dxa"/>
            <w:noWrap/>
            <w:vAlign w:val="center"/>
            <w:hideMark/>
          </w:tcPr>
          <w:p w14:paraId="19B38581" w14:textId="77777777" w:rsidR="00F66741" w:rsidRPr="00A840BC" w:rsidRDefault="00F66741" w:rsidP="002E3784">
            <w:pPr>
              <w:jc w:val="center"/>
              <w:rPr>
                <w:rFonts w:ascii="Arial" w:hAnsi="Arial" w:cs="Arial"/>
                <w:b/>
                <w:bCs/>
                <w:color w:val="000000"/>
                <w:lang w:val="en-ID"/>
              </w:rPr>
            </w:pPr>
            <w:r w:rsidRPr="00A840BC">
              <w:rPr>
                <w:rFonts w:ascii="Arial" w:hAnsi="Arial" w:cs="Arial"/>
                <w:b/>
                <w:bCs/>
                <w:color w:val="000000"/>
                <w:lang w:val="en-ID"/>
              </w:rPr>
              <w:t>Digital Financial Inclusion (Y)</w:t>
            </w:r>
          </w:p>
        </w:tc>
        <w:tc>
          <w:tcPr>
            <w:tcW w:w="1134" w:type="dxa"/>
            <w:noWrap/>
            <w:vAlign w:val="center"/>
            <w:hideMark/>
          </w:tcPr>
          <w:p w14:paraId="17155E70" w14:textId="39845601" w:rsidR="00F66741" w:rsidRPr="00A840BC" w:rsidRDefault="00F66741" w:rsidP="002E3784">
            <w:pPr>
              <w:jc w:val="center"/>
              <w:rPr>
                <w:rFonts w:ascii="Arial" w:hAnsi="Arial" w:cs="Arial"/>
                <w:color w:val="000000"/>
                <w:lang w:val="en-ID"/>
              </w:rPr>
            </w:pPr>
            <w:r w:rsidRPr="00A840BC">
              <w:rPr>
                <w:rFonts w:ascii="Arial" w:hAnsi="Arial" w:cs="Arial"/>
                <w:color w:val="000000"/>
                <w:lang w:val="en-ID"/>
              </w:rPr>
              <w:t>0</w:t>
            </w:r>
            <w:r w:rsidR="007A0D88" w:rsidRPr="00A840BC">
              <w:rPr>
                <w:rFonts w:ascii="Arial" w:hAnsi="Arial" w:cs="Arial"/>
                <w:color w:val="000000"/>
                <w:lang w:val="en-ID"/>
              </w:rPr>
              <w:t>.</w:t>
            </w:r>
            <w:r w:rsidRPr="00A840BC">
              <w:rPr>
                <w:rFonts w:ascii="Arial" w:hAnsi="Arial" w:cs="Arial"/>
                <w:color w:val="000000"/>
                <w:lang w:val="en-ID"/>
              </w:rPr>
              <w:t>246</w:t>
            </w:r>
          </w:p>
        </w:tc>
        <w:tc>
          <w:tcPr>
            <w:tcW w:w="1134" w:type="dxa"/>
            <w:noWrap/>
            <w:vAlign w:val="center"/>
            <w:hideMark/>
          </w:tcPr>
          <w:p w14:paraId="29D4A77C" w14:textId="67C1E0FF" w:rsidR="00F66741" w:rsidRPr="00A840BC" w:rsidRDefault="00F66741" w:rsidP="002E3784">
            <w:pPr>
              <w:jc w:val="center"/>
              <w:rPr>
                <w:rFonts w:ascii="Arial" w:hAnsi="Arial" w:cs="Arial"/>
                <w:color w:val="000000"/>
                <w:lang w:val="en-ID"/>
              </w:rPr>
            </w:pPr>
            <w:r w:rsidRPr="00A840BC">
              <w:rPr>
                <w:rFonts w:ascii="Arial" w:hAnsi="Arial" w:cs="Arial"/>
                <w:color w:val="000000"/>
                <w:lang w:val="en-ID"/>
              </w:rPr>
              <w:t>0.107 - 0.170</w:t>
            </w:r>
          </w:p>
        </w:tc>
        <w:tc>
          <w:tcPr>
            <w:tcW w:w="861" w:type="dxa"/>
            <w:noWrap/>
            <w:vAlign w:val="center"/>
            <w:hideMark/>
          </w:tcPr>
          <w:p w14:paraId="5E2A0DBF" w14:textId="60AC5FA9" w:rsidR="00F66741" w:rsidRPr="00A840BC" w:rsidRDefault="00F66741" w:rsidP="002E3784">
            <w:pPr>
              <w:jc w:val="center"/>
              <w:rPr>
                <w:rFonts w:ascii="Arial" w:hAnsi="Arial" w:cs="Arial"/>
                <w:color w:val="000000"/>
                <w:lang w:val="en-ID"/>
              </w:rPr>
            </w:pPr>
            <w:r w:rsidRPr="00A840BC">
              <w:rPr>
                <w:rFonts w:ascii="Arial" w:hAnsi="Arial" w:cs="Arial"/>
                <w:color w:val="000000"/>
                <w:lang w:val="en-ID"/>
              </w:rPr>
              <w:t>1</w:t>
            </w:r>
            <w:r w:rsidR="007A0D88" w:rsidRPr="00A840BC">
              <w:rPr>
                <w:rFonts w:ascii="Arial" w:hAnsi="Arial" w:cs="Arial"/>
                <w:color w:val="000000"/>
                <w:lang w:val="en-ID"/>
              </w:rPr>
              <w:t>.</w:t>
            </w:r>
            <w:r w:rsidRPr="00A840BC">
              <w:rPr>
                <w:rFonts w:ascii="Arial" w:hAnsi="Arial" w:cs="Arial"/>
                <w:color w:val="000000"/>
                <w:lang w:val="en-ID"/>
              </w:rPr>
              <w:t>105</w:t>
            </w:r>
          </w:p>
        </w:tc>
      </w:tr>
    </w:tbl>
    <w:p w14:paraId="3CD75700" w14:textId="544F2F62" w:rsidR="00877B95" w:rsidRPr="00A840BC" w:rsidRDefault="00877B95" w:rsidP="002E3784">
      <w:pPr>
        <w:pStyle w:val="p1"/>
        <w:jc w:val="center"/>
        <w:rPr>
          <w:color w:val="000000" w:themeColor="text1"/>
        </w:rPr>
      </w:pPr>
      <w:r w:rsidRPr="00A840BC">
        <w:rPr>
          <w:i/>
          <w:iCs/>
          <w:color w:val="000000" w:themeColor="text1"/>
        </w:rPr>
        <w:t>Source: Compiled by the author based on the analy</w:t>
      </w:r>
      <w:r w:rsidR="005C3AD4" w:rsidRPr="00A840BC">
        <w:rPr>
          <w:i/>
          <w:iCs/>
          <w:color w:val="000000" w:themeColor="text1"/>
        </w:rPr>
        <w:t>s</w:t>
      </w:r>
      <w:r w:rsidRPr="00A840BC">
        <w:rPr>
          <w:i/>
          <w:iCs/>
          <w:color w:val="000000" w:themeColor="text1"/>
        </w:rPr>
        <w:t>ed data</w:t>
      </w:r>
    </w:p>
    <w:p w14:paraId="6A87C340" w14:textId="77777777" w:rsidR="000D69C5" w:rsidRPr="00A840BC" w:rsidRDefault="000D69C5" w:rsidP="002E3784">
      <w:pPr>
        <w:pStyle w:val="Body"/>
        <w:spacing w:after="0"/>
        <w:rPr>
          <w:rFonts w:ascii="Arial" w:hAnsi="Arial" w:cs="Arial"/>
          <w:color w:val="000000" w:themeColor="text1"/>
        </w:rPr>
      </w:pPr>
    </w:p>
    <w:p w14:paraId="331E6E45" w14:textId="77777777" w:rsidR="00440C20" w:rsidRPr="00A840BC" w:rsidRDefault="00440C20" w:rsidP="002E3784">
      <w:pPr>
        <w:pStyle w:val="Body"/>
        <w:spacing w:after="0"/>
        <w:rPr>
          <w:rFonts w:ascii="Arial" w:hAnsi="Arial" w:cs="Arial"/>
          <w:color w:val="000000" w:themeColor="text1"/>
        </w:rPr>
      </w:pPr>
    </w:p>
    <w:p w14:paraId="3805BAEC" w14:textId="321E5769" w:rsidR="00A02706" w:rsidRPr="00A840BC" w:rsidRDefault="00440C20" w:rsidP="002E3784">
      <w:pPr>
        <w:pStyle w:val="Body"/>
        <w:spacing w:after="0"/>
        <w:jc w:val="center"/>
        <w:rPr>
          <w:rFonts w:ascii="Arial" w:hAnsi="Arial" w:cs="Arial"/>
          <w:b/>
          <w:bCs/>
          <w:color w:val="000000" w:themeColor="text1"/>
        </w:rPr>
      </w:pPr>
      <w:r w:rsidRPr="00A840BC">
        <w:rPr>
          <w:rFonts w:ascii="Arial" w:hAnsi="Arial" w:cs="Arial"/>
          <w:b/>
          <w:bCs/>
          <w:color w:val="000000" w:themeColor="text1"/>
        </w:rPr>
        <w:t>Table 8. Path Coefficients and Hypothesis Testing</w:t>
      </w:r>
    </w:p>
    <w:p w14:paraId="59CAD54B" w14:textId="77777777" w:rsidR="00983C55" w:rsidRPr="00A840BC" w:rsidRDefault="00983C55" w:rsidP="002E3784">
      <w:pPr>
        <w:pStyle w:val="Body"/>
        <w:spacing w:after="0"/>
        <w:jc w:val="center"/>
        <w:rPr>
          <w:rFonts w:ascii="Arial" w:hAnsi="Arial" w:cs="Arial"/>
          <w:color w:val="000000" w:themeColor="text1"/>
        </w:rPr>
      </w:pPr>
    </w:p>
    <w:tbl>
      <w:tblPr>
        <w:tblStyle w:val="TableGridLight"/>
        <w:tblW w:w="8529" w:type="dxa"/>
        <w:jc w:val="center"/>
        <w:tblLook w:val="04A0" w:firstRow="1" w:lastRow="0" w:firstColumn="1" w:lastColumn="0" w:noHBand="0" w:noVBand="1"/>
      </w:tblPr>
      <w:tblGrid>
        <w:gridCol w:w="1295"/>
        <w:gridCol w:w="1677"/>
        <w:gridCol w:w="1418"/>
        <w:gridCol w:w="1134"/>
        <w:gridCol w:w="1888"/>
        <w:gridCol w:w="1117"/>
      </w:tblGrid>
      <w:tr w:rsidR="00481094" w:rsidRPr="00A840BC" w14:paraId="2928D401" w14:textId="77777777" w:rsidTr="002B4A94">
        <w:trPr>
          <w:trHeight w:val="300"/>
          <w:jc w:val="center"/>
        </w:trPr>
        <w:tc>
          <w:tcPr>
            <w:tcW w:w="1295" w:type="dxa"/>
            <w:noWrap/>
            <w:vAlign w:val="center"/>
            <w:hideMark/>
          </w:tcPr>
          <w:p w14:paraId="6BE588F7" w14:textId="77777777" w:rsidR="000A7029" w:rsidRPr="00A840BC" w:rsidRDefault="000A7029" w:rsidP="002E3784">
            <w:pPr>
              <w:jc w:val="center"/>
              <w:rPr>
                <w:rFonts w:ascii="Arial" w:hAnsi="Arial" w:cs="Arial"/>
                <w:b/>
                <w:bCs/>
                <w:color w:val="000000"/>
                <w:lang w:val="en-ID"/>
              </w:rPr>
            </w:pPr>
            <w:r w:rsidRPr="00A840BC">
              <w:rPr>
                <w:rFonts w:ascii="Arial" w:hAnsi="Arial" w:cs="Arial"/>
                <w:b/>
                <w:bCs/>
                <w:color w:val="000000"/>
                <w:lang w:val="en-ID"/>
              </w:rPr>
              <w:t>Hypothesis</w:t>
            </w:r>
          </w:p>
        </w:tc>
        <w:tc>
          <w:tcPr>
            <w:tcW w:w="1677" w:type="dxa"/>
            <w:noWrap/>
            <w:vAlign w:val="center"/>
            <w:hideMark/>
          </w:tcPr>
          <w:p w14:paraId="5FC4693C" w14:textId="77777777" w:rsidR="000A7029" w:rsidRPr="00A840BC" w:rsidRDefault="000A7029" w:rsidP="002E3784">
            <w:pPr>
              <w:jc w:val="center"/>
              <w:rPr>
                <w:rFonts w:ascii="Arial" w:hAnsi="Arial" w:cs="Arial"/>
                <w:b/>
                <w:bCs/>
                <w:color w:val="000000"/>
                <w:lang w:val="en-ID"/>
              </w:rPr>
            </w:pPr>
            <w:r w:rsidRPr="00A840BC">
              <w:rPr>
                <w:rFonts w:ascii="Arial" w:hAnsi="Arial" w:cs="Arial"/>
                <w:b/>
                <w:bCs/>
                <w:color w:val="000000"/>
                <w:lang w:val="en-ID"/>
              </w:rPr>
              <w:t>Path</w:t>
            </w:r>
          </w:p>
        </w:tc>
        <w:tc>
          <w:tcPr>
            <w:tcW w:w="1418" w:type="dxa"/>
            <w:noWrap/>
            <w:vAlign w:val="center"/>
            <w:hideMark/>
          </w:tcPr>
          <w:p w14:paraId="0D06063B" w14:textId="77777777" w:rsidR="000A7029" w:rsidRPr="00A840BC" w:rsidRDefault="000A7029" w:rsidP="002E3784">
            <w:pPr>
              <w:jc w:val="center"/>
              <w:rPr>
                <w:rFonts w:ascii="Arial" w:hAnsi="Arial" w:cs="Arial"/>
                <w:b/>
                <w:bCs/>
                <w:color w:val="000000"/>
                <w:lang w:val="en-ID"/>
              </w:rPr>
            </w:pPr>
            <w:r w:rsidRPr="00A840BC">
              <w:rPr>
                <w:rFonts w:ascii="Arial" w:hAnsi="Arial" w:cs="Arial"/>
                <w:b/>
                <w:bCs/>
                <w:color w:val="000000"/>
                <w:lang w:val="en-ID"/>
              </w:rPr>
              <w:t>T Statistics</w:t>
            </w:r>
          </w:p>
        </w:tc>
        <w:tc>
          <w:tcPr>
            <w:tcW w:w="1134" w:type="dxa"/>
            <w:noWrap/>
            <w:vAlign w:val="center"/>
            <w:hideMark/>
          </w:tcPr>
          <w:p w14:paraId="3B29BA55" w14:textId="01C2F97E" w:rsidR="000A7029" w:rsidRPr="00A840BC" w:rsidRDefault="00C0428E" w:rsidP="002E3784">
            <w:pPr>
              <w:jc w:val="center"/>
              <w:rPr>
                <w:rFonts w:ascii="Arial" w:hAnsi="Arial" w:cs="Arial"/>
                <w:b/>
                <w:bCs/>
                <w:color w:val="000000"/>
                <w:lang w:val="en-ID"/>
              </w:rPr>
            </w:pPr>
            <w:r w:rsidRPr="00A840BC">
              <w:rPr>
                <w:rFonts w:ascii="Arial" w:eastAsia="Calibri" w:hAnsi="Arial" w:cs="Arial"/>
                <w:b/>
                <w:bCs/>
                <w:i/>
                <w:iCs/>
                <w:color w:val="000000" w:themeColor="text1"/>
              </w:rPr>
              <w:t>P-Values</w:t>
            </w:r>
          </w:p>
        </w:tc>
        <w:tc>
          <w:tcPr>
            <w:tcW w:w="1888" w:type="dxa"/>
            <w:noWrap/>
            <w:vAlign w:val="center"/>
            <w:hideMark/>
          </w:tcPr>
          <w:p w14:paraId="4ADE31DC" w14:textId="10B8DE0D" w:rsidR="000A7029" w:rsidRPr="00A840BC" w:rsidRDefault="000A7029" w:rsidP="002E3784">
            <w:pPr>
              <w:jc w:val="center"/>
              <w:rPr>
                <w:rFonts w:ascii="Arial" w:hAnsi="Arial" w:cs="Arial"/>
                <w:b/>
                <w:bCs/>
                <w:color w:val="000000"/>
                <w:lang w:val="en-ID"/>
              </w:rPr>
            </w:pPr>
            <w:r w:rsidRPr="00A840BC">
              <w:rPr>
                <w:rFonts w:ascii="Arial" w:hAnsi="Arial" w:cs="Arial"/>
                <w:b/>
                <w:bCs/>
                <w:color w:val="000000"/>
                <w:lang w:val="en-ID"/>
              </w:rPr>
              <w:t xml:space="preserve">Effect Size </w:t>
            </w:r>
            <w:r w:rsidR="00D47037" w:rsidRPr="00A840BC">
              <w:rPr>
                <w:rFonts w:ascii="Arial" w:eastAsia="Calibri" w:hAnsi="Arial" w:cs="Arial"/>
                <w:color w:val="000000" w:themeColor="text1"/>
              </w:rPr>
              <w:t>(</w:t>
            </w:r>
            <m:oMath>
              <m:sSup>
                <m:sSupPr>
                  <m:ctrlPr>
                    <w:rPr>
                      <w:rFonts w:ascii="Cambria Math" w:eastAsia="Calibri" w:hAnsi="Cambria Math" w:cs="Arial"/>
                      <w:i/>
                      <w:color w:val="000000" w:themeColor="text1"/>
                    </w:rPr>
                  </m:ctrlPr>
                </m:sSupPr>
                <m:e>
                  <m:r>
                    <w:rPr>
                      <w:rFonts w:ascii="Cambria Math" w:eastAsia="Calibri" w:hAnsi="Cambria Math" w:cs="Arial"/>
                      <w:color w:val="000000" w:themeColor="text1"/>
                    </w:rPr>
                    <m:t>f</m:t>
                  </m:r>
                </m:e>
                <m:sup>
                  <m:r>
                    <w:rPr>
                      <w:rFonts w:ascii="Cambria Math" w:eastAsia="Calibri" w:hAnsi="Cambria Math" w:cs="Arial"/>
                      <w:color w:val="000000" w:themeColor="text1"/>
                    </w:rPr>
                    <m:t>2</m:t>
                  </m:r>
                </m:sup>
              </m:sSup>
            </m:oMath>
            <w:r w:rsidR="00D47037" w:rsidRPr="00A840BC">
              <w:rPr>
                <w:rFonts w:ascii="Arial" w:eastAsia="Calibri" w:hAnsi="Arial" w:cs="Arial"/>
                <w:color w:val="000000" w:themeColor="text1"/>
              </w:rPr>
              <w:t>)</w:t>
            </w:r>
          </w:p>
        </w:tc>
        <w:tc>
          <w:tcPr>
            <w:tcW w:w="1117" w:type="dxa"/>
            <w:noWrap/>
            <w:vAlign w:val="center"/>
            <w:hideMark/>
          </w:tcPr>
          <w:p w14:paraId="492B9CBD" w14:textId="77777777" w:rsidR="000A7029" w:rsidRPr="00A840BC" w:rsidRDefault="000A7029" w:rsidP="002E3784">
            <w:pPr>
              <w:jc w:val="center"/>
              <w:rPr>
                <w:rFonts w:ascii="Arial" w:hAnsi="Arial" w:cs="Arial"/>
                <w:b/>
                <w:bCs/>
                <w:color w:val="000000"/>
                <w:lang w:val="en-ID"/>
              </w:rPr>
            </w:pPr>
            <w:r w:rsidRPr="00A840BC">
              <w:rPr>
                <w:rFonts w:ascii="Arial" w:hAnsi="Arial" w:cs="Arial"/>
                <w:b/>
                <w:bCs/>
                <w:color w:val="000000"/>
                <w:lang w:val="en-ID"/>
              </w:rPr>
              <w:t>Result</w:t>
            </w:r>
          </w:p>
        </w:tc>
      </w:tr>
      <w:tr w:rsidR="00481094" w:rsidRPr="00A840BC" w14:paraId="7D6CE884" w14:textId="77777777" w:rsidTr="002B4A94">
        <w:trPr>
          <w:trHeight w:val="300"/>
          <w:jc w:val="center"/>
        </w:trPr>
        <w:tc>
          <w:tcPr>
            <w:tcW w:w="1295" w:type="dxa"/>
            <w:noWrap/>
            <w:vAlign w:val="center"/>
            <w:hideMark/>
          </w:tcPr>
          <w:p w14:paraId="1E59FFEF" w14:textId="77777777" w:rsidR="000A7029" w:rsidRPr="00A840BC" w:rsidRDefault="000A7029" w:rsidP="002E3784">
            <w:pPr>
              <w:jc w:val="center"/>
              <w:rPr>
                <w:rFonts w:ascii="Arial" w:hAnsi="Arial" w:cs="Arial"/>
                <w:b/>
                <w:bCs/>
                <w:color w:val="000000"/>
                <w:lang w:val="en-ID"/>
              </w:rPr>
            </w:pPr>
            <w:r w:rsidRPr="00A840BC">
              <w:rPr>
                <w:rFonts w:ascii="Arial" w:hAnsi="Arial" w:cs="Arial"/>
                <w:b/>
                <w:bCs/>
                <w:color w:val="000000"/>
                <w:lang w:val="en-ID"/>
              </w:rPr>
              <w:t>H1</w:t>
            </w:r>
          </w:p>
        </w:tc>
        <w:tc>
          <w:tcPr>
            <w:tcW w:w="1677" w:type="dxa"/>
            <w:noWrap/>
            <w:vAlign w:val="center"/>
            <w:hideMark/>
          </w:tcPr>
          <w:p w14:paraId="7DBC37EE" w14:textId="6F2C19F4" w:rsidR="000A7029" w:rsidRPr="00A840BC" w:rsidRDefault="001A2E10" w:rsidP="002E3784">
            <w:pPr>
              <w:jc w:val="center"/>
              <w:rPr>
                <w:rFonts w:ascii="Arial" w:hAnsi="Arial" w:cs="Arial"/>
                <w:color w:val="000000"/>
                <w:lang w:val="en-ID"/>
              </w:rPr>
            </w:pPr>
            <w:r w:rsidRPr="00A840BC">
              <w:rPr>
                <w:rFonts w:ascii="Arial" w:hAnsi="Arial" w:cs="Arial"/>
                <w:color w:val="000000" w:themeColor="text1"/>
              </w:rPr>
              <w:t xml:space="preserve">Government </w:t>
            </w:r>
            <w:r w:rsidR="000A7029" w:rsidRPr="00A840BC">
              <w:rPr>
                <w:rFonts w:ascii="Arial" w:hAnsi="Arial" w:cs="Arial"/>
                <w:color w:val="000000"/>
                <w:lang w:val="en-ID"/>
              </w:rPr>
              <w:t xml:space="preserve">Policy (X1) </w:t>
            </w:r>
            <w:r w:rsidR="003125ED" w:rsidRPr="00A840BC">
              <w:rPr>
                <w:rFonts w:ascii="Arial" w:hAnsi="Arial" w:cs="Arial"/>
                <w:color w:val="000000"/>
                <w:lang w:val="en-ID"/>
              </w:rPr>
              <w:t>&gt;</w:t>
            </w:r>
            <w:r w:rsidR="000A7029" w:rsidRPr="00A840BC">
              <w:rPr>
                <w:rFonts w:ascii="Arial" w:hAnsi="Arial" w:cs="Arial"/>
                <w:color w:val="000000"/>
                <w:lang w:val="en-ID"/>
              </w:rPr>
              <w:t>Inclusion (Y)</w:t>
            </w:r>
          </w:p>
        </w:tc>
        <w:tc>
          <w:tcPr>
            <w:tcW w:w="1418" w:type="dxa"/>
            <w:noWrap/>
            <w:vAlign w:val="center"/>
            <w:hideMark/>
          </w:tcPr>
          <w:p w14:paraId="38BAA9EF" w14:textId="77777777" w:rsidR="000A7029" w:rsidRPr="00A840BC" w:rsidRDefault="000A7029" w:rsidP="002E3784">
            <w:pPr>
              <w:jc w:val="center"/>
              <w:rPr>
                <w:rFonts w:ascii="Arial" w:hAnsi="Arial" w:cs="Arial"/>
                <w:color w:val="000000"/>
                <w:lang w:val="en-ID"/>
              </w:rPr>
            </w:pPr>
            <w:r w:rsidRPr="00A840BC">
              <w:rPr>
                <w:rFonts w:ascii="Arial" w:hAnsi="Arial" w:cs="Arial"/>
                <w:color w:val="000000"/>
                <w:lang w:val="en-ID"/>
              </w:rPr>
              <w:t>2.236</w:t>
            </w:r>
          </w:p>
        </w:tc>
        <w:tc>
          <w:tcPr>
            <w:tcW w:w="1134" w:type="dxa"/>
            <w:noWrap/>
            <w:vAlign w:val="center"/>
            <w:hideMark/>
          </w:tcPr>
          <w:p w14:paraId="6C16150E" w14:textId="4C7B4F9A" w:rsidR="000A7029" w:rsidRPr="00A840BC" w:rsidRDefault="000A7029" w:rsidP="002E3784">
            <w:pPr>
              <w:jc w:val="center"/>
              <w:rPr>
                <w:rFonts w:ascii="Arial" w:hAnsi="Arial" w:cs="Arial"/>
                <w:color w:val="000000"/>
                <w:lang w:val="en-ID"/>
              </w:rPr>
            </w:pPr>
            <w:r w:rsidRPr="00A840BC">
              <w:rPr>
                <w:rFonts w:ascii="Arial" w:hAnsi="Arial" w:cs="Arial"/>
                <w:color w:val="000000"/>
                <w:lang w:val="en-ID"/>
              </w:rPr>
              <w:t>.025</w:t>
            </w:r>
          </w:p>
        </w:tc>
        <w:tc>
          <w:tcPr>
            <w:tcW w:w="1888" w:type="dxa"/>
            <w:noWrap/>
            <w:vAlign w:val="center"/>
            <w:hideMark/>
          </w:tcPr>
          <w:p w14:paraId="2632B51F" w14:textId="77777777" w:rsidR="000A7029" w:rsidRPr="00A840BC" w:rsidRDefault="000A7029" w:rsidP="002E3784">
            <w:pPr>
              <w:jc w:val="center"/>
              <w:rPr>
                <w:rFonts w:ascii="Arial" w:hAnsi="Arial" w:cs="Arial"/>
                <w:color w:val="000000"/>
                <w:lang w:val="en-ID"/>
              </w:rPr>
            </w:pPr>
            <w:r w:rsidRPr="00A840BC">
              <w:rPr>
                <w:rFonts w:ascii="Arial" w:hAnsi="Arial" w:cs="Arial"/>
                <w:color w:val="000000"/>
                <w:lang w:val="en-ID"/>
              </w:rPr>
              <w:t>0.067 (Small)</w:t>
            </w:r>
          </w:p>
        </w:tc>
        <w:tc>
          <w:tcPr>
            <w:tcW w:w="1117" w:type="dxa"/>
            <w:noWrap/>
            <w:vAlign w:val="center"/>
            <w:hideMark/>
          </w:tcPr>
          <w:p w14:paraId="025B237B" w14:textId="77777777" w:rsidR="000A7029" w:rsidRPr="00A840BC" w:rsidRDefault="000A7029" w:rsidP="002E3784">
            <w:pPr>
              <w:jc w:val="center"/>
              <w:rPr>
                <w:rFonts w:ascii="Arial" w:hAnsi="Arial" w:cs="Arial"/>
                <w:b/>
                <w:bCs/>
                <w:color w:val="000000"/>
                <w:lang w:val="en-ID"/>
              </w:rPr>
            </w:pPr>
            <w:r w:rsidRPr="00A840BC">
              <w:rPr>
                <w:rFonts w:ascii="Arial" w:hAnsi="Arial" w:cs="Arial"/>
                <w:b/>
                <w:bCs/>
                <w:color w:val="000000"/>
                <w:lang w:val="en-ID"/>
              </w:rPr>
              <w:t>Accepted</w:t>
            </w:r>
          </w:p>
        </w:tc>
      </w:tr>
      <w:tr w:rsidR="00481094" w:rsidRPr="00A840BC" w14:paraId="4E915A48" w14:textId="77777777" w:rsidTr="002B4A94">
        <w:trPr>
          <w:trHeight w:val="300"/>
          <w:jc w:val="center"/>
        </w:trPr>
        <w:tc>
          <w:tcPr>
            <w:tcW w:w="1295" w:type="dxa"/>
            <w:noWrap/>
            <w:vAlign w:val="center"/>
            <w:hideMark/>
          </w:tcPr>
          <w:p w14:paraId="5621110E" w14:textId="77777777" w:rsidR="000A7029" w:rsidRPr="00A840BC" w:rsidRDefault="000A7029" w:rsidP="002E3784">
            <w:pPr>
              <w:jc w:val="center"/>
              <w:rPr>
                <w:rFonts w:ascii="Arial" w:hAnsi="Arial" w:cs="Arial"/>
                <w:b/>
                <w:bCs/>
                <w:color w:val="000000"/>
                <w:lang w:val="en-ID"/>
              </w:rPr>
            </w:pPr>
            <w:r w:rsidRPr="00A840BC">
              <w:rPr>
                <w:rFonts w:ascii="Arial" w:hAnsi="Arial" w:cs="Arial"/>
                <w:b/>
                <w:bCs/>
                <w:color w:val="000000"/>
                <w:lang w:val="en-ID"/>
              </w:rPr>
              <w:t>H2</w:t>
            </w:r>
          </w:p>
        </w:tc>
        <w:tc>
          <w:tcPr>
            <w:tcW w:w="1677" w:type="dxa"/>
            <w:noWrap/>
            <w:vAlign w:val="center"/>
            <w:hideMark/>
          </w:tcPr>
          <w:p w14:paraId="4D9835A7" w14:textId="6C47BA90" w:rsidR="000A7029" w:rsidRPr="00A840BC" w:rsidRDefault="001467E6" w:rsidP="002E3784">
            <w:pPr>
              <w:jc w:val="center"/>
              <w:rPr>
                <w:rFonts w:ascii="Arial" w:hAnsi="Arial" w:cs="Arial"/>
                <w:color w:val="000000"/>
                <w:lang w:val="en-ID"/>
              </w:rPr>
            </w:pPr>
            <w:r w:rsidRPr="00A840BC">
              <w:rPr>
                <w:rFonts w:ascii="Arial" w:hAnsi="Arial" w:cs="Arial"/>
                <w:color w:val="000000" w:themeColor="text1"/>
              </w:rPr>
              <w:t>Digital Financial</w:t>
            </w:r>
            <w:r w:rsidRPr="00A840BC">
              <w:rPr>
                <w:rFonts w:ascii="Arial" w:hAnsi="Arial" w:cs="Arial"/>
                <w:color w:val="000000"/>
                <w:lang w:val="en-ID"/>
              </w:rPr>
              <w:t xml:space="preserve"> </w:t>
            </w:r>
            <w:r w:rsidR="000A7029" w:rsidRPr="00A840BC">
              <w:rPr>
                <w:rFonts w:ascii="Arial" w:hAnsi="Arial" w:cs="Arial"/>
                <w:color w:val="000000"/>
                <w:lang w:val="en-ID"/>
              </w:rPr>
              <w:t xml:space="preserve">Literacy (X2) </w:t>
            </w:r>
            <w:r w:rsidR="003125ED" w:rsidRPr="00A840BC">
              <w:rPr>
                <w:rFonts w:ascii="Arial" w:hAnsi="Arial" w:cs="Arial"/>
                <w:color w:val="000000"/>
                <w:lang w:val="en-ID"/>
              </w:rPr>
              <w:t>&gt;</w:t>
            </w:r>
            <w:r w:rsidR="000A7029" w:rsidRPr="00A840BC">
              <w:rPr>
                <w:rFonts w:ascii="Arial" w:hAnsi="Arial" w:cs="Arial"/>
                <w:color w:val="000000"/>
                <w:lang w:val="en-ID"/>
              </w:rPr>
              <w:t xml:space="preserve"> Inclusion (Y)</w:t>
            </w:r>
          </w:p>
        </w:tc>
        <w:tc>
          <w:tcPr>
            <w:tcW w:w="1418" w:type="dxa"/>
            <w:noWrap/>
            <w:vAlign w:val="center"/>
            <w:hideMark/>
          </w:tcPr>
          <w:p w14:paraId="634F3343" w14:textId="77777777" w:rsidR="000A7029" w:rsidRPr="00A840BC" w:rsidRDefault="000A7029" w:rsidP="002E3784">
            <w:pPr>
              <w:jc w:val="center"/>
              <w:rPr>
                <w:rFonts w:ascii="Arial" w:hAnsi="Arial" w:cs="Arial"/>
                <w:color w:val="000000"/>
                <w:lang w:val="en-ID"/>
              </w:rPr>
            </w:pPr>
            <w:r w:rsidRPr="00A840BC">
              <w:rPr>
                <w:rFonts w:ascii="Arial" w:hAnsi="Arial" w:cs="Arial"/>
                <w:color w:val="000000"/>
                <w:lang w:val="en-ID"/>
              </w:rPr>
              <w:t>3.311</w:t>
            </w:r>
          </w:p>
        </w:tc>
        <w:tc>
          <w:tcPr>
            <w:tcW w:w="1134" w:type="dxa"/>
            <w:noWrap/>
            <w:vAlign w:val="center"/>
            <w:hideMark/>
          </w:tcPr>
          <w:p w14:paraId="706E8B3F" w14:textId="31A9994B" w:rsidR="000A7029" w:rsidRPr="00A840BC" w:rsidRDefault="000A7029" w:rsidP="002E3784">
            <w:pPr>
              <w:jc w:val="center"/>
              <w:rPr>
                <w:rFonts w:ascii="Arial" w:hAnsi="Arial" w:cs="Arial"/>
                <w:color w:val="000000"/>
                <w:lang w:val="en-ID"/>
              </w:rPr>
            </w:pPr>
            <w:r w:rsidRPr="00A840BC">
              <w:rPr>
                <w:rFonts w:ascii="Arial" w:hAnsi="Arial" w:cs="Arial"/>
                <w:color w:val="000000"/>
                <w:lang w:val="en-ID"/>
              </w:rPr>
              <w:t>.001</w:t>
            </w:r>
          </w:p>
        </w:tc>
        <w:tc>
          <w:tcPr>
            <w:tcW w:w="1888" w:type="dxa"/>
            <w:noWrap/>
            <w:vAlign w:val="center"/>
            <w:hideMark/>
          </w:tcPr>
          <w:p w14:paraId="5BE0DE08" w14:textId="77777777" w:rsidR="000A7029" w:rsidRPr="00A840BC" w:rsidRDefault="000A7029" w:rsidP="002E3784">
            <w:pPr>
              <w:jc w:val="center"/>
              <w:rPr>
                <w:rFonts w:ascii="Arial" w:hAnsi="Arial" w:cs="Arial"/>
                <w:color w:val="000000"/>
                <w:lang w:val="en-ID"/>
              </w:rPr>
            </w:pPr>
            <w:r w:rsidRPr="00A840BC">
              <w:rPr>
                <w:rFonts w:ascii="Arial" w:hAnsi="Arial" w:cs="Arial"/>
                <w:color w:val="000000"/>
                <w:lang w:val="en-ID"/>
              </w:rPr>
              <w:t>0.169 (Moderate)</w:t>
            </w:r>
          </w:p>
        </w:tc>
        <w:tc>
          <w:tcPr>
            <w:tcW w:w="1117" w:type="dxa"/>
            <w:noWrap/>
            <w:vAlign w:val="center"/>
            <w:hideMark/>
          </w:tcPr>
          <w:p w14:paraId="5CB2B332" w14:textId="77777777" w:rsidR="000A7029" w:rsidRPr="00A840BC" w:rsidRDefault="000A7029" w:rsidP="002E3784">
            <w:pPr>
              <w:jc w:val="center"/>
              <w:rPr>
                <w:rFonts w:ascii="Arial" w:hAnsi="Arial" w:cs="Arial"/>
                <w:b/>
                <w:bCs/>
                <w:color w:val="000000"/>
                <w:lang w:val="en-ID"/>
              </w:rPr>
            </w:pPr>
            <w:r w:rsidRPr="00A840BC">
              <w:rPr>
                <w:rFonts w:ascii="Arial" w:hAnsi="Arial" w:cs="Arial"/>
                <w:b/>
                <w:bCs/>
                <w:color w:val="000000"/>
                <w:lang w:val="en-ID"/>
              </w:rPr>
              <w:t>Accepted</w:t>
            </w:r>
          </w:p>
        </w:tc>
      </w:tr>
    </w:tbl>
    <w:p w14:paraId="010BBB2A" w14:textId="1B3FEE08" w:rsidR="00440C20" w:rsidRPr="00A840BC" w:rsidRDefault="00440C20" w:rsidP="002E3784">
      <w:pPr>
        <w:pStyle w:val="p1"/>
        <w:jc w:val="center"/>
        <w:rPr>
          <w:color w:val="000000" w:themeColor="text1"/>
        </w:rPr>
      </w:pPr>
      <w:r w:rsidRPr="00A840BC">
        <w:rPr>
          <w:i/>
          <w:iCs/>
          <w:color w:val="000000" w:themeColor="text1"/>
        </w:rPr>
        <w:t>Source: Compiled by the author based on the analy</w:t>
      </w:r>
      <w:r w:rsidR="005C3AD4" w:rsidRPr="00A840BC">
        <w:rPr>
          <w:i/>
          <w:iCs/>
          <w:color w:val="000000" w:themeColor="text1"/>
        </w:rPr>
        <w:t>s</w:t>
      </w:r>
      <w:r w:rsidRPr="00A840BC">
        <w:rPr>
          <w:i/>
          <w:iCs/>
          <w:color w:val="000000" w:themeColor="text1"/>
        </w:rPr>
        <w:t>ed data</w:t>
      </w:r>
    </w:p>
    <w:p w14:paraId="1955253C" w14:textId="77777777" w:rsidR="000A7029" w:rsidRPr="00A840BC" w:rsidRDefault="000A7029" w:rsidP="002E3784">
      <w:pPr>
        <w:pStyle w:val="Body"/>
        <w:spacing w:after="0"/>
        <w:rPr>
          <w:rFonts w:ascii="Arial" w:hAnsi="Arial" w:cs="Arial"/>
          <w:color w:val="000000" w:themeColor="text1"/>
        </w:rPr>
      </w:pPr>
    </w:p>
    <w:p w14:paraId="7F95122B" w14:textId="77777777" w:rsidR="00D7495B" w:rsidRPr="00A840BC" w:rsidRDefault="00D7495B" w:rsidP="002E3784">
      <w:pPr>
        <w:pStyle w:val="Body"/>
        <w:spacing w:after="0"/>
        <w:rPr>
          <w:rFonts w:ascii="Arial" w:hAnsi="Arial" w:cs="Arial"/>
          <w:color w:val="EE0000"/>
        </w:rPr>
      </w:pPr>
    </w:p>
    <w:p w14:paraId="7F26CB54" w14:textId="70347364" w:rsidR="00D7495B" w:rsidRPr="00A840BC" w:rsidRDefault="00A840BC" w:rsidP="002E3784">
      <w:pPr>
        <w:pStyle w:val="Body"/>
        <w:spacing w:after="0"/>
        <w:rPr>
          <w:rFonts w:ascii="Arial" w:hAnsi="Arial" w:cs="Arial"/>
          <w:b/>
          <w:color w:val="000000" w:themeColor="text1"/>
          <w:sz w:val="22"/>
        </w:rPr>
      </w:pPr>
      <w:r>
        <w:rPr>
          <w:rFonts w:ascii="Arial" w:hAnsi="Arial" w:cs="Arial"/>
          <w:b/>
          <w:caps/>
          <w:color w:val="000000" w:themeColor="text1"/>
          <w:sz w:val="22"/>
        </w:rPr>
        <w:t xml:space="preserve">5. </w:t>
      </w:r>
      <w:r w:rsidR="00E82A5D" w:rsidRPr="00A840BC">
        <w:rPr>
          <w:rFonts w:ascii="Arial" w:hAnsi="Arial" w:cs="Arial"/>
          <w:b/>
          <w:color w:val="000000" w:themeColor="text1"/>
          <w:sz w:val="22"/>
        </w:rPr>
        <w:t>Discussion</w:t>
      </w:r>
    </w:p>
    <w:p w14:paraId="1FE39C9A" w14:textId="77777777" w:rsidR="009E0333" w:rsidRPr="00A840BC" w:rsidRDefault="009E0333" w:rsidP="002E3784">
      <w:pPr>
        <w:pStyle w:val="Body"/>
        <w:spacing w:after="0"/>
        <w:rPr>
          <w:rFonts w:ascii="Arial" w:hAnsi="Arial" w:cs="Arial"/>
          <w:b/>
          <w:color w:val="000000" w:themeColor="text1"/>
          <w:sz w:val="22"/>
        </w:rPr>
      </w:pPr>
    </w:p>
    <w:p w14:paraId="495D5829" w14:textId="1673F015" w:rsidR="00C30A0F" w:rsidRPr="00A840BC" w:rsidRDefault="00CA5BB4" w:rsidP="002E3784">
      <w:pPr>
        <w:pStyle w:val="Body"/>
        <w:spacing w:after="0"/>
        <w:rPr>
          <w:rFonts w:ascii="Arial" w:hAnsi="Arial" w:cs="Arial"/>
          <w:color w:val="000000" w:themeColor="text1"/>
        </w:rPr>
      </w:pPr>
      <w:r w:rsidRPr="00A840BC">
        <w:rPr>
          <w:rFonts w:ascii="Arial" w:hAnsi="Arial" w:cs="Arial"/>
          <w:b/>
          <w:color w:val="000000" w:themeColor="text1"/>
          <w:u w:val="single"/>
        </w:rPr>
        <w:t>4</w:t>
      </w:r>
      <w:r w:rsidR="00E82A5D" w:rsidRPr="00A840BC">
        <w:rPr>
          <w:rFonts w:ascii="Arial" w:hAnsi="Arial" w:cs="Arial"/>
          <w:b/>
          <w:color w:val="000000" w:themeColor="text1"/>
          <w:u w:val="single"/>
        </w:rPr>
        <w:t>.</w:t>
      </w:r>
      <w:r w:rsidR="001766EA" w:rsidRPr="00A840BC">
        <w:rPr>
          <w:rFonts w:ascii="Arial" w:hAnsi="Arial" w:cs="Arial"/>
          <w:b/>
          <w:color w:val="000000" w:themeColor="text1"/>
          <w:u w:val="single"/>
        </w:rPr>
        <w:t>5</w:t>
      </w:r>
      <w:r w:rsidR="00E82A5D" w:rsidRPr="00A840BC">
        <w:rPr>
          <w:rFonts w:ascii="Arial" w:hAnsi="Arial" w:cs="Arial"/>
          <w:b/>
          <w:color w:val="000000" w:themeColor="text1"/>
          <w:u w:val="single"/>
        </w:rPr>
        <w:t>.1 Influence of Government Policy on Digital Financial Inclusion</w:t>
      </w:r>
      <w:r w:rsidR="00C30A0F" w:rsidRPr="00A840BC">
        <w:rPr>
          <w:rFonts w:ascii="Arial" w:hAnsi="Arial" w:cs="Arial"/>
          <w:color w:val="000000" w:themeColor="text1"/>
        </w:rPr>
        <w:t xml:space="preserve"> </w:t>
      </w:r>
    </w:p>
    <w:p w14:paraId="1EF566E5" w14:textId="77777777" w:rsidR="009E0333" w:rsidRPr="00A840BC" w:rsidRDefault="009E0333" w:rsidP="002E3784">
      <w:pPr>
        <w:pStyle w:val="Body"/>
        <w:spacing w:after="0"/>
        <w:rPr>
          <w:rFonts w:ascii="Arial" w:hAnsi="Arial" w:cs="Arial"/>
          <w:color w:val="000000" w:themeColor="text1"/>
        </w:rPr>
      </w:pPr>
    </w:p>
    <w:p w14:paraId="7D8E27A9" w14:textId="5D18CFC8" w:rsidR="006D3036" w:rsidRPr="00A840BC" w:rsidRDefault="006D3036" w:rsidP="002E3784">
      <w:pPr>
        <w:pStyle w:val="Body"/>
        <w:rPr>
          <w:rFonts w:ascii="Arial" w:hAnsi="Arial" w:cs="Arial"/>
          <w:color w:val="000000" w:themeColor="text1"/>
        </w:rPr>
      </w:pPr>
      <w:r w:rsidRPr="00A840BC">
        <w:rPr>
          <w:rFonts w:ascii="Arial" w:hAnsi="Arial" w:cs="Arial"/>
          <w:color w:val="000000" w:themeColor="text1"/>
        </w:rPr>
        <w:t>The results indicate that Government Policy has a beneficial and considerable impact on Digital Financial Inclusion (T</w:t>
      </w:r>
      <w:r w:rsidR="00143C78" w:rsidRPr="00A840BC">
        <w:rPr>
          <w:rFonts w:ascii="Arial" w:hAnsi="Arial" w:cs="Arial"/>
          <w:color w:val="000000" w:themeColor="text1"/>
        </w:rPr>
        <w:t xml:space="preserve"> </w:t>
      </w:r>
      <w:r w:rsidRPr="00A840BC">
        <w:rPr>
          <w:rFonts w:ascii="Arial" w:hAnsi="Arial" w:cs="Arial"/>
          <w:color w:val="000000" w:themeColor="text1"/>
        </w:rPr>
        <w:t>=</w:t>
      </w:r>
      <w:r w:rsidR="00143C78" w:rsidRPr="00A840BC">
        <w:rPr>
          <w:rFonts w:ascii="Arial" w:hAnsi="Arial" w:cs="Arial"/>
          <w:color w:val="000000" w:themeColor="text1"/>
        </w:rPr>
        <w:t xml:space="preserve"> </w:t>
      </w:r>
      <w:r w:rsidRPr="00A840BC">
        <w:rPr>
          <w:rFonts w:ascii="Arial" w:hAnsi="Arial" w:cs="Arial"/>
          <w:color w:val="000000" w:themeColor="text1"/>
        </w:rPr>
        <w:t xml:space="preserve">2.236; </w:t>
      </w:r>
      <w:r w:rsidR="00C0428E" w:rsidRPr="00A840BC">
        <w:rPr>
          <w:rFonts w:ascii="Arial" w:hAnsi="Arial" w:cs="Arial"/>
          <w:i/>
          <w:iCs/>
          <w:color w:val="000000" w:themeColor="text1"/>
        </w:rPr>
        <w:t>P</w:t>
      </w:r>
      <w:r w:rsidR="00143C78" w:rsidRPr="00A840BC">
        <w:rPr>
          <w:rFonts w:ascii="Arial" w:hAnsi="Arial" w:cs="Arial"/>
          <w:i/>
          <w:iCs/>
          <w:color w:val="000000" w:themeColor="text1"/>
        </w:rPr>
        <w:t xml:space="preserve"> </w:t>
      </w:r>
      <w:r w:rsidR="00C0428E" w:rsidRPr="00A840BC">
        <w:rPr>
          <w:rFonts w:ascii="Arial" w:hAnsi="Arial" w:cs="Arial"/>
          <w:i/>
          <w:iCs/>
          <w:color w:val="000000" w:themeColor="text1"/>
        </w:rPr>
        <w:t>=</w:t>
      </w:r>
      <w:r w:rsidR="00143C78" w:rsidRPr="00A840BC">
        <w:rPr>
          <w:rFonts w:ascii="Arial" w:hAnsi="Arial" w:cs="Arial"/>
          <w:color w:val="000000" w:themeColor="text1"/>
        </w:rPr>
        <w:t xml:space="preserve"> </w:t>
      </w:r>
      <w:r w:rsidRPr="00A840BC">
        <w:rPr>
          <w:rFonts w:ascii="Arial" w:hAnsi="Arial" w:cs="Arial"/>
          <w:color w:val="000000" w:themeColor="text1"/>
        </w:rPr>
        <w:t xml:space="preserve">.025). This evidence is consistent with Public Policy Theory </w:t>
      </w:r>
      <w:r w:rsidR="00964C99" w:rsidRPr="00A840BC">
        <w:rPr>
          <w:rFonts w:ascii="Arial" w:hAnsi="Arial" w:cs="Arial"/>
          <w:color w:val="000000" w:themeColor="text1"/>
        </w:rPr>
        <w:t xml:space="preserve">by </w:t>
      </w:r>
      <w:r w:rsidRPr="00A840BC">
        <w:rPr>
          <w:rFonts w:ascii="Arial" w:hAnsi="Arial" w:cs="Arial"/>
          <w:color w:val="000000" w:themeColor="text1"/>
        </w:rPr>
        <w:t>Dye</w:t>
      </w:r>
      <w:r w:rsidR="0021283E" w:rsidRPr="00A840BC">
        <w:rPr>
          <w:rFonts w:ascii="Arial" w:hAnsi="Arial" w:cs="Arial"/>
          <w:color w:val="000000" w:themeColor="text1"/>
        </w:rPr>
        <w:t xml:space="preserve"> (</w:t>
      </w:r>
      <w:r w:rsidRPr="00A840BC">
        <w:rPr>
          <w:rFonts w:ascii="Arial" w:hAnsi="Arial" w:cs="Arial"/>
          <w:color w:val="000000" w:themeColor="text1"/>
        </w:rPr>
        <w:t>2017</w:t>
      </w:r>
      <w:r w:rsidR="0021283E" w:rsidRPr="00A840BC">
        <w:rPr>
          <w:rFonts w:ascii="Arial" w:hAnsi="Arial" w:cs="Arial"/>
          <w:color w:val="000000" w:themeColor="text1"/>
        </w:rPr>
        <w:t xml:space="preserve">) </w:t>
      </w:r>
      <w:r w:rsidR="0030409C" w:rsidRPr="00A840BC">
        <w:rPr>
          <w:rFonts w:ascii="Arial" w:hAnsi="Arial" w:cs="Arial"/>
          <w:color w:val="000000" w:themeColor="text1"/>
        </w:rPr>
        <w:t>which suggests that government actions such as the P2SK Law and the 2025 Payment System Blueprint from Bank Indonesia establish a framework necessary for embracing financial solutions</w:t>
      </w:r>
      <w:r w:rsidR="00C56EB9" w:rsidRPr="00A840BC">
        <w:rPr>
          <w:rFonts w:ascii="Arial" w:hAnsi="Arial" w:cs="Arial"/>
          <w:color w:val="000000" w:themeColor="text1"/>
        </w:rPr>
        <w:t xml:space="preserve"> </w:t>
      </w:r>
      <w:r w:rsidR="0021283E" w:rsidRPr="00A840BC">
        <w:rPr>
          <w:rFonts w:ascii="Arial" w:hAnsi="Arial" w:cs="Arial"/>
          <w:color w:val="000000" w:themeColor="text1"/>
        </w:rPr>
        <w:fldChar w:fldCharType="begin" w:fldLock="1"/>
      </w:r>
      <w:r w:rsidR="00CC4F27" w:rsidRPr="00A840BC">
        <w:rPr>
          <w:rFonts w:ascii="Arial" w:hAnsi="Arial" w:cs="Arial"/>
          <w:color w:val="000000" w:themeColor="text1"/>
        </w:rPr>
        <w:instrText xml:space="preserve"> ADDIN ZOTERO_ITEM CSL_CITATION {"citationID":"MZWsFI8S","properties":{"formattedCitation":"(Remi Aiyede &amp; Muganda, 2022)","plainCitation":"(Remi Aiyede &amp; Muganda, 2022)","noteIndex":0},"citationItems":[{"id":"A3GAWW6d/AtkhUTWo","uris":["http://www.mendeley.com/documents/?uuid=aaf8b6a7-03bd-30ee-a8bf-4554a17127f7"],"itemData":{"DOI":"10.1007/978-3-030-99724-3","ISBN":"9783030997243","abstract":"This open access book responds to the need for a specifically African focus on public policy. It outlines the fundamental principles of public policy research, and engages with major issues in the study of public policy from an African perspective, covering essential topics such as the location and centrality of social sciences in relation to public policy, leadership, methodology, institutions, governance, and gender. This book is essential for understanding the various aspects and dimensions of policy making in Africa that underscore quality research and are at the core of excellence in teaching and learning.","author":[{"dropping-particle":"","family":"Remi Aiyede","given":"E.","non-dropping-particle":"","parse-names":false,"suffix":""},{"dropping-particle":"","family":"Muganda","given":"Beatrice","non-dropping-particle":"","parse-names":false,"suffix":""}],"container-title":"Public Policy and Research in Africa","id":"ITEM-1","issued":{"date-parts":[["2022","1","1"]]},"number-of-pages":"1-278","publisher":"Springer International Publishing","title":"Public Policy and Research in Africa","type":"book"}}],"schema":"https://github.com/citation-style-language/schema/raw/master/csl-citation.json"} </w:instrText>
      </w:r>
      <w:r w:rsidR="0021283E" w:rsidRPr="00A840BC">
        <w:rPr>
          <w:rFonts w:ascii="Arial" w:hAnsi="Arial" w:cs="Arial"/>
          <w:color w:val="000000" w:themeColor="text1"/>
        </w:rPr>
        <w:fldChar w:fldCharType="separate"/>
      </w:r>
      <w:r w:rsidR="00CC4F27" w:rsidRPr="00A840BC">
        <w:rPr>
          <w:rFonts w:ascii="Arial" w:hAnsi="Arial" w:cs="Arial"/>
          <w:noProof/>
          <w:color w:val="000000" w:themeColor="text1"/>
        </w:rPr>
        <w:t>(Remi Aiyede &amp; Muganda, 2022)</w:t>
      </w:r>
      <w:r w:rsidR="0021283E" w:rsidRPr="00A840BC">
        <w:rPr>
          <w:rFonts w:ascii="Arial" w:hAnsi="Arial" w:cs="Arial"/>
          <w:color w:val="000000" w:themeColor="text1"/>
        </w:rPr>
        <w:fldChar w:fldCharType="end"/>
      </w:r>
      <w:r w:rsidR="0030409C" w:rsidRPr="00A840BC">
        <w:rPr>
          <w:rFonts w:ascii="Arial" w:hAnsi="Arial" w:cs="Arial"/>
          <w:color w:val="000000" w:themeColor="text1"/>
        </w:rPr>
        <w:t>.</w:t>
      </w:r>
    </w:p>
    <w:p w14:paraId="23223216" w14:textId="67A6B453" w:rsidR="00DA5AD5" w:rsidRPr="00A840BC" w:rsidRDefault="006D3036" w:rsidP="002E3784">
      <w:pPr>
        <w:pStyle w:val="Body"/>
        <w:spacing w:after="0"/>
        <w:rPr>
          <w:rFonts w:ascii="Arial" w:hAnsi="Arial" w:cs="Arial"/>
          <w:color w:val="000000" w:themeColor="text1"/>
        </w:rPr>
      </w:pPr>
      <w:r w:rsidRPr="00A840BC">
        <w:rPr>
          <w:rFonts w:ascii="Arial" w:hAnsi="Arial" w:cs="Arial"/>
          <w:color w:val="000000" w:themeColor="text1"/>
        </w:rPr>
        <w:t xml:space="preserve">Nevertheless, an important observation from this research is the extent of the influence. The effect size </w:t>
      </w:r>
      <w:r w:rsidR="00D47037" w:rsidRPr="00A840BC">
        <w:rPr>
          <w:rFonts w:ascii="Arial" w:eastAsia="Calibri" w:hAnsi="Arial" w:cs="Arial"/>
          <w:color w:val="000000" w:themeColor="text1"/>
        </w:rPr>
        <w:t>(</w:t>
      </w:r>
      <m:oMath>
        <m:sSup>
          <m:sSupPr>
            <m:ctrlPr>
              <w:rPr>
                <w:rFonts w:ascii="Cambria Math" w:eastAsia="Calibri" w:hAnsi="Cambria Math" w:cs="Arial"/>
                <w:i/>
                <w:color w:val="000000" w:themeColor="text1"/>
              </w:rPr>
            </m:ctrlPr>
          </m:sSupPr>
          <m:e>
            <m:r>
              <w:rPr>
                <w:rFonts w:ascii="Cambria Math" w:eastAsia="Calibri" w:hAnsi="Cambria Math" w:cs="Arial"/>
                <w:color w:val="000000" w:themeColor="text1"/>
              </w:rPr>
              <m:t>f</m:t>
            </m:r>
          </m:e>
          <m:sup>
            <m:r>
              <w:rPr>
                <w:rFonts w:ascii="Cambria Math" w:eastAsia="Calibri" w:hAnsi="Cambria Math" w:cs="Arial"/>
                <w:color w:val="000000" w:themeColor="text1"/>
              </w:rPr>
              <m:t>2</m:t>
            </m:r>
          </m:sup>
        </m:sSup>
      </m:oMath>
      <w:r w:rsidR="00D47037" w:rsidRPr="00A840BC">
        <w:rPr>
          <w:rFonts w:ascii="Arial" w:eastAsia="Calibri" w:hAnsi="Arial" w:cs="Arial"/>
          <w:color w:val="000000" w:themeColor="text1"/>
        </w:rPr>
        <w:t xml:space="preserve">) </w:t>
      </w:r>
      <w:r w:rsidRPr="00A840BC">
        <w:rPr>
          <w:rFonts w:ascii="Arial" w:hAnsi="Arial" w:cs="Arial"/>
          <w:color w:val="000000" w:themeColor="text1"/>
        </w:rPr>
        <w:t xml:space="preserve">for Government Policy stands at 0.067, which is classified as a minor effect. </w:t>
      </w:r>
      <w:r w:rsidR="0022282F" w:rsidRPr="00A840BC">
        <w:rPr>
          <w:rFonts w:ascii="Arial" w:hAnsi="Arial" w:cs="Arial"/>
          <w:color w:val="000000" w:themeColor="text1"/>
        </w:rPr>
        <w:t>This implies that although regulatory structures and services function as foundational infrastructure, they are not the main force driving Gen Z MSMEs</w:t>
      </w:r>
      <w:r w:rsidRPr="00A840BC">
        <w:rPr>
          <w:rFonts w:ascii="Arial" w:hAnsi="Arial" w:cs="Arial"/>
          <w:color w:val="000000" w:themeColor="text1"/>
        </w:rPr>
        <w:t xml:space="preserve">. This group, being well-versed in digital technology, might perceive government services as a standard expectation rather than a source of motivation. This finding aligns with observations made by </w:t>
      </w:r>
      <w:r w:rsidR="00C90C1F" w:rsidRPr="00A840BC">
        <w:rPr>
          <w:rFonts w:ascii="Arial" w:hAnsi="Arial" w:cs="Arial"/>
          <w:color w:val="000000" w:themeColor="text1"/>
        </w:rPr>
        <w:fldChar w:fldCharType="begin" w:fldLock="1"/>
      </w:r>
      <w:r w:rsidR="00CC4F27" w:rsidRPr="00A840BC">
        <w:rPr>
          <w:rFonts w:ascii="Arial" w:hAnsi="Arial" w:cs="Arial"/>
          <w:color w:val="000000" w:themeColor="text1"/>
        </w:rPr>
        <w:instrText xml:space="preserve"> ADDIN ZOTERO_ITEM CSL_CITATION {"citationID":"GzHnoJNs","properties":{"formattedCitation":"(Bozhinova &amp; Ganchev, 2022)","plainCitation":"(Bozhinova &amp; Ganchev, 2022)","noteIndex":0},"citationItems":[{"id":"A3GAWW6d/Eq7s7liQ","uris":["http://www.mendeley.com/documents/?uuid=7537fb8a-cb86-48a1-b241-b62334ba1d40"],"itemData":{"DOI":"10.51508/intcess.202206","ISBN":"9786050628647","author":[{"dropping-particle":"","family":"Bozhinova","given":"Mariyana","non-dropping-particle":"","parse-names":false,"suffix":""},{"dropping-particle":"","family":"Ganchev","given":"Alexander","non-dropping-particle":"","parse-names":false,"suffix":""}],"id":"ITEM-1","issue":"January","issued":{"date-parts":[["2022"]]},"page":"38-44","title":"Digitalisation of Financial Services and Financial Literacy of Young Generations – Trends, Challenges and Solutions From Bulgarian Practice","type":"article-journal"}}],"schema":"https://github.com/citation-style-language/schema/raw/master/csl-citation.json"} </w:instrText>
      </w:r>
      <w:r w:rsidR="00C90C1F" w:rsidRPr="00A840BC">
        <w:rPr>
          <w:rFonts w:ascii="Arial" w:hAnsi="Arial" w:cs="Arial"/>
          <w:color w:val="000000" w:themeColor="text1"/>
        </w:rPr>
        <w:fldChar w:fldCharType="separate"/>
      </w:r>
      <w:r w:rsidR="00CC4F27" w:rsidRPr="00A840BC">
        <w:rPr>
          <w:rFonts w:ascii="Arial" w:hAnsi="Arial" w:cs="Arial"/>
          <w:noProof/>
          <w:color w:val="000000" w:themeColor="text1"/>
        </w:rPr>
        <w:t>(Bozhinova &amp; Ganchev, 2022)</w:t>
      </w:r>
      <w:r w:rsidR="00C90C1F" w:rsidRPr="00A840BC">
        <w:rPr>
          <w:rFonts w:ascii="Arial" w:hAnsi="Arial" w:cs="Arial"/>
          <w:color w:val="000000" w:themeColor="text1"/>
        </w:rPr>
        <w:fldChar w:fldCharType="end"/>
      </w:r>
      <w:r w:rsidR="00C90C1F" w:rsidRPr="00A840BC">
        <w:rPr>
          <w:rFonts w:ascii="Arial" w:hAnsi="Arial" w:cs="Arial"/>
          <w:color w:val="000000" w:themeColor="text1"/>
        </w:rPr>
        <w:t>,</w:t>
      </w:r>
      <w:r w:rsidRPr="00A840BC">
        <w:rPr>
          <w:rFonts w:ascii="Arial" w:hAnsi="Arial" w:cs="Arial"/>
          <w:color w:val="000000" w:themeColor="text1"/>
        </w:rPr>
        <w:t xml:space="preserve"> who pointed out that the effectiveness of policies often depends on the preparedness of the users.</w:t>
      </w:r>
    </w:p>
    <w:p w14:paraId="17F52B70" w14:textId="77777777" w:rsidR="00DA5AD5" w:rsidRPr="00A840BC" w:rsidRDefault="00DA5AD5" w:rsidP="002E3784">
      <w:pPr>
        <w:pStyle w:val="Body"/>
        <w:spacing w:after="0"/>
        <w:rPr>
          <w:rFonts w:ascii="Arial" w:hAnsi="Arial" w:cs="Arial"/>
          <w:color w:val="000000" w:themeColor="text1"/>
        </w:rPr>
      </w:pPr>
    </w:p>
    <w:p w14:paraId="3D4E7972" w14:textId="1431979F" w:rsidR="00472DC9" w:rsidRPr="00A840BC" w:rsidRDefault="00CA5BB4" w:rsidP="002E3784">
      <w:pPr>
        <w:pStyle w:val="Body"/>
        <w:spacing w:after="0"/>
        <w:rPr>
          <w:rFonts w:ascii="Arial" w:hAnsi="Arial" w:cs="Arial"/>
          <w:b/>
          <w:color w:val="000000" w:themeColor="text1"/>
          <w:u w:val="single"/>
        </w:rPr>
      </w:pPr>
      <w:r w:rsidRPr="00A840BC">
        <w:rPr>
          <w:rFonts w:ascii="Arial" w:hAnsi="Arial" w:cs="Arial"/>
          <w:b/>
          <w:color w:val="000000" w:themeColor="text1"/>
          <w:u w:val="single"/>
        </w:rPr>
        <w:t>4</w:t>
      </w:r>
      <w:r w:rsidR="00472DC9" w:rsidRPr="00A840BC">
        <w:rPr>
          <w:rFonts w:ascii="Arial" w:hAnsi="Arial" w:cs="Arial"/>
          <w:b/>
          <w:color w:val="000000" w:themeColor="text1"/>
          <w:u w:val="single"/>
        </w:rPr>
        <w:t>.</w:t>
      </w:r>
      <w:r w:rsidR="001766EA" w:rsidRPr="00A840BC">
        <w:rPr>
          <w:rFonts w:ascii="Arial" w:hAnsi="Arial" w:cs="Arial"/>
          <w:b/>
          <w:color w:val="000000" w:themeColor="text1"/>
          <w:u w:val="single"/>
        </w:rPr>
        <w:t>5</w:t>
      </w:r>
      <w:r w:rsidR="00472DC9" w:rsidRPr="00A840BC">
        <w:rPr>
          <w:rFonts w:ascii="Arial" w:hAnsi="Arial" w:cs="Arial"/>
          <w:b/>
          <w:color w:val="000000" w:themeColor="text1"/>
          <w:u w:val="single"/>
        </w:rPr>
        <w:t xml:space="preserve">.2 </w:t>
      </w:r>
      <w:r w:rsidR="003B2429" w:rsidRPr="00A840BC">
        <w:rPr>
          <w:rFonts w:ascii="Arial" w:hAnsi="Arial" w:cs="Arial"/>
          <w:b/>
          <w:color w:val="000000" w:themeColor="text1"/>
          <w:u w:val="single"/>
        </w:rPr>
        <w:t xml:space="preserve">Influence of Digital Financial Literacy on Digital Financial Inclusion </w:t>
      </w:r>
    </w:p>
    <w:p w14:paraId="3CDDF759" w14:textId="77777777" w:rsidR="00944857" w:rsidRPr="00A840BC" w:rsidRDefault="00944857" w:rsidP="002E3784">
      <w:pPr>
        <w:pStyle w:val="Body"/>
        <w:spacing w:after="0"/>
        <w:rPr>
          <w:rFonts w:ascii="Arial" w:hAnsi="Arial" w:cs="Arial"/>
          <w:color w:val="000000" w:themeColor="text1"/>
        </w:rPr>
      </w:pPr>
    </w:p>
    <w:p w14:paraId="115931D9" w14:textId="1BFFB85C" w:rsidR="001766EA" w:rsidRPr="00A840BC" w:rsidRDefault="001766EA" w:rsidP="002E3784">
      <w:pPr>
        <w:pStyle w:val="Body"/>
        <w:rPr>
          <w:rFonts w:ascii="Arial" w:hAnsi="Arial" w:cs="Arial"/>
          <w:color w:val="000000" w:themeColor="text1"/>
        </w:rPr>
      </w:pPr>
      <w:r w:rsidRPr="00A840BC">
        <w:rPr>
          <w:rFonts w:ascii="Arial" w:hAnsi="Arial" w:cs="Arial"/>
          <w:color w:val="000000" w:themeColor="text1"/>
        </w:rPr>
        <w:t>Digital Financial Literacy has proven to be a more significant factor, showing a strong and noteworthy impact (T</w:t>
      </w:r>
      <w:r w:rsidR="00143C78" w:rsidRPr="00A840BC">
        <w:rPr>
          <w:rFonts w:ascii="Arial" w:hAnsi="Arial" w:cs="Arial"/>
          <w:color w:val="000000" w:themeColor="text1"/>
        </w:rPr>
        <w:t xml:space="preserve"> </w:t>
      </w:r>
      <w:r w:rsidRPr="00A840BC">
        <w:rPr>
          <w:rFonts w:ascii="Arial" w:hAnsi="Arial" w:cs="Arial"/>
          <w:color w:val="000000" w:themeColor="text1"/>
        </w:rPr>
        <w:t>=</w:t>
      </w:r>
      <w:r w:rsidR="00143C78" w:rsidRPr="00A840BC">
        <w:rPr>
          <w:rFonts w:ascii="Arial" w:hAnsi="Arial" w:cs="Arial"/>
          <w:color w:val="000000" w:themeColor="text1"/>
        </w:rPr>
        <w:t xml:space="preserve"> </w:t>
      </w:r>
      <w:r w:rsidRPr="00A840BC">
        <w:rPr>
          <w:rFonts w:ascii="Arial" w:hAnsi="Arial" w:cs="Arial"/>
          <w:color w:val="000000" w:themeColor="text1"/>
        </w:rPr>
        <w:t>3.311;</w:t>
      </w:r>
      <w:r w:rsidR="003529A0" w:rsidRPr="00A840BC">
        <w:rPr>
          <w:rFonts w:ascii="Arial" w:hAnsi="Arial" w:cs="Arial"/>
          <w:color w:val="000000" w:themeColor="text1"/>
        </w:rPr>
        <w:t xml:space="preserve"> </w:t>
      </w:r>
      <w:r w:rsidR="00C0428E" w:rsidRPr="00A840BC">
        <w:rPr>
          <w:rFonts w:ascii="Arial" w:hAnsi="Arial" w:cs="Arial"/>
          <w:i/>
          <w:iCs/>
          <w:color w:val="000000" w:themeColor="text1"/>
        </w:rPr>
        <w:t>P</w:t>
      </w:r>
      <w:r w:rsidR="00143C78" w:rsidRPr="00A840BC">
        <w:rPr>
          <w:rFonts w:ascii="Arial" w:hAnsi="Arial" w:cs="Arial"/>
          <w:i/>
          <w:iCs/>
          <w:color w:val="000000" w:themeColor="text1"/>
        </w:rPr>
        <w:t xml:space="preserve"> </w:t>
      </w:r>
      <w:r w:rsidR="00C0428E" w:rsidRPr="00A840BC">
        <w:rPr>
          <w:rFonts w:ascii="Arial" w:hAnsi="Arial" w:cs="Arial"/>
          <w:i/>
          <w:iCs/>
          <w:color w:val="000000" w:themeColor="text1"/>
        </w:rPr>
        <w:t>=</w:t>
      </w:r>
      <w:r w:rsidR="00143C78" w:rsidRPr="00A840BC">
        <w:rPr>
          <w:rFonts w:ascii="Arial" w:hAnsi="Arial" w:cs="Arial"/>
          <w:color w:val="000000" w:themeColor="text1"/>
        </w:rPr>
        <w:t xml:space="preserve"> </w:t>
      </w:r>
      <w:r w:rsidRPr="00A840BC">
        <w:rPr>
          <w:rFonts w:ascii="Arial" w:hAnsi="Arial" w:cs="Arial"/>
          <w:color w:val="000000" w:themeColor="text1"/>
        </w:rPr>
        <w:t xml:space="preserve">.001) along with a moderate effect size </w:t>
      </w:r>
      <w:r w:rsidR="00D47037" w:rsidRPr="00A840BC">
        <w:rPr>
          <w:rFonts w:ascii="Arial" w:eastAsia="Calibri" w:hAnsi="Arial" w:cs="Arial"/>
          <w:color w:val="000000" w:themeColor="text1"/>
        </w:rPr>
        <w:t>(</w:t>
      </w:r>
      <m:oMath>
        <m:sSup>
          <m:sSupPr>
            <m:ctrlPr>
              <w:rPr>
                <w:rFonts w:ascii="Cambria Math" w:eastAsia="Calibri" w:hAnsi="Cambria Math" w:cs="Arial"/>
                <w:i/>
                <w:color w:val="000000" w:themeColor="text1"/>
              </w:rPr>
            </m:ctrlPr>
          </m:sSupPr>
          <m:e>
            <m:r>
              <w:rPr>
                <w:rFonts w:ascii="Cambria Math" w:eastAsia="Calibri" w:hAnsi="Cambria Math" w:cs="Arial"/>
                <w:color w:val="000000" w:themeColor="text1"/>
              </w:rPr>
              <m:t>f</m:t>
            </m:r>
          </m:e>
          <m:sup>
            <m:r>
              <w:rPr>
                <w:rFonts w:ascii="Cambria Math" w:eastAsia="Calibri" w:hAnsi="Cambria Math" w:cs="Arial"/>
                <w:color w:val="000000" w:themeColor="text1"/>
              </w:rPr>
              <m:t>2</m:t>
            </m:r>
          </m:sup>
        </m:sSup>
      </m:oMath>
      <w:r w:rsidRPr="00A840BC">
        <w:rPr>
          <w:rFonts w:ascii="Arial" w:hAnsi="Arial" w:cs="Arial"/>
          <w:color w:val="000000" w:themeColor="text1"/>
        </w:rPr>
        <w:t xml:space="preserve">=0.169). </w:t>
      </w:r>
      <w:r w:rsidR="00043C58" w:rsidRPr="00A840BC">
        <w:rPr>
          <w:rFonts w:ascii="Arial" w:hAnsi="Arial" w:cs="Arial"/>
          <w:color w:val="000000" w:themeColor="text1"/>
        </w:rPr>
        <w:t>This result aligns robustly with Human Capital Theory (Becker, 1964), which postulates that literacy functions as an intangible asset that boosts economic productivity,</w:t>
      </w:r>
      <w:r w:rsidRPr="00A840BC">
        <w:rPr>
          <w:rFonts w:ascii="Arial" w:hAnsi="Arial" w:cs="Arial"/>
          <w:color w:val="000000" w:themeColor="text1"/>
        </w:rPr>
        <w:t xml:space="preserve"> </w:t>
      </w:r>
    </w:p>
    <w:p w14:paraId="24BFF9E4" w14:textId="11339B75" w:rsidR="00874F00" w:rsidRPr="00A840BC" w:rsidRDefault="001766EA" w:rsidP="00874F00">
      <w:pPr>
        <w:pStyle w:val="Body"/>
        <w:rPr>
          <w:rFonts w:ascii="Arial" w:hAnsi="Arial" w:cs="Arial"/>
          <w:color w:val="000000" w:themeColor="text1"/>
        </w:rPr>
      </w:pPr>
      <w:r w:rsidRPr="00A840BC">
        <w:rPr>
          <w:rFonts w:ascii="Arial" w:hAnsi="Arial" w:cs="Arial"/>
          <w:color w:val="000000" w:themeColor="text1"/>
        </w:rPr>
        <w:t>For Gen Z MSMEs in East Java, literacy goes beyond just basic information</w:t>
      </w:r>
      <w:r w:rsidR="00FC3580" w:rsidRPr="00A840BC">
        <w:rPr>
          <w:rFonts w:ascii="Arial" w:hAnsi="Arial" w:cs="Arial"/>
          <w:color w:val="000000" w:themeColor="text1"/>
        </w:rPr>
        <w:t>,</w:t>
      </w:r>
      <w:r w:rsidR="00AE331F" w:rsidRPr="00A840BC">
        <w:rPr>
          <w:rFonts w:ascii="Arial" w:hAnsi="Arial" w:cs="Arial"/>
          <w:color w:val="000000" w:themeColor="text1"/>
        </w:rPr>
        <w:t xml:space="preserve"> </w:t>
      </w:r>
      <w:r w:rsidRPr="00A840BC">
        <w:rPr>
          <w:rFonts w:ascii="Arial" w:hAnsi="Arial" w:cs="Arial"/>
          <w:color w:val="000000" w:themeColor="text1"/>
        </w:rPr>
        <w:t>it represents a practical skill. The descriptive analysis indicates that these business owners excel particularly in security practices, like keeping PINs confidential (Mean 4</w:t>
      </w:r>
      <w:r w:rsidR="003B4B6E" w:rsidRPr="00A840BC">
        <w:rPr>
          <w:rFonts w:ascii="Arial" w:hAnsi="Arial" w:cs="Arial"/>
          <w:color w:val="000000" w:themeColor="text1"/>
        </w:rPr>
        <w:t>.</w:t>
      </w:r>
      <w:r w:rsidRPr="00A840BC">
        <w:rPr>
          <w:rFonts w:ascii="Arial" w:hAnsi="Arial" w:cs="Arial"/>
          <w:color w:val="000000" w:themeColor="text1"/>
        </w:rPr>
        <w:t>12). This high standard of</w:t>
      </w:r>
      <w:r w:rsidR="0021283E" w:rsidRPr="00A840BC">
        <w:rPr>
          <w:rFonts w:ascii="Arial" w:hAnsi="Arial" w:cs="Arial"/>
          <w:color w:val="000000" w:themeColor="text1"/>
        </w:rPr>
        <w:t xml:space="preserve"> </w:t>
      </w:r>
      <w:r w:rsidR="00F30E50" w:rsidRPr="00A840BC">
        <w:rPr>
          <w:rFonts w:ascii="Arial" w:hAnsi="Arial" w:cs="Arial"/>
          <w:color w:val="000000" w:themeColor="text1"/>
        </w:rPr>
        <w:t>protective security behaviors</w:t>
      </w:r>
      <w:r w:rsidRPr="00A840BC">
        <w:rPr>
          <w:rFonts w:ascii="Arial" w:hAnsi="Arial" w:cs="Arial"/>
          <w:color w:val="000000" w:themeColor="text1"/>
        </w:rPr>
        <w:t xml:space="preserve"> lessens the perceived risks associated with adopting fintech, facilitating faster inclusion. This aligns with </w:t>
      </w:r>
      <w:r w:rsidR="0021283E" w:rsidRPr="00A840BC">
        <w:rPr>
          <w:rFonts w:ascii="Arial" w:hAnsi="Arial" w:cs="Arial"/>
          <w:color w:val="000000" w:themeColor="text1"/>
        </w:rPr>
        <w:fldChar w:fldCharType="begin" w:fldLock="1"/>
      </w:r>
      <w:r w:rsidR="00CC4F27" w:rsidRPr="00A840BC">
        <w:rPr>
          <w:rFonts w:ascii="Arial" w:hAnsi="Arial" w:cs="Arial"/>
          <w:color w:val="000000" w:themeColor="text1"/>
        </w:rPr>
        <w:instrText xml:space="preserve"> ADDIN ZOTERO_ITEM CSL_CITATION {"citationID":"IMUtBubU","properties":{"formattedCitation":"(Widyastuti et al., 2024)","plainCitation":"(Widyastuti et al., 2024)","noteIndex":0},"citationItems":[{"id":"A3GAWW6d/bUXqZqf4","uris":["http://www.mendeley.com/documents/?uuid=6a8810db-cc7e-4f5f-9024-ea48848e28db"],"itemData":{"DOI":"10.1080/23311975.2024.2322778","ISSN":"23311975","abstract":"This study aims to answer the impact of digital financial literacy (DFL) and the demographic factors on digital financial inclusion (DFI). This model employed the independent variables that consist of digital financial literacy and demographic factors including gender, age, occupation, marital status, income. By applying purposive sampling, this study collected the data from 160 households who have minimum one banks’ accounts. To answer the research hypotheses, this study analyzed the data using binary logistic regression that categorized sample into DFI or otherwise. Based on the model fit test, the findings showed that DFL and demographic factors affect DFI. The effect of gender and marital status showed an insignificant effect on DFI. Conversely, DFL and other demographic factors including age, income, occupation significantly explain DFI in Indonesian household. The model can predict 84.4% respondents in a correct classification as DFI or otherwise.","author":[{"dropping-particle":"","family":"Widyastuti","given":"Umi","non-dropping-particle":"","parse-names":false,"suffix":""},{"dropping-particle":"","family":"Respati","given":"Dwi Kismayanti","non-dropping-particle":"","parse-names":false,"suffix":""},{"dropping-particle":"","family":"Dewi","given":"Vera Intanie","non-dropping-particle":"","parse-names":false,"suffix":""},{"dropping-particle":"","family":"Soma","given":"Abdul Mukti","non-dropping-particle":"","parse-names":false,"suffix":""}],"container-title":"Cogent Business and Management","id":"ITEM-1","issue":"1","issued":{"date-parts":[["2024"]]},"page":"-","publisher":"Cogent","title":"The Nexus of Digital Financial Inclusion, Digital Financial Literacy and Demographic Factors: Lesson From Indonesia","type":"article-journal","volume":"11"}}],"schema":"https://github.com/citation-style-language/schema/raw/master/csl-citation.json"} </w:instrText>
      </w:r>
      <w:r w:rsidR="0021283E" w:rsidRPr="00A840BC">
        <w:rPr>
          <w:rFonts w:ascii="Arial" w:hAnsi="Arial" w:cs="Arial"/>
          <w:color w:val="000000" w:themeColor="text1"/>
        </w:rPr>
        <w:fldChar w:fldCharType="separate"/>
      </w:r>
      <w:r w:rsidR="00CC4F27" w:rsidRPr="00A840BC">
        <w:rPr>
          <w:rFonts w:ascii="Arial" w:hAnsi="Arial" w:cs="Arial"/>
          <w:noProof/>
          <w:color w:val="000000" w:themeColor="text1"/>
        </w:rPr>
        <w:t>(Widyastuti et al., 2024)</w:t>
      </w:r>
      <w:r w:rsidR="0021283E" w:rsidRPr="00A840BC">
        <w:rPr>
          <w:rFonts w:ascii="Arial" w:hAnsi="Arial" w:cs="Arial"/>
          <w:color w:val="000000" w:themeColor="text1"/>
        </w:rPr>
        <w:fldChar w:fldCharType="end"/>
      </w:r>
      <w:r w:rsidR="0021283E" w:rsidRPr="00A840BC">
        <w:rPr>
          <w:rFonts w:ascii="Arial" w:hAnsi="Arial" w:cs="Arial"/>
          <w:color w:val="000000" w:themeColor="text1"/>
        </w:rPr>
        <w:t>,</w:t>
      </w:r>
      <w:r w:rsidRPr="00A840BC">
        <w:rPr>
          <w:rFonts w:ascii="Arial" w:hAnsi="Arial" w:cs="Arial"/>
          <w:color w:val="000000" w:themeColor="text1"/>
        </w:rPr>
        <w:t xml:space="preserve"> who stated that managing digital risks is crucial for being an active user. The findings suggest that reducing the </w:t>
      </w:r>
      <w:r w:rsidR="00E07541" w:rsidRPr="00A840BC">
        <w:rPr>
          <w:rFonts w:ascii="Arial" w:hAnsi="Arial" w:cs="Arial"/>
          <w:color w:val="000000" w:themeColor="text1"/>
        </w:rPr>
        <w:t>digital</w:t>
      </w:r>
      <w:r w:rsidRPr="00A840BC">
        <w:rPr>
          <w:rFonts w:ascii="Arial" w:hAnsi="Arial" w:cs="Arial"/>
          <w:color w:val="000000" w:themeColor="text1"/>
        </w:rPr>
        <w:t xml:space="preserve"> literacy gap</w:t>
      </w:r>
      <w:r w:rsidR="00750A09" w:rsidRPr="00A840BC">
        <w:rPr>
          <w:rFonts w:ascii="Arial" w:hAnsi="Arial" w:cs="Arial"/>
          <w:color w:val="000000" w:themeColor="text1"/>
        </w:rPr>
        <w:t xml:space="preserve"> </w:t>
      </w:r>
      <w:r w:rsidRPr="00A840BC">
        <w:rPr>
          <w:rFonts w:ascii="Arial" w:hAnsi="Arial" w:cs="Arial"/>
          <w:color w:val="000000" w:themeColor="text1"/>
        </w:rPr>
        <w:t>is a more powerful strategy for fostering inclusion than merely expanding infrastructure.</w:t>
      </w:r>
      <w:r w:rsidR="00874F00" w:rsidRPr="00A840BC">
        <w:rPr>
          <w:rFonts w:ascii="Arial" w:hAnsi="Arial" w:cs="Arial"/>
          <w:color w:val="000000" w:themeColor="text1"/>
        </w:rPr>
        <w:t xml:space="preserve"> </w:t>
      </w:r>
    </w:p>
    <w:p w14:paraId="61E0E529" w14:textId="56DF2E3F" w:rsidR="00874F00" w:rsidRPr="00A840BC" w:rsidRDefault="00874F00" w:rsidP="00874F00">
      <w:pPr>
        <w:pStyle w:val="Body"/>
        <w:rPr>
          <w:rFonts w:ascii="Arial" w:hAnsi="Arial" w:cs="Arial"/>
          <w:color w:val="000000" w:themeColor="text1"/>
        </w:rPr>
      </w:pPr>
      <w:r w:rsidRPr="00A840BC">
        <w:rPr>
          <w:rFonts w:ascii="Arial" w:hAnsi="Arial" w:cs="Arial"/>
          <w:color w:val="000000" w:themeColor="text1"/>
        </w:rPr>
        <w:t>Moreover, the results of this research strengthen the increasing agreement that having skills in digital finance is a vital component for sustainable progress. As pointed out by Nainggolan et al. (2025), enhancing digital financial knowledge directly aids in reaching Sustainable Development Goals (SDGs) by empowering micro, small, and medium enterprises (MSMEs). This notion is further supported by</w:t>
      </w:r>
      <w:r w:rsidR="006C15F7" w:rsidRPr="00A840BC">
        <w:rPr>
          <w:rFonts w:ascii="Arial" w:hAnsi="Arial" w:cs="Arial"/>
          <w:color w:val="000000" w:themeColor="text1"/>
        </w:rPr>
        <w:t xml:space="preserve"> </w:t>
      </w:r>
      <w:r w:rsidR="006C15F7" w:rsidRPr="00A840BC">
        <w:rPr>
          <w:rFonts w:ascii="Arial" w:hAnsi="Arial" w:cs="Arial"/>
          <w:color w:val="000000" w:themeColor="text1"/>
        </w:rPr>
        <w:fldChar w:fldCharType="begin"/>
      </w:r>
      <w:r w:rsidR="006C15F7" w:rsidRPr="00A840BC">
        <w:rPr>
          <w:rFonts w:ascii="Arial" w:hAnsi="Arial" w:cs="Arial"/>
          <w:color w:val="000000" w:themeColor="text1"/>
        </w:rPr>
        <w:instrText xml:space="preserve"> ADDIN ZOTERO_ITEM CSL_CITATION {"citationID":"eygP7Bio","properties":{"formattedCitation":"(Sitriani et al., 2025)","plainCitation":"(Sitriani et al., 2025)","noteIndex":0},"citationItems":[{"id":13,"uris":["http://zotero.org/users/local/VzFVM8Nl/items/8IAEMP9B"],"itemData":{"id":13,"type":"article-journal","abstract":"This study aims to analyze the effect of financial literacy and financial digitalization on the profitability of MSMEs registered with the Palu City Business Incubator (INBIS) in the 2023-2024 period. Given the crucial role of MSMEs in the local economy and the challenges related to financial literacy and digitalization adoption, this study seeks to provide empirical evidence. A quantitative approach with descriptive and causal methods was used, involving 30 MSMEs through a census to obtain comprehensive data. Data analysis was carried out using multiple linear regression. The results showed that financial literacy significantly affected MSME profitability, making a greater contribution than financial digitalization. Financial digitalization also had a positive impact, although its contribution was relatively smaller. Simultaneously, financial literacy and financial digitalization significantly affected MSME profitability. These findings emphasize the importance of a combination of good financial literacy and adoption of digital technology. The implication is that the government and INBIS need to design a sustainable integrated training program to improve MSME digital financial literacy. MSMEs are advised to actively utilize digital financial platforms and improve their understanding of financial management. Financial institutions are expected to develop products according to MSME needs and provide more effective financial education. This research provides insights for stakeholders in supporting the growth of MSMEs through increasing literacy and digital transformation, which ultimately contributes to regional economic stability.","container-title":"Golden Ratio of Finance Management","DOI":"10.52970/grfm.v5i1.997","ISSN":"2776-6780","issue":"1","journalAbbreviation":"GRFM","language":"en","license":"https://creativecommons.org/licenses/by-sa/4.0","page":"228-238","source":"DOI.org (Crossref)","title":"The Influence of Financial Literacy and Financial Digitalization on the Profitability: Study on Micro and Small Enterprises Business Incubator in Palu City, Indonesia","title-short":"The Influence of Financial Literacy and Financial Digitalization on the Profitability","volume":"5","author":[{"family":"Sitriani","given":"Afifah"},{"family":"Zainuddin","given":"Fatlina"},{"family":"Muslimin","given":"M."},{"family":"Risendy","given":"Rian"}],"issued":{"date-parts":[["2025",3,29]]}}}],"schema":"https://github.com/citation-style-language/schema/raw/master/csl-citation.json"} </w:instrText>
      </w:r>
      <w:r w:rsidR="006C15F7" w:rsidRPr="00A840BC">
        <w:rPr>
          <w:rFonts w:ascii="Arial" w:hAnsi="Arial" w:cs="Arial"/>
          <w:color w:val="000000" w:themeColor="text1"/>
        </w:rPr>
        <w:fldChar w:fldCharType="separate"/>
      </w:r>
      <w:r w:rsidR="006C15F7" w:rsidRPr="00A840BC">
        <w:rPr>
          <w:rFonts w:ascii="Arial" w:hAnsi="Arial" w:cs="Arial"/>
          <w:noProof/>
          <w:color w:val="000000" w:themeColor="text1"/>
        </w:rPr>
        <w:t>(Sitriani et al., 2025)</w:t>
      </w:r>
      <w:r w:rsidR="006C15F7" w:rsidRPr="00A840BC">
        <w:rPr>
          <w:rFonts w:ascii="Arial" w:hAnsi="Arial" w:cs="Arial"/>
          <w:color w:val="000000" w:themeColor="text1"/>
        </w:rPr>
        <w:fldChar w:fldCharType="end"/>
      </w:r>
      <w:r w:rsidRPr="00A840BC">
        <w:rPr>
          <w:rFonts w:ascii="Arial" w:hAnsi="Arial" w:cs="Arial"/>
          <w:color w:val="000000" w:themeColor="text1"/>
        </w:rPr>
        <w:t xml:space="preserve">, who showed that both financial education and digital advancements are significant factors in boosting the profits of MSMEs. </w:t>
      </w:r>
    </w:p>
    <w:p w14:paraId="050641DE" w14:textId="362D5922" w:rsidR="00BC0EC3" w:rsidRPr="00A840BC" w:rsidRDefault="00BC0EC3" w:rsidP="00BC0EC3">
      <w:pPr>
        <w:pStyle w:val="Body"/>
        <w:rPr>
          <w:rFonts w:ascii="Arial" w:hAnsi="Arial" w:cs="Arial"/>
          <w:color w:val="000000" w:themeColor="text1"/>
        </w:rPr>
      </w:pPr>
      <w:r w:rsidRPr="00A840BC">
        <w:rPr>
          <w:rFonts w:ascii="Arial" w:hAnsi="Arial" w:cs="Arial"/>
          <w:color w:val="000000" w:themeColor="text1"/>
        </w:rPr>
        <w:t xml:space="preserve">Furthermore, the actions of Generation Z in East Java underline the significant impact of social media within this environment. In alignment with </w:t>
      </w:r>
      <w:r w:rsidR="006C15F7" w:rsidRPr="00A840BC">
        <w:rPr>
          <w:rFonts w:ascii="Arial" w:hAnsi="Arial" w:cs="Arial"/>
          <w:color w:val="000000" w:themeColor="text1"/>
        </w:rPr>
        <w:fldChar w:fldCharType="begin"/>
      </w:r>
      <w:r w:rsidR="006C15F7" w:rsidRPr="00A840BC">
        <w:rPr>
          <w:rFonts w:ascii="Arial" w:hAnsi="Arial" w:cs="Arial"/>
          <w:color w:val="000000" w:themeColor="text1"/>
        </w:rPr>
        <w:instrText xml:space="preserve"> ADDIN ZOTERO_ITEM CSL_CITATION {"citationID":"b6oN3C7S","properties":{"formattedCitation":"(Al-shami et al., 2024)","plainCitation":"(Al-shami et al., 2024)","noteIndex":0},"citationItems":[{"id":7,"uris":["http://zotero.org/users/local/VzFVM8Nl/items/K2CS3DQL"],"itemData":{"id":7,"type":"article-journal","abstract":"Batik, an Indonesian textile art form, holds immense economic and cultural importance. Small and medium enterprises (SMEs) specialising in batik play a crucial role in Indonesia’s economic growth and cultural preservation, contributing significantly to the gross domestic product (GDP) and preserving the nation’s heritage. Nevertheless, these enterprises face several challenges, such as slow growth and limited access to credit. The batik industry also lags in financial literacy and the adoption of digital marketing strategies, hindering its development. This quantitative study aims to investigate the relationship between financial literacy, digital financial literacy, and financial inclusion in batik SMEs and also examined the moderating effect of online social networks. A survey was conducted involving 535 managers, owners, and financial officers of small batik enterprises. Subsequently, the SmartPLS statistical analysis method was employed for data analysis. The results demonstrate that financial literacy and digital financial literacy play a significant role in accessing financial inclusion for batik small enterprises. Moreover, the utilisation of social media was found to moderate these relationships, amplifying the impact of financial and digital literacy on financial inclusion. The findings contribute to the existing knowledge, provide insights for enhancing batik small enterprises, and propose a digital financial model to promote financial inclusion.","container-title":"Heliyon","DOI":"10.1016/j.heliyon.2024.e34902","ISSN":"24058440","issue":"15","journalAbbreviation":"Heliyon","language":"en","page":"e34902","source":"DOI.org (Crossref)","title":"Financial and digital financial literacy through social media use towards financial inclusion among batik small enterprises in Indonesia","volume":"10","author":[{"family":"Al-shami","given":"Samer Ali"},{"family":"Damayanti","given":"Ratna"},{"family":"Adil","given":"Hayder"},{"family":"Farhi","given":"Faycal"},{"family":"Al Mamun","given":"Abdullah"}],"issued":{"date-parts":[["2024",8]]}}}],"schema":"https://github.com/citation-style-language/schema/raw/master/csl-citation.json"} </w:instrText>
      </w:r>
      <w:r w:rsidR="006C15F7" w:rsidRPr="00A840BC">
        <w:rPr>
          <w:rFonts w:ascii="Arial" w:hAnsi="Arial" w:cs="Arial"/>
          <w:color w:val="000000" w:themeColor="text1"/>
        </w:rPr>
        <w:fldChar w:fldCharType="separate"/>
      </w:r>
      <w:r w:rsidR="006C15F7" w:rsidRPr="00A840BC">
        <w:rPr>
          <w:rFonts w:ascii="Arial" w:hAnsi="Arial" w:cs="Arial"/>
          <w:noProof/>
          <w:color w:val="000000" w:themeColor="text1"/>
        </w:rPr>
        <w:t>(Al-shami et al., 2024)</w:t>
      </w:r>
      <w:r w:rsidR="006C15F7" w:rsidRPr="00A840BC">
        <w:rPr>
          <w:rFonts w:ascii="Arial" w:hAnsi="Arial" w:cs="Arial"/>
          <w:color w:val="000000" w:themeColor="text1"/>
        </w:rPr>
        <w:fldChar w:fldCharType="end"/>
      </w:r>
      <w:r w:rsidR="006C15F7" w:rsidRPr="00A840BC">
        <w:rPr>
          <w:rFonts w:ascii="Arial" w:hAnsi="Arial" w:cs="Arial"/>
          <w:color w:val="000000" w:themeColor="text1"/>
        </w:rPr>
        <w:t>,</w:t>
      </w:r>
      <w:r w:rsidRPr="00A840BC">
        <w:rPr>
          <w:rFonts w:ascii="Arial" w:hAnsi="Arial" w:cs="Arial"/>
          <w:color w:val="000000" w:themeColor="text1"/>
        </w:rPr>
        <w:t xml:space="preserve"> the incorporation of digital financial knowledge via social media platforms speeds up financial inclusion for small businesses. </w:t>
      </w:r>
    </w:p>
    <w:p w14:paraId="0695D20D" w14:textId="2BB0DA99" w:rsidR="00472DC9" w:rsidRPr="00A840BC" w:rsidRDefault="00BC0EC3" w:rsidP="00BC0EC3">
      <w:pPr>
        <w:pStyle w:val="Body"/>
        <w:spacing w:after="0"/>
        <w:rPr>
          <w:rFonts w:ascii="Arial" w:hAnsi="Arial" w:cs="Arial"/>
          <w:color w:val="000000" w:themeColor="text1"/>
        </w:rPr>
      </w:pPr>
      <w:r w:rsidRPr="00A840BC">
        <w:rPr>
          <w:rFonts w:ascii="Arial" w:hAnsi="Arial" w:cs="Arial"/>
          <w:color w:val="000000" w:themeColor="text1"/>
        </w:rPr>
        <w:t xml:space="preserve">This insight is supported by </w:t>
      </w:r>
      <w:r w:rsidR="00E9006B" w:rsidRPr="00A840BC">
        <w:rPr>
          <w:rFonts w:ascii="Arial" w:hAnsi="Arial" w:cs="Arial"/>
          <w:color w:val="000000" w:themeColor="text1"/>
        </w:rPr>
        <w:fldChar w:fldCharType="begin"/>
      </w:r>
      <w:r w:rsidR="00E9006B" w:rsidRPr="00A840BC">
        <w:rPr>
          <w:rFonts w:ascii="Arial" w:hAnsi="Arial" w:cs="Arial"/>
          <w:color w:val="000000" w:themeColor="text1"/>
        </w:rPr>
        <w:instrText xml:space="preserve"> ADDIN ZOTERO_ITEM CSL_CITATION {"citationID":"euOvdYUb","properties":{"formattedCitation":"(Dewi et al., n.d.)","plainCitation":"(Dewi et al., n.d.)","noteIndex":0},"citationItems":[{"id":15,"uris":["http://zotero.org/users/local/VzFVM8Nl/items/JWGYXRE6"],"itemData":{"id":15,"type":"article-journal","abstract":"This study aims to examine the influence of financial behavior and financial literacy on financial inclusion in Generation Z in Indonesia, which is a productive age group and digital native. Although Gen Z has extensive access to digital financial technology and services, their financial literacy levels are still relatively low, affecting the quality of participation in the formal financial system. This study uses a quantitative approach with a survey method of 120 Gen Z respondents aged 18–24 years, which was analyzed using Structural Equation Modeling based on Partial Least Squares (SEM-PLS). The results showed that financial behavior had a positive and significant influence on financial inclusion (β = 0.410; p &lt; 0.001), which means that the better their financial habits such as saving, budgeting, and managing debt, the higher their participation rate in formal financial services. In addition, financial literacy has also been shown to have a positive and significant effect on financial inclusion (β = 0.350; p &lt; 0.001). Individuals with a strong understanding of financial products, risks, and decisionmaking tend to be more active and intelligent in using banking, fintech, and other financial instruments. These findings confirm that financial inclusion depends not only on physical access to financial services, but also on the quality of an individual's financial behavior and understanding. Therefore, increasing financial literacy and forming healthy financial behaviors is an important strategy in encouraging sustainable financial inclusion among the younger generation.","language":"en","source":"Zotero","title":"Financial Literacy as a Mediating Variable between Financial Behavior and Financial Inclusion: Evidence from Generation Z in Indonesia","author":[{"family":"Dewi","given":"Monica"},{"family":"Buchdadi","given":"Agung Dharmawan"},{"family":"Mahfirah","given":"Titis Fatarina"}]}}],"schema":"https://github.com/citation-style-language/schema/raw/master/csl-citation.json"} </w:instrText>
      </w:r>
      <w:r w:rsidR="00E9006B" w:rsidRPr="00A840BC">
        <w:rPr>
          <w:rFonts w:ascii="Arial" w:hAnsi="Arial" w:cs="Arial"/>
          <w:color w:val="000000" w:themeColor="text1"/>
        </w:rPr>
        <w:fldChar w:fldCharType="separate"/>
      </w:r>
      <w:r w:rsidR="00E9006B" w:rsidRPr="00A840BC">
        <w:rPr>
          <w:rFonts w:ascii="Arial" w:hAnsi="Arial" w:cs="Arial"/>
          <w:noProof/>
          <w:color w:val="000000" w:themeColor="text1"/>
        </w:rPr>
        <w:t>(Dewi et al., n.d.)</w:t>
      </w:r>
      <w:r w:rsidR="00E9006B" w:rsidRPr="00A840BC">
        <w:rPr>
          <w:rFonts w:ascii="Arial" w:hAnsi="Arial" w:cs="Arial"/>
          <w:color w:val="000000" w:themeColor="text1"/>
        </w:rPr>
        <w:fldChar w:fldCharType="end"/>
      </w:r>
      <w:r w:rsidR="00E9006B" w:rsidRPr="00A840BC">
        <w:rPr>
          <w:rFonts w:ascii="Arial" w:hAnsi="Arial" w:cs="Arial"/>
          <w:color w:val="000000" w:themeColor="text1"/>
        </w:rPr>
        <w:t>,</w:t>
      </w:r>
      <w:r w:rsidRPr="00A840BC">
        <w:rPr>
          <w:rFonts w:ascii="Arial" w:hAnsi="Arial" w:cs="Arial"/>
          <w:color w:val="000000" w:themeColor="text1"/>
        </w:rPr>
        <w:t xml:space="preserve"> who discovered that for Generation Z in Indonesia, understanding finances plays a crucial role in converting beneficial financial practices</w:t>
      </w:r>
      <w:r w:rsidR="00AF0EFE" w:rsidRPr="00A840BC">
        <w:rPr>
          <w:rFonts w:ascii="Arial" w:hAnsi="Arial" w:cs="Arial"/>
          <w:color w:val="000000" w:themeColor="text1"/>
        </w:rPr>
        <w:t xml:space="preserve">, such as </w:t>
      </w:r>
      <w:r w:rsidRPr="00A840BC">
        <w:rPr>
          <w:rFonts w:ascii="Arial" w:hAnsi="Arial" w:cs="Arial"/>
          <w:color w:val="000000" w:themeColor="text1"/>
        </w:rPr>
        <w:t>managing a budget and handling debt</w:t>
      </w:r>
      <w:r w:rsidR="00AF0EFE" w:rsidRPr="00A840BC">
        <w:rPr>
          <w:rFonts w:ascii="Arial" w:hAnsi="Arial" w:cs="Arial"/>
          <w:color w:val="000000" w:themeColor="text1"/>
        </w:rPr>
        <w:t xml:space="preserve">, </w:t>
      </w:r>
      <w:r w:rsidRPr="00A840BC">
        <w:rPr>
          <w:rFonts w:ascii="Arial" w:hAnsi="Arial" w:cs="Arial"/>
          <w:color w:val="000000" w:themeColor="text1"/>
        </w:rPr>
        <w:t xml:space="preserve">into involvement in the formal </w:t>
      </w:r>
      <w:r w:rsidRPr="00A840BC">
        <w:rPr>
          <w:rFonts w:ascii="Arial" w:hAnsi="Arial" w:cs="Arial"/>
          <w:color w:val="000000" w:themeColor="text1"/>
        </w:rPr>
        <w:lastRenderedPageBreak/>
        <w:t>financial system. As a result, upcoming initiatives ought to utilize these digital avenues to teach young business owners effectively.</w:t>
      </w:r>
    </w:p>
    <w:p w14:paraId="1D0C0439" w14:textId="77777777" w:rsidR="00505F06" w:rsidRPr="00A840BC" w:rsidRDefault="00505F06" w:rsidP="002E3784">
      <w:pPr>
        <w:pStyle w:val="Body"/>
        <w:spacing w:after="0"/>
        <w:rPr>
          <w:rFonts w:ascii="Arial" w:hAnsi="Arial" w:cs="Arial"/>
          <w:color w:val="EE0000"/>
        </w:rPr>
      </w:pPr>
    </w:p>
    <w:p w14:paraId="125CB77F" w14:textId="039BD22A" w:rsidR="00AE768C" w:rsidRPr="00A840BC" w:rsidRDefault="00CA5BB4" w:rsidP="002E3784">
      <w:pPr>
        <w:pStyle w:val="Body"/>
        <w:spacing w:after="0"/>
        <w:rPr>
          <w:rFonts w:ascii="Arial" w:hAnsi="Arial" w:cs="Arial"/>
          <w:b/>
          <w:color w:val="000000" w:themeColor="text1"/>
          <w:u w:val="single"/>
        </w:rPr>
      </w:pPr>
      <w:r w:rsidRPr="00A840BC">
        <w:rPr>
          <w:rFonts w:ascii="Arial" w:hAnsi="Arial" w:cs="Arial"/>
          <w:b/>
          <w:color w:val="000000" w:themeColor="text1"/>
          <w:u w:val="single"/>
        </w:rPr>
        <w:t>4</w:t>
      </w:r>
      <w:r w:rsidR="00AE768C" w:rsidRPr="00A840BC">
        <w:rPr>
          <w:rFonts w:ascii="Arial" w:hAnsi="Arial" w:cs="Arial"/>
          <w:b/>
          <w:color w:val="000000" w:themeColor="text1"/>
          <w:u w:val="single"/>
        </w:rPr>
        <w:t>.</w:t>
      </w:r>
      <w:r w:rsidR="003400F6" w:rsidRPr="00A840BC">
        <w:rPr>
          <w:rFonts w:ascii="Arial" w:hAnsi="Arial" w:cs="Arial"/>
          <w:b/>
          <w:color w:val="000000" w:themeColor="text1"/>
          <w:u w:val="single"/>
        </w:rPr>
        <w:t>5</w:t>
      </w:r>
      <w:r w:rsidR="00AE768C" w:rsidRPr="00A840BC">
        <w:rPr>
          <w:rFonts w:ascii="Arial" w:hAnsi="Arial" w:cs="Arial"/>
          <w:b/>
          <w:color w:val="000000" w:themeColor="text1"/>
          <w:u w:val="single"/>
        </w:rPr>
        <w:t xml:space="preserve">.3 </w:t>
      </w:r>
      <w:r w:rsidR="001C1C2E" w:rsidRPr="00A840BC">
        <w:rPr>
          <w:rFonts w:ascii="Arial" w:hAnsi="Arial" w:cs="Arial"/>
          <w:b/>
          <w:color w:val="000000" w:themeColor="text1"/>
          <w:u w:val="single"/>
        </w:rPr>
        <w:t xml:space="preserve">Simultaneous </w:t>
      </w:r>
      <w:r w:rsidR="00AE768C" w:rsidRPr="00A840BC">
        <w:rPr>
          <w:rFonts w:ascii="Arial" w:hAnsi="Arial" w:cs="Arial"/>
          <w:b/>
          <w:color w:val="000000" w:themeColor="text1"/>
          <w:u w:val="single"/>
        </w:rPr>
        <w:t>In</w:t>
      </w:r>
      <w:r w:rsidR="001C1C2E" w:rsidRPr="00A840BC">
        <w:rPr>
          <w:rFonts w:ascii="Arial" w:hAnsi="Arial" w:cs="Arial"/>
          <w:b/>
          <w:color w:val="000000" w:themeColor="text1"/>
          <w:u w:val="single"/>
        </w:rPr>
        <w:t>f</w:t>
      </w:r>
      <w:r w:rsidR="00AE768C" w:rsidRPr="00A840BC">
        <w:rPr>
          <w:rFonts w:ascii="Arial" w:hAnsi="Arial" w:cs="Arial"/>
          <w:b/>
          <w:color w:val="000000" w:themeColor="text1"/>
          <w:u w:val="single"/>
        </w:rPr>
        <w:t>luence</w:t>
      </w:r>
      <w:r w:rsidR="001C1C2E" w:rsidRPr="00A840BC">
        <w:rPr>
          <w:rFonts w:ascii="Arial" w:hAnsi="Arial" w:cs="Arial"/>
          <w:b/>
          <w:color w:val="000000" w:themeColor="text1"/>
          <w:u w:val="single"/>
        </w:rPr>
        <w:t xml:space="preserve"> </w:t>
      </w:r>
    </w:p>
    <w:p w14:paraId="3585824A" w14:textId="77777777" w:rsidR="00F30238" w:rsidRPr="00A840BC" w:rsidRDefault="00F30238" w:rsidP="002E3784">
      <w:pPr>
        <w:pStyle w:val="Body"/>
        <w:spacing w:after="0"/>
        <w:rPr>
          <w:rFonts w:ascii="Arial" w:hAnsi="Arial" w:cs="Arial"/>
          <w:color w:val="000000" w:themeColor="text1"/>
        </w:rPr>
      </w:pPr>
    </w:p>
    <w:p w14:paraId="2FDFF718" w14:textId="26DC68F0" w:rsidR="003400F6" w:rsidRPr="00A840BC" w:rsidRDefault="003400F6" w:rsidP="002E3784">
      <w:pPr>
        <w:pStyle w:val="Body"/>
        <w:rPr>
          <w:rFonts w:ascii="Arial" w:hAnsi="Arial" w:cs="Arial"/>
          <w:color w:val="000000" w:themeColor="text1"/>
        </w:rPr>
      </w:pPr>
      <w:r w:rsidRPr="00A840BC">
        <w:rPr>
          <w:rFonts w:ascii="Arial" w:hAnsi="Arial" w:cs="Arial"/>
          <w:color w:val="000000" w:themeColor="text1"/>
        </w:rPr>
        <w:t xml:space="preserve">At the same time, Government Policies and Digital Financial Literacy play crucial roles in fostering Digital Financial Inclusion, </w:t>
      </w:r>
      <w:r w:rsidR="00204303" w:rsidRPr="00A840BC">
        <w:rPr>
          <w:rFonts w:ascii="Arial" w:hAnsi="Arial" w:cs="Arial"/>
          <w:color w:val="000000" w:themeColor="text1"/>
        </w:rPr>
        <w:t>a</w:t>
      </w:r>
      <w:r w:rsidR="000D20C4" w:rsidRPr="00A840BC">
        <w:rPr>
          <w:rFonts w:ascii="Arial" w:hAnsi="Arial" w:cs="Arial"/>
          <w:color w:val="000000" w:themeColor="text1"/>
        </w:rPr>
        <w:t xml:space="preserve">s shown in the results section, the </w:t>
      </w:r>
      <m:oMath>
        <m:sSub>
          <m:sSubPr>
            <m:ctrlPr>
              <w:rPr>
                <w:rFonts w:ascii="Cambria Math" w:eastAsia="Calibri" w:hAnsi="Cambria Math"/>
                <w:i/>
                <w:color w:val="000000" w:themeColor="text1"/>
              </w:rPr>
            </m:ctrlPr>
          </m:sSubPr>
          <m:e>
            <m:r>
              <w:rPr>
                <w:rFonts w:ascii="Cambria Math" w:eastAsia="Calibri" w:hAnsi="Cambria Math"/>
                <w:color w:val="000000" w:themeColor="text1"/>
              </w:rPr>
              <m:t>F</m:t>
            </m:r>
          </m:e>
          <m:sub>
            <m:r>
              <w:rPr>
                <w:rFonts w:ascii="Cambria Math" w:eastAsia="Calibri" w:hAnsi="Cambria Math"/>
                <w:color w:val="000000" w:themeColor="text1"/>
              </w:rPr>
              <m:t>count</m:t>
            </m:r>
          </m:sub>
        </m:sSub>
        <m:r>
          <w:rPr>
            <w:rFonts w:ascii="Cambria Math" w:eastAsia="Calibri" w:hAnsi="Cambria Math"/>
            <w:color w:val="000000" w:themeColor="text1"/>
          </w:rPr>
          <m:t xml:space="preserve"> </m:t>
        </m:r>
      </m:oMath>
      <w:r w:rsidR="000D20C4" w:rsidRPr="00A840BC">
        <w:rPr>
          <w:rFonts w:ascii="Arial" w:hAnsi="Arial" w:cs="Arial"/>
          <w:color w:val="000000" w:themeColor="text1"/>
        </w:rPr>
        <w:t xml:space="preserve"> of 62.34 (which is well above the critical threshold) offers strong statistical proof of this combined effect. This indicates a supportive connection between overarching structural assistance and individual skill development.</w:t>
      </w:r>
    </w:p>
    <w:p w14:paraId="1A3E787F" w14:textId="70DAB500" w:rsidR="003400F6" w:rsidRPr="00A840BC" w:rsidRDefault="00485E56" w:rsidP="002E3784">
      <w:pPr>
        <w:pStyle w:val="Body"/>
        <w:rPr>
          <w:rFonts w:ascii="Arial" w:hAnsi="Arial" w:cs="Arial"/>
          <w:color w:val="000000" w:themeColor="text1"/>
        </w:rPr>
      </w:pPr>
      <w:r w:rsidRPr="00A840BC">
        <w:rPr>
          <w:rFonts w:ascii="Arial" w:hAnsi="Arial" w:cs="Arial"/>
          <w:color w:val="000000" w:themeColor="text1"/>
        </w:rPr>
        <w:t xml:space="preserve">In this context, Digital Financial Literacy acts as the internal competency, while Government Policy serves as the external structural enabler. </w:t>
      </w:r>
      <w:r w:rsidR="003400F6" w:rsidRPr="00A840BC">
        <w:rPr>
          <w:rFonts w:ascii="Arial" w:hAnsi="Arial" w:cs="Arial"/>
          <w:color w:val="000000" w:themeColor="text1"/>
        </w:rPr>
        <w:t xml:space="preserve">Both elements are essential. Without proper knowledge, the advanced systems developed by the government, such as QRIS or digital banking, may not be used effectively and could even facilitate fraud. On the other hand, entrepreneurs who possess strong financial literacy may struggle to succeed without a well-regulated, safe, and accessible digital environment. </w:t>
      </w:r>
    </w:p>
    <w:p w14:paraId="09F82F46" w14:textId="0C386156" w:rsidR="00AE768C" w:rsidRPr="00A840BC" w:rsidRDefault="003400F6" w:rsidP="002E3784">
      <w:pPr>
        <w:pStyle w:val="Body"/>
        <w:spacing w:after="0"/>
        <w:rPr>
          <w:rFonts w:ascii="Arial" w:hAnsi="Arial" w:cs="Arial"/>
          <w:b/>
          <w:bCs/>
          <w:color w:val="000000" w:themeColor="text1"/>
        </w:rPr>
      </w:pPr>
      <w:r w:rsidRPr="00A840BC">
        <w:rPr>
          <w:rFonts w:ascii="Arial" w:hAnsi="Arial" w:cs="Arial"/>
          <w:color w:val="000000" w:themeColor="text1"/>
        </w:rPr>
        <w:t>Although the model accounts for 24.6% of the variability</w:t>
      </w:r>
      <w:r w:rsidR="00B231E7" w:rsidRPr="00A840BC">
        <w:rPr>
          <w:rFonts w:ascii="Arial" w:hAnsi="Arial" w:cs="Arial"/>
          <w:color w:val="000000" w:themeColor="text1"/>
        </w:rPr>
        <w:t xml:space="preserve">, </w:t>
      </w:r>
      <w:r w:rsidRPr="00A840BC">
        <w:rPr>
          <w:rFonts w:ascii="Arial" w:hAnsi="Arial" w:cs="Arial"/>
          <w:color w:val="000000" w:themeColor="text1"/>
        </w:rPr>
        <w:t>a reasonable figure for behavioral social science underscores that close to a quarter of the decision to engage with digital finance is influenced by this collaboration. The other 75.4% of the variability is probably linked to unseen factors like access to capital, social pressures, or market dynamics. Nonetheless, the research emphasizes that combining supportive policy with strong literacy is crucial for fostering inclusive growth in the digital economy.</w:t>
      </w:r>
    </w:p>
    <w:p w14:paraId="3EC851D8" w14:textId="33EF8772" w:rsidR="00790ADA" w:rsidRPr="00A840BC" w:rsidRDefault="00790ADA" w:rsidP="002E3784">
      <w:pPr>
        <w:pStyle w:val="Body"/>
        <w:spacing w:after="0"/>
        <w:rPr>
          <w:rFonts w:ascii="Arial" w:hAnsi="Arial" w:cs="Arial"/>
          <w:color w:val="EE0000"/>
        </w:rPr>
      </w:pPr>
    </w:p>
    <w:p w14:paraId="0F515ED8" w14:textId="3B27E5D0" w:rsidR="00B85323" w:rsidRPr="00A840BC" w:rsidRDefault="00A840BC" w:rsidP="002E3784">
      <w:pPr>
        <w:pStyle w:val="ConcHead"/>
        <w:spacing w:after="0"/>
        <w:jc w:val="both"/>
        <w:rPr>
          <w:rFonts w:ascii="Arial" w:hAnsi="Arial" w:cs="Arial"/>
        </w:rPr>
      </w:pPr>
      <w:r>
        <w:rPr>
          <w:rFonts w:ascii="Arial" w:hAnsi="Arial" w:cs="Arial"/>
        </w:rPr>
        <w:t>6</w:t>
      </w:r>
      <w:r w:rsidR="00000F8F" w:rsidRPr="00A840BC">
        <w:rPr>
          <w:rFonts w:ascii="Arial" w:hAnsi="Arial" w:cs="Arial"/>
        </w:rPr>
        <w:t xml:space="preserve">. </w:t>
      </w:r>
      <w:r w:rsidR="00B01FCD" w:rsidRPr="00A840BC">
        <w:rPr>
          <w:rFonts w:ascii="Arial" w:hAnsi="Arial" w:cs="Arial"/>
        </w:rPr>
        <w:t>Conclusion</w:t>
      </w:r>
    </w:p>
    <w:p w14:paraId="51A4943A" w14:textId="77777777" w:rsidR="00932AB9" w:rsidRPr="00A840BC" w:rsidRDefault="00932AB9" w:rsidP="002E3784">
      <w:pPr>
        <w:pStyle w:val="ConcHead"/>
        <w:spacing w:after="0"/>
        <w:jc w:val="both"/>
        <w:rPr>
          <w:rFonts w:ascii="Arial" w:hAnsi="Arial" w:cs="Arial"/>
        </w:rPr>
      </w:pPr>
    </w:p>
    <w:p w14:paraId="191A2ADC" w14:textId="5BA99F79" w:rsidR="00E9006B" w:rsidRPr="00A840BC" w:rsidRDefault="00B85323" w:rsidP="00E9006B">
      <w:pPr>
        <w:pStyle w:val="Body"/>
      </w:pPr>
      <w:r w:rsidRPr="00A840BC">
        <w:rPr>
          <w:rFonts w:ascii="Arial" w:hAnsi="Arial" w:cs="Arial"/>
        </w:rPr>
        <w:t>This research finds that</w:t>
      </w:r>
      <w:r w:rsidR="001E5DE6" w:rsidRPr="00A840BC">
        <w:rPr>
          <w:rFonts w:ascii="Arial" w:hAnsi="Arial" w:cs="Arial"/>
        </w:rPr>
        <w:t xml:space="preserve"> </w:t>
      </w:r>
      <w:r w:rsidRPr="00A840BC">
        <w:rPr>
          <w:rFonts w:ascii="Arial" w:hAnsi="Arial" w:cs="Arial"/>
        </w:rPr>
        <w:t>Government Policies have a beneficial and substantial impact on Digital Financial Inclusion</w:t>
      </w:r>
      <w:r w:rsidR="00315899" w:rsidRPr="00A840BC">
        <w:rPr>
          <w:rFonts w:ascii="Arial" w:hAnsi="Arial" w:cs="Arial"/>
        </w:rPr>
        <w:t xml:space="preserve">, </w:t>
      </w:r>
      <w:r w:rsidRPr="00A840BC">
        <w:rPr>
          <w:rFonts w:ascii="Arial" w:hAnsi="Arial" w:cs="Arial"/>
        </w:rPr>
        <w:t>Digital Financial Literacy also has a positive and significant impact on Digital Financial Inclusion,</w:t>
      </w:r>
      <w:r w:rsidR="001E5DE6" w:rsidRPr="00A840BC">
        <w:rPr>
          <w:rFonts w:ascii="Arial" w:hAnsi="Arial" w:cs="Arial"/>
        </w:rPr>
        <w:t xml:space="preserve"> </w:t>
      </w:r>
      <w:r w:rsidRPr="00A840BC">
        <w:rPr>
          <w:rFonts w:ascii="Arial" w:hAnsi="Arial" w:cs="Arial"/>
        </w:rPr>
        <w:t>serving as the more influential factor</w:t>
      </w:r>
      <w:r w:rsidR="00315899" w:rsidRPr="00A840BC">
        <w:rPr>
          <w:rFonts w:ascii="Arial" w:hAnsi="Arial" w:cs="Arial"/>
        </w:rPr>
        <w:t xml:space="preserve">, </w:t>
      </w:r>
      <w:r w:rsidRPr="00A840BC">
        <w:rPr>
          <w:rFonts w:ascii="Arial" w:hAnsi="Arial" w:cs="Arial"/>
        </w:rPr>
        <w:t xml:space="preserve">and </w:t>
      </w:r>
      <w:r w:rsidR="001E5DE6" w:rsidRPr="00A840BC">
        <w:rPr>
          <w:rFonts w:ascii="Arial" w:hAnsi="Arial" w:cs="Arial"/>
        </w:rPr>
        <w:t>b</w:t>
      </w:r>
      <w:r w:rsidRPr="00A840BC">
        <w:rPr>
          <w:rFonts w:ascii="Arial" w:hAnsi="Arial" w:cs="Arial"/>
        </w:rPr>
        <w:t>oth elements collectively affect the inclusion of Gen Z MSMEs in East Java. It is suggested that the government (OJK/B</w:t>
      </w:r>
      <w:r w:rsidR="000D561D" w:rsidRPr="00A840BC">
        <w:rPr>
          <w:rFonts w:ascii="Arial" w:hAnsi="Arial" w:cs="Arial"/>
        </w:rPr>
        <w:t>ank Indonesia</w:t>
      </w:r>
      <w:r w:rsidRPr="00A840BC">
        <w:rPr>
          <w:rFonts w:ascii="Arial" w:hAnsi="Arial" w:cs="Arial"/>
        </w:rPr>
        <w:t>) shift its emphasis from merely increasing access to enhancing the quality of digital financial education (DFL) using strategies suited for Gen Z. For MSMEs, engaging in independent learning about digital risks and features is crucial to fully leverage the advantages of the digital economy.</w:t>
      </w:r>
      <w:r w:rsidR="00E9006B" w:rsidRPr="00A840BC">
        <w:t xml:space="preserve"> </w:t>
      </w:r>
    </w:p>
    <w:p w14:paraId="2111F7AA" w14:textId="03866BE9" w:rsidR="00E9006B" w:rsidRPr="00A840BC" w:rsidRDefault="00A840BC" w:rsidP="00E9006B">
      <w:pPr>
        <w:pStyle w:val="ConcHead"/>
        <w:spacing w:after="0"/>
        <w:jc w:val="both"/>
        <w:rPr>
          <w:rFonts w:ascii="Arial" w:hAnsi="Arial" w:cs="Arial"/>
        </w:rPr>
      </w:pPr>
      <w:r>
        <w:rPr>
          <w:rFonts w:ascii="Arial" w:hAnsi="Arial" w:cs="Arial"/>
        </w:rPr>
        <w:t xml:space="preserve">7. </w:t>
      </w:r>
      <w:r w:rsidR="00E9006B" w:rsidRPr="00A840BC">
        <w:rPr>
          <w:rFonts w:ascii="Arial" w:hAnsi="Arial" w:cs="Arial"/>
        </w:rPr>
        <w:t>Limitations and Future Research</w:t>
      </w:r>
    </w:p>
    <w:p w14:paraId="300F7288" w14:textId="77777777" w:rsidR="00E9006B" w:rsidRPr="00A840BC" w:rsidRDefault="00E9006B" w:rsidP="00E9006B">
      <w:pPr>
        <w:pStyle w:val="ConcHead"/>
        <w:spacing w:after="0"/>
        <w:jc w:val="both"/>
        <w:rPr>
          <w:rFonts w:ascii="Arial" w:hAnsi="Arial" w:cs="Arial"/>
        </w:rPr>
      </w:pPr>
      <w:bookmarkStart w:id="1" w:name="_GoBack"/>
      <w:bookmarkEnd w:id="1"/>
    </w:p>
    <w:p w14:paraId="1EF951BC" w14:textId="60D6D6AC" w:rsidR="00E9006B" w:rsidRPr="00A840BC" w:rsidRDefault="00E9006B" w:rsidP="00E9006B">
      <w:pPr>
        <w:pStyle w:val="Body"/>
        <w:rPr>
          <w:rFonts w:ascii="Arial" w:hAnsi="Arial" w:cs="Arial"/>
        </w:rPr>
      </w:pPr>
      <w:r w:rsidRPr="00A840BC">
        <w:rPr>
          <w:rFonts w:ascii="Arial" w:hAnsi="Arial" w:cs="Arial"/>
        </w:rPr>
        <w:t xml:space="preserve">This research has a number of constraints that present chances for additional exploration. Initially, the geographical focus is limited to East Java Province. Although this area serves as a significant economic center in Indonesia, the results may not be applicable to other provinces that have different degrees of digital infrastructure or cultural factors. Next, the study utilizes a cross-sectional design, which means it gathers data at just one point in time (January–March 2025). As a result, it is unable to observe changes in behavior or the long-term effects of policy enforcement over time. </w:t>
      </w:r>
    </w:p>
    <w:p w14:paraId="34B5DC5B" w14:textId="5DC16233" w:rsidR="00790ADA" w:rsidRPr="00A840BC" w:rsidRDefault="00E9006B" w:rsidP="00E9006B">
      <w:pPr>
        <w:pStyle w:val="Body"/>
        <w:spacing w:after="0"/>
        <w:rPr>
          <w:rFonts w:ascii="Arial" w:hAnsi="Arial" w:cs="Arial"/>
        </w:rPr>
      </w:pPr>
      <w:r w:rsidRPr="00A840BC">
        <w:rPr>
          <w:rFonts w:ascii="Arial" w:hAnsi="Arial" w:cs="Arial"/>
        </w:rPr>
        <w:t>Additionally, the model's Adjusted R-Square of 0. 246 shows that Government Policy and Digital Financial Literacy account for a moderate share of the variation in financial inclusion, leaving 75. 4% affected by other elements not examined in this study. Future studies should aim to include more variables such as social influence, perceived trust, perceived ease of use, or digital user experience (UX) to enhance the theoretical framework and give a deeper insight into the financial habits of Gen Z.</w:t>
      </w:r>
    </w:p>
    <w:p w14:paraId="6640F716" w14:textId="77777777" w:rsidR="00315186" w:rsidRPr="00A840BC" w:rsidRDefault="00315186" w:rsidP="002E3784">
      <w:pPr>
        <w:rPr>
          <w:rFonts w:ascii="Arial" w:hAnsi="Arial" w:cs="Arial"/>
        </w:rPr>
      </w:pPr>
    </w:p>
    <w:p w14:paraId="3C0950F4" w14:textId="77777777" w:rsidR="005C784C" w:rsidRPr="00A840BC" w:rsidRDefault="005C784C" w:rsidP="002E3784">
      <w:pPr>
        <w:pStyle w:val="ReferHead"/>
        <w:spacing w:after="0"/>
        <w:jc w:val="both"/>
        <w:rPr>
          <w:rFonts w:ascii="Arial" w:hAnsi="Arial" w:cs="Arial"/>
          <w:b w:val="0"/>
          <w:caps w:val="0"/>
          <w:color w:val="EE0000"/>
          <w:sz w:val="20"/>
        </w:rPr>
      </w:pPr>
    </w:p>
    <w:p w14:paraId="76883E4B" w14:textId="439ED81E" w:rsidR="00473E7A" w:rsidRPr="00A840BC" w:rsidRDefault="005C784C" w:rsidP="002E3784">
      <w:pPr>
        <w:pStyle w:val="ReferHead"/>
        <w:spacing w:after="0"/>
        <w:jc w:val="both"/>
        <w:rPr>
          <w:rFonts w:ascii="Arial" w:hAnsi="Arial" w:cs="Arial"/>
          <w:bCs/>
          <w:color w:val="000000" w:themeColor="text1"/>
        </w:rPr>
      </w:pPr>
      <w:r w:rsidRPr="00A840BC">
        <w:rPr>
          <w:rFonts w:ascii="Arial" w:hAnsi="Arial" w:cs="Arial"/>
          <w:bCs/>
          <w:color w:val="000000" w:themeColor="text1"/>
        </w:rPr>
        <w:t>Ethical approval</w:t>
      </w:r>
      <w:r w:rsidR="00A840BC">
        <w:rPr>
          <w:rFonts w:ascii="Arial" w:hAnsi="Arial" w:cs="Arial"/>
          <w:bCs/>
          <w:color w:val="000000" w:themeColor="text1"/>
        </w:rPr>
        <w:t xml:space="preserve"> and COnsetn: </w:t>
      </w:r>
    </w:p>
    <w:p w14:paraId="0003A864" w14:textId="77777777" w:rsidR="00D90A49" w:rsidRPr="00A840BC" w:rsidRDefault="00D90A49" w:rsidP="002E3784">
      <w:pPr>
        <w:pStyle w:val="ReferHead"/>
        <w:spacing w:after="0"/>
        <w:jc w:val="both"/>
        <w:rPr>
          <w:rFonts w:ascii="Arial" w:hAnsi="Arial" w:cs="Arial"/>
          <w:bCs/>
          <w:color w:val="000000" w:themeColor="text1"/>
        </w:rPr>
      </w:pPr>
    </w:p>
    <w:p w14:paraId="5A95E96C" w14:textId="62F89C12" w:rsidR="0041027F" w:rsidRPr="00A840BC" w:rsidRDefault="00473E7A" w:rsidP="002E3784">
      <w:pPr>
        <w:pStyle w:val="ReferHead"/>
        <w:spacing w:after="0"/>
        <w:jc w:val="both"/>
        <w:rPr>
          <w:rFonts w:ascii="Arial" w:hAnsi="Arial" w:cs="Arial"/>
          <w:b w:val="0"/>
          <w:caps w:val="0"/>
          <w:color w:val="000000" w:themeColor="text1"/>
          <w:sz w:val="20"/>
        </w:rPr>
      </w:pPr>
      <w:r w:rsidRPr="00A840BC">
        <w:rPr>
          <w:rFonts w:ascii="Arial" w:hAnsi="Arial" w:cs="Arial"/>
          <w:b w:val="0"/>
          <w:caps w:val="0"/>
          <w:color w:val="000000" w:themeColor="text1"/>
          <w:sz w:val="20"/>
        </w:rPr>
        <w:t>Ethical guidelines were diligently upheld during the research. Participants were completely informed of the study's aim and guaranteed that their involvement was optional and confidential. No identifiable personal data was gathered, and individuals had the right to exit at any point in the procedure. The research complied with organizational ethical standards and adhered to the tenets of informed consent and privacy, making certain that the rights and confidentiality of participants were thoroughly honored.</w:t>
      </w:r>
    </w:p>
    <w:p w14:paraId="423A5876" w14:textId="77777777" w:rsidR="00A523CD" w:rsidRPr="00A840BC" w:rsidRDefault="00A523CD" w:rsidP="002E3784">
      <w:pPr>
        <w:pStyle w:val="ReferHead"/>
        <w:spacing w:after="0"/>
        <w:jc w:val="both"/>
        <w:rPr>
          <w:rFonts w:ascii="Arial" w:hAnsi="Arial" w:cs="Arial"/>
          <w:b w:val="0"/>
          <w:caps w:val="0"/>
          <w:color w:val="000000" w:themeColor="text1"/>
          <w:sz w:val="20"/>
        </w:rPr>
      </w:pPr>
    </w:p>
    <w:p w14:paraId="42EFB04E" w14:textId="77777777" w:rsidR="00A523CD" w:rsidRPr="00A840BC" w:rsidRDefault="00A523CD" w:rsidP="00A523CD">
      <w:pPr>
        <w:pStyle w:val="DefAcrHead"/>
        <w:spacing w:after="0"/>
        <w:jc w:val="both"/>
        <w:rPr>
          <w:rFonts w:ascii="Arial" w:hAnsi="Arial" w:cs="Arial"/>
          <w:color w:val="000000" w:themeColor="text1"/>
        </w:rPr>
      </w:pPr>
      <w:r w:rsidRPr="00A840BC">
        <w:rPr>
          <w:rFonts w:ascii="Arial" w:hAnsi="Arial" w:cs="Arial"/>
          <w:color w:val="000000" w:themeColor="text1"/>
        </w:rPr>
        <w:t>Definitions, Acronyms, Abbreviations</w:t>
      </w:r>
    </w:p>
    <w:p w14:paraId="004B7ADB" w14:textId="77777777" w:rsidR="00A523CD" w:rsidRPr="00A840BC" w:rsidRDefault="00A523CD" w:rsidP="00A523CD">
      <w:pPr>
        <w:pStyle w:val="DefAcrHead"/>
        <w:spacing w:after="0"/>
        <w:jc w:val="both"/>
        <w:rPr>
          <w:rFonts w:ascii="Arial" w:hAnsi="Arial" w:cs="Arial"/>
          <w:color w:val="000000" w:themeColor="text1"/>
        </w:rPr>
      </w:pPr>
    </w:p>
    <w:p w14:paraId="6AB4C0DA" w14:textId="77777777" w:rsidR="00A523CD" w:rsidRPr="00A840BC" w:rsidRDefault="00A523CD" w:rsidP="00A523CD">
      <w:pPr>
        <w:pStyle w:val="Body"/>
        <w:rPr>
          <w:rFonts w:ascii="Arial" w:hAnsi="Arial" w:cs="Arial"/>
          <w:color w:val="000000" w:themeColor="text1"/>
        </w:rPr>
      </w:pPr>
      <w:r w:rsidRPr="00A840BC">
        <w:rPr>
          <w:rFonts w:ascii="Arial" w:hAnsi="Arial" w:cs="Arial"/>
          <w:b/>
          <w:bCs/>
          <w:color w:val="000000" w:themeColor="text1"/>
        </w:rPr>
        <w:t>MSMEs</w:t>
      </w:r>
      <w:r w:rsidRPr="00A840BC">
        <w:rPr>
          <w:rFonts w:ascii="Arial" w:hAnsi="Arial" w:cs="Arial"/>
          <w:color w:val="000000" w:themeColor="text1"/>
        </w:rPr>
        <w:t xml:space="preserve">: Micro, Small, and Medium Enterprises. In the Indonesian context, this is referred to as UMKM (Usaha </w:t>
      </w:r>
      <w:proofErr w:type="spellStart"/>
      <w:r w:rsidRPr="00A840BC">
        <w:rPr>
          <w:rFonts w:ascii="Arial" w:hAnsi="Arial" w:cs="Arial"/>
          <w:color w:val="000000" w:themeColor="text1"/>
        </w:rPr>
        <w:t>Mikro</w:t>
      </w:r>
      <w:proofErr w:type="spellEnd"/>
      <w:r w:rsidRPr="00A840BC">
        <w:rPr>
          <w:rFonts w:ascii="Arial" w:hAnsi="Arial" w:cs="Arial"/>
          <w:color w:val="000000" w:themeColor="text1"/>
        </w:rPr>
        <w:t xml:space="preserve">, Kecil, dan </w:t>
      </w:r>
      <w:proofErr w:type="spellStart"/>
      <w:r w:rsidRPr="00A840BC">
        <w:rPr>
          <w:rFonts w:ascii="Arial" w:hAnsi="Arial" w:cs="Arial"/>
          <w:color w:val="000000" w:themeColor="text1"/>
        </w:rPr>
        <w:t>Menengah</w:t>
      </w:r>
      <w:proofErr w:type="spellEnd"/>
      <w:r w:rsidRPr="00A840BC">
        <w:rPr>
          <w:rFonts w:ascii="Arial" w:hAnsi="Arial" w:cs="Arial"/>
          <w:color w:val="000000" w:themeColor="text1"/>
        </w:rPr>
        <w:t>).</w:t>
      </w:r>
      <w:r w:rsidRPr="00A840BC">
        <w:rPr>
          <w:rFonts w:ascii="Arial" w:hAnsi="Arial" w:cs="Arial"/>
        </w:rPr>
        <w:t xml:space="preserve"> </w:t>
      </w:r>
    </w:p>
    <w:p w14:paraId="33576C39" w14:textId="77777777" w:rsidR="00A523CD" w:rsidRPr="00A840BC" w:rsidRDefault="00A523CD" w:rsidP="00A523CD">
      <w:pPr>
        <w:pStyle w:val="Body"/>
        <w:rPr>
          <w:rFonts w:ascii="Arial" w:hAnsi="Arial" w:cs="Arial"/>
          <w:color w:val="000000" w:themeColor="text1"/>
        </w:rPr>
      </w:pPr>
      <w:r w:rsidRPr="00A840BC">
        <w:rPr>
          <w:rFonts w:ascii="Arial" w:hAnsi="Arial" w:cs="Arial"/>
          <w:b/>
          <w:bCs/>
          <w:color w:val="000000" w:themeColor="text1"/>
        </w:rPr>
        <w:t>Gen Z</w:t>
      </w:r>
      <w:r w:rsidRPr="00A840BC">
        <w:rPr>
          <w:rFonts w:ascii="Arial" w:hAnsi="Arial" w:cs="Arial"/>
          <w:color w:val="000000" w:themeColor="text1"/>
        </w:rPr>
        <w:t>: Generation Z, defined in this study as the demographic cohort born between 1997 and 2012.</w:t>
      </w:r>
    </w:p>
    <w:p w14:paraId="3BDFA6B1" w14:textId="77777777" w:rsidR="00A523CD" w:rsidRPr="00A840BC" w:rsidRDefault="00A523CD" w:rsidP="00A523CD">
      <w:pPr>
        <w:pStyle w:val="Body"/>
        <w:rPr>
          <w:rFonts w:ascii="Arial" w:hAnsi="Arial" w:cs="Arial"/>
          <w:color w:val="000000" w:themeColor="text1"/>
        </w:rPr>
      </w:pPr>
      <w:r w:rsidRPr="00A840BC">
        <w:rPr>
          <w:rFonts w:ascii="Arial" w:hAnsi="Arial" w:cs="Arial"/>
          <w:b/>
          <w:bCs/>
          <w:color w:val="000000" w:themeColor="text1"/>
        </w:rPr>
        <w:t>QRIS</w:t>
      </w:r>
      <w:r w:rsidRPr="00A840BC">
        <w:rPr>
          <w:rFonts w:ascii="Arial" w:hAnsi="Arial" w:cs="Arial"/>
          <w:color w:val="000000" w:themeColor="text1"/>
        </w:rPr>
        <w:t>: Quick Response Code Indonesian Standard; a national standard for QR code payments in Indonesia launched by Bank Indonesia.</w:t>
      </w:r>
    </w:p>
    <w:p w14:paraId="0E0AA1EE" w14:textId="77777777" w:rsidR="00A523CD" w:rsidRPr="00A840BC" w:rsidRDefault="00A523CD" w:rsidP="00A523CD">
      <w:pPr>
        <w:pStyle w:val="Body"/>
        <w:rPr>
          <w:rFonts w:ascii="Arial" w:hAnsi="Arial" w:cs="Arial"/>
          <w:color w:val="000000" w:themeColor="text1"/>
        </w:rPr>
      </w:pPr>
      <w:r w:rsidRPr="00A840BC">
        <w:rPr>
          <w:rFonts w:ascii="Arial" w:hAnsi="Arial" w:cs="Arial"/>
          <w:b/>
          <w:bCs/>
          <w:color w:val="000000" w:themeColor="text1"/>
        </w:rPr>
        <w:t>OJK</w:t>
      </w:r>
      <w:r w:rsidRPr="00A840BC">
        <w:rPr>
          <w:rFonts w:ascii="Arial" w:hAnsi="Arial" w:cs="Arial"/>
          <w:color w:val="000000" w:themeColor="text1"/>
        </w:rPr>
        <w:t>: Otoritas Jasa Keuangan; The Financial Services Authority of Indonesia, an independent agency regulating the financial sector.</w:t>
      </w:r>
    </w:p>
    <w:p w14:paraId="48F2E1D4" w14:textId="77777777" w:rsidR="00A523CD" w:rsidRPr="00A840BC" w:rsidRDefault="00A523CD" w:rsidP="00A523CD">
      <w:pPr>
        <w:pStyle w:val="Body"/>
        <w:rPr>
          <w:rFonts w:ascii="Arial" w:hAnsi="Arial" w:cs="Arial"/>
          <w:color w:val="000000" w:themeColor="text1"/>
        </w:rPr>
      </w:pPr>
      <w:r w:rsidRPr="00A840BC">
        <w:rPr>
          <w:rFonts w:ascii="Arial" w:hAnsi="Arial" w:cs="Arial"/>
          <w:b/>
          <w:bCs/>
          <w:color w:val="000000" w:themeColor="text1"/>
        </w:rPr>
        <w:t>P2SK Law</w:t>
      </w:r>
      <w:r w:rsidRPr="00A840BC">
        <w:rPr>
          <w:rFonts w:ascii="Arial" w:hAnsi="Arial" w:cs="Arial"/>
          <w:color w:val="000000" w:themeColor="text1"/>
        </w:rPr>
        <w:t>: Law No. 4 of 2023 concerning the Development and Strengthening of the Financial Sector (</w:t>
      </w:r>
      <w:proofErr w:type="spellStart"/>
      <w:r w:rsidRPr="00A840BC">
        <w:rPr>
          <w:rFonts w:ascii="Arial" w:hAnsi="Arial" w:cs="Arial"/>
          <w:color w:val="000000" w:themeColor="text1"/>
        </w:rPr>
        <w:t>Pengembangan</w:t>
      </w:r>
      <w:proofErr w:type="spellEnd"/>
      <w:r w:rsidRPr="00A840BC">
        <w:rPr>
          <w:rFonts w:ascii="Arial" w:hAnsi="Arial" w:cs="Arial"/>
          <w:color w:val="000000" w:themeColor="text1"/>
        </w:rPr>
        <w:t xml:space="preserve"> dan </w:t>
      </w:r>
      <w:proofErr w:type="spellStart"/>
      <w:r w:rsidRPr="00A840BC">
        <w:rPr>
          <w:rFonts w:ascii="Arial" w:hAnsi="Arial" w:cs="Arial"/>
          <w:color w:val="000000" w:themeColor="text1"/>
        </w:rPr>
        <w:t>Penguatan</w:t>
      </w:r>
      <w:proofErr w:type="spellEnd"/>
      <w:r w:rsidRPr="00A840BC">
        <w:rPr>
          <w:rFonts w:ascii="Arial" w:hAnsi="Arial" w:cs="Arial"/>
          <w:color w:val="000000" w:themeColor="text1"/>
        </w:rPr>
        <w:t xml:space="preserve"> </w:t>
      </w:r>
      <w:proofErr w:type="spellStart"/>
      <w:r w:rsidRPr="00A840BC">
        <w:rPr>
          <w:rFonts w:ascii="Arial" w:hAnsi="Arial" w:cs="Arial"/>
          <w:color w:val="000000" w:themeColor="text1"/>
        </w:rPr>
        <w:t>Sektor</w:t>
      </w:r>
      <w:proofErr w:type="spellEnd"/>
      <w:r w:rsidRPr="00A840BC">
        <w:rPr>
          <w:rFonts w:ascii="Arial" w:hAnsi="Arial" w:cs="Arial"/>
          <w:color w:val="000000" w:themeColor="text1"/>
        </w:rPr>
        <w:t xml:space="preserve"> Keuangan).</w:t>
      </w:r>
    </w:p>
    <w:p w14:paraId="28CE6EF7" w14:textId="77777777" w:rsidR="00A523CD" w:rsidRPr="00A840BC" w:rsidRDefault="00A523CD" w:rsidP="00A523CD">
      <w:pPr>
        <w:pStyle w:val="Body"/>
        <w:rPr>
          <w:rFonts w:ascii="Arial" w:hAnsi="Arial" w:cs="Arial"/>
          <w:color w:val="000000" w:themeColor="text1"/>
        </w:rPr>
      </w:pPr>
      <w:r w:rsidRPr="00A840BC">
        <w:rPr>
          <w:rFonts w:ascii="Arial" w:hAnsi="Arial" w:cs="Arial"/>
          <w:b/>
          <w:bCs/>
          <w:color w:val="000000" w:themeColor="text1"/>
        </w:rPr>
        <w:t>PLS-SEM</w:t>
      </w:r>
      <w:r w:rsidRPr="00A840BC">
        <w:rPr>
          <w:rFonts w:ascii="Arial" w:hAnsi="Arial" w:cs="Arial"/>
          <w:color w:val="000000" w:themeColor="text1"/>
        </w:rPr>
        <w:t>: Partial Least Squares - Structural Equation Modeling; a variance-based structural equation modeling technique used for analysis.</w:t>
      </w:r>
    </w:p>
    <w:p w14:paraId="1283B141" w14:textId="77777777" w:rsidR="00A523CD" w:rsidRPr="00A840BC" w:rsidRDefault="00A523CD" w:rsidP="00A523CD">
      <w:pPr>
        <w:pStyle w:val="Body"/>
        <w:rPr>
          <w:rFonts w:ascii="Arial" w:hAnsi="Arial" w:cs="Arial"/>
          <w:color w:val="000000" w:themeColor="text1"/>
        </w:rPr>
      </w:pPr>
      <w:r w:rsidRPr="00A840BC">
        <w:rPr>
          <w:rFonts w:ascii="Arial" w:hAnsi="Arial" w:cs="Arial"/>
          <w:b/>
          <w:bCs/>
          <w:color w:val="000000" w:themeColor="text1"/>
        </w:rPr>
        <w:t>AVE</w:t>
      </w:r>
      <w:r w:rsidRPr="00A840BC">
        <w:rPr>
          <w:rFonts w:ascii="Arial" w:hAnsi="Arial" w:cs="Arial"/>
          <w:color w:val="000000" w:themeColor="text1"/>
        </w:rPr>
        <w:t>: Average Variance Extracted; a metric to assess convergent validity.</w:t>
      </w:r>
    </w:p>
    <w:p w14:paraId="6133D4F1" w14:textId="77777777" w:rsidR="00A523CD" w:rsidRPr="00A840BC" w:rsidRDefault="00A523CD" w:rsidP="00A523CD">
      <w:pPr>
        <w:pStyle w:val="Body"/>
        <w:rPr>
          <w:rFonts w:ascii="Arial" w:hAnsi="Arial" w:cs="Arial"/>
          <w:color w:val="000000" w:themeColor="text1"/>
        </w:rPr>
      </w:pPr>
      <w:r w:rsidRPr="00A840BC">
        <w:rPr>
          <w:rFonts w:ascii="Arial" w:hAnsi="Arial" w:cs="Arial"/>
          <w:b/>
          <w:bCs/>
          <w:color w:val="000000" w:themeColor="text1"/>
        </w:rPr>
        <w:t>HTMT</w:t>
      </w:r>
      <w:r w:rsidRPr="00A840BC">
        <w:rPr>
          <w:rFonts w:ascii="Arial" w:hAnsi="Arial" w:cs="Arial"/>
          <w:color w:val="000000" w:themeColor="text1"/>
        </w:rPr>
        <w:t xml:space="preserve">: </w:t>
      </w:r>
      <w:proofErr w:type="spellStart"/>
      <w:r w:rsidRPr="00A840BC">
        <w:rPr>
          <w:rFonts w:ascii="Arial" w:hAnsi="Arial" w:cs="Arial"/>
          <w:color w:val="000000" w:themeColor="text1"/>
        </w:rPr>
        <w:t>Heterotrait-Monotrait</w:t>
      </w:r>
      <w:proofErr w:type="spellEnd"/>
      <w:r w:rsidRPr="00A840BC">
        <w:rPr>
          <w:rFonts w:ascii="Arial" w:hAnsi="Arial" w:cs="Arial"/>
          <w:color w:val="000000" w:themeColor="text1"/>
        </w:rPr>
        <w:t xml:space="preserve"> Ratio; a metric used to assess discriminant validity.</w:t>
      </w:r>
    </w:p>
    <w:p w14:paraId="1C7D0296" w14:textId="77777777" w:rsidR="00A523CD" w:rsidRPr="00A840BC" w:rsidRDefault="00A523CD" w:rsidP="00A523CD">
      <w:pPr>
        <w:pStyle w:val="Body"/>
        <w:rPr>
          <w:rFonts w:ascii="Arial" w:hAnsi="Arial" w:cs="Arial"/>
          <w:color w:val="000000" w:themeColor="text1"/>
        </w:rPr>
      </w:pPr>
      <w:r w:rsidRPr="00A840BC">
        <w:rPr>
          <w:rFonts w:ascii="Arial" w:hAnsi="Arial" w:cs="Arial"/>
          <w:b/>
          <w:bCs/>
          <w:color w:val="000000" w:themeColor="text1"/>
        </w:rPr>
        <w:t>VIF</w:t>
      </w:r>
      <w:r w:rsidRPr="00A840BC">
        <w:rPr>
          <w:rFonts w:ascii="Arial" w:hAnsi="Arial" w:cs="Arial"/>
          <w:color w:val="000000" w:themeColor="text1"/>
        </w:rPr>
        <w:t>: Variance Inflation Factor; a measure used to detect multicollinearity among predictors</w:t>
      </w:r>
    </w:p>
    <w:p w14:paraId="64F43847" w14:textId="2CF66E5C" w:rsidR="006C15F7" w:rsidRPr="00A840BC" w:rsidRDefault="00A523CD" w:rsidP="00A523CD">
      <w:pPr>
        <w:pStyle w:val="Body"/>
        <w:rPr>
          <w:rFonts w:ascii="Arial" w:hAnsi="Arial" w:cs="Arial"/>
          <w:color w:val="000000" w:themeColor="text1"/>
          <w:sz w:val="24"/>
        </w:rPr>
      </w:pPr>
      <w:r w:rsidRPr="00A840BC">
        <w:rPr>
          <w:rFonts w:ascii="Arial" w:hAnsi="Arial" w:cs="Arial"/>
          <w:b/>
          <w:bCs/>
          <w:color w:val="000000" w:themeColor="text1"/>
        </w:rPr>
        <w:t>DFL</w:t>
      </w:r>
      <w:r w:rsidRPr="00A840BC">
        <w:rPr>
          <w:rFonts w:ascii="Arial" w:hAnsi="Arial" w:cs="Arial"/>
          <w:color w:val="000000" w:themeColor="text1"/>
        </w:rPr>
        <w:t>: Digital Financial Literacy</w:t>
      </w:r>
      <w:r w:rsidRPr="00A840BC">
        <w:rPr>
          <w:rFonts w:ascii="Arial" w:hAnsi="Arial" w:cs="Arial"/>
          <w:color w:val="000000" w:themeColor="text1"/>
          <w:sz w:val="24"/>
        </w:rPr>
        <w:t xml:space="preserve"> </w:t>
      </w:r>
    </w:p>
    <w:p w14:paraId="34B167A5" w14:textId="77777777" w:rsidR="00043C58" w:rsidRPr="00A840BC" w:rsidRDefault="00043C58" w:rsidP="00A523CD">
      <w:pPr>
        <w:pStyle w:val="Body"/>
        <w:rPr>
          <w:rFonts w:ascii="Arial" w:hAnsi="Arial" w:cs="Arial"/>
          <w:color w:val="000000" w:themeColor="text1"/>
          <w:sz w:val="24"/>
        </w:rPr>
      </w:pPr>
    </w:p>
    <w:p w14:paraId="5E313358" w14:textId="081FF4BB" w:rsidR="00CA6F0F" w:rsidRPr="00A840BC" w:rsidRDefault="006C15F7" w:rsidP="006C15F7">
      <w:pPr>
        <w:pStyle w:val="ReferHead"/>
        <w:spacing w:after="0"/>
        <w:jc w:val="both"/>
        <w:rPr>
          <w:rFonts w:ascii="Arial" w:hAnsi="Arial" w:cs="Arial"/>
          <w:color w:val="000000" w:themeColor="text1"/>
        </w:rPr>
      </w:pPr>
      <w:r w:rsidRPr="00A840BC">
        <w:rPr>
          <w:rFonts w:ascii="Arial" w:hAnsi="Arial" w:cs="Arial"/>
          <w:color w:val="000000" w:themeColor="text1"/>
        </w:rPr>
        <w:t>Disclaimer (Artificial intelligence)</w:t>
      </w:r>
    </w:p>
    <w:p w14:paraId="098F8BB3" w14:textId="77777777" w:rsidR="006C15F7" w:rsidRPr="00A840BC" w:rsidRDefault="006C15F7" w:rsidP="006C15F7">
      <w:pPr>
        <w:pStyle w:val="ReferHead"/>
        <w:spacing w:after="0"/>
        <w:jc w:val="both"/>
        <w:rPr>
          <w:rFonts w:ascii="Arial" w:hAnsi="Arial" w:cs="Arial"/>
          <w:color w:val="000000" w:themeColor="text1"/>
        </w:rPr>
      </w:pPr>
    </w:p>
    <w:p w14:paraId="7F463352" w14:textId="62223CE1" w:rsidR="00CA6F0F" w:rsidRPr="00A840BC" w:rsidRDefault="00CA6F0F" w:rsidP="00CA6F0F">
      <w:pPr>
        <w:pStyle w:val="Body"/>
        <w:rPr>
          <w:rFonts w:ascii="Arial" w:hAnsi="Arial" w:cs="Arial"/>
          <w:color w:val="000000" w:themeColor="text1"/>
        </w:rPr>
      </w:pPr>
      <w:r w:rsidRPr="00A840BC">
        <w:rPr>
          <w:rFonts w:ascii="Arial" w:hAnsi="Arial" w:cs="Arial"/>
          <w:color w:val="000000" w:themeColor="text1"/>
        </w:rPr>
        <w:t xml:space="preserve">Authors hereby declare that generative AI technologies such as Large Language Models, </w:t>
      </w:r>
      <w:proofErr w:type="spellStart"/>
      <w:r w:rsidRPr="00A840BC">
        <w:rPr>
          <w:rFonts w:ascii="Arial" w:hAnsi="Arial" w:cs="Arial"/>
          <w:color w:val="000000" w:themeColor="text1"/>
        </w:rPr>
        <w:t>etc</w:t>
      </w:r>
      <w:proofErr w:type="spellEnd"/>
      <w:r w:rsidRPr="00A840BC">
        <w:rPr>
          <w:rFonts w:ascii="Arial" w:hAnsi="Arial" w:cs="Arial"/>
          <w:color w:val="000000" w:themeColor="text1"/>
        </w:rPr>
        <w:t xml:space="preserve"> have been used during the writing or editing of manuscripts. This explanation will include the name, version, model, and source of the generative AI technology and as well as all input prompts provided to the generative AI technology.</w:t>
      </w:r>
    </w:p>
    <w:p w14:paraId="05255932" w14:textId="294DD34F" w:rsidR="00CA6F0F" w:rsidRPr="00A840BC" w:rsidRDefault="00CA6F0F" w:rsidP="00CA6F0F">
      <w:pPr>
        <w:pStyle w:val="Body"/>
        <w:rPr>
          <w:rFonts w:ascii="Arial" w:hAnsi="Arial" w:cs="Arial"/>
          <w:color w:val="000000" w:themeColor="text1"/>
        </w:rPr>
      </w:pPr>
      <w:r w:rsidRPr="00A840BC">
        <w:rPr>
          <w:rFonts w:ascii="Arial" w:hAnsi="Arial" w:cs="Arial"/>
          <w:color w:val="000000" w:themeColor="text1"/>
        </w:rPr>
        <w:t>Details of the AI usage are given below:</w:t>
      </w:r>
    </w:p>
    <w:p w14:paraId="722B5161" w14:textId="39A73CD6" w:rsidR="00CA6F0F" w:rsidRPr="00A840BC" w:rsidRDefault="00CA6F0F" w:rsidP="00CA6F0F">
      <w:pPr>
        <w:pStyle w:val="Body"/>
        <w:rPr>
          <w:rFonts w:ascii="Arial" w:hAnsi="Arial" w:cs="Arial"/>
          <w:color w:val="000000" w:themeColor="text1"/>
        </w:rPr>
      </w:pPr>
      <w:r w:rsidRPr="00A840BC">
        <w:rPr>
          <w:rFonts w:ascii="Arial" w:hAnsi="Arial" w:cs="Arial"/>
          <w:color w:val="000000" w:themeColor="text1"/>
        </w:rPr>
        <w:t>Tools Used: Gemini and ChatGPT</w:t>
      </w:r>
      <w:r w:rsidR="0095059D" w:rsidRPr="00A840BC">
        <w:rPr>
          <w:rFonts w:ascii="Arial" w:hAnsi="Arial" w:cs="Arial"/>
          <w:color w:val="000000" w:themeColor="text1"/>
        </w:rPr>
        <w:t xml:space="preserve"> December 2025 version.</w:t>
      </w:r>
    </w:p>
    <w:p w14:paraId="185DFD90" w14:textId="34D8E954" w:rsidR="00CA6F0F" w:rsidRPr="00A840BC" w:rsidRDefault="00CA6F0F" w:rsidP="00CA6F0F">
      <w:pPr>
        <w:pStyle w:val="Body"/>
        <w:rPr>
          <w:rFonts w:ascii="Arial" w:hAnsi="Arial" w:cs="Arial"/>
          <w:color w:val="000000" w:themeColor="text1"/>
        </w:rPr>
      </w:pPr>
      <w:r w:rsidRPr="00A840BC">
        <w:rPr>
          <w:rFonts w:ascii="Arial" w:hAnsi="Arial" w:cs="Arial"/>
          <w:color w:val="000000" w:themeColor="text1"/>
        </w:rPr>
        <w:lastRenderedPageBreak/>
        <w:t>Purpose of Usage: The authors used these tools exclusively for grammatical refinement, language polishing, and sentence structuring during the drafting process.</w:t>
      </w:r>
    </w:p>
    <w:p w14:paraId="579277E4" w14:textId="2E2244FA" w:rsidR="00180240" w:rsidRPr="00A840BC" w:rsidRDefault="00CA6F0F" w:rsidP="00ED794D">
      <w:pPr>
        <w:pStyle w:val="Body"/>
        <w:rPr>
          <w:rFonts w:ascii="Arial" w:hAnsi="Arial" w:cs="Arial"/>
          <w:color w:val="000000" w:themeColor="text1"/>
        </w:rPr>
        <w:sectPr w:rsidR="00180240" w:rsidRPr="00A840BC" w:rsidSect="00F34DF0">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r w:rsidRPr="00A840BC">
        <w:rPr>
          <w:rFonts w:ascii="Arial" w:hAnsi="Arial" w:cs="Arial"/>
          <w:color w:val="000000" w:themeColor="text1"/>
        </w:rPr>
        <w:t>Verification: The generated text was strictly reviewed, verified, and authorized by the authors. No AI was used to generate the core scientific concepts, data, or results of this study</w:t>
      </w:r>
    </w:p>
    <w:p w14:paraId="290E5806" w14:textId="77777777" w:rsidR="00A523CD" w:rsidRPr="00A840BC" w:rsidRDefault="00A523CD" w:rsidP="00A523CD">
      <w:pPr>
        <w:pStyle w:val="Appendix"/>
        <w:spacing w:after="0"/>
        <w:jc w:val="both"/>
        <w:rPr>
          <w:rFonts w:ascii="Arial" w:hAnsi="Arial" w:cs="Arial"/>
          <w:b w:val="0"/>
          <w:color w:val="EE0000"/>
        </w:rPr>
      </w:pPr>
    </w:p>
    <w:p w14:paraId="726F97CF" w14:textId="77777777" w:rsidR="00A523CD" w:rsidRPr="00A840BC" w:rsidRDefault="00A523CD" w:rsidP="002E3784">
      <w:pPr>
        <w:pStyle w:val="ReferHead"/>
        <w:spacing w:after="0"/>
        <w:jc w:val="both"/>
        <w:rPr>
          <w:rFonts w:ascii="Arial" w:hAnsi="Arial" w:cs="Arial"/>
          <w:b w:val="0"/>
          <w:caps w:val="0"/>
          <w:color w:val="000000" w:themeColor="text1"/>
          <w:sz w:val="20"/>
        </w:rPr>
      </w:pPr>
    </w:p>
    <w:p w14:paraId="57C4F410" w14:textId="77777777" w:rsidR="00473E7A" w:rsidRPr="00A840BC" w:rsidRDefault="00473E7A" w:rsidP="002E3784">
      <w:pPr>
        <w:pStyle w:val="ReferHead"/>
        <w:spacing w:after="0"/>
        <w:jc w:val="both"/>
        <w:rPr>
          <w:rFonts w:ascii="Arial" w:hAnsi="Arial" w:cs="Arial"/>
          <w:b w:val="0"/>
          <w:caps w:val="0"/>
          <w:color w:val="EE0000"/>
          <w:sz w:val="20"/>
        </w:rPr>
      </w:pPr>
    </w:p>
    <w:p w14:paraId="7CEBA0C0" w14:textId="64D19819" w:rsidR="00B01FCD" w:rsidRPr="00A840BC" w:rsidRDefault="00B01FCD" w:rsidP="002E3784">
      <w:pPr>
        <w:pStyle w:val="ReferHead"/>
        <w:spacing w:after="0"/>
        <w:jc w:val="both"/>
        <w:rPr>
          <w:rFonts w:ascii="Arial" w:hAnsi="Arial" w:cs="Arial"/>
          <w:color w:val="000000" w:themeColor="text1"/>
        </w:rPr>
      </w:pPr>
      <w:r w:rsidRPr="00A840BC">
        <w:rPr>
          <w:rFonts w:ascii="Arial" w:hAnsi="Arial" w:cs="Arial"/>
          <w:color w:val="000000" w:themeColor="text1"/>
        </w:rPr>
        <w:t>References</w:t>
      </w:r>
    </w:p>
    <w:p w14:paraId="7682E07B" w14:textId="77777777" w:rsidR="00790ADA" w:rsidRPr="00A840BC" w:rsidRDefault="00790ADA" w:rsidP="002E3784">
      <w:pPr>
        <w:pStyle w:val="ReferHead"/>
        <w:spacing w:after="0"/>
        <w:jc w:val="both"/>
        <w:rPr>
          <w:rFonts w:ascii="Arial" w:hAnsi="Arial" w:cs="Arial"/>
          <w:color w:val="EE0000"/>
        </w:rPr>
      </w:pPr>
    </w:p>
    <w:p w14:paraId="6DDFD92B" w14:textId="2CAC24A8" w:rsidR="00B9354B" w:rsidRPr="00A840BC" w:rsidRDefault="00B9354B" w:rsidP="00FE765B">
      <w:pPr>
        <w:pStyle w:val="ListParagraph"/>
        <w:widowControl w:val="0"/>
        <w:numPr>
          <w:ilvl w:val="0"/>
          <w:numId w:val="36"/>
        </w:numPr>
        <w:autoSpaceDE w:val="0"/>
        <w:autoSpaceDN w:val="0"/>
        <w:adjustRightInd w:val="0"/>
        <w:jc w:val="both"/>
        <w:rPr>
          <w:rFonts w:ascii="Arial" w:hAnsi="Arial" w:cs="Arial"/>
        </w:rPr>
      </w:pPr>
      <w:r w:rsidRPr="00A840BC">
        <w:rPr>
          <w:rFonts w:ascii="Arial" w:hAnsi="Arial" w:cs="Arial"/>
        </w:rPr>
        <w:t xml:space="preserve">Al-shami, S. A., Damayanti, R., Adil, H., Farhi, F., &amp; Al Mamun, A. (2024). Financial and digital financial literacy through social media use towards financial inclusion among batik small enterprises in Indonesia. </w:t>
      </w:r>
      <w:proofErr w:type="spellStart"/>
      <w:r w:rsidRPr="00A840BC">
        <w:rPr>
          <w:rFonts w:ascii="Arial" w:hAnsi="Arial" w:cs="Arial"/>
        </w:rPr>
        <w:t>Heliyon</w:t>
      </w:r>
      <w:proofErr w:type="spellEnd"/>
      <w:r w:rsidRPr="00A840BC">
        <w:rPr>
          <w:rFonts w:ascii="Arial" w:hAnsi="Arial" w:cs="Arial"/>
        </w:rPr>
        <w:t>, 10(15), e34902. https://doi.org/10.1016/j.heliyon.2024.e34902</w:t>
      </w:r>
    </w:p>
    <w:p w14:paraId="00ECE25E" w14:textId="4C8D9026" w:rsidR="00484C2D" w:rsidRPr="00A840BC" w:rsidRDefault="00484C2D" w:rsidP="00FE765B">
      <w:pPr>
        <w:pStyle w:val="ListParagraph"/>
        <w:widowControl w:val="0"/>
        <w:numPr>
          <w:ilvl w:val="0"/>
          <w:numId w:val="36"/>
        </w:numPr>
        <w:autoSpaceDE w:val="0"/>
        <w:autoSpaceDN w:val="0"/>
        <w:adjustRightInd w:val="0"/>
        <w:jc w:val="both"/>
        <w:rPr>
          <w:rFonts w:ascii="Arial" w:hAnsi="Arial" w:cs="Arial"/>
        </w:rPr>
      </w:pPr>
      <w:r w:rsidRPr="00A840BC">
        <w:rPr>
          <w:rFonts w:ascii="Arial" w:hAnsi="Arial" w:cs="Arial"/>
        </w:rPr>
        <w:t xml:space="preserve">Bank Indonesia. (2019). Bank Indonesia: Navigating the National Payment System in the Digital Era. BANK INDONESIA. </w:t>
      </w:r>
      <w:hyperlink r:id="rId17" w:history="1">
        <w:r w:rsidR="00710C30" w:rsidRPr="00A840BC">
          <w:rPr>
            <w:rStyle w:val="Hyperlink"/>
            <w:rFonts w:ascii="Arial" w:hAnsi="Arial" w:cs="Arial"/>
          </w:rPr>
          <w:t>https://www.bi.go.id/id/publikasi/kajian/Documents/Blueprint-Sistem-Pembayaran-Indonesia-2025.pdf</w:t>
        </w:r>
      </w:hyperlink>
      <w:r w:rsidR="00710C30" w:rsidRPr="00A840BC">
        <w:rPr>
          <w:rFonts w:ascii="Arial" w:hAnsi="Arial" w:cs="Arial"/>
        </w:rPr>
        <w:t xml:space="preserve"> </w:t>
      </w:r>
    </w:p>
    <w:p w14:paraId="0230CEFD" w14:textId="31EF8924" w:rsidR="00043C58" w:rsidRPr="00A840BC" w:rsidRDefault="00043C58" w:rsidP="00FE765B">
      <w:pPr>
        <w:pStyle w:val="ListParagraph"/>
        <w:widowControl w:val="0"/>
        <w:numPr>
          <w:ilvl w:val="0"/>
          <w:numId w:val="36"/>
        </w:numPr>
        <w:autoSpaceDE w:val="0"/>
        <w:autoSpaceDN w:val="0"/>
        <w:adjustRightInd w:val="0"/>
        <w:jc w:val="both"/>
        <w:rPr>
          <w:rFonts w:ascii="Arial" w:hAnsi="Arial" w:cs="Arial"/>
        </w:rPr>
      </w:pPr>
      <w:r w:rsidRPr="00A840BC">
        <w:rPr>
          <w:rFonts w:ascii="Arial" w:hAnsi="Arial" w:cs="Arial"/>
        </w:rPr>
        <w:t xml:space="preserve">Becker, G. S. (1964). Human capital: A theoretical and empirical analysis, with special reference to education (1st ed.). National Bureau of Economic Research. https://www.nber.org/books-and-chapters/human-capital-theoretical-and-empirical-analysis-special-reference-education-first-edition  </w:t>
      </w:r>
    </w:p>
    <w:p w14:paraId="1AB4E679" w14:textId="7AFCBDD3" w:rsidR="00484C2D" w:rsidRPr="00A840BC" w:rsidRDefault="00484C2D" w:rsidP="00FE765B">
      <w:pPr>
        <w:pStyle w:val="ListParagraph"/>
        <w:widowControl w:val="0"/>
        <w:numPr>
          <w:ilvl w:val="0"/>
          <w:numId w:val="36"/>
        </w:numPr>
        <w:autoSpaceDE w:val="0"/>
        <w:autoSpaceDN w:val="0"/>
        <w:adjustRightInd w:val="0"/>
        <w:jc w:val="both"/>
        <w:rPr>
          <w:rFonts w:ascii="Arial" w:hAnsi="Arial" w:cs="Arial"/>
        </w:rPr>
      </w:pPr>
      <w:r w:rsidRPr="00A840BC">
        <w:rPr>
          <w:rFonts w:ascii="Arial" w:hAnsi="Arial" w:cs="Arial"/>
        </w:rPr>
        <w:t>East Java Regional Development Planning Agency (</w:t>
      </w:r>
      <w:proofErr w:type="spellStart"/>
      <w:r w:rsidRPr="00A840BC">
        <w:rPr>
          <w:rFonts w:ascii="Arial" w:hAnsi="Arial" w:cs="Arial"/>
        </w:rPr>
        <w:t>Bappeda</w:t>
      </w:r>
      <w:proofErr w:type="spellEnd"/>
      <w:r w:rsidRPr="00A840BC">
        <w:rPr>
          <w:rFonts w:ascii="Arial" w:hAnsi="Arial" w:cs="Arial"/>
        </w:rPr>
        <w:t xml:space="preserve"> </w:t>
      </w:r>
      <w:proofErr w:type="spellStart"/>
      <w:r w:rsidRPr="00A840BC">
        <w:rPr>
          <w:rFonts w:ascii="Arial" w:hAnsi="Arial" w:cs="Arial"/>
        </w:rPr>
        <w:t>Jatim</w:t>
      </w:r>
      <w:proofErr w:type="spellEnd"/>
      <w:r w:rsidRPr="00A840BC">
        <w:rPr>
          <w:rFonts w:ascii="Arial" w:hAnsi="Arial" w:cs="Arial"/>
        </w:rPr>
        <w:t>). (2024). East Java's Financial Inclusion and Literacy Levels 2019-2022 Consistently Above National Levels. East Java Provincial Development Planning Agency (</w:t>
      </w:r>
      <w:proofErr w:type="spellStart"/>
      <w:r w:rsidRPr="00A840BC">
        <w:rPr>
          <w:rFonts w:ascii="Arial" w:hAnsi="Arial" w:cs="Arial"/>
        </w:rPr>
        <w:t>Bappeda</w:t>
      </w:r>
      <w:proofErr w:type="spellEnd"/>
      <w:r w:rsidRPr="00A840BC">
        <w:rPr>
          <w:rFonts w:ascii="Arial" w:hAnsi="Arial" w:cs="Arial"/>
        </w:rPr>
        <w:t xml:space="preserve"> </w:t>
      </w:r>
      <w:proofErr w:type="spellStart"/>
      <w:r w:rsidRPr="00A840BC">
        <w:rPr>
          <w:rFonts w:ascii="Arial" w:hAnsi="Arial" w:cs="Arial"/>
        </w:rPr>
        <w:t>Jatim</w:t>
      </w:r>
      <w:proofErr w:type="spellEnd"/>
      <w:r w:rsidRPr="00A840BC">
        <w:rPr>
          <w:rFonts w:ascii="Arial" w:hAnsi="Arial" w:cs="Arial"/>
        </w:rPr>
        <w:t xml:space="preserve">). </w:t>
      </w:r>
      <w:hyperlink r:id="rId18" w:history="1">
        <w:r w:rsidR="00F2194F" w:rsidRPr="00A840BC">
          <w:rPr>
            <w:rStyle w:val="Hyperlink"/>
            <w:rFonts w:ascii="Arial" w:hAnsi="Arial" w:cs="Arial"/>
          </w:rPr>
          <w:t>https://bappeda.jatimprov.go.id/archive/page/6</w:t>
        </w:r>
      </w:hyperlink>
      <w:r w:rsidR="00F2194F" w:rsidRPr="00A840BC">
        <w:rPr>
          <w:rFonts w:ascii="Arial" w:hAnsi="Arial" w:cs="Arial"/>
        </w:rPr>
        <w:t xml:space="preserve"> </w:t>
      </w:r>
    </w:p>
    <w:p w14:paraId="28FA7DE3" w14:textId="6DF1FCA4" w:rsidR="00484C2D" w:rsidRPr="00A840BC" w:rsidRDefault="00484C2D" w:rsidP="00FE765B">
      <w:pPr>
        <w:pStyle w:val="ListParagraph"/>
        <w:widowControl w:val="0"/>
        <w:numPr>
          <w:ilvl w:val="0"/>
          <w:numId w:val="36"/>
        </w:numPr>
        <w:autoSpaceDE w:val="0"/>
        <w:autoSpaceDN w:val="0"/>
        <w:adjustRightInd w:val="0"/>
        <w:jc w:val="both"/>
        <w:rPr>
          <w:rFonts w:ascii="Arial" w:hAnsi="Arial" w:cs="Arial"/>
        </w:rPr>
      </w:pPr>
      <w:proofErr w:type="spellStart"/>
      <w:r w:rsidRPr="00A840BC">
        <w:rPr>
          <w:rFonts w:ascii="Arial" w:hAnsi="Arial" w:cs="Arial"/>
        </w:rPr>
        <w:t>Bozhinova</w:t>
      </w:r>
      <w:proofErr w:type="spellEnd"/>
      <w:r w:rsidRPr="00A840BC">
        <w:rPr>
          <w:rFonts w:ascii="Arial" w:hAnsi="Arial" w:cs="Arial"/>
        </w:rPr>
        <w:t xml:space="preserve">, M., &amp; Ganchev, A. (2022). Digitalization of Financial Services and Financial Literacy of Young Generations – Trends, Challenges, and Solutions </w:t>
      </w:r>
      <w:proofErr w:type="gramStart"/>
      <w:r w:rsidRPr="00A840BC">
        <w:rPr>
          <w:rFonts w:ascii="Arial" w:hAnsi="Arial" w:cs="Arial"/>
        </w:rPr>
        <w:t>From</w:t>
      </w:r>
      <w:proofErr w:type="gramEnd"/>
      <w:r w:rsidRPr="00A840BC">
        <w:rPr>
          <w:rFonts w:ascii="Arial" w:hAnsi="Arial" w:cs="Arial"/>
        </w:rPr>
        <w:t xml:space="preserve"> Bulgarian Practice. January, 38–44. </w:t>
      </w:r>
      <w:proofErr w:type="spellStart"/>
      <w:r w:rsidR="00C44CEB" w:rsidRPr="00A840BC">
        <w:rPr>
          <w:rFonts w:ascii="Arial" w:hAnsi="Arial" w:cs="Arial"/>
        </w:rPr>
        <w:t>Bozhinova</w:t>
      </w:r>
      <w:proofErr w:type="spellEnd"/>
      <w:r w:rsidR="00C44CEB" w:rsidRPr="00A840BC">
        <w:rPr>
          <w:rFonts w:ascii="Arial" w:hAnsi="Arial" w:cs="Arial"/>
        </w:rPr>
        <w:t xml:space="preserve">, M., &amp; Ganchev, A. (2022). </w:t>
      </w:r>
      <w:proofErr w:type="spellStart"/>
      <w:r w:rsidR="00C44CEB" w:rsidRPr="00A840BC">
        <w:rPr>
          <w:rFonts w:ascii="Arial" w:hAnsi="Arial" w:cs="Arial"/>
        </w:rPr>
        <w:t>Digitalisation</w:t>
      </w:r>
      <w:proofErr w:type="spellEnd"/>
      <w:r w:rsidR="00C44CEB" w:rsidRPr="00A840BC">
        <w:rPr>
          <w:rFonts w:ascii="Arial" w:hAnsi="Arial" w:cs="Arial"/>
        </w:rPr>
        <w:t xml:space="preserve"> of Financial Services and Financial Literacy of Young Generations – Trends, Challenges and Solutions </w:t>
      </w:r>
      <w:proofErr w:type="gramStart"/>
      <w:r w:rsidR="00C44CEB" w:rsidRPr="00A840BC">
        <w:rPr>
          <w:rFonts w:ascii="Arial" w:hAnsi="Arial" w:cs="Arial"/>
        </w:rPr>
        <w:t>From</w:t>
      </w:r>
      <w:proofErr w:type="gramEnd"/>
      <w:r w:rsidR="00C44CEB" w:rsidRPr="00A840BC">
        <w:rPr>
          <w:rFonts w:ascii="Arial" w:hAnsi="Arial" w:cs="Arial"/>
        </w:rPr>
        <w:t xml:space="preserve"> Bulgarian Practice </w:t>
      </w:r>
      <w:hyperlink r:id="rId19" w:history="1">
        <w:r w:rsidR="00C44CEB" w:rsidRPr="00A840BC">
          <w:rPr>
            <w:rStyle w:val="Hyperlink"/>
            <w:rFonts w:ascii="Arial" w:hAnsi="Arial" w:cs="Arial"/>
          </w:rPr>
          <w:t>https://doi.org/10.51508/intcess.202206</w:t>
        </w:r>
      </w:hyperlink>
      <w:r w:rsidR="00C44CEB" w:rsidRPr="00A840BC">
        <w:rPr>
          <w:rFonts w:ascii="Arial" w:hAnsi="Arial" w:cs="Arial"/>
        </w:rPr>
        <w:t xml:space="preserve"> </w:t>
      </w:r>
    </w:p>
    <w:p w14:paraId="2CBC28D9" w14:textId="44B8079C" w:rsidR="00484C2D" w:rsidRPr="00A840BC" w:rsidRDefault="00484C2D" w:rsidP="00FE765B">
      <w:pPr>
        <w:pStyle w:val="ListParagraph"/>
        <w:widowControl w:val="0"/>
        <w:numPr>
          <w:ilvl w:val="0"/>
          <w:numId w:val="36"/>
        </w:numPr>
        <w:autoSpaceDE w:val="0"/>
        <w:autoSpaceDN w:val="0"/>
        <w:adjustRightInd w:val="0"/>
        <w:jc w:val="both"/>
        <w:rPr>
          <w:rFonts w:ascii="Arial" w:hAnsi="Arial" w:cs="Arial"/>
        </w:rPr>
      </w:pPr>
      <w:r w:rsidRPr="00A840BC">
        <w:rPr>
          <w:rFonts w:ascii="Arial" w:hAnsi="Arial" w:cs="Arial"/>
        </w:rPr>
        <w:t xml:space="preserve">Cohen, J. (1992). QUANTITATIVE METHODS IN PSYCHOLOGY: A Power Primer. 112(I), 155–159. </w:t>
      </w:r>
      <w:hyperlink r:id="rId20" w:history="1">
        <w:r w:rsidR="00A81084" w:rsidRPr="00A840BC">
          <w:rPr>
            <w:rStyle w:val="Hyperlink"/>
            <w:rFonts w:ascii="Arial" w:hAnsi="Arial" w:cs="Arial"/>
          </w:rPr>
          <w:t>https://doi.org/10.1037/0033-2909.112.1.155</w:t>
        </w:r>
      </w:hyperlink>
      <w:r w:rsidR="00A81084" w:rsidRPr="00A840BC">
        <w:rPr>
          <w:rFonts w:ascii="Arial" w:hAnsi="Arial" w:cs="Arial"/>
        </w:rPr>
        <w:t xml:space="preserve"> </w:t>
      </w:r>
    </w:p>
    <w:p w14:paraId="0B5D5022" w14:textId="26D5F01A" w:rsidR="00E9006B" w:rsidRPr="00A840BC" w:rsidRDefault="00E9006B" w:rsidP="00FE765B">
      <w:pPr>
        <w:pStyle w:val="ListParagraph"/>
        <w:widowControl w:val="0"/>
        <w:numPr>
          <w:ilvl w:val="0"/>
          <w:numId w:val="36"/>
        </w:numPr>
        <w:autoSpaceDE w:val="0"/>
        <w:autoSpaceDN w:val="0"/>
        <w:adjustRightInd w:val="0"/>
        <w:jc w:val="both"/>
        <w:rPr>
          <w:rFonts w:ascii="Arial" w:hAnsi="Arial" w:cs="Arial"/>
        </w:rPr>
      </w:pPr>
      <w:r w:rsidRPr="00A840BC">
        <w:rPr>
          <w:rFonts w:ascii="Arial" w:hAnsi="Arial" w:cs="Arial"/>
        </w:rPr>
        <w:t xml:space="preserve">Dewi, M., </w:t>
      </w:r>
      <w:proofErr w:type="spellStart"/>
      <w:r w:rsidRPr="00A840BC">
        <w:rPr>
          <w:rFonts w:ascii="Arial" w:hAnsi="Arial" w:cs="Arial"/>
        </w:rPr>
        <w:t>Buchdadi</w:t>
      </w:r>
      <w:proofErr w:type="spellEnd"/>
      <w:r w:rsidRPr="00A840BC">
        <w:rPr>
          <w:rFonts w:ascii="Arial" w:hAnsi="Arial" w:cs="Arial"/>
        </w:rPr>
        <w:t xml:space="preserve">, A. D., &amp; </w:t>
      </w:r>
      <w:proofErr w:type="spellStart"/>
      <w:r w:rsidRPr="00A840BC">
        <w:rPr>
          <w:rFonts w:ascii="Arial" w:hAnsi="Arial" w:cs="Arial"/>
        </w:rPr>
        <w:t>Mahfirah</w:t>
      </w:r>
      <w:proofErr w:type="spellEnd"/>
      <w:r w:rsidRPr="00A840BC">
        <w:rPr>
          <w:rFonts w:ascii="Arial" w:hAnsi="Arial" w:cs="Arial"/>
        </w:rPr>
        <w:t>, T. F. (n.d.). Financial Literacy as a Mediating Variable between Financial Behavior and Financial Inclusion: Evidence from Generation Z in Indonesia.</w:t>
      </w:r>
      <w:r w:rsidR="00043C58" w:rsidRPr="00A840BC">
        <w:t xml:space="preserve"> </w:t>
      </w:r>
      <w:r w:rsidR="00043C58" w:rsidRPr="00A840BC">
        <w:rPr>
          <w:rFonts w:ascii="Arial" w:hAnsi="Arial" w:cs="Arial"/>
        </w:rPr>
        <w:t xml:space="preserve">https://doi.org/10.33648/ijoaser.v8i2.1079 </w:t>
      </w:r>
    </w:p>
    <w:p w14:paraId="4977D194" w14:textId="106A62C1" w:rsidR="00484C2D" w:rsidRPr="00A840BC" w:rsidRDefault="00484C2D" w:rsidP="00FE765B">
      <w:pPr>
        <w:pStyle w:val="ListParagraph"/>
        <w:widowControl w:val="0"/>
        <w:numPr>
          <w:ilvl w:val="0"/>
          <w:numId w:val="36"/>
        </w:numPr>
        <w:autoSpaceDE w:val="0"/>
        <w:autoSpaceDN w:val="0"/>
        <w:adjustRightInd w:val="0"/>
        <w:jc w:val="both"/>
        <w:rPr>
          <w:rFonts w:ascii="Arial" w:hAnsi="Arial" w:cs="Arial"/>
        </w:rPr>
      </w:pPr>
      <w:proofErr w:type="spellStart"/>
      <w:r w:rsidRPr="00A840BC">
        <w:rPr>
          <w:rFonts w:ascii="Arial" w:hAnsi="Arial" w:cs="Arial"/>
        </w:rPr>
        <w:t>Kominfo</w:t>
      </w:r>
      <w:proofErr w:type="spellEnd"/>
      <w:r w:rsidRPr="00A840BC">
        <w:rPr>
          <w:rFonts w:ascii="Arial" w:hAnsi="Arial" w:cs="Arial"/>
        </w:rPr>
        <w:t xml:space="preserve">. (2024). </w:t>
      </w:r>
      <w:proofErr w:type="spellStart"/>
      <w:r w:rsidRPr="00A840BC">
        <w:rPr>
          <w:rFonts w:ascii="Arial" w:hAnsi="Arial" w:cs="Arial"/>
        </w:rPr>
        <w:t>Kominfo</w:t>
      </w:r>
      <w:proofErr w:type="spellEnd"/>
      <w:r w:rsidRPr="00A840BC">
        <w:rPr>
          <w:rFonts w:ascii="Arial" w:hAnsi="Arial" w:cs="Arial"/>
        </w:rPr>
        <w:t xml:space="preserve"> Blocks Tens of Thousands of Illegal Loan Applications. </w:t>
      </w:r>
      <w:hyperlink r:id="rId21" w:history="1">
        <w:r w:rsidR="00A90572" w:rsidRPr="00A840BC">
          <w:rPr>
            <w:rStyle w:val="Hyperlink"/>
            <w:rFonts w:ascii="Arial" w:hAnsi="Arial" w:cs="Arial"/>
          </w:rPr>
          <w:t>https://kbr.id/articles/ragam/kominfo-blokir-belasan-ribu-aplikasi-pinjol-ilegal</w:t>
        </w:r>
      </w:hyperlink>
      <w:r w:rsidR="00A90572" w:rsidRPr="00A840BC">
        <w:rPr>
          <w:rFonts w:ascii="Arial" w:hAnsi="Arial" w:cs="Arial"/>
        </w:rPr>
        <w:t xml:space="preserve"> </w:t>
      </w:r>
    </w:p>
    <w:p w14:paraId="650C0619" w14:textId="57BA1B49" w:rsidR="00B9354B" w:rsidRPr="00A840BC" w:rsidRDefault="00B9354B" w:rsidP="00FE765B">
      <w:pPr>
        <w:pStyle w:val="ListParagraph"/>
        <w:widowControl w:val="0"/>
        <w:numPr>
          <w:ilvl w:val="0"/>
          <w:numId w:val="36"/>
        </w:numPr>
        <w:autoSpaceDE w:val="0"/>
        <w:autoSpaceDN w:val="0"/>
        <w:adjustRightInd w:val="0"/>
        <w:jc w:val="both"/>
        <w:rPr>
          <w:rFonts w:ascii="Arial" w:hAnsi="Arial" w:cs="Arial"/>
        </w:rPr>
      </w:pPr>
      <w:proofErr w:type="spellStart"/>
      <w:r w:rsidRPr="00A840BC">
        <w:rPr>
          <w:rFonts w:ascii="Arial" w:hAnsi="Arial" w:cs="Arial"/>
        </w:rPr>
        <w:t>Kurniasari</w:t>
      </w:r>
      <w:proofErr w:type="spellEnd"/>
      <w:r w:rsidRPr="00A840BC">
        <w:rPr>
          <w:rFonts w:ascii="Arial" w:hAnsi="Arial" w:cs="Arial"/>
        </w:rPr>
        <w:t xml:space="preserve">, F. (2021). THE FACTORS AFFECTING THE ADOPTION OF DIGITAL PAYMENT SERVICES USING TRUST AS MEDIATING VARIABLE. Emerging </w:t>
      </w:r>
      <w:proofErr w:type="gramStart"/>
      <w:r w:rsidRPr="00A840BC">
        <w:rPr>
          <w:rFonts w:ascii="Arial" w:hAnsi="Arial" w:cs="Arial"/>
        </w:rPr>
        <w:t>Markets :</w:t>
      </w:r>
      <w:proofErr w:type="gramEnd"/>
      <w:r w:rsidRPr="00A840BC">
        <w:rPr>
          <w:rFonts w:ascii="Arial" w:hAnsi="Arial" w:cs="Arial"/>
        </w:rPr>
        <w:t xml:space="preserve"> Business and Management Studies Journal, 8(1), 15–24. https://doi.org/10.33555/embm.v8i1.165</w:t>
      </w:r>
    </w:p>
    <w:p w14:paraId="14AFFA90" w14:textId="04097D54" w:rsidR="00484C2D" w:rsidRPr="00A840BC" w:rsidRDefault="00484C2D" w:rsidP="00FE765B">
      <w:pPr>
        <w:pStyle w:val="ListParagraph"/>
        <w:widowControl w:val="0"/>
        <w:numPr>
          <w:ilvl w:val="0"/>
          <w:numId w:val="36"/>
        </w:numPr>
        <w:autoSpaceDE w:val="0"/>
        <w:autoSpaceDN w:val="0"/>
        <w:adjustRightInd w:val="0"/>
        <w:jc w:val="both"/>
        <w:rPr>
          <w:rFonts w:ascii="Arial" w:hAnsi="Arial" w:cs="Arial"/>
        </w:rPr>
      </w:pPr>
      <w:r w:rsidRPr="00A840BC">
        <w:rPr>
          <w:rFonts w:ascii="Arial" w:hAnsi="Arial" w:cs="Arial"/>
        </w:rPr>
        <w:t xml:space="preserve">Lusardi, A., &amp; Mitchell, O. S. (2014). The economic importance of financial literacy: Theory and evidence. Journal of Economic Literature, 52(1), 5–44. </w:t>
      </w:r>
      <w:hyperlink r:id="rId22" w:history="1">
        <w:r w:rsidR="00F25857" w:rsidRPr="00A840BC">
          <w:rPr>
            <w:rStyle w:val="Hyperlink"/>
            <w:rFonts w:ascii="Arial" w:hAnsi="Arial" w:cs="Arial"/>
          </w:rPr>
          <w:t>https://doi.org/10.1257/jel.52.1.5</w:t>
        </w:r>
      </w:hyperlink>
      <w:r w:rsidR="00F25857" w:rsidRPr="00A840BC">
        <w:rPr>
          <w:rFonts w:ascii="Arial" w:hAnsi="Arial" w:cs="Arial"/>
        </w:rPr>
        <w:t xml:space="preserve"> </w:t>
      </w:r>
    </w:p>
    <w:p w14:paraId="0A0EA8FA" w14:textId="3429A20A" w:rsidR="00B9354B" w:rsidRPr="00A840BC" w:rsidRDefault="00B9354B" w:rsidP="00FE765B">
      <w:pPr>
        <w:pStyle w:val="ListParagraph"/>
        <w:widowControl w:val="0"/>
        <w:numPr>
          <w:ilvl w:val="0"/>
          <w:numId w:val="36"/>
        </w:numPr>
        <w:autoSpaceDE w:val="0"/>
        <w:autoSpaceDN w:val="0"/>
        <w:adjustRightInd w:val="0"/>
        <w:jc w:val="both"/>
        <w:rPr>
          <w:rFonts w:ascii="Arial" w:hAnsi="Arial" w:cs="Arial"/>
        </w:rPr>
      </w:pPr>
      <w:r w:rsidRPr="00A840BC">
        <w:rPr>
          <w:rFonts w:ascii="Arial" w:hAnsi="Arial" w:cs="Arial"/>
        </w:rPr>
        <w:t xml:space="preserve">Nainggolan, R., </w:t>
      </w:r>
      <w:proofErr w:type="spellStart"/>
      <w:r w:rsidRPr="00A840BC">
        <w:rPr>
          <w:rFonts w:ascii="Arial" w:hAnsi="Arial" w:cs="Arial"/>
        </w:rPr>
        <w:t>Padmalia</w:t>
      </w:r>
      <w:proofErr w:type="spellEnd"/>
      <w:r w:rsidRPr="00A840BC">
        <w:rPr>
          <w:rFonts w:ascii="Arial" w:hAnsi="Arial" w:cs="Arial"/>
        </w:rPr>
        <w:t xml:space="preserve">, M., </w:t>
      </w:r>
      <w:proofErr w:type="spellStart"/>
      <w:r w:rsidRPr="00A840BC">
        <w:rPr>
          <w:rFonts w:ascii="Arial" w:hAnsi="Arial" w:cs="Arial"/>
        </w:rPr>
        <w:t>Sitepu</w:t>
      </w:r>
      <w:proofErr w:type="spellEnd"/>
      <w:r w:rsidRPr="00A840BC">
        <w:rPr>
          <w:rFonts w:ascii="Arial" w:hAnsi="Arial" w:cs="Arial"/>
        </w:rPr>
        <w:t xml:space="preserve">, R., Andrina, A. A. A. P., &amp; Win, T. (2025). The Effect of </w:t>
      </w:r>
      <w:proofErr w:type="gramStart"/>
      <w:r w:rsidRPr="00A840BC">
        <w:rPr>
          <w:rFonts w:ascii="Arial" w:hAnsi="Arial" w:cs="Arial"/>
        </w:rPr>
        <w:t>A</w:t>
      </w:r>
      <w:proofErr w:type="gramEnd"/>
      <w:r w:rsidRPr="00A840BC">
        <w:rPr>
          <w:rFonts w:ascii="Arial" w:hAnsi="Arial" w:cs="Arial"/>
        </w:rPr>
        <w:t xml:space="preserve"> Digital Financial Literacy on Financial Performance of </w:t>
      </w:r>
      <w:proofErr w:type="spellStart"/>
      <w:r w:rsidRPr="00A840BC">
        <w:rPr>
          <w:rFonts w:ascii="Arial" w:hAnsi="Arial" w:cs="Arial"/>
        </w:rPr>
        <w:t>Msmes</w:t>
      </w:r>
      <w:proofErr w:type="spellEnd"/>
      <w:r w:rsidRPr="00A840BC">
        <w:rPr>
          <w:rFonts w:ascii="Arial" w:hAnsi="Arial" w:cs="Arial"/>
        </w:rPr>
        <w:t>: A Quasi-Experimental Study Supporting SDG. Journal of Lifestyle and SDGs Review, 5(3), e03817. https://doi.org/10.47172/2965-730X.SDGsReview.v5.n03.pe03817</w:t>
      </w:r>
    </w:p>
    <w:p w14:paraId="3E2C35BD" w14:textId="7F925157" w:rsidR="00484C2D" w:rsidRPr="00A840BC" w:rsidRDefault="00484C2D" w:rsidP="00FE765B">
      <w:pPr>
        <w:pStyle w:val="ListParagraph"/>
        <w:widowControl w:val="0"/>
        <w:numPr>
          <w:ilvl w:val="0"/>
          <w:numId w:val="36"/>
        </w:numPr>
        <w:autoSpaceDE w:val="0"/>
        <w:autoSpaceDN w:val="0"/>
        <w:adjustRightInd w:val="0"/>
        <w:jc w:val="both"/>
        <w:rPr>
          <w:rFonts w:ascii="Arial" w:hAnsi="Arial" w:cs="Arial"/>
        </w:rPr>
      </w:pPr>
      <w:r w:rsidRPr="00A840BC">
        <w:rPr>
          <w:rFonts w:ascii="Arial" w:hAnsi="Arial" w:cs="Arial"/>
        </w:rPr>
        <w:t xml:space="preserve">OECD. (2020). OECD/INFE 2020 International Survey of Adult Financial Literacy. </w:t>
      </w:r>
      <w:hyperlink r:id="rId23" w:history="1">
        <w:r w:rsidR="00573617" w:rsidRPr="00A840BC">
          <w:rPr>
            <w:rStyle w:val="Hyperlink"/>
            <w:rFonts w:ascii="Arial" w:hAnsi="Arial" w:cs="Arial"/>
          </w:rPr>
          <w:t>https://doi.org/10.1787/145f5607-en</w:t>
        </w:r>
      </w:hyperlink>
      <w:r w:rsidR="00573617" w:rsidRPr="00A840BC">
        <w:rPr>
          <w:rFonts w:ascii="Arial" w:hAnsi="Arial" w:cs="Arial"/>
        </w:rPr>
        <w:t xml:space="preserve"> </w:t>
      </w:r>
      <w:r w:rsidRPr="00A840BC">
        <w:rPr>
          <w:rFonts w:ascii="Arial" w:hAnsi="Arial" w:cs="Arial"/>
        </w:rPr>
        <w:t>.</w:t>
      </w:r>
    </w:p>
    <w:p w14:paraId="41165BD1" w14:textId="5F64947C" w:rsidR="00484C2D" w:rsidRPr="00A840BC" w:rsidRDefault="00484C2D" w:rsidP="00FE765B">
      <w:pPr>
        <w:pStyle w:val="ListParagraph"/>
        <w:widowControl w:val="0"/>
        <w:numPr>
          <w:ilvl w:val="0"/>
          <w:numId w:val="36"/>
        </w:numPr>
        <w:autoSpaceDE w:val="0"/>
        <w:autoSpaceDN w:val="0"/>
        <w:adjustRightInd w:val="0"/>
        <w:jc w:val="both"/>
        <w:rPr>
          <w:rFonts w:ascii="Arial" w:hAnsi="Arial" w:cs="Arial"/>
        </w:rPr>
      </w:pPr>
      <w:r w:rsidRPr="00A840BC">
        <w:rPr>
          <w:rFonts w:ascii="Arial" w:hAnsi="Arial" w:cs="Arial"/>
        </w:rPr>
        <w:lastRenderedPageBreak/>
        <w:t xml:space="preserve">OJK. (2021, November 11). This is OJK's Policy to Promote Digitalization in the Financial Sector (25, trans.). 1–5. </w:t>
      </w:r>
      <w:hyperlink r:id="rId24" w:history="1">
        <w:r w:rsidR="002C523D" w:rsidRPr="00A840BC">
          <w:rPr>
            <w:rStyle w:val="Hyperlink"/>
            <w:rFonts w:ascii="Arial" w:hAnsi="Arial" w:cs="Arial"/>
          </w:rPr>
          <w:t>https://setkab.go.id/inilah-kebijakan-ojk-dorong-digitalisasi-di-sektor-keuangan/</w:t>
        </w:r>
      </w:hyperlink>
      <w:r w:rsidR="002C523D" w:rsidRPr="00A840BC">
        <w:rPr>
          <w:rFonts w:ascii="Arial" w:hAnsi="Arial" w:cs="Arial"/>
        </w:rPr>
        <w:t xml:space="preserve"> </w:t>
      </w:r>
    </w:p>
    <w:p w14:paraId="11CD37B2" w14:textId="5CE049A1" w:rsidR="00484C2D" w:rsidRPr="00A840BC" w:rsidRDefault="00484C2D" w:rsidP="00FE765B">
      <w:pPr>
        <w:pStyle w:val="ListParagraph"/>
        <w:widowControl w:val="0"/>
        <w:numPr>
          <w:ilvl w:val="0"/>
          <w:numId w:val="36"/>
        </w:numPr>
        <w:autoSpaceDE w:val="0"/>
        <w:autoSpaceDN w:val="0"/>
        <w:adjustRightInd w:val="0"/>
        <w:jc w:val="both"/>
        <w:rPr>
          <w:rFonts w:ascii="Arial" w:hAnsi="Arial" w:cs="Arial"/>
        </w:rPr>
      </w:pPr>
      <w:r w:rsidRPr="00A840BC">
        <w:rPr>
          <w:rFonts w:ascii="Arial" w:hAnsi="Arial" w:cs="Arial"/>
        </w:rPr>
        <w:t xml:space="preserve">Financial Services Authority. (2017). Financial Services Authority Circular Letter Number 31 /Seojk.07/2017 Concerning the Implementation of Activities to Increase Financial Inclusion in the Financial Services Sector. In Financial Services Authority (OJK). </w:t>
      </w:r>
      <w:hyperlink r:id="rId25" w:history="1">
        <w:r w:rsidR="001B2838" w:rsidRPr="00A840BC">
          <w:rPr>
            <w:rStyle w:val="Hyperlink"/>
            <w:rFonts w:ascii="Arial" w:hAnsi="Arial" w:cs="Arial"/>
          </w:rPr>
          <w:t>https://www.ojk.go.id/id/kanal/edukasi-dan-perlindungan-konsumen/Pages/Pelaksanaan-Kegiatan-dalam-rangka-Meningkatkan-Inklusi-Keuangan-di-Sektor-Jasa-Keuangan.aspx</w:t>
        </w:r>
      </w:hyperlink>
      <w:r w:rsidR="001B2838" w:rsidRPr="00A840BC">
        <w:rPr>
          <w:rFonts w:ascii="Arial" w:hAnsi="Arial" w:cs="Arial"/>
        </w:rPr>
        <w:t xml:space="preserve"> </w:t>
      </w:r>
    </w:p>
    <w:p w14:paraId="08DE682E" w14:textId="77777777" w:rsidR="00484C2D" w:rsidRPr="00A840BC" w:rsidRDefault="00484C2D" w:rsidP="00FE765B">
      <w:pPr>
        <w:pStyle w:val="ListParagraph"/>
        <w:widowControl w:val="0"/>
        <w:numPr>
          <w:ilvl w:val="0"/>
          <w:numId w:val="36"/>
        </w:numPr>
        <w:autoSpaceDE w:val="0"/>
        <w:autoSpaceDN w:val="0"/>
        <w:adjustRightInd w:val="0"/>
        <w:jc w:val="both"/>
        <w:rPr>
          <w:rFonts w:ascii="Arial" w:hAnsi="Arial" w:cs="Arial"/>
        </w:rPr>
      </w:pPr>
      <w:r w:rsidRPr="00A840BC">
        <w:rPr>
          <w:rFonts w:ascii="Arial" w:hAnsi="Arial" w:cs="Arial"/>
        </w:rPr>
        <w:t xml:space="preserve">Remi Aiyede, E., &amp; </w:t>
      </w:r>
      <w:proofErr w:type="spellStart"/>
      <w:r w:rsidRPr="00A840BC">
        <w:rPr>
          <w:rFonts w:ascii="Arial" w:hAnsi="Arial" w:cs="Arial"/>
        </w:rPr>
        <w:t>Muganda</w:t>
      </w:r>
      <w:proofErr w:type="spellEnd"/>
      <w:r w:rsidRPr="00A840BC">
        <w:rPr>
          <w:rFonts w:ascii="Arial" w:hAnsi="Arial" w:cs="Arial"/>
        </w:rPr>
        <w:t>, B. (2022). Public Policy and Research in Africa. In Public Policy and Research in Africa. Springer International Publishing.</w:t>
      </w:r>
    </w:p>
    <w:p w14:paraId="574F6F3F" w14:textId="184F33A1" w:rsidR="00484C2D" w:rsidRPr="00A840BC" w:rsidRDefault="00920D1E" w:rsidP="00FE765B">
      <w:pPr>
        <w:pStyle w:val="ListParagraph"/>
        <w:widowControl w:val="0"/>
        <w:numPr>
          <w:ilvl w:val="0"/>
          <w:numId w:val="36"/>
        </w:numPr>
        <w:autoSpaceDE w:val="0"/>
        <w:autoSpaceDN w:val="0"/>
        <w:adjustRightInd w:val="0"/>
        <w:jc w:val="both"/>
        <w:rPr>
          <w:rFonts w:ascii="Arial" w:hAnsi="Arial" w:cs="Arial"/>
        </w:rPr>
      </w:pPr>
      <w:hyperlink r:id="rId26" w:history="1">
        <w:r w:rsidR="00467CE3" w:rsidRPr="00A840BC">
          <w:rPr>
            <w:rStyle w:val="Hyperlink"/>
            <w:rFonts w:ascii="Arial" w:hAnsi="Arial" w:cs="Arial"/>
            <w:color w:val="EE0000"/>
          </w:rPr>
          <w:t>https://doi.org/10.1007/978-3-030-99724-3</w:t>
        </w:r>
      </w:hyperlink>
      <w:r w:rsidR="00467CE3" w:rsidRPr="00A840BC">
        <w:rPr>
          <w:rFonts w:ascii="Arial" w:hAnsi="Arial" w:cs="Arial"/>
          <w:color w:val="EE0000"/>
        </w:rPr>
        <w:t xml:space="preserve"> </w:t>
      </w:r>
    </w:p>
    <w:p w14:paraId="1D6BA91E" w14:textId="69E9BB8C" w:rsidR="00484C2D" w:rsidRPr="00A840BC" w:rsidRDefault="00484C2D" w:rsidP="00FE765B">
      <w:pPr>
        <w:pStyle w:val="ListParagraph"/>
        <w:widowControl w:val="0"/>
        <w:numPr>
          <w:ilvl w:val="0"/>
          <w:numId w:val="36"/>
        </w:numPr>
        <w:autoSpaceDE w:val="0"/>
        <w:autoSpaceDN w:val="0"/>
        <w:adjustRightInd w:val="0"/>
        <w:jc w:val="both"/>
        <w:rPr>
          <w:rFonts w:ascii="Arial" w:hAnsi="Arial" w:cs="Arial"/>
        </w:rPr>
      </w:pPr>
      <w:proofErr w:type="spellStart"/>
      <w:r w:rsidRPr="00A840BC">
        <w:rPr>
          <w:rFonts w:ascii="Arial" w:hAnsi="Arial" w:cs="Arial"/>
        </w:rPr>
        <w:t>Sholihah</w:t>
      </w:r>
      <w:proofErr w:type="spellEnd"/>
      <w:r w:rsidRPr="00A840BC">
        <w:rPr>
          <w:rFonts w:ascii="Arial" w:hAnsi="Arial" w:cs="Arial"/>
        </w:rPr>
        <w:t xml:space="preserve">, E., </w:t>
      </w:r>
      <w:proofErr w:type="spellStart"/>
      <w:r w:rsidRPr="00A840BC">
        <w:rPr>
          <w:rFonts w:ascii="Arial" w:hAnsi="Arial" w:cs="Arial"/>
        </w:rPr>
        <w:t>Nurhapsari</w:t>
      </w:r>
      <w:proofErr w:type="spellEnd"/>
      <w:r w:rsidRPr="00A840BC">
        <w:rPr>
          <w:rFonts w:ascii="Arial" w:hAnsi="Arial" w:cs="Arial"/>
        </w:rPr>
        <w:t xml:space="preserve">, R., &amp; </w:t>
      </w:r>
      <w:proofErr w:type="spellStart"/>
      <w:r w:rsidRPr="00A840BC">
        <w:rPr>
          <w:rFonts w:ascii="Arial" w:hAnsi="Arial" w:cs="Arial"/>
        </w:rPr>
        <w:t>Rohmania</w:t>
      </w:r>
      <w:proofErr w:type="spellEnd"/>
      <w:r w:rsidRPr="00A840BC">
        <w:rPr>
          <w:rFonts w:ascii="Arial" w:hAnsi="Arial" w:cs="Arial"/>
        </w:rPr>
        <w:t xml:space="preserve">, A. S. (2023). The Role of Literacy and Government Support in Improving MSME Performance Through Digital Financial Services Adoption and Financial Inclusion. Journal of Finance and Banking, 27(3), 424–436. </w:t>
      </w:r>
      <w:hyperlink r:id="rId27" w:history="1">
        <w:r w:rsidR="00F533FE" w:rsidRPr="00A840BC">
          <w:rPr>
            <w:rStyle w:val="Hyperlink"/>
            <w:rFonts w:ascii="Arial" w:hAnsi="Arial" w:cs="Arial"/>
          </w:rPr>
          <w:t>https://doi.org/10.26905/jkdp.v27i3.11147</w:t>
        </w:r>
      </w:hyperlink>
      <w:r w:rsidR="00F533FE" w:rsidRPr="00A840BC">
        <w:rPr>
          <w:rFonts w:ascii="Arial" w:hAnsi="Arial" w:cs="Arial"/>
        </w:rPr>
        <w:t xml:space="preserve"> </w:t>
      </w:r>
    </w:p>
    <w:p w14:paraId="0460E724" w14:textId="46EE7004" w:rsidR="006C15F7" w:rsidRPr="00A840BC" w:rsidRDefault="006C15F7" w:rsidP="00FE765B">
      <w:pPr>
        <w:pStyle w:val="ListParagraph"/>
        <w:widowControl w:val="0"/>
        <w:numPr>
          <w:ilvl w:val="0"/>
          <w:numId w:val="36"/>
        </w:numPr>
        <w:autoSpaceDE w:val="0"/>
        <w:autoSpaceDN w:val="0"/>
        <w:adjustRightInd w:val="0"/>
        <w:jc w:val="both"/>
        <w:rPr>
          <w:rFonts w:ascii="Arial" w:hAnsi="Arial" w:cs="Arial"/>
        </w:rPr>
      </w:pPr>
      <w:proofErr w:type="spellStart"/>
      <w:r w:rsidRPr="00A840BC">
        <w:rPr>
          <w:rFonts w:ascii="Arial" w:hAnsi="Arial" w:cs="Arial"/>
        </w:rPr>
        <w:t>Sitriani</w:t>
      </w:r>
      <w:proofErr w:type="spellEnd"/>
      <w:r w:rsidRPr="00A840BC">
        <w:rPr>
          <w:rFonts w:ascii="Arial" w:hAnsi="Arial" w:cs="Arial"/>
        </w:rPr>
        <w:t xml:space="preserve">, A., Zainuddin, F., Muslimin, M., &amp; </w:t>
      </w:r>
      <w:proofErr w:type="spellStart"/>
      <w:r w:rsidRPr="00A840BC">
        <w:rPr>
          <w:rFonts w:ascii="Arial" w:hAnsi="Arial" w:cs="Arial"/>
        </w:rPr>
        <w:t>Risendy</w:t>
      </w:r>
      <w:proofErr w:type="spellEnd"/>
      <w:r w:rsidRPr="00A840BC">
        <w:rPr>
          <w:rFonts w:ascii="Arial" w:hAnsi="Arial" w:cs="Arial"/>
        </w:rPr>
        <w:t>, R. (2025). The Influence of Financial Literacy and Financial Digitalization on the Profitability: Study on Micro and Small Enterprises Business Incubator in Palu City, Indonesia. Golden Ratio of Finance Management, 5(1), 228–238. https://doi.org/10.52970/grfm.v5i1.997</w:t>
      </w:r>
    </w:p>
    <w:p w14:paraId="4643A696" w14:textId="24D57457" w:rsidR="00484C2D" w:rsidRPr="00A840BC" w:rsidRDefault="00484C2D" w:rsidP="00FE765B">
      <w:pPr>
        <w:pStyle w:val="ListParagraph"/>
        <w:widowControl w:val="0"/>
        <w:numPr>
          <w:ilvl w:val="0"/>
          <w:numId w:val="36"/>
        </w:numPr>
        <w:autoSpaceDE w:val="0"/>
        <w:autoSpaceDN w:val="0"/>
        <w:adjustRightInd w:val="0"/>
        <w:jc w:val="both"/>
        <w:rPr>
          <w:rFonts w:ascii="Arial" w:hAnsi="Arial" w:cs="Arial"/>
        </w:rPr>
      </w:pPr>
      <w:r w:rsidRPr="00A840BC">
        <w:rPr>
          <w:rFonts w:ascii="Arial" w:hAnsi="Arial" w:cs="Arial"/>
        </w:rPr>
        <w:t xml:space="preserve">Teixeira, P. N. (2014). Gary Beckers early work on human capital - collaborations and distinctiveness. IZA Journal of Labor Economics, 3(12), 1–20. </w:t>
      </w:r>
      <w:hyperlink r:id="rId28" w:history="1">
        <w:r w:rsidR="00A0549B" w:rsidRPr="00A840BC">
          <w:rPr>
            <w:rStyle w:val="Hyperlink"/>
            <w:rFonts w:ascii="Arial" w:hAnsi="Arial" w:cs="Arial"/>
          </w:rPr>
          <w:t>https://doi.org/10.1186/s40172-014-0012-2</w:t>
        </w:r>
      </w:hyperlink>
      <w:r w:rsidR="00A0549B" w:rsidRPr="00A840BC">
        <w:rPr>
          <w:rFonts w:ascii="Arial" w:hAnsi="Arial" w:cs="Arial"/>
        </w:rPr>
        <w:t xml:space="preserve"> </w:t>
      </w:r>
    </w:p>
    <w:p w14:paraId="711B68AF" w14:textId="1B0C51D2" w:rsidR="00B9354B" w:rsidRPr="00A840BC" w:rsidRDefault="00B9354B" w:rsidP="00FE765B">
      <w:pPr>
        <w:pStyle w:val="ListParagraph"/>
        <w:widowControl w:val="0"/>
        <w:numPr>
          <w:ilvl w:val="0"/>
          <w:numId w:val="36"/>
        </w:numPr>
        <w:autoSpaceDE w:val="0"/>
        <w:autoSpaceDN w:val="0"/>
        <w:adjustRightInd w:val="0"/>
        <w:jc w:val="both"/>
        <w:rPr>
          <w:rFonts w:ascii="Arial" w:hAnsi="Arial" w:cs="Arial"/>
        </w:rPr>
      </w:pPr>
      <w:proofErr w:type="spellStart"/>
      <w:r w:rsidRPr="00A840BC">
        <w:rPr>
          <w:rFonts w:ascii="Arial" w:hAnsi="Arial" w:cs="Arial"/>
        </w:rPr>
        <w:t>Tubastuvi</w:t>
      </w:r>
      <w:proofErr w:type="spellEnd"/>
      <w:r w:rsidRPr="00A840BC">
        <w:rPr>
          <w:rFonts w:ascii="Arial" w:hAnsi="Arial" w:cs="Arial"/>
        </w:rPr>
        <w:t xml:space="preserve">, N., Nur Ainun, R., </w:t>
      </w:r>
      <w:proofErr w:type="spellStart"/>
      <w:r w:rsidRPr="00A840BC">
        <w:rPr>
          <w:rFonts w:ascii="Arial" w:hAnsi="Arial" w:cs="Arial"/>
        </w:rPr>
        <w:t>Purwidianti</w:t>
      </w:r>
      <w:proofErr w:type="spellEnd"/>
      <w:r w:rsidRPr="00A840BC">
        <w:rPr>
          <w:rFonts w:ascii="Arial" w:hAnsi="Arial" w:cs="Arial"/>
        </w:rPr>
        <w:t xml:space="preserve">, W., &amp; </w:t>
      </w:r>
      <w:proofErr w:type="spellStart"/>
      <w:r w:rsidRPr="00A840BC">
        <w:rPr>
          <w:rFonts w:ascii="Arial" w:hAnsi="Arial" w:cs="Arial"/>
        </w:rPr>
        <w:t>Zamakhsyari</w:t>
      </w:r>
      <w:proofErr w:type="spellEnd"/>
      <w:r w:rsidRPr="00A840BC">
        <w:rPr>
          <w:rFonts w:ascii="Arial" w:hAnsi="Arial" w:cs="Arial"/>
        </w:rPr>
        <w:t>, L. (2024). Enhancing MSME: Exploring the Relationship between Financial Literacy, Financial Inclusion, and Capital Access to Improve Performance. Airlangga Journal of Innovation Management, 5(1), 1–16. https://doi.org/10.20473/ajim.v5i1.53990</w:t>
      </w:r>
    </w:p>
    <w:p w14:paraId="2C5A954C" w14:textId="0023BBE1" w:rsidR="00484C2D" w:rsidRPr="00A840BC" w:rsidRDefault="00484C2D" w:rsidP="00FE765B">
      <w:pPr>
        <w:pStyle w:val="ListParagraph"/>
        <w:widowControl w:val="0"/>
        <w:numPr>
          <w:ilvl w:val="0"/>
          <w:numId w:val="36"/>
        </w:numPr>
        <w:autoSpaceDE w:val="0"/>
        <w:autoSpaceDN w:val="0"/>
        <w:adjustRightInd w:val="0"/>
        <w:jc w:val="both"/>
        <w:rPr>
          <w:rFonts w:ascii="Arial" w:hAnsi="Arial" w:cs="Arial"/>
        </w:rPr>
      </w:pPr>
      <w:proofErr w:type="spellStart"/>
      <w:r w:rsidRPr="00A840BC">
        <w:rPr>
          <w:rFonts w:ascii="Arial" w:hAnsi="Arial" w:cs="Arial"/>
        </w:rPr>
        <w:t>Widyastuti</w:t>
      </w:r>
      <w:proofErr w:type="spellEnd"/>
      <w:r w:rsidRPr="00A840BC">
        <w:rPr>
          <w:rFonts w:ascii="Arial" w:hAnsi="Arial" w:cs="Arial"/>
        </w:rPr>
        <w:t xml:space="preserve">, U., </w:t>
      </w:r>
      <w:proofErr w:type="spellStart"/>
      <w:r w:rsidRPr="00A840BC">
        <w:rPr>
          <w:rFonts w:ascii="Arial" w:hAnsi="Arial" w:cs="Arial"/>
        </w:rPr>
        <w:t>Respati</w:t>
      </w:r>
      <w:proofErr w:type="spellEnd"/>
      <w:r w:rsidRPr="00A840BC">
        <w:rPr>
          <w:rFonts w:ascii="Arial" w:hAnsi="Arial" w:cs="Arial"/>
        </w:rPr>
        <w:t xml:space="preserve">, D. K., Dewi, V. I., &amp; Soma, A. M. (2024). The Nexus of Digital Financial Inclusion, Digital Financial Literacy and Demographic Factors: Lessons </w:t>
      </w:r>
      <w:proofErr w:type="gramStart"/>
      <w:r w:rsidRPr="00A840BC">
        <w:rPr>
          <w:rFonts w:ascii="Arial" w:hAnsi="Arial" w:cs="Arial"/>
        </w:rPr>
        <w:t>From</w:t>
      </w:r>
      <w:proofErr w:type="gramEnd"/>
      <w:r w:rsidRPr="00A840BC">
        <w:rPr>
          <w:rFonts w:ascii="Arial" w:hAnsi="Arial" w:cs="Arial"/>
        </w:rPr>
        <w:t xml:space="preserve"> Indonesia. Cogent Business and Management, 11(1). </w:t>
      </w:r>
      <w:hyperlink r:id="rId29" w:history="1">
        <w:r w:rsidR="00E465D0" w:rsidRPr="00A840BC">
          <w:rPr>
            <w:rStyle w:val="Hyperlink"/>
            <w:rFonts w:ascii="Arial" w:hAnsi="Arial" w:cs="Arial"/>
          </w:rPr>
          <w:t>https://doi.org/10.1080/23311975.2024.2322778</w:t>
        </w:r>
      </w:hyperlink>
      <w:r w:rsidR="00E465D0" w:rsidRPr="00A840BC">
        <w:rPr>
          <w:rFonts w:ascii="Arial" w:hAnsi="Arial" w:cs="Arial"/>
        </w:rPr>
        <w:t xml:space="preserve"> </w:t>
      </w:r>
    </w:p>
    <w:p w14:paraId="0ABA4E6F" w14:textId="621C51B8" w:rsidR="00B01FCD" w:rsidRPr="00A840BC" w:rsidRDefault="00484C2D" w:rsidP="00FE765B">
      <w:pPr>
        <w:pStyle w:val="ListParagraph"/>
        <w:widowControl w:val="0"/>
        <w:numPr>
          <w:ilvl w:val="0"/>
          <w:numId w:val="36"/>
        </w:numPr>
        <w:autoSpaceDE w:val="0"/>
        <w:autoSpaceDN w:val="0"/>
        <w:adjustRightInd w:val="0"/>
        <w:jc w:val="both"/>
        <w:rPr>
          <w:rFonts w:ascii="Arial" w:hAnsi="Arial" w:cs="Arial"/>
        </w:rPr>
      </w:pPr>
      <w:r w:rsidRPr="00A840BC">
        <w:rPr>
          <w:rFonts w:ascii="Arial" w:hAnsi="Arial" w:cs="Arial"/>
        </w:rPr>
        <w:t>World Bank. (2022). Universal Digital Inclusion and Usage. Independent Evaluation Group (</w:t>
      </w:r>
      <w:proofErr w:type="spellStart"/>
      <w:r w:rsidRPr="00A840BC">
        <w:rPr>
          <w:rFonts w:ascii="Arial" w:hAnsi="Arial" w:cs="Arial"/>
        </w:rPr>
        <w:t>Ieg</w:t>
      </w:r>
      <w:proofErr w:type="spellEnd"/>
      <w:r w:rsidRPr="00A840BC">
        <w:rPr>
          <w:rFonts w:ascii="Arial" w:hAnsi="Arial" w:cs="Arial"/>
        </w:rPr>
        <w:t xml:space="preserve">), 1. </w:t>
      </w:r>
      <w:hyperlink r:id="rId30" w:history="1">
        <w:r w:rsidR="009D053B" w:rsidRPr="00A840BC">
          <w:rPr>
            <w:rStyle w:val="Hyperlink"/>
            <w:rFonts w:ascii="Arial" w:hAnsi="Arial" w:cs="Arial"/>
          </w:rPr>
          <w:t>https://doi.org/10.1596/IEG173890</w:t>
        </w:r>
      </w:hyperlink>
      <w:r w:rsidR="009D053B" w:rsidRPr="00A840BC">
        <w:rPr>
          <w:rFonts w:ascii="Arial" w:hAnsi="Arial" w:cs="Arial"/>
        </w:rPr>
        <w:t xml:space="preserve"> </w:t>
      </w:r>
    </w:p>
    <w:p w14:paraId="039EADF4" w14:textId="7A76351F" w:rsidR="006C15F7" w:rsidRDefault="006C15F7" w:rsidP="00484C2D">
      <w:pPr>
        <w:widowControl w:val="0"/>
        <w:autoSpaceDE w:val="0"/>
        <w:autoSpaceDN w:val="0"/>
        <w:adjustRightInd w:val="0"/>
        <w:ind w:left="480" w:hanging="480"/>
        <w:jc w:val="both"/>
        <w:rPr>
          <w:rFonts w:ascii="Arial" w:hAnsi="Arial" w:cs="Arial"/>
        </w:rPr>
      </w:pPr>
    </w:p>
    <w:p w14:paraId="68E3975A" w14:textId="3FFAAC9B" w:rsidR="00B9354B" w:rsidRPr="00484C2D" w:rsidRDefault="00B9354B" w:rsidP="00484C2D">
      <w:pPr>
        <w:widowControl w:val="0"/>
        <w:autoSpaceDE w:val="0"/>
        <w:autoSpaceDN w:val="0"/>
        <w:adjustRightInd w:val="0"/>
        <w:ind w:left="480" w:hanging="480"/>
        <w:jc w:val="both"/>
        <w:rPr>
          <w:rFonts w:ascii="Arial" w:hAnsi="Arial" w:cs="Arial"/>
        </w:rPr>
      </w:pPr>
    </w:p>
    <w:sectPr w:rsidR="00B9354B" w:rsidRPr="00484C2D" w:rsidSect="00F34DF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5BD49" w14:textId="77777777" w:rsidR="00920D1E" w:rsidRDefault="00920D1E" w:rsidP="00C37E61">
      <w:r>
        <w:separator/>
      </w:r>
    </w:p>
  </w:endnote>
  <w:endnote w:type="continuationSeparator" w:id="0">
    <w:p w14:paraId="1D5D661F" w14:textId="77777777" w:rsidR="00920D1E" w:rsidRDefault="00920D1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12852" w14:textId="77777777" w:rsidR="009E048A" w:rsidRDefault="009E048A">
    <w:pPr>
      <w:pStyle w:val="Footer"/>
      <w:rPr>
        <w:rFonts w:ascii="Arial" w:hAnsi="Arial" w:cs="Arial"/>
        <w:sz w:val="16"/>
      </w:rPr>
    </w:pPr>
  </w:p>
  <w:p w14:paraId="1104A27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9DA60EF" w14:textId="77777777" w:rsidR="009E048A" w:rsidRDefault="009E048A">
    <w:pPr>
      <w:pStyle w:val="Footer"/>
      <w:rPr>
        <w:rFonts w:ascii="Arial" w:hAnsi="Arial" w:cs="Arial"/>
        <w:sz w:val="16"/>
      </w:rPr>
    </w:pPr>
  </w:p>
  <w:p w14:paraId="49C5B49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3A1C4" w14:textId="77777777" w:rsidR="00A523CD" w:rsidRPr="00C37E61" w:rsidRDefault="00A523C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86979" w14:textId="77777777" w:rsidR="00920D1E" w:rsidRDefault="00920D1E" w:rsidP="00C37E61">
      <w:r>
        <w:separator/>
      </w:r>
    </w:p>
  </w:footnote>
  <w:footnote w:type="continuationSeparator" w:id="0">
    <w:p w14:paraId="1F611DD1" w14:textId="77777777" w:rsidR="00920D1E" w:rsidRDefault="00920D1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2388C" w14:textId="6BC6FD1D" w:rsidR="00F34DF0" w:rsidRDefault="00920D1E">
    <w:pPr>
      <w:pStyle w:val="Header"/>
    </w:pPr>
    <w:r>
      <w:rPr>
        <w:noProof/>
      </w:rPr>
      <w:pict w14:anchorId="5E2DF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235157" o:spid="_x0000_s211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13D3" w14:textId="15C41E02" w:rsidR="00F34DF0" w:rsidRDefault="00920D1E">
    <w:pPr>
      <w:pStyle w:val="Header"/>
    </w:pPr>
    <w:r>
      <w:rPr>
        <w:noProof/>
      </w:rPr>
      <w:pict w14:anchorId="01835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235158" o:spid="_x0000_s211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70500" w14:textId="02B6A8ED" w:rsidR="00296529" w:rsidRPr="00296529" w:rsidRDefault="00920D1E" w:rsidP="00296529">
    <w:pPr>
      <w:ind w:left="2160"/>
      <w:jc w:val="center"/>
      <w:rPr>
        <w:rFonts w:ascii="Times New Roman" w:eastAsia="Calibri" w:hAnsi="Times New Roman"/>
        <w:i/>
        <w:sz w:val="18"/>
        <w:szCs w:val="22"/>
      </w:rPr>
    </w:pPr>
    <w:r>
      <w:rPr>
        <w:noProof/>
      </w:rPr>
      <w:pict w14:anchorId="34F480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235156" o:spid="_x0000_s211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5AC7B92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B16D31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AC6BC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B0608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373F8C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31BCD2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E7B0B" w14:textId="2D751969" w:rsidR="00F34DF0" w:rsidRDefault="00920D1E">
    <w:pPr>
      <w:pStyle w:val="Header"/>
    </w:pPr>
    <w:r>
      <w:rPr>
        <w:noProof/>
      </w:rPr>
      <w:pict w14:anchorId="0DAAA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235160" o:spid="_x0000_s211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B47A4" w14:textId="183D1F01" w:rsidR="00F34DF0" w:rsidRDefault="00920D1E">
    <w:pPr>
      <w:pStyle w:val="Header"/>
    </w:pPr>
    <w:r>
      <w:rPr>
        <w:noProof/>
      </w:rPr>
      <w:pict w14:anchorId="6371A2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235161" o:spid="_x0000_s211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DA4E0" w14:textId="6883C0FC" w:rsidR="00F34DF0" w:rsidRDefault="00920D1E">
    <w:pPr>
      <w:pStyle w:val="Header"/>
    </w:pPr>
    <w:r>
      <w:rPr>
        <w:noProof/>
      </w:rPr>
      <w:pict w14:anchorId="49BF89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235159" o:spid="_x0000_s210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176171"/>
    <w:multiLevelType w:val="hybridMultilevel"/>
    <w:tmpl w:val="CC7E9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BF822F3"/>
    <w:multiLevelType w:val="hybridMultilevel"/>
    <w:tmpl w:val="9C6EBDCA"/>
    <w:lvl w:ilvl="0" w:tplc="6F242B6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B366815"/>
    <w:multiLevelType w:val="hybridMultilevel"/>
    <w:tmpl w:val="794E0C6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2B870B40"/>
    <w:multiLevelType w:val="hybridMultilevel"/>
    <w:tmpl w:val="381E4FB8"/>
    <w:lvl w:ilvl="0" w:tplc="BCFEE63C">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0DE1393"/>
    <w:multiLevelType w:val="hybridMultilevel"/>
    <w:tmpl w:val="3F9EDE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5B64D3A"/>
    <w:multiLevelType w:val="hybridMultilevel"/>
    <w:tmpl w:val="E26E2386"/>
    <w:lvl w:ilvl="0" w:tplc="9A30BCA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6"/>
  </w:num>
  <w:num w:numId="9">
    <w:abstractNumId w:val="31"/>
  </w:num>
  <w:num w:numId="10">
    <w:abstractNumId w:val="3"/>
  </w:num>
  <w:num w:numId="11">
    <w:abstractNumId w:val="24"/>
  </w:num>
  <w:num w:numId="12">
    <w:abstractNumId w:val="4"/>
  </w:num>
  <w:num w:numId="13">
    <w:abstractNumId w:val="22"/>
  </w:num>
  <w:num w:numId="14">
    <w:abstractNumId w:val="10"/>
  </w:num>
  <w:num w:numId="15">
    <w:abstractNumId w:val="27"/>
  </w:num>
  <w:num w:numId="16">
    <w:abstractNumId w:val="6"/>
  </w:num>
  <w:num w:numId="17">
    <w:abstractNumId w:val="28"/>
  </w:num>
  <w:num w:numId="18">
    <w:abstractNumId w:val="18"/>
  </w:num>
  <w:num w:numId="19">
    <w:abstractNumId w:val="34"/>
  </w:num>
  <w:num w:numId="20">
    <w:abstractNumId w:val="13"/>
  </w:num>
  <w:num w:numId="21">
    <w:abstractNumId w:val="11"/>
  </w:num>
  <w:num w:numId="22">
    <w:abstractNumId w:val="17"/>
  </w:num>
  <w:num w:numId="23">
    <w:abstractNumId w:val="25"/>
  </w:num>
  <w:num w:numId="24">
    <w:abstractNumId w:val="32"/>
  </w:num>
  <w:num w:numId="25">
    <w:abstractNumId w:val="5"/>
  </w:num>
  <w:num w:numId="26">
    <w:abstractNumId w:val="21"/>
  </w:num>
  <w:num w:numId="27">
    <w:abstractNumId w:val="26"/>
  </w:num>
  <w:num w:numId="28">
    <w:abstractNumId w:val="33"/>
  </w:num>
  <w:num w:numId="29">
    <w:abstractNumId w:val="30"/>
  </w:num>
  <w:num w:numId="30">
    <w:abstractNumId w:val="12"/>
  </w:num>
  <w:num w:numId="31">
    <w:abstractNumId w:val="23"/>
  </w:num>
  <w:num w:numId="32">
    <w:abstractNumId w:val="15"/>
  </w:num>
  <w:num w:numId="33">
    <w:abstractNumId w:val="9"/>
  </w:num>
  <w:num w:numId="34">
    <w:abstractNumId w:val="20"/>
  </w:num>
  <w:num w:numId="35">
    <w:abstractNumId w:val="14"/>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11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DF2"/>
    <w:rsid w:val="00003A45"/>
    <w:rsid w:val="000164A5"/>
    <w:rsid w:val="00017264"/>
    <w:rsid w:val="00017300"/>
    <w:rsid w:val="00017477"/>
    <w:rsid w:val="000258B9"/>
    <w:rsid w:val="0002682A"/>
    <w:rsid w:val="00030174"/>
    <w:rsid w:val="00037D5A"/>
    <w:rsid w:val="00043C58"/>
    <w:rsid w:val="0004579C"/>
    <w:rsid w:val="0005297D"/>
    <w:rsid w:val="00062DA9"/>
    <w:rsid w:val="00064273"/>
    <w:rsid w:val="0006454D"/>
    <w:rsid w:val="00064CE9"/>
    <w:rsid w:val="00084A62"/>
    <w:rsid w:val="00092D0B"/>
    <w:rsid w:val="00095A36"/>
    <w:rsid w:val="00095E17"/>
    <w:rsid w:val="000A47FA"/>
    <w:rsid w:val="000A65D3"/>
    <w:rsid w:val="000A7029"/>
    <w:rsid w:val="000A7481"/>
    <w:rsid w:val="000B1E33"/>
    <w:rsid w:val="000C21EF"/>
    <w:rsid w:val="000D0C45"/>
    <w:rsid w:val="000D20C4"/>
    <w:rsid w:val="000D561D"/>
    <w:rsid w:val="000D689F"/>
    <w:rsid w:val="000D69C5"/>
    <w:rsid w:val="000D7844"/>
    <w:rsid w:val="000E7B7B"/>
    <w:rsid w:val="000E7D62"/>
    <w:rsid w:val="000F01D6"/>
    <w:rsid w:val="000F3778"/>
    <w:rsid w:val="00103357"/>
    <w:rsid w:val="00110F4F"/>
    <w:rsid w:val="001111C9"/>
    <w:rsid w:val="00122262"/>
    <w:rsid w:val="00123C9F"/>
    <w:rsid w:val="00126190"/>
    <w:rsid w:val="00126916"/>
    <w:rsid w:val="00130F17"/>
    <w:rsid w:val="001320BF"/>
    <w:rsid w:val="001375AC"/>
    <w:rsid w:val="00143C78"/>
    <w:rsid w:val="00144047"/>
    <w:rsid w:val="001467E6"/>
    <w:rsid w:val="00150347"/>
    <w:rsid w:val="00163BC4"/>
    <w:rsid w:val="00167818"/>
    <w:rsid w:val="00174014"/>
    <w:rsid w:val="001766EA"/>
    <w:rsid w:val="00180240"/>
    <w:rsid w:val="00191062"/>
    <w:rsid w:val="00192B72"/>
    <w:rsid w:val="001A29D8"/>
    <w:rsid w:val="001A2E10"/>
    <w:rsid w:val="001A5CAA"/>
    <w:rsid w:val="001B0427"/>
    <w:rsid w:val="001B0794"/>
    <w:rsid w:val="001B2838"/>
    <w:rsid w:val="001B2EE8"/>
    <w:rsid w:val="001B3308"/>
    <w:rsid w:val="001B4A3E"/>
    <w:rsid w:val="001C1C2E"/>
    <w:rsid w:val="001D3A51"/>
    <w:rsid w:val="001D3C18"/>
    <w:rsid w:val="001E10D2"/>
    <w:rsid w:val="001E25B4"/>
    <w:rsid w:val="001E44FE"/>
    <w:rsid w:val="001E5DE6"/>
    <w:rsid w:val="001E7ED4"/>
    <w:rsid w:val="001F1CED"/>
    <w:rsid w:val="00200595"/>
    <w:rsid w:val="00200F5E"/>
    <w:rsid w:val="00201DC8"/>
    <w:rsid w:val="00204303"/>
    <w:rsid w:val="00204835"/>
    <w:rsid w:val="00211C8B"/>
    <w:rsid w:val="0021283E"/>
    <w:rsid w:val="002174FB"/>
    <w:rsid w:val="002222DE"/>
    <w:rsid w:val="0022282F"/>
    <w:rsid w:val="002228C9"/>
    <w:rsid w:val="002246FC"/>
    <w:rsid w:val="00224967"/>
    <w:rsid w:val="002303ED"/>
    <w:rsid w:val="00231920"/>
    <w:rsid w:val="0023195C"/>
    <w:rsid w:val="00237D49"/>
    <w:rsid w:val="0024282C"/>
    <w:rsid w:val="002460DC"/>
    <w:rsid w:val="00246D9D"/>
    <w:rsid w:val="00250985"/>
    <w:rsid w:val="00254DDB"/>
    <w:rsid w:val="002556F6"/>
    <w:rsid w:val="00260727"/>
    <w:rsid w:val="00263B04"/>
    <w:rsid w:val="00273D7B"/>
    <w:rsid w:val="00283105"/>
    <w:rsid w:val="00284C4C"/>
    <w:rsid w:val="00287E68"/>
    <w:rsid w:val="0029352C"/>
    <w:rsid w:val="00296529"/>
    <w:rsid w:val="002A092E"/>
    <w:rsid w:val="002A21DD"/>
    <w:rsid w:val="002A22A3"/>
    <w:rsid w:val="002A73A3"/>
    <w:rsid w:val="002B27FB"/>
    <w:rsid w:val="002B4A94"/>
    <w:rsid w:val="002B685A"/>
    <w:rsid w:val="002B7206"/>
    <w:rsid w:val="002C523D"/>
    <w:rsid w:val="002C57D2"/>
    <w:rsid w:val="002D7EB6"/>
    <w:rsid w:val="002E0D56"/>
    <w:rsid w:val="002E2B46"/>
    <w:rsid w:val="002E3784"/>
    <w:rsid w:val="002E4D3C"/>
    <w:rsid w:val="002E7F93"/>
    <w:rsid w:val="002F3218"/>
    <w:rsid w:val="0030409C"/>
    <w:rsid w:val="003053FD"/>
    <w:rsid w:val="003125ED"/>
    <w:rsid w:val="0031458A"/>
    <w:rsid w:val="0031493A"/>
    <w:rsid w:val="00315121"/>
    <w:rsid w:val="00315186"/>
    <w:rsid w:val="00315899"/>
    <w:rsid w:val="00320762"/>
    <w:rsid w:val="00327A76"/>
    <w:rsid w:val="0033343E"/>
    <w:rsid w:val="003400F6"/>
    <w:rsid w:val="00346599"/>
    <w:rsid w:val="003512C2"/>
    <w:rsid w:val="003527E4"/>
    <w:rsid w:val="003529A0"/>
    <w:rsid w:val="00352CA2"/>
    <w:rsid w:val="00360CAB"/>
    <w:rsid w:val="00364C79"/>
    <w:rsid w:val="00365E4A"/>
    <w:rsid w:val="00371FB6"/>
    <w:rsid w:val="003763C1"/>
    <w:rsid w:val="00376BBE"/>
    <w:rsid w:val="003803D6"/>
    <w:rsid w:val="0038789F"/>
    <w:rsid w:val="003904C6"/>
    <w:rsid w:val="0039224F"/>
    <w:rsid w:val="003A43A4"/>
    <w:rsid w:val="003A507F"/>
    <w:rsid w:val="003A7E18"/>
    <w:rsid w:val="003B2429"/>
    <w:rsid w:val="003B4B6E"/>
    <w:rsid w:val="003C4305"/>
    <w:rsid w:val="003C4C86"/>
    <w:rsid w:val="003C4C8A"/>
    <w:rsid w:val="003C6258"/>
    <w:rsid w:val="003D00A0"/>
    <w:rsid w:val="003D039F"/>
    <w:rsid w:val="003D38AC"/>
    <w:rsid w:val="003E2904"/>
    <w:rsid w:val="003F30DC"/>
    <w:rsid w:val="00401927"/>
    <w:rsid w:val="00403FA4"/>
    <w:rsid w:val="0040702A"/>
    <w:rsid w:val="0041027F"/>
    <w:rsid w:val="00412475"/>
    <w:rsid w:val="00423789"/>
    <w:rsid w:val="004257C6"/>
    <w:rsid w:val="00425E50"/>
    <w:rsid w:val="004322CF"/>
    <w:rsid w:val="00440C20"/>
    <w:rsid w:val="00440F43"/>
    <w:rsid w:val="00441B6F"/>
    <w:rsid w:val="00446221"/>
    <w:rsid w:val="00446F8A"/>
    <w:rsid w:val="00450E62"/>
    <w:rsid w:val="00451374"/>
    <w:rsid w:val="004539DB"/>
    <w:rsid w:val="004549E2"/>
    <w:rsid w:val="00454E7C"/>
    <w:rsid w:val="00457AEC"/>
    <w:rsid w:val="00462AC6"/>
    <w:rsid w:val="0046433F"/>
    <w:rsid w:val="00464EC5"/>
    <w:rsid w:val="00467CE3"/>
    <w:rsid w:val="00471A80"/>
    <w:rsid w:val="00472DC9"/>
    <w:rsid w:val="00473E7A"/>
    <w:rsid w:val="00481094"/>
    <w:rsid w:val="00484C2D"/>
    <w:rsid w:val="00485E56"/>
    <w:rsid w:val="004A4751"/>
    <w:rsid w:val="004A5D34"/>
    <w:rsid w:val="004A718A"/>
    <w:rsid w:val="004B09D7"/>
    <w:rsid w:val="004B19EE"/>
    <w:rsid w:val="004B33A0"/>
    <w:rsid w:val="004C3B82"/>
    <w:rsid w:val="004D305E"/>
    <w:rsid w:val="004D4277"/>
    <w:rsid w:val="004D55B1"/>
    <w:rsid w:val="004D6A4F"/>
    <w:rsid w:val="004E2C22"/>
    <w:rsid w:val="00501697"/>
    <w:rsid w:val="005017DB"/>
    <w:rsid w:val="00501F59"/>
    <w:rsid w:val="00502516"/>
    <w:rsid w:val="00502733"/>
    <w:rsid w:val="0050317A"/>
    <w:rsid w:val="00503B85"/>
    <w:rsid w:val="00504B76"/>
    <w:rsid w:val="00505F06"/>
    <w:rsid w:val="00506828"/>
    <w:rsid w:val="00510870"/>
    <w:rsid w:val="00513220"/>
    <w:rsid w:val="005203CB"/>
    <w:rsid w:val="00527547"/>
    <w:rsid w:val="0053056E"/>
    <w:rsid w:val="005460D6"/>
    <w:rsid w:val="00551FF0"/>
    <w:rsid w:val="00553512"/>
    <w:rsid w:val="00553D0B"/>
    <w:rsid w:val="00554FDA"/>
    <w:rsid w:val="005613F6"/>
    <w:rsid w:val="0056231D"/>
    <w:rsid w:val="0056334D"/>
    <w:rsid w:val="00570383"/>
    <w:rsid w:val="00573617"/>
    <w:rsid w:val="005774EA"/>
    <w:rsid w:val="00582E7C"/>
    <w:rsid w:val="00584E96"/>
    <w:rsid w:val="005874E8"/>
    <w:rsid w:val="00593567"/>
    <w:rsid w:val="005A0D97"/>
    <w:rsid w:val="005A214F"/>
    <w:rsid w:val="005B368D"/>
    <w:rsid w:val="005C1CAE"/>
    <w:rsid w:val="005C3AD4"/>
    <w:rsid w:val="005C784C"/>
    <w:rsid w:val="005D17F6"/>
    <w:rsid w:val="005D19B5"/>
    <w:rsid w:val="005E4C45"/>
    <w:rsid w:val="005E5539"/>
    <w:rsid w:val="005F337C"/>
    <w:rsid w:val="005F770F"/>
    <w:rsid w:val="00602BF5"/>
    <w:rsid w:val="00617FDD"/>
    <w:rsid w:val="00626344"/>
    <w:rsid w:val="00633614"/>
    <w:rsid w:val="00633F68"/>
    <w:rsid w:val="00636EB2"/>
    <w:rsid w:val="006375B8"/>
    <w:rsid w:val="00641EC0"/>
    <w:rsid w:val="00642B55"/>
    <w:rsid w:val="006522BA"/>
    <w:rsid w:val="0066463A"/>
    <w:rsid w:val="0066510A"/>
    <w:rsid w:val="00667423"/>
    <w:rsid w:val="00670215"/>
    <w:rsid w:val="00671AE1"/>
    <w:rsid w:val="00673F9F"/>
    <w:rsid w:val="006747FF"/>
    <w:rsid w:val="00676471"/>
    <w:rsid w:val="0067714D"/>
    <w:rsid w:val="00686953"/>
    <w:rsid w:val="00687DEA"/>
    <w:rsid w:val="00687E67"/>
    <w:rsid w:val="006905C9"/>
    <w:rsid w:val="00694631"/>
    <w:rsid w:val="0069649B"/>
    <w:rsid w:val="006967F7"/>
    <w:rsid w:val="0069748A"/>
    <w:rsid w:val="006A250C"/>
    <w:rsid w:val="006A48B5"/>
    <w:rsid w:val="006B188C"/>
    <w:rsid w:val="006B21D3"/>
    <w:rsid w:val="006B57D0"/>
    <w:rsid w:val="006B6E34"/>
    <w:rsid w:val="006B7B91"/>
    <w:rsid w:val="006C15F7"/>
    <w:rsid w:val="006D01A3"/>
    <w:rsid w:val="006D135A"/>
    <w:rsid w:val="006D3036"/>
    <w:rsid w:val="006D30FF"/>
    <w:rsid w:val="006D3D3F"/>
    <w:rsid w:val="006D6940"/>
    <w:rsid w:val="006D73FE"/>
    <w:rsid w:val="006E2983"/>
    <w:rsid w:val="006F11EC"/>
    <w:rsid w:val="006F7980"/>
    <w:rsid w:val="0070082C"/>
    <w:rsid w:val="00706E44"/>
    <w:rsid w:val="00710C30"/>
    <w:rsid w:val="00722D4B"/>
    <w:rsid w:val="00736676"/>
    <w:rsid w:val="007369E6"/>
    <w:rsid w:val="00746E59"/>
    <w:rsid w:val="00750A09"/>
    <w:rsid w:val="00754C9A"/>
    <w:rsid w:val="0075599A"/>
    <w:rsid w:val="00761010"/>
    <w:rsid w:val="00761D52"/>
    <w:rsid w:val="00765282"/>
    <w:rsid w:val="00767F9B"/>
    <w:rsid w:val="0077604B"/>
    <w:rsid w:val="0077749E"/>
    <w:rsid w:val="007838E5"/>
    <w:rsid w:val="00790ADA"/>
    <w:rsid w:val="00791D2F"/>
    <w:rsid w:val="007A0D88"/>
    <w:rsid w:val="007A606D"/>
    <w:rsid w:val="007B0743"/>
    <w:rsid w:val="007D2288"/>
    <w:rsid w:val="007D4D86"/>
    <w:rsid w:val="007E088F"/>
    <w:rsid w:val="007E0BD5"/>
    <w:rsid w:val="007E3666"/>
    <w:rsid w:val="007E7286"/>
    <w:rsid w:val="007F4DD1"/>
    <w:rsid w:val="007F4FE0"/>
    <w:rsid w:val="007F7B32"/>
    <w:rsid w:val="00801662"/>
    <w:rsid w:val="00803411"/>
    <w:rsid w:val="00804BC2"/>
    <w:rsid w:val="008123FB"/>
    <w:rsid w:val="0081431A"/>
    <w:rsid w:val="00814835"/>
    <w:rsid w:val="00823858"/>
    <w:rsid w:val="0083172D"/>
    <w:rsid w:val="0083216F"/>
    <w:rsid w:val="008357FE"/>
    <w:rsid w:val="00835C39"/>
    <w:rsid w:val="0083740A"/>
    <w:rsid w:val="00837E23"/>
    <w:rsid w:val="00842125"/>
    <w:rsid w:val="00850BE7"/>
    <w:rsid w:val="008542FE"/>
    <w:rsid w:val="00860000"/>
    <w:rsid w:val="00862D4D"/>
    <w:rsid w:val="00863BD3"/>
    <w:rsid w:val="008641ED"/>
    <w:rsid w:val="00866D66"/>
    <w:rsid w:val="008671C6"/>
    <w:rsid w:val="00874F00"/>
    <w:rsid w:val="00875803"/>
    <w:rsid w:val="00877B95"/>
    <w:rsid w:val="00877EE9"/>
    <w:rsid w:val="00880BBF"/>
    <w:rsid w:val="0088126D"/>
    <w:rsid w:val="00886ED1"/>
    <w:rsid w:val="008A2410"/>
    <w:rsid w:val="008B3DED"/>
    <w:rsid w:val="008B459E"/>
    <w:rsid w:val="008D2B6F"/>
    <w:rsid w:val="008D4195"/>
    <w:rsid w:val="008D52B3"/>
    <w:rsid w:val="008E0607"/>
    <w:rsid w:val="008E0621"/>
    <w:rsid w:val="008E13AE"/>
    <w:rsid w:val="008E1506"/>
    <w:rsid w:val="008E710C"/>
    <w:rsid w:val="008F04D4"/>
    <w:rsid w:val="008F69D6"/>
    <w:rsid w:val="00902823"/>
    <w:rsid w:val="00906A58"/>
    <w:rsid w:val="00915CA6"/>
    <w:rsid w:val="00920D1E"/>
    <w:rsid w:val="00927834"/>
    <w:rsid w:val="0093098D"/>
    <w:rsid w:val="009313B6"/>
    <w:rsid w:val="00932929"/>
    <w:rsid w:val="00932AB9"/>
    <w:rsid w:val="009428D4"/>
    <w:rsid w:val="00944857"/>
    <w:rsid w:val="00944EBA"/>
    <w:rsid w:val="009500A6"/>
    <w:rsid w:val="0095059D"/>
    <w:rsid w:val="00953A64"/>
    <w:rsid w:val="00954767"/>
    <w:rsid w:val="00957C18"/>
    <w:rsid w:val="00964C99"/>
    <w:rsid w:val="009659BA"/>
    <w:rsid w:val="0096748A"/>
    <w:rsid w:val="00967969"/>
    <w:rsid w:val="00972AE1"/>
    <w:rsid w:val="00976D43"/>
    <w:rsid w:val="00983040"/>
    <w:rsid w:val="00983C55"/>
    <w:rsid w:val="00987DFD"/>
    <w:rsid w:val="00990101"/>
    <w:rsid w:val="00990779"/>
    <w:rsid w:val="00992E42"/>
    <w:rsid w:val="009A5FCD"/>
    <w:rsid w:val="009B3FB9"/>
    <w:rsid w:val="009B7F2B"/>
    <w:rsid w:val="009C2465"/>
    <w:rsid w:val="009D053B"/>
    <w:rsid w:val="009D35A0"/>
    <w:rsid w:val="009D7EB7"/>
    <w:rsid w:val="009E0333"/>
    <w:rsid w:val="009E048A"/>
    <w:rsid w:val="009E08E9"/>
    <w:rsid w:val="009E31F3"/>
    <w:rsid w:val="009E3DB9"/>
    <w:rsid w:val="009E42B4"/>
    <w:rsid w:val="009E6E35"/>
    <w:rsid w:val="009F0EDA"/>
    <w:rsid w:val="009F724F"/>
    <w:rsid w:val="00A02706"/>
    <w:rsid w:val="00A03B96"/>
    <w:rsid w:val="00A04368"/>
    <w:rsid w:val="00A0549B"/>
    <w:rsid w:val="00A05B19"/>
    <w:rsid w:val="00A078CA"/>
    <w:rsid w:val="00A1134E"/>
    <w:rsid w:val="00A24E7E"/>
    <w:rsid w:val="00A258C3"/>
    <w:rsid w:val="00A347C0"/>
    <w:rsid w:val="00A377E1"/>
    <w:rsid w:val="00A42DAC"/>
    <w:rsid w:val="00A51431"/>
    <w:rsid w:val="00A523CD"/>
    <w:rsid w:val="00A539AD"/>
    <w:rsid w:val="00A772CE"/>
    <w:rsid w:val="00A80424"/>
    <w:rsid w:val="00A80ABF"/>
    <w:rsid w:val="00A81084"/>
    <w:rsid w:val="00A840BC"/>
    <w:rsid w:val="00A84CDD"/>
    <w:rsid w:val="00A90275"/>
    <w:rsid w:val="00A90572"/>
    <w:rsid w:val="00A94063"/>
    <w:rsid w:val="00AA6219"/>
    <w:rsid w:val="00AA74E0"/>
    <w:rsid w:val="00AB1B97"/>
    <w:rsid w:val="00AB588C"/>
    <w:rsid w:val="00AB5E0E"/>
    <w:rsid w:val="00AB703F"/>
    <w:rsid w:val="00AC6BB8"/>
    <w:rsid w:val="00AC7897"/>
    <w:rsid w:val="00AD0914"/>
    <w:rsid w:val="00AD1533"/>
    <w:rsid w:val="00AD1C24"/>
    <w:rsid w:val="00AE008F"/>
    <w:rsid w:val="00AE331F"/>
    <w:rsid w:val="00AE768C"/>
    <w:rsid w:val="00AF0EFE"/>
    <w:rsid w:val="00AF1BCB"/>
    <w:rsid w:val="00B01432"/>
    <w:rsid w:val="00B01FCD"/>
    <w:rsid w:val="00B11685"/>
    <w:rsid w:val="00B1776C"/>
    <w:rsid w:val="00B231E7"/>
    <w:rsid w:val="00B2727A"/>
    <w:rsid w:val="00B31202"/>
    <w:rsid w:val="00B35681"/>
    <w:rsid w:val="00B4731B"/>
    <w:rsid w:val="00B52583"/>
    <w:rsid w:val="00B52896"/>
    <w:rsid w:val="00B53B34"/>
    <w:rsid w:val="00B55E82"/>
    <w:rsid w:val="00B601E8"/>
    <w:rsid w:val="00B614AC"/>
    <w:rsid w:val="00B8164A"/>
    <w:rsid w:val="00B85323"/>
    <w:rsid w:val="00B85B81"/>
    <w:rsid w:val="00B9354B"/>
    <w:rsid w:val="00B95236"/>
    <w:rsid w:val="00B96BD9"/>
    <w:rsid w:val="00BA02AD"/>
    <w:rsid w:val="00BA1006"/>
    <w:rsid w:val="00BA1B01"/>
    <w:rsid w:val="00BA2641"/>
    <w:rsid w:val="00BB31FB"/>
    <w:rsid w:val="00BB37AA"/>
    <w:rsid w:val="00BC0EC3"/>
    <w:rsid w:val="00BC414D"/>
    <w:rsid w:val="00BC53A0"/>
    <w:rsid w:val="00BD3EE3"/>
    <w:rsid w:val="00BD7483"/>
    <w:rsid w:val="00BE62AD"/>
    <w:rsid w:val="00BF0F70"/>
    <w:rsid w:val="00BF121F"/>
    <w:rsid w:val="00BF1F80"/>
    <w:rsid w:val="00C00948"/>
    <w:rsid w:val="00C0428E"/>
    <w:rsid w:val="00C1057F"/>
    <w:rsid w:val="00C166EF"/>
    <w:rsid w:val="00C16FBF"/>
    <w:rsid w:val="00C17EB0"/>
    <w:rsid w:val="00C27344"/>
    <w:rsid w:val="00C27F5F"/>
    <w:rsid w:val="00C30A0F"/>
    <w:rsid w:val="00C30AA0"/>
    <w:rsid w:val="00C37E61"/>
    <w:rsid w:val="00C40F37"/>
    <w:rsid w:val="00C44CEB"/>
    <w:rsid w:val="00C56EB9"/>
    <w:rsid w:val="00C70F1B"/>
    <w:rsid w:val="00C71A47"/>
    <w:rsid w:val="00C7464C"/>
    <w:rsid w:val="00C85588"/>
    <w:rsid w:val="00C879BB"/>
    <w:rsid w:val="00C90C1F"/>
    <w:rsid w:val="00C9218A"/>
    <w:rsid w:val="00CA5BB4"/>
    <w:rsid w:val="00CA6F0F"/>
    <w:rsid w:val="00CB2925"/>
    <w:rsid w:val="00CB5252"/>
    <w:rsid w:val="00CC1385"/>
    <w:rsid w:val="00CC33EC"/>
    <w:rsid w:val="00CC4F27"/>
    <w:rsid w:val="00CC6D37"/>
    <w:rsid w:val="00CD0BA2"/>
    <w:rsid w:val="00CD37A0"/>
    <w:rsid w:val="00CD58EF"/>
    <w:rsid w:val="00CD5BDA"/>
    <w:rsid w:val="00CD5E11"/>
    <w:rsid w:val="00CD6755"/>
    <w:rsid w:val="00CD6856"/>
    <w:rsid w:val="00CE0089"/>
    <w:rsid w:val="00CE1860"/>
    <w:rsid w:val="00CE4E21"/>
    <w:rsid w:val="00CE793C"/>
    <w:rsid w:val="00CF193C"/>
    <w:rsid w:val="00CF556C"/>
    <w:rsid w:val="00D04D03"/>
    <w:rsid w:val="00D07821"/>
    <w:rsid w:val="00D173F1"/>
    <w:rsid w:val="00D23D41"/>
    <w:rsid w:val="00D24250"/>
    <w:rsid w:val="00D27E78"/>
    <w:rsid w:val="00D3789D"/>
    <w:rsid w:val="00D45075"/>
    <w:rsid w:val="00D47037"/>
    <w:rsid w:val="00D51C16"/>
    <w:rsid w:val="00D5490E"/>
    <w:rsid w:val="00D54D4E"/>
    <w:rsid w:val="00D63FE6"/>
    <w:rsid w:val="00D7495B"/>
    <w:rsid w:val="00D74CB0"/>
    <w:rsid w:val="00D7792B"/>
    <w:rsid w:val="00D77F35"/>
    <w:rsid w:val="00D8295D"/>
    <w:rsid w:val="00D833A7"/>
    <w:rsid w:val="00D90A49"/>
    <w:rsid w:val="00D91A75"/>
    <w:rsid w:val="00D94E22"/>
    <w:rsid w:val="00D95D0D"/>
    <w:rsid w:val="00DA02C5"/>
    <w:rsid w:val="00DA5AD5"/>
    <w:rsid w:val="00DC2A65"/>
    <w:rsid w:val="00DC5E1D"/>
    <w:rsid w:val="00DD2499"/>
    <w:rsid w:val="00DD2921"/>
    <w:rsid w:val="00DD7654"/>
    <w:rsid w:val="00DE15F0"/>
    <w:rsid w:val="00DE5663"/>
    <w:rsid w:val="00DE78AA"/>
    <w:rsid w:val="00DF1AF0"/>
    <w:rsid w:val="00DF422D"/>
    <w:rsid w:val="00DF6797"/>
    <w:rsid w:val="00DF7DBA"/>
    <w:rsid w:val="00E053D0"/>
    <w:rsid w:val="00E07541"/>
    <w:rsid w:val="00E15994"/>
    <w:rsid w:val="00E17751"/>
    <w:rsid w:val="00E25E46"/>
    <w:rsid w:val="00E3114E"/>
    <w:rsid w:val="00E31A70"/>
    <w:rsid w:val="00E35B02"/>
    <w:rsid w:val="00E35EA2"/>
    <w:rsid w:val="00E41492"/>
    <w:rsid w:val="00E465D0"/>
    <w:rsid w:val="00E46C28"/>
    <w:rsid w:val="00E471D9"/>
    <w:rsid w:val="00E547DB"/>
    <w:rsid w:val="00E5600F"/>
    <w:rsid w:val="00E60120"/>
    <w:rsid w:val="00E63E0C"/>
    <w:rsid w:val="00E6618E"/>
    <w:rsid w:val="00E66496"/>
    <w:rsid w:val="00E66B35"/>
    <w:rsid w:val="00E66E10"/>
    <w:rsid w:val="00E74BF7"/>
    <w:rsid w:val="00E769F6"/>
    <w:rsid w:val="00E82A5D"/>
    <w:rsid w:val="00E8407C"/>
    <w:rsid w:val="00E84F3C"/>
    <w:rsid w:val="00E86930"/>
    <w:rsid w:val="00E9006B"/>
    <w:rsid w:val="00EA012C"/>
    <w:rsid w:val="00EA4045"/>
    <w:rsid w:val="00EA595A"/>
    <w:rsid w:val="00EA743F"/>
    <w:rsid w:val="00EB44BF"/>
    <w:rsid w:val="00EC6A55"/>
    <w:rsid w:val="00ED0288"/>
    <w:rsid w:val="00ED4C8E"/>
    <w:rsid w:val="00ED794D"/>
    <w:rsid w:val="00EE52CB"/>
    <w:rsid w:val="00EF03E0"/>
    <w:rsid w:val="00EF3D5A"/>
    <w:rsid w:val="00EF581D"/>
    <w:rsid w:val="00EF6A03"/>
    <w:rsid w:val="00EF7FD8"/>
    <w:rsid w:val="00F02A25"/>
    <w:rsid w:val="00F0378B"/>
    <w:rsid w:val="00F06F59"/>
    <w:rsid w:val="00F17988"/>
    <w:rsid w:val="00F2194F"/>
    <w:rsid w:val="00F25857"/>
    <w:rsid w:val="00F279B5"/>
    <w:rsid w:val="00F30238"/>
    <w:rsid w:val="00F30828"/>
    <w:rsid w:val="00F30E50"/>
    <w:rsid w:val="00F34A13"/>
    <w:rsid w:val="00F34DF0"/>
    <w:rsid w:val="00F446C0"/>
    <w:rsid w:val="00F44B7E"/>
    <w:rsid w:val="00F469F0"/>
    <w:rsid w:val="00F527E7"/>
    <w:rsid w:val="00F52AD4"/>
    <w:rsid w:val="00F53273"/>
    <w:rsid w:val="00F533FE"/>
    <w:rsid w:val="00F53510"/>
    <w:rsid w:val="00F642FB"/>
    <w:rsid w:val="00F64D28"/>
    <w:rsid w:val="00F66741"/>
    <w:rsid w:val="00F755E4"/>
    <w:rsid w:val="00F77D02"/>
    <w:rsid w:val="00F83E9D"/>
    <w:rsid w:val="00F9117C"/>
    <w:rsid w:val="00F968E3"/>
    <w:rsid w:val="00FA2645"/>
    <w:rsid w:val="00FB3A86"/>
    <w:rsid w:val="00FC1504"/>
    <w:rsid w:val="00FC2786"/>
    <w:rsid w:val="00FC3580"/>
    <w:rsid w:val="00FC5106"/>
    <w:rsid w:val="00FD36C8"/>
    <w:rsid w:val="00FD6AE4"/>
    <w:rsid w:val="00FE765B"/>
    <w:rsid w:val="00FF3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5"/>
    <o:shapelayout v:ext="edit">
      <o:idmap v:ext="edit" data="1"/>
    </o:shapelayout>
  </w:shapeDefaults>
  <w:decimalSymbol w:val="."/>
  <w:listSeparator w:val=","/>
  <w14:docId w14:val="68E4634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apple-converted-space">
    <w:name w:val="apple-converted-space"/>
    <w:basedOn w:val="DefaultParagraphFont"/>
    <w:rsid w:val="00201DC8"/>
  </w:style>
  <w:style w:type="paragraph" w:customStyle="1" w:styleId="p1">
    <w:name w:val="p1"/>
    <w:basedOn w:val="Normal"/>
    <w:rsid w:val="005874E8"/>
    <w:rPr>
      <w:rFonts w:ascii="Arial" w:hAnsi="Arial" w:cs="Arial"/>
      <w:color w:val="000000"/>
      <w:sz w:val="14"/>
      <w:szCs w:val="14"/>
      <w:lang w:val="en-ID"/>
    </w:rPr>
  </w:style>
  <w:style w:type="table" w:styleId="TableGridLight">
    <w:name w:val="Grid Table Light"/>
    <w:basedOn w:val="TableNormal"/>
    <w:uiPriority w:val="40"/>
    <w:rsid w:val="002E7F9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A90275"/>
    <w:rPr>
      <w:b/>
      <w:bCs/>
    </w:rPr>
  </w:style>
  <w:style w:type="paragraph" w:styleId="EndnoteText">
    <w:name w:val="endnote text"/>
    <w:basedOn w:val="Normal"/>
    <w:link w:val="EndnoteTextChar"/>
    <w:semiHidden/>
    <w:unhideWhenUsed/>
    <w:rsid w:val="0021283E"/>
  </w:style>
  <w:style w:type="character" w:customStyle="1" w:styleId="EndnoteTextChar">
    <w:name w:val="Endnote Text Char"/>
    <w:basedOn w:val="DefaultParagraphFont"/>
    <w:link w:val="EndnoteText"/>
    <w:semiHidden/>
    <w:rsid w:val="0021283E"/>
    <w:rPr>
      <w:rFonts w:ascii="Helvetica" w:hAnsi="Helvetica"/>
    </w:rPr>
  </w:style>
  <w:style w:type="character" w:styleId="EndnoteReference">
    <w:name w:val="endnote reference"/>
    <w:basedOn w:val="DefaultParagraphFont"/>
    <w:semiHidden/>
    <w:unhideWhenUsed/>
    <w:rsid w:val="0021283E"/>
    <w:rPr>
      <w:vertAlign w:val="superscript"/>
    </w:rPr>
  </w:style>
  <w:style w:type="character" w:customStyle="1" w:styleId="FooterChar">
    <w:name w:val="Footer Char"/>
    <w:basedOn w:val="DefaultParagraphFont"/>
    <w:link w:val="Footer"/>
    <w:rsid w:val="00A523CD"/>
    <w:rPr>
      <w:rFonts w:ascii="Helvetica" w:hAnsi="Helvetica"/>
    </w:rPr>
  </w:style>
  <w:style w:type="paragraph" w:styleId="Bibliography">
    <w:name w:val="Bibliography"/>
    <w:basedOn w:val="Normal"/>
    <w:next w:val="Normal"/>
    <w:uiPriority w:val="37"/>
    <w:unhideWhenUsed/>
    <w:rsid w:val="00B9354B"/>
    <w:pPr>
      <w:spacing w:line="480" w:lineRule="auto"/>
      <w:ind w:left="720" w:hanging="720"/>
    </w:pPr>
  </w:style>
  <w:style w:type="paragraph" w:styleId="ListParagraph">
    <w:name w:val="List Paragraph"/>
    <w:basedOn w:val="Normal"/>
    <w:uiPriority w:val="34"/>
    <w:qFormat/>
    <w:rsid w:val="00FE7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bappeda.jatimprov.go.id/archive/page/6" TargetMode="External"/><Relationship Id="rId26" Type="http://schemas.openxmlformats.org/officeDocument/2006/relationships/hyperlink" Target="https://doi.org/10.1007/978-3-030-99724-3" TargetMode="External"/><Relationship Id="rId3" Type="http://schemas.openxmlformats.org/officeDocument/2006/relationships/styles" Target="styles.xml"/><Relationship Id="rId21" Type="http://schemas.openxmlformats.org/officeDocument/2006/relationships/hyperlink" Target="https://kbr.id/articles/ragam/kominfo-blokir-belasan-ribu-aplikasi-pinjol-ilegal"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www.bi.go.id/id/publikasi/kajian/Documents/Blueprint-Sistem-Pembayaran-Indonesia-2025.pdf" TargetMode="External"/><Relationship Id="rId25" Type="http://schemas.openxmlformats.org/officeDocument/2006/relationships/hyperlink" Target="https://www.ojk.go.id/id/kanal/edukasi-dan-perlindungan-konsumen/Pages/Pelaksanaan-Kegiatan-dalam-rangka-Meningkatkan-Inklusi-Keuangan-di-Sektor-Jasa-Keuangan.aspx"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s://doi.org/10.1037/0033-2909.112.1.155" TargetMode="External"/><Relationship Id="rId29" Type="http://schemas.openxmlformats.org/officeDocument/2006/relationships/hyperlink" Target="https://doi.org/10.1080/23311975.2024.23227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setkab.go.id/inilah-kebijakan-ojk-dorong-digitalisasi-di-sektor-keuanga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0.1787/145f5607-en" TargetMode="External"/><Relationship Id="rId28" Type="http://schemas.openxmlformats.org/officeDocument/2006/relationships/hyperlink" Target="https://doi.org/10.1186/s40172-014-0012-2" TargetMode="External"/><Relationship Id="rId10" Type="http://schemas.openxmlformats.org/officeDocument/2006/relationships/header" Target="header3.xml"/><Relationship Id="rId19" Type="http://schemas.openxmlformats.org/officeDocument/2006/relationships/hyperlink" Target="https://doi.org/10.51508/intcess.20220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https://doi.org/10.1257/jel.52.1.5" TargetMode="External"/><Relationship Id="rId27" Type="http://schemas.openxmlformats.org/officeDocument/2006/relationships/hyperlink" Target="https://doi.org/10.26905/jkdp.v27i3.11147" TargetMode="External"/><Relationship Id="rId30" Type="http://schemas.openxmlformats.org/officeDocument/2006/relationships/hyperlink" Target="https://doi.org/10.1596/IEG1738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C084F-DDE8-4EC5-8921-135F54C97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15</Pages>
  <Words>11072</Words>
  <Characters>63117</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74041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5</cp:revision>
  <cp:lastPrinted>2025-12-07T08:37:00Z</cp:lastPrinted>
  <dcterms:created xsi:type="dcterms:W3CDTF">2025-12-10T18:12:00Z</dcterms:created>
  <dcterms:modified xsi:type="dcterms:W3CDTF">2025-12-12T10:15:00Z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1f304b65-539d-314a-aea1-eb745c07ecbb</vt:lpwstr>
  </property>
  <property fmtid="{D5CDD505-2E9C-101B-9397-08002B2CF9AE}" pid="24" name="Mendeley Citation Style_1">
    <vt:lpwstr>http://www.zotero.org/styles/apa</vt:lpwstr>
  </property>
  <property fmtid="{D5CDD505-2E9C-101B-9397-08002B2CF9AE}" pid="25" name="ZOTERO_PREF_1">
    <vt:lpwstr>&lt;data data-version="3" zotero-version="7.0.30"&gt;&lt;session id="A3GAWW6d"/&gt;&lt;style id="http://www.zotero.org/styles/apa" locale="en-US" hasBibliography="1" bibliographyStyleHasBeenSet="1"/&gt;&lt;prefs&gt;&lt;pref name="fieldType" value="Field"/&gt;&lt;pref name="automaticJourn</vt:lpwstr>
  </property>
  <property fmtid="{D5CDD505-2E9C-101B-9397-08002B2CF9AE}" pid="26" name="ZOTERO_PREF_2">
    <vt:lpwstr>alAbbreviations" value="true"/&gt;&lt;/prefs&gt;&lt;/data&gt;</vt:lpwstr>
  </property>
</Properties>
</file>