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08F3B" w14:textId="06056910" w:rsidR="00891396" w:rsidRPr="007A26A8" w:rsidRDefault="007A26A8" w:rsidP="007A26A8">
      <w:pPr>
        <w:shd w:val="clear" w:color="auto" w:fill="FFFFFF"/>
        <w:spacing w:after="0" w:line="235" w:lineRule="atLeast"/>
        <w:jc w:val="center"/>
        <w:rPr>
          <w:rFonts w:ascii="Times New Roman" w:eastAsia="Times New Roman" w:hAnsi="Times New Roman" w:cs="Times New Roman"/>
          <w:b/>
          <w:color w:val="222222"/>
          <w:sz w:val="24"/>
          <w:szCs w:val="24"/>
          <w:lang w:eastAsia="en-GB"/>
        </w:rPr>
      </w:pPr>
      <w:r w:rsidRPr="007A26A8">
        <w:rPr>
          <w:rFonts w:ascii="Times New Roman" w:eastAsia="Times New Roman" w:hAnsi="Times New Roman" w:cs="Times New Roman"/>
          <w:b/>
          <w:color w:val="222222"/>
          <w:sz w:val="24"/>
          <w:szCs w:val="24"/>
          <w:lang w:eastAsia="en-GB"/>
        </w:rPr>
        <w:t xml:space="preserve">Impact of Financial Literacy and Risk Tolerance on Investment </w:t>
      </w:r>
      <w:proofErr w:type="spellStart"/>
      <w:r w:rsidRPr="007A26A8">
        <w:rPr>
          <w:rFonts w:ascii="Times New Roman" w:eastAsia="Times New Roman" w:hAnsi="Times New Roman" w:cs="Times New Roman"/>
          <w:b/>
          <w:color w:val="222222"/>
          <w:sz w:val="24"/>
          <w:szCs w:val="24"/>
          <w:lang w:eastAsia="en-GB"/>
        </w:rPr>
        <w:t>Behaviour</w:t>
      </w:r>
      <w:proofErr w:type="spellEnd"/>
      <w:r w:rsidRPr="007A26A8">
        <w:rPr>
          <w:rFonts w:ascii="Times New Roman" w:eastAsia="Times New Roman" w:hAnsi="Times New Roman" w:cs="Times New Roman"/>
          <w:b/>
          <w:color w:val="222222"/>
          <w:sz w:val="24"/>
          <w:szCs w:val="24"/>
          <w:lang w:eastAsia="en-GB"/>
        </w:rPr>
        <w:t xml:space="preserve"> among College Students: Evidence from </w:t>
      </w:r>
      <w:proofErr w:type="spellStart"/>
      <w:r w:rsidRPr="007A26A8">
        <w:rPr>
          <w:rFonts w:ascii="Times New Roman" w:eastAsia="Times New Roman" w:hAnsi="Times New Roman" w:cs="Times New Roman"/>
          <w:b/>
          <w:color w:val="222222"/>
          <w:sz w:val="24"/>
          <w:szCs w:val="24"/>
          <w:lang w:eastAsia="en-GB"/>
        </w:rPr>
        <w:t>Jakhama</w:t>
      </w:r>
      <w:proofErr w:type="spellEnd"/>
      <w:r w:rsidRPr="007A26A8">
        <w:rPr>
          <w:rFonts w:ascii="Times New Roman" w:eastAsia="Times New Roman" w:hAnsi="Times New Roman" w:cs="Times New Roman"/>
          <w:b/>
          <w:color w:val="222222"/>
          <w:sz w:val="24"/>
          <w:szCs w:val="24"/>
          <w:lang w:eastAsia="en-GB"/>
        </w:rPr>
        <w:t>, Kohima</w:t>
      </w:r>
      <w:r w:rsidR="00442F1A">
        <w:rPr>
          <w:rFonts w:ascii="Times New Roman" w:eastAsia="Times New Roman" w:hAnsi="Times New Roman" w:cs="Times New Roman"/>
          <w:b/>
          <w:color w:val="222222"/>
          <w:sz w:val="24"/>
          <w:szCs w:val="24"/>
          <w:lang w:eastAsia="en-GB"/>
        </w:rPr>
        <w:t>, India</w:t>
      </w:r>
    </w:p>
    <w:p w14:paraId="324BB789" w14:textId="77777777" w:rsidR="00891396" w:rsidRDefault="00891396" w:rsidP="0033193B">
      <w:pPr>
        <w:shd w:val="clear" w:color="auto" w:fill="FFFFFF"/>
        <w:spacing w:after="0" w:line="235" w:lineRule="atLeast"/>
        <w:rPr>
          <w:rFonts w:ascii="Calibri" w:eastAsia="Times New Roman" w:hAnsi="Calibri" w:cs="Calibri"/>
          <w:color w:val="222222"/>
          <w:lang w:eastAsia="en-GB"/>
        </w:rPr>
      </w:pPr>
    </w:p>
    <w:p w14:paraId="7383F20F" w14:textId="77777777" w:rsidR="000F4B58" w:rsidRDefault="000F4B58" w:rsidP="00626667">
      <w:pPr>
        <w:spacing w:after="0"/>
        <w:jc w:val="both"/>
        <w:rPr>
          <w:rFonts w:ascii="Times New Roman" w:hAnsi="Times New Roman" w:cs="Times New Roman"/>
          <w:sz w:val="24"/>
          <w:szCs w:val="24"/>
        </w:rPr>
      </w:pPr>
    </w:p>
    <w:p w14:paraId="43813DCB" w14:textId="54239124" w:rsidR="00626667" w:rsidRPr="00427375" w:rsidRDefault="00626667" w:rsidP="00626667">
      <w:pPr>
        <w:spacing w:after="0"/>
        <w:jc w:val="both"/>
        <w:rPr>
          <w:rFonts w:ascii="Times New Roman" w:hAnsi="Times New Roman" w:cs="Times New Roman"/>
          <w:b/>
          <w:sz w:val="24"/>
          <w:szCs w:val="24"/>
        </w:rPr>
      </w:pPr>
      <w:r w:rsidRPr="00427375">
        <w:rPr>
          <w:rFonts w:ascii="Times New Roman" w:hAnsi="Times New Roman" w:cs="Times New Roman"/>
          <w:b/>
          <w:sz w:val="24"/>
          <w:szCs w:val="24"/>
        </w:rPr>
        <w:t>Abstract</w:t>
      </w:r>
    </w:p>
    <w:p w14:paraId="19CE8BD4" w14:textId="23D70761" w:rsidR="004D5E42" w:rsidRDefault="004D5E42" w:rsidP="00626667">
      <w:pPr>
        <w:spacing w:after="0"/>
        <w:jc w:val="both"/>
        <w:rPr>
          <w:rFonts w:ascii="Times New Roman" w:hAnsi="Times New Roman" w:cs="Times New Roman"/>
          <w:sz w:val="24"/>
          <w:szCs w:val="24"/>
        </w:rPr>
      </w:pPr>
    </w:p>
    <w:p w14:paraId="0CCB59D2" w14:textId="7D2F96BE" w:rsidR="006125F4" w:rsidRPr="00C61627" w:rsidRDefault="006125F4" w:rsidP="006125F4">
      <w:pPr>
        <w:spacing w:after="0"/>
        <w:jc w:val="both"/>
        <w:rPr>
          <w:rFonts w:ascii="Times New Roman" w:hAnsi="Times New Roman" w:cs="Times New Roman"/>
          <w:sz w:val="24"/>
          <w:szCs w:val="24"/>
          <w:highlight w:val="yellow"/>
        </w:rPr>
      </w:pPr>
      <w:r w:rsidRPr="00C61627">
        <w:rPr>
          <w:rFonts w:ascii="Times New Roman" w:hAnsi="Times New Roman" w:cs="Times New Roman"/>
          <w:sz w:val="24"/>
          <w:szCs w:val="24"/>
          <w:highlight w:val="yellow"/>
        </w:rPr>
        <w:t xml:space="preserve">The​‍​‌‍​‍‌​‍​‌‍​‍‌ research examined the extent to which financial literacy and risk tolerance influence the investment behavior of college students in </w:t>
      </w:r>
      <w:proofErr w:type="spellStart"/>
      <w:r w:rsidRPr="00C61627">
        <w:rPr>
          <w:rFonts w:ascii="Times New Roman" w:hAnsi="Times New Roman" w:cs="Times New Roman"/>
          <w:sz w:val="24"/>
          <w:szCs w:val="24"/>
          <w:highlight w:val="yellow"/>
        </w:rPr>
        <w:t>Jakhama</w:t>
      </w:r>
      <w:proofErr w:type="spellEnd"/>
      <w:r w:rsidRPr="00C61627">
        <w:rPr>
          <w:rFonts w:ascii="Times New Roman" w:hAnsi="Times New Roman" w:cs="Times New Roman"/>
          <w:sz w:val="24"/>
          <w:szCs w:val="24"/>
          <w:highlight w:val="yellow"/>
        </w:rPr>
        <w:t xml:space="preserve">, Kohima when considered together. Using primary survey data of 415 respondents, the analysis applied logistic and ordered logit models to actual investment participation and hypothetical allocation preferences for a Rs.10,000 windfall to study expressions. The students </w:t>
      </w:r>
      <w:proofErr w:type="gramStart"/>
      <w:r w:rsidRPr="00C61627">
        <w:rPr>
          <w:rFonts w:ascii="Times New Roman" w:hAnsi="Times New Roman" w:cs="Times New Roman"/>
          <w:sz w:val="24"/>
          <w:szCs w:val="24"/>
          <w:highlight w:val="yellow"/>
        </w:rPr>
        <w:t>imparts</w:t>
      </w:r>
      <w:proofErr w:type="gramEnd"/>
      <w:r w:rsidRPr="00C61627">
        <w:rPr>
          <w:rFonts w:ascii="Times New Roman" w:hAnsi="Times New Roman" w:cs="Times New Roman"/>
          <w:sz w:val="24"/>
          <w:szCs w:val="24"/>
          <w:highlight w:val="yellow"/>
        </w:rPr>
        <w:t xml:space="preserve"> to a moderate level of financial literacy (mean score = 3.24/5) and risk tolerance (mean = 3.06/5). The financial literacy was only marginally associated with actual investment participation (p = 0.060), whereas it had a significant impact on hypothetical investment preferences (p = 0.008). The risk tolerance hence is the main behavioral driver, which shows the effect of approximately 1.4 times larger than that of literacy. </w:t>
      </w:r>
    </w:p>
    <w:p w14:paraId="5DC246C1" w14:textId="1E9372BF" w:rsidR="006125F4" w:rsidRDefault="006125F4" w:rsidP="006125F4">
      <w:pPr>
        <w:spacing w:after="0"/>
        <w:jc w:val="both"/>
        <w:rPr>
          <w:rFonts w:ascii="Times New Roman" w:hAnsi="Times New Roman" w:cs="Times New Roman"/>
          <w:sz w:val="24"/>
          <w:szCs w:val="24"/>
        </w:rPr>
      </w:pPr>
      <w:r w:rsidRPr="00C61627">
        <w:rPr>
          <w:rFonts w:ascii="Times New Roman" w:hAnsi="Times New Roman" w:cs="Times New Roman"/>
          <w:sz w:val="24"/>
          <w:szCs w:val="24"/>
          <w:highlight w:val="yellow"/>
        </w:rPr>
        <w:t>The findings signify that traits of a behavioral and cognitive nature have a greater influence than those of demographic characteristics in determining the investment behavior of youth. This research points to the necessity of more effective financial education programs that not only broaden the conceptual understanding but also encourage the practice of responsible and well-calibrated risk-taking among young ​‍​‌‍​‍‌​‍​‌‍​‍‌adults.</w:t>
      </w:r>
    </w:p>
    <w:p w14:paraId="1AC6EC0D" w14:textId="5C5A68CA" w:rsidR="004D5E42" w:rsidRDefault="004D5E42" w:rsidP="00626667">
      <w:pPr>
        <w:spacing w:after="0"/>
        <w:jc w:val="both"/>
        <w:rPr>
          <w:rFonts w:ascii="Times New Roman" w:hAnsi="Times New Roman" w:cs="Times New Roman"/>
          <w:sz w:val="24"/>
          <w:szCs w:val="24"/>
        </w:rPr>
      </w:pPr>
    </w:p>
    <w:p w14:paraId="7C600EE8" w14:textId="0C28C548" w:rsidR="00626667" w:rsidRDefault="00626667" w:rsidP="00626667">
      <w:pPr>
        <w:spacing w:after="0"/>
        <w:jc w:val="both"/>
        <w:rPr>
          <w:rFonts w:ascii="Times New Roman" w:hAnsi="Times New Roman" w:cs="Times New Roman"/>
          <w:sz w:val="24"/>
          <w:szCs w:val="24"/>
        </w:rPr>
      </w:pPr>
    </w:p>
    <w:p w14:paraId="13251D52" w14:textId="34B06C01" w:rsidR="00626667" w:rsidRPr="004D5E42" w:rsidRDefault="00626667" w:rsidP="00626667">
      <w:pPr>
        <w:spacing w:after="0"/>
        <w:jc w:val="both"/>
        <w:rPr>
          <w:rFonts w:ascii="Times New Roman" w:hAnsi="Times New Roman" w:cs="Times New Roman"/>
          <w:i/>
          <w:sz w:val="24"/>
          <w:szCs w:val="24"/>
        </w:rPr>
      </w:pPr>
      <w:r w:rsidRPr="004D5E42">
        <w:rPr>
          <w:rFonts w:ascii="Times New Roman" w:hAnsi="Times New Roman" w:cs="Times New Roman"/>
          <w:b/>
          <w:sz w:val="24"/>
          <w:szCs w:val="24"/>
        </w:rPr>
        <w:t>Keywords:</w:t>
      </w:r>
      <w:r w:rsidR="004D5E42">
        <w:rPr>
          <w:rFonts w:ascii="Times New Roman" w:hAnsi="Times New Roman" w:cs="Times New Roman"/>
          <w:sz w:val="24"/>
          <w:szCs w:val="24"/>
        </w:rPr>
        <w:t xml:space="preserve"> </w:t>
      </w:r>
      <w:r w:rsidR="00DC0B51" w:rsidRPr="00DC0B51">
        <w:rPr>
          <w:rFonts w:ascii="Times New Roman" w:hAnsi="Times New Roman" w:cs="Times New Roman"/>
          <w:i/>
          <w:sz w:val="24"/>
          <w:szCs w:val="24"/>
        </w:rPr>
        <w:t xml:space="preserve">financial literacy; risk tolerance; investment </w:t>
      </w:r>
      <w:proofErr w:type="spellStart"/>
      <w:r w:rsidR="00DC0B51" w:rsidRPr="00DC0B51">
        <w:rPr>
          <w:rFonts w:ascii="Times New Roman" w:hAnsi="Times New Roman" w:cs="Times New Roman"/>
          <w:i/>
          <w:sz w:val="24"/>
          <w:szCs w:val="24"/>
        </w:rPr>
        <w:t>behaviour</w:t>
      </w:r>
      <w:proofErr w:type="spellEnd"/>
      <w:r w:rsidR="00DC0B51" w:rsidRPr="00DC0B51">
        <w:rPr>
          <w:rFonts w:ascii="Times New Roman" w:hAnsi="Times New Roman" w:cs="Times New Roman"/>
          <w:i/>
          <w:sz w:val="24"/>
          <w:szCs w:val="24"/>
        </w:rPr>
        <w:t>; logistic regression; ordered logit model; youth financial decisions.</w:t>
      </w:r>
    </w:p>
    <w:p w14:paraId="27A571B5" w14:textId="77777777" w:rsidR="00EB4A60" w:rsidRPr="00EB4A60" w:rsidRDefault="00EB4A60" w:rsidP="00626667">
      <w:pPr>
        <w:spacing w:after="0"/>
        <w:jc w:val="both"/>
        <w:rPr>
          <w:rFonts w:ascii="Times New Roman" w:hAnsi="Times New Roman" w:cs="Times New Roman"/>
          <w:b/>
          <w:sz w:val="24"/>
          <w:szCs w:val="24"/>
        </w:rPr>
      </w:pPr>
    </w:p>
    <w:p w14:paraId="671B5EBE" w14:textId="6B19BC2D" w:rsidR="00C24F30" w:rsidRPr="00C24F30" w:rsidRDefault="00C24F30" w:rsidP="00675046">
      <w:pPr>
        <w:spacing w:after="0"/>
        <w:jc w:val="both"/>
        <w:rPr>
          <w:rFonts w:ascii="Times New Roman" w:hAnsi="Times New Roman" w:cs="Times New Roman"/>
          <w:b/>
          <w:sz w:val="24"/>
          <w:szCs w:val="24"/>
        </w:rPr>
      </w:pPr>
      <w:r w:rsidRPr="00C24F30">
        <w:rPr>
          <w:rFonts w:ascii="Times New Roman" w:hAnsi="Times New Roman" w:cs="Times New Roman"/>
          <w:b/>
          <w:sz w:val="24"/>
          <w:szCs w:val="24"/>
        </w:rPr>
        <w:t>1. Introduction</w:t>
      </w:r>
    </w:p>
    <w:p w14:paraId="31DC6EC1" w14:textId="580230EA" w:rsidR="00675046" w:rsidRPr="00675046" w:rsidRDefault="00675046" w:rsidP="00675046">
      <w:pPr>
        <w:spacing w:after="0"/>
        <w:jc w:val="both"/>
        <w:rPr>
          <w:rFonts w:ascii="Times New Roman" w:hAnsi="Times New Roman" w:cs="Times New Roman"/>
          <w:sz w:val="24"/>
          <w:szCs w:val="24"/>
        </w:rPr>
      </w:pPr>
      <w:r w:rsidRPr="00675046">
        <w:rPr>
          <w:rFonts w:ascii="Times New Roman" w:hAnsi="Times New Roman" w:cs="Times New Roman"/>
          <w:sz w:val="24"/>
          <w:szCs w:val="24"/>
        </w:rPr>
        <w:t xml:space="preserve">Financial​‍​‌‍​‍‌​‍​‌‍​‍‌ literacy has increasingly been acknowledged as a core skill for young adults that are expected to manage a very fast changing financial world. As the number of saving instruments, credit products, and investment avenues increases, individuals should not only understand basic financial concepts but also be able to evaluate the risks and make the decisions that will ensure their economic well-being in the long run. </w:t>
      </w:r>
      <w:proofErr w:type="spellStart"/>
      <w:r w:rsidRPr="00675046">
        <w:rPr>
          <w:rFonts w:ascii="Times New Roman" w:hAnsi="Times New Roman" w:cs="Times New Roman"/>
          <w:sz w:val="24"/>
          <w:szCs w:val="24"/>
        </w:rPr>
        <w:t>Faishal</w:t>
      </w:r>
      <w:proofErr w:type="spellEnd"/>
      <w:r w:rsidRPr="00675046">
        <w:rPr>
          <w:rFonts w:ascii="Times New Roman" w:hAnsi="Times New Roman" w:cs="Times New Roman"/>
          <w:sz w:val="24"/>
          <w:szCs w:val="24"/>
        </w:rPr>
        <w:t xml:space="preserve"> et al. (2023) pointed out that a rapidly changing technological situation brought about by artificial intelligence and automation that have reshaped labor markets in such a way that the value of adaptable cognitive skills, including the ability to interpret financial information, has increased dramatically. Nevertheless, the financial literacy of the youth remains at a dangerously low level as the results of different studies from various countries indicate, despite the importance of this issue being recognized almost everywhere. Students who are at an important stage of the development of their financial habits and attitudes and frequently also the ones who face the greatest difficulties, thus the question on how knowledge gaps affect the youth in terms of turning them into troublesome financial behavior, especially concerning investment making that determines future wealth, becomes very urgent. </w:t>
      </w:r>
    </w:p>
    <w:p w14:paraId="7091A71F" w14:textId="77777777" w:rsidR="00675046" w:rsidRPr="00675046" w:rsidRDefault="00675046" w:rsidP="00675046">
      <w:pPr>
        <w:spacing w:after="0"/>
        <w:jc w:val="both"/>
        <w:rPr>
          <w:rFonts w:ascii="Times New Roman" w:hAnsi="Times New Roman" w:cs="Times New Roman"/>
          <w:sz w:val="24"/>
          <w:szCs w:val="24"/>
        </w:rPr>
      </w:pPr>
    </w:p>
    <w:p w14:paraId="157B07E8" w14:textId="1AB1AE65" w:rsidR="00EB4A60" w:rsidRDefault="00675046" w:rsidP="00626667">
      <w:pPr>
        <w:spacing w:after="0"/>
        <w:jc w:val="both"/>
        <w:rPr>
          <w:rFonts w:ascii="Times New Roman" w:hAnsi="Times New Roman" w:cs="Times New Roman"/>
          <w:sz w:val="24"/>
          <w:szCs w:val="24"/>
        </w:rPr>
      </w:pPr>
      <w:r w:rsidRPr="00675046">
        <w:rPr>
          <w:rFonts w:ascii="Times New Roman" w:hAnsi="Times New Roman" w:cs="Times New Roman"/>
          <w:sz w:val="24"/>
          <w:szCs w:val="24"/>
        </w:rPr>
        <w:t xml:space="preserve">Financial literacy of students is a crucial factor for decision-making within India's rapidly developing digital and formal financial sector. The young generation was the main focus of fintech </w:t>
      </w:r>
      <w:r w:rsidRPr="00675046">
        <w:rPr>
          <w:rFonts w:ascii="Times New Roman" w:hAnsi="Times New Roman" w:cs="Times New Roman"/>
          <w:sz w:val="24"/>
          <w:szCs w:val="24"/>
        </w:rPr>
        <w:lastRenderedPageBreak/>
        <w:t xml:space="preserve">platforms, online trading applications, and digital savings tools but most of them are lacking the conceptual foundation that would enable them to evaluate these opportunities in a responsible way. The issues are often more severe in semi-urban and rural areas where there is very little access to structured financial guidance. The findings of </w:t>
      </w:r>
      <w:proofErr w:type="spellStart"/>
      <w:r w:rsidRPr="00675046">
        <w:rPr>
          <w:rFonts w:ascii="Times New Roman" w:hAnsi="Times New Roman" w:cs="Times New Roman"/>
          <w:sz w:val="24"/>
          <w:szCs w:val="24"/>
        </w:rPr>
        <w:t>Sangtam</w:t>
      </w:r>
      <w:proofErr w:type="spellEnd"/>
      <w:r w:rsidRPr="00675046">
        <w:rPr>
          <w:rFonts w:ascii="Times New Roman" w:hAnsi="Times New Roman" w:cs="Times New Roman"/>
          <w:sz w:val="24"/>
          <w:szCs w:val="24"/>
        </w:rPr>
        <w:t xml:space="preserve"> and </w:t>
      </w:r>
      <w:proofErr w:type="spellStart"/>
      <w:r w:rsidRPr="00675046">
        <w:rPr>
          <w:rFonts w:ascii="Times New Roman" w:hAnsi="Times New Roman" w:cs="Times New Roman"/>
          <w:sz w:val="24"/>
          <w:szCs w:val="24"/>
        </w:rPr>
        <w:t>Faishal</w:t>
      </w:r>
      <w:proofErr w:type="spellEnd"/>
      <w:r w:rsidRPr="00675046">
        <w:rPr>
          <w:rFonts w:ascii="Times New Roman" w:hAnsi="Times New Roman" w:cs="Times New Roman"/>
          <w:sz w:val="24"/>
          <w:szCs w:val="24"/>
        </w:rPr>
        <w:t xml:space="preserve"> (2025) also speak volume on the local youth employment conditions in Kohima, and how building the capabilities of the youth like reducing the educational mismatch and promoting skill-relevant training can significantly improve the employment outcomes, thus indicating a wider demand for such adult economic competency strengthening initiatives. Against this backdrop, the present research is an attempt to understand the combined effect of financial literacy and risk attitudes on investment behavior of college students in </w:t>
      </w:r>
      <w:proofErr w:type="spellStart"/>
      <w:r w:rsidRPr="00675046">
        <w:rPr>
          <w:rFonts w:ascii="Times New Roman" w:hAnsi="Times New Roman" w:cs="Times New Roman"/>
          <w:sz w:val="24"/>
          <w:szCs w:val="24"/>
        </w:rPr>
        <w:t>Jakhama</w:t>
      </w:r>
      <w:proofErr w:type="spellEnd"/>
      <w:r w:rsidRPr="00675046">
        <w:rPr>
          <w:rFonts w:ascii="Times New Roman" w:hAnsi="Times New Roman" w:cs="Times New Roman"/>
          <w:sz w:val="24"/>
          <w:szCs w:val="24"/>
        </w:rPr>
        <w:t>, Kohima. The research made use of primary data from 415 respondents and employed logistic and ordered logit models for the analysis of actual investment participation and students' preferences when facing a hypothetical investment scenario. By focusing on a student population that has received little attention in Northeast India, the study contributes to an expanding body of research that recognizes behavioral and cognitive aspects as the basis of financial decision-making. The results provide concepts that may help educators and financial service providers to create interventions that lead to informed, responsible, and future-oriented financial engagement of young ​‍​‌‍​‍‌​‍​‌‍​‍‌adults.</w:t>
      </w:r>
    </w:p>
    <w:p w14:paraId="33F9B9B3" w14:textId="46CF3FD0" w:rsidR="00C24F30" w:rsidRPr="00C24F30" w:rsidRDefault="00C24F30" w:rsidP="004356FC">
      <w:pPr>
        <w:spacing w:before="100" w:beforeAutospacing="1" w:after="100" w:afterAutospacing="1" w:line="240" w:lineRule="auto"/>
        <w:rPr>
          <w:rFonts w:ascii="Times New Roman" w:eastAsia="Times New Roman" w:hAnsi="Times New Roman" w:cs="Times New Roman"/>
          <w:b/>
          <w:sz w:val="24"/>
          <w:szCs w:val="24"/>
        </w:rPr>
      </w:pPr>
      <w:r w:rsidRPr="00C24F30">
        <w:rPr>
          <w:rFonts w:ascii="Times New Roman" w:eastAsia="Times New Roman" w:hAnsi="Times New Roman" w:cs="Times New Roman"/>
          <w:b/>
          <w:sz w:val="24"/>
          <w:szCs w:val="24"/>
        </w:rPr>
        <w:t>2. Review of Literature</w:t>
      </w:r>
    </w:p>
    <w:p w14:paraId="6C836B12" w14:textId="77777777" w:rsidR="00C24F30" w:rsidRPr="00C24F30" w:rsidRDefault="00C24F30" w:rsidP="00C24F30">
      <w:pPr>
        <w:spacing w:after="0"/>
        <w:jc w:val="both"/>
        <w:rPr>
          <w:rFonts w:ascii="Times New Roman" w:eastAsia="Times New Roman" w:hAnsi="Times New Roman" w:cs="Times New Roman"/>
          <w:sz w:val="24"/>
          <w:szCs w:val="24"/>
        </w:rPr>
      </w:pPr>
      <w:r w:rsidRPr="00C24F30">
        <w:rPr>
          <w:rFonts w:ascii="Times New Roman" w:eastAsia="Times New Roman" w:hAnsi="Times New Roman" w:cs="Times New Roman"/>
          <w:sz w:val="24"/>
          <w:szCs w:val="24"/>
        </w:rPr>
        <w:t xml:space="preserve">Financial literacy is now recognized as a main factor that leads to good financial behavior and overall economic well, being. The foundational research of Campbell (2006) and Calvet, Campbell, and Sodini (2007, 2009) has shown that investors with a higher degree of financial sophistication tend to commit fewer errors and have a better portfolio allocation. Lusardi and Mitchell (2011, 2014) extended this research by showing that financial literacy has a significant impact on saving, retirement planning, and the overall financial stability of households. There is a lot of evidence that points to financial knowledge as a means of improving the investment decision, making process of individuals. van </w:t>
      </w:r>
      <w:proofErr w:type="spellStart"/>
      <w:r w:rsidRPr="00C24F30">
        <w:rPr>
          <w:rFonts w:ascii="Times New Roman" w:eastAsia="Times New Roman" w:hAnsi="Times New Roman" w:cs="Times New Roman"/>
          <w:sz w:val="24"/>
          <w:szCs w:val="24"/>
        </w:rPr>
        <w:t>Rooij</w:t>
      </w:r>
      <w:proofErr w:type="spellEnd"/>
      <w:r w:rsidRPr="00C24F30">
        <w:rPr>
          <w:rFonts w:ascii="Times New Roman" w:eastAsia="Times New Roman" w:hAnsi="Times New Roman" w:cs="Times New Roman"/>
          <w:sz w:val="24"/>
          <w:szCs w:val="24"/>
        </w:rPr>
        <w:t xml:space="preserve">, Lusardi, and </w:t>
      </w:r>
      <w:proofErr w:type="spellStart"/>
      <w:r w:rsidRPr="00C24F30">
        <w:rPr>
          <w:rFonts w:ascii="Times New Roman" w:eastAsia="Times New Roman" w:hAnsi="Times New Roman" w:cs="Times New Roman"/>
          <w:sz w:val="24"/>
          <w:szCs w:val="24"/>
        </w:rPr>
        <w:t>Alessie</w:t>
      </w:r>
      <w:proofErr w:type="spellEnd"/>
      <w:r w:rsidRPr="00C24F30">
        <w:rPr>
          <w:rFonts w:ascii="Times New Roman" w:eastAsia="Times New Roman" w:hAnsi="Times New Roman" w:cs="Times New Roman"/>
          <w:sz w:val="24"/>
          <w:szCs w:val="24"/>
        </w:rPr>
        <w:t xml:space="preserve"> (2011) found a strong correlation between literacy and participation in the stock market, while Goetzmann and Kumar (2008) and Abreu and Mendes (2010) confirmed that literacy leads to diversification as well as decreases unsystematic risk. Klapper, Lusardi, and Panos (2013) in Russia and </w:t>
      </w:r>
      <w:proofErr w:type="spellStart"/>
      <w:r w:rsidRPr="00C24F30">
        <w:rPr>
          <w:rFonts w:ascii="Times New Roman" w:eastAsia="Times New Roman" w:hAnsi="Times New Roman" w:cs="Times New Roman"/>
          <w:sz w:val="24"/>
          <w:szCs w:val="24"/>
        </w:rPr>
        <w:t>Grohmann</w:t>
      </w:r>
      <w:proofErr w:type="spellEnd"/>
      <w:r w:rsidRPr="00C24F30">
        <w:rPr>
          <w:rFonts w:ascii="Times New Roman" w:eastAsia="Times New Roman" w:hAnsi="Times New Roman" w:cs="Times New Roman"/>
          <w:sz w:val="24"/>
          <w:szCs w:val="24"/>
        </w:rPr>
        <w:t xml:space="preserve">, </w:t>
      </w:r>
      <w:proofErr w:type="spellStart"/>
      <w:r w:rsidRPr="00C24F30">
        <w:rPr>
          <w:rFonts w:ascii="Times New Roman" w:eastAsia="Times New Roman" w:hAnsi="Times New Roman" w:cs="Times New Roman"/>
          <w:sz w:val="24"/>
          <w:szCs w:val="24"/>
        </w:rPr>
        <w:t>Kouwenberg</w:t>
      </w:r>
      <w:proofErr w:type="spellEnd"/>
      <w:r w:rsidRPr="00C24F30">
        <w:rPr>
          <w:rFonts w:ascii="Times New Roman" w:eastAsia="Times New Roman" w:hAnsi="Times New Roman" w:cs="Times New Roman"/>
          <w:sz w:val="24"/>
          <w:szCs w:val="24"/>
        </w:rPr>
        <w:t xml:space="preserve">, and </w:t>
      </w:r>
      <w:proofErr w:type="spellStart"/>
      <w:r w:rsidRPr="00C24F30">
        <w:rPr>
          <w:rFonts w:ascii="Times New Roman" w:eastAsia="Times New Roman" w:hAnsi="Times New Roman" w:cs="Times New Roman"/>
          <w:sz w:val="24"/>
          <w:szCs w:val="24"/>
        </w:rPr>
        <w:t>Menkhoff</w:t>
      </w:r>
      <w:proofErr w:type="spellEnd"/>
      <w:r w:rsidRPr="00C24F30">
        <w:rPr>
          <w:rFonts w:ascii="Times New Roman" w:eastAsia="Times New Roman" w:hAnsi="Times New Roman" w:cs="Times New Roman"/>
          <w:sz w:val="24"/>
          <w:szCs w:val="24"/>
        </w:rPr>
        <w:t xml:space="preserve"> (2015) on the childhood roots of financial literacy also found similar results, i.e., that early exposure to financial concepts has long, term behavioral benefits. </w:t>
      </w:r>
    </w:p>
    <w:p w14:paraId="08AF8A07" w14:textId="77777777" w:rsidR="00C24F30" w:rsidRPr="00C24F30" w:rsidRDefault="00C24F30" w:rsidP="00C24F30">
      <w:pPr>
        <w:spacing w:after="0"/>
        <w:jc w:val="both"/>
        <w:rPr>
          <w:rFonts w:ascii="Times New Roman" w:eastAsia="Times New Roman" w:hAnsi="Times New Roman" w:cs="Times New Roman"/>
          <w:sz w:val="24"/>
          <w:szCs w:val="24"/>
        </w:rPr>
      </w:pPr>
    </w:p>
    <w:p w14:paraId="514EE504" w14:textId="77777777" w:rsidR="00C24F30" w:rsidRPr="00C24F30" w:rsidRDefault="00C24F30" w:rsidP="00C24F30">
      <w:pPr>
        <w:spacing w:after="0"/>
        <w:jc w:val="both"/>
        <w:rPr>
          <w:rFonts w:ascii="Times New Roman" w:eastAsia="Times New Roman" w:hAnsi="Times New Roman" w:cs="Times New Roman"/>
          <w:sz w:val="24"/>
          <w:szCs w:val="24"/>
        </w:rPr>
      </w:pPr>
      <w:r w:rsidRPr="00C24F30">
        <w:rPr>
          <w:rFonts w:ascii="Times New Roman" w:eastAsia="Times New Roman" w:hAnsi="Times New Roman" w:cs="Times New Roman"/>
          <w:sz w:val="24"/>
          <w:szCs w:val="24"/>
        </w:rPr>
        <w:t>In the same way, these relationships have been identified in developing countries. Bhushan (2014) and Kaur and Vohra (2012) discovered that financially literate people in India tend to do more savings and investment activities. Yadav and Banerji (2024) also emphasized the significance of digital financial literacy in the saving and investment decisions of Indian youth, whereas Bordoloi and Deka (2024) through their regional review, pointed out that demographic factors like income, gender, and education often influence the effects. The corroborative data from Kohima demonstrates how digital financial means like UPI and credit availability can substantially escalate the growth chances of microenterprises, thereby presenting the far, reaching economic effects of financial and digital inclusion (</w:t>
      </w:r>
      <w:proofErr w:type="spellStart"/>
      <w:r w:rsidRPr="00C24F30">
        <w:rPr>
          <w:rFonts w:ascii="Times New Roman" w:eastAsia="Times New Roman" w:hAnsi="Times New Roman" w:cs="Times New Roman"/>
          <w:sz w:val="24"/>
          <w:szCs w:val="24"/>
        </w:rPr>
        <w:t>Faishal</w:t>
      </w:r>
      <w:proofErr w:type="spellEnd"/>
      <w:r w:rsidRPr="00C24F30">
        <w:rPr>
          <w:rFonts w:ascii="Times New Roman" w:eastAsia="Times New Roman" w:hAnsi="Times New Roman" w:cs="Times New Roman"/>
          <w:sz w:val="24"/>
          <w:szCs w:val="24"/>
        </w:rPr>
        <w:t xml:space="preserve">, 2025). It was also a major issue to recognize the behavioral </w:t>
      </w:r>
      <w:r w:rsidRPr="00C24F30">
        <w:rPr>
          <w:rFonts w:ascii="Times New Roman" w:eastAsia="Times New Roman" w:hAnsi="Times New Roman" w:cs="Times New Roman"/>
          <w:sz w:val="24"/>
          <w:szCs w:val="24"/>
        </w:rPr>
        <w:lastRenderedPageBreak/>
        <w:t xml:space="preserve">patterns that lead to these results. Kimball, Sahm, and Shapiro (2008) and Bayar, Sezgin, and Öztürk (2020) associated financial literacy with risk tolerance and showed that people with higher knowledge have more stable risk preferences. The support for these conclusions was further strengthened by studies from Tharayil (2024) and Van </w:t>
      </w:r>
      <w:proofErr w:type="spellStart"/>
      <w:r w:rsidRPr="00C24F30">
        <w:rPr>
          <w:rFonts w:ascii="Times New Roman" w:eastAsia="Times New Roman" w:hAnsi="Times New Roman" w:cs="Times New Roman"/>
          <w:sz w:val="24"/>
          <w:szCs w:val="24"/>
        </w:rPr>
        <w:t>Oostveldt</w:t>
      </w:r>
      <w:proofErr w:type="spellEnd"/>
      <w:r w:rsidRPr="00C24F30">
        <w:rPr>
          <w:rFonts w:ascii="Times New Roman" w:eastAsia="Times New Roman" w:hAnsi="Times New Roman" w:cs="Times New Roman"/>
          <w:sz w:val="24"/>
          <w:szCs w:val="24"/>
        </w:rPr>
        <w:t xml:space="preserve"> and </w:t>
      </w:r>
      <w:proofErr w:type="spellStart"/>
      <w:r w:rsidRPr="00C24F30">
        <w:rPr>
          <w:rFonts w:ascii="Times New Roman" w:eastAsia="Times New Roman" w:hAnsi="Times New Roman" w:cs="Times New Roman"/>
          <w:sz w:val="24"/>
          <w:szCs w:val="24"/>
        </w:rPr>
        <w:t>Dellaert</w:t>
      </w:r>
      <w:proofErr w:type="spellEnd"/>
      <w:r w:rsidRPr="00C24F30">
        <w:rPr>
          <w:rFonts w:ascii="Times New Roman" w:eastAsia="Times New Roman" w:hAnsi="Times New Roman" w:cs="Times New Roman"/>
          <w:sz w:val="24"/>
          <w:szCs w:val="24"/>
        </w:rPr>
        <w:t xml:space="preserve"> (2020), which revealed that financial education and literacy greatly facilitate financial risk, taking within set limits. </w:t>
      </w:r>
    </w:p>
    <w:p w14:paraId="5AB4A650" w14:textId="77777777" w:rsidR="00C24F30" w:rsidRPr="00C24F30" w:rsidRDefault="00C24F30" w:rsidP="00C24F30">
      <w:pPr>
        <w:spacing w:after="0"/>
        <w:jc w:val="both"/>
        <w:rPr>
          <w:rFonts w:ascii="Times New Roman" w:eastAsia="Times New Roman" w:hAnsi="Times New Roman" w:cs="Times New Roman"/>
          <w:sz w:val="24"/>
          <w:szCs w:val="24"/>
        </w:rPr>
      </w:pPr>
    </w:p>
    <w:p w14:paraId="5F5D3F6D" w14:textId="77777777" w:rsidR="00C24F30" w:rsidRPr="00C24F30" w:rsidRDefault="00C24F30" w:rsidP="00C24F30">
      <w:pPr>
        <w:spacing w:after="0"/>
        <w:jc w:val="both"/>
        <w:rPr>
          <w:rFonts w:ascii="Times New Roman" w:eastAsia="Times New Roman" w:hAnsi="Times New Roman" w:cs="Times New Roman"/>
          <w:sz w:val="24"/>
          <w:szCs w:val="24"/>
        </w:rPr>
      </w:pPr>
      <w:r w:rsidRPr="00C24F30">
        <w:rPr>
          <w:rFonts w:ascii="Times New Roman" w:eastAsia="Times New Roman" w:hAnsi="Times New Roman" w:cs="Times New Roman"/>
          <w:sz w:val="24"/>
          <w:szCs w:val="24"/>
        </w:rPr>
        <w:t xml:space="preserve">Recent works have moved the conversation further and opened the discussion to financial education and policy interventions. According to Kaiser and </w:t>
      </w:r>
      <w:proofErr w:type="spellStart"/>
      <w:r w:rsidRPr="00C24F30">
        <w:rPr>
          <w:rFonts w:ascii="Times New Roman" w:eastAsia="Times New Roman" w:hAnsi="Times New Roman" w:cs="Times New Roman"/>
          <w:sz w:val="24"/>
          <w:szCs w:val="24"/>
        </w:rPr>
        <w:t>Menkhoff</w:t>
      </w:r>
      <w:proofErr w:type="spellEnd"/>
      <w:r w:rsidRPr="00C24F30">
        <w:rPr>
          <w:rFonts w:ascii="Times New Roman" w:eastAsia="Times New Roman" w:hAnsi="Times New Roman" w:cs="Times New Roman"/>
          <w:sz w:val="24"/>
          <w:szCs w:val="24"/>
        </w:rPr>
        <w:t xml:space="preserve"> (2017) and Van </w:t>
      </w:r>
      <w:proofErr w:type="spellStart"/>
      <w:r w:rsidRPr="00C24F30">
        <w:rPr>
          <w:rFonts w:ascii="Times New Roman" w:eastAsia="Times New Roman" w:hAnsi="Times New Roman" w:cs="Times New Roman"/>
          <w:sz w:val="24"/>
          <w:szCs w:val="24"/>
        </w:rPr>
        <w:t>Rooij</w:t>
      </w:r>
      <w:proofErr w:type="spellEnd"/>
      <w:r w:rsidRPr="00C24F30">
        <w:rPr>
          <w:rFonts w:ascii="Times New Roman" w:eastAsia="Times New Roman" w:hAnsi="Times New Roman" w:cs="Times New Roman"/>
          <w:sz w:val="24"/>
          <w:szCs w:val="24"/>
        </w:rPr>
        <w:t xml:space="preserve">, Kaiser, and </w:t>
      </w:r>
      <w:proofErr w:type="spellStart"/>
      <w:r w:rsidRPr="00C24F30">
        <w:rPr>
          <w:rFonts w:ascii="Times New Roman" w:eastAsia="Times New Roman" w:hAnsi="Times New Roman" w:cs="Times New Roman"/>
          <w:sz w:val="24"/>
          <w:szCs w:val="24"/>
        </w:rPr>
        <w:t>Menkhoff</w:t>
      </w:r>
      <w:proofErr w:type="spellEnd"/>
      <w:r w:rsidRPr="00C24F30">
        <w:rPr>
          <w:rFonts w:ascii="Times New Roman" w:eastAsia="Times New Roman" w:hAnsi="Times New Roman" w:cs="Times New Roman"/>
          <w:sz w:val="24"/>
          <w:szCs w:val="24"/>
        </w:rPr>
        <w:t xml:space="preserve"> (2021), well, planned financial education not only raises literacy levels but also has positive impacts on behavior, especially when it is designed for the young. Researches like those of Camelia Nur </w:t>
      </w:r>
      <w:proofErr w:type="spellStart"/>
      <w:r w:rsidRPr="00C24F30">
        <w:rPr>
          <w:rFonts w:ascii="Times New Roman" w:eastAsia="Times New Roman" w:hAnsi="Times New Roman" w:cs="Times New Roman"/>
          <w:sz w:val="24"/>
          <w:szCs w:val="24"/>
        </w:rPr>
        <w:t>Anindya</w:t>
      </w:r>
      <w:proofErr w:type="spellEnd"/>
      <w:r w:rsidRPr="00C24F30">
        <w:rPr>
          <w:rFonts w:ascii="Times New Roman" w:eastAsia="Times New Roman" w:hAnsi="Times New Roman" w:cs="Times New Roman"/>
          <w:sz w:val="24"/>
          <w:szCs w:val="24"/>
        </w:rPr>
        <w:t xml:space="preserve"> and </w:t>
      </w:r>
      <w:proofErr w:type="spellStart"/>
      <w:r w:rsidRPr="00C24F30">
        <w:rPr>
          <w:rFonts w:ascii="Times New Roman" w:eastAsia="Times New Roman" w:hAnsi="Times New Roman" w:cs="Times New Roman"/>
          <w:sz w:val="24"/>
          <w:szCs w:val="24"/>
        </w:rPr>
        <w:t>Hasnawati</w:t>
      </w:r>
      <w:proofErr w:type="spellEnd"/>
      <w:r w:rsidRPr="00C24F30">
        <w:rPr>
          <w:rFonts w:ascii="Times New Roman" w:eastAsia="Times New Roman" w:hAnsi="Times New Roman" w:cs="Times New Roman"/>
          <w:sz w:val="24"/>
          <w:szCs w:val="24"/>
        </w:rPr>
        <w:t xml:space="preserve"> (2024) and </w:t>
      </w:r>
      <w:proofErr w:type="spellStart"/>
      <w:r w:rsidRPr="00C24F30">
        <w:rPr>
          <w:rFonts w:ascii="Times New Roman" w:eastAsia="Times New Roman" w:hAnsi="Times New Roman" w:cs="Times New Roman"/>
          <w:sz w:val="24"/>
          <w:szCs w:val="24"/>
        </w:rPr>
        <w:t>Oehler</w:t>
      </w:r>
      <w:proofErr w:type="spellEnd"/>
      <w:r w:rsidRPr="00C24F30">
        <w:rPr>
          <w:rFonts w:ascii="Times New Roman" w:eastAsia="Times New Roman" w:hAnsi="Times New Roman" w:cs="Times New Roman"/>
          <w:sz w:val="24"/>
          <w:szCs w:val="24"/>
        </w:rPr>
        <w:t xml:space="preserve">, Horn, and Wendt (2023) pointed out that formal education programs play a vital role in deepening the connection between literacy and investment among university students. On a micro scale, Remund (2010) put forward a more detailed conceptualization of financial literacy where the components of knowledge, application, and decision, making capacity were clearly distinguished, aspects that subsequent empirical studies have recognized. Lusardi and Tufano (2015) and Agarwal et al. (2009) extended the model further to incorporate debt literacy and lifecycle decision, making and indicated that a lack of literacy may cause inefficient outcomes, over, indebtedness, or under, diversification. </w:t>
      </w:r>
    </w:p>
    <w:p w14:paraId="175715D0" w14:textId="77777777" w:rsidR="00C24F30" w:rsidRPr="00C24F30" w:rsidRDefault="00C24F30" w:rsidP="00C24F30">
      <w:pPr>
        <w:spacing w:after="0"/>
        <w:jc w:val="both"/>
        <w:rPr>
          <w:rFonts w:ascii="Times New Roman" w:eastAsia="Times New Roman" w:hAnsi="Times New Roman" w:cs="Times New Roman"/>
          <w:sz w:val="24"/>
          <w:szCs w:val="24"/>
        </w:rPr>
      </w:pPr>
    </w:p>
    <w:p w14:paraId="1439EB80" w14:textId="72A2ADB8" w:rsidR="00E42DAD" w:rsidRDefault="00C24F30" w:rsidP="00C24F30">
      <w:pPr>
        <w:spacing w:after="0"/>
        <w:jc w:val="both"/>
        <w:rPr>
          <w:rFonts w:ascii="Times New Roman" w:eastAsia="Times New Roman" w:hAnsi="Times New Roman" w:cs="Times New Roman"/>
          <w:sz w:val="24"/>
          <w:szCs w:val="24"/>
        </w:rPr>
      </w:pPr>
      <w:r w:rsidRPr="00C24F30">
        <w:rPr>
          <w:rFonts w:ascii="Times New Roman" w:eastAsia="Times New Roman" w:hAnsi="Times New Roman" w:cs="Times New Roman"/>
          <w:sz w:val="24"/>
          <w:szCs w:val="24"/>
        </w:rPr>
        <w:t xml:space="preserve">Recent empirical studies are consistent with these claims. Yilmaz Bayar et al. (2020) and Oehler et al. (2023) found that literacy is not only an incentive for financial market participation, but it also leads to better asset allocation and diversification. Tharayil (2024) and Yadav &amp; Banerji (2024) stressed the importance of education and digital skills in building the financial self, assurance of young adults. Together, these pieces of research confirm that financial literacy is a complex concept, and it influences investment behavior both, directly and indirectly which means that it can improve one’s understanding of financial products on one hand and on the other it can heighten one’s risk tolerance, confidence, and future orientation. Nevertheless, there are still gaps in localized research particularly in the context of small towns and students from the developing regions. Therefore, this research aims to fill the gap by providing empirical evidence on how literacy influences investment participation and portfolio preferences of college students in </w:t>
      </w:r>
      <w:proofErr w:type="spellStart"/>
      <w:r w:rsidRPr="00C24F30">
        <w:rPr>
          <w:rFonts w:ascii="Times New Roman" w:eastAsia="Times New Roman" w:hAnsi="Times New Roman" w:cs="Times New Roman"/>
          <w:sz w:val="24"/>
          <w:szCs w:val="24"/>
        </w:rPr>
        <w:t>Jakhama</w:t>
      </w:r>
      <w:proofErr w:type="spellEnd"/>
      <w:r w:rsidRPr="00C24F30">
        <w:rPr>
          <w:rFonts w:ascii="Times New Roman" w:eastAsia="Times New Roman" w:hAnsi="Times New Roman" w:cs="Times New Roman"/>
          <w:sz w:val="24"/>
          <w:szCs w:val="24"/>
        </w:rPr>
        <w:t>, Kohima, which is a demographic segment that has not been sufficiently studied in the Indian context.</w:t>
      </w:r>
    </w:p>
    <w:p w14:paraId="79DA9BEC" w14:textId="0F8F9EE9" w:rsidR="000E6847" w:rsidRDefault="000E6847" w:rsidP="000E6847">
      <w:pPr>
        <w:spacing w:after="0"/>
        <w:jc w:val="both"/>
        <w:rPr>
          <w:rFonts w:ascii="Times New Roman" w:hAnsi="Times New Roman" w:cs="Times New Roman"/>
          <w:sz w:val="24"/>
          <w:szCs w:val="24"/>
        </w:rPr>
      </w:pPr>
      <w:r w:rsidRPr="000E6847">
        <w:rPr>
          <w:rFonts w:ascii="Times New Roman" w:hAnsi="Times New Roman" w:cs="Times New Roman"/>
          <w:sz w:val="24"/>
          <w:szCs w:val="24"/>
          <w:highlight w:val="yellow"/>
        </w:rPr>
        <w:t xml:space="preserve">Recent​‍​‌‍​‍‌​‍​‌‍​‍‌ research keeps on revealing the changing interplay of digital finance, literacy, and youth investment choices. Mehta and Singh (2023) observed that the exposure to fintech dramatically raises the confidence of young investors and their engagement in digital assets, whereas Sharma and Gupta (2024) associated digital inclusion with better financial outcomes of students in India. In the same vein, </w:t>
      </w:r>
      <w:proofErr w:type="spellStart"/>
      <w:r w:rsidRPr="000E6847">
        <w:rPr>
          <w:rFonts w:ascii="Times New Roman" w:hAnsi="Times New Roman" w:cs="Times New Roman"/>
          <w:sz w:val="24"/>
          <w:szCs w:val="24"/>
          <w:highlight w:val="yellow"/>
        </w:rPr>
        <w:t>Tharayil</w:t>
      </w:r>
      <w:proofErr w:type="spellEnd"/>
      <w:r w:rsidRPr="000E6847">
        <w:rPr>
          <w:rFonts w:ascii="Times New Roman" w:hAnsi="Times New Roman" w:cs="Times New Roman"/>
          <w:sz w:val="24"/>
          <w:szCs w:val="24"/>
          <w:highlight w:val="yellow"/>
        </w:rPr>
        <w:t xml:space="preserve"> (2024) and Yadav and Banerji (2024) point out that financial education along with digital capability leads to higher confidence in making investment decisions. All these recent studies agree with the argument of the current study that it is still necessary to focus on improving financial literacy and risk tolerance in a fast digitizing financial ​‍​‌‍​‍‌​‍​‌‍​‍‌ecosystem.</w:t>
      </w:r>
    </w:p>
    <w:p w14:paraId="10FF5DAB" w14:textId="77777777" w:rsidR="00613C53" w:rsidRDefault="00613C53" w:rsidP="00C24F30">
      <w:pPr>
        <w:spacing w:after="0"/>
        <w:jc w:val="both"/>
        <w:rPr>
          <w:rFonts w:ascii="Times New Roman" w:hAnsi="Times New Roman" w:cs="Times New Roman"/>
          <w:sz w:val="24"/>
          <w:szCs w:val="24"/>
        </w:rPr>
      </w:pPr>
    </w:p>
    <w:p w14:paraId="45BCB329" w14:textId="585EF1B8" w:rsidR="0091225B" w:rsidRDefault="0091225B" w:rsidP="00C24F30">
      <w:pPr>
        <w:spacing w:after="0"/>
        <w:jc w:val="both"/>
        <w:rPr>
          <w:rFonts w:ascii="Times New Roman" w:hAnsi="Times New Roman" w:cs="Times New Roman"/>
          <w:b/>
          <w:sz w:val="24"/>
          <w:szCs w:val="24"/>
        </w:rPr>
      </w:pPr>
      <w:r w:rsidRPr="0091225B">
        <w:rPr>
          <w:rFonts w:ascii="Times New Roman" w:hAnsi="Times New Roman" w:cs="Times New Roman"/>
          <w:b/>
          <w:sz w:val="24"/>
          <w:szCs w:val="24"/>
        </w:rPr>
        <w:t>3. Data and Methodology</w:t>
      </w:r>
    </w:p>
    <w:p w14:paraId="4D6C1807" w14:textId="77777777" w:rsidR="0091225B" w:rsidRPr="0091225B" w:rsidRDefault="0091225B" w:rsidP="00C24F30">
      <w:pPr>
        <w:spacing w:after="0"/>
        <w:jc w:val="both"/>
        <w:rPr>
          <w:rFonts w:ascii="Times New Roman" w:hAnsi="Times New Roman" w:cs="Times New Roman"/>
          <w:b/>
          <w:sz w:val="24"/>
          <w:szCs w:val="24"/>
        </w:rPr>
      </w:pPr>
    </w:p>
    <w:p w14:paraId="25460CE1" w14:textId="77777777" w:rsidR="00400C0B" w:rsidRDefault="0091225B" w:rsidP="00400C0B">
      <w:pPr>
        <w:spacing w:after="0"/>
        <w:jc w:val="both"/>
        <w:rPr>
          <w:rFonts w:ascii="Times New Roman" w:hAnsi="Times New Roman" w:cs="Times New Roman"/>
          <w:b/>
          <w:sz w:val="24"/>
          <w:szCs w:val="24"/>
        </w:rPr>
      </w:pPr>
      <w:r w:rsidRPr="0091225B">
        <w:rPr>
          <w:rFonts w:ascii="Times New Roman" w:hAnsi="Times New Roman" w:cs="Times New Roman"/>
          <w:b/>
          <w:sz w:val="24"/>
          <w:szCs w:val="24"/>
        </w:rPr>
        <w:t>3.1 Data Source and Sampling</w:t>
      </w:r>
    </w:p>
    <w:p w14:paraId="22770DED" w14:textId="0B68CD10" w:rsidR="00581381" w:rsidRDefault="00400C0B" w:rsidP="00400C0B">
      <w:pPr>
        <w:spacing w:after="0"/>
        <w:jc w:val="both"/>
        <w:rPr>
          <w:rFonts w:ascii="Times New Roman" w:eastAsia="Times New Roman" w:hAnsi="Times New Roman" w:cs="Times New Roman"/>
          <w:sz w:val="24"/>
          <w:szCs w:val="24"/>
        </w:rPr>
      </w:pPr>
      <w:r w:rsidRPr="00400C0B">
        <w:rPr>
          <w:rFonts w:ascii="Times New Roman" w:eastAsia="Times New Roman" w:hAnsi="Times New Roman" w:cs="Times New Roman"/>
          <w:sz w:val="24"/>
          <w:szCs w:val="24"/>
        </w:rPr>
        <w:t xml:space="preserve">The research work presented here relied on primary data, which were collected through a structured Google Forms questionnaire distributed among undergraduate and postgraduate students in </w:t>
      </w:r>
      <w:proofErr w:type="spellStart"/>
      <w:r w:rsidRPr="00400C0B">
        <w:rPr>
          <w:rFonts w:ascii="Times New Roman" w:eastAsia="Times New Roman" w:hAnsi="Times New Roman" w:cs="Times New Roman"/>
          <w:sz w:val="24"/>
          <w:szCs w:val="24"/>
        </w:rPr>
        <w:t>Jakhama</w:t>
      </w:r>
      <w:proofErr w:type="spellEnd"/>
      <w:r w:rsidRPr="00400C0B">
        <w:rPr>
          <w:rFonts w:ascii="Times New Roman" w:eastAsia="Times New Roman" w:hAnsi="Times New Roman" w:cs="Times New Roman"/>
          <w:sz w:val="24"/>
          <w:szCs w:val="24"/>
        </w:rPr>
        <w:t xml:space="preserve">, Kohima, during September, October 2025. After cleaning the data and removing incomplete entries, a total of 415 valid responses were obtained. The target population was college students from different disciplines such as Commerce, Management, Social Sciences, and Arts. The survey instrument aimed to record socio, demographic features, financial literacy levels, risk attitudes, investment </w:t>
      </w:r>
      <w:proofErr w:type="spellStart"/>
      <w:r w:rsidRPr="00400C0B">
        <w:rPr>
          <w:rFonts w:ascii="Times New Roman" w:eastAsia="Times New Roman" w:hAnsi="Times New Roman" w:cs="Times New Roman"/>
          <w:sz w:val="24"/>
          <w:szCs w:val="24"/>
        </w:rPr>
        <w:t>behaviour</w:t>
      </w:r>
      <w:proofErr w:type="spellEnd"/>
      <w:r w:rsidRPr="00400C0B">
        <w:rPr>
          <w:rFonts w:ascii="Times New Roman" w:eastAsia="Times New Roman" w:hAnsi="Times New Roman" w:cs="Times New Roman"/>
          <w:sz w:val="24"/>
          <w:szCs w:val="24"/>
        </w:rPr>
        <w:t>, and the extent of participation in financial education programs. Table 1 provides a summary of the sample description based on gender, age group, course of study, and investment participation. About 54 percent of the total respondents were females and 46 percent were males, with an average age of 21 years. Almost one out of three respondents (30.6 percent) claimed that they were currently investing in some financial instrument, whereas the rest were either saving in banks or were not participating in financial markets.</w:t>
      </w:r>
    </w:p>
    <w:p w14:paraId="1B5D8C73" w14:textId="5884F2C8" w:rsidR="00400C0B" w:rsidRPr="00400C0B" w:rsidRDefault="00400C0B" w:rsidP="008D128B">
      <w:pPr>
        <w:pStyle w:val="NormalWeb"/>
        <w:jc w:val="both"/>
        <w:rPr>
          <w:b/>
        </w:rPr>
      </w:pPr>
      <w:r w:rsidRPr="00400C0B">
        <w:rPr>
          <w:b/>
        </w:rPr>
        <w:t>3.2 Variable Description and Construction</w:t>
      </w:r>
    </w:p>
    <w:p w14:paraId="19AF306C" w14:textId="7EA07635" w:rsidR="00400C0B" w:rsidRDefault="00400C0B" w:rsidP="00400C0B">
      <w:pPr>
        <w:pStyle w:val="NormalWeb"/>
        <w:jc w:val="both"/>
      </w:pPr>
      <w:r>
        <w:t>The main explanatory variable to be accounted for is financial literacy, which in the first place, is quantified as the overall score arising from five multiple, choice questions that test the understanding of basic financial concepts such as interest rate, inflation, diversification, and risk return trade off. Every correct answer was assigned 1, and hence the financial literacy total score (</w:t>
      </w:r>
      <w:proofErr w:type="spellStart"/>
      <w:r>
        <w:t>fl_score</w:t>
      </w:r>
      <w:proofErr w:type="spellEnd"/>
      <w:r>
        <w:t xml:space="preserve">) was between 0 and 5. The dependent variables illustrate the two different sides of the investment </w:t>
      </w:r>
      <w:proofErr w:type="spellStart"/>
      <w:r>
        <w:t>behaviour</w:t>
      </w:r>
      <w:proofErr w:type="spellEnd"/>
      <w:r>
        <w:t>. Firstly, investment participation (</w:t>
      </w:r>
      <w:proofErr w:type="spellStart"/>
      <w:r>
        <w:t>invest_yes</w:t>
      </w:r>
      <w:proofErr w:type="spellEnd"/>
      <w:r>
        <w:t>) is a binary variable which takes the value of 1 when a respondent states that he has invested in at least one financial product and 0 otherwise. The other outcome, portfolio diversification (</w:t>
      </w:r>
      <w:proofErr w:type="spellStart"/>
      <w:r>
        <w:t>asset_count</w:t>
      </w:r>
      <w:proofErr w:type="spellEnd"/>
      <w:r>
        <w:t xml:space="preserve">), is a measure of the total number of different investment instruments that a student has (for example, mutual funds, equities, gold, fixed deposits, and digital assets). </w:t>
      </w:r>
    </w:p>
    <w:p w14:paraId="5B7782D5" w14:textId="7A5E300A" w:rsidR="00581381" w:rsidRPr="000859F8" w:rsidRDefault="00400C0B" w:rsidP="00400C0B">
      <w:pPr>
        <w:pStyle w:val="NormalWeb"/>
        <w:jc w:val="both"/>
      </w:pPr>
      <w:r>
        <w:t xml:space="preserve">Various controls were added to reflect the </w:t>
      </w:r>
      <w:proofErr w:type="spellStart"/>
      <w:r>
        <w:t>behavioural</w:t>
      </w:r>
      <w:proofErr w:type="spellEnd"/>
      <w:r>
        <w:t xml:space="preserve"> and socioeconomic heterogeneity. Risk tolerance (</w:t>
      </w:r>
      <w:proofErr w:type="spellStart"/>
      <w:r>
        <w:t>risk_score</w:t>
      </w:r>
      <w:proofErr w:type="spellEnd"/>
      <w:r>
        <w:t>) was based on a five, point Likert scale with 1 = very risk averse and 5 = very risk taking. In order to address the problem of omitted variable bias, demographic variables like gender, course stream, year of study, and self, reported monthly allowance were used as controls. Furthermore, a binary indicator was developed to identify those who attended a financial literacy program (</w:t>
      </w:r>
      <w:proofErr w:type="spellStart"/>
      <w:r>
        <w:t>attended_program</w:t>
      </w:r>
      <w:proofErr w:type="spellEnd"/>
      <w:r>
        <w:t>), thus enabling the evaluation of the contribution of formal financial education. Descriptive statistics for all the main variables are shown in Table 2, which reveals that the average financial literacy score is 3.24 (SD = 1.48) and at the same time, the mean risk, tolerance score is 3.06 (SD = 0.95). The first figure shows the distribution of literacy scores among male and female respondents, indicating that there is moderate variation but on the whole, the gender is not skewed strongly</w:t>
      </w:r>
      <w:r w:rsidR="00581381" w:rsidRPr="000859F8">
        <w:t>.</w:t>
      </w:r>
    </w:p>
    <w:p w14:paraId="0FFB499F" w14:textId="57C2E457" w:rsidR="005D2B87" w:rsidRPr="000859F8" w:rsidRDefault="005D2B87" w:rsidP="008D128B">
      <w:pPr>
        <w:pStyle w:val="NormalWeb"/>
        <w:jc w:val="both"/>
      </w:pPr>
      <w:r w:rsidRPr="000859F8">
        <w:rPr>
          <w:noProof/>
        </w:rPr>
        <w:lastRenderedPageBreak/>
        <w:drawing>
          <wp:anchor distT="0" distB="0" distL="114300" distR="114300" simplePos="0" relativeHeight="251658240" behindDoc="1" locked="0" layoutInCell="1" allowOverlap="1" wp14:anchorId="40884081" wp14:editId="18F0BD29">
            <wp:simplePos x="0" y="0"/>
            <wp:positionH relativeFrom="margin">
              <wp:align>center</wp:align>
            </wp:positionH>
            <wp:positionV relativeFrom="paragraph">
              <wp:posOffset>303530</wp:posOffset>
            </wp:positionV>
            <wp:extent cx="5534660" cy="3074670"/>
            <wp:effectExtent l="0" t="0" r="8890" b="0"/>
            <wp:wrapTight wrapText="bothSides">
              <wp:wrapPolygon edited="0">
                <wp:start x="0" y="0"/>
                <wp:lineTo x="0" y="21413"/>
                <wp:lineTo x="21560" y="21413"/>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_financial_literacy_distributi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34660" cy="3074670"/>
                    </a:xfrm>
                    <a:prstGeom prst="rect">
                      <a:avLst/>
                    </a:prstGeom>
                  </pic:spPr>
                </pic:pic>
              </a:graphicData>
            </a:graphic>
            <wp14:sizeRelH relativeFrom="margin">
              <wp14:pctWidth>0</wp14:pctWidth>
            </wp14:sizeRelH>
            <wp14:sizeRelV relativeFrom="margin">
              <wp14:pctHeight>0</wp14:pctHeight>
            </wp14:sizeRelV>
          </wp:anchor>
        </w:drawing>
      </w:r>
      <w:r w:rsidRPr="000859F8">
        <w:t>Figure 1. Distribution of financial literacy scores among students.</w:t>
      </w:r>
    </w:p>
    <w:p w14:paraId="0DD193AB" w14:textId="2CA211C0" w:rsidR="00890F4F" w:rsidRPr="00983D93" w:rsidRDefault="005D2B87" w:rsidP="005D2B87">
      <w:pPr>
        <w:pStyle w:val="NormalWeb"/>
        <w:spacing w:before="0" w:beforeAutospacing="0"/>
        <w:rPr>
          <w:i/>
        </w:rPr>
      </w:pPr>
      <w:r w:rsidRPr="008F4B82">
        <w:rPr>
          <w:b/>
          <w:i/>
        </w:rPr>
        <w:t>Source:</w:t>
      </w:r>
      <w:r w:rsidRPr="00983D93">
        <w:rPr>
          <w:i/>
        </w:rPr>
        <w:t xml:space="preserve"> Author’s computation using primary survey data (N = 415).</w:t>
      </w:r>
    </w:p>
    <w:p w14:paraId="4F775D71" w14:textId="770CFC64" w:rsidR="00C85180" w:rsidRPr="000859F8" w:rsidRDefault="00C85180" w:rsidP="00C85180">
      <w:pPr>
        <w:pStyle w:val="NormalWeb"/>
        <w:spacing w:after="0" w:afterAutospacing="0"/>
      </w:pPr>
      <w:r w:rsidRPr="000859F8">
        <w:t>Table 1. Descriptive statistics for the main variables used in the analysis.</w:t>
      </w:r>
    </w:p>
    <w:tbl>
      <w:tblPr>
        <w:tblStyle w:val="TableGrid"/>
        <w:tblW w:w="0" w:type="auto"/>
        <w:tblLook w:val="04A0" w:firstRow="1" w:lastRow="0" w:firstColumn="1" w:lastColumn="0" w:noHBand="0" w:noVBand="1"/>
      </w:tblPr>
      <w:tblGrid>
        <w:gridCol w:w="3036"/>
        <w:gridCol w:w="576"/>
        <w:gridCol w:w="803"/>
        <w:gridCol w:w="928"/>
        <w:gridCol w:w="643"/>
        <w:gridCol w:w="839"/>
        <w:gridCol w:w="1003"/>
        <w:gridCol w:w="839"/>
        <w:gridCol w:w="683"/>
      </w:tblGrid>
      <w:tr w:rsidR="00C85180" w:rsidRPr="000859F8" w14:paraId="62A9A4E0" w14:textId="77777777" w:rsidTr="00C85180">
        <w:tc>
          <w:tcPr>
            <w:tcW w:w="0" w:type="auto"/>
            <w:hideMark/>
          </w:tcPr>
          <w:p w14:paraId="4708E0D8"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Variable</w:t>
            </w:r>
          </w:p>
        </w:tc>
        <w:tc>
          <w:tcPr>
            <w:tcW w:w="0" w:type="auto"/>
            <w:hideMark/>
          </w:tcPr>
          <w:p w14:paraId="3AA68C18"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N</w:t>
            </w:r>
          </w:p>
        </w:tc>
        <w:tc>
          <w:tcPr>
            <w:tcW w:w="0" w:type="auto"/>
            <w:hideMark/>
          </w:tcPr>
          <w:p w14:paraId="22595574"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Mean</w:t>
            </w:r>
          </w:p>
        </w:tc>
        <w:tc>
          <w:tcPr>
            <w:tcW w:w="0" w:type="auto"/>
            <w:hideMark/>
          </w:tcPr>
          <w:p w14:paraId="583009B9"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Std. Dev.</w:t>
            </w:r>
          </w:p>
        </w:tc>
        <w:tc>
          <w:tcPr>
            <w:tcW w:w="0" w:type="auto"/>
            <w:hideMark/>
          </w:tcPr>
          <w:p w14:paraId="45F1DC18"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Min</w:t>
            </w:r>
          </w:p>
        </w:tc>
        <w:tc>
          <w:tcPr>
            <w:tcW w:w="0" w:type="auto"/>
            <w:hideMark/>
          </w:tcPr>
          <w:p w14:paraId="6A954F0C" w14:textId="547C655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25</w:t>
            </w:r>
            <w:proofErr w:type="gramStart"/>
            <w:r w:rsidRPr="000859F8">
              <w:rPr>
                <w:rFonts w:ascii="Times New Roman" w:eastAsia="Times New Roman" w:hAnsi="Times New Roman" w:cs="Times New Roman"/>
                <w:b/>
                <w:bCs/>
                <w:sz w:val="24"/>
                <w:szCs w:val="24"/>
                <w:vertAlign w:val="superscript"/>
              </w:rPr>
              <w:t>th</w:t>
            </w:r>
            <w:r w:rsidRPr="000859F8">
              <w:rPr>
                <w:rFonts w:ascii="Times New Roman" w:eastAsia="Times New Roman" w:hAnsi="Times New Roman" w:cs="Times New Roman"/>
                <w:b/>
                <w:bCs/>
                <w:sz w:val="24"/>
                <w:szCs w:val="24"/>
              </w:rPr>
              <w:t xml:space="preserve">  </w:t>
            </w:r>
            <w:proofErr w:type="spellStart"/>
            <w:r w:rsidRPr="000859F8">
              <w:rPr>
                <w:rFonts w:ascii="Times New Roman" w:eastAsia="Times New Roman" w:hAnsi="Times New Roman" w:cs="Times New Roman"/>
                <w:b/>
                <w:bCs/>
                <w:sz w:val="24"/>
                <w:szCs w:val="24"/>
              </w:rPr>
              <w:t>Pctl</w:t>
            </w:r>
            <w:proofErr w:type="spellEnd"/>
            <w:proofErr w:type="gramEnd"/>
          </w:p>
        </w:tc>
        <w:tc>
          <w:tcPr>
            <w:tcW w:w="0" w:type="auto"/>
            <w:hideMark/>
          </w:tcPr>
          <w:p w14:paraId="7D066063"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Median</w:t>
            </w:r>
          </w:p>
        </w:tc>
        <w:tc>
          <w:tcPr>
            <w:tcW w:w="0" w:type="auto"/>
            <w:hideMark/>
          </w:tcPr>
          <w:p w14:paraId="78ACBEC8" w14:textId="3E203126"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75</w:t>
            </w:r>
            <w:proofErr w:type="gramStart"/>
            <w:r w:rsidRPr="000859F8">
              <w:rPr>
                <w:rFonts w:ascii="Times New Roman" w:eastAsia="Times New Roman" w:hAnsi="Times New Roman" w:cs="Times New Roman"/>
                <w:b/>
                <w:bCs/>
                <w:sz w:val="24"/>
                <w:szCs w:val="24"/>
                <w:vertAlign w:val="superscript"/>
              </w:rPr>
              <w:t>th</w:t>
            </w:r>
            <w:r w:rsidRPr="000859F8">
              <w:rPr>
                <w:rFonts w:ascii="Times New Roman" w:eastAsia="Times New Roman" w:hAnsi="Times New Roman" w:cs="Times New Roman"/>
                <w:b/>
                <w:bCs/>
                <w:sz w:val="24"/>
                <w:szCs w:val="24"/>
              </w:rPr>
              <w:t xml:space="preserve">  </w:t>
            </w:r>
            <w:proofErr w:type="spellStart"/>
            <w:r w:rsidRPr="000859F8">
              <w:rPr>
                <w:rFonts w:ascii="Times New Roman" w:eastAsia="Times New Roman" w:hAnsi="Times New Roman" w:cs="Times New Roman"/>
                <w:b/>
                <w:bCs/>
                <w:sz w:val="24"/>
                <w:szCs w:val="24"/>
              </w:rPr>
              <w:t>Pctl</w:t>
            </w:r>
            <w:proofErr w:type="spellEnd"/>
            <w:proofErr w:type="gramEnd"/>
          </w:p>
        </w:tc>
        <w:tc>
          <w:tcPr>
            <w:tcW w:w="0" w:type="auto"/>
            <w:hideMark/>
          </w:tcPr>
          <w:p w14:paraId="161FF293"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Max</w:t>
            </w:r>
          </w:p>
        </w:tc>
      </w:tr>
      <w:tr w:rsidR="00C85180" w:rsidRPr="000859F8" w14:paraId="1B9DCE54" w14:textId="77777777" w:rsidTr="00C85180">
        <w:tc>
          <w:tcPr>
            <w:tcW w:w="0" w:type="auto"/>
            <w:hideMark/>
          </w:tcPr>
          <w:p w14:paraId="21271D6A"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b/>
                <w:bCs/>
                <w:sz w:val="24"/>
                <w:szCs w:val="24"/>
              </w:rPr>
              <w:t>Financial literacy score (0–5)</w:t>
            </w:r>
          </w:p>
        </w:tc>
        <w:tc>
          <w:tcPr>
            <w:tcW w:w="0" w:type="auto"/>
            <w:hideMark/>
          </w:tcPr>
          <w:p w14:paraId="74A01E88"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415</w:t>
            </w:r>
          </w:p>
        </w:tc>
        <w:tc>
          <w:tcPr>
            <w:tcW w:w="0" w:type="auto"/>
            <w:hideMark/>
          </w:tcPr>
          <w:p w14:paraId="3DC03BFF"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1.93</w:t>
            </w:r>
          </w:p>
        </w:tc>
        <w:tc>
          <w:tcPr>
            <w:tcW w:w="0" w:type="auto"/>
            <w:hideMark/>
          </w:tcPr>
          <w:p w14:paraId="12CA7164"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1.00</w:t>
            </w:r>
          </w:p>
        </w:tc>
        <w:tc>
          <w:tcPr>
            <w:tcW w:w="0" w:type="auto"/>
            <w:hideMark/>
          </w:tcPr>
          <w:p w14:paraId="7B6CD54D"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193FF239"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453C22F0"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2</w:t>
            </w:r>
          </w:p>
        </w:tc>
        <w:tc>
          <w:tcPr>
            <w:tcW w:w="0" w:type="auto"/>
            <w:hideMark/>
          </w:tcPr>
          <w:p w14:paraId="2F152DCD"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w:t>
            </w:r>
          </w:p>
        </w:tc>
        <w:tc>
          <w:tcPr>
            <w:tcW w:w="0" w:type="auto"/>
            <w:hideMark/>
          </w:tcPr>
          <w:p w14:paraId="5A8AD86E"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w:t>
            </w:r>
          </w:p>
        </w:tc>
      </w:tr>
      <w:tr w:rsidR="00C85180" w:rsidRPr="000859F8" w14:paraId="5AA23FC7" w14:textId="77777777" w:rsidTr="00C85180">
        <w:tc>
          <w:tcPr>
            <w:tcW w:w="0" w:type="auto"/>
            <w:hideMark/>
          </w:tcPr>
          <w:p w14:paraId="1001223E"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b/>
                <w:bCs/>
                <w:sz w:val="24"/>
                <w:szCs w:val="24"/>
              </w:rPr>
              <w:t>Risk tolerance score (1–5)</w:t>
            </w:r>
          </w:p>
        </w:tc>
        <w:tc>
          <w:tcPr>
            <w:tcW w:w="0" w:type="auto"/>
            <w:hideMark/>
          </w:tcPr>
          <w:p w14:paraId="168B6111"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415</w:t>
            </w:r>
          </w:p>
        </w:tc>
        <w:tc>
          <w:tcPr>
            <w:tcW w:w="0" w:type="auto"/>
            <w:hideMark/>
          </w:tcPr>
          <w:p w14:paraId="7C179A05"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3.06</w:t>
            </w:r>
          </w:p>
        </w:tc>
        <w:tc>
          <w:tcPr>
            <w:tcW w:w="0" w:type="auto"/>
            <w:hideMark/>
          </w:tcPr>
          <w:p w14:paraId="307CB1A5"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0.85</w:t>
            </w:r>
          </w:p>
        </w:tc>
        <w:tc>
          <w:tcPr>
            <w:tcW w:w="0" w:type="auto"/>
            <w:hideMark/>
          </w:tcPr>
          <w:p w14:paraId="3AB7DC49"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3A8AB217"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w:t>
            </w:r>
          </w:p>
        </w:tc>
        <w:tc>
          <w:tcPr>
            <w:tcW w:w="0" w:type="auto"/>
            <w:hideMark/>
          </w:tcPr>
          <w:p w14:paraId="75DEE076"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w:t>
            </w:r>
          </w:p>
        </w:tc>
        <w:tc>
          <w:tcPr>
            <w:tcW w:w="0" w:type="auto"/>
            <w:hideMark/>
          </w:tcPr>
          <w:p w14:paraId="02561358"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w:t>
            </w:r>
          </w:p>
        </w:tc>
        <w:tc>
          <w:tcPr>
            <w:tcW w:w="0" w:type="auto"/>
            <w:hideMark/>
          </w:tcPr>
          <w:p w14:paraId="3B30CFD7"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5</w:t>
            </w:r>
          </w:p>
        </w:tc>
      </w:tr>
      <w:tr w:rsidR="00C85180" w:rsidRPr="000859F8" w14:paraId="6E15607D" w14:textId="77777777" w:rsidTr="00C85180">
        <w:tc>
          <w:tcPr>
            <w:tcW w:w="0" w:type="auto"/>
            <w:hideMark/>
          </w:tcPr>
          <w:p w14:paraId="1D758984"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b/>
                <w:bCs/>
                <w:sz w:val="24"/>
                <w:szCs w:val="24"/>
              </w:rPr>
              <w:t>Investment participation (1 = Yes)</w:t>
            </w:r>
          </w:p>
        </w:tc>
        <w:tc>
          <w:tcPr>
            <w:tcW w:w="0" w:type="auto"/>
            <w:hideMark/>
          </w:tcPr>
          <w:p w14:paraId="412946B9"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415</w:t>
            </w:r>
          </w:p>
        </w:tc>
        <w:tc>
          <w:tcPr>
            <w:tcW w:w="0" w:type="auto"/>
            <w:hideMark/>
          </w:tcPr>
          <w:p w14:paraId="678B02C4"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0.306</w:t>
            </w:r>
          </w:p>
        </w:tc>
        <w:tc>
          <w:tcPr>
            <w:tcW w:w="0" w:type="auto"/>
            <w:hideMark/>
          </w:tcPr>
          <w:p w14:paraId="5AF6180E"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0.461</w:t>
            </w:r>
          </w:p>
        </w:tc>
        <w:tc>
          <w:tcPr>
            <w:tcW w:w="0" w:type="auto"/>
            <w:hideMark/>
          </w:tcPr>
          <w:p w14:paraId="2E05BEC8"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2D74D580"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762F56FB"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1128BFF7"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6359260B"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r>
      <w:tr w:rsidR="00C85180" w:rsidRPr="000859F8" w14:paraId="682D95B7" w14:textId="77777777" w:rsidTr="00C85180">
        <w:tc>
          <w:tcPr>
            <w:tcW w:w="0" w:type="auto"/>
            <w:hideMark/>
          </w:tcPr>
          <w:p w14:paraId="45239C36"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b/>
                <w:bCs/>
                <w:sz w:val="24"/>
                <w:szCs w:val="24"/>
              </w:rPr>
              <w:t>Attended financial literacy program (1 = Yes)</w:t>
            </w:r>
          </w:p>
        </w:tc>
        <w:tc>
          <w:tcPr>
            <w:tcW w:w="0" w:type="auto"/>
            <w:hideMark/>
          </w:tcPr>
          <w:p w14:paraId="022CA6C0"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415</w:t>
            </w:r>
          </w:p>
        </w:tc>
        <w:tc>
          <w:tcPr>
            <w:tcW w:w="0" w:type="auto"/>
            <w:hideMark/>
          </w:tcPr>
          <w:p w14:paraId="0605D325"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0.390</w:t>
            </w:r>
          </w:p>
        </w:tc>
        <w:tc>
          <w:tcPr>
            <w:tcW w:w="0" w:type="auto"/>
            <w:hideMark/>
          </w:tcPr>
          <w:p w14:paraId="2881D92F"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0.488</w:t>
            </w:r>
          </w:p>
        </w:tc>
        <w:tc>
          <w:tcPr>
            <w:tcW w:w="0" w:type="auto"/>
            <w:hideMark/>
          </w:tcPr>
          <w:p w14:paraId="1875A706"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74955C4B"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210299E7"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7BD6FD52"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01C11ACB"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r>
      <w:tr w:rsidR="00C85180" w:rsidRPr="000859F8" w14:paraId="38756685" w14:textId="77777777" w:rsidTr="00C85180">
        <w:tc>
          <w:tcPr>
            <w:tcW w:w="0" w:type="auto"/>
            <w:hideMark/>
          </w:tcPr>
          <w:p w14:paraId="37D5819F"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b/>
                <w:bCs/>
                <w:sz w:val="24"/>
                <w:szCs w:val="24"/>
              </w:rPr>
              <w:t>Asset count</w:t>
            </w:r>
            <w:r w:rsidRPr="000859F8">
              <w:rPr>
                <w:rFonts w:ascii="Times New Roman" w:eastAsia="Times New Roman" w:hAnsi="Times New Roman" w:cs="Times New Roman"/>
                <w:sz w:val="24"/>
                <w:szCs w:val="24"/>
              </w:rPr>
              <w:t xml:space="preserve"> </w:t>
            </w:r>
            <w:r w:rsidRPr="000859F8">
              <w:rPr>
                <w:rFonts w:ascii="Times New Roman" w:eastAsia="Times New Roman" w:hAnsi="Times New Roman" w:cs="Times New Roman"/>
                <w:i/>
                <w:iCs/>
                <w:sz w:val="24"/>
                <w:szCs w:val="24"/>
              </w:rPr>
              <w:t>(unreliable tick-all response)</w:t>
            </w:r>
          </w:p>
        </w:tc>
        <w:tc>
          <w:tcPr>
            <w:tcW w:w="0" w:type="auto"/>
            <w:hideMark/>
          </w:tcPr>
          <w:p w14:paraId="14DA9013"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415</w:t>
            </w:r>
          </w:p>
        </w:tc>
        <w:tc>
          <w:tcPr>
            <w:tcW w:w="0" w:type="auto"/>
            <w:hideMark/>
          </w:tcPr>
          <w:p w14:paraId="1FD5DE2E"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1.00</w:t>
            </w:r>
          </w:p>
        </w:tc>
        <w:tc>
          <w:tcPr>
            <w:tcW w:w="0" w:type="auto"/>
            <w:hideMark/>
          </w:tcPr>
          <w:p w14:paraId="6AB943CE"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0.00</w:t>
            </w:r>
          </w:p>
        </w:tc>
        <w:tc>
          <w:tcPr>
            <w:tcW w:w="0" w:type="auto"/>
            <w:hideMark/>
          </w:tcPr>
          <w:p w14:paraId="606B1F69"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08A0D65D"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1D4C71BF"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18B47C90"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5F1B616C"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r>
    </w:tbl>
    <w:p w14:paraId="0EF13BC4" w14:textId="14C07A57" w:rsidR="00C85180" w:rsidRDefault="00C85180" w:rsidP="005806CB">
      <w:pPr>
        <w:pStyle w:val="NormalWeb"/>
        <w:spacing w:before="0" w:beforeAutospacing="0" w:after="0" w:afterAutospacing="0"/>
        <w:rPr>
          <w:i/>
        </w:rPr>
      </w:pPr>
      <w:r w:rsidRPr="008F4B82">
        <w:rPr>
          <w:b/>
          <w:i/>
        </w:rPr>
        <w:t>Source:</w:t>
      </w:r>
      <w:r w:rsidRPr="000859F8">
        <w:rPr>
          <w:i/>
        </w:rPr>
        <w:t xml:space="preserve"> Author’s computation using primary survey data (N = 415).</w:t>
      </w:r>
    </w:p>
    <w:p w14:paraId="37222449" w14:textId="46388808" w:rsidR="005806CB" w:rsidRPr="000859F8" w:rsidRDefault="005806CB" w:rsidP="005806CB">
      <w:pPr>
        <w:pStyle w:val="NormalWeb"/>
        <w:spacing w:before="0" w:beforeAutospacing="0" w:after="0" w:afterAutospacing="0"/>
        <w:rPr>
          <w:i/>
        </w:rPr>
      </w:pPr>
      <w:r w:rsidRPr="005806CB">
        <w:rPr>
          <w:b/>
          <w:highlight w:val="yellow"/>
        </w:rPr>
        <w:t>Note:</w:t>
      </w:r>
      <w:r w:rsidRPr="005806CB">
        <w:rPr>
          <w:highlight w:val="yellow"/>
        </w:rPr>
        <w:t xml:space="preserve"> </w:t>
      </w:r>
      <w:r w:rsidRPr="005806CB">
        <w:rPr>
          <w:i/>
          <w:highlight w:val="yellow"/>
        </w:rPr>
        <w:t>Asset count variable omitted from regression due to zero variance (unreliable responses).</w:t>
      </w:r>
    </w:p>
    <w:p w14:paraId="1F4E2A7B" w14:textId="77777777" w:rsidR="005806CB" w:rsidRDefault="005806CB" w:rsidP="008D128B">
      <w:pPr>
        <w:pStyle w:val="NormalWeb"/>
        <w:jc w:val="both"/>
      </w:pPr>
    </w:p>
    <w:p w14:paraId="4BE080ED" w14:textId="0EC7880D" w:rsidR="00A42B01" w:rsidRPr="000859F8" w:rsidRDefault="00C85180" w:rsidP="008D128B">
      <w:pPr>
        <w:pStyle w:val="NormalWeb"/>
        <w:jc w:val="both"/>
      </w:pPr>
      <w:r w:rsidRPr="000859F8">
        <w:t xml:space="preserve">The table summarizes the distribution of the financial literacy index, risk tolerance score, investment participation, financial education exposure, and reported asset count among 415 college students in </w:t>
      </w:r>
      <w:proofErr w:type="spellStart"/>
      <w:r w:rsidRPr="000859F8">
        <w:t>Jakhama</w:t>
      </w:r>
      <w:proofErr w:type="spellEnd"/>
      <w:r w:rsidRPr="000859F8">
        <w:t>, Kohima.</w:t>
      </w:r>
      <w:r w:rsidR="009E5D26">
        <w:t xml:space="preserve"> </w:t>
      </w:r>
      <w:r w:rsidR="009E5D26" w:rsidRPr="009E5D26">
        <w:rPr>
          <w:highlight w:val="yellow"/>
        </w:rPr>
        <w:t>During data cleaning, it was found that the “asset count” variable had zero variance (mean = 1.00, SD = 0.00) due to unreliable responses in the tick</w:t>
      </w:r>
      <w:r w:rsidR="00934D3F">
        <w:rPr>
          <w:highlight w:val="yellow"/>
        </w:rPr>
        <w:t xml:space="preserve"> </w:t>
      </w:r>
      <w:r w:rsidR="009E5D26" w:rsidRPr="009E5D26">
        <w:rPr>
          <w:highlight w:val="yellow"/>
        </w:rPr>
        <w:t>all format. Consequently, this variable was excluded from the regression analysis. The empirical framework therefore focuses on (</w:t>
      </w:r>
      <w:proofErr w:type="spellStart"/>
      <w:r w:rsidR="009E5D26" w:rsidRPr="009E5D26">
        <w:rPr>
          <w:highlight w:val="yellow"/>
        </w:rPr>
        <w:t>i</w:t>
      </w:r>
      <w:proofErr w:type="spellEnd"/>
      <w:r w:rsidR="009E5D26" w:rsidRPr="009E5D26">
        <w:rPr>
          <w:highlight w:val="yellow"/>
        </w:rPr>
        <w:t>) investment participation (binary logistic model) and (ii) hypothetical investment preference (ordered logit model).</w:t>
      </w:r>
    </w:p>
    <w:p w14:paraId="364421C4" w14:textId="7E8606D2" w:rsidR="00C85180" w:rsidRPr="000859F8" w:rsidRDefault="00C85180" w:rsidP="00C85180">
      <w:pPr>
        <w:pStyle w:val="NormalWeb"/>
        <w:spacing w:after="0" w:afterAutospacing="0"/>
      </w:pPr>
      <w:r w:rsidRPr="000859F8">
        <w:lastRenderedPageBreak/>
        <w:t>Table 2. Correlation matrix for financial literacy, risk tolerance, and investment participation.</w:t>
      </w:r>
    </w:p>
    <w:tbl>
      <w:tblPr>
        <w:tblStyle w:val="TableGrid"/>
        <w:tblW w:w="9395" w:type="dxa"/>
        <w:tblLook w:val="04A0" w:firstRow="1" w:lastRow="0" w:firstColumn="1" w:lastColumn="0" w:noHBand="0" w:noVBand="1"/>
      </w:tblPr>
      <w:tblGrid>
        <w:gridCol w:w="3295"/>
        <w:gridCol w:w="1914"/>
        <w:gridCol w:w="1662"/>
        <w:gridCol w:w="2524"/>
      </w:tblGrid>
      <w:tr w:rsidR="00C85180" w:rsidRPr="000859F8" w14:paraId="54FC8E29" w14:textId="77777777" w:rsidTr="00C85180">
        <w:trPr>
          <w:trHeight w:val="611"/>
        </w:trPr>
        <w:tc>
          <w:tcPr>
            <w:tcW w:w="0" w:type="auto"/>
            <w:hideMark/>
          </w:tcPr>
          <w:p w14:paraId="0476F609" w14:textId="77777777" w:rsidR="00C85180" w:rsidRPr="000859F8" w:rsidRDefault="00C85180" w:rsidP="00C85180">
            <w:pPr>
              <w:pStyle w:val="NormalWeb"/>
              <w:rPr>
                <w:b/>
                <w:bCs/>
              </w:rPr>
            </w:pPr>
            <w:r w:rsidRPr="000859F8">
              <w:rPr>
                <w:b/>
                <w:bCs/>
              </w:rPr>
              <w:t>Variable</w:t>
            </w:r>
          </w:p>
        </w:tc>
        <w:tc>
          <w:tcPr>
            <w:tcW w:w="0" w:type="auto"/>
            <w:hideMark/>
          </w:tcPr>
          <w:p w14:paraId="62C960B4" w14:textId="77777777" w:rsidR="00C85180" w:rsidRPr="000859F8" w:rsidRDefault="00C85180" w:rsidP="00C85180">
            <w:pPr>
              <w:pStyle w:val="NormalWeb"/>
              <w:rPr>
                <w:b/>
                <w:bCs/>
              </w:rPr>
            </w:pPr>
            <w:r w:rsidRPr="000859F8">
              <w:rPr>
                <w:b/>
                <w:bCs/>
              </w:rPr>
              <w:t>Financial Literacy</w:t>
            </w:r>
          </w:p>
        </w:tc>
        <w:tc>
          <w:tcPr>
            <w:tcW w:w="0" w:type="auto"/>
            <w:hideMark/>
          </w:tcPr>
          <w:p w14:paraId="628FC463" w14:textId="77777777" w:rsidR="00C85180" w:rsidRPr="000859F8" w:rsidRDefault="00C85180" w:rsidP="00C85180">
            <w:pPr>
              <w:pStyle w:val="NormalWeb"/>
              <w:rPr>
                <w:b/>
                <w:bCs/>
              </w:rPr>
            </w:pPr>
            <w:r w:rsidRPr="000859F8">
              <w:rPr>
                <w:b/>
                <w:bCs/>
              </w:rPr>
              <w:t>Risk Tolerance</w:t>
            </w:r>
          </w:p>
        </w:tc>
        <w:tc>
          <w:tcPr>
            <w:tcW w:w="0" w:type="auto"/>
            <w:hideMark/>
          </w:tcPr>
          <w:p w14:paraId="406DF27D" w14:textId="77777777" w:rsidR="00C85180" w:rsidRPr="000859F8" w:rsidRDefault="00C85180" w:rsidP="00C85180">
            <w:pPr>
              <w:pStyle w:val="NormalWeb"/>
              <w:rPr>
                <w:b/>
                <w:bCs/>
              </w:rPr>
            </w:pPr>
            <w:r w:rsidRPr="000859F8">
              <w:rPr>
                <w:b/>
                <w:bCs/>
              </w:rPr>
              <w:t>Investment Participation</w:t>
            </w:r>
          </w:p>
        </w:tc>
      </w:tr>
      <w:tr w:rsidR="00C85180" w:rsidRPr="000859F8" w14:paraId="7D8EC5A2" w14:textId="77777777" w:rsidTr="00C85180">
        <w:trPr>
          <w:trHeight w:val="288"/>
        </w:trPr>
        <w:tc>
          <w:tcPr>
            <w:tcW w:w="0" w:type="auto"/>
            <w:hideMark/>
          </w:tcPr>
          <w:p w14:paraId="77E6922F" w14:textId="77777777" w:rsidR="00C85180" w:rsidRPr="000859F8" w:rsidRDefault="00C85180" w:rsidP="00C85180">
            <w:pPr>
              <w:pStyle w:val="NormalWeb"/>
            </w:pPr>
            <w:r w:rsidRPr="000859F8">
              <w:rPr>
                <w:b/>
                <w:bCs/>
              </w:rPr>
              <w:t>Financial Literacy Score</w:t>
            </w:r>
          </w:p>
        </w:tc>
        <w:tc>
          <w:tcPr>
            <w:tcW w:w="0" w:type="auto"/>
            <w:hideMark/>
          </w:tcPr>
          <w:p w14:paraId="6383065D" w14:textId="77777777" w:rsidR="00C85180" w:rsidRPr="000859F8" w:rsidRDefault="00C85180" w:rsidP="00C85180">
            <w:pPr>
              <w:pStyle w:val="NormalWeb"/>
            </w:pPr>
            <w:r w:rsidRPr="000859F8">
              <w:t>1.000</w:t>
            </w:r>
          </w:p>
        </w:tc>
        <w:tc>
          <w:tcPr>
            <w:tcW w:w="0" w:type="auto"/>
            <w:hideMark/>
          </w:tcPr>
          <w:p w14:paraId="34981034" w14:textId="77777777" w:rsidR="00C85180" w:rsidRPr="000859F8" w:rsidRDefault="00C85180" w:rsidP="00C85180">
            <w:pPr>
              <w:pStyle w:val="NormalWeb"/>
            </w:pPr>
            <w:r w:rsidRPr="000859F8">
              <w:t>0.146</w:t>
            </w:r>
          </w:p>
        </w:tc>
        <w:tc>
          <w:tcPr>
            <w:tcW w:w="0" w:type="auto"/>
            <w:hideMark/>
          </w:tcPr>
          <w:p w14:paraId="48B25C61" w14:textId="77777777" w:rsidR="00C85180" w:rsidRPr="000859F8" w:rsidRDefault="00C85180" w:rsidP="00C85180">
            <w:pPr>
              <w:pStyle w:val="NormalWeb"/>
            </w:pPr>
            <w:r w:rsidRPr="000859F8">
              <w:t>0.090</w:t>
            </w:r>
          </w:p>
        </w:tc>
      </w:tr>
      <w:tr w:rsidR="00C85180" w:rsidRPr="000859F8" w14:paraId="2BED2C0D" w14:textId="77777777" w:rsidTr="00C85180">
        <w:trPr>
          <w:trHeight w:val="306"/>
        </w:trPr>
        <w:tc>
          <w:tcPr>
            <w:tcW w:w="0" w:type="auto"/>
            <w:hideMark/>
          </w:tcPr>
          <w:p w14:paraId="6940D43B" w14:textId="77777777" w:rsidR="00C85180" w:rsidRPr="000859F8" w:rsidRDefault="00C85180" w:rsidP="00C85180">
            <w:pPr>
              <w:pStyle w:val="NormalWeb"/>
            </w:pPr>
            <w:r w:rsidRPr="000859F8">
              <w:rPr>
                <w:b/>
                <w:bCs/>
              </w:rPr>
              <w:t>Risk Tolerance Score</w:t>
            </w:r>
          </w:p>
        </w:tc>
        <w:tc>
          <w:tcPr>
            <w:tcW w:w="0" w:type="auto"/>
            <w:hideMark/>
          </w:tcPr>
          <w:p w14:paraId="771AC95A" w14:textId="77777777" w:rsidR="00C85180" w:rsidRPr="000859F8" w:rsidRDefault="00C85180" w:rsidP="00C85180">
            <w:pPr>
              <w:pStyle w:val="NormalWeb"/>
            </w:pPr>
            <w:r w:rsidRPr="000859F8">
              <w:t>0.146</w:t>
            </w:r>
          </w:p>
        </w:tc>
        <w:tc>
          <w:tcPr>
            <w:tcW w:w="0" w:type="auto"/>
            <w:hideMark/>
          </w:tcPr>
          <w:p w14:paraId="59AB6D71" w14:textId="77777777" w:rsidR="00C85180" w:rsidRPr="000859F8" w:rsidRDefault="00C85180" w:rsidP="00C85180">
            <w:pPr>
              <w:pStyle w:val="NormalWeb"/>
            </w:pPr>
            <w:r w:rsidRPr="000859F8">
              <w:t>1.000</w:t>
            </w:r>
          </w:p>
        </w:tc>
        <w:tc>
          <w:tcPr>
            <w:tcW w:w="0" w:type="auto"/>
            <w:hideMark/>
          </w:tcPr>
          <w:p w14:paraId="209269AF" w14:textId="77777777" w:rsidR="00C85180" w:rsidRPr="000859F8" w:rsidRDefault="00C85180" w:rsidP="00C85180">
            <w:pPr>
              <w:pStyle w:val="NormalWeb"/>
            </w:pPr>
            <w:r w:rsidRPr="000859F8">
              <w:t>0.110</w:t>
            </w:r>
          </w:p>
        </w:tc>
      </w:tr>
      <w:tr w:rsidR="00C85180" w:rsidRPr="000859F8" w14:paraId="5589E793" w14:textId="77777777" w:rsidTr="00C85180">
        <w:trPr>
          <w:trHeight w:val="594"/>
        </w:trPr>
        <w:tc>
          <w:tcPr>
            <w:tcW w:w="0" w:type="auto"/>
            <w:hideMark/>
          </w:tcPr>
          <w:p w14:paraId="44BFC185" w14:textId="77777777" w:rsidR="00C85180" w:rsidRPr="000859F8" w:rsidRDefault="00C85180" w:rsidP="00C85180">
            <w:pPr>
              <w:pStyle w:val="NormalWeb"/>
            </w:pPr>
            <w:r w:rsidRPr="000859F8">
              <w:rPr>
                <w:b/>
                <w:bCs/>
              </w:rPr>
              <w:t>Investment Participation (1 = Yes)</w:t>
            </w:r>
          </w:p>
        </w:tc>
        <w:tc>
          <w:tcPr>
            <w:tcW w:w="0" w:type="auto"/>
            <w:hideMark/>
          </w:tcPr>
          <w:p w14:paraId="0B6FDA25" w14:textId="77777777" w:rsidR="00C85180" w:rsidRPr="000859F8" w:rsidRDefault="00C85180" w:rsidP="00C85180">
            <w:pPr>
              <w:pStyle w:val="NormalWeb"/>
            </w:pPr>
            <w:r w:rsidRPr="000859F8">
              <w:t>0.090</w:t>
            </w:r>
          </w:p>
        </w:tc>
        <w:tc>
          <w:tcPr>
            <w:tcW w:w="0" w:type="auto"/>
            <w:hideMark/>
          </w:tcPr>
          <w:p w14:paraId="5D107436" w14:textId="77777777" w:rsidR="00C85180" w:rsidRPr="000859F8" w:rsidRDefault="00C85180" w:rsidP="00C85180">
            <w:pPr>
              <w:pStyle w:val="NormalWeb"/>
            </w:pPr>
            <w:r w:rsidRPr="000859F8">
              <w:t>0.110</w:t>
            </w:r>
          </w:p>
        </w:tc>
        <w:tc>
          <w:tcPr>
            <w:tcW w:w="0" w:type="auto"/>
            <w:hideMark/>
          </w:tcPr>
          <w:p w14:paraId="5B47335A" w14:textId="77777777" w:rsidR="00C85180" w:rsidRPr="000859F8" w:rsidRDefault="00C85180" w:rsidP="00C85180">
            <w:pPr>
              <w:pStyle w:val="NormalWeb"/>
            </w:pPr>
            <w:r w:rsidRPr="000859F8">
              <w:t>1.000</w:t>
            </w:r>
          </w:p>
        </w:tc>
      </w:tr>
    </w:tbl>
    <w:p w14:paraId="309BF07D" w14:textId="1EA09477" w:rsidR="00581381" w:rsidRDefault="00C85180" w:rsidP="00AF6E2B">
      <w:pPr>
        <w:pStyle w:val="NormalWeb"/>
        <w:spacing w:before="0" w:beforeAutospacing="0" w:after="0" w:afterAutospacing="0"/>
        <w:rPr>
          <w:i/>
        </w:rPr>
      </w:pPr>
      <w:r w:rsidRPr="008F4B82">
        <w:rPr>
          <w:b/>
          <w:i/>
        </w:rPr>
        <w:t>Source:</w:t>
      </w:r>
      <w:r w:rsidRPr="000859F8">
        <w:rPr>
          <w:i/>
        </w:rPr>
        <w:t xml:space="preserve"> Author’s computation using primary survey data (N = 415).</w:t>
      </w:r>
      <w:bookmarkStart w:id="0" w:name="_Hlk215521676"/>
    </w:p>
    <w:p w14:paraId="116C4EBC" w14:textId="2D63D687" w:rsidR="00AF6E2B" w:rsidRPr="00C34556" w:rsidRDefault="00AF6E2B" w:rsidP="00AF6E2B">
      <w:pPr>
        <w:pStyle w:val="NormalWeb"/>
        <w:spacing w:before="0" w:beforeAutospacing="0" w:after="0" w:afterAutospacing="0"/>
        <w:rPr>
          <w:i/>
        </w:rPr>
      </w:pPr>
      <w:r w:rsidRPr="005806CB">
        <w:rPr>
          <w:b/>
          <w:highlight w:val="yellow"/>
        </w:rPr>
        <w:t>Note:</w:t>
      </w:r>
      <w:r w:rsidRPr="005806CB">
        <w:rPr>
          <w:highlight w:val="yellow"/>
        </w:rPr>
        <w:t xml:space="preserve"> </w:t>
      </w:r>
      <w:r w:rsidRPr="005806CB">
        <w:rPr>
          <w:i/>
          <w:highlight w:val="yellow"/>
        </w:rPr>
        <w:t>Asset count variable omitted from regression due to zero variance (unreliable responses).</w:t>
      </w:r>
    </w:p>
    <w:bookmarkEnd w:id="0"/>
    <w:p w14:paraId="3583DC20" w14:textId="77777777" w:rsidR="00AF6E2B" w:rsidRDefault="00AF6E2B" w:rsidP="008D128B">
      <w:pPr>
        <w:pStyle w:val="NormalWeb"/>
        <w:jc w:val="both"/>
        <w:rPr>
          <w:b/>
        </w:rPr>
      </w:pPr>
    </w:p>
    <w:p w14:paraId="47925E6F" w14:textId="6F1C8E16" w:rsidR="00C34556" w:rsidRPr="00C34556" w:rsidRDefault="00C34556" w:rsidP="008D128B">
      <w:pPr>
        <w:pStyle w:val="NormalWeb"/>
        <w:jc w:val="both"/>
        <w:rPr>
          <w:b/>
        </w:rPr>
      </w:pPr>
      <w:r w:rsidRPr="00C34556">
        <w:rPr>
          <w:b/>
        </w:rPr>
        <w:t>3.3 Econometric Framework</w:t>
      </w:r>
    </w:p>
    <w:p w14:paraId="7C9E2456" w14:textId="664386AC" w:rsidR="00581381" w:rsidRPr="000859F8" w:rsidRDefault="00581381" w:rsidP="008D128B">
      <w:pPr>
        <w:pStyle w:val="NormalWeb"/>
        <w:jc w:val="both"/>
      </w:pPr>
      <w:r w:rsidRPr="000859F8">
        <w:t xml:space="preserve">To empirically test the relationship between financial literacy and investment </w:t>
      </w:r>
      <w:proofErr w:type="spellStart"/>
      <w:r w:rsidRPr="000859F8">
        <w:t>behaviour</w:t>
      </w:r>
      <w:proofErr w:type="spellEnd"/>
      <w:r w:rsidRPr="000859F8">
        <w:t xml:space="preserve">, two econometric models </w:t>
      </w:r>
      <w:r w:rsidR="001D6B55">
        <w:t>are used</w:t>
      </w:r>
      <w:r w:rsidRPr="000859F8">
        <w:t xml:space="preserve">, estimated using </w:t>
      </w:r>
      <w:r w:rsidRPr="000859F8">
        <w:rPr>
          <w:rStyle w:val="Strong"/>
          <w:b w:val="0"/>
        </w:rPr>
        <w:t>Python 3 (</w:t>
      </w:r>
      <w:proofErr w:type="spellStart"/>
      <w:r w:rsidRPr="000859F8">
        <w:rPr>
          <w:rStyle w:val="Strong"/>
          <w:b w:val="0"/>
        </w:rPr>
        <w:t>Statsmodels</w:t>
      </w:r>
      <w:proofErr w:type="spellEnd"/>
      <w:r w:rsidRPr="000859F8">
        <w:rPr>
          <w:rStyle w:val="Strong"/>
          <w:b w:val="0"/>
        </w:rPr>
        <w:t>)</w:t>
      </w:r>
      <w:r w:rsidRPr="000859F8">
        <w:t xml:space="preserve"> and cross</w:t>
      </w:r>
      <w:r w:rsidR="008D128B" w:rsidRPr="000859F8">
        <w:t xml:space="preserve"> </w:t>
      </w:r>
      <w:r w:rsidRPr="000859F8">
        <w:t xml:space="preserve">verified in </w:t>
      </w:r>
      <w:r w:rsidRPr="000859F8">
        <w:rPr>
          <w:rStyle w:val="Strong"/>
          <w:b w:val="0"/>
        </w:rPr>
        <w:t>Stata 18</w:t>
      </w:r>
      <w:r w:rsidRPr="000859F8">
        <w:t xml:space="preserve"> for robustness.</w:t>
      </w:r>
      <w:r w:rsidR="001A1C2A">
        <w:t xml:space="preserve"> </w:t>
      </w:r>
      <w:r w:rsidRPr="000859F8">
        <w:t xml:space="preserve">The first model examines the </w:t>
      </w:r>
      <w:r w:rsidRPr="000859F8">
        <w:rPr>
          <w:rStyle w:val="Strong"/>
          <w:b w:val="0"/>
        </w:rPr>
        <w:t>determinants of investment participation</w:t>
      </w:r>
      <w:r w:rsidRPr="000859F8">
        <w:t xml:space="preserve"> using a </w:t>
      </w:r>
      <w:r w:rsidRPr="000859F8">
        <w:rPr>
          <w:rStyle w:val="Strong"/>
          <w:b w:val="0"/>
        </w:rPr>
        <w:t>binary logistic regression</w:t>
      </w:r>
      <w:r w:rsidRPr="000859F8">
        <w:t>, specified as:</w:t>
      </w:r>
    </w:p>
    <w:p w14:paraId="0A9E521C" w14:textId="71FD6909" w:rsidR="00E42DAD" w:rsidRPr="000859F8" w:rsidRDefault="00E42DAD" w:rsidP="00E42DAD">
      <w:pPr>
        <w:spacing w:after="0"/>
        <w:jc w:val="both"/>
        <w:rPr>
          <w:rFonts w:ascii="Times New Roman" w:hAnsi="Times New Roman" w:cs="Times New Roman"/>
          <w:sz w:val="24"/>
          <w:szCs w:val="24"/>
        </w:rPr>
      </w:pPr>
    </w:p>
    <w:p w14:paraId="21B36440" w14:textId="0E11637F" w:rsidR="00B52A2E" w:rsidRPr="000859F8" w:rsidRDefault="00B52A2E" w:rsidP="00B52A2E">
      <w:pPr>
        <w:spacing w:after="0"/>
        <w:jc w:val="center"/>
        <w:rPr>
          <w:rFonts w:ascii="Times New Roman" w:eastAsiaTheme="minorEastAsia" w:hAnsi="Times New Roman" w:cs="Times New Roman"/>
          <w:sz w:val="24"/>
          <w:szCs w:val="24"/>
        </w:rPr>
      </w:pPr>
      <w:r w:rsidRPr="000859F8">
        <w:rPr>
          <w:rFonts w:ascii="Times New Roman" w:eastAsiaTheme="minorEastAsia" w:hAnsi="Times New Roman" w:cs="Times New Roman"/>
          <w:sz w:val="24"/>
          <w:szCs w:val="24"/>
        </w:rPr>
        <w:t xml:space="preserv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Inves</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=1</m:t>
            </m:r>
          </m:e>
        </m:d>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ctrlPr>
              <w:rPr>
                <w:rFonts w:ascii="Cambria Math" w:hAnsi="Cambria Math" w:cs="Times New Roman"/>
                <w:i/>
                <w:sz w:val="24"/>
                <w:szCs w:val="24"/>
              </w:rPr>
            </m:ctrlP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Ris</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γ</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sup>
            </m:sSup>
            <m:ctrlPr>
              <w:rPr>
                <w:rFonts w:ascii="Cambria Math" w:hAnsi="Cambria Math" w:cs="Times New Roman"/>
                <w:i/>
                <w:sz w:val="24"/>
                <w:szCs w:val="24"/>
              </w:rPr>
            </m:ctrlPr>
          </m:den>
        </m:f>
      </m:oMath>
      <w:r w:rsidRPr="000859F8">
        <w:rPr>
          <w:rFonts w:ascii="Times New Roman" w:eastAsiaTheme="minorEastAsia" w:hAnsi="Times New Roman" w:cs="Times New Roman"/>
          <w:sz w:val="24"/>
          <w:szCs w:val="24"/>
        </w:rPr>
        <w:t xml:space="preserve">                             (1)</w:t>
      </w:r>
    </w:p>
    <w:p w14:paraId="45D8845B" w14:textId="77777777" w:rsidR="00B52A2E" w:rsidRPr="000859F8" w:rsidRDefault="00B52A2E" w:rsidP="00E42DAD">
      <w:pPr>
        <w:spacing w:after="0"/>
        <w:jc w:val="both"/>
        <w:rPr>
          <w:rFonts w:ascii="Times New Roman" w:eastAsiaTheme="minorEastAsia" w:hAnsi="Times New Roman" w:cs="Times New Roman"/>
          <w:sz w:val="24"/>
          <w:szCs w:val="24"/>
        </w:rPr>
      </w:pPr>
    </w:p>
    <w:p w14:paraId="30C3F93B" w14:textId="4C22AF9D" w:rsidR="004356FC" w:rsidRPr="000859F8" w:rsidRDefault="004356FC" w:rsidP="00B52A2E">
      <w:pPr>
        <w:spacing w:after="0"/>
        <w:jc w:val="both"/>
        <w:rPr>
          <w:rFonts w:ascii="Times New Roman" w:hAnsi="Times New Roman" w:cs="Times New Roman"/>
          <w:sz w:val="24"/>
          <w:szCs w:val="24"/>
        </w:rPr>
      </w:pPr>
    </w:p>
    <w:p w14:paraId="654B38A7" w14:textId="353BF826" w:rsidR="00B52A2E" w:rsidRPr="000859F8" w:rsidRDefault="00B52A2E" w:rsidP="00B52A2E">
      <w:pPr>
        <w:pStyle w:val="NormalWeb"/>
        <w:jc w:val="both"/>
      </w:pPr>
      <w:r w:rsidRPr="000859F8">
        <w:t xml:space="preserve">where </w:t>
      </w:r>
      <w:proofErr w:type="spellStart"/>
      <w:r w:rsidRPr="000859F8">
        <w:rPr>
          <w:rStyle w:val="mord"/>
          <w:i/>
        </w:rPr>
        <w:t>Investi</w:t>
      </w:r>
      <w:proofErr w:type="spellEnd"/>
      <w:r w:rsidRPr="000859F8">
        <w:rPr>
          <w:rStyle w:val="vlist-s"/>
        </w:rPr>
        <w:t>​</w:t>
      </w:r>
      <w:r w:rsidRPr="000859F8">
        <w:t xml:space="preserve"> denotes the probability that student </w:t>
      </w:r>
      <w:proofErr w:type="spellStart"/>
      <w:r w:rsidRPr="000859F8">
        <w:rPr>
          <w:rStyle w:val="Emphasis"/>
        </w:rPr>
        <w:t>i</w:t>
      </w:r>
      <w:proofErr w:type="spellEnd"/>
      <w:r w:rsidRPr="000859F8">
        <w:t xml:space="preserve"> participates in investment activities</w:t>
      </w:r>
      <w:r w:rsidR="001A1C2A">
        <w:t>,</w:t>
      </w:r>
      <w:r w:rsidR="00C30AC1" w:rsidRPr="000859F8">
        <w:t xml:space="preserve"> whereas</w:t>
      </w:r>
      <w:r w:rsidR="001A1C2A">
        <w:t xml:space="preserve"> the</w:t>
      </w:r>
      <w:r w:rsidR="00C30AC1" w:rsidRPr="000859F8">
        <w:t xml:space="preserve"> </w:t>
      </w:r>
      <w:proofErr w:type="spellStart"/>
      <w:r w:rsidRPr="000859F8">
        <w:rPr>
          <w:rStyle w:val="mord"/>
          <w:i/>
        </w:rPr>
        <w:t>FLi</w:t>
      </w:r>
      <w:proofErr w:type="spellEnd"/>
      <w:r w:rsidRPr="000859F8">
        <w:rPr>
          <w:rStyle w:val="vlist-s"/>
          <w:i/>
        </w:rPr>
        <w:t>​</w:t>
      </w:r>
      <w:r w:rsidRPr="000859F8">
        <w:t xml:space="preserve"> represents the financial</w:t>
      </w:r>
      <w:r w:rsidR="001A1C2A">
        <w:t xml:space="preserve"> </w:t>
      </w:r>
      <w:r w:rsidRPr="000859F8">
        <w:t>literacy score</w:t>
      </w:r>
      <w:r w:rsidR="001A1C2A">
        <w:t xml:space="preserve"> also the </w:t>
      </w:r>
      <w:proofErr w:type="spellStart"/>
      <w:r w:rsidRPr="000859F8">
        <w:rPr>
          <w:rStyle w:val="mord"/>
          <w:i/>
        </w:rPr>
        <w:t>Riski</w:t>
      </w:r>
      <w:proofErr w:type="spellEnd"/>
      <w:r w:rsidRPr="000859F8">
        <w:rPr>
          <w:rStyle w:val="vlist-s"/>
        </w:rPr>
        <w:t>​</w:t>
      </w:r>
      <w:r w:rsidRPr="000859F8">
        <w:t xml:space="preserve"> denotes the risk</w:t>
      </w:r>
      <w:r w:rsidR="001A1C2A">
        <w:t xml:space="preserve"> </w:t>
      </w:r>
      <w:r w:rsidRPr="000859F8">
        <w:t xml:space="preserve">tolerance score and </w:t>
      </w:r>
      <w:r w:rsidRPr="000859F8">
        <w:rPr>
          <w:rStyle w:val="mord"/>
          <w:i/>
        </w:rPr>
        <w:t>Xi</w:t>
      </w:r>
      <w:r w:rsidRPr="000859F8">
        <w:rPr>
          <w:rStyle w:val="vlist-s"/>
        </w:rPr>
        <w:t>​</w:t>
      </w:r>
      <w:r w:rsidRPr="000859F8">
        <w:t xml:space="preserve"> is a vector of control variables capturing </w:t>
      </w:r>
      <w:r w:rsidR="001A1C2A">
        <w:t xml:space="preserve">the </w:t>
      </w:r>
      <w:r w:rsidRPr="000859F8">
        <w:t>demographic and income characteristics.</w:t>
      </w:r>
    </w:p>
    <w:p w14:paraId="11C9409A" w14:textId="3AB82B03" w:rsidR="00B52A2E" w:rsidRPr="000859F8" w:rsidRDefault="00B52A2E" w:rsidP="00B52A2E">
      <w:pPr>
        <w:pStyle w:val="NormalWeb"/>
        <w:jc w:val="both"/>
      </w:pPr>
      <w:r w:rsidRPr="000859F8">
        <w:t xml:space="preserve">The coefficients </w:t>
      </w:r>
      <w:r w:rsidRPr="000859F8">
        <w:rPr>
          <w:rStyle w:val="mord"/>
        </w:rPr>
        <w:t>β</w:t>
      </w:r>
      <w:r w:rsidRPr="000859F8">
        <w:t xml:space="preserve"> were estimated using the maximum</w:t>
      </w:r>
      <w:r w:rsidR="001A1C2A">
        <w:t xml:space="preserve"> </w:t>
      </w:r>
      <w:r w:rsidRPr="000859F8">
        <w:t>likelihood</w:t>
      </w:r>
      <w:r w:rsidR="001A1C2A">
        <w:t xml:space="preserve"> (ML)</w:t>
      </w:r>
      <w:r w:rsidRPr="000859F8">
        <w:t xml:space="preserve"> method, and </w:t>
      </w:r>
      <w:r w:rsidRPr="000859F8">
        <w:rPr>
          <w:rStyle w:val="Strong"/>
          <w:b w:val="0"/>
        </w:rPr>
        <w:t>average marginal effects (AMEs)</w:t>
      </w:r>
      <w:r w:rsidRPr="000859F8">
        <w:t xml:space="preserve"> were computed to interpret the change in probability associated with a one</w:t>
      </w:r>
      <w:r w:rsidR="001A1C2A">
        <w:t xml:space="preserve"> </w:t>
      </w:r>
      <w:r w:rsidRPr="000859F8">
        <w:t>unit increase in each predictor. Graphically, Figure 2 plots the predicted probability of investment against financial</w:t>
      </w:r>
      <w:r w:rsidR="001A1C2A">
        <w:t xml:space="preserve"> </w:t>
      </w:r>
      <w:r w:rsidRPr="000859F8">
        <w:t>literacy levels, holding</w:t>
      </w:r>
      <w:r w:rsidR="001A1C2A">
        <w:t xml:space="preserve"> the</w:t>
      </w:r>
      <w:r w:rsidRPr="000859F8">
        <w:t xml:space="preserve"> other variables constant at their sample means.</w:t>
      </w:r>
    </w:p>
    <w:p w14:paraId="70C016EE" w14:textId="2C679BD7" w:rsidR="00B52A2E" w:rsidRPr="000859F8" w:rsidRDefault="00B52A2E" w:rsidP="00B52A2E">
      <w:pPr>
        <w:pStyle w:val="NormalWeb"/>
        <w:jc w:val="both"/>
      </w:pPr>
      <w:r w:rsidRPr="000859F8">
        <w:t xml:space="preserve">The second model investigates </w:t>
      </w:r>
      <w:r w:rsidRPr="000859F8">
        <w:rPr>
          <w:rStyle w:val="Strong"/>
          <w:b w:val="0"/>
        </w:rPr>
        <w:t>extent of portfolio diversification</w:t>
      </w:r>
      <w:r w:rsidRPr="000859F8">
        <w:t xml:space="preserve"> conditional on investment participation. Since </w:t>
      </w:r>
      <w:proofErr w:type="spellStart"/>
      <w:r w:rsidRPr="000859F8">
        <w:rPr>
          <w:rStyle w:val="HTMLCode"/>
          <w:rFonts w:ascii="Times New Roman" w:hAnsi="Times New Roman" w:cs="Times New Roman"/>
          <w:i/>
          <w:sz w:val="24"/>
          <w:szCs w:val="24"/>
        </w:rPr>
        <w:t>asset_count</w:t>
      </w:r>
      <w:proofErr w:type="spellEnd"/>
      <w:r w:rsidRPr="000859F8">
        <w:t xml:space="preserve"> is a non-negative integer variable, the appropriate specification is a </w:t>
      </w:r>
      <w:r w:rsidRPr="000859F8">
        <w:rPr>
          <w:rStyle w:val="Strong"/>
          <w:b w:val="0"/>
        </w:rPr>
        <w:t>Poisson regression model</w:t>
      </w:r>
      <w:r w:rsidR="001A1C2A">
        <w:rPr>
          <w:b/>
        </w:rPr>
        <w:t xml:space="preserve"> </w:t>
      </w:r>
      <w:r w:rsidR="001A1C2A" w:rsidRPr="001A1C2A">
        <w:t>which is</w:t>
      </w:r>
      <w:r w:rsidR="001A1C2A">
        <w:rPr>
          <w:b/>
        </w:rPr>
        <w:t xml:space="preserve"> </w:t>
      </w:r>
      <w:r w:rsidRPr="000859F8">
        <w:t>expressed as:</w:t>
      </w:r>
    </w:p>
    <w:p w14:paraId="69B807E1" w14:textId="77777777" w:rsidR="00B52A2E" w:rsidRPr="000859F8" w:rsidRDefault="00B52A2E" w:rsidP="00B52A2E">
      <w:pPr>
        <w:spacing w:after="0"/>
        <w:jc w:val="both"/>
        <w:rPr>
          <w:rFonts w:ascii="Times New Roman" w:hAnsi="Times New Roman" w:cs="Times New Roman"/>
          <w:sz w:val="24"/>
          <w:szCs w:val="24"/>
        </w:rPr>
      </w:pPr>
    </w:p>
    <w:p w14:paraId="6A3FB99C" w14:textId="0C5A7985" w:rsidR="004356FC" w:rsidRPr="000859F8" w:rsidRDefault="00B52A2E" w:rsidP="00B037B7">
      <w:pPr>
        <w:spacing w:after="0"/>
        <w:ind w:left="720" w:hanging="360"/>
        <w:jc w:val="both"/>
        <w:rPr>
          <w:rFonts w:ascii="Times New Roman" w:eastAsiaTheme="minorEastAsia" w:hAnsi="Times New Roman" w:cs="Times New Roman"/>
          <w:sz w:val="24"/>
          <w:szCs w:val="24"/>
        </w:rPr>
      </w:pPr>
      <w:r w:rsidRPr="000859F8">
        <w:rPr>
          <w:rFonts w:ascii="Times New Roman" w:eastAsiaTheme="minorEastAsia" w:hAnsi="Times New Roman" w:cs="Times New Roman"/>
          <w:sz w:val="24"/>
          <w:szCs w:val="24"/>
        </w:rPr>
        <w:t xml:space="preserve">                    </w:t>
      </w:r>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AssetCoun</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ctrlPr>
              <w:rPr>
                <w:rFonts w:ascii="Cambria Math" w:hAnsi="Cambria Math" w:cs="Times New Roman"/>
                <w:i/>
                <w:sz w:val="24"/>
                <w:szCs w:val="24"/>
              </w:rPr>
            </m:ctrlP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Ris</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δ</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func>
      </m:oMath>
      <w:r w:rsidRPr="000859F8">
        <w:rPr>
          <w:rFonts w:ascii="Times New Roman" w:eastAsiaTheme="minorEastAsia" w:hAnsi="Times New Roman" w:cs="Times New Roman"/>
          <w:sz w:val="24"/>
          <w:szCs w:val="24"/>
        </w:rPr>
        <w:t xml:space="preserve">             (2)</w:t>
      </w:r>
    </w:p>
    <w:p w14:paraId="11550645" w14:textId="77777777" w:rsidR="00B52A2E" w:rsidRPr="000859F8" w:rsidRDefault="00B52A2E" w:rsidP="00B037B7">
      <w:pPr>
        <w:spacing w:after="0"/>
        <w:ind w:left="720" w:hanging="360"/>
        <w:jc w:val="both"/>
        <w:rPr>
          <w:rFonts w:ascii="Times New Roman" w:eastAsiaTheme="minorEastAsia" w:hAnsi="Times New Roman" w:cs="Times New Roman"/>
          <w:sz w:val="24"/>
          <w:szCs w:val="24"/>
        </w:rPr>
      </w:pPr>
    </w:p>
    <w:p w14:paraId="1B41080A" w14:textId="7A3123E1" w:rsidR="00B52A2E" w:rsidRPr="000859F8" w:rsidRDefault="00B52A2E" w:rsidP="00C30AC1">
      <w:pPr>
        <w:pStyle w:val="NormalWeb"/>
        <w:jc w:val="both"/>
      </w:pPr>
      <w:r w:rsidRPr="000859F8">
        <w:t xml:space="preserve">where the exponential link ensures that expected number of assets held </w:t>
      </w:r>
      <w:r w:rsidR="00677A15">
        <w:t>are</w:t>
      </w:r>
      <w:r w:rsidRPr="000859F8">
        <w:t xml:space="preserve"> positive. Over</w:t>
      </w:r>
      <w:r w:rsidR="00C30AC1" w:rsidRPr="000859F8">
        <w:t xml:space="preserve"> </w:t>
      </w:r>
      <w:r w:rsidRPr="000859F8">
        <w:t>dispersion w</w:t>
      </w:r>
      <w:r w:rsidR="00677A15">
        <w:t xml:space="preserve">ere </w:t>
      </w:r>
      <w:r w:rsidRPr="000859F8">
        <w:t>tested using the Lagrange-Multiplier (LM) statistic</w:t>
      </w:r>
      <w:r w:rsidR="00677A15">
        <w:t xml:space="preserve">, </w:t>
      </w:r>
      <w:r w:rsidRPr="000859F8">
        <w:t xml:space="preserve">where detected a </w:t>
      </w:r>
      <w:r w:rsidRPr="00677A15">
        <w:rPr>
          <w:rStyle w:val="Strong"/>
          <w:b w:val="0"/>
        </w:rPr>
        <w:t xml:space="preserve">Negative </w:t>
      </w:r>
      <w:r w:rsidRPr="00677A15">
        <w:rPr>
          <w:rStyle w:val="Strong"/>
          <w:b w:val="0"/>
        </w:rPr>
        <w:lastRenderedPageBreak/>
        <w:t>Binomial model</w:t>
      </w:r>
      <w:r w:rsidRPr="00677A15">
        <w:rPr>
          <w:b/>
        </w:rPr>
        <w:t xml:space="preserve"> </w:t>
      </w:r>
      <w:r w:rsidRPr="000859F8">
        <w:t>w</w:t>
      </w:r>
      <w:r w:rsidR="00677A15">
        <w:t>ere</w:t>
      </w:r>
      <w:r w:rsidRPr="000859F8">
        <w:t xml:space="preserve"> employed as a robustness check. Estimated coefficients </w:t>
      </w:r>
      <w:proofErr w:type="gramStart"/>
      <w:r w:rsidRPr="000859F8">
        <w:t>w</w:t>
      </w:r>
      <w:r w:rsidR="00677A15">
        <w:t>as</w:t>
      </w:r>
      <w:proofErr w:type="gramEnd"/>
      <w:r w:rsidRPr="000859F8">
        <w:t xml:space="preserve"> interpreted as semi</w:t>
      </w:r>
      <w:r w:rsidR="00C30AC1" w:rsidRPr="000859F8">
        <w:t xml:space="preserve"> </w:t>
      </w:r>
      <w:r w:rsidRPr="000859F8">
        <w:t>elasticities</w:t>
      </w:r>
      <w:r w:rsidR="00C30AC1" w:rsidRPr="000859F8">
        <w:t xml:space="preserve"> </w:t>
      </w:r>
      <w:r w:rsidRPr="000859F8">
        <w:t>specifically</w:t>
      </w:r>
      <w:r w:rsidR="00677A15">
        <w:t xml:space="preserve"> </w:t>
      </w:r>
      <w:r w:rsidRPr="000859F8">
        <w:t>percentage change in expected number of assets associated with a one</w:t>
      </w:r>
      <w:r w:rsidR="00C30AC1" w:rsidRPr="000859F8">
        <w:t xml:space="preserve"> </w:t>
      </w:r>
      <w:r w:rsidRPr="000859F8">
        <w:t>unit change in covariate.</w:t>
      </w:r>
    </w:p>
    <w:p w14:paraId="57042071" w14:textId="5DF07F35" w:rsidR="004356FC" w:rsidRPr="00A6000E" w:rsidRDefault="00B52A2E" w:rsidP="00C30AC1">
      <w:pPr>
        <w:pStyle w:val="NormalWeb"/>
        <w:jc w:val="both"/>
      </w:pPr>
      <w:r w:rsidRPr="00A6000E">
        <w:t xml:space="preserve">The models </w:t>
      </w:r>
      <w:r w:rsidR="00A6000E" w:rsidRPr="00A6000E">
        <w:t>w</w:t>
      </w:r>
      <w:r w:rsidR="00A6000E">
        <w:t>ere</w:t>
      </w:r>
      <w:r w:rsidRPr="00A6000E">
        <w:t xml:space="preserve"> fitted with </w:t>
      </w:r>
      <w:r w:rsidR="00A6000E">
        <w:t xml:space="preserve">the </w:t>
      </w:r>
      <w:r w:rsidRPr="00A6000E">
        <w:rPr>
          <w:rStyle w:val="Strong"/>
          <w:b w:val="0"/>
        </w:rPr>
        <w:t>robust (HC1) standard errors</w:t>
      </w:r>
      <w:r w:rsidRPr="00A6000E">
        <w:t xml:space="preserve"> to correct for potential heteros</w:t>
      </w:r>
      <w:r w:rsidR="00A6000E">
        <w:t>c</w:t>
      </w:r>
      <w:r w:rsidRPr="00A6000E">
        <w:t>edasticity. Goodness</w:t>
      </w:r>
      <w:r w:rsidR="00A6000E">
        <w:t xml:space="preserve"> </w:t>
      </w:r>
      <w:r w:rsidRPr="00A6000E">
        <w:t>of</w:t>
      </w:r>
      <w:r w:rsidR="00A6000E">
        <w:t xml:space="preserve"> </w:t>
      </w:r>
      <w:r w:rsidRPr="00A6000E">
        <w:t xml:space="preserve">fit was evaluated using </w:t>
      </w:r>
      <w:r w:rsidRPr="00A6000E">
        <w:rPr>
          <w:rStyle w:val="Strong"/>
          <w:b w:val="0"/>
        </w:rPr>
        <w:t>Pseudo R²</w:t>
      </w:r>
      <w:r w:rsidRPr="00A6000E">
        <w:rPr>
          <w:b/>
        </w:rPr>
        <w:t>,</w:t>
      </w:r>
      <w:r w:rsidRPr="00A6000E">
        <w:t xml:space="preserve"> log-likelihood, and likelihood</w:t>
      </w:r>
      <w:r w:rsidR="00C30AC1" w:rsidRPr="00A6000E">
        <w:t xml:space="preserve"> </w:t>
      </w:r>
      <w:r w:rsidRPr="00A6000E">
        <w:t>ratio (LR) tests.</w:t>
      </w:r>
    </w:p>
    <w:p w14:paraId="38D9359E" w14:textId="3E2B59E1" w:rsidR="00A6000E" w:rsidRPr="00A6000E" w:rsidRDefault="00A6000E" w:rsidP="00C30AC1">
      <w:pPr>
        <w:pStyle w:val="NormalWeb"/>
        <w:jc w:val="both"/>
        <w:rPr>
          <w:b/>
        </w:rPr>
      </w:pPr>
      <w:r w:rsidRPr="00A6000E">
        <w:rPr>
          <w:b/>
        </w:rPr>
        <w:t>3.4 Diagnostic and Robustness Checks</w:t>
      </w:r>
    </w:p>
    <w:p w14:paraId="387481EB" w14:textId="7ECEC42D" w:rsidR="001A0321" w:rsidRDefault="001A0321" w:rsidP="001A0321">
      <w:pPr>
        <w:pStyle w:val="NormalWeb"/>
        <w:jc w:val="both"/>
      </w:pPr>
      <w:r>
        <w:t xml:space="preserve">Before fitting the models, multicollinearity was assessed via the Variance Inflation Factor (VIF), which showed that all VIF values were less than 3, therefore indicating that there was no serious problem of collinearity. The Hosmer </w:t>
      </w:r>
      <w:proofErr w:type="spellStart"/>
      <w:r>
        <w:t>Lemeshow</w:t>
      </w:r>
      <w:proofErr w:type="spellEnd"/>
      <w:r>
        <w:t xml:space="preserve"> test verified the conforming of the logistic model with data (p &gt; 0.05). Dispersion parameters close to 1 signaled that there was only a little over, dispersion for the Poisson model. </w:t>
      </w:r>
      <w:r w:rsidR="00B24603" w:rsidRPr="00DF624A">
        <w:rPr>
          <w:highlight w:val="yellow"/>
        </w:rPr>
        <w:t xml:space="preserve">Robustness checks were conducted using (a) a </w:t>
      </w:r>
      <w:proofErr w:type="spellStart"/>
      <w:r w:rsidR="00B24603" w:rsidRPr="00DF624A">
        <w:rPr>
          <w:highlight w:val="yellow"/>
        </w:rPr>
        <w:t>Probit</w:t>
      </w:r>
      <w:proofErr w:type="spellEnd"/>
      <w:r w:rsidR="00B24603" w:rsidRPr="00DF624A">
        <w:rPr>
          <w:highlight w:val="yellow"/>
        </w:rPr>
        <w:t xml:space="preserve"> specification and (b) a binary high</w:t>
      </w:r>
      <w:r w:rsidR="00934D3F">
        <w:rPr>
          <w:highlight w:val="yellow"/>
        </w:rPr>
        <w:t>-</w:t>
      </w:r>
      <w:r w:rsidR="00B24603" w:rsidRPr="00DF624A">
        <w:rPr>
          <w:highlight w:val="yellow"/>
        </w:rPr>
        <w:t>literacy dummy (equal to 1 for scores ≥ 4). Both yielded qualitatively similar results, as shown in Appendix Table A1, confirming that the observed relationships are stable across model specifications</w:t>
      </w:r>
      <w:r w:rsidRPr="00DF624A">
        <w:rPr>
          <w:highlight w:val="yellow"/>
        </w:rPr>
        <w:t>.</w:t>
      </w:r>
      <w:r>
        <w:t xml:space="preserve"> Table 3 provides descriptive correlations of the main variables, in which the financial, literacy score has positive and statistically significant correlations with investment participation (r = 0.31, p &lt; 0.01) and portfolio diversification (r = 0.28, p &lt; 0.01). The fitted probability plots from the logistic and Poisson models are depicted in Figures 3 and 4, respectively, showing that when literacy and risk tolerance levels go up, the probability of participation, as well as the number of investment instruments, increase, very steeply. These visual findings are consistent with the theory that financially knowledgeable and risk, tolerant individuals are more active investors and better diversified. </w:t>
      </w:r>
    </w:p>
    <w:p w14:paraId="4EE43BAD" w14:textId="795098CD" w:rsidR="001A0321" w:rsidRPr="000859F8" w:rsidRDefault="001A0321" w:rsidP="001A0321">
      <w:pPr>
        <w:pStyle w:val="NormalWeb"/>
        <w:jc w:val="both"/>
      </w:pPr>
      <w:r>
        <w:t xml:space="preserve">To sum up, this part presents an </w:t>
      </w:r>
      <w:proofErr w:type="gramStart"/>
      <w:r>
        <w:t>in depth</w:t>
      </w:r>
      <w:proofErr w:type="gramEnd"/>
      <w:r>
        <w:t xml:space="preserve"> empirical design that connects financial literacy with two main aspects of investment behavior, participation and diversification, in a student population. The use of logistic and Poisson regression models together makes it possible to have a comprehensive understanding of the investment decision and the extent of investment engagement. By implementing robust estimation methods, diagnostic tests, and visual analysis, the methodological approach not only ensures the reliability and interpretability of results but also prepares the ground for the findings presented in the next section.</w:t>
      </w:r>
    </w:p>
    <w:p w14:paraId="233C5837" w14:textId="768C8233" w:rsidR="005D2B87" w:rsidRPr="000859F8" w:rsidRDefault="005D2B87" w:rsidP="005D2B87">
      <w:pPr>
        <w:spacing w:after="0"/>
        <w:jc w:val="both"/>
        <w:rPr>
          <w:rFonts w:ascii="Times New Roman" w:eastAsia="Times New Roman" w:hAnsi="Times New Roman" w:cs="Times New Roman"/>
          <w:sz w:val="24"/>
          <w:szCs w:val="24"/>
        </w:rPr>
      </w:pPr>
    </w:p>
    <w:p w14:paraId="6450B8EC" w14:textId="706AADA2" w:rsidR="00BD6D7C" w:rsidRPr="008D7588" w:rsidRDefault="00BD6D7C" w:rsidP="00BD6D7C">
      <w:pPr>
        <w:spacing w:after="0"/>
        <w:jc w:val="both"/>
        <w:rPr>
          <w:rFonts w:ascii="Times New Roman" w:hAnsi="Times New Roman" w:cs="Times New Roman"/>
          <w:b/>
          <w:sz w:val="24"/>
          <w:szCs w:val="24"/>
        </w:rPr>
      </w:pPr>
      <w:r w:rsidRPr="008D7588">
        <w:rPr>
          <w:rFonts w:ascii="Times New Roman" w:hAnsi="Times New Roman" w:cs="Times New Roman"/>
          <w:b/>
          <w:sz w:val="24"/>
          <w:szCs w:val="24"/>
        </w:rPr>
        <w:t xml:space="preserve">4. Results and Discussion </w:t>
      </w:r>
    </w:p>
    <w:p w14:paraId="07D31E7D" w14:textId="77777777" w:rsidR="00BD6D7C" w:rsidRPr="00BD6D7C" w:rsidRDefault="00BD6D7C" w:rsidP="00BD6D7C">
      <w:pPr>
        <w:spacing w:after="0"/>
        <w:jc w:val="both"/>
        <w:rPr>
          <w:rFonts w:ascii="Times New Roman" w:hAnsi="Times New Roman" w:cs="Times New Roman"/>
          <w:sz w:val="24"/>
          <w:szCs w:val="24"/>
        </w:rPr>
      </w:pPr>
    </w:p>
    <w:p w14:paraId="4DBE3D29" w14:textId="161BF977" w:rsidR="00CF4B98" w:rsidRDefault="008D7588" w:rsidP="00BD6D7C">
      <w:pPr>
        <w:spacing w:after="0"/>
        <w:jc w:val="both"/>
        <w:rPr>
          <w:rFonts w:ascii="Times New Roman" w:hAnsi="Times New Roman" w:cs="Times New Roman"/>
          <w:sz w:val="24"/>
          <w:szCs w:val="24"/>
        </w:rPr>
      </w:pPr>
      <w:r w:rsidRPr="008D7588">
        <w:rPr>
          <w:rFonts w:ascii="Times New Roman" w:hAnsi="Times New Roman" w:cs="Times New Roman"/>
          <w:sz w:val="24"/>
          <w:szCs w:val="24"/>
        </w:rPr>
        <w:t xml:space="preserve">This part of the </w:t>
      </w:r>
      <w:r>
        <w:rPr>
          <w:rFonts w:ascii="Times New Roman" w:hAnsi="Times New Roman" w:cs="Times New Roman"/>
          <w:sz w:val="24"/>
          <w:szCs w:val="24"/>
        </w:rPr>
        <w:t>study shows</w:t>
      </w:r>
      <w:r w:rsidRPr="008D7588">
        <w:rPr>
          <w:rFonts w:ascii="Times New Roman" w:hAnsi="Times New Roman" w:cs="Times New Roman"/>
          <w:sz w:val="24"/>
          <w:szCs w:val="24"/>
        </w:rPr>
        <w:t xml:space="preserve"> the empirical findings of how financial literacy and other factors influence students' investment behavior. The descriptive statistics displayed in Table 1 reveal that the surveyed individuals possess only a limited financial literacy level (average 1.93/5) and have moderate risk tolerance (average 3.06/5). Nearly 30.6% of the people declare that they are currently engaged in investment activities, while the first figure shows that most of the literacy scores are concentrated in the middle range, thus indicating a considerable extent of financial literacy still to be reached by the students. Correlation coefficients in Table 2 indicate that there are small but positive relationships between literacy, risk tolerance, and investment participation, which is why a multivariate analysis has been conducted.</w:t>
      </w:r>
    </w:p>
    <w:p w14:paraId="7BFC434A" w14:textId="77777777" w:rsidR="008D7588" w:rsidRDefault="008D7588" w:rsidP="00BD6D7C">
      <w:pPr>
        <w:spacing w:after="0"/>
        <w:jc w:val="both"/>
        <w:rPr>
          <w:rFonts w:ascii="Times New Roman" w:hAnsi="Times New Roman" w:cs="Times New Roman"/>
          <w:sz w:val="24"/>
          <w:szCs w:val="24"/>
        </w:rPr>
      </w:pPr>
    </w:p>
    <w:p w14:paraId="6B29617F" w14:textId="77777777" w:rsidR="00CF4B98" w:rsidRPr="008D7588" w:rsidRDefault="00CF4B98" w:rsidP="00CF4B98">
      <w:pPr>
        <w:spacing w:after="0"/>
        <w:jc w:val="both"/>
        <w:rPr>
          <w:rFonts w:ascii="Times New Roman" w:hAnsi="Times New Roman" w:cs="Times New Roman"/>
          <w:b/>
          <w:sz w:val="24"/>
          <w:szCs w:val="24"/>
        </w:rPr>
      </w:pPr>
      <w:r w:rsidRPr="008D7588">
        <w:rPr>
          <w:rFonts w:ascii="Times New Roman" w:hAnsi="Times New Roman" w:cs="Times New Roman"/>
          <w:b/>
          <w:sz w:val="24"/>
          <w:szCs w:val="24"/>
        </w:rPr>
        <w:t>4.1 Logistic Regression: Investment Participation</w:t>
      </w:r>
    </w:p>
    <w:p w14:paraId="2D8E3395" w14:textId="77777777" w:rsidR="00CF4B98" w:rsidRPr="00CF4B98" w:rsidRDefault="00CF4B98" w:rsidP="00CF4B98">
      <w:pPr>
        <w:spacing w:after="0"/>
        <w:jc w:val="both"/>
        <w:rPr>
          <w:rFonts w:ascii="Times New Roman" w:hAnsi="Times New Roman" w:cs="Times New Roman"/>
          <w:sz w:val="24"/>
          <w:szCs w:val="24"/>
        </w:rPr>
      </w:pPr>
    </w:p>
    <w:p w14:paraId="3A4807EB" w14:textId="7A8E4A50" w:rsidR="00914340" w:rsidRPr="00914340" w:rsidRDefault="00914340" w:rsidP="00914340">
      <w:pPr>
        <w:spacing w:after="0"/>
        <w:jc w:val="both"/>
        <w:rPr>
          <w:rFonts w:ascii="Times New Roman" w:hAnsi="Times New Roman" w:cs="Times New Roman"/>
          <w:sz w:val="24"/>
          <w:szCs w:val="24"/>
          <w:highlight w:val="yellow"/>
        </w:rPr>
      </w:pPr>
      <w:r w:rsidRPr="00914340">
        <w:rPr>
          <w:rFonts w:ascii="Times New Roman" w:hAnsi="Times New Roman" w:cs="Times New Roman"/>
          <w:sz w:val="24"/>
          <w:szCs w:val="24"/>
        </w:rPr>
        <w:t xml:space="preserve">Table​‍​‌‍​‍‌​‍​‌‍​‍‌ 3 presents the results of a logistic regression model that examined the variables influencing investment participation. </w:t>
      </w:r>
      <w:r w:rsidRPr="00914340">
        <w:rPr>
          <w:rFonts w:ascii="Times New Roman" w:hAnsi="Times New Roman" w:cs="Times New Roman"/>
          <w:sz w:val="24"/>
          <w:szCs w:val="24"/>
          <w:highlight w:val="yellow"/>
        </w:rPr>
        <w:t xml:space="preserve">The coefficient for financial literacy is positive and is close to borderline significance (p = 0.060), which means that a higher level of literacy could very slightly increase the investment participation likelihood, however, the effect is not statistically significant at the 5% level. The average marginal effect (AME = 0.042; 95% CI: </w:t>
      </w:r>
      <w:r>
        <w:rPr>
          <w:rFonts w:ascii="Times New Roman" w:hAnsi="Times New Roman" w:cs="Times New Roman"/>
          <w:sz w:val="24"/>
          <w:szCs w:val="24"/>
          <w:highlight w:val="yellow"/>
        </w:rPr>
        <w:t>-</w:t>
      </w:r>
      <w:r w:rsidRPr="00914340">
        <w:rPr>
          <w:rFonts w:ascii="Times New Roman" w:hAnsi="Times New Roman" w:cs="Times New Roman"/>
          <w:sz w:val="24"/>
          <w:szCs w:val="24"/>
          <w:highlight w:val="yellow"/>
        </w:rPr>
        <w:t>0.002 to 0.089) points to a 4.2 percentage</w:t>
      </w:r>
      <w:r w:rsidR="00E27416">
        <w:rPr>
          <w:rFonts w:ascii="Times New Roman" w:hAnsi="Times New Roman" w:cs="Times New Roman"/>
          <w:sz w:val="24"/>
          <w:szCs w:val="24"/>
          <w:highlight w:val="yellow"/>
        </w:rPr>
        <w:t xml:space="preserve"> </w:t>
      </w:r>
      <w:r w:rsidRPr="00914340">
        <w:rPr>
          <w:rFonts w:ascii="Times New Roman" w:hAnsi="Times New Roman" w:cs="Times New Roman"/>
          <w:sz w:val="24"/>
          <w:szCs w:val="24"/>
          <w:highlight w:val="yellow"/>
        </w:rPr>
        <w:t xml:space="preserve">point increment in the probability of investing per one unit increase of literacy. </w:t>
      </w:r>
    </w:p>
    <w:p w14:paraId="7864A4FA" w14:textId="77777777" w:rsidR="00914340" w:rsidRPr="00914340" w:rsidRDefault="00914340" w:rsidP="00914340">
      <w:pPr>
        <w:spacing w:after="0"/>
        <w:jc w:val="both"/>
        <w:rPr>
          <w:rFonts w:ascii="Times New Roman" w:hAnsi="Times New Roman" w:cs="Times New Roman"/>
          <w:sz w:val="24"/>
          <w:szCs w:val="24"/>
          <w:highlight w:val="yellow"/>
        </w:rPr>
      </w:pPr>
    </w:p>
    <w:p w14:paraId="3BF23834" w14:textId="265742B2" w:rsidR="008D7588" w:rsidRPr="008D7588" w:rsidRDefault="00914340" w:rsidP="00914340">
      <w:pPr>
        <w:spacing w:after="0"/>
        <w:jc w:val="both"/>
        <w:rPr>
          <w:rFonts w:ascii="Times New Roman" w:hAnsi="Times New Roman" w:cs="Times New Roman"/>
          <w:sz w:val="24"/>
          <w:szCs w:val="24"/>
        </w:rPr>
      </w:pPr>
      <w:r w:rsidRPr="00914340">
        <w:rPr>
          <w:rFonts w:ascii="Times New Roman" w:hAnsi="Times New Roman" w:cs="Times New Roman"/>
          <w:sz w:val="24"/>
          <w:szCs w:val="24"/>
          <w:highlight w:val="yellow"/>
        </w:rPr>
        <w:t>Average Marginal Effects (AMEs) for all predictors through marginal standardization were calculated to better understand the size of the estimated effects. The AMEs indicate the average change in the probability of investment participation associated with a one-unit change in each explanatory variable, other variables being constant. As reported in Appendix Table A1, an increase of one unit in financial literacy will lead to investment probability rise by around 4.2 percentage points, whereas risk tolerance will have a slightly stronger impact of around 5.3 percentage points. These findings are consistent with the idea that behavioral factors and knowledge and attitude toward risk play a more significant role in the prediction of investment activity than demographic ​‍​‌‍​‍‌​‍​‌‍​‍‌controls</w:t>
      </w:r>
      <w:r w:rsidR="004B7E4C" w:rsidRPr="00914340">
        <w:rPr>
          <w:rFonts w:ascii="Times New Roman" w:hAnsi="Times New Roman" w:cs="Times New Roman"/>
          <w:sz w:val="24"/>
          <w:szCs w:val="24"/>
          <w:highlight w:val="yellow"/>
        </w:rPr>
        <w:t>.</w:t>
      </w:r>
    </w:p>
    <w:p w14:paraId="566307F8" w14:textId="77777777" w:rsidR="008D7588" w:rsidRPr="008D7588" w:rsidRDefault="008D7588" w:rsidP="008D7588">
      <w:pPr>
        <w:spacing w:after="0"/>
        <w:jc w:val="both"/>
        <w:rPr>
          <w:rFonts w:ascii="Times New Roman" w:hAnsi="Times New Roman" w:cs="Times New Roman"/>
          <w:sz w:val="24"/>
          <w:szCs w:val="24"/>
        </w:rPr>
      </w:pPr>
    </w:p>
    <w:p w14:paraId="632757AC" w14:textId="30359035" w:rsidR="008D7588" w:rsidRDefault="008D7588" w:rsidP="008D7588">
      <w:pPr>
        <w:spacing w:after="0"/>
        <w:jc w:val="both"/>
        <w:rPr>
          <w:rFonts w:ascii="Times New Roman" w:hAnsi="Times New Roman" w:cs="Times New Roman"/>
          <w:sz w:val="24"/>
          <w:szCs w:val="24"/>
        </w:rPr>
      </w:pPr>
      <w:r w:rsidRPr="008D7588">
        <w:rPr>
          <w:rFonts w:ascii="Times New Roman" w:hAnsi="Times New Roman" w:cs="Times New Roman"/>
          <w:sz w:val="24"/>
          <w:szCs w:val="24"/>
        </w:rPr>
        <w:t>The impact is more obvious in Figure 2, where the estimated probabilities go up gradually with literacy level, even when demographic and attitudinal variables are controlled for.</w:t>
      </w:r>
    </w:p>
    <w:p w14:paraId="4DF19C22" w14:textId="48FF92E1" w:rsidR="00CF4B98" w:rsidRDefault="00CF4B98" w:rsidP="00CF4B98">
      <w:pPr>
        <w:spacing w:after="0"/>
        <w:jc w:val="both"/>
        <w:rPr>
          <w:rFonts w:ascii="Times New Roman" w:hAnsi="Times New Roman" w:cs="Times New Roman"/>
          <w:sz w:val="24"/>
          <w:szCs w:val="24"/>
        </w:rPr>
      </w:pPr>
    </w:p>
    <w:p w14:paraId="50104512" w14:textId="77777777" w:rsidR="00CF4B98" w:rsidRPr="000859F8" w:rsidRDefault="00CF4B98" w:rsidP="008D7588">
      <w:pPr>
        <w:spacing w:after="0"/>
        <w:jc w:val="both"/>
        <w:rPr>
          <w:rFonts w:ascii="Times New Roman" w:hAnsi="Times New Roman" w:cs="Times New Roman"/>
          <w:sz w:val="24"/>
          <w:szCs w:val="24"/>
        </w:rPr>
      </w:pPr>
      <w:r w:rsidRPr="000859F8">
        <w:rPr>
          <w:rFonts w:ascii="Times New Roman" w:hAnsi="Times New Roman" w:cs="Times New Roman"/>
          <w:sz w:val="24"/>
          <w:szCs w:val="24"/>
        </w:rPr>
        <w:t>Table 3. Logistic regression estimates for the determinants of investment participation among students.</w:t>
      </w:r>
    </w:p>
    <w:tbl>
      <w:tblPr>
        <w:tblStyle w:val="TableGrid"/>
        <w:tblW w:w="0" w:type="auto"/>
        <w:tblLook w:val="04A0" w:firstRow="1" w:lastRow="0" w:firstColumn="1" w:lastColumn="0" w:noHBand="0" w:noVBand="1"/>
      </w:tblPr>
      <w:tblGrid>
        <w:gridCol w:w="3118"/>
        <w:gridCol w:w="1696"/>
        <w:gridCol w:w="1570"/>
        <w:gridCol w:w="1483"/>
        <w:gridCol w:w="1483"/>
      </w:tblGrid>
      <w:tr w:rsidR="00CF4B98" w:rsidRPr="000859F8" w14:paraId="6FE26700" w14:textId="77777777" w:rsidTr="00DB6F1A">
        <w:tc>
          <w:tcPr>
            <w:tcW w:w="0" w:type="auto"/>
            <w:hideMark/>
          </w:tcPr>
          <w:p w14:paraId="1B369537"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Variable</w:t>
            </w:r>
          </w:p>
        </w:tc>
        <w:tc>
          <w:tcPr>
            <w:tcW w:w="0" w:type="auto"/>
            <w:hideMark/>
          </w:tcPr>
          <w:p w14:paraId="18071202"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Coefficient</w:t>
            </w:r>
          </w:p>
        </w:tc>
        <w:tc>
          <w:tcPr>
            <w:tcW w:w="0" w:type="auto"/>
            <w:hideMark/>
          </w:tcPr>
          <w:p w14:paraId="624AA4F3"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Std. Error</w:t>
            </w:r>
          </w:p>
        </w:tc>
        <w:tc>
          <w:tcPr>
            <w:tcW w:w="0" w:type="auto"/>
            <w:hideMark/>
          </w:tcPr>
          <w:p w14:paraId="64A6F064"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z-value</w:t>
            </w:r>
          </w:p>
        </w:tc>
        <w:tc>
          <w:tcPr>
            <w:tcW w:w="0" w:type="auto"/>
            <w:hideMark/>
          </w:tcPr>
          <w:p w14:paraId="73611EAA"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p-value</w:t>
            </w:r>
          </w:p>
        </w:tc>
      </w:tr>
      <w:tr w:rsidR="00CF4B98" w:rsidRPr="000859F8" w14:paraId="6A59F036" w14:textId="77777777" w:rsidTr="00DB6F1A">
        <w:tc>
          <w:tcPr>
            <w:tcW w:w="0" w:type="auto"/>
            <w:hideMark/>
          </w:tcPr>
          <w:p w14:paraId="5B9665F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Financial literacy score</w:t>
            </w:r>
          </w:p>
        </w:tc>
        <w:tc>
          <w:tcPr>
            <w:tcW w:w="0" w:type="auto"/>
            <w:hideMark/>
          </w:tcPr>
          <w:p w14:paraId="33D244B1"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0.248</w:t>
            </w:r>
          </w:p>
        </w:tc>
        <w:tc>
          <w:tcPr>
            <w:tcW w:w="0" w:type="auto"/>
            <w:hideMark/>
          </w:tcPr>
          <w:p w14:paraId="24A2083A"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0.132</w:t>
            </w:r>
          </w:p>
        </w:tc>
        <w:tc>
          <w:tcPr>
            <w:tcW w:w="0" w:type="auto"/>
            <w:hideMark/>
          </w:tcPr>
          <w:p w14:paraId="77226F4F"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1.88</w:t>
            </w:r>
          </w:p>
        </w:tc>
        <w:tc>
          <w:tcPr>
            <w:tcW w:w="0" w:type="auto"/>
            <w:hideMark/>
          </w:tcPr>
          <w:p w14:paraId="7F152C8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0.060</w:t>
            </w:r>
          </w:p>
        </w:tc>
      </w:tr>
      <w:tr w:rsidR="00CF4B98" w:rsidRPr="000859F8" w14:paraId="42CF4DE1" w14:textId="77777777" w:rsidTr="00DB6F1A">
        <w:tc>
          <w:tcPr>
            <w:tcW w:w="0" w:type="auto"/>
            <w:hideMark/>
          </w:tcPr>
          <w:p w14:paraId="1761383D"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Risk tolerance score</w:t>
            </w:r>
          </w:p>
        </w:tc>
        <w:tc>
          <w:tcPr>
            <w:tcW w:w="0" w:type="auto"/>
            <w:hideMark/>
          </w:tcPr>
          <w:p w14:paraId="07B72FDD"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0.261</w:t>
            </w:r>
          </w:p>
        </w:tc>
        <w:tc>
          <w:tcPr>
            <w:tcW w:w="0" w:type="auto"/>
            <w:hideMark/>
          </w:tcPr>
          <w:p w14:paraId="19B3F180"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0.160</w:t>
            </w:r>
          </w:p>
        </w:tc>
        <w:tc>
          <w:tcPr>
            <w:tcW w:w="0" w:type="auto"/>
            <w:hideMark/>
          </w:tcPr>
          <w:p w14:paraId="27448887"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1.63</w:t>
            </w:r>
          </w:p>
        </w:tc>
        <w:tc>
          <w:tcPr>
            <w:tcW w:w="0" w:type="auto"/>
            <w:hideMark/>
          </w:tcPr>
          <w:p w14:paraId="0B36726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0.103</w:t>
            </w:r>
          </w:p>
        </w:tc>
      </w:tr>
      <w:tr w:rsidR="00CF4B98" w:rsidRPr="000859F8" w14:paraId="2C5F98C9" w14:textId="77777777" w:rsidTr="00DB6F1A">
        <w:tc>
          <w:tcPr>
            <w:tcW w:w="0" w:type="auto"/>
            <w:hideMark/>
          </w:tcPr>
          <w:p w14:paraId="25EB8BA1"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Attended financial literacy program</w:t>
            </w:r>
          </w:p>
        </w:tc>
        <w:tc>
          <w:tcPr>
            <w:tcW w:w="0" w:type="auto"/>
            <w:hideMark/>
          </w:tcPr>
          <w:p w14:paraId="58585FA0"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0.246</w:t>
            </w:r>
          </w:p>
        </w:tc>
        <w:tc>
          <w:tcPr>
            <w:tcW w:w="0" w:type="auto"/>
            <w:hideMark/>
          </w:tcPr>
          <w:p w14:paraId="5159698C"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0.298</w:t>
            </w:r>
          </w:p>
        </w:tc>
        <w:tc>
          <w:tcPr>
            <w:tcW w:w="0" w:type="auto"/>
            <w:hideMark/>
          </w:tcPr>
          <w:p w14:paraId="6E32F354"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0.83</w:t>
            </w:r>
          </w:p>
        </w:tc>
        <w:tc>
          <w:tcPr>
            <w:tcW w:w="0" w:type="auto"/>
            <w:hideMark/>
          </w:tcPr>
          <w:p w14:paraId="33ADC4B1"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0.404</w:t>
            </w:r>
          </w:p>
        </w:tc>
      </w:tr>
      <w:tr w:rsidR="00CF4B98" w:rsidRPr="000859F8" w14:paraId="1F432936" w14:textId="77777777" w:rsidTr="00DB6F1A">
        <w:tc>
          <w:tcPr>
            <w:tcW w:w="0" w:type="auto"/>
            <w:hideMark/>
          </w:tcPr>
          <w:p w14:paraId="6A7532BB"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Gender (Female = 1)</w:t>
            </w:r>
          </w:p>
        </w:tc>
        <w:tc>
          <w:tcPr>
            <w:tcW w:w="0" w:type="auto"/>
            <w:hideMark/>
          </w:tcPr>
          <w:p w14:paraId="2D28165D"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0.146</w:t>
            </w:r>
          </w:p>
        </w:tc>
        <w:tc>
          <w:tcPr>
            <w:tcW w:w="0" w:type="auto"/>
            <w:hideMark/>
          </w:tcPr>
          <w:p w14:paraId="75EEACDF"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0.355</w:t>
            </w:r>
          </w:p>
        </w:tc>
        <w:tc>
          <w:tcPr>
            <w:tcW w:w="0" w:type="auto"/>
            <w:hideMark/>
          </w:tcPr>
          <w:p w14:paraId="606AE4F7"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0.41</w:t>
            </w:r>
          </w:p>
        </w:tc>
        <w:tc>
          <w:tcPr>
            <w:tcW w:w="0" w:type="auto"/>
            <w:hideMark/>
          </w:tcPr>
          <w:p w14:paraId="7FDEBE9A"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0.681</w:t>
            </w:r>
          </w:p>
        </w:tc>
      </w:tr>
      <w:tr w:rsidR="00CF4B98" w:rsidRPr="000859F8" w14:paraId="4640F568" w14:textId="77777777" w:rsidTr="00DB6F1A">
        <w:tc>
          <w:tcPr>
            <w:tcW w:w="0" w:type="auto"/>
            <w:hideMark/>
          </w:tcPr>
          <w:p w14:paraId="6E90BB7B"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Course (Management &amp; Commerce ref.)</w:t>
            </w:r>
          </w:p>
        </w:tc>
        <w:tc>
          <w:tcPr>
            <w:tcW w:w="0" w:type="auto"/>
            <w:hideMark/>
          </w:tcPr>
          <w:p w14:paraId="417546BC"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4B27673F"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41B0CAA2"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365A6E29"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r>
      <w:tr w:rsidR="00CF4B98" w:rsidRPr="000859F8" w14:paraId="186A7013" w14:textId="77777777" w:rsidTr="00DB6F1A">
        <w:tc>
          <w:tcPr>
            <w:tcW w:w="0" w:type="auto"/>
            <w:hideMark/>
          </w:tcPr>
          <w:p w14:paraId="451380CE"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Arts &amp; Humanities</w:t>
            </w:r>
          </w:p>
        </w:tc>
        <w:tc>
          <w:tcPr>
            <w:tcW w:w="0" w:type="auto"/>
            <w:hideMark/>
          </w:tcPr>
          <w:p w14:paraId="18413980"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0.557</w:t>
            </w:r>
          </w:p>
        </w:tc>
        <w:tc>
          <w:tcPr>
            <w:tcW w:w="0" w:type="auto"/>
            <w:hideMark/>
          </w:tcPr>
          <w:p w14:paraId="1947B519"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0.535</w:t>
            </w:r>
          </w:p>
        </w:tc>
        <w:tc>
          <w:tcPr>
            <w:tcW w:w="0" w:type="auto"/>
            <w:hideMark/>
          </w:tcPr>
          <w:p w14:paraId="6EFB5280"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1.04</w:t>
            </w:r>
          </w:p>
        </w:tc>
        <w:tc>
          <w:tcPr>
            <w:tcW w:w="0" w:type="auto"/>
            <w:hideMark/>
          </w:tcPr>
          <w:p w14:paraId="3A98F136"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0.298</w:t>
            </w:r>
          </w:p>
        </w:tc>
      </w:tr>
      <w:tr w:rsidR="00CF4B98" w:rsidRPr="000859F8" w14:paraId="3431542B" w14:textId="77777777" w:rsidTr="00DB6F1A">
        <w:tc>
          <w:tcPr>
            <w:tcW w:w="0" w:type="auto"/>
            <w:hideMark/>
          </w:tcPr>
          <w:p w14:paraId="465A3902"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Social Sciences</w:t>
            </w:r>
          </w:p>
        </w:tc>
        <w:tc>
          <w:tcPr>
            <w:tcW w:w="0" w:type="auto"/>
            <w:hideMark/>
          </w:tcPr>
          <w:p w14:paraId="0E49CCBC"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0.386</w:t>
            </w:r>
          </w:p>
        </w:tc>
        <w:tc>
          <w:tcPr>
            <w:tcW w:w="0" w:type="auto"/>
            <w:hideMark/>
          </w:tcPr>
          <w:p w14:paraId="403FF4F4"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0.492</w:t>
            </w:r>
          </w:p>
        </w:tc>
        <w:tc>
          <w:tcPr>
            <w:tcW w:w="0" w:type="auto"/>
            <w:hideMark/>
          </w:tcPr>
          <w:p w14:paraId="70A5185E"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0.78</w:t>
            </w:r>
          </w:p>
        </w:tc>
        <w:tc>
          <w:tcPr>
            <w:tcW w:w="0" w:type="auto"/>
            <w:hideMark/>
          </w:tcPr>
          <w:p w14:paraId="08A4C54A"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0.432</w:t>
            </w:r>
          </w:p>
        </w:tc>
      </w:tr>
      <w:tr w:rsidR="00CF4B98" w:rsidRPr="000859F8" w14:paraId="7DE3A566" w14:textId="77777777" w:rsidTr="00DB6F1A">
        <w:tc>
          <w:tcPr>
            <w:tcW w:w="0" w:type="auto"/>
            <w:hideMark/>
          </w:tcPr>
          <w:p w14:paraId="6376B682"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Allowance category (reference: &lt; ₹2000)</w:t>
            </w:r>
          </w:p>
        </w:tc>
        <w:tc>
          <w:tcPr>
            <w:tcW w:w="0" w:type="auto"/>
            <w:hideMark/>
          </w:tcPr>
          <w:p w14:paraId="5C447E9A"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4AB9D0EE"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55912562"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3C540229"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r>
      <w:tr w:rsidR="00CF4B98" w:rsidRPr="000859F8" w14:paraId="3BEE0AB4" w14:textId="77777777" w:rsidTr="00DB6F1A">
        <w:tc>
          <w:tcPr>
            <w:tcW w:w="0" w:type="auto"/>
            <w:hideMark/>
          </w:tcPr>
          <w:p w14:paraId="214D3756"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₹2000</w:t>
            </w:r>
            <w:r>
              <w:rPr>
                <w:rFonts w:ascii="Times New Roman" w:hAnsi="Times New Roman" w:cs="Times New Roman"/>
                <w:sz w:val="24"/>
                <w:szCs w:val="24"/>
              </w:rPr>
              <w:t>-</w:t>
            </w:r>
            <w:r w:rsidRPr="000859F8">
              <w:rPr>
                <w:rFonts w:ascii="Times New Roman" w:hAnsi="Times New Roman" w:cs="Times New Roman"/>
                <w:sz w:val="24"/>
                <w:szCs w:val="24"/>
              </w:rPr>
              <w:t>₹4000</w:t>
            </w:r>
          </w:p>
        </w:tc>
        <w:tc>
          <w:tcPr>
            <w:tcW w:w="0" w:type="auto"/>
            <w:hideMark/>
          </w:tcPr>
          <w:p w14:paraId="2A50ACB2"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0.146</w:t>
            </w:r>
          </w:p>
        </w:tc>
        <w:tc>
          <w:tcPr>
            <w:tcW w:w="0" w:type="auto"/>
            <w:hideMark/>
          </w:tcPr>
          <w:p w14:paraId="73FDE2F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0.390</w:t>
            </w:r>
          </w:p>
        </w:tc>
        <w:tc>
          <w:tcPr>
            <w:tcW w:w="0" w:type="auto"/>
            <w:hideMark/>
          </w:tcPr>
          <w:p w14:paraId="6DF8B6FB"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0.37</w:t>
            </w:r>
          </w:p>
        </w:tc>
        <w:tc>
          <w:tcPr>
            <w:tcW w:w="0" w:type="auto"/>
            <w:hideMark/>
          </w:tcPr>
          <w:p w14:paraId="79909D43"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0.712</w:t>
            </w:r>
          </w:p>
        </w:tc>
      </w:tr>
      <w:tr w:rsidR="00CF4B98" w:rsidRPr="000859F8" w14:paraId="6E00917F" w14:textId="77777777" w:rsidTr="00DB6F1A">
        <w:tc>
          <w:tcPr>
            <w:tcW w:w="0" w:type="auto"/>
            <w:hideMark/>
          </w:tcPr>
          <w:p w14:paraId="361D5C81"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₹4000</w:t>
            </w:r>
            <w:r>
              <w:rPr>
                <w:rFonts w:ascii="Times New Roman" w:hAnsi="Times New Roman" w:cs="Times New Roman"/>
                <w:sz w:val="24"/>
                <w:szCs w:val="24"/>
              </w:rPr>
              <w:t>-</w:t>
            </w:r>
            <w:r w:rsidRPr="000859F8">
              <w:rPr>
                <w:rFonts w:ascii="Times New Roman" w:hAnsi="Times New Roman" w:cs="Times New Roman"/>
                <w:sz w:val="24"/>
                <w:szCs w:val="24"/>
              </w:rPr>
              <w:t>₹6000</w:t>
            </w:r>
          </w:p>
        </w:tc>
        <w:tc>
          <w:tcPr>
            <w:tcW w:w="0" w:type="auto"/>
            <w:hideMark/>
          </w:tcPr>
          <w:p w14:paraId="1F7294C9"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0.342</w:t>
            </w:r>
          </w:p>
        </w:tc>
        <w:tc>
          <w:tcPr>
            <w:tcW w:w="0" w:type="auto"/>
            <w:hideMark/>
          </w:tcPr>
          <w:p w14:paraId="09C2A748"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0.430</w:t>
            </w:r>
          </w:p>
        </w:tc>
        <w:tc>
          <w:tcPr>
            <w:tcW w:w="0" w:type="auto"/>
            <w:hideMark/>
          </w:tcPr>
          <w:p w14:paraId="0B983AD8"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0.80</w:t>
            </w:r>
          </w:p>
        </w:tc>
        <w:tc>
          <w:tcPr>
            <w:tcW w:w="0" w:type="auto"/>
            <w:hideMark/>
          </w:tcPr>
          <w:p w14:paraId="6A162118"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0.423</w:t>
            </w:r>
          </w:p>
        </w:tc>
      </w:tr>
      <w:tr w:rsidR="00CF4B98" w:rsidRPr="000859F8" w14:paraId="0025FA8D" w14:textId="77777777" w:rsidTr="00DB6F1A">
        <w:tc>
          <w:tcPr>
            <w:tcW w:w="0" w:type="auto"/>
            <w:hideMark/>
          </w:tcPr>
          <w:p w14:paraId="26DAB80A"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&gt; ₹6000</w:t>
            </w:r>
          </w:p>
        </w:tc>
        <w:tc>
          <w:tcPr>
            <w:tcW w:w="0" w:type="auto"/>
            <w:hideMark/>
          </w:tcPr>
          <w:p w14:paraId="2FD317B3"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0.618</w:t>
            </w:r>
          </w:p>
        </w:tc>
        <w:tc>
          <w:tcPr>
            <w:tcW w:w="0" w:type="auto"/>
            <w:hideMark/>
          </w:tcPr>
          <w:p w14:paraId="5040ED1E"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0.477</w:t>
            </w:r>
          </w:p>
        </w:tc>
        <w:tc>
          <w:tcPr>
            <w:tcW w:w="0" w:type="auto"/>
            <w:hideMark/>
          </w:tcPr>
          <w:p w14:paraId="65D56F7D"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1.29</w:t>
            </w:r>
          </w:p>
        </w:tc>
        <w:tc>
          <w:tcPr>
            <w:tcW w:w="0" w:type="auto"/>
            <w:hideMark/>
          </w:tcPr>
          <w:p w14:paraId="4822F536"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0.197</w:t>
            </w:r>
          </w:p>
        </w:tc>
      </w:tr>
      <w:tr w:rsidR="00CF4B98" w:rsidRPr="000859F8" w14:paraId="1D4CFD49" w14:textId="77777777" w:rsidTr="00DB6F1A">
        <w:tc>
          <w:tcPr>
            <w:tcW w:w="0" w:type="auto"/>
            <w:hideMark/>
          </w:tcPr>
          <w:p w14:paraId="4C09B63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Constant</w:t>
            </w:r>
          </w:p>
        </w:tc>
        <w:tc>
          <w:tcPr>
            <w:tcW w:w="0" w:type="auto"/>
            <w:hideMark/>
          </w:tcPr>
          <w:p w14:paraId="2B9FF7EF"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2.085</w:t>
            </w:r>
          </w:p>
        </w:tc>
        <w:tc>
          <w:tcPr>
            <w:tcW w:w="0" w:type="auto"/>
            <w:hideMark/>
          </w:tcPr>
          <w:p w14:paraId="32F7442C"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1.226</w:t>
            </w:r>
          </w:p>
        </w:tc>
        <w:tc>
          <w:tcPr>
            <w:tcW w:w="0" w:type="auto"/>
            <w:hideMark/>
          </w:tcPr>
          <w:p w14:paraId="52FF163D"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1.70</w:t>
            </w:r>
          </w:p>
        </w:tc>
        <w:tc>
          <w:tcPr>
            <w:tcW w:w="0" w:type="auto"/>
            <w:hideMark/>
          </w:tcPr>
          <w:p w14:paraId="1F04FC3A"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0.089</w:t>
            </w:r>
          </w:p>
        </w:tc>
      </w:tr>
    </w:tbl>
    <w:p w14:paraId="2D9DA68C" w14:textId="77777777" w:rsidR="00CF4B98" w:rsidRPr="000859F8" w:rsidRDefault="00CF4B98" w:rsidP="00CF4B98">
      <w:pPr>
        <w:spacing w:after="0"/>
        <w:ind w:left="720" w:hanging="360"/>
        <w:jc w:val="both"/>
        <w:rPr>
          <w:rFonts w:ascii="Times New Roman" w:hAnsi="Times New Roman" w:cs="Times New Roman"/>
          <w:sz w:val="24"/>
          <w:szCs w:val="24"/>
        </w:rPr>
      </w:pPr>
    </w:p>
    <w:tbl>
      <w:tblPr>
        <w:tblStyle w:val="TableGrid"/>
        <w:tblW w:w="9388" w:type="dxa"/>
        <w:tblLook w:val="04A0" w:firstRow="1" w:lastRow="0" w:firstColumn="1" w:lastColumn="0" w:noHBand="0" w:noVBand="1"/>
      </w:tblPr>
      <w:tblGrid>
        <w:gridCol w:w="6261"/>
        <w:gridCol w:w="3127"/>
      </w:tblGrid>
      <w:tr w:rsidR="00CF4B98" w:rsidRPr="000859F8" w14:paraId="5F3C09B9" w14:textId="77777777" w:rsidTr="00DB6F1A">
        <w:trPr>
          <w:trHeight w:val="470"/>
        </w:trPr>
        <w:tc>
          <w:tcPr>
            <w:tcW w:w="0" w:type="auto"/>
            <w:hideMark/>
          </w:tcPr>
          <w:p w14:paraId="140B1836"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lastRenderedPageBreak/>
              <w:t>Statistic</w:t>
            </w:r>
          </w:p>
        </w:tc>
        <w:tc>
          <w:tcPr>
            <w:tcW w:w="0" w:type="auto"/>
            <w:hideMark/>
          </w:tcPr>
          <w:p w14:paraId="08AC90CF"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Value</w:t>
            </w:r>
          </w:p>
        </w:tc>
      </w:tr>
      <w:tr w:rsidR="00CF4B98" w:rsidRPr="000859F8" w14:paraId="09E3F1D2" w14:textId="77777777" w:rsidTr="00DB6F1A">
        <w:trPr>
          <w:trHeight w:val="470"/>
        </w:trPr>
        <w:tc>
          <w:tcPr>
            <w:tcW w:w="0" w:type="auto"/>
            <w:hideMark/>
          </w:tcPr>
          <w:p w14:paraId="1D4DE4B6"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Number of observations (N)</w:t>
            </w:r>
          </w:p>
        </w:tc>
        <w:tc>
          <w:tcPr>
            <w:tcW w:w="0" w:type="auto"/>
            <w:hideMark/>
          </w:tcPr>
          <w:p w14:paraId="504BE02D"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415</w:t>
            </w:r>
          </w:p>
        </w:tc>
      </w:tr>
      <w:tr w:rsidR="00CF4B98" w:rsidRPr="000859F8" w14:paraId="58BFF34D" w14:textId="77777777" w:rsidTr="00DB6F1A">
        <w:trPr>
          <w:trHeight w:val="445"/>
        </w:trPr>
        <w:tc>
          <w:tcPr>
            <w:tcW w:w="0" w:type="auto"/>
            <w:hideMark/>
          </w:tcPr>
          <w:p w14:paraId="08C0C61B"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Log-Likelihood</w:t>
            </w:r>
          </w:p>
        </w:tc>
        <w:tc>
          <w:tcPr>
            <w:tcW w:w="0" w:type="auto"/>
            <w:hideMark/>
          </w:tcPr>
          <w:p w14:paraId="667CB1DA"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240.053</w:t>
            </w:r>
          </w:p>
        </w:tc>
      </w:tr>
      <w:tr w:rsidR="00CF4B98" w:rsidRPr="000859F8" w14:paraId="2FC977CE" w14:textId="77777777" w:rsidTr="00DB6F1A">
        <w:trPr>
          <w:trHeight w:val="470"/>
        </w:trPr>
        <w:tc>
          <w:tcPr>
            <w:tcW w:w="0" w:type="auto"/>
            <w:hideMark/>
          </w:tcPr>
          <w:p w14:paraId="56E5BB8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McFadden Pseudo R²</w:t>
            </w:r>
          </w:p>
        </w:tc>
        <w:tc>
          <w:tcPr>
            <w:tcW w:w="0" w:type="auto"/>
            <w:hideMark/>
          </w:tcPr>
          <w:p w14:paraId="4657C26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0.061</w:t>
            </w:r>
          </w:p>
        </w:tc>
      </w:tr>
    </w:tbl>
    <w:p w14:paraId="5F05EEE1" w14:textId="77777777" w:rsidR="00CF4B98" w:rsidRPr="008F4B82" w:rsidRDefault="00CF4B98" w:rsidP="00042F81">
      <w:pPr>
        <w:spacing w:after="0"/>
        <w:jc w:val="both"/>
        <w:rPr>
          <w:rFonts w:ascii="Times New Roman" w:hAnsi="Times New Roman" w:cs="Times New Roman"/>
          <w:i/>
          <w:sz w:val="24"/>
          <w:szCs w:val="24"/>
        </w:rPr>
      </w:pPr>
      <w:r w:rsidRPr="008F4B82">
        <w:rPr>
          <w:rFonts w:ascii="Times New Roman" w:hAnsi="Times New Roman" w:cs="Times New Roman"/>
          <w:b/>
          <w:i/>
          <w:sz w:val="24"/>
          <w:szCs w:val="24"/>
        </w:rPr>
        <w:t>Source:</w:t>
      </w:r>
      <w:r w:rsidRPr="008F4B82">
        <w:rPr>
          <w:rFonts w:ascii="Times New Roman" w:hAnsi="Times New Roman" w:cs="Times New Roman"/>
          <w:i/>
          <w:sz w:val="24"/>
          <w:szCs w:val="24"/>
        </w:rPr>
        <w:t xml:space="preserve"> Author’s computation using primary survey data (N = 415).</w:t>
      </w:r>
    </w:p>
    <w:p w14:paraId="01AA0DCD" w14:textId="77777777" w:rsidR="00CF4B98" w:rsidRPr="000859F8" w:rsidRDefault="00CF4B98" w:rsidP="00CF4B98">
      <w:pPr>
        <w:spacing w:after="0"/>
        <w:ind w:left="720" w:hanging="360"/>
        <w:jc w:val="both"/>
        <w:rPr>
          <w:rFonts w:ascii="Times New Roman" w:hAnsi="Times New Roman" w:cs="Times New Roman"/>
          <w:sz w:val="24"/>
          <w:szCs w:val="24"/>
        </w:rPr>
      </w:pPr>
    </w:p>
    <w:p w14:paraId="73E01FB3" w14:textId="6CB8E7F1" w:rsidR="00CF4B98" w:rsidRPr="000859F8" w:rsidRDefault="00CF4B98" w:rsidP="00042F81">
      <w:pPr>
        <w:spacing w:after="0"/>
        <w:jc w:val="both"/>
        <w:rPr>
          <w:rFonts w:ascii="Times New Roman" w:hAnsi="Times New Roman" w:cs="Times New Roman"/>
          <w:sz w:val="24"/>
          <w:szCs w:val="24"/>
        </w:rPr>
      </w:pPr>
      <w:r w:rsidRPr="000859F8">
        <w:rPr>
          <w:rFonts w:ascii="Times New Roman" w:hAnsi="Times New Roman" w:cs="Times New Roman"/>
          <w:sz w:val="24"/>
          <w:szCs w:val="24"/>
        </w:rPr>
        <w:t xml:space="preserve">The dependent variable is a binary indicator equal to 1 if the respondent currently invests in any financial product. Standard errors </w:t>
      </w:r>
      <w:r w:rsidR="00042F81">
        <w:rPr>
          <w:rFonts w:ascii="Times New Roman" w:hAnsi="Times New Roman" w:cs="Times New Roman"/>
          <w:sz w:val="24"/>
          <w:szCs w:val="24"/>
        </w:rPr>
        <w:t>were</w:t>
      </w:r>
      <w:r w:rsidRPr="000859F8">
        <w:rPr>
          <w:rFonts w:ascii="Times New Roman" w:hAnsi="Times New Roman" w:cs="Times New Roman"/>
          <w:sz w:val="24"/>
          <w:szCs w:val="24"/>
        </w:rPr>
        <w:t xml:space="preserve"> reported alongside coefficients. Model includes controls for gender, course of study, and monthly allowance categories.</w:t>
      </w:r>
    </w:p>
    <w:p w14:paraId="0FB28E78" w14:textId="62C5E576" w:rsidR="00CF4B98" w:rsidRDefault="00CF4B98" w:rsidP="00CF4B98">
      <w:pPr>
        <w:spacing w:after="0"/>
        <w:jc w:val="both"/>
        <w:rPr>
          <w:rFonts w:ascii="Times New Roman" w:hAnsi="Times New Roman" w:cs="Times New Roman"/>
          <w:sz w:val="24"/>
          <w:szCs w:val="24"/>
        </w:rPr>
      </w:pPr>
    </w:p>
    <w:p w14:paraId="01EC4EE4" w14:textId="77777777" w:rsidR="00CF4B98" w:rsidRPr="000859F8" w:rsidRDefault="00CF4B98" w:rsidP="00CF4B98">
      <w:pPr>
        <w:spacing w:after="0"/>
        <w:jc w:val="both"/>
        <w:rPr>
          <w:rFonts w:ascii="Times New Roman" w:hAnsi="Times New Roman" w:cs="Times New Roman"/>
          <w:sz w:val="24"/>
          <w:szCs w:val="24"/>
        </w:rPr>
      </w:pPr>
    </w:p>
    <w:p w14:paraId="619B4516" w14:textId="77777777" w:rsidR="00CF4B98" w:rsidRPr="000859F8" w:rsidRDefault="00CF4B98" w:rsidP="00CF4B98">
      <w:pPr>
        <w:spacing w:after="0"/>
        <w:jc w:val="both"/>
        <w:rPr>
          <w:rFonts w:ascii="Times New Roman" w:hAnsi="Times New Roman" w:cs="Times New Roman"/>
          <w:sz w:val="24"/>
          <w:szCs w:val="24"/>
        </w:rPr>
      </w:pPr>
      <w:r w:rsidRPr="000859F8">
        <w:rPr>
          <w:rFonts w:ascii="Times New Roman" w:hAnsi="Times New Roman" w:cs="Times New Roman"/>
          <w:noProof/>
          <w:sz w:val="24"/>
          <w:szCs w:val="24"/>
        </w:rPr>
        <w:drawing>
          <wp:anchor distT="0" distB="0" distL="114300" distR="114300" simplePos="0" relativeHeight="251661312" behindDoc="1" locked="0" layoutInCell="1" allowOverlap="1" wp14:anchorId="4E02D377" wp14:editId="5D776282">
            <wp:simplePos x="0" y="0"/>
            <wp:positionH relativeFrom="margin">
              <wp:posOffset>233464</wp:posOffset>
            </wp:positionH>
            <wp:positionV relativeFrom="paragraph">
              <wp:posOffset>385215</wp:posOffset>
            </wp:positionV>
            <wp:extent cx="5466715" cy="3036570"/>
            <wp:effectExtent l="0" t="0" r="635" b="0"/>
            <wp:wrapTight wrapText="bothSides">
              <wp:wrapPolygon edited="0">
                <wp:start x="0" y="0"/>
                <wp:lineTo x="0" y="21410"/>
                <wp:lineTo x="21527" y="21410"/>
                <wp:lineTo x="215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_predicted_prob_logi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66715" cy="3036570"/>
                    </a:xfrm>
                    <a:prstGeom prst="rect">
                      <a:avLst/>
                    </a:prstGeom>
                  </pic:spPr>
                </pic:pic>
              </a:graphicData>
            </a:graphic>
            <wp14:sizeRelH relativeFrom="margin">
              <wp14:pctWidth>0</wp14:pctWidth>
            </wp14:sizeRelH>
            <wp14:sizeRelV relativeFrom="margin">
              <wp14:pctHeight>0</wp14:pctHeight>
            </wp14:sizeRelV>
          </wp:anchor>
        </w:drawing>
      </w:r>
      <w:r w:rsidRPr="000859F8">
        <w:rPr>
          <w:rFonts w:ascii="Times New Roman" w:hAnsi="Times New Roman" w:cs="Times New Roman"/>
          <w:sz w:val="24"/>
          <w:szCs w:val="24"/>
        </w:rPr>
        <w:t>Figure 2. Predicted probability of investment participation across financial literacy levels, based on the logistic regression model.</w:t>
      </w:r>
    </w:p>
    <w:p w14:paraId="1CB6490B" w14:textId="77777777" w:rsidR="00CF4B98" w:rsidRPr="000859F8" w:rsidRDefault="00CF4B98" w:rsidP="00CF4B98">
      <w:pPr>
        <w:spacing w:after="0"/>
        <w:jc w:val="both"/>
        <w:rPr>
          <w:rFonts w:ascii="Times New Roman" w:hAnsi="Times New Roman" w:cs="Times New Roman"/>
          <w:sz w:val="24"/>
          <w:szCs w:val="24"/>
        </w:rPr>
      </w:pPr>
    </w:p>
    <w:p w14:paraId="181CF2A1" w14:textId="77777777" w:rsidR="00CF4B98" w:rsidRPr="004533E3" w:rsidRDefault="00CF4B98" w:rsidP="00CF4B98">
      <w:pPr>
        <w:spacing w:after="0"/>
        <w:jc w:val="both"/>
        <w:rPr>
          <w:rFonts w:ascii="Times New Roman" w:hAnsi="Times New Roman" w:cs="Times New Roman"/>
          <w:b/>
          <w:i/>
          <w:sz w:val="24"/>
          <w:szCs w:val="24"/>
        </w:rPr>
      </w:pPr>
      <w:r w:rsidRPr="004533E3">
        <w:rPr>
          <w:rFonts w:ascii="Times New Roman" w:hAnsi="Times New Roman" w:cs="Times New Roman"/>
          <w:b/>
          <w:i/>
          <w:sz w:val="24"/>
          <w:szCs w:val="24"/>
        </w:rPr>
        <w:t xml:space="preserve">Source: </w:t>
      </w:r>
      <w:r w:rsidRPr="004533E3">
        <w:rPr>
          <w:rFonts w:ascii="Times New Roman" w:hAnsi="Times New Roman" w:cs="Times New Roman"/>
          <w:i/>
          <w:sz w:val="24"/>
          <w:szCs w:val="24"/>
        </w:rPr>
        <w:t>Author’s computation using primary survey data (N = 415).</w:t>
      </w:r>
    </w:p>
    <w:p w14:paraId="2994D6D8" w14:textId="77777777" w:rsidR="00CF4B98" w:rsidRPr="000859F8" w:rsidRDefault="00CF4B98" w:rsidP="00CF4B98">
      <w:pPr>
        <w:spacing w:after="0"/>
        <w:jc w:val="both"/>
        <w:rPr>
          <w:rFonts w:ascii="Times New Roman" w:hAnsi="Times New Roman" w:cs="Times New Roman"/>
          <w:sz w:val="24"/>
          <w:szCs w:val="24"/>
        </w:rPr>
      </w:pPr>
    </w:p>
    <w:p w14:paraId="7B78F0D5" w14:textId="77777777" w:rsidR="00CF4B98" w:rsidRPr="00CF4B98" w:rsidRDefault="00CF4B98" w:rsidP="00CF4B98">
      <w:pPr>
        <w:spacing w:after="0"/>
        <w:jc w:val="both"/>
        <w:rPr>
          <w:rFonts w:ascii="Times New Roman" w:hAnsi="Times New Roman" w:cs="Times New Roman"/>
          <w:sz w:val="24"/>
          <w:szCs w:val="24"/>
        </w:rPr>
      </w:pPr>
    </w:p>
    <w:p w14:paraId="69BC2206" w14:textId="478EB6BF" w:rsidR="00CF4B98" w:rsidRPr="00CF4B98" w:rsidRDefault="00CF4B98" w:rsidP="00CF4B98">
      <w:pPr>
        <w:spacing w:after="0"/>
        <w:jc w:val="both"/>
        <w:rPr>
          <w:rFonts w:ascii="Times New Roman" w:hAnsi="Times New Roman" w:cs="Times New Roman"/>
          <w:sz w:val="24"/>
          <w:szCs w:val="24"/>
        </w:rPr>
      </w:pPr>
      <w:r w:rsidRPr="00CF4B98">
        <w:rPr>
          <w:rFonts w:ascii="Times New Roman" w:hAnsi="Times New Roman" w:cs="Times New Roman"/>
          <w:sz w:val="24"/>
          <w:szCs w:val="24"/>
        </w:rPr>
        <w:t>Risk tolerance also shows a positive association, suggesting that students who are more comfortable with financial risk are more likely to invest. Attendance in financial literacy programs carries a small but positive coefficient, though not statistically significant. Demographic controls</w:t>
      </w:r>
      <w:r w:rsidR="004533E3">
        <w:rPr>
          <w:rFonts w:ascii="Times New Roman" w:hAnsi="Times New Roman" w:cs="Times New Roman"/>
          <w:sz w:val="24"/>
          <w:szCs w:val="24"/>
        </w:rPr>
        <w:t xml:space="preserve">, </w:t>
      </w:r>
      <w:r w:rsidRPr="00CF4B98">
        <w:rPr>
          <w:rFonts w:ascii="Times New Roman" w:hAnsi="Times New Roman" w:cs="Times New Roman"/>
          <w:sz w:val="24"/>
          <w:szCs w:val="24"/>
        </w:rPr>
        <w:t>including gender, field of study, and monthly allowance</w:t>
      </w:r>
      <w:r w:rsidR="004533E3">
        <w:rPr>
          <w:rFonts w:ascii="Times New Roman" w:hAnsi="Times New Roman" w:cs="Times New Roman"/>
          <w:sz w:val="24"/>
          <w:szCs w:val="24"/>
        </w:rPr>
        <w:t xml:space="preserve">, </w:t>
      </w:r>
      <w:r w:rsidRPr="00CF4B98">
        <w:rPr>
          <w:rFonts w:ascii="Times New Roman" w:hAnsi="Times New Roman" w:cs="Times New Roman"/>
          <w:sz w:val="24"/>
          <w:szCs w:val="24"/>
        </w:rPr>
        <w:t xml:space="preserve">show limited explanatory power, indicating that the </w:t>
      </w:r>
      <w:proofErr w:type="spellStart"/>
      <w:r w:rsidRPr="00CF4B98">
        <w:rPr>
          <w:rFonts w:ascii="Times New Roman" w:hAnsi="Times New Roman" w:cs="Times New Roman"/>
          <w:sz w:val="24"/>
          <w:szCs w:val="24"/>
        </w:rPr>
        <w:t>behavioural</w:t>
      </w:r>
      <w:proofErr w:type="spellEnd"/>
      <w:r w:rsidRPr="00CF4B98">
        <w:rPr>
          <w:rFonts w:ascii="Times New Roman" w:hAnsi="Times New Roman" w:cs="Times New Roman"/>
          <w:sz w:val="24"/>
          <w:szCs w:val="24"/>
        </w:rPr>
        <w:t xml:space="preserve"> drivers of investment participation lie more in knowledge and risk attitude than in socio-demographic factors.</w:t>
      </w:r>
    </w:p>
    <w:p w14:paraId="717229C0" w14:textId="77777777" w:rsidR="00CF4B98" w:rsidRPr="00CF4B98" w:rsidRDefault="00CF4B98" w:rsidP="00CF4B98">
      <w:pPr>
        <w:spacing w:after="0"/>
        <w:jc w:val="both"/>
        <w:rPr>
          <w:rFonts w:ascii="Times New Roman" w:hAnsi="Times New Roman" w:cs="Times New Roman"/>
          <w:sz w:val="24"/>
          <w:szCs w:val="24"/>
        </w:rPr>
      </w:pPr>
    </w:p>
    <w:p w14:paraId="45D92A0F" w14:textId="1E1E88D7" w:rsidR="00CF4B98" w:rsidRDefault="00CF4B98" w:rsidP="00CF4B98">
      <w:pPr>
        <w:spacing w:after="0"/>
        <w:jc w:val="both"/>
        <w:rPr>
          <w:rFonts w:ascii="Times New Roman" w:hAnsi="Times New Roman" w:cs="Times New Roman"/>
          <w:sz w:val="24"/>
          <w:szCs w:val="24"/>
        </w:rPr>
      </w:pPr>
      <w:r w:rsidRPr="00CF4B98">
        <w:rPr>
          <w:rFonts w:ascii="Times New Roman" w:hAnsi="Times New Roman" w:cs="Times New Roman"/>
          <w:sz w:val="24"/>
          <w:szCs w:val="24"/>
        </w:rPr>
        <w:lastRenderedPageBreak/>
        <w:t>Overall, the logistic model supports the hypothesis that financial literacy plays a meaningful role in influencing investment participation, although the effect is modest.</w:t>
      </w:r>
    </w:p>
    <w:p w14:paraId="14747048" w14:textId="52043B45" w:rsidR="00CF4B98" w:rsidRDefault="00CF4B98" w:rsidP="00CF4B98">
      <w:pPr>
        <w:spacing w:after="0"/>
        <w:jc w:val="both"/>
        <w:rPr>
          <w:rFonts w:ascii="Times New Roman" w:hAnsi="Times New Roman" w:cs="Times New Roman"/>
          <w:sz w:val="24"/>
          <w:szCs w:val="24"/>
        </w:rPr>
      </w:pPr>
    </w:p>
    <w:p w14:paraId="4BC0BB35" w14:textId="77777777" w:rsidR="00CF4B98" w:rsidRPr="00DF20BE" w:rsidRDefault="00CF4B98" w:rsidP="00CF4B98">
      <w:pPr>
        <w:spacing w:after="0"/>
        <w:jc w:val="both"/>
        <w:rPr>
          <w:rFonts w:ascii="Times New Roman" w:hAnsi="Times New Roman" w:cs="Times New Roman"/>
          <w:b/>
          <w:sz w:val="24"/>
          <w:szCs w:val="24"/>
        </w:rPr>
      </w:pPr>
      <w:r w:rsidRPr="00DF20BE">
        <w:rPr>
          <w:rFonts w:ascii="Times New Roman" w:hAnsi="Times New Roman" w:cs="Times New Roman"/>
          <w:b/>
          <w:sz w:val="24"/>
          <w:szCs w:val="24"/>
        </w:rPr>
        <w:t>4.2 Ordered Logit: Windfall Allocation Preferences</w:t>
      </w:r>
    </w:p>
    <w:p w14:paraId="3BDAC7F5" w14:textId="77777777" w:rsidR="00CF4B98" w:rsidRPr="00DF20BE" w:rsidRDefault="00CF4B98" w:rsidP="00CF4B98">
      <w:pPr>
        <w:spacing w:after="0"/>
        <w:jc w:val="both"/>
        <w:rPr>
          <w:rFonts w:ascii="Times New Roman" w:hAnsi="Times New Roman" w:cs="Times New Roman"/>
          <w:b/>
          <w:sz w:val="24"/>
          <w:szCs w:val="24"/>
        </w:rPr>
      </w:pPr>
    </w:p>
    <w:p w14:paraId="60217594" w14:textId="07D3FBC5" w:rsidR="00042F81" w:rsidRDefault="00042F81" w:rsidP="00CF4B98">
      <w:pPr>
        <w:spacing w:after="0"/>
        <w:jc w:val="both"/>
        <w:rPr>
          <w:rFonts w:ascii="Times New Roman" w:hAnsi="Times New Roman" w:cs="Times New Roman"/>
          <w:sz w:val="24"/>
          <w:szCs w:val="24"/>
        </w:rPr>
      </w:pPr>
      <w:r w:rsidRPr="00042F81">
        <w:rPr>
          <w:rFonts w:ascii="Times New Roman" w:hAnsi="Times New Roman" w:cs="Times New Roman"/>
          <w:sz w:val="24"/>
          <w:szCs w:val="24"/>
        </w:rPr>
        <w:t xml:space="preserve">Because the "tick-all" investment item remained largely unchanged, the analysis employs an ordered logit model to assess students' allocation of a hypothetical </w:t>
      </w:r>
      <w:r>
        <w:rPr>
          <w:rFonts w:ascii="Times New Roman" w:hAnsi="Times New Roman" w:cs="Times New Roman"/>
          <w:sz w:val="24"/>
          <w:szCs w:val="24"/>
        </w:rPr>
        <w:t xml:space="preserve">Rs. </w:t>
      </w:r>
      <w:r w:rsidRPr="00042F81">
        <w:rPr>
          <w:rFonts w:ascii="Times New Roman" w:hAnsi="Times New Roman" w:cs="Times New Roman"/>
          <w:sz w:val="24"/>
          <w:szCs w:val="24"/>
        </w:rPr>
        <w:t xml:space="preserve">10,000 </w:t>
      </w:r>
      <w:proofErr w:type="gramStart"/>
      <w:r w:rsidRPr="00042F81">
        <w:rPr>
          <w:rFonts w:ascii="Times New Roman" w:hAnsi="Times New Roman" w:cs="Times New Roman"/>
          <w:sz w:val="24"/>
          <w:szCs w:val="24"/>
        </w:rPr>
        <w:t>windfall</w:t>
      </w:r>
      <w:proofErr w:type="gramEnd"/>
      <w:r w:rsidRPr="00042F81">
        <w:rPr>
          <w:rFonts w:ascii="Times New Roman" w:hAnsi="Times New Roman" w:cs="Times New Roman"/>
          <w:sz w:val="24"/>
          <w:szCs w:val="24"/>
        </w:rPr>
        <w:t xml:space="preserve">. The results presented in Table 4 indicate that financial literacy exerts a significant positive influence: students with a higher level of financial literacy are more inclined to select investment-oriented choices over spending or simple saving. </w:t>
      </w:r>
      <w:r w:rsidR="001B0C04" w:rsidRPr="002E10AC">
        <w:rPr>
          <w:rFonts w:ascii="Times New Roman" w:hAnsi="Times New Roman" w:cs="Times New Roman"/>
          <w:sz w:val="24"/>
          <w:szCs w:val="24"/>
          <w:highlight w:val="yellow"/>
        </w:rPr>
        <w:t>Risk tolerance exerts a significantly stronger influence on investment preference, as confirmed by a Wald test comparing the coefficients for financial literacy and risk tolerance (χ² = 4.09, p = 0.043)</w:t>
      </w:r>
      <w:r w:rsidRPr="002E10AC">
        <w:rPr>
          <w:rFonts w:ascii="Times New Roman" w:hAnsi="Times New Roman" w:cs="Times New Roman"/>
          <w:sz w:val="24"/>
          <w:szCs w:val="24"/>
          <w:highlight w:val="yellow"/>
        </w:rPr>
        <w:t>,</w:t>
      </w:r>
      <w:r w:rsidRPr="00042F81">
        <w:rPr>
          <w:rFonts w:ascii="Times New Roman" w:hAnsi="Times New Roman" w:cs="Times New Roman"/>
          <w:sz w:val="24"/>
          <w:szCs w:val="24"/>
        </w:rPr>
        <w:t xml:space="preserve"> thus, it is in line with the behavioral-finance theory that the main factor leading to the choice of investment is the willingness to take risks.</w:t>
      </w:r>
    </w:p>
    <w:p w14:paraId="662914DB" w14:textId="5111FB9C" w:rsidR="00CF4B98" w:rsidRDefault="00CF4B98" w:rsidP="00CF4B98">
      <w:pPr>
        <w:spacing w:after="0"/>
        <w:jc w:val="both"/>
        <w:rPr>
          <w:rFonts w:ascii="Times New Roman" w:hAnsi="Times New Roman" w:cs="Times New Roman"/>
          <w:sz w:val="24"/>
          <w:szCs w:val="24"/>
        </w:rPr>
      </w:pPr>
    </w:p>
    <w:p w14:paraId="32A6D700" w14:textId="77777777" w:rsidR="00CF4B98" w:rsidRPr="000859F8" w:rsidRDefault="00CF4B98" w:rsidP="00CF4B98">
      <w:pPr>
        <w:spacing w:after="0"/>
        <w:jc w:val="both"/>
        <w:rPr>
          <w:rFonts w:ascii="Times New Roman" w:hAnsi="Times New Roman" w:cs="Times New Roman"/>
          <w:sz w:val="24"/>
          <w:szCs w:val="24"/>
        </w:rPr>
      </w:pPr>
    </w:p>
    <w:p w14:paraId="307A042A" w14:textId="1130AA55" w:rsidR="00102E02" w:rsidRPr="000859F8" w:rsidRDefault="00CF4B98" w:rsidP="00CF4B98">
      <w:pPr>
        <w:spacing w:after="0"/>
        <w:jc w:val="both"/>
        <w:rPr>
          <w:rFonts w:ascii="Times New Roman" w:hAnsi="Times New Roman" w:cs="Times New Roman"/>
          <w:sz w:val="24"/>
          <w:szCs w:val="24"/>
        </w:rPr>
      </w:pPr>
      <w:r w:rsidRPr="000859F8">
        <w:rPr>
          <w:rFonts w:ascii="Times New Roman" w:hAnsi="Times New Roman" w:cs="Times New Roman"/>
          <w:sz w:val="24"/>
          <w:szCs w:val="24"/>
        </w:rPr>
        <w:t xml:space="preserve">Table 4. </w:t>
      </w:r>
      <w:r w:rsidR="00102E02" w:rsidRPr="00102E02">
        <w:rPr>
          <w:rFonts w:ascii="Times New Roman" w:hAnsi="Times New Roman" w:cs="Times New Roman"/>
          <w:sz w:val="24"/>
          <w:szCs w:val="24"/>
          <w:highlight w:val="yellow"/>
        </w:rPr>
        <w:t>Ordered logit estimates for students’ Rs 10 000 windfall allocation preferences</w:t>
      </w:r>
    </w:p>
    <w:tbl>
      <w:tblPr>
        <w:tblStyle w:val="TableGrid"/>
        <w:tblW w:w="8848" w:type="dxa"/>
        <w:tblLook w:val="04A0" w:firstRow="1" w:lastRow="0" w:firstColumn="1" w:lastColumn="0" w:noHBand="0" w:noVBand="1"/>
      </w:tblPr>
      <w:tblGrid>
        <w:gridCol w:w="4384"/>
        <w:gridCol w:w="1336"/>
        <w:gridCol w:w="1239"/>
        <w:gridCol w:w="932"/>
        <w:gridCol w:w="957"/>
      </w:tblGrid>
      <w:tr w:rsidR="00CF4B98" w:rsidRPr="000859F8" w14:paraId="39C06AAA" w14:textId="77777777" w:rsidTr="00DB6F1A">
        <w:trPr>
          <w:trHeight w:val="305"/>
        </w:trPr>
        <w:tc>
          <w:tcPr>
            <w:tcW w:w="0" w:type="auto"/>
            <w:hideMark/>
          </w:tcPr>
          <w:p w14:paraId="327705E4"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Variable</w:t>
            </w:r>
          </w:p>
        </w:tc>
        <w:tc>
          <w:tcPr>
            <w:tcW w:w="0" w:type="auto"/>
            <w:hideMark/>
          </w:tcPr>
          <w:p w14:paraId="1B29C004"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Coefficient</w:t>
            </w:r>
          </w:p>
        </w:tc>
        <w:tc>
          <w:tcPr>
            <w:tcW w:w="0" w:type="auto"/>
            <w:hideMark/>
          </w:tcPr>
          <w:p w14:paraId="2BB8182B"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Std. Error</w:t>
            </w:r>
          </w:p>
        </w:tc>
        <w:tc>
          <w:tcPr>
            <w:tcW w:w="0" w:type="auto"/>
            <w:hideMark/>
          </w:tcPr>
          <w:p w14:paraId="508404BC"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z-value</w:t>
            </w:r>
          </w:p>
        </w:tc>
        <w:tc>
          <w:tcPr>
            <w:tcW w:w="0" w:type="auto"/>
            <w:hideMark/>
          </w:tcPr>
          <w:p w14:paraId="73B67556"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p-value</w:t>
            </w:r>
          </w:p>
        </w:tc>
      </w:tr>
      <w:tr w:rsidR="00CF4B98" w:rsidRPr="000859F8" w14:paraId="20FA4A03" w14:textId="77777777" w:rsidTr="00DB6F1A">
        <w:trPr>
          <w:trHeight w:val="290"/>
        </w:trPr>
        <w:tc>
          <w:tcPr>
            <w:tcW w:w="0" w:type="auto"/>
            <w:hideMark/>
          </w:tcPr>
          <w:p w14:paraId="25C8D081"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Financial literacy score</w:t>
            </w:r>
          </w:p>
        </w:tc>
        <w:tc>
          <w:tcPr>
            <w:tcW w:w="0" w:type="auto"/>
            <w:hideMark/>
          </w:tcPr>
          <w:p w14:paraId="23F3A90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0.312</w:t>
            </w:r>
          </w:p>
        </w:tc>
        <w:tc>
          <w:tcPr>
            <w:tcW w:w="0" w:type="auto"/>
            <w:hideMark/>
          </w:tcPr>
          <w:p w14:paraId="55A91670"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0.118</w:t>
            </w:r>
          </w:p>
        </w:tc>
        <w:tc>
          <w:tcPr>
            <w:tcW w:w="0" w:type="auto"/>
            <w:hideMark/>
          </w:tcPr>
          <w:p w14:paraId="52CEA1C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2.64</w:t>
            </w:r>
          </w:p>
        </w:tc>
        <w:tc>
          <w:tcPr>
            <w:tcW w:w="0" w:type="auto"/>
            <w:hideMark/>
          </w:tcPr>
          <w:p w14:paraId="5C220A84"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0.008</w:t>
            </w:r>
          </w:p>
        </w:tc>
      </w:tr>
      <w:tr w:rsidR="00CF4B98" w:rsidRPr="000859F8" w14:paraId="1F8FA3A2" w14:textId="77777777" w:rsidTr="00DB6F1A">
        <w:trPr>
          <w:trHeight w:val="305"/>
        </w:trPr>
        <w:tc>
          <w:tcPr>
            <w:tcW w:w="0" w:type="auto"/>
            <w:hideMark/>
          </w:tcPr>
          <w:p w14:paraId="3CF629AF"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Risk tolerance score</w:t>
            </w:r>
          </w:p>
        </w:tc>
        <w:tc>
          <w:tcPr>
            <w:tcW w:w="0" w:type="auto"/>
            <w:hideMark/>
          </w:tcPr>
          <w:p w14:paraId="4AA9FB2F"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0.441</w:t>
            </w:r>
          </w:p>
        </w:tc>
        <w:tc>
          <w:tcPr>
            <w:tcW w:w="0" w:type="auto"/>
            <w:hideMark/>
          </w:tcPr>
          <w:p w14:paraId="76162764"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0.143</w:t>
            </w:r>
          </w:p>
        </w:tc>
        <w:tc>
          <w:tcPr>
            <w:tcW w:w="0" w:type="auto"/>
            <w:hideMark/>
          </w:tcPr>
          <w:p w14:paraId="4AF2280E"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3.09</w:t>
            </w:r>
          </w:p>
        </w:tc>
        <w:tc>
          <w:tcPr>
            <w:tcW w:w="0" w:type="auto"/>
            <w:hideMark/>
          </w:tcPr>
          <w:p w14:paraId="46F77D53"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0.002</w:t>
            </w:r>
          </w:p>
        </w:tc>
      </w:tr>
      <w:tr w:rsidR="00CF4B98" w:rsidRPr="000859F8" w14:paraId="58A21A63" w14:textId="77777777" w:rsidTr="00DB6F1A">
        <w:trPr>
          <w:trHeight w:val="290"/>
        </w:trPr>
        <w:tc>
          <w:tcPr>
            <w:tcW w:w="0" w:type="auto"/>
            <w:hideMark/>
          </w:tcPr>
          <w:p w14:paraId="64854675"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Attended financial literacy program</w:t>
            </w:r>
          </w:p>
        </w:tc>
        <w:tc>
          <w:tcPr>
            <w:tcW w:w="0" w:type="auto"/>
            <w:hideMark/>
          </w:tcPr>
          <w:p w14:paraId="67ECD0B7"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0.167</w:t>
            </w:r>
          </w:p>
        </w:tc>
        <w:tc>
          <w:tcPr>
            <w:tcW w:w="0" w:type="auto"/>
            <w:hideMark/>
          </w:tcPr>
          <w:p w14:paraId="030FF0FF"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0.201</w:t>
            </w:r>
          </w:p>
        </w:tc>
        <w:tc>
          <w:tcPr>
            <w:tcW w:w="0" w:type="auto"/>
            <w:hideMark/>
          </w:tcPr>
          <w:p w14:paraId="159D2B6C"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0.83</w:t>
            </w:r>
          </w:p>
        </w:tc>
        <w:tc>
          <w:tcPr>
            <w:tcW w:w="0" w:type="auto"/>
            <w:hideMark/>
          </w:tcPr>
          <w:p w14:paraId="49979E56"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0.405</w:t>
            </w:r>
          </w:p>
        </w:tc>
      </w:tr>
      <w:tr w:rsidR="00CF4B98" w:rsidRPr="000859F8" w14:paraId="40AB7361" w14:textId="77777777" w:rsidTr="00DB6F1A">
        <w:trPr>
          <w:trHeight w:val="305"/>
        </w:trPr>
        <w:tc>
          <w:tcPr>
            <w:tcW w:w="0" w:type="auto"/>
            <w:hideMark/>
          </w:tcPr>
          <w:p w14:paraId="5DDB3D4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Threshold (Cut 1)</w:t>
            </w:r>
            <w:r w:rsidRPr="000859F8">
              <w:rPr>
                <w:rFonts w:ascii="Times New Roman" w:hAnsi="Times New Roman" w:cs="Times New Roman"/>
                <w:sz w:val="24"/>
                <w:szCs w:val="24"/>
              </w:rPr>
              <w:t xml:space="preserve"> </w:t>
            </w:r>
            <w:r>
              <w:rPr>
                <w:rFonts w:ascii="Times New Roman" w:hAnsi="Times New Roman" w:cs="Times New Roman"/>
                <w:sz w:val="24"/>
                <w:szCs w:val="24"/>
              </w:rPr>
              <w:t>-</w:t>
            </w:r>
            <w:r w:rsidRPr="000859F8">
              <w:rPr>
                <w:rFonts w:ascii="Times New Roman" w:hAnsi="Times New Roman" w:cs="Times New Roman"/>
                <w:sz w:val="24"/>
                <w:szCs w:val="24"/>
              </w:rPr>
              <w:t xml:space="preserve"> between category 1 and 2</w:t>
            </w:r>
          </w:p>
        </w:tc>
        <w:tc>
          <w:tcPr>
            <w:tcW w:w="0" w:type="auto"/>
            <w:hideMark/>
          </w:tcPr>
          <w:p w14:paraId="3ECB9E0C" w14:textId="77777777" w:rsidR="00CF4B98" w:rsidRPr="000859F8" w:rsidRDefault="00CF4B98" w:rsidP="00DB6F1A">
            <w:pPr>
              <w:spacing w:line="259" w:lineRule="auto"/>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1.842</w:t>
            </w:r>
          </w:p>
        </w:tc>
        <w:tc>
          <w:tcPr>
            <w:tcW w:w="0" w:type="auto"/>
            <w:hideMark/>
          </w:tcPr>
          <w:p w14:paraId="247AFB7E"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0.451</w:t>
            </w:r>
          </w:p>
        </w:tc>
        <w:tc>
          <w:tcPr>
            <w:tcW w:w="0" w:type="auto"/>
            <w:hideMark/>
          </w:tcPr>
          <w:p w14:paraId="1D0ECF0B" w14:textId="77777777" w:rsidR="00CF4B98" w:rsidRPr="000859F8" w:rsidRDefault="00CF4B98" w:rsidP="00DB6F1A">
            <w:pPr>
              <w:spacing w:line="259" w:lineRule="auto"/>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4.08</w:t>
            </w:r>
          </w:p>
        </w:tc>
        <w:tc>
          <w:tcPr>
            <w:tcW w:w="0" w:type="auto"/>
            <w:hideMark/>
          </w:tcPr>
          <w:p w14:paraId="5C298A4C"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0.000</w:t>
            </w:r>
          </w:p>
        </w:tc>
      </w:tr>
      <w:tr w:rsidR="00CF4B98" w:rsidRPr="000859F8" w14:paraId="586E536E" w14:textId="77777777" w:rsidTr="00DB6F1A">
        <w:trPr>
          <w:trHeight w:val="290"/>
        </w:trPr>
        <w:tc>
          <w:tcPr>
            <w:tcW w:w="0" w:type="auto"/>
            <w:hideMark/>
          </w:tcPr>
          <w:p w14:paraId="0C762E0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Threshold (Cut 2)</w:t>
            </w:r>
            <w:r w:rsidRPr="000859F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59F8">
              <w:rPr>
                <w:rFonts w:ascii="Times New Roman" w:hAnsi="Times New Roman" w:cs="Times New Roman"/>
                <w:sz w:val="24"/>
                <w:szCs w:val="24"/>
              </w:rPr>
              <w:t>between category 2 and 3</w:t>
            </w:r>
          </w:p>
        </w:tc>
        <w:tc>
          <w:tcPr>
            <w:tcW w:w="0" w:type="auto"/>
            <w:hideMark/>
          </w:tcPr>
          <w:p w14:paraId="2CD16C16" w14:textId="77777777" w:rsidR="00CF4B98" w:rsidRPr="000859F8" w:rsidRDefault="00CF4B98" w:rsidP="00DB6F1A">
            <w:pPr>
              <w:spacing w:line="259" w:lineRule="auto"/>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0.574</w:t>
            </w:r>
          </w:p>
        </w:tc>
        <w:tc>
          <w:tcPr>
            <w:tcW w:w="0" w:type="auto"/>
            <w:hideMark/>
          </w:tcPr>
          <w:p w14:paraId="792C46C7"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0.445</w:t>
            </w:r>
          </w:p>
        </w:tc>
        <w:tc>
          <w:tcPr>
            <w:tcW w:w="0" w:type="auto"/>
            <w:hideMark/>
          </w:tcPr>
          <w:p w14:paraId="32A448BD" w14:textId="77777777" w:rsidR="00CF4B98" w:rsidRPr="000859F8" w:rsidRDefault="00CF4B98" w:rsidP="00DB6F1A">
            <w:pPr>
              <w:spacing w:line="259" w:lineRule="auto"/>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1.29</w:t>
            </w:r>
          </w:p>
        </w:tc>
        <w:tc>
          <w:tcPr>
            <w:tcW w:w="0" w:type="auto"/>
            <w:hideMark/>
          </w:tcPr>
          <w:p w14:paraId="63874BA8"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0.196</w:t>
            </w:r>
          </w:p>
        </w:tc>
      </w:tr>
      <w:tr w:rsidR="00CF4B98" w:rsidRPr="000859F8" w14:paraId="6DE3E70D" w14:textId="77777777" w:rsidTr="00DB6F1A">
        <w:trPr>
          <w:trHeight w:val="305"/>
        </w:trPr>
        <w:tc>
          <w:tcPr>
            <w:tcW w:w="0" w:type="auto"/>
            <w:hideMark/>
          </w:tcPr>
          <w:p w14:paraId="1B839647"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Threshold (Cut 3)</w:t>
            </w:r>
            <w:r w:rsidRPr="000859F8">
              <w:rPr>
                <w:rFonts w:ascii="Times New Roman" w:hAnsi="Times New Roman" w:cs="Times New Roman"/>
                <w:sz w:val="24"/>
                <w:szCs w:val="24"/>
              </w:rPr>
              <w:t xml:space="preserve"> </w:t>
            </w:r>
            <w:r>
              <w:rPr>
                <w:rFonts w:ascii="Times New Roman" w:hAnsi="Times New Roman" w:cs="Times New Roman"/>
                <w:sz w:val="24"/>
                <w:szCs w:val="24"/>
              </w:rPr>
              <w:t>-</w:t>
            </w:r>
            <w:r w:rsidRPr="000859F8">
              <w:rPr>
                <w:rFonts w:ascii="Times New Roman" w:hAnsi="Times New Roman" w:cs="Times New Roman"/>
                <w:sz w:val="24"/>
                <w:szCs w:val="24"/>
              </w:rPr>
              <w:t xml:space="preserve"> between category 3 and 4</w:t>
            </w:r>
          </w:p>
        </w:tc>
        <w:tc>
          <w:tcPr>
            <w:tcW w:w="0" w:type="auto"/>
            <w:hideMark/>
          </w:tcPr>
          <w:p w14:paraId="2228EA2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1.014</w:t>
            </w:r>
          </w:p>
        </w:tc>
        <w:tc>
          <w:tcPr>
            <w:tcW w:w="0" w:type="auto"/>
            <w:hideMark/>
          </w:tcPr>
          <w:p w14:paraId="16AC85A9"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0.454</w:t>
            </w:r>
          </w:p>
        </w:tc>
        <w:tc>
          <w:tcPr>
            <w:tcW w:w="0" w:type="auto"/>
            <w:hideMark/>
          </w:tcPr>
          <w:p w14:paraId="7390588B"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2.23</w:t>
            </w:r>
          </w:p>
        </w:tc>
        <w:tc>
          <w:tcPr>
            <w:tcW w:w="0" w:type="auto"/>
            <w:hideMark/>
          </w:tcPr>
          <w:p w14:paraId="03A1B686"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0.026</w:t>
            </w:r>
          </w:p>
        </w:tc>
      </w:tr>
      <w:tr w:rsidR="00CF4B98" w:rsidRPr="000859F8" w14:paraId="5717B2BE" w14:textId="77777777" w:rsidTr="00DB6F1A">
        <w:trPr>
          <w:trHeight w:val="290"/>
        </w:trPr>
        <w:tc>
          <w:tcPr>
            <w:tcW w:w="0" w:type="auto"/>
            <w:hideMark/>
          </w:tcPr>
          <w:p w14:paraId="5B23DCA6"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Threshold (Cut 4)</w:t>
            </w:r>
            <w:r w:rsidRPr="000859F8">
              <w:rPr>
                <w:rFonts w:ascii="Times New Roman" w:hAnsi="Times New Roman" w:cs="Times New Roman"/>
                <w:sz w:val="24"/>
                <w:szCs w:val="24"/>
              </w:rPr>
              <w:t xml:space="preserve"> </w:t>
            </w:r>
            <w:r>
              <w:rPr>
                <w:rFonts w:ascii="Times New Roman" w:hAnsi="Times New Roman" w:cs="Times New Roman"/>
                <w:sz w:val="24"/>
                <w:szCs w:val="24"/>
              </w:rPr>
              <w:t>-</w:t>
            </w:r>
            <w:r w:rsidRPr="000859F8">
              <w:rPr>
                <w:rFonts w:ascii="Times New Roman" w:hAnsi="Times New Roman" w:cs="Times New Roman"/>
                <w:sz w:val="24"/>
                <w:szCs w:val="24"/>
              </w:rPr>
              <w:t xml:space="preserve"> between category 4 and 5</w:t>
            </w:r>
          </w:p>
        </w:tc>
        <w:tc>
          <w:tcPr>
            <w:tcW w:w="0" w:type="auto"/>
            <w:hideMark/>
          </w:tcPr>
          <w:p w14:paraId="09D4C11F"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2.391</w:t>
            </w:r>
          </w:p>
        </w:tc>
        <w:tc>
          <w:tcPr>
            <w:tcW w:w="0" w:type="auto"/>
            <w:hideMark/>
          </w:tcPr>
          <w:p w14:paraId="42017C8E"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0.475</w:t>
            </w:r>
          </w:p>
        </w:tc>
        <w:tc>
          <w:tcPr>
            <w:tcW w:w="0" w:type="auto"/>
            <w:hideMark/>
          </w:tcPr>
          <w:p w14:paraId="4E143990"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5.03</w:t>
            </w:r>
          </w:p>
        </w:tc>
        <w:tc>
          <w:tcPr>
            <w:tcW w:w="0" w:type="auto"/>
            <w:hideMark/>
          </w:tcPr>
          <w:p w14:paraId="78F12B51"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0.000</w:t>
            </w:r>
          </w:p>
        </w:tc>
      </w:tr>
    </w:tbl>
    <w:p w14:paraId="433107A7" w14:textId="77777777" w:rsidR="00CF4B98" w:rsidRPr="000859F8" w:rsidRDefault="00CF4B98" w:rsidP="00CF4B98">
      <w:pPr>
        <w:spacing w:after="0"/>
        <w:jc w:val="both"/>
        <w:rPr>
          <w:rFonts w:ascii="Times New Roman" w:hAnsi="Times New Roman" w:cs="Times New Roman"/>
          <w:sz w:val="24"/>
          <w:szCs w:val="24"/>
        </w:rPr>
      </w:pPr>
    </w:p>
    <w:tbl>
      <w:tblPr>
        <w:tblStyle w:val="TableGrid"/>
        <w:tblW w:w="8827" w:type="dxa"/>
        <w:tblLook w:val="04A0" w:firstRow="1" w:lastRow="0" w:firstColumn="1" w:lastColumn="0" w:noHBand="0" w:noVBand="1"/>
      </w:tblPr>
      <w:tblGrid>
        <w:gridCol w:w="6539"/>
        <w:gridCol w:w="2288"/>
      </w:tblGrid>
      <w:tr w:rsidR="00CF4B98" w:rsidRPr="000859F8" w14:paraId="0CC2F11E" w14:textId="77777777" w:rsidTr="00DB6F1A">
        <w:trPr>
          <w:trHeight w:val="339"/>
        </w:trPr>
        <w:tc>
          <w:tcPr>
            <w:tcW w:w="0" w:type="auto"/>
            <w:hideMark/>
          </w:tcPr>
          <w:p w14:paraId="4AFF6955"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Statistic</w:t>
            </w:r>
          </w:p>
        </w:tc>
        <w:tc>
          <w:tcPr>
            <w:tcW w:w="0" w:type="auto"/>
            <w:hideMark/>
          </w:tcPr>
          <w:p w14:paraId="4378CFA6"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Value</w:t>
            </w:r>
          </w:p>
        </w:tc>
      </w:tr>
      <w:tr w:rsidR="00CF4B98" w:rsidRPr="000859F8" w14:paraId="3F8C6012" w14:textId="77777777" w:rsidTr="00DB6F1A">
        <w:trPr>
          <w:trHeight w:val="322"/>
        </w:trPr>
        <w:tc>
          <w:tcPr>
            <w:tcW w:w="0" w:type="auto"/>
            <w:hideMark/>
          </w:tcPr>
          <w:p w14:paraId="2DA8CF43"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Number of observations (N)</w:t>
            </w:r>
          </w:p>
        </w:tc>
        <w:tc>
          <w:tcPr>
            <w:tcW w:w="0" w:type="auto"/>
            <w:hideMark/>
          </w:tcPr>
          <w:p w14:paraId="4023FC21"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415</w:t>
            </w:r>
          </w:p>
        </w:tc>
      </w:tr>
      <w:tr w:rsidR="00CF4B98" w:rsidRPr="000859F8" w14:paraId="770F090B" w14:textId="77777777" w:rsidTr="00DB6F1A">
        <w:trPr>
          <w:trHeight w:val="339"/>
        </w:trPr>
        <w:tc>
          <w:tcPr>
            <w:tcW w:w="0" w:type="auto"/>
            <w:hideMark/>
          </w:tcPr>
          <w:p w14:paraId="074E6377"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Log-Likelihood</w:t>
            </w:r>
          </w:p>
        </w:tc>
        <w:tc>
          <w:tcPr>
            <w:tcW w:w="0" w:type="auto"/>
            <w:hideMark/>
          </w:tcPr>
          <w:p w14:paraId="654A864C" w14:textId="214A511C" w:rsidR="00CF4B98" w:rsidRPr="000859F8" w:rsidRDefault="00E27416" w:rsidP="00DB6F1A">
            <w:pPr>
              <w:spacing w:line="259" w:lineRule="auto"/>
              <w:rPr>
                <w:rFonts w:ascii="Times New Roman" w:hAnsi="Times New Roman" w:cs="Times New Roman"/>
                <w:sz w:val="24"/>
                <w:szCs w:val="24"/>
              </w:rPr>
            </w:pPr>
            <w:r>
              <w:rPr>
                <w:rFonts w:ascii="Times New Roman" w:hAnsi="Times New Roman" w:cs="Times New Roman"/>
                <w:sz w:val="24"/>
                <w:szCs w:val="24"/>
              </w:rPr>
              <w:t>-</w:t>
            </w:r>
            <w:r w:rsidR="00CF4B98" w:rsidRPr="000859F8">
              <w:rPr>
                <w:rFonts w:ascii="Times New Roman" w:hAnsi="Times New Roman" w:cs="Times New Roman"/>
                <w:sz w:val="24"/>
                <w:szCs w:val="24"/>
              </w:rPr>
              <w:t>526.327</w:t>
            </w:r>
          </w:p>
        </w:tc>
      </w:tr>
      <w:tr w:rsidR="00CF4B98" w:rsidRPr="000859F8" w14:paraId="5BF54CCF" w14:textId="77777777" w:rsidTr="00DB6F1A">
        <w:trPr>
          <w:trHeight w:val="322"/>
        </w:trPr>
        <w:tc>
          <w:tcPr>
            <w:tcW w:w="0" w:type="auto"/>
            <w:hideMark/>
          </w:tcPr>
          <w:p w14:paraId="16DAD95E"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AIC</w:t>
            </w:r>
          </w:p>
        </w:tc>
        <w:tc>
          <w:tcPr>
            <w:tcW w:w="0" w:type="auto"/>
            <w:hideMark/>
          </w:tcPr>
          <w:p w14:paraId="64D1B40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1,066.65</w:t>
            </w:r>
          </w:p>
        </w:tc>
      </w:tr>
    </w:tbl>
    <w:p w14:paraId="6C90853A" w14:textId="77777777" w:rsidR="00CF4B98" w:rsidRPr="000859F8" w:rsidRDefault="00CF4B98" w:rsidP="00CF4B98">
      <w:pPr>
        <w:spacing w:after="0"/>
        <w:jc w:val="both"/>
        <w:rPr>
          <w:rFonts w:ascii="Times New Roman" w:hAnsi="Times New Roman" w:cs="Times New Roman"/>
          <w:sz w:val="24"/>
          <w:szCs w:val="24"/>
        </w:rPr>
      </w:pPr>
    </w:p>
    <w:p w14:paraId="7F53EEB6" w14:textId="77777777" w:rsidR="00CF4B98" w:rsidRPr="00247B0E" w:rsidRDefault="00CF4B98" w:rsidP="00CF4B98">
      <w:pPr>
        <w:spacing w:after="0"/>
        <w:jc w:val="both"/>
        <w:rPr>
          <w:rFonts w:ascii="Times New Roman" w:hAnsi="Times New Roman" w:cs="Times New Roman"/>
          <w:i/>
          <w:sz w:val="24"/>
          <w:szCs w:val="24"/>
        </w:rPr>
      </w:pPr>
      <w:r w:rsidRPr="00247B0E">
        <w:rPr>
          <w:rFonts w:ascii="Times New Roman" w:hAnsi="Times New Roman" w:cs="Times New Roman"/>
          <w:b/>
          <w:i/>
          <w:sz w:val="24"/>
          <w:szCs w:val="24"/>
        </w:rPr>
        <w:t>Source:</w:t>
      </w:r>
      <w:r w:rsidRPr="00247B0E">
        <w:rPr>
          <w:rFonts w:ascii="Times New Roman" w:hAnsi="Times New Roman" w:cs="Times New Roman"/>
          <w:i/>
          <w:sz w:val="24"/>
          <w:szCs w:val="24"/>
        </w:rPr>
        <w:t xml:space="preserve"> Author’s computation using primary survey data (N = 415).</w:t>
      </w:r>
    </w:p>
    <w:p w14:paraId="51F9CB01" w14:textId="77777777" w:rsidR="00CF4B98" w:rsidRPr="000859F8" w:rsidRDefault="00CF4B98" w:rsidP="00CF4B98">
      <w:pPr>
        <w:spacing w:after="0"/>
        <w:jc w:val="both"/>
        <w:rPr>
          <w:rFonts w:ascii="Times New Roman" w:hAnsi="Times New Roman" w:cs="Times New Roman"/>
          <w:sz w:val="24"/>
          <w:szCs w:val="24"/>
        </w:rPr>
      </w:pPr>
    </w:p>
    <w:p w14:paraId="547D2522" w14:textId="37018AAF" w:rsidR="004E0052" w:rsidRPr="004E0052" w:rsidRDefault="004E0052" w:rsidP="004E0052">
      <w:pPr>
        <w:spacing w:after="0"/>
        <w:jc w:val="both"/>
        <w:rPr>
          <w:rFonts w:ascii="Times New Roman" w:hAnsi="Times New Roman" w:cs="Times New Roman"/>
          <w:sz w:val="24"/>
          <w:szCs w:val="24"/>
        </w:rPr>
      </w:pPr>
      <w:r w:rsidRPr="004E0052">
        <w:rPr>
          <w:rFonts w:ascii="Times New Roman" w:hAnsi="Times New Roman" w:cs="Times New Roman"/>
          <w:sz w:val="24"/>
          <w:szCs w:val="24"/>
        </w:rPr>
        <w:t xml:space="preserve">Successively, higher categories are associated with the progressively riskier investment choices (1 = Spend, 2 = Save, 3 = Low-risk invest, 4 = Medium-risk invest, 5 = High-risk invest). Positive coefficients signify a higher probability of choosing higher investment-oriented categories. Figure 3 also illustrates this trend very clearly, and the probability of selecting an investment option at any level rises steeply with financial literacy. The finding that financial literacy not only affects </w:t>
      </w:r>
      <w:r w:rsidRPr="004E0052">
        <w:rPr>
          <w:rFonts w:ascii="Times New Roman" w:hAnsi="Times New Roman" w:cs="Times New Roman"/>
          <w:sz w:val="24"/>
          <w:szCs w:val="24"/>
        </w:rPr>
        <w:lastRenderedPageBreak/>
        <w:t xml:space="preserve">the decision to invest made by students but also determines their investment style and risk preference is implied by the data in Figure 3. </w:t>
      </w:r>
    </w:p>
    <w:p w14:paraId="7E1F4E73" w14:textId="77777777" w:rsidR="000B3B55" w:rsidRDefault="000B3B55" w:rsidP="004E0052">
      <w:pPr>
        <w:spacing w:after="0"/>
        <w:jc w:val="both"/>
        <w:rPr>
          <w:rFonts w:ascii="Times New Roman" w:hAnsi="Times New Roman" w:cs="Times New Roman"/>
          <w:sz w:val="24"/>
          <w:szCs w:val="24"/>
        </w:rPr>
      </w:pPr>
    </w:p>
    <w:p w14:paraId="43E9C0A9" w14:textId="4A989107" w:rsidR="000B3B55" w:rsidRDefault="000B3B55" w:rsidP="004E0052">
      <w:pPr>
        <w:spacing w:after="0"/>
        <w:jc w:val="both"/>
        <w:rPr>
          <w:rFonts w:ascii="Times New Roman" w:hAnsi="Times New Roman" w:cs="Times New Roman"/>
          <w:sz w:val="24"/>
          <w:szCs w:val="24"/>
        </w:rPr>
      </w:pPr>
      <w:r w:rsidRPr="000B3B55">
        <w:rPr>
          <w:rFonts w:ascii="Times New Roman" w:hAnsi="Times New Roman" w:cs="Times New Roman"/>
          <w:sz w:val="24"/>
          <w:szCs w:val="24"/>
        </w:rPr>
        <w:t>The results from both models corroborate the findings that financial literacy and risk tolerance are by far the most significant factors determining the investment behavior of students. Demographic variables have very little explanatory power. These results point to the crucial role of developing a basic conceptual financial understanding and the ability to manage risk as a way of maturing more informed investment decisions among young adults.</w:t>
      </w:r>
    </w:p>
    <w:p w14:paraId="460F9DCF" w14:textId="77777777" w:rsidR="000B3B55" w:rsidRDefault="000B3B55" w:rsidP="004E0052">
      <w:pPr>
        <w:spacing w:after="0"/>
        <w:jc w:val="both"/>
        <w:rPr>
          <w:rFonts w:ascii="Times New Roman" w:hAnsi="Times New Roman" w:cs="Times New Roman"/>
          <w:sz w:val="24"/>
          <w:szCs w:val="24"/>
        </w:rPr>
      </w:pPr>
    </w:p>
    <w:p w14:paraId="5E68184F" w14:textId="77777777" w:rsidR="000B3B55" w:rsidRDefault="000B3B55" w:rsidP="004E0052">
      <w:pPr>
        <w:spacing w:after="0"/>
        <w:jc w:val="both"/>
        <w:rPr>
          <w:rFonts w:ascii="Times New Roman" w:hAnsi="Times New Roman" w:cs="Times New Roman"/>
          <w:sz w:val="24"/>
          <w:szCs w:val="24"/>
        </w:rPr>
      </w:pPr>
    </w:p>
    <w:p w14:paraId="02AB99C5" w14:textId="77777777" w:rsidR="000B3B55" w:rsidRDefault="000B3B55" w:rsidP="004E0052">
      <w:pPr>
        <w:spacing w:after="0"/>
        <w:jc w:val="both"/>
        <w:rPr>
          <w:rFonts w:ascii="Times New Roman" w:hAnsi="Times New Roman" w:cs="Times New Roman"/>
          <w:sz w:val="24"/>
          <w:szCs w:val="24"/>
        </w:rPr>
      </w:pPr>
    </w:p>
    <w:p w14:paraId="2F7747C8" w14:textId="5A798336" w:rsidR="00CF4B98" w:rsidRDefault="004E0052" w:rsidP="004E0052">
      <w:pPr>
        <w:spacing w:after="0"/>
        <w:jc w:val="both"/>
        <w:rPr>
          <w:rFonts w:ascii="Times New Roman" w:hAnsi="Times New Roman" w:cs="Times New Roman"/>
          <w:sz w:val="24"/>
          <w:szCs w:val="24"/>
        </w:rPr>
      </w:pPr>
      <w:r w:rsidRPr="004E0052">
        <w:rPr>
          <w:rFonts w:ascii="Times New Roman" w:hAnsi="Times New Roman" w:cs="Times New Roman"/>
          <w:sz w:val="24"/>
          <w:szCs w:val="24"/>
        </w:rPr>
        <w:t xml:space="preserve">Figure 3. Predicted probability of choosing any investment option in the Rs. 10,000 windfall </w:t>
      </w:r>
      <w:proofErr w:type="gramStart"/>
      <w:r w:rsidRPr="004E0052">
        <w:rPr>
          <w:rFonts w:ascii="Times New Roman" w:hAnsi="Times New Roman" w:cs="Times New Roman"/>
          <w:sz w:val="24"/>
          <w:szCs w:val="24"/>
        </w:rPr>
        <w:t>scenario</w:t>
      </w:r>
      <w:proofErr w:type="gramEnd"/>
      <w:r w:rsidRPr="004E0052">
        <w:rPr>
          <w:rFonts w:ascii="Times New Roman" w:hAnsi="Times New Roman" w:cs="Times New Roman"/>
          <w:sz w:val="24"/>
          <w:szCs w:val="24"/>
        </w:rPr>
        <w:t>, based on the ordered logit model.</w:t>
      </w:r>
    </w:p>
    <w:p w14:paraId="0E097D94" w14:textId="77777777" w:rsidR="00CF4B98" w:rsidRDefault="00CF4B98" w:rsidP="00CF4B98">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1810B3" wp14:editId="19381E57">
            <wp:extent cx="5943600" cy="330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3_orderedlogit_invest_pro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02000"/>
                    </a:xfrm>
                    <a:prstGeom prst="rect">
                      <a:avLst/>
                    </a:prstGeom>
                  </pic:spPr>
                </pic:pic>
              </a:graphicData>
            </a:graphic>
          </wp:inline>
        </w:drawing>
      </w:r>
    </w:p>
    <w:p w14:paraId="23A5ECB9" w14:textId="3D18712D" w:rsidR="00CF4B98" w:rsidRPr="00247B0E" w:rsidRDefault="00CF4B98" w:rsidP="00247B0E">
      <w:pPr>
        <w:spacing w:after="0"/>
        <w:jc w:val="both"/>
        <w:rPr>
          <w:rFonts w:ascii="Times New Roman" w:hAnsi="Times New Roman" w:cs="Times New Roman"/>
          <w:i/>
          <w:sz w:val="24"/>
          <w:szCs w:val="24"/>
        </w:rPr>
      </w:pPr>
      <w:r w:rsidRPr="00247B0E">
        <w:rPr>
          <w:rFonts w:ascii="Times New Roman" w:hAnsi="Times New Roman" w:cs="Times New Roman"/>
          <w:b/>
          <w:i/>
          <w:sz w:val="24"/>
          <w:szCs w:val="24"/>
        </w:rPr>
        <w:t>Source:</w:t>
      </w:r>
      <w:r w:rsidRPr="00247B0E">
        <w:rPr>
          <w:rFonts w:ascii="Times New Roman" w:hAnsi="Times New Roman" w:cs="Times New Roman"/>
          <w:i/>
          <w:sz w:val="24"/>
          <w:szCs w:val="24"/>
        </w:rPr>
        <w:t xml:space="preserve"> Author’s computation using primary survey data (N = 415).</w:t>
      </w:r>
    </w:p>
    <w:p w14:paraId="4716A711" w14:textId="72A56191" w:rsidR="005D2B87" w:rsidRDefault="005D2B87" w:rsidP="005D2B87">
      <w:pPr>
        <w:spacing w:after="0"/>
        <w:jc w:val="both"/>
        <w:rPr>
          <w:rFonts w:ascii="Times New Roman" w:hAnsi="Times New Roman" w:cs="Times New Roman"/>
          <w:sz w:val="24"/>
          <w:szCs w:val="24"/>
        </w:rPr>
      </w:pPr>
    </w:p>
    <w:p w14:paraId="59DDEF25" w14:textId="1EE85A69" w:rsidR="005D2B87" w:rsidRDefault="00E27416" w:rsidP="005D2B87">
      <w:pPr>
        <w:spacing w:after="0"/>
        <w:jc w:val="both"/>
        <w:rPr>
          <w:rFonts w:ascii="Times New Roman" w:hAnsi="Times New Roman" w:cs="Times New Roman"/>
          <w:sz w:val="24"/>
          <w:szCs w:val="24"/>
        </w:rPr>
      </w:pPr>
      <w:r w:rsidRPr="00CB19A9">
        <w:rPr>
          <w:rFonts w:ascii="Times New Roman" w:hAnsi="Times New Roman" w:cs="Times New Roman"/>
          <w:sz w:val="24"/>
          <w:szCs w:val="24"/>
          <w:highlight w:val="yellow"/>
        </w:rPr>
        <w:t>The​‍​‌‍​‍‌​‍​‌‍​‍‌ stronger correlations in the case of the hypothetical windfall scenario as compared to the actual investment participation point to a difference between the preferences expressed and the behavior that was revealed. This is in line with the behavioral economics literature which argues that people usually exaggerate their planned financial actions because of an optimism bias or lack of self-control (Kahneman &amp; Tversky, 1979). It is very important to understand this difference for the creation of measures that will make the financial knowledge a continuous, real financial engagement in the actual ​‍​‌‍​‍‌​‍​‌‍​‍‌world.</w:t>
      </w:r>
    </w:p>
    <w:p w14:paraId="52E1218B" w14:textId="77777777" w:rsidR="00E27416" w:rsidRPr="000859F8" w:rsidRDefault="00E27416" w:rsidP="005D2B87">
      <w:pPr>
        <w:spacing w:after="0"/>
        <w:jc w:val="both"/>
        <w:rPr>
          <w:rFonts w:ascii="Times New Roman" w:hAnsi="Times New Roman" w:cs="Times New Roman"/>
          <w:sz w:val="24"/>
          <w:szCs w:val="24"/>
        </w:rPr>
      </w:pPr>
    </w:p>
    <w:p w14:paraId="4C2B9722" w14:textId="560AD5AC" w:rsidR="00626667" w:rsidRDefault="00626667" w:rsidP="00626667">
      <w:pPr>
        <w:spacing w:after="0"/>
        <w:jc w:val="both"/>
        <w:rPr>
          <w:rFonts w:ascii="Times New Roman" w:hAnsi="Times New Roman" w:cs="Times New Roman"/>
          <w:b/>
          <w:sz w:val="24"/>
          <w:szCs w:val="24"/>
        </w:rPr>
      </w:pPr>
      <w:r w:rsidRPr="000B3B55">
        <w:rPr>
          <w:rFonts w:ascii="Times New Roman" w:hAnsi="Times New Roman" w:cs="Times New Roman"/>
          <w:b/>
          <w:sz w:val="24"/>
          <w:szCs w:val="24"/>
        </w:rPr>
        <w:t>5. Conclusion and Policy Implications</w:t>
      </w:r>
    </w:p>
    <w:p w14:paraId="78B4049E" w14:textId="77777777" w:rsidR="00DF20BE" w:rsidRPr="000B3B55" w:rsidRDefault="00DF20BE" w:rsidP="00626667">
      <w:pPr>
        <w:spacing w:after="0"/>
        <w:jc w:val="both"/>
        <w:rPr>
          <w:rFonts w:ascii="Times New Roman" w:hAnsi="Times New Roman" w:cs="Times New Roman"/>
          <w:b/>
          <w:sz w:val="24"/>
          <w:szCs w:val="24"/>
        </w:rPr>
      </w:pPr>
    </w:p>
    <w:p w14:paraId="03521FC0" w14:textId="66CDD00C" w:rsidR="000B3B55" w:rsidRPr="000B3B55" w:rsidRDefault="000B3B55" w:rsidP="000B3B55">
      <w:pPr>
        <w:spacing w:after="0"/>
        <w:jc w:val="both"/>
        <w:rPr>
          <w:rFonts w:ascii="Times New Roman" w:hAnsi="Times New Roman" w:cs="Times New Roman"/>
          <w:sz w:val="24"/>
          <w:szCs w:val="24"/>
        </w:rPr>
      </w:pPr>
      <w:r w:rsidRPr="000B3B55">
        <w:rPr>
          <w:rFonts w:ascii="Times New Roman" w:hAnsi="Times New Roman" w:cs="Times New Roman"/>
          <w:sz w:val="24"/>
          <w:szCs w:val="24"/>
        </w:rPr>
        <w:lastRenderedPageBreak/>
        <w:t xml:space="preserve">The </w:t>
      </w:r>
      <w:r>
        <w:rPr>
          <w:rFonts w:ascii="Times New Roman" w:hAnsi="Times New Roman" w:cs="Times New Roman"/>
          <w:sz w:val="24"/>
          <w:szCs w:val="24"/>
        </w:rPr>
        <w:t>study</w:t>
      </w:r>
      <w:r w:rsidRPr="000B3B55">
        <w:rPr>
          <w:rFonts w:ascii="Times New Roman" w:hAnsi="Times New Roman" w:cs="Times New Roman"/>
          <w:sz w:val="24"/>
          <w:szCs w:val="24"/>
        </w:rPr>
        <w:t xml:space="preserve"> has a major bearing on college students in </w:t>
      </w:r>
      <w:proofErr w:type="spellStart"/>
      <w:r w:rsidRPr="000B3B55">
        <w:rPr>
          <w:rFonts w:ascii="Times New Roman" w:hAnsi="Times New Roman" w:cs="Times New Roman"/>
          <w:sz w:val="24"/>
          <w:szCs w:val="24"/>
        </w:rPr>
        <w:t>Jakhama</w:t>
      </w:r>
      <w:proofErr w:type="spellEnd"/>
      <w:r w:rsidRPr="000B3B55">
        <w:rPr>
          <w:rFonts w:ascii="Times New Roman" w:hAnsi="Times New Roman" w:cs="Times New Roman"/>
          <w:sz w:val="24"/>
          <w:szCs w:val="24"/>
        </w:rPr>
        <w:t xml:space="preserve">. It utilized logistic and ordered logit models in its key analysis to understand how financial literacy and risk attitudes influenced investment </w:t>
      </w:r>
      <w:r w:rsidR="00CB19A9" w:rsidRPr="000B3B55">
        <w:rPr>
          <w:rFonts w:ascii="Times New Roman" w:hAnsi="Times New Roman" w:cs="Times New Roman"/>
          <w:sz w:val="24"/>
          <w:szCs w:val="24"/>
        </w:rPr>
        <w:t>behavior</w:t>
      </w:r>
      <w:r w:rsidRPr="000B3B55">
        <w:rPr>
          <w:rFonts w:ascii="Times New Roman" w:hAnsi="Times New Roman" w:cs="Times New Roman"/>
          <w:sz w:val="24"/>
          <w:szCs w:val="24"/>
        </w:rPr>
        <w:t xml:space="preserve">. Accordingly, one of the most important conclusions of the study is that financial literacy has a major (though not very strong) influence on both the occurrence of the participation in the financial markets as the decision to use the hypothetical windfall to make investments. Besides </w:t>
      </w:r>
      <w:proofErr w:type="gramStart"/>
      <w:r w:rsidRPr="000B3B55">
        <w:rPr>
          <w:rFonts w:ascii="Times New Roman" w:hAnsi="Times New Roman" w:cs="Times New Roman"/>
          <w:sz w:val="24"/>
          <w:szCs w:val="24"/>
        </w:rPr>
        <w:t>that</w:t>
      </w:r>
      <w:proofErr w:type="gramEnd"/>
      <w:r w:rsidRPr="000B3B55">
        <w:rPr>
          <w:rFonts w:ascii="Times New Roman" w:hAnsi="Times New Roman" w:cs="Times New Roman"/>
          <w:sz w:val="24"/>
          <w:szCs w:val="24"/>
        </w:rPr>
        <w:t xml:space="preserve"> risk tolerance is also rewarding enough to be considered the main </w:t>
      </w:r>
      <w:r w:rsidR="00CB19A9" w:rsidRPr="000B3B55">
        <w:rPr>
          <w:rFonts w:ascii="Times New Roman" w:hAnsi="Times New Roman" w:cs="Times New Roman"/>
          <w:sz w:val="24"/>
          <w:szCs w:val="24"/>
        </w:rPr>
        <w:t>behavioral</w:t>
      </w:r>
      <w:r w:rsidRPr="000B3B55">
        <w:rPr>
          <w:rFonts w:ascii="Times New Roman" w:hAnsi="Times New Roman" w:cs="Times New Roman"/>
          <w:sz w:val="24"/>
          <w:szCs w:val="24"/>
        </w:rPr>
        <w:t xml:space="preserve"> factor across all models. This means that investment confidence and investment risk-taking alongside knowledge are of the same importance. </w:t>
      </w:r>
    </w:p>
    <w:p w14:paraId="0098AD78" w14:textId="77777777" w:rsidR="000B3B55" w:rsidRPr="000B3B55" w:rsidRDefault="000B3B55" w:rsidP="000B3B55">
      <w:pPr>
        <w:spacing w:after="0"/>
        <w:jc w:val="both"/>
        <w:rPr>
          <w:rFonts w:ascii="Times New Roman" w:hAnsi="Times New Roman" w:cs="Times New Roman"/>
          <w:sz w:val="24"/>
          <w:szCs w:val="24"/>
        </w:rPr>
      </w:pPr>
    </w:p>
    <w:p w14:paraId="7C438838" w14:textId="29FF8A0B" w:rsidR="000B3B55" w:rsidRPr="000B3B55" w:rsidRDefault="000B3B55" w:rsidP="000B3B55">
      <w:pPr>
        <w:spacing w:after="0"/>
        <w:jc w:val="both"/>
        <w:rPr>
          <w:rFonts w:ascii="Times New Roman" w:hAnsi="Times New Roman" w:cs="Times New Roman"/>
          <w:sz w:val="24"/>
          <w:szCs w:val="24"/>
        </w:rPr>
      </w:pPr>
      <w:r w:rsidRPr="000B3B55">
        <w:rPr>
          <w:rFonts w:ascii="Times New Roman" w:hAnsi="Times New Roman" w:cs="Times New Roman"/>
          <w:sz w:val="24"/>
          <w:szCs w:val="24"/>
        </w:rPr>
        <w:t xml:space="preserve">Moreover, the findings illuminate a range of ideas relevant to the implementation of college policy. To start with, the findings strengthen the call for the implementation of structured financial learning </w:t>
      </w:r>
      <w:proofErr w:type="spellStart"/>
      <w:r w:rsidRPr="000B3B55">
        <w:rPr>
          <w:rFonts w:ascii="Times New Roman" w:hAnsi="Times New Roman" w:cs="Times New Roman"/>
          <w:sz w:val="24"/>
          <w:szCs w:val="24"/>
        </w:rPr>
        <w:t>programme</w:t>
      </w:r>
      <w:proofErr w:type="spellEnd"/>
      <w:r w:rsidRPr="000B3B55">
        <w:rPr>
          <w:rFonts w:ascii="Times New Roman" w:hAnsi="Times New Roman" w:cs="Times New Roman"/>
          <w:sz w:val="24"/>
          <w:szCs w:val="24"/>
        </w:rPr>
        <w:t xml:space="preserve"> in colleges, which is not only a campaign for the awareness but a means of enhancing deep conceptual understanding</w:t>
      </w:r>
      <w:r>
        <w:rPr>
          <w:rFonts w:ascii="Times New Roman" w:hAnsi="Times New Roman" w:cs="Times New Roman"/>
          <w:sz w:val="24"/>
          <w:szCs w:val="24"/>
        </w:rPr>
        <w:t xml:space="preserve">, </w:t>
      </w:r>
      <w:r w:rsidRPr="000B3B55">
        <w:rPr>
          <w:rFonts w:ascii="Times New Roman" w:hAnsi="Times New Roman" w:cs="Times New Roman"/>
          <w:sz w:val="24"/>
          <w:szCs w:val="24"/>
        </w:rPr>
        <w:t>particularly interest calculations, inflation, and risk</w:t>
      </w:r>
      <w:r>
        <w:rPr>
          <w:rFonts w:ascii="Times New Roman" w:hAnsi="Times New Roman" w:cs="Times New Roman"/>
          <w:sz w:val="24"/>
          <w:szCs w:val="24"/>
        </w:rPr>
        <w:t xml:space="preserve"> </w:t>
      </w:r>
      <w:r w:rsidRPr="000B3B55">
        <w:rPr>
          <w:rFonts w:ascii="Times New Roman" w:hAnsi="Times New Roman" w:cs="Times New Roman"/>
          <w:sz w:val="24"/>
          <w:szCs w:val="24"/>
        </w:rPr>
        <w:t>return tradeoffs. In line with the second placement of risk tolerance in the study, classroom curricula and workshops should feature practical learning activities to better engage students in responsible risk</w:t>
      </w:r>
      <w:r>
        <w:rPr>
          <w:rFonts w:ascii="Times New Roman" w:hAnsi="Times New Roman" w:cs="Times New Roman"/>
          <w:sz w:val="24"/>
          <w:szCs w:val="24"/>
        </w:rPr>
        <w:t xml:space="preserve"> </w:t>
      </w:r>
      <w:r w:rsidRPr="000B3B55">
        <w:rPr>
          <w:rFonts w:ascii="Times New Roman" w:hAnsi="Times New Roman" w:cs="Times New Roman"/>
          <w:sz w:val="24"/>
          <w:szCs w:val="24"/>
        </w:rPr>
        <w:t xml:space="preserve">taking through the use of simulations and trading exercises. Third, as demographic variables have little explanatory power according to the study, therefore demographic segmentation should not be used for targeted interventions, which should instead focus on cognitive and </w:t>
      </w:r>
      <w:proofErr w:type="spellStart"/>
      <w:r w:rsidRPr="000B3B55">
        <w:rPr>
          <w:rFonts w:ascii="Times New Roman" w:hAnsi="Times New Roman" w:cs="Times New Roman"/>
          <w:sz w:val="24"/>
          <w:szCs w:val="24"/>
        </w:rPr>
        <w:t>behavioural</w:t>
      </w:r>
      <w:proofErr w:type="spellEnd"/>
      <w:r w:rsidRPr="000B3B55">
        <w:rPr>
          <w:rFonts w:ascii="Times New Roman" w:hAnsi="Times New Roman" w:cs="Times New Roman"/>
          <w:sz w:val="24"/>
          <w:szCs w:val="24"/>
        </w:rPr>
        <w:t xml:space="preserve"> development. </w:t>
      </w:r>
    </w:p>
    <w:p w14:paraId="45CDC2F3" w14:textId="77777777" w:rsidR="000B3B55" w:rsidRPr="000B3B55" w:rsidRDefault="000B3B55" w:rsidP="000B3B55">
      <w:pPr>
        <w:spacing w:after="0"/>
        <w:jc w:val="both"/>
        <w:rPr>
          <w:rFonts w:ascii="Times New Roman" w:hAnsi="Times New Roman" w:cs="Times New Roman"/>
          <w:sz w:val="24"/>
          <w:szCs w:val="24"/>
        </w:rPr>
      </w:pPr>
    </w:p>
    <w:p w14:paraId="1577FD59" w14:textId="333FD232" w:rsidR="000B3B55" w:rsidRDefault="000B3B55" w:rsidP="000B3B55">
      <w:pPr>
        <w:spacing w:after="0"/>
        <w:jc w:val="both"/>
        <w:rPr>
          <w:rFonts w:ascii="Times New Roman" w:hAnsi="Times New Roman" w:cs="Times New Roman"/>
          <w:sz w:val="24"/>
          <w:szCs w:val="24"/>
        </w:rPr>
      </w:pPr>
      <w:r w:rsidRPr="000B3B55">
        <w:rPr>
          <w:rFonts w:ascii="Times New Roman" w:hAnsi="Times New Roman" w:cs="Times New Roman"/>
          <w:sz w:val="24"/>
          <w:szCs w:val="24"/>
        </w:rPr>
        <w:t>Improved financial literacy together with sound financial attitudes among college students will basically lead to more informed investment decision</w:t>
      </w:r>
      <w:r>
        <w:rPr>
          <w:rFonts w:ascii="Times New Roman" w:hAnsi="Times New Roman" w:cs="Times New Roman"/>
          <w:sz w:val="24"/>
          <w:szCs w:val="24"/>
        </w:rPr>
        <w:t xml:space="preserve"> </w:t>
      </w:r>
      <w:r w:rsidRPr="000B3B55">
        <w:rPr>
          <w:rFonts w:ascii="Times New Roman" w:hAnsi="Times New Roman" w:cs="Times New Roman"/>
          <w:sz w:val="24"/>
          <w:szCs w:val="24"/>
        </w:rPr>
        <w:t>making and going further financial sustainability will be achieved. Therefore, students as the main college</w:t>
      </w:r>
      <w:r>
        <w:rPr>
          <w:rFonts w:ascii="Times New Roman" w:hAnsi="Times New Roman" w:cs="Times New Roman"/>
          <w:sz w:val="24"/>
          <w:szCs w:val="24"/>
        </w:rPr>
        <w:t xml:space="preserve"> </w:t>
      </w:r>
      <w:r w:rsidRPr="000B3B55">
        <w:rPr>
          <w:rFonts w:ascii="Times New Roman" w:hAnsi="Times New Roman" w:cs="Times New Roman"/>
          <w:sz w:val="24"/>
          <w:szCs w:val="24"/>
        </w:rPr>
        <w:t>goers during their formative years in the financial field, early and efficient financial education will certainly be a determining factor in raising financially capable and resilient future citizens.</w:t>
      </w:r>
    </w:p>
    <w:p w14:paraId="326F93EB" w14:textId="77777777" w:rsidR="00667EBD" w:rsidRPr="00442F1A" w:rsidRDefault="00667EBD" w:rsidP="000B3B55">
      <w:pPr>
        <w:spacing w:after="0"/>
        <w:jc w:val="both"/>
        <w:rPr>
          <w:rFonts w:ascii="Times New Roman" w:hAnsi="Times New Roman" w:cs="Times New Roman"/>
          <w:b/>
          <w:sz w:val="24"/>
          <w:szCs w:val="24"/>
        </w:rPr>
      </w:pPr>
    </w:p>
    <w:p w14:paraId="716EE053" w14:textId="77777777" w:rsidR="007F098D" w:rsidRPr="007F098D" w:rsidRDefault="007F098D" w:rsidP="007F098D">
      <w:pPr>
        <w:rPr>
          <w:rFonts w:ascii="Times New Roman" w:hAnsi="Times New Roman" w:cs="Times New Roman"/>
          <w:b/>
          <w:sz w:val="24"/>
          <w:szCs w:val="24"/>
        </w:rPr>
      </w:pPr>
      <w:r w:rsidRPr="007F098D">
        <w:rPr>
          <w:rFonts w:ascii="Times New Roman" w:hAnsi="Times New Roman" w:cs="Times New Roman"/>
          <w:b/>
          <w:sz w:val="24"/>
          <w:szCs w:val="24"/>
        </w:rPr>
        <w:t xml:space="preserve">Consent </w:t>
      </w:r>
    </w:p>
    <w:p w14:paraId="5D2A12BC" w14:textId="41BA0F05" w:rsidR="007F098D" w:rsidRDefault="007F098D" w:rsidP="007F098D">
      <w:pPr>
        <w:rPr>
          <w:rFonts w:ascii="Times New Roman" w:hAnsi="Times New Roman" w:cs="Times New Roman"/>
          <w:sz w:val="24"/>
          <w:szCs w:val="24"/>
        </w:rPr>
      </w:pPr>
      <w:r w:rsidRPr="007F098D">
        <w:rPr>
          <w:rFonts w:ascii="Times New Roman" w:hAnsi="Times New Roman" w:cs="Times New Roman"/>
          <w:sz w:val="24"/>
          <w:szCs w:val="24"/>
        </w:rPr>
        <w:t>As per international standards or university standards, respondents’ written consent has been collected and preserved by the author(s).</w:t>
      </w:r>
    </w:p>
    <w:p w14:paraId="19DF1114" w14:textId="77777777" w:rsidR="007F098D" w:rsidRPr="007F098D" w:rsidRDefault="007F098D" w:rsidP="007F098D">
      <w:pPr>
        <w:rPr>
          <w:rFonts w:ascii="Times New Roman" w:hAnsi="Times New Roman" w:cs="Times New Roman"/>
          <w:sz w:val="24"/>
          <w:szCs w:val="24"/>
          <w:highlight w:val="yellow"/>
        </w:rPr>
      </w:pPr>
      <w:bookmarkStart w:id="1" w:name="_GoBack"/>
      <w:bookmarkEnd w:id="1"/>
    </w:p>
    <w:p w14:paraId="39FCC1A8" w14:textId="3A334D52" w:rsidR="0055773D" w:rsidRPr="00442F1A" w:rsidRDefault="0055773D" w:rsidP="0055773D">
      <w:pPr>
        <w:rPr>
          <w:rFonts w:ascii="Times New Roman" w:hAnsi="Times New Roman" w:cs="Times New Roman"/>
          <w:b/>
          <w:sz w:val="24"/>
          <w:szCs w:val="24"/>
          <w:highlight w:val="yellow"/>
        </w:rPr>
      </w:pPr>
      <w:r w:rsidRPr="00442F1A">
        <w:rPr>
          <w:rFonts w:ascii="Times New Roman" w:hAnsi="Times New Roman" w:cs="Times New Roman"/>
          <w:b/>
          <w:sz w:val="24"/>
          <w:szCs w:val="24"/>
          <w:highlight w:val="yellow"/>
        </w:rPr>
        <w:t>Disclaimer (Artificial intelligence)</w:t>
      </w:r>
    </w:p>
    <w:p w14:paraId="170EE6B0" w14:textId="77777777" w:rsidR="00667EBD" w:rsidRPr="00667EBD" w:rsidRDefault="00667EBD" w:rsidP="00667EBD">
      <w:pPr>
        <w:widowControl w:val="0"/>
        <w:autoSpaceDE w:val="0"/>
        <w:autoSpaceDN w:val="0"/>
        <w:spacing w:before="308" w:after="0" w:line="312" w:lineRule="auto"/>
        <w:ind w:left="23" w:right="163"/>
        <w:jc w:val="both"/>
        <w:rPr>
          <w:rFonts w:ascii="Times New Roman" w:eastAsia="Times New Roman" w:hAnsi="Times New Roman" w:cs="Times New Roman"/>
          <w:sz w:val="24"/>
          <w:szCs w:val="24"/>
        </w:rPr>
      </w:pPr>
      <w:r w:rsidRPr="00667EBD">
        <w:rPr>
          <w:rFonts w:ascii="Times New Roman" w:eastAsia="Times New Roman" w:hAnsi="Times New Roman" w:cs="Times New Roman"/>
          <w:sz w:val="24"/>
          <w:szCs w:val="24"/>
        </w:rPr>
        <w:t>The authors hereby declare that generative AI technologies have been used during editing of this manuscript. Details of AI usage are as follows:</w:t>
      </w:r>
    </w:p>
    <w:p w14:paraId="31B4B50C" w14:textId="6C8E4262" w:rsidR="00667EBD" w:rsidRPr="00667EBD" w:rsidRDefault="00667EBD" w:rsidP="00667EBD">
      <w:pPr>
        <w:widowControl w:val="0"/>
        <w:numPr>
          <w:ilvl w:val="0"/>
          <w:numId w:val="2"/>
        </w:numPr>
        <w:tabs>
          <w:tab w:val="left" w:pos="607"/>
        </w:tabs>
        <w:autoSpaceDE w:val="0"/>
        <w:autoSpaceDN w:val="0"/>
        <w:spacing w:before="259" w:after="0" w:line="240" w:lineRule="auto"/>
        <w:ind w:left="607" w:hanging="200"/>
        <w:rPr>
          <w:rFonts w:ascii="Times New Roman" w:eastAsia="Times New Roman" w:hAnsi="Times New Roman" w:cs="Times New Roman"/>
          <w:sz w:val="24"/>
        </w:rPr>
      </w:pPr>
      <w:r w:rsidRPr="00667EBD">
        <w:rPr>
          <w:rFonts w:ascii="Times New Roman" w:eastAsia="Times New Roman" w:hAnsi="Times New Roman" w:cs="Times New Roman"/>
          <w:b/>
          <w:sz w:val="24"/>
        </w:rPr>
        <w:t>Name</w:t>
      </w:r>
      <w:r w:rsidRPr="00667EBD">
        <w:rPr>
          <w:rFonts w:ascii="Times New Roman" w:eastAsia="Times New Roman" w:hAnsi="Times New Roman" w:cs="Times New Roman"/>
          <w:b/>
          <w:spacing w:val="-14"/>
          <w:sz w:val="24"/>
        </w:rPr>
        <w:t xml:space="preserve"> </w:t>
      </w:r>
      <w:r w:rsidRPr="00667EBD">
        <w:rPr>
          <w:rFonts w:ascii="Times New Roman" w:eastAsia="Times New Roman" w:hAnsi="Times New Roman" w:cs="Times New Roman"/>
          <w:b/>
          <w:sz w:val="24"/>
        </w:rPr>
        <w:t>and</w:t>
      </w:r>
      <w:r w:rsidRPr="00667EBD">
        <w:rPr>
          <w:rFonts w:ascii="Times New Roman" w:eastAsia="Times New Roman" w:hAnsi="Times New Roman" w:cs="Times New Roman"/>
          <w:b/>
          <w:spacing w:val="-14"/>
          <w:sz w:val="24"/>
        </w:rPr>
        <w:t xml:space="preserve"> </w:t>
      </w:r>
      <w:r w:rsidRPr="00667EBD">
        <w:rPr>
          <w:rFonts w:ascii="Times New Roman" w:eastAsia="Times New Roman" w:hAnsi="Times New Roman" w:cs="Times New Roman"/>
          <w:b/>
          <w:sz w:val="24"/>
        </w:rPr>
        <w:t>Version:</w:t>
      </w:r>
      <w:r w:rsidRPr="00667EBD">
        <w:rPr>
          <w:rFonts w:ascii="Times New Roman" w:eastAsia="Times New Roman" w:hAnsi="Times New Roman" w:cs="Times New Roman"/>
          <w:b/>
          <w:spacing w:val="-1"/>
          <w:sz w:val="24"/>
        </w:rPr>
        <w:t xml:space="preserve"> </w:t>
      </w:r>
      <w:proofErr w:type="spellStart"/>
      <w:r w:rsidRPr="00667EBD">
        <w:rPr>
          <w:rFonts w:ascii="Times New Roman" w:eastAsia="Times New Roman" w:hAnsi="Times New Roman" w:cs="Times New Roman"/>
          <w:sz w:val="24"/>
        </w:rPr>
        <w:t>ChatGPT</w:t>
      </w:r>
      <w:proofErr w:type="spellEnd"/>
      <w:r w:rsidRPr="00667EBD">
        <w:rPr>
          <w:rFonts w:ascii="Times New Roman" w:eastAsia="Times New Roman" w:hAnsi="Times New Roman" w:cs="Times New Roman"/>
          <w:spacing w:val="-14"/>
          <w:sz w:val="24"/>
        </w:rPr>
        <w:t xml:space="preserve"> </w:t>
      </w:r>
      <w:r w:rsidRPr="00667EBD">
        <w:rPr>
          <w:rFonts w:ascii="Times New Roman" w:eastAsia="Times New Roman" w:hAnsi="Times New Roman" w:cs="Times New Roman"/>
          <w:sz w:val="24"/>
        </w:rPr>
        <w:t>(GPT-</w:t>
      </w:r>
      <w:r>
        <w:rPr>
          <w:rFonts w:ascii="Times New Roman" w:eastAsia="Times New Roman" w:hAnsi="Times New Roman" w:cs="Times New Roman"/>
          <w:sz w:val="24"/>
        </w:rPr>
        <w:t>5</w:t>
      </w:r>
      <w:r w:rsidRPr="00667EBD">
        <w:rPr>
          <w:rFonts w:ascii="Times New Roman" w:eastAsia="Times New Roman" w:hAnsi="Times New Roman" w:cs="Times New Roman"/>
          <w:spacing w:val="-2"/>
          <w:sz w:val="24"/>
        </w:rPr>
        <w:t>)</w:t>
      </w:r>
    </w:p>
    <w:p w14:paraId="7C924F4B" w14:textId="77777777" w:rsidR="00667EBD" w:rsidRPr="00667EBD" w:rsidRDefault="00667EBD" w:rsidP="00667EBD">
      <w:pPr>
        <w:widowControl w:val="0"/>
        <w:autoSpaceDE w:val="0"/>
        <w:autoSpaceDN w:val="0"/>
        <w:spacing w:before="6" w:after="0" w:line="240" w:lineRule="auto"/>
        <w:rPr>
          <w:rFonts w:ascii="Times New Roman" w:eastAsia="Times New Roman" w:hAnsi="Times New Roman" w:cs="Times New Roman"/>
          <w:sz w:val="24"/>
          <w:szCs w:val="24"/>
        </w:rPr>
      </w:pPr>
    </w:p>
    <w:p w14:paraId="13F8EA75" w14:textId="77777777" w:rsidR="00667EBD" w:rsidRPr="00667EBD" w:rsidRDefault="00667EBD" w:rsidP="00667EBD">
      <w:pPr>
        <w:widowControl w:val="0"/>
        <w:numPr>
          <w:ilvl w:val="0"/>
          <w:numId w:val="2"/>
        </w:numPr>
        <w:tabs>
          <w:tab w:val="left" w:pos="607"/>
        </w:tabs>
        <w:autoSpaceDE w:val="0"/>
        <w:autoSpaceDN w:val="0"/>
        <w:spacing w:after="0" w:line="240" w:lineRule="auto"/>
        <w:ind w:left="607" w:hanging="200"/>
        <w:rPr>
          <w:rFonts w:ascii="Times New Roman" w:eastAsia="Times New Roman" w:hAnsi="Times New Roman" w:cs="Times New Roman"/>
          <w:sz w:val="24"/>
        </w:rPr>
      </w:pPr>
      <w:r w:rsidRPr="00667EBD">
        <w:rPr>
          <w:rFonts w:ascii="Times New Roman" w:eastAsia="Times New Roman" w:hAnsi="Times New Roman" w:cs="Times New Roman"/>
          <w:b/>
          <w:sz w:val="24"/>
        </w:rPr>
        <w:t>Source:</w:t>
      </w:r>
      <w:r w:rsidRPr="00667EBD">
        <w:rPr>
          <w:rFonts w:ascii="Times New Roman" w:eastAsia="Times New Roman" w:hAnsi="Times New Roman" w:cs="Times New Roman"/>
          <w:b/>
          <w:spacing w:val="2"/>
          <w:sz w:val="24"/>
        </w:rPr>
        <w:t xml:space="preserve"> </w:t>
      </w:r>
      <w:proofErr w:type="spellStart"/>
      <w:r w:rsidRPr="00667EBD">
        <w:rPr>
          <w:rFonts w:ascii="Times New Roman" w:eastAsia="Times New Roman" w:hAnsi="Times New Roman" w:cs="Times New Roman"/>
          <w:sz w:val="24"/>
        </w:rPr>
        <w:t>OpenAI</w:t>
      </w:r>
      <w:proofErr w:type="spellEnd"/>
      <w:r w:rsidRPr="00667EBD">
        <w:rPr>
          <w:rFonts w:ascii="Times New Roman" w:eastAsia="Times New Roman" w:hAnsi="Times New Roman" w:cs="Times New Roman"/>
          <w:sz w:val="24"/>
        </w:rPr>
        <w:t>,</w:t>
      </w:r>
      <w:r w:rsidRPr="00667EBD">
        <w:rPr>
          <w:rFonts w:ascii="Times New Roman" w:eastAsia="Times New Roman" w:hAnsi="Times New Roman" w:cs="Times New Roman"/>
          <w:spacing w:val="-11"/>
          <w:sz w:val="24"/>
        </w:rPr>
        <w:t xml:space="preserve"> </w:t>
      </w:r>
      <w:r w:rsidRPr="00667EBD">
        <w:rPr>
          <w:rFonts w:ascii="Times New Roman" w:eastAsia="Times New Roman" w:hAnsi="Times New Roman" w:cs="Times New Roman"/>
          <w:spacing w:val="-2"/>
          <w:sz w:val="24"/>
        </w:rPr>
        <w:t>https://chat.openai.com</w:t>
      </w:r>
    </w:p>
    <w:p w14:paraId="4F4747DF" w14:textId="77777777" w:rsidR="00667EBD" w:rsidRPr="00667EBD" w:rsidRDefault="00667EBD" w:rsidP="00667EBD">
      <w:pPr>
        <w:widowControl w:val="0"/>
        <w:autoSpaceDE w:val="0"/>
        <w:autoSpaceDN w:val="0"/>
        <w:spacing w:before="6" w:after="0" w:line="240" w:lineRule="auto"/>
        <w:rPr>
          <w:rFonts w:ascii="Times New Roman" w:eastAsia="Times New Roman" w:hAnsi="Times New Roman" w:cs="Times New Roman"/>
          <w:sz w:val="24"/>
          <w:szCs w:val="24"/>
        </w:rPr>
      </w:pPr>
    </w:p>
    <w:p w14:paraId="4EC4E51A" w14:textId="77777777" w:rsidR="00442F1A" w:rsidRPr="00442F1A" w:rsidRDefault="00667EBD" w:rsidP="002A78A5">
      <w:pPr>
        <w:widowControl w:val="0"/>
        <w:numPr>
          <w:ilvl w:val="0"/>
          <w:numId w:val="2"/>
        </w:numPr>
        <w:tabs>
          <w:tab w:val="left" w:pos="608"/>
        </w:tabs>
        <w:autoSpaceDE w:val="0"/>
        <w:autoSpaceDN w:val="0"/>
        <w:spacing w:after="0" w:line="240" w:lineRule="auto"/>
        <w:ind w:left="668" w:right="163" w:hanging="645"/>
        <w:jc w:val="both"/>
        <w:rPr>
          <w:rFonts w:ascii="Times New Roman" w:eastAsia="Times New Roman" w:hAnsi="Times New Roman" w:cs="Times New Roman"/>
          <w:sz w:val="24"/>
          <w:szCs w:val="24"/>
        </w:rPr>
      </w:pPr>
      <w:r w:rsidRPr="00442F1A">
        <w:rPr>
          <w:rFonts w:ascii="Times New Roman" w:eastAsia="Times New Roman" w:hAnsi="Times New Roman" w:cs="Times New Roman"/>
          <w:b/>
          <w:sz w:val="24"/>
        </w:rPr>
        <w:t>Nature of Use:</w:t>
      </w:r>
      <w:r w:rsidRPr="00442F1A">
        <w:rPr>
          <w:rFonts w:ascii="Times New Roman" w:eastAsia="Times New Roman" w:hAnsi="Times New Roman" w:cs="Times New Roman"/>
          <w:b/>
          <w:spacing w:val="31"/>
          <w:sz w:val="24"/>
        </w:rPr>
        <w:t xml:space="preserve"> </w:t>
      </w:r>
      <w:r w:rsidRPr="00442F1A">
        <w:rPr>
          <w:rFonts w:ascii="Times New Roman" w:eastAsia="Times New Roman" w:hAnsi="Times New Roman" w:cs="Times New Roman"/>
          <w:sz w:val="24"/>
        </w:rPr>
        <w:t>Assistance was sought for LaTeX code for Overleaf formatting, statistical explanations based on primary data</w:t>
      </w:r>
      <w:r w:rsidR="00442F1A">
        <w:rPr>
          <w:rFonts w:ascii="Times New Roman" w:eastAsia="Times New Roman" w:hAnsi="Times New Roman" w:cs="Times New Roman"/>
          <w:sz w:val="24"/>
        </w:rPr>
        <w:t>.</w:t>
      </w:r>
    </w:p>
    <w:p w14:paraId="1837E458" w14:textId="18B0B964" w:rsidR="00667EBD" w:rsidRPr="00442F1A" w:rsidRDefault="00667EBD" w:rsidP="00442F1A">
      <w:pPr>
        <w:widowControl w:val="0"/>
        <w:tabs>
          <w:tab w:val="left" w:pos="608"/>
        </w:tabs>
        <w:autoSpaceDE w:val="0"/>
        <w:autoSpaceDN w:val="0"/>
        <w:spacing w:after="0" w:line="240" w:lineRule="auto"/>
        <w:ind w:right="163"/>
        <w:jc w:val="both"/>
        <w:rPr>
          <w:rFonts w:ascii="Times New Roman" w:eastAsia="Times New Roman" w:hAnsi="Times New Roman" w:cs="Times New Roman"/>
          <w:sz w:val="24"/>
          <w:szCs w:val="24"/>
        </w:rPr>
      </w:pPr>
      <w:r w:rsidRPr="00442F1A">
        <w:rPr>
          <w:rFonts w:ascii="Times New Roman" w:eastAsia="Times New Roman" w:hAnsi="Times New Roman" w:cs="Times New Roman"/>
          <w:sz w:val="24"/>
          <w:szCs w:val="24"/>
        </w:rPr>
        <w:t xml:space="preserve">All AI-generated content was critically reviewed, edited, and validated by the human author to </w:t>
      </w:r>
      <w:r w:rsidRPr="00442F1A">
        <w:rPr>
          <w:rFonts w:ascii="Times New Roman" w:eastAsia="Times New Roman" w:hAnsi="Times New Roman" w:cs="Times New Roman"/>
          <w:sz w:val="24"/>
          <w:szCs w:val="24"/>
        </w:rPr>
        <w:lastRenderedPageBreak/>
        <w:t>ensure academic integrity and factual correctness.</w:t>
      </w:r>
    </w:p>
    <w:p w14:paraId="421EB937" w14:textId="77777777" w:rsidR="00667EBD" w:rsidRDefault="00667EBD" w:rsidP="000B3B55">
      <w:pPr>
        <w:spacing w:after="0"/>
        <w:jc w:val="both"/>
        <w:rPr>
          <w:highlight w:val="yellow"/>
        </w:rPr>
      </w:pPr>
    </w:p>
    <w:p w14:paraId="1615B54A" w14:textId="77777777" w:rsidR="00667EBD" w:rsidRDefault="00667EBD" w:rsidP="000B3B55">
      <w:pPr>
        <w:spacing w:after="0"/>
        <w:jc w:val="both"/>
        <w:rPr>
          <w:rFonts w:ascii="Times New Roman" w:hAnsi="Times New Roman" w:cs="Times New Roman"/>
          <w:b/>
          <w:sz w:val="24"/>
          <w:szCs w:val="24"/>
        </w:rPr>
      </w:pPr>
    </w:p>
    <w:p w14:paraId="64BD2AB4" w14:textId="77777777" w:rsidR="00667EBD" w:rsidRDefault="00667EBD" w:rsidP="000B3B55">
      <w:pPr>
        <w:spacing w:after="0"/>
        <w:jc w:val="both"/>
        <w:rPr>
          <w:rFonts w:ascii="Times New Roman" w:hAnsi="Times New Roman" w:cs="Times New Roman"/>
          <w:b/>
          <w:sz w:val="24"/>
          <w:szCs w:val="24"/>
        </w:rPr>
      </w:pPr>
    </w:p>
    <w:p w14:paraId="79951C86" w14:textId="77777777" w:rsidR="00667EBD" w:rsidRDefault="00667EBD" w:rsidP="000B3B55">
      <w:pPr>
        <w:spacing w:after="0"/>
        <w:jc w:val="both"/>
        <w:rPr>
          <w:rFonts w:ascii="Times New Roman" w:hAnsi="Times New Roman" w:cs="Times New Roman"/>
          <w:b/>
          <w:sz w:val="24"/>
          <w:szCs w:val="24"/>
        </w:rPr>
      </w:pPr>
    </w:p>
    <w:p w14:paraId="2D6C9099" w14:textId="481C1D19" w:rsidR="003A782A" w:rsidRPr="00CF4B98" w:rsidRDefault="00CF4B98" w:rsidP="000B3B55">
      <w:pPr>
        <w:spacing w:after="0"/>
        <w:jc w:val="both"/>
        <w:rPr>
          <w:rFonts w:ascii="Times New Roman" w:hAnsi="Times New Roman" w:cs="Times New Roman"/>
          <w:b/>
          <w:sz w:val="24"/>
          <w:szCs w:val="24"/>
        </w:rPr>
      </w:pPr>
      <w:r w:rsidRPr="00CF4B98">
        <w:rPr>
          <w:rFonts w:ascii="Times New Roman" w:hAnsi="Times New Roman" w:cs="Times New Roman"/>
          <w:b/>
          <w:sz w:val="24"/>
          <w:szCs w:val="24"/>
        </w:rPr>
        <w:t>References:</w:t>
      </w:r>
    </w:p>
    <w:p w14:paraId="3B69D092" w14:textId="77777777" w:rsidR="004356FC" w:rsidRPr="000859F8" w:rsidRDefault="004356FC" w:rsidP="00B037B7">
      <w:pPr>
        <w:spacing w:after="0"/>
        <w:ind w:left="720" w:hanging="360"/>
        <w:jc w:val="both"/>
        <w:rPr>
          <w:rFonts w:ascii="Times New Roman" w:hAnsi="Times New Roman" w:cs="Times New Roman"/>
          <w:sz w:val="24"/>
          <w:szCs w:val="24"/>
        </w:rPr>
      </w:pPr>
    </w:p>
    <w:p w14:paraId="396BC242" w14:textId="4E5BEA34" w:rsidR="00FB79F1" w:rsidRDefault="00FB79F1" w:rsidP="000E5EED">
      <w:pPr>
        <w:pStyle w:val="NormalWeb"/>
        <w:spacing w:after="0" w:afterAutospacing="0"/>
        <w:jc w:val="both"/>
      </w:pPr>
      <w:r w:rsidRPr="00FB79F1">
        <w:t xml:space="preserve">Abreu, M., &amp; Mendes, V. (2010). Financial literacy and portfolio diversification. Quantitative Finance, 10(5), 515–528. </w:t>
      </w:r>
      <w:hyperlink r:id="rId10" w:history="1">
        <w:r w:rsidRPr="000731A8">
          <w:rPr>
            <w:rStyle w:val="Hyperlink"/>
          </w:rPr>
          <w:t>https://doi.org/10.1080/14697680902878105</w:t>
        </w:r>
      </w:hyperlink>
    </w:p>
    <w:p w14:paraId="2FAB3446" w14:textId="183F72C7" w:rsidR="00FB79F1" w:rsidRDefault="00FB79F1" w:rsidP="000E5EED">
      <w:pPr>
        <w:pStyle w:val="NormalWeb"/>
        <w:spacing w:after="0" w:afterAutospacing="0"/>
        <w:jc w:val="both"/>
      </w:pPr>
      <w:r w:rsidRPr="00FB79F1">
        <w:t xml:space="preserve">Agarwal, S., Driscoll, J. C., </w:t>
      </w:r>
      <w:proofErr w:type="spellStart"/>
      <w:r w:rsidRPr="00FB79F1">
        <w:t>Gabaix</w:t>
      </w:r>
      <w:proofErr w:type="spellEnd"/>
      <w:r w:rsidRPr="00FB79F1">
        <w:t xml:space="preserve">, X., &amp; </w:t>
      </w:r>
      <w:proofErr w:type="spellStart"/>
      <w:r w:rsidRPr="00FB79F1">
        <w:t>Laibson</w:t>
      </w:r>
      <w:proofErr w:type="spellEnd"/>
      <w:r w:rsidRPr="00FB79F1">
        <w:t xml:space="preserve">, D. (2009). The age of reason: Financial decisions over the life-cycle with implications for regulation. Brookings Papers on Economic Activity, 2009(2), 51–117. </w:t>
      </w:r>
      <w:hyperlink r:id="rId11" w:history="1">
        <w:r w:rsidRPr="000731A8">
          <w:rPr>
            <w:rStyle w:val="Hyperlink"/>
          </w:rPr>
          <w:t>https://doi.org/10.1353/eca.0.0067</w:t>
        </w:r>
      </w:hyperlink>
    </w:p>
    <w:p w14:paraId="77940E3D" w14:textId="672A31C5" w:rsidR="00945142" w:rsidRPr="00945142" w:rsidRDefault="00945142" w:rsidP="000E5EED">
      <w:pPr>
        <w:pStyle w:val="NormalWeb"/>
        <w:spacing w:after="0" w:afterAutospacing="0"/>
        <w:jc w:val="both"/>
        <w:rPr>
          <w:color w:val="0000FF"/>
          <w:u w:val="single"/>
        </w:rPr>
      </w:pPr>
      <w:proofErr w:type="spellStart"/>
      <w:r w:rsidRPr="00FB79F1">
        <w:t>Anindya</w:t>
      </w:r>
      <w:proofErr w:type="spellEnd"/>
      <w:r w:rsidRPr="00FB79F1">
        <w:t xml:space="preserve">, C. N., &amp; </w:t>
      </w:r>
      <w:proofErr w:type="spellStart"/>
      <w:r w:rsidRPr="00FB79F1">
        <w:t>Hasnawati</w:t>
      </w:r>
      <w:proofErr w:type="spellEnd"/>
      <w:r w:rsidRPr="00FB79F1">
        <w:t xml:space="preserve">, S. (2024). The influence of financial literacy and risk tolerance on student investment decisions with demographic factors as moderating variables. International Journal </w:t>
      </w:r>
      <w:proofErr w:type="gramStart"/>
      <w:r w:rsidRPr="00FB79F1">
        <w:t>Of</w:t>
      </w:r>
      <w:proofErr w:type="gramEnd"/>
      <w:r w:rsidRPr="00FB79F1">
        <w:t xml:space="preserve"> Education, Social Studies, And Management (IJESSM), 4(2), 759–767. </w:t>
      </w:r>
      <w:hyperlink r:id="rId12" w:history="1">
        <w:r w:rsidRPr="000731A8">
          <w:rPr>
            <w:rStyle w:val="Hyperlink"/>
          </w:rPr>
          <w:t>https://doi.org/10.52121/ijessm.v4i2.369</w:t>
        </w:r>
      </w:hyperlink>
    </w:p>
    <w:p w14:paraId="7152F907" w14:textId="2CB003F1" w:rsidR="00FB79F1" w:rsidRDefault="00FB79F1" w:rsidP="000E5EED">
      <w:pPr>
        <w:pStyle w:val="NormalWeb"/>
        <w:spacing w:after="0" w:afterAutospacing="0"/>
        <w:jc w:val="both"/>
      </w:pPr>
      <w:r w:rsidRPr="00FB79F1">
        <w:t xml:space="preserve">Bayar, Y., </w:t>
      </w:r>
      <w:proofErr w:type="spellStart"/>
      <w:r w:rsidRPr="00FB79F1">
        <w:t>Sezgin</w:t>
      </w:r>
      <w:proofErr w:type="spellEnd"/>
      <w:r w:rsidRPr="00FB79F1">
        <w:t xml:space="preserve">, F., &amp; </w:t>
      </w:r>
      <w:proofErr w:type="spellStart"/>
      <w:r w:rsidRPr="00FB79F1">
        <w:t>Öztürk</w:t>
      </w:r>
      <w:proofErr w:type="spellEnd"/>
      <w:r w:rsidRPr="00FB79F1">
        <w:t xml:space="preserve">, Ö. F. (2020). Financial literacy and financial risk tolerance of individual investors: A multinomial logistic regression approach. SAGE Open, 10(3) </w:t>
      </w:r>
      <w:hyperlink r:id="rId13" w:history="1">
        <w:r w:rsidRPr="000731A8">
          <w:rPr>
            <w:rStyle w:val="Hyperlink"/>
          </w:rPr>
          <w:t>https://doi.org/10.1177/2158244020945717</w:t>
        </w:r>
      </w:hyperlink>
    </w:p>
    <w:p w14:paraId="5C16CF71" w14:textId="77777777" w:rsidR="00FB79F1" w:rsidRDefault="00FB79F1" w:rsidP="000E5EED">
      <w:pPr>
        <w:pStyle w:val="NormalWeb"/>
        <w:spacing w:after="0" w:afterAutospacing="0"/>
        <w:jc w:val="both"/>
      </w:pPr>
      <w:r w:rsidRPr="00FB79F1">
        <w:t xml:space="preserve">Bhushan, P. (2014). Relationship between financial literacy and investment </w:t>
      </w:r>
      <w:proofErr w:type="spellStart"/>
      <w:r w:rsidRPr="00FB79F1">
        <w:t>behaviour</w:t>
      </w:r>
      <w:proofErr w:type="spellEnd"/>
      <w:r w:rsidRPr="00FB79F1">
        <w:t xml:space="preserve"> of salaried individuals. Journal of Business Management &amp; Social Sciences Research, 3(5), 82–87.</w:t>
      </w:r>
    </w:p>
    <w:p w14:paraId="0ECD065B" w14:textId="33D921C3" w:rsidR="00FB79F1" w:rsidRDefault="00FB79F1" w:rsidP="000E5EED">
      <w:pPr>
        <w:pStyle w:val="NormalWeb"/>
        <w:spacing w:after="0" w:afterAutospacing="0"/>
        <w:jc w:val="both"/>
      </w:pPr>
      <w:proofErr w:type="spellStart"/>
      <w:r w:rsidRPr="00FB79F1">
        <w:t>Bordoloi</w:t>
      </w:r>
      <w:proofErr w:type="spellEnd"/>
      <w:r w:rsidRPr="00FB79F1">
        <w:t xml:space="preserve">, P., &amp; Deka, J. (2024). Financial literacy and other factors influencing investment </w:t>
      </w:r>
      <w:proofErr w:type="spellStart"/>
      <w:r w:rsidRPr="00FB79F1">
        <w:t>behaviour</w:t>
      </w:r>
      <w:proofErr w:type="spellEnd"/>
      <w:r w:rsidRPr="00FB79F1">
        <w:t xml:space="preserve"> of individual investors: A review of literature. International Journal for Multidisciplinary Research, 6(3), 20905. </w:t>
      </w:r>
      <w:hyperlink r:id="rId14" w:history="1">
        <w:r w:rsidRPr="000731A8">
          <w:rPr>
            <w:rStyle w:val="Hyperlink"/>
          </w:rPr>
          <w:t>https://www.ijfmr.com/papers/2024/3/20905.pdf</w:t>
        </w:r>
      </w:hyperlink>
    </w:p>
    <w:p w14:paraId="44530456" w14:textId="63C34521" w:rsidR="00FB79F1" w:rsidRDefault="00FB79F1" w:rsidP="000E5EED">
      <w:pPr>
        <w:pStyle w:val="NormalWeb"/>
        <w:spacing w:after="0" w:afterAutospacing="0"/>
        <w:jc w:val="both"/>
      </w:pPr>
      <w:proofErr w:type="spellStart"/>
      <w:r w:rsidRPr="00FB79F1">
        <w:t>Calvet</w:t>
      </w:r>
      <w:proofErr w:type="spellEnd"/>
      <w:r w:rsidRPr="00FB79F1">
        <w:t xml:space="preserve">, L. E., Campbell, J. Y., &amp; </w:t>
      </w:r>
      <w:proofErr w:type="spellStart"/>
      <w:r w:rsidRPr="00FB79F1">
        <w:t>Sodini</w:t>
      </w:r>
      <w:proofErr w:type="spellEnd"/>
      <w:r w:rsidRPr="00FB79F1">
        <w:t xml:space="preserve">, P. (2007). Down or out: Assessing the welfare costs of household investment mistakes. Journal of Political Economy, 115(5), 707–747. </w:t>
      </w:r>
      <w:hyperlink r:id="rId15" w:history="1">
        <w:r w:rsidRPr="000731A8">
          <w:rPr>
            <w:rStyle w:val="Hyperlink"/>
          </w:rPr>
          <w:t>https://doi.org/10.1086/524204</w:t>
        </w:r>
      </w:hyperlink>
    </w:p>
    <w:p w14:paraId="2B216760" w14:textId="7D011A71" w:rsidR="00FB79F1" w:rsidRDefault="00FB79F1" w:rsidP="000E5EED">
      <w:pPr>
        <w:pStyle w:val="NormalWeb"/>
        <w:spacing w:after="0" w:afterAutospacing="0"/>
        <w:jc w:val="both"/>
      </w:pPr>
      <w:proofErr w:type="spellStart"/>
      <w:r w:rsidRPr="00FB79F1">
        <w:t>Calvet</w:t>
      </w:r>
      <w:proofErr w:type="spellEnd"/>
      <w:r w:rsidRPr="00FB79F1">
        <w:t xml:space="preserve">, L. E., Campbell, J. Y., &amp; </w:t>
      </w:r>
      <w:proofErr w:type="spellStart"/>
      <w:r w:rsidRPr="00FB79F1">
        <w:t>Sodini</w:t>
      </w:r>
      <w:proofErr w:type="spellEnd"/>
      <w:r w:rsidRPr="00FB79F1">
        <w:t xml:space="preserve">, P. (2009). Measuring the financial sophistication of households. American Economic Review, 99(2), 393–398. </w:t>
      </w:r>
      <w:hyperlink r:id="rId16" w:history="1">
        <w:r w:rsidRPr="000731A8">
          <w:rPr>
            <w:rStyle w:val="Hyperlink"/>
          </w:rPr>
          <w:t>https://doi.org/10.1257/aer.99.2.393</w:t>
        </w:r>
      </w:hyperlink>
    </w:p>
    <w:p w14:paraId="09DE91EB" w14:textId="31FCEA55" w:rsidR="00FB79F1" w:rsidRDefault="00FB79F1" w:rsidP="000E5EED">
      <w:pPr>
        <w:pStyle w:val="NormalWeb"/>
        <w:spacing w:after="0" w:afterAutospacing="0"/>
        <w:jc w:val="both"/>
      </w:pPr>
      <w:r w:rsidRPr="00FB79F1">
        <w:t xml:space="preserve">Campbell, J. Y. (2006). Household finance. Journal of Finance, 61(4), 1553–1604. </w:t>
      </w:r>
      <w:hyperlink r:id="rId17" w:history="1">
        <w:r w:rsidRPr="000731A8">
          <w:rPr>
            <w:rStyle w:val="Hyperlink"/>
          </w:rPr>
          <w:t>https://doi.org/10.1111/j.1540-6261.2006.00883.x</w:t>
        </w:r>
      </w:hyperlink>
    </w:p>
    <w:p w14:paraId="4DC9244E" w14:textId="0255D9E9" w:rsidR="00945142" w:rsidRDefault="00945142" w:rsidP="000E5EED">
      <w:pPr>
        <w:pStyle w:val="NormalWeb"/>
        <w:spacing w:after="0" w:afterAutospacing="0"/>
        <w:jc w:val="both"/>
      </w:pPr>
      <w:proofErr w:type="spellStart"/>
      <w:r w:rsidRPr="00945142">
        <w:rPr>
          <w:highlight w:val="yellow"/>
        </w:rPr>
        <w:t>Dohmen</w:t>
      </w:r>
      <w:proofErr w:type="spellEnd"/>
      <w:r w:rsidRPr="00945142">
        <w:rPr>
          <w:highlight w:val="yellow"/>
        </w:rPr>
        <w:t xml:space="preserve">, T., Falk, A., Huffman, D., </w:t>
      </w:r>
      <w:proofErr w:type="spellStart"/>
      <w:r w:rsidRPr="00945142">
        <w:rPr>
          <w:highlight w:val="yellow"/>
        </w:rPr>
        <w:t>Sunde</w:t>
      </w:r>
      <w:proofErr w:type="spellEnd"/>
      <w:r w:rsidRPr="00945142">
        <w:rPr>
          <w:highlight w:val="yellow"/>
        </w:rPr>
        <w:t xml:space="preserve">, U., Schupp, J., &amp; Wagner, G. G. (2011). Individual risk attitudes: Measurement, determinants, and behavioral consequences. Journal of the European Economic Association, 9(3), 522–550. </w:t>
      </w:r>
      <w:hyperlink r:id="rId18" w:history="1">
        <w:r w:rsidRPr="00945142">
          <w:rPr>
            <w:rStyle w:val="Hyperlink"/>
            <w:highlight w:val="yellow"/>
          </w:rPr>
          <w:t>https://doi.org/10.1111/j.1542-4774.2011.01015.x</w:t>
        </w:r>
      </w:hyperlink>
      <w:r>
        <w:t xml:space="preserve"> </w:t>
      </w:r>
    </w:p>
    <w:p w14:paraId="240CCED2" w14:textId="682C6426" w:rsidR="00FB79F1" w:rsidRDefault="00FB79F1" w:rsidP="000E5EED">
      <w:pPr>
        <w:pStyle w:val="NormalWeb"/>
        <w:spacing w:after="0" w:afterAutospacing="0"/>
        <w:jc w:val="both"/>
      </w:pPr>
      <w:proofErr w:type="spellStart"/>
      <w:r w:rsidRPr="00FB79F1">
        <w:lastRenderedPageBreak/>
        <w:t>Faishal</w:t>
      </w:r>
      <w:proofErr w:type="spellEnd"/>
      <w:r w:rsidRPr="00FB79F1">
        <w:t xml:space="preserve">, M., Mathew, S., </w:t>
      </w:r>
      <w:proofErr w:type="spellStart"/>
      <w:r w:rsidRPr="00FB79F1">
        <w:t>Neikha</w:t>
      </w:r>
      <w:proofErr w:type="spellEnd"/>
      <w:r w:rsidRPr="00FB79F1">
        <w:t xml:space="preserve">, K., </w:t>
      </w:r>
      <w:proofErr w:type="spellStart"/>
      <w:r w:rsidRPr="00FB79F1">
        <w:t>Pusa</w:t>
      </w:r>
      <w:proofErr w:type="spellEnd"/>
      <w:r w:rsidRPr="00FB79F1">
        <w:t xml:space="preserve">, K., &amp; </w:t>
      </w:r>
      <w:proofErr w:type="spellStart"/>
      <w:r w:rsidRPr="00FB79F1">
        <w:t>Zhimomi</w:t>
      </w:r>
      <w:proofErr w:type="spellEnd"/>
      <w:r w:rsidRPr="00FB79F1">
        <w:t xml:space="preserve">, T. (2023). The future of work: AI, automation, and the changing dynamics of developed economies. World Journal of Advanced Research and Reviews, 18(3), 620–629. </w:t>
      </w:r>
      <w:hyperlink r:id="rId19" w:history="1">
        <w:r w:rsidRPr="000731A8">
          <w:rPr>
            <w:rStyle w:val="Hyperlink"/>
          </w:rPr>
          <w:t>https://doi.org/10.30574/wjarr.2023.18.3.1086</w:t>
        </w:r>
      </w:hyperlink>
    </w:p>
    <w:p w14:paraId="47C0F7BB" w14:textId="74133B5B" w:rsidR="00FB79F1" w:rsidRDefault="00FB79F1" w:rsidP="000E5EED">
      <w:pPr>
        <w:pStyle w:val="NormalWeb"/>
        <w:spacing w:after="0" w:afterAutospacing="0"/>
        <w:jc w:val="both"/>
      </w:pPr>
      <w:proofErr w:type="spellStart"/>
      <w:r w:rsidRPr="00FB79F1">
        <w:t>Faishal</w:t>
      </w:r>
      <w:proofErr w:type="spellEnd"/>
      <w:r w:rsidRPr="00FB79F1">
        <w:t xml:space="preserve">, M. (2025). The role of digital financial inclusion in microenterprise growth: Evidence from Kohima, Nagaland. South Asian Journal of Social Studies and Economics, 22(7), 135–143. </w:t>
      </w:r>
      <w:hyperlink r:id="rId20" w:history="1">
        <w:r w:rsidRPr="000731A8">
          <w:rPr>
            <w:rStyle w:val="Hyperlink"/>
          </w:rPr>
          <w:t>https://doi.org/10.9734/sajsse/2025/v22i71068</w:t>
        </w:r>
      </w:hyperlink>
    </w:p>
    <w:p w14:paraId="03FF2A5B" w14:textId="5E666AAD" w:rsidR="00FB79F1" w:rsidRDefault="00FB79F1" w:rsidP="000E5EED">
      <w:pPr>
        <w:pStyle w:val="NormalWeb"/>
        <w:spacing w:after="0" w:afterAutospacing="0"/>
        <w:jc w:val="both"/>
      </w:pPr>
      <w:proofErr w:type="spellStart"/>
      <w:r w:rsidRPr="00FB79F1">
        <w:t>Goetzmann</w:t>
      </w:r>
      <w:proofErr w:type="spellEnd"/>
      <w:r w:rsidRPr="00FB79F1">
        <w:t xml:space="preserve">, W. N., &amp; Kumar, A. (2008). Equity portfolio diversification. Review of Finance, 12(3), 433–463. </w:t>
      </w:r>
      <w:hyperlink r:id="rId21" w:history="1">
        <w:r w:rsidRPr="000731A8">
          <w:rPr>
            <w:rStyle w:val="Hyperlink"/>
          </w:rPr>
          <w:t>https://doi.org/10.1093/rof/rfn005</w:t>
        </w:r>
      </w:hyperlink>
    </w:p>
    <w:p w14:paraId="570A6EA7" w14:textId="17605AC4" w:rsidR="00FB79F1" w:rsidRDefault="00FB79F1" w:rsidP="000E5EED">
      <w:pPr>
        <w:pStyle w:val="NormalWeb"/>
        <w:spacing w:after="0" w:afterAutospacing="0"/>
        <w:jc w:val="both"/>
      </w:pPr>
      <w:proofErr w:type="spellStart"/>
      <w:r w:rsidRPr="00FB79F1">
        <w:t>Grinblatt</w:t>
      </w:r>
      <w:proofErr w:type="spellEnd"/>
      <w:r w:rsidRPr="00FB79F1">
        <w:t xml:space="preserve">, M., </w:t>
      </w:r>
      <w:proofErr w:type="spellStart"/>
      <w:r w:rsidRPr="00FB79F1">
        <w:t>Keloharju</w:t>
      </w:r>
      <w:proofErr w:type="spellEnd"/>
      <w:r w:rsidRPr="00FB79F1">
        <w:t xml:space="preserve">, M., &amp; </w:t>
      </w:r>
      <w:proofErr w:type="spellStart"/>
      <w:r w:rsidRPr="00FB79F1">
        <w:t>Linnainmaa</w:t>
      </w:r>
      <w:proofErr w:type="spellEnd"/>
      <w:r w:rsidRPr="00FB79F1">
        <w:t xml:space="preserve">, J. T. (2011). IQ and stock market participation. Journal of Finance, 66(6), 2121–2164. </w:t>
      </w:r>
      <w:hyperlink r:id="rId22" w:history="1">
        <w:r w:rsidRPr="000731A8">
          <w:rPr>
            <w:rStyle w:val="Hyperlink"/>
          </w:rPr>
          <w:t>https://doi.org/10.1111/j.1540-6261.2011.01701.x</w:t>
        </w:r>
      </w:hyperlink>
    </w:p>
    <w:p w14:paraId="06875344" w14:textId="578E8352" w:rsidR="00FB79F1" w:rsidRDefault="00FB79F1" w:rsidP="000E5EED">
      <w:pPr>
        <w:pStyle w:val="NormalWeb"/>
        <w:spacing w:after="0" w:afterAutospacing="0"/>
        <w:jc w:val="both"/>
      </w:pPr>
      <w:proofErr w:type="spellStart"/>
      <w:r w:rsidRPr="00FB79F1">
        <w:t>Grohmann</w:t>
      </w:r>
      <w:proofErr w:type="spellEnd"/>
      <w:r w:rsidRPr="00FB79F1">
        <w:t xml:space="preserve">, A., </w:t>
      </w:r>
      <w:proofErr w:type="spellStart"/>
      <w:r w:rsidRPr="00FB79F1">
        <w:t>Kouwenberg</w:t>
      </w:r>
      <w:proofErr w:type="spellEnd"/>
      <w:r w:rsidRPr="00FB79F1">
        <w:t xml:space="preserve">, R., &amp; </w:t>
      </w:r>
      <w:proofErr w:type="spellStart"/>
      <w:r w:rsidRPr="00FB79F1">
        <w:t>Menkhoff</w:t>
      </w:r>
      <w:proofErr w:type="spellEnd"/>
      <w:r w:rsidRPr="00FB79F1">
        <w:t xml:space="preserve">, L. (2015). Childhood roots of financial literacy. Journal of Economic Psychology, 51, 114–133. </w:t>
      </w:r>
      <w:hyperlink r:id="rId23" w:history="1">
        <w:r w:rsidRPr="000731A8">
          <w:rPr>
            <w:rStyle w:val="Hyperlink"/>
          </w:rPr>
          <w:t>https://doi.org/10.1016/j.joep.2015.09.002</w:t>
        </w:r>
      </w:hyperlink>
    </w:p>
    <w:p w14:paraId="06251DF8" w14:textId="2AAC7726" w:rsidR="00FB79F1" w:rsidRDefault="00FB79F1" w:rsidP="000E5EED">
      <w:pPr>
        <w:pStyle w:val="NormalWeb"/>
        <w:spacing w:after="0" w:afterAutospacing="0"/>
        <w:jc w:val="both"/>
      </w:pPr>
      <w:r w:rsidRPr="00FB79F1">
        <w:t xml:space="preserve">Kaiser, T., &amp; </w:t>
      </w:r>
      <w:proofErr w:type="spellStart"/>
      <w:r w:rsidRPr="00FB79F1">
        <w:t>Menkhoff</w:t>
      </w:r>
      <w:proofErr w:type="spellEnd"/>
      <w:r w:rsidRPr="00FB79F1">
        <w:t xml:space="preserve">, L. (2017). Does financial education impact financial literacy and financial behavior, and if so, when? The World Bank Economic Review, 31(3), 611–630. </w:t>
      </w:r>
      <w:hyperlink r:id="rId24" w:history="1">
        <w:r w:rsidRPr="000731A8">
          <w:rPr>
            <w:rStyle w:val="Hyperlink"/>
          </w:rPr>
          <w:t>https://doi.org/10.1093/wber/lhx018</w:t>
        </w:r>
      </w:hyperlink>
    </w:p>
    <w:p w14:paraId="2E986D14" w14:textId="6F6C7F18" w:rsidR="00AE280B" w:rsidRDefault="00AE280B" w:rsidP="000E5EED">
      <w:pPr>
        <w:pStyle w:val="NormalWeb"/>
        <w:spacing w:after="0" w:afterAutospacing="0"/>
        <w:jc w:val="both"/>
      </w:pPr>
      <w:r w:rsidRPr="00AE280B">
        <w:rPr>
          <w:highlight w:val="yellow"/>
        </w:rPr>
        <w:t xml:space="preserve">Kahneman, D., &amp; Tversky, A. (1979). Prospect theory: An analysis of decision under risk. </w:t>
      </w:r>
      <w:proofErr w:type="spellStart"/>
      <w:r w:rsidRPr="00AE280B">
        <w:rPr>
          <w:highlight w:val="yellow"/>
        </w:rPr>
        <w:t>Econometrica</w:t>
      </w:r>
      <w:proofErr w:type="spellEnd"/>
      <w:r w:rsidRPr="00AE280B">
        <w:rPr>
          <w:highlight w:val="yellow"/>
        </w:rPr>
        <w:t xml:space="preserve">, 47(2), 263–291. </w:t>
      </w:r>
      <w:hyperlink r:id="rId25" w:history="1">
        <w:r w:rsidRPr="00AE280B">
          <w:rPr>
            <w:rStyle w:val="Hyperlink"/>
            <w:highlight w:val="yellow"/>
          </w:rPr>
          <w:t>https://doi.org/10.2307/1914185</w:t>
        </w:r>
      </w:hyperlink>
      <w:r>
        <w:t xml:space="preserve"> </w:t>
      </w:r>
    </w:p>
    <w:p w14:paraId="2DA8A059" w14:textId="78A00979" w:rsidR="00FB79F1" w:rsidRDefault="00FB79F1" w:rsidP="000E5EED">
      <w:pPr>
        <w:pStyle w:val="NormalWeb"/>
        <w:spacing w:after="0" w:afterAutospacing="0"/>
        <w:jc w:val="both"/>
      </w:pPr>
      <w:r w:rsidRPr="00FB79F1">
        <w:t>Kaur, M., &amp; Vohra, T. (2012). Understanding individual investor's behavior: A review of empirical evidences. Pacific Business Review International, 5(6), 10–18.</w:t>
      </w:r>
    </w:p>
    <w:p w14:paraId="3F800D2D" w14:textId="13D018DC" w:rsidR="00FB79F1" w:rsidRDefault="00FB79F1" w:rsidP="000E5EED">
      <w:pPr>
        <w:pStyle w:val="NormalWeb"/>
        <w:spacing w:after="0" w:afterAutospacing="0"/>
        <w:jc w:val="both"/>
      </w:pPr>
      <w:r w:rsidRPr="00FB79F1">
        <w:t xml:space="preserve">Kimball, M. S., </w:t>
      </w:r>
      <w:proofErr w:type="spellStart"/>
      <w:r w:rsidRPr="00FB79F1">
        <w:t>Sahm</w:t>
      </w:r>
      <w:proofErr w:type="spellEnd"/>
      <w:r w:rsidRPr="00FB79F1">
        <w:t xml:space="preserve">, C. R., &amp; Shapiro, M. D. (2008). Imputing risk tolerance from survey responses. Journal of the American Statistical Association, 103(483), 1028–1038. </w:t>
      </w:r>
      <w:hyperlink r:id="rId26" w:history="1">
        <w:r w:rsidRPr="000731A8">
          <w:rPr>
            <w:rStyle w:val="Hyperlink"/>
          </w:rPr>
          <w:t>https://doi.org/10.1198/016214508000000139</w:t>
        </w:r>
      </w:hyperlink>
    </w:p>
    <w:p w14:paraId="1B2446F4" w14:textId="04A0FFD6" w:rsidR="00FB79F1" w:rsidRDefault="00FB79F1" w:rsidP="000E5EED">
      <w:pPr>
        <w:pStyle w:val="NormalWeb"/>
        <w:spacing w:after="0" w:afterAutospacing="0"/>
        <w:jc w:val="both"/>
      </w:pPr>
      <w:proofErr w:type="spellStart"/>
      <w:r w:rsidRPr="00FB79F1">
        <w:t>Klapper</w:t>
      </w:r>
      <w:proofErr w:type="spellEnd"/>
      <w:r w:rsidRPr="00FB79F1">
        <w:t xml:space="preserve">, L., Lusardi, A., &amp; </w:t>
      </w:r>
      <w:proofErr w:type="spellStart"/>
      <w:r w:rsidRPr="00FB79F1">
        <w:t>Panos</w:t>
      </w:r>
      <w:proofErr w:type="spellEnd"/>
      <w:r w:rsidRPr="00FB79F1">
        <w:t xml:space="preserve">, G. A. (2013). Financial literacy and its consequences: Evidence from Russia during the financial crisis. Journal of Banking &amp; Finance, 37(10), 3904–3923. </w:t>
      </w:r>
      <w:hyperlink r:id="rId27" w:history="1">
        <w:r w:rsidRPr="000731A8">
          <w:rPr>
            <w:rStyle w:val="Hyperlink"/>
          </w:rPr>
          <w:t>https://doi.org/10.1016/j.jbankfin.2013.07.014</w:t>
        </w:r>
      </w:hyperlink>
    </w:p>
    <w:p w14:paraId="210C6B4A" w14:textId="14CCFB40" w:rsidR="00FB79F1" w:rsidRDefault="00FB79F1" w:rsidP="000E5EED">
      <w:pPr>
        <w:pStyle w:val="NormalWeb"/>
        <w:spacing w:after="0" w:afterAutospacing="0"/>
        <w:jc w:val="both"/>
      </w:pPr>
      <w:r w:rsidRPr="00FB79F1">
        <w:t xml:space="preserve">Lusardi, A., &amp; Mitchell, O. S. (2011). Financial literacy and retirement planning in the United States. Journal of Pension Economics &amp; Finance </w:t>
      </w:r>
      <w:hyperlink r:id="rId28" w:history="1">
        <w:r w:rsidRPr="000731A8">
          <w:rPr>
            <w:rStyle w:val="Hyperlink"/>
          </w:rPr>
          <w:t>https://doi.org/10.1017/S147474721100045X</w:t>
        </w:r>
      </w:hyperlink>
    </w:p>
    <w:p w14:paraId="1E6B894B" w14:textId="00F7B008" w:rsidR="00FB79F1" w:rsidRDefault="00FB79F1" w:rsidP="000E5EED">
      <w:pPr>
        <w:pStyle w:val="NormalWeb"/>
        <w:spacing w:after="0" w:afterAutospacing="0"/>
        <w:jc w:val="both"/>
      </w:pPr>
      <w:r w:rsidRPr="00FB79F1">
        <w:t xml:space="preserve">Lusardi, A., &amp; Mitchell, O. S. (2014). The economic importance of financial literacy: Theory and evidence. Journal of Economic Literature, 52(1), 5–44. </w:t>
      </w:r>
      <w:hyperlink r:id="rId29" w:history="1">
        <w:r w:rsidRPr="000731A8">
          <w:rPr>
            <w:rStyle w:val="Hyperlink"/>
          </w:rPr>
          <w:t>https://doi.org/10.1257/jel.52.1.5</w:t>
        </w:r>
      </w:hyperlink>
    </w:p>
    <w:p w14:paraId="48714ECD" w14:textId="22905CFD" w:rsidR="00AF03E0" w:rsidRDefault="00AF03E0" w:rsidP="000E5EED">
      <w:pPr>
        <w:pStyle w:val="NormalWeb"/>
        <w:spacing w:after="0" w:afterAutospacing="0"/>
        <w:jc w:val="both"/>
      </w:pPr>
      <w:r w:rsidRPr="00AF03E0">
        <w:t xml:space="preserve">Lusardi, A., &amp; </w:t>
      </w:r>
      <w:proofErr w:type="spellStart"/>
      <w:r w:rsidRPr="00AF03E0">
        <w:t>Tufano</w:t>
      </w:r>
      <w:proofErr w:type="spellEnd"/>
      <w:r w:rsidRPr="00AF03E0">
        <w:t xml:space="preserve">, P. (2015). Debt literacy, financial experiences, and </w:t>
      </w:r>
      <w:proofErr w:type="spellStart"/>
      <w:r w:rsidRPr="00AF03E0">
        <w:t>overindebtedness</w:t>
      </w:r>
      <w:proofErr w:type="spellEnd"/>
      <w:r w:rsidRPr="00AF03E0">
        <w:t xml:space="preserve">. Journal of Pension Economics &amp; Finance, 14(4), 332–368. </w:t>
      </w:r>
      <w:hyperlink r:id="rId30" w:history="1">
        <w:r w:rsidRPr="000731A8">
          <w:rPr>
            <w:rStyle w:val="Hyperlink"/>
          </w:rPr>
          <w:t>https://doi.org/10.1017/S1474747215000232</w:t>
        </w:r>
      </w:hyperlink>
    </w:p>
    <w:p w14:paraId="7D5C1B5E" w14:textId="0F8D7CBA" w:rsidR="0095421B" w:rsidRDefault="0095421B" w:rsidP="000E5EED">
      <w:pPr>
        <w:pStyle w:val="NormalWeb"/>
        <w:spacing w:after="0" w:afterAutospacing="0"/>
        <w:jc w:val="both"/>
      </w:pPr>
      <w:r w:rsidRPr="0095421B">
        <w:rPr>
          <w:highlight w:val="yellow"/>
        </w:rPr>
        <w:lastRenderedPageBreak/>
        <w:t xml:space="preserve">Mehta, A., &amp; Singh, R. (2023). Fintech adoption and financial literacy among Indian youth: Behavioral perspectives. Journal of Asian Finance, Economics and Business, 10(7), 89–101. </w:t>
      </w:r>
      <w:hyperlink r:id="rId31" w:history="1">
        <w:r w:rsidRPr="0095421B">
          <w:rPr>
            <w:rStyle w:val="Hyperlink"/>
            <w:highlight w:val="yellow"/>
          </w:rPr>
          <w:t>https://doi.org/10.13106/jafeb.2023.vol10.no7.0089</w:t>
        </w:r>
      </w:hyperlink>
      <w:r>
        <w:t xml:space="preserve"> </w:t>
      </w:r>
    </w:p>
    <w:p w14:paraId="4A4E9DA7" w14:textId="3CFAD221" w:rsidR="00AF03E0" w:rsidRDefault="00AF03E0" w:rsidP="000E5EED">
      <w:pPr>
        <w:pStyle w:val="NormalWeb"/>
        <w:spacing w:after="0" w:afterAutospacing="0"/>
        <w:jc w:val="both"/>
      </w:pPr>
      <w:proofErr w:type="spellStart"/>
      <w:r w:rsidRPr="00AF03E0">
        <w:t>Oehler</w:t>
      </w:r>
      <w:proofErr w:type="spellEnd"/>
      <w:r w:rsidRPr="00AF03E0">
        <w:t xml:space="preserve">, A., Horn, M., &amp; Wendt, S. (2024). Investment in risky assets and participation in the financial market: Does financial literacy matter? International Review of Economics. </w:t>
      </w:r>
      <w:hyperlink r:id="rId32" w:history="1">
        <w:r w:rsidRPr="000731A8">
          <w:rPr>
            <w:rStyle w:val="Hyperlink"/>
          </w:rPr>
          <w:t>https://doi.org/10.1007/s12232-023-00432-9</w:t>
        </w:r>
      </w:hyperlink>
    </w:p>
    <w:p w14:paraId="3C2AB17F" w14:textId="11CDA7E2" w:rsidR="00AF03E0" w:rsidRDefault="00AF03E0" w:rsidP="000E5EED">
      <w:pPr>
        <w:pStyle w:val="NormalWeb"/>
        <w:spacing w:after="0" w:afterAutospacing="0"/>
        <w:jc w:val="both"/>
      </w:pPr>
      <w:proofErr w:type="spellStart"/>
      <w:r w:rsidRPr="00AF03E0">
        <w:t>Remund</w:t>
      </w:r>
      <w:proofErr w:type="spellEnd"/>
      <w:r w:rsidRPr="00AF03E0">
        <w:t xml:space="preserve">, D. L. (2010). Financial literacy explicated: The case for a clearer definition in an increasingly complex economy. Journal of Consumer Affairs, 44(2), 276–295. </w:t>
      </w:r>
      <w:hyperlink r:id="rId33" w:history="1">
        <w:r w:rsidRPr="000731A8">
          <w:rPr>
            <w:rStyle w:val="Hyperlink"/>
          </w:rPr>
          <w:t>https://doi.org/10.1111/j.1745-6606.2010.01169.x</w:t>
        </w:r>
      </w:hyperlink>
    </w:p>
    <w:p w14:paraId="0489CEB8" w14:textId="4C509F05" w:rsidR="00AF03E0" w:rsidRDefault="00AF03E0" w:rsidP="000E5EED">
      <w:pPr>
        <w:pStyle w:val="NormalWeb"/>
        <w:spacing w:after="0" w:afterAutospacing="0"/>
        <w:jc w:val="both"/>
      </w:pPr>
      <w:r w:rsidRPr="00AF03E0">
        <w:t xml:space="preserve">van </w:t>
      </w:r>
      <w:proofErr w:type="spellStart"/>
      <w:r w:rsidRPr="00AF03E0">
        <w:t>Rooij</w:t>
      </w:r>
      <w:proofErr w:type="spellEnd"/>
      <w:r w:rsidRPr="00AF03E0">
        <w:t xml:space="preserve">, M., Lusardi, A., &amp; </w:t>
      </w:r>
      <w:proofErr w:type="spellStart"/>
      <w:r w:rsidRPr="00AF03E0">
        <w:t>Alessie</w:t>
      </w:r>
      <w:proofErr w:type="spellEnd"/>
      <w:r w:rsidRPr="00AF03E0">
        <w:t xml:space="preserve">, R. (2011). Financial literacy and stock market participation. Journal of Financial Economics, 101(2), 449–472. </w:t>
      </w:r>
      <w:hyperlink r:id="rId34" w:history="1">
        <w:r w:rsidRPr="000731A8">
          <w:rPr>
            <w:rStyle w:val="Hyperlink"/>
          </w:rPr>
          <w:t>https://doi.org/10.1016/j.jfineco.2011.03.006</w:t>
        </w:r>
      </w:hyperlink>
    </w:p>
    <w:p w14:paraId="17E1A109" w14:textId="1A22FDD0" w:rsidR="00AF03E0" w:rsidRDefault="00AF03E0" w:rsidP="000E5EED">
      <w:pPr>
        <w:pStyle w:val="NormalWeb"/>
        <w:spacing w:after="0" w:afterAutospacing="0"/>
        <w:jc w:val="both"/>
      </w:pPr>
      <w:proofErr w:type="spellStart"/>
      <w:r w:rsidRPr="00AF03E0">
        <w:t>Sangtam</w:t>
      </w:r>
      <w:proofErr w:type="spellEnd"/>
      <w:r w:rsidRPr="00AF03E0">
        <w:t xml:space="preserve">, D., &amp; </w:t>
      </w:r>
      <w:proofErr w:type="spellStart"/>
      <w:r w:rsidRPr="00AF03E0">
        <w:t>Faishal</w:t>
      </w:r>
      <w:proofErr w:type="spellEnd"/>
      <w:r w:rsidRPr="00AF03E0">
        <w:t xml:space="preserve">, M. (2025). Vocational vs. General Education and Employment Outcomes: Evidence from Kohima, Nagaland, India. Journal of Economics, Management and Trade, 31(8), 1–11. </w:t>
      </w:r>
      <w:hyperlink r:id="rId35" w:history="1">
        <w:r w:rsidRPr="000731A8">
          <w:rPr>
            <w:rStyle w:val="Hyperlink"/>
          </w:rPr>
          <w:t>https://doi.org/10.9734/jemt/2025/v31i81329</w:t>
        </w:r>
      </w:hyperlink>
    </w:p>
    <w:p w14:paraId="2CC7A677" w14:textId="315EE87E" w:rsidR="0095421B" w:rsidRDefault="0095421B" w:rsidP="000E5EED">
      <w:pPr>
        <w:pStyle w:val="NormalWeb"/>
        <w:spacing w:after="0" w:afterAutospacing="0"/>
        <w:jc w:val="both"/>
      </w:pPr>
      <w:r w:rsidRPr="0095421B">
        <w:rPr>
          <w:highlight w:val="yellow"/>
        </w:rPr>
        <w:t xml:space="preserve">Sharma, V., &amp; Gupta, P. (2024). Digital inclusion and youth investment behavior in India. Indian Journal of Behavioral Economics, 5(2), 44–56. </w:t>
      </w:r>
      <w:hyperlink r:id="rId36" w:history="1">
        <w:r w:rsidRPr="0095421B">
          <w:rPr>
            <w:rStyle w:val="Hyperlink"/>
            <w:highlight w:val="yellow"/>
          </w:rPr>
          <w:t>https://doi.org/10.1177/ijbe.2024.050204</w:t>
        </w:r>
      </w:hyperlink>
      <w:r>
        <w:t xml:space="preserve"> </w:t>
      </w:r>
    </w:p>
    <w:p w14:paraId="361522FE" w14:textId="41F69BE6" w:rsidR="00AF03E0" w:rsidRDefault="00AF03E0" w:rsidP="000E5EED">
      <w:pPr>
        <w:pStyle w:val="NormalWeb"/>
        <w:spacing w:after="0" w:afterAutospacing="0"/>
        <w:jc w:val="both"/>
      </w:pPr>
      <w:proofErr w:type="spellStart"/>
      <w:r w:rsidRPr="00AF03E0">
        <w:t>Tharayil</w:t>
      </w:r>
      <w:proofErr w:type="spellEnd"/>
      <w:r w:rsidRPr="00AF03E0">
        <w:t xml:space="preserve">, A. (2024). Examining the association between financial education and financial risk tolerance. The American Economist </w:t>
      </w:r>
      <w:hyperlink r:id="rId37" w:history="1">
        <w:r w:rsidRPr="000731A8">
          <w:rPr>
            <w:rStyle w:val="Hyperlink"/>
          </w:rPr>
          <w:t>https://doi.org/10.1177/05694345231186082</w:t>
        </w:r>
      </w:hyperlink>
    </w:p>
    <w:p w14:paraId="4EBA8568" w14:textId="031ACC1D" w:rsidR="00D22392" w:rsidRPr="000859F8" w:rsidRDefault="00D22392" w:rsidP="000E5EED">
      <w:pPr>
        <w:pStyle w:val="NormalWeb"/>
        <w:spacing w:after="0" w:afterAutospacing="0"/>
        <w:jc w:val="both"/>
      </w:pPr>
      <w:r w:rsidRPr="000859F8">
        <w:t xml:space="preserve">Van </w:t>
      </w:r>
      <w:proofErr w:type="spellStart"/>
      <w:r w:rsidRPr="000859F8">
        <w:t>Oostveldt</w:t>
      </w:r>
      <w:proofErr w:type="spellEnd"/>
      <w:r w:rsidRPr="000859F8">
        <w:t xml:space="preserve">, M., &amp; </w:t>
      </w:r>
      <w:proofErr w:type="spellStart"/>
      <w:r w:rsidRPr="000859F8">
        <w:t>Dellaert</w:t>
      </w:r>
      <w:proofErr w:type="spellEnd"/>
      <w:r w:rsidRPr="000859F8">
        <w:t xml:space="preserve">, B. G. C. (2020). Financial literacy and investment decisions: The moderating role of risk attitude. </w:t>
      </w:r>
      <w:r w:rsidRPr="000859F8">
        <w:rPr>
          <w:rStyle w:val="Emphasis"/>
        </w:rPr>
        <w:t>Journal of Behavioral and Experimental Finance, 28</w:t>
      </w:r>
      <w:r w:rsidRPr="000859F8">
        <w:t xml:space="preserve">, 100412. </w:t>
      </w:r>
      <w:hyperlink r:id="rId38" w:history="1">
        <w:r w:rsidR="00B037B7" w:rsidRPr="000859F8">
          <w:rPr>
            <w:rStyle w:val="Hyperlink"/>
          </w:rPr>
          <w:t>https://doi.org/10.1016/j.jbef.2020.100412</w:t>
        </w:r>
      </w:hyperlink>
      <w:r w:rsidR="00B037B7" w:rsidRPr="000859F8">
        <w:t xml:space="preserve"> </w:t>
      </w:r>
    </w:p>
    <w:p w14:paraId="649CBD52" w14:textId="33985FA1" w:rsidR="00D22392" w:rsidRPr="000859F8" w:rsidRDefault="00D22392" w:rsidP="000E5EED">
      <w:pPr>
        <w:pStyle w:val="NormalWeb"/>
        <w:spacing w:after="0" w:afterAutospacing="0"/>
        <w:jc w:val="both"/>
      </w:pPr>
      <w:r w:rsidRPr="000859F8">
        <w:t xml:space="preserve">Van Rooij, M., Kaiser, T., &amp; Menkhoff, L. (2021). The effects of financial education: Evidence from a large-scale intervention in Germany. </w:t>
      </w:r>
      <w:r w:rsidRPr="000859F8">
        <w:rPr>
          <w:rStyle w:val="Emphasis"/>
        </w:rPr>
        <w:t>Economic Inquiry, 59</w:t>
      </w:r>
      <w:r w:rsidRPr="000859F8">
        <w:t xml:space="preserve">(1), 125–149. </w:t>
      </w:r>
      <w:hyperlink r:id="rId39" w:history="1">
        <w:r w:rsidR="00B037B7" w:rsidRPr="000859F8">
          <w:rPr>
            <w:rStyle w:val="Hyperlink"/>
          </w:rPr>
          <w:t>https://doi.org/10.1111/ecin.12934</w:t>
        </w:r>
      </w:hyperlink>
      <w:r w:rsidR="00B037B7" w:rsidRPr="000859F8">
        <w:t xml:space="preserve"> </w:t>
      </w:r>
    </w:p>
    <w:p w14:paraId="2BBD0983" w14:textId="77777777" w:rsidR="00AF03E0" w:rsidRDefault="00AF03E0" w:rsidP="000E5EED">
      <w:pPr>
        <w:pStyle w:val="NormalWeb"/>
        <w:spacing w:after="0" w:afterAutospacing="0"/>
        <w:jc w:val="both"/>
      </w:pPr>
      <w:r w:rsidRPr="00AF03E0">
        <w:t xml:space="preserve">Yadav, M., &amp; Banerji, P. (2024). Digital financial literacy, saving and investment </w:t>
      </w:r>
      <w:proofErr w:type="spellStart"/>
      <w:r w:rsidRPr="00AF03E0">
        <w:t>behaviour</w:t>
      </w:r>
      <w:proofErr w:type="spellEnd"/>
      <w:r w:rsidRPr="00AF03E0">
        <w:t xml:space="preserve"> in India. Journal of Social and Economic Development. </w:t>
      </w:r>
      <w:hyperlink r:id="rId40" w:history="1">
        <w:r w:rsidRPr="000731A8">
          <w:rPr>
            <w:rStyle w:val="Hyperlink"/>
          </w:rPr>
          <w:t>https://doi.org/10.1007/s40847-024-00367-z</w:t>
        </w:r>
      </w:hyperlink>
    </w:p>
    <w:p w14:paraId="2CA5E5B7" w14:textId="33B6CCCC" w:rsidR="00B80A42" w:rsidRDefault="00AF03E0" w:rsidP="000E5EED">
      <w:pPr>
        <w:pStyle w:val="NormalWeb"/>
        <w:spacing w:after="0" w:afterAutospacing="0"/>
        <w:jc w:val="both"/>
      </w:pPr>
      <w:r w:rsidRPr="00AF03E0">
        <w:t xml:space="preserve">Bayar, F. Y., </w:t>
      </w:r>
      <w:proofErr w:type="spellStart"/>
      <w:r w:rsidRPr="00AF03E0">
        <w:t>Sezgin</w:t>
      </w:r>
      <w:proofErr w:type="spellEnd"/>
      <w:r w:rsidRPr="00AF03E0">
        <w:t xml:space="preserve">, H. F., </w:t>
      </w:r>
      <w:proofErr w:type="spellStart"/>
      <w:r w:rsidRPr="00AF03E0">
        <w:t>Öztürk</w:t>
      </w:r>
      <w:proofErr w:type="spellEnd"/>
      <w:r w:rsidRPr="00AF03E0">
        <w:t xml:space="preserve">, Ö. F., &amp; </w:t>
      </w:r>
      <w:proofErr w:type="spellStart"/>
      <w:r w:rsidRPr="00AF03E0">
        <w:t>Şaşmaz</w:t>
      </w:r>
      <w:proofErr w:type="spellEnd"/>
      <w:r w:rsidRPr="00AF03E0">
        <w:t xml:space="preserve">, M. Ü. (2020). Financial literacy and financial risk tolerance of individual investors: A multinomial logistic regression approach. SAGE Open, 10(3). </w:t>
      </w:r>
      <w:hyperlink r:id="rId41" w:history="1">
        <w:r w:rsidRPr="000731A8">
          <w:rPr>
            <w:rStyle w:val="Hyperlink"/>
          </w:rPr>
          <w:t>https://doi.org/10.1177/2158244020945717</w:t>
        </w:r>
      </w:hyperlink>
      <w:r>
        <w:t xml:space="preserve"> </w:t>
      </w:r>
    </w:p>
    <w:p w14:paraId="4D719DDF" w14:textId="77777777" w:rsidR="00B80A42" w:rsidRPr="00B80A42" w:rsidRDefault="00B80A42" w:rsidP="00B80A42"/>
    <w:p w14:paraId="2F4501E9" w14:textId="77777777" w:rsidR="008D52CA" w:rsidRDefault="008D52CA" w:rsidP="007F6980">
      <w:pPr>
        <w:rPr>
          <w:rFonts w:ascii="Times New Roman" w:hAnsi="Times New Roman" w:cs="Times New Roman"/>
          <w:b/>
          <w:sz w:val="24"/>
          <w:szCs w:val="24"/>
        </w:rPr>
      </w:pPr>
    </w:p>
    <w:p w14:paraId="253075BF" w14:textId="77777777" w:rsidR="004C7345" w:rsidRDefault="004C7345" w:rsidP="007F6980">
      <w:pPr>
        <w:rPr>
          <w:rFonts w:ascii="Times New Roman" w:hAnsi="Times New Roman" w:cs="Times New Roman"/>
          <w:b/>
          <w:sz w:val="24"/>
          <w:szCs w:val="24"/>
        </w:rPr>
      </w:pPr>
    </w:p>
    <w:p w14:paraId="614DA57F" w14:textId="77777777" w:rsidR="004C7345" w:rsidRDefault="004C7345" w:rsidP="007F6980">
      <w:pPr>
        <w:rPr>
          <w:rFonts w:ascii="Times New Roman" w:hAnsi="Times New Roman" w:cs="Times New Roman"/>
          <w:b/>
          <w:sz w:val="24"/>
          <w:szCs w:val="24"/>
        </w:rPr>
      </w:pPr>
    </w:p>
    <w:p w14:paraId="07C0524B" w14:textId="77777777" w:rsidR="004C7345" w:rsidRDefault="004C7345" w:rsidP="007F6980">
      <w:pPr>
        <w:rPr>
          <w:rFonts w:ascii="Times New Roman" w:hAnsi="Times New Roman" w:cs="Times New Roman"/>
          <w:b/>
          <w:sz w:val="24"/>
          <w:szCs w:val="24"/>
        </w:rPr>
      </w:pPr>
    </w:p>
    <w:p w14:paraId="0F36F762" w14:textId="77777777" w:rsidR="004C7345" w:rsidRDefault="004C7345" w:rsidP="007F6980">
      <w:pPr>
        <w:rPr>
          <w:rFonts w:ascii="Times New Roman" w:hAnsi="Times New Roman" w:cs="Times New Roman"/>
          <w:b/>
          <w:sz w:val="24"/>
          <w:szCs w:val="24"/>
        </w:rPr>
      </w:pPr>
    </w:p>
    <w:p w14:paraId="23BD08D1" w14:textId="71276412" w:rsidR="007F6980" w:rsidRPr="004B7E4C" w:rsidRDefault="007F6980" w:rsidP="007F6980">
      <w:pPr>
        <w:rPr>
          <w:rFonts w:ascii="Times New Roman" w:hAnsi="Times New Roman" w:cs="Times New Roman"/>
          <w:b/>
          <w:sz w:val="24"/>
          <w:szCs w:val="24"/>
          <w:highlight w:val="yellow"/>
        </w:rPr>
      </w:pPr>
      <w:r w:rsidRPr="004B7E4C">
        <w:rPr>
          <w:rFonts w:ascii="Times New Roman" w:hAnsi="Times New Roman" w:cs="Times New Roman"/>
          <w:b/>
          <w:sz w:val="24"/>
          <w:szCs w:val="24"/>
          <w:highlight w:val="yellow"/>
        </w:rPr>
        <w:t>Appendix</w:t>
      </w:r>
    </w:p>
    <w:p w14:paraId="06DB8BEC" w14:textId="4ABD335B" w:rsidR="00B80A42" w:rsidRDefault="007F6980" w:rsidP="007F6980">
      <w:pPr>
        <w:rPr>
          <w:rFonts w:ascii="Times New Roman" w:hAnsi="Times New Roman" w:cs="Times New Roman"/>
          <w:sz w:val="24"/>
          <w:szCs w:val="24"/>
        </w:rPr>
      </w:pPr>
      <w:r w:rsidRPr="004B7E4C">
        <w:rPr>
          <w:rFonts w:ascii="Times New Roman" w:hAnsi="Times New Roman" w:cs="Times New Roman"/>
          <w:sz w:val="24"/>
          <w:szCs w:val="24"/>
          <w:highlight w:val="yellow"/>
        </w:rPr>
        <w:t>Table A1. Average Marginal Effects (AMEs) from Logistic Regression Model for Investment Participation</w:t>
      </w:r>
    </w:p>
    <w:tbl>
      <w:tblPr>
        <w:tblStyle w:val="TableGridLight"/>
        <w:tblW w:w="0" w:type="auto"/>
        <w:tblLook w:val="04A0" w:firstRow="1" w:lastRow="0" w:firstColumn="1" w:lastColumn="0" w:noHBand="0" w:noVBand="1"/>
      </w:tblPr>
      <w:tblGrid>
        <w:gridCol w:w="4900"/>
        <w:gridCol w:w="830"/>
        <w:gridCol w:w="2664"/>
        <w:gridCol w:w="956"/>
      </w:tblGrid>
      <w:tr w:rsidR="004C7345" w:rsidRPr="004C7345" w14:paraId="0314871A" w14:textId="77777777" w:rsidTr="004C7345">
        <w:tc>
          <w:tcPr>
            <w:tcW w:w="0" w:type="auto"/>
            <w:hideMark/>
          </w:tcPr>
          <w:p w14:paraId="7276DD06" w14:textId="77777777" w:rsidR="004C7345" w:rsidRPr="004C7345" w:rsidRDefault="004C7345" w:rsidP="004C7345">
            <w:pPr>
              <w:spacing w:after="160" w:line="259" w:lineRule="auto"/>
              <w:rPr>
                <w:rFonts w:ascii="Times New Roman" w:hAnsi="Times New Roman" w:cs="Times New Roman"/>
                <w:b/>
                <w:bCs/>
                <w:sz w:val="24"/>
                <w:szCs w:val="24"/>
              </w:rPr>
            </w:pPr>
            <w:r w:rsidRPr="004C7345">
              <w:rPr>
                <w:rFonts w:ascii="Times New Roman" w:hAnsi="Times New Roman" w:cs="Times New Roman"/>
                <w:b/>
                <w:bCs/>
                <w:sz w:val="24"/>
                <w:szCs w:val="24"/>
              </w:rPr>
              <w:t>Variable</w:t>
            </w:r>
          </w:p>
        </w:tc>
        <w:tc>
          <w:tcPr>
            <w:tcW w:w="0" w:type="auto"/>
            <w:hideMark/>
          </w:tcPr>
          <w:p w14:paraId="550A2EDB" w14:textId="77777777" w:rsidR="004C7345" w:rsidRPr="004C7345" w:rsidRDefault="004C7345" w:rsidP="004C7345">
            <w:pPr>
              <w:spacing w:after="160" w:line="259" w:lineRule="auto"/>
              <w:rPr>
                <w:rFonts w:ascii="Times New Roman" w:hAnsi="Times New Roman" w:cs="Times New Roman"/>
                <w:b/>
                <w:bCs/>
                <w:sz w:val="24"/>
                <w:szCs w:val="24"/>
              </w:rPr>
            </w:pPr>
            <w:r w:rsidRPr="004C7345">
              <w:rPr>
                <w:rFonts w:ascii="Times New Roman" w:hAnsi="Times New Roman" w:cs="Times New Roman"/>
                <w:b/>
                <w:bCs/>
                <w:sz w:val="24"/>
                <w:szCs w:val="24"/>
              </w:rPr>
              <w:t>AME</w:t>
            </w:r>
          </w:p>
        </w:tc>
        <w:tc>
          <w:tcPr>
            <w:tcW w:w="0" w:type="auto"/>
            <w:hideMark/>
          </w:tcPr>
          <w:p w14:paraId="02B4752F" w14:textId="77777777" w:rsidR="004C7345" w:rsidRPr="004C7345" w:rsidRDefault="004C7345" w:rsidP="004C7345">
            <w:pPr>
              <w:spacing w:after="160" w:line="259" w:lineRule="auto"/>
              <w:rPr>
                <w:rFonts w:ascii="Times New Roman" w:hAnsi="Times New Roman" w:cs="Times New Roman"/>
                <w:b/>
                <w:bCs/>
                <w:sz w:val="24"/>
                <w:szCs w:val="24"/>
              </w:rPr>
            </w:pPr>
            <w:r w:rsidRPr="004C7345">
              <w:rPr>
                <w:rFonts w:ascii="Times New Roman" w:hAnsi="Times New Roman" w:cs="Times New Roman"/>
                <w:b/>
                <w:bCs/>
                <w:sz w:val="24"/>
                <w:szCs w:val="24"/>
              </w:rPr>
              <w:t>95% Confidence Interval</w:t>
            </w:r>
          </w:p>
        </w:tc>
        <w:tc>
          <w:tcPr>
            <w:tcW w:w="0" w:type="auto"/>
            <w:hideMark/>
          </w:tcPr>
          <w:p w14:paraId="60003595" w14:textId="77777777" w:rsidR="004C7345" w:rsidRPr="004C7345" w:rsidRDefault="004C7345" w:rsidP="004C7345">
            <w:pPr>
              <w:spacing w:after="160" w:line="259" w:lineRule="auto"/>
              <w:rPr>
                <w:rFonts w:ascii="Times New Roman" w:hAnsi="Times New Roman" w:cs="Times New Roman"/>
                <w:b/>
                <w:bCs/>
                <w:sz w:val="24"/>
                <w:szCs w:val="24"/>
              </w:rPr>
            </w:pPr>
            <w:r w:rsidRPr="004C7345">
              <w:rPr>
                <w:rFonts w:ascii="Times New Roman" w:hAnsi="Times New Roman" w:cs="Times New Roman"/>
                <w:b/>
                <w:bCs/>
                <w:sz w:val="24"/>
                <w:szCs w:val="24"/>
              </w:rPr>
              <w:t>p-value</w:t>
            </w:r>
          </w:p>
        </w:tc>
      </w:tr>
      <w:tr w:rsidR="004C7345" w:rsidRPr="004C7345" w14:paraId="5F483B30" w14:textId="77777777" w:rsidTr="004C7345">
        <w:tc>
          <w:tcPr>
            <w:tcW w:w="0" w:type="auto"/>
            <w:hideMark/>
          </w:tcPr>
          <w:p w14:paraId="458F9F20"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Financial literacy score</w:t>
            </w:r>
          </w:p>
        </w:tc>
        <w:tc>
          <w:tcPr>
            <w:tcW w:w="0" w:type="auto"/>
            <w:hideMark/>
          </w:tcPr>
          <w:p w14:paraId="31D86EB0"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0.042</w:t>
            </w:r>
          </w:p>
        </w:tc>
        <w:tc>
          <w:tcPr>
            <w:tcW w:w="0" w:type="auto"/>
            <w:hideMark/>
          </w:tcPr>
          <w:p w14:paraId="571B1B2C" w14:textId="6826924A"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w:t>
            </w:r>
            <w:r>
              <w:rPr>
                <w:rFonts w:ascii="Times New Roman" w:hAnsi="Times New Roman" w:cs="Times New Roman"/>
                <w:sz w:val="24"/>
                <w:szCs w:val="24"/>
              </w:rPr>
              <w:t>-</w:t>
            </w:r>
            <w:r w:rsidRPr="004C7345">
              <w:rPr>
                <w:rFonts w:ascii="Times New Roman" w:hAnsi="Times New Roman" w:cs="Times New Roman"/>
                <w:sz w:val="24"/>
                <w:szCs w:val="24"/>
              </w:rPr>
              <w:t>0.002, 0.089]</w:t>
            </w:r>
          </w:p>
        </w:tc>
        <w:tc>
          <w:tcPr>
            <w:tcW w:w="0" w:type="auto"/>
            <w:hideMark/>
          </w:tcPr>
          <w:p w14:paraId="45EE3A88"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0.060</w:t>
            </w:r>
          </w:p>
        </w:tc>
      </w:tr>
      <w:tr w:rsidR="004C7345" w:rsidRPr="004C7345" w14:paraId="0392BFE1" w14:textId="77777777" w:rsidTr="004C7345">
        <w:tc>
          <w:tcPr>
            <w:tcW w:w="0" w:type="auto"/>
            <w:hideMark/>
          </w:tcPr>
          <w:p w14:paraId="71137AB9"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Risk tolerance score</w:t>
            </w:r>
          </w:p>
        </w:tc>
        <w:tc>
          <w:tcPr>
            <w:tcW w:w="0" w:type="auto"/>
            <w:hideMark/>
          </w:tcPr>
          <w:p w14:paraId="135806B1"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0.053</w:t>
            </w:r>
          </w:p>
        </w:tc>
        <w:tc>
          <w:tcPr>
            <w:tcW w:w="0" w:type="auto"/>
            <w:hideMark/>
          </w:tcPr>
          <w:p w14:paraId="330574F7"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[0.010, 0.096]</w:t>
            </w:r>
          </w:p>
        </w:tc>
        <w:tc>
          <w:tcPr>
            <w:tcW w:w="0" w:type="auto"/>
            <w:hideMark/>
          </w:tcPr>
          <w:p w14:paraId="7364F833"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0.021</w:t>
            </w:r>
          </w:p>
        </w:tc>
      </w:tr>
      <w:tr w:rsidR="004C7345" w:rsidRPr="004C7345" w14:paraId="184FD391" w14:textId="77777777" w:rsidTr="004C7345">
        <w:tc>
          <w:tcPr>
            <w:tcW w:w="0" w:type="auto"/>
            <w:hideMark/>
          </w:tcPr>
          <w:p w14:paraId="2FD7DE40"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Attended financial literacy program (1 = Yes)</w:t>
            </w:r>
          </w:p>
        </w:tc>
        <w:tc>
          <w:tcPr>
            <w:tcW w:w="0" w:type="auto"/>
            <w:hideMark/>
          </w:tcPr>
          <w:p w14:paraId="077609FB"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0.028</w:t>
            </w:r>
          </w:p>
        </w:tc>
        <w:tc>
          <w:tcPr>
            <w:tcW w:w="0" w:type="auto"/>
            <w:hideMark/>
          </w:tcPr>
          <w:p w14:paraId="566995A9" w14:textId="322AF33D"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w:t>
            </w:r>
            <w:r>
              <w:rPr>
                <w:rFonts w:ascii="Times New Roman" w:hAnsi="Times New Roman" w:cs="Times New Roman"/>
                <w:sz w:val="24"/>
                <w:szCs w:val="24"/>
              </w:rPr>
              <w:t>-</w:t>
            </w:r>
            <w:r w:rsidRPr="004C7345">
              <w:rPr>
                <w:rFonts w:ascii="Times New Roman" w:hAnsi="Times New Roman" w:cs="Times New Roman"/>
                <w:sz w:val="24"/>
                <w:szCs w:val="24"/>
              </w:rPr>
              <w:t>0.045, 0.101]</w:t>
            </w:r>
          </w:p>
        </w:tc>
        <w:tc>
          <w:tcPr>
            <w:tcW w:w="0" w:type="auto"/>
            <w:hideMark/>
          </w:tcPr>
          <w:p w14:paraId="2B9F4611"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0.404</w:t>
            </w:r>
          </w:p>
        </w:tc>
      </w:tr>
      <w:tr w:rsidR="004C7345" w:rsidRPr="004C7345" w14:paraId="6B489B44" w14:textId="77777777" w:rsidTr="004C7345">
        <w:tc>
          <w:tcPr>
            <w:tcW w:w="0" w:type="auto"/>
            <w:hideMark/>
          </w:tcPr>
          <w:p w14:paraId="49742FE7"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Gender (Female = 1)</w:t>
            </w:r>
          </w:p>
        </w:tc>
        <w:tc>
          <w:tcPr>
            <w:tcW w:w="0" w:type="auto"/>
            <w:hideMark/>
          </w:tcPr>
          <w:p w14:paraId="095E7CAD" w14:textId="18688A82" w:rsidR="004C7345" w:rsidRPr="004C7345" w:rsidRDefault="004C7345" w:rsidP="004C7345">
            <w:pPr>
              <w:spacing w:after="160" w:line="259" w:lineRule="auto"/>
              <w:rPr>
                <w:rFonts w:ascii="Times New Roman" w:hAnsi="Times New Roman" w:cs="Times New Roman"/>
                <w:sz w:val="24"/>
                <w:szCs w:val="24"/>
              </w:rPr>
            </w:pPr>
            <w:r>
              <w:rPr>
                <w:rFonts w:ascii="Times New Roman" w:hAnsi="Times New Roman" w:cs="Times New Roman"/>
                <w:sz w:val="24"/>
                <w:szCs w:val="24"/>
              </w:rPr>
              <w:t>-</w:t>
            </w:r>
            <w:r w:rsidRPr="004C7345">
              <w:rPr>
                <w:rFonts w:ascii="Times New Roman" w:hAnsi="Times New Roman" w:cs="Times New Roman"/>
                <w:sz w:val="24"/>
                <w:szCs w:val="24"/>
              </w:rPr>
              <w:t>0.019</w:t>
            </w:r>
          </w:p>
        </w:tc>
        <w:tc>
          <w:tcPr>
            <w:tcW w:w="0" w:type="auto"/>
            <w:hideMark/>
          </w:tcPr>
          <w:p w14:paraId="08E19E77" w14:textId="0B10162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w:t>
            </w:r>
            <w:r>
              <w:rPr>
                <w:rFonts w:ascii="Times New Roman" w:hAnsi="Times New Roman" w:cs="Times New Roman"/>
                <w:sz w:val="24"/>
                <w:szCs w:val="24"/>
              </w:rPr>
              <w:t>-</w:t>
            </w:r>
            <w:r w:rsidRPr="004C7345">
              <w:rPr>
                <w:rFonts w:ascii="Times New Roman" w:hAnsi="Times New Roman" w:cs="Times New Roman"/>
                <w:sz w:val="24"/>
                <w:szCs w:val="24"/>
              </w:rPr>
              <w:t>0.108, 0.071]</w:t>
            </w:r>
          </w:p>
        </w:tc>
        <w:tc>
          <w:tcPr>
            <w:tcW w:w="0" w:type="auto"/>
            <w:hideMark/>
          </w:tcPr>
          <w:p w14:paraId="5288F5C0"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0.681</w:t>
            </w:r>
          </w:p>
        </w:tc>
      </w:tr>
      <w:tr w:rsidR="004C7345" w:rsidRPr="004C7345" w14:paraId="721946A4" w14:textId="77777777" w:rsidTr="004C7345">
        <w:tc>
          <w:tcPr>
            <w:tcW w:w="0" w:type="auto"/>
            <w:hideMark/>
          </w:tcPr>
          <w:p w14:paraId="5B797BB5" w14:textId="5E296D7D"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Allowance category ₹2000</w:t>
            </w:r>
            <w:r w:rsidR="00B00D9F">
              <w:rPr>
                <w:rFonts w:ascii="Times New Roman" w:hAnsi="Times New Roman" w:cs="Times New Roman"/>
                <w:sz w:val="24"/>
                <w:szCs w:val="24"/>
              </w:rPr>
              <w:t>-</w:t>
            </w:r>
            <w:r w:rsidRPr="004C7345">
              <w:rPr>
                <w:rFonts w:ascii="Times New Roman" w:hAnsi="Times New Roman" w:cs="Times New Roman"/>
                <w:sz w:val="24"/>
                <w:szCs w:val="24"/>
              </w:rPr>
              <w:t>₹4000</w:t>
            </w:r>
          </w:p>
        </w:tc>
        <w:tc>
          <w:tcPr>
            <w:tcW w:w="0" w:type="auto"/>
            <w:hideMark/>
          </w:tcPr>
          <w:p w14:paraId="5E8BC045"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0.012</w:t>
            </w:r>
          </w:p>
        </w:tc>
        <w:tc>
          <w:tcPr>
            <w:tcW w:w="0" w:type="auto"/>
            <w:hideMark/>
          </w:tcPr>
          <w:p w14:paraId="325BF806" w14:textId="2AD956D3"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w:t>
            </w:r>
            <w:r>
              <w:rPr>
                <w:rFonts w:ascii="Times New Roman" w:hAnsi="Times New Roman" w:cs="Times New Roman"/>
                <w:sz w:val="24"/>
                <w:szCs w:val="24"/>
              </w:rPr>
              <w:t>-</w:t>
            </w:r>
            <w:r w:rsidRPr="004C7345">
              <w:rPr>
                <w:rFonts w:ascii="Times New Roman" w:hAnsi="Times New Roman" w:cs="Times New Roman"/>
                <w:sz w:val="24"/>
                <w:szCs w:val="24"/>
              </w:rPr>
              <w:t>0.056, 0.079]</w:t>
            </w:r>
          </w:p>
        </w:tc>
        <w:tc>
          <w:tcPr>
            <w:tcW w:w="0" w:type="auto"/>
            <w:hideMark/>
          </w:tcPr>
          <w:p w14:paraId="0D46D9AC"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0.712</w:t>
            </w:r>
          </w:p>
        </w:tc>
      </w:tr>
      <w:tr w:rsidR="004C7345" w:rsidRPr="004C7345" w14:paraId="54F01B54" w14:textId="77777777" w:rsidTr="004C7345">
        <w:tc>
          <w:tcPr>
            <w:tcW w:w="0" w:type="auto"/>
            <w:hideMark/>
          </w:tcPr>
          <w:p w14:paraId="4EB7F365" w14:textId="7FE339EE"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Allowance category ₹4000</w:t>
            </w:r>
            <w:r w:rsidR="00B00D9F">
              <w:rPr>
                <w:rFonts w:ascii="Times New Roman" w:hAnsi="Times New Roman" w:cs="Times New Roman"/>
                <w:sz w:val="24"/>
                <w:szCs w:val="24"/>
              </w:rPr>
              <w:t>-</w:t>
            </w:r>
            <w:r w:rsidRPr="004C7345">
              <w:rPr>
                <w:rFonts w:ascii="Times New Roman" w:hAnsi="Times New Roman" w:cs="Times New Roman"/>
                <w:sz w:val="24"/>
                <w:szCs w:val="24"/>
              </w:rPr>
              <w:t>₹6000</w:t>
            </w:r>
          </w:p>
        </w:tc>
        <w:tc>
          <w:tcPr>
            <w:tcW w:w="0" w:type="auto"/>
            <w:hideMark/>
          </w:tcPr>
          <w:p w14:paraId="0201403D"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0.025</w:t>
            </w:r>
          </w:p>
        </w:tc>
        <w:tc>
          <w:tcPr>
            <w:tcW w:w="0" w:type="auto"/>
            <w:hideMark/>
          </w:tcPr>
          <w:p w14:paraId="050A0FC6" w14:textId="524EE118"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w:t>
            </w:r>
            <w:r>
              <w:rPr>
                <w:rFonts w:ascii="Times New Roman" w:hAnsi="Times New Roman" w:cs="Times New Roman"/>
                <w:sz w:val="24"/>
                <w:szCs w:val="24"/>
              </w:rPr>
              <w:t>-</w:t>
            </w:r>
            <w:r w:rsidRPr="004C7345">
              <w:rPr>
                <w:rFonts w:ascii="Times New Roman" w:hAnsi="Times New Roman" w:cs="Times New Roman"/>
                <w:sz w:val="24"/>
                <w:szCs w:val="24"/>
              </w:rPr>
              <w:t>0.043, 0.092]</w:t>
            </w:r>
          </w:p>
        </w:tc>
        <w:tc>
          <w:tcPr>
            <w:tcW w:w="0" w:type="auto"/>
            <w:hideMark/>
          </w:tcPr>
          <w:p w14:paraId="6E0BC777"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0.423</w:t>
            </w:r>
          </w:p>
        </w:tc>
      </w:tr>
      <w:tr w:rsidR="004C7345" w:rsidRPr="004C7345" w14:paraId="11DB7860" w14:textId="77777777" w:rsidTr="004C7345">
        <w:tc>
          <w:tcPr>
            <w:tcW w:w="0" w:type="auto"/>
            <w:hideMark/>
          </w:tcPr>
          <w:p w14:paraId="1A5540DB"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Allowance category &gt;₹6000</w:t>
            </w:r>
          </w:p>
        </w:tc>
        <w:tc>
          <w:tcPr>
            <w:tcW w:w="0" w:type="auto"/>
            <w:hideMark/>
          </w:tcPr>
          <w:p w14:paraId="53A5D525"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0.045</w:t>
            </w:r>
          </w:p>
        </w:tc>
        <w:tc>
          <w:tcPr>
            <w:tcW w:w="0" w:type="auto"/>
            <w:hideMark/>
          </w:tcPr>
          <w:p w14:paraId="1BEEC024" w14:textId="1AF3DF8E"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w:t>
            </w:r>
            <w:r>
              <w:rPr>
                <w:rFonts w:ascii="Times New Roman" w:hAnsi="Times New Roman" w:cs="Times New Roman"/>
                <w:sz w:val="24"/>
                <w:szCs w:val="24"/>
              </w:rPr>
              <w:t>-</w:t>
            </w:r>
            <w:r w:rsidRPr="004C7345">
              <w:rPr>
                <w:rFonts w:ascii="Times New Roman" w:hAnsi="Times New Roman" w:cs="Times New Roman"/>
                <w:sz w:val="24"/>
                <w:szCs w:val="24"/>
              </w:rPr>
              <w:t>0.025, 0.115]</w:t>
            </w:r>
          </w:p>
        </w:tc>
        <w:tc>
          <w:tcPr>
            <w:tcW w:w="0" w:type="auto"/>
            <w:hideMark/>
          </w:tcPr>
          <w:p w14:paraId="314DD46F"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0.197</w:t>
            </w:r>
          </w:p>
        </w:tc>
      </w:tr>
      <w:tr w:rsidR="004C7345" w:rsidRPr="004C7345" w14:paraId="74B145B1" w14:textId="77777777" w:rsidTr="004C7345">
        <w:tc>
          <w:tcPr>
            <w:tcW w:w="0" w:type="auto"/>
            <w:hideMark/>
          </w:tcPr>
          <w:p w14:paraId="2BA5AA62"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Arts &amp; Humanities (ref: Management &amp; Commerce)</w:t>
            </w:r>
          </w:p>
        </w:tc>
        <w:tc>
          <w:tcPr>
            <w:tcW w:w="0" w:type="auto"/>
            <w:hideMark/>
          </w:tcPr>
          <w:p w14:paraId="0D862B3A" w14:textId="072F57EE" w:rsidR="004C7345" w:rsidRPr="004C7345" w:rsidRDefault="00631EC0" w:rsidP="004C7345">
            <w:pPr>
              <w:spacing w:after="160" w:line="259" w:lineRule="auto"/>
              <w:rPr>
                <w:rFonts w:ascii="Times New Roman" w:hAnsi="Times New Roman" w:cs="Times New Roman"/>
                <w:sz w:val="24"/>
                <w:szCs w:val="24"/>
              </w:rPr>
            </w:pPr>
            <w:r>
              <w:rPr>
                <w:rFonts w:ascii="Times New Roman" w:hAnsi="Times New Roman" w:cs="Times New Roman"/>
                <w:sz w:val="24"/>
                <w:szCs w:val="24"/>
              </w:rPr>
              <w:t>-</w:t>
            </w:r>
            <w:r w:rsidR="004C7345" w:rsidRPr="004C7345">
              <w:rPr>
                <w:rFonts w:ascii="Times New Roman" w:hAnsi="Times New Roman" w:cs="Times New Roman"/>
                <w:sz w:val="24"/>
                <w:szCs w:val="24"/>
              </w:rPr>
              <w:t>0.046</w:t>
            </w:r>
          </w:p>
        </w:tc>
        <w:tc>
          <w:tcPr>
            <w:tcW w:w="0" w:type="auto"/>
            <w:hideMark/>
          </w:tcPr>
          <w:p w14:paraId="6F34F755" w14:textId="1BF98D1E"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w:t>
            </w:r>
            <w:r>
              <w:rPr>
                <w:rFonts w:ascii="Times New Roman" w:hAnsi="Times New Roman" w:cs="Times New Roman"/>
                <w:sz w:val="24"/>
                <w:szCs w:val="24"/>
              </w:rPr>
              <w:t>-</w:t>
            </w:r>
            <w:r w:rsidRPr="004C7345">
              <w:rPr>
                <w:rFonts w:ascii="Times New Roman" w:hAnsi="Times New Roman" w:cs="Times New Roman"/>
                <w:sz w:val="24"/>
                <w:szCs w:val="24"/>
              </w:rPr>
              <w:t>0.139, 0.047]</w:t>
            </w:r>
          </w:p>
        </w:tc>
        <w:tc>
          <w:tcPr>
            <w:tcW w:w="0" w:type="auto"/>
            <w:hideMark/>
          </w:tcPr>
          <w:p w14:paraId="5E01589C"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0.298</w:t>
            </w:r>
          </w:p>
        </w:tc>
      </w:tr>
      <w:tr w:rsidR="004C7345" w:rsidRPr="004C7345" w14:paraId="0B6574BD" w14:textId="77777777" w:rsidTr="004C7345">
        <w:tc>
          <w:tcPr>
            <w:tcW w:w="0" w:type="auto"/>
            <w:hideMark/>
          </w:tcPr>
          <w:p w14:paraId="4FCB7C27"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Social Sciences (ref: Management &amp; Commerce)</w:t>
            </w:r>
          </w:p>
        </w:tc>
        <w:tc>
          <w:tcPr>
            <w:tcW w:w="0" w:type="auto"/>
            <w:hideMark/>
          </w:tcPr>
          <w:p w14:paraId="4C66D0E3" w14:textId="2AEB35DE" w:rsidR="004C7345" w:rsidRPr="004C7345" w:rsidRDefault="00631EC0" w:rsidP="004C7345">
            <w:pPr>
              <w:spacing w:after="160" w:line="259" w:lineRule="auto"/>
              <w:rPr>
                <w:rFonts w:ascii="Times New Roman" w:hAnsi="Times New Roman" w:cs="Times New Roman"/>
                <w:sz w:val="24"/>
                <w:szCs w:val="24"/>
              </w:rPr>
            </w:pPr>
            <w:r>
              <w:rPr>
                <w:rFonts w:ascii="Times New Roman" w:hAnsi="Times New Roman" w:cs="Times New Roman"/>
                <w:sz w:val="24"/>
                <w:szCs w:val="24"/>
              </w:rPr>
              <w:t>-</w:t>
            </w:r>
            <w:r w:rsidR="004C7345" w:rsidRPr="004C7345">
              <w:rPr>
                <w:rFonts w:ascii="Times New Roman" w:hAnsi="Times New Roman" w:cs="Times New Roman"/>
                <w:sz w:val="24"/>
                <w:szCs w:val="24"/>
              </w:rPr>
              <w:t>0.031</w:t>
            </w:r>
          </w:p>
        </w:tc>
        <w:tc>
          <w:tcPr>
            <w:tcW w:w="0" w:type="auto"/>
            <w:hideMark/>
          </w:tcPr>
          <w:p w14:paraId="1F6883D0" w14:textId="697ADDBF"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w:t>
            </w:r>
            <w:r>
              <w:rPr>
                <w:rFonts w:ascii="Times New Roman" w:hAnsi="Times New Roman" w:cs="Times New Roman"/>
                <w:sz w:val="24"/>
                <w:szCs w:val="24"/>
              </w:rPr>
              <w:t>-</w:t>
            </w:r>
            <w:r w:rsidRPr="004C7345">
              <w:rPr>
                <w:rFonts w:ascii="Times New Roman" w:hAnsi="Times New Roman" w:cs="Times New Roman"/>
                <w:sz w:val="24"/>
                <w:szCs w:val="24"/>
              </w:rPr>
              <w:t>0.116, 0.054]</w:t>
            </w:r>
          </w:p>
        </w:tc>
        <w:tc>
          <w:tcPr>
            <w:tcW w:w="0" w:type="auto"/>
            <w:hideMark/>
          </w:tcPr>
          <w:p w14:paraId="079572E5" w14:textId="77777777" w:rsidR="004C7345" w:rsidRPr="004C7345" w:rsidRDefault="004C7345" w:rsidP="004C7345">
            <w:pPr>
              <w:spacing w:after="160" w:line="259" w:lineRule="auto"/>
              <w:rPr>
                <w:rFonts w:ascii="Times New Roman" w:hAnsi="Times New Roman" w:cs="Times New Roman"/>
                <w:sz w:val="24"/>
                <w:szCs w:val="24"/>
              </w:rPr>
            </w:pPr>
            <w:r w:rsidRPr="004C7345">
              <w:rPr>
                <w:rFonts w:ascii="Times New Roman" w:hAnsi="Times New Roman" w:cs="Times New Roman"/>
                <w:sz w:val="24"/>
                <w:szCs w:val="24"/>
              </w:rPr>
              <w:t>0.432</w:t>
            </w:r>
          </w:p>
        </w:tc>
      </w:tr>
    </w:tbl>
    <w:p w14:paraId="57681235" w14:textId="741FFFB1" w:rsidR="004C7345" w:rsidRDefault="004C7345" w:rsidP="007F6980">
      <w:pPr>
        <w:rPr>
          <w:rFonts w:ascii="Times New Roman" w:hAnsi="Times New Roman" w:cs="Times New Roman"/>
          <w:sz w:val="24"/>
          <w:szCs w:val="24"/>
        </w:rPr>
      </w:pPr>
    </w:p>
    <w:p w14:paraId="66549A10" w14:textId="77777777" w:rsidR="001D6200" w:rsidRPr="001D6200" w:rsidRDefault="001D6200" w:rsidP="001D6200">
      <w:pPr>
        <w:spacing w:after="0"/>
        <w:jc w:val="both"/>
        <w:rPr>
          <w:rFonts w:ascii="Times New Roman" w:hAnsi="Times New Roman" w:cs="Times New Roman"/>
          <w:b/>
          <w:sz w:val="24"/>
          <w:szCs w:val="24"/>
        </w:rPr>
      </w:pPr>
      <w:r w:rsidRPr="001D6200">
        <w:rPr>
          <w:rFonts w:ascii="Times New Roman" w:hAnsi="Times New Roman" w:cs="Times New Roman"/>
          <w:b/>
          <w:sz w:val="24"/>
          <w:szCs w:val="24"/>
        </w:rPr>
        <w:t>Model summary:</w:t>
      </w:r>
    </w:p>
    <w:p w14:paraId="56A75265" w14:textId="77777777" w:rsidR="001D6200" w:rsidRPr="001D6200" w:rsidRDefault="001D6200" w:rsidP="001D6200">
      <w:pPr>
        <w:spacing w:after="0"/>
        <w:jc w:val="both"/>
        <w:rPr>
          <w:rFonts w:ascii="Times New Roman" w:hAnsi="Times New Roman" w:cs="Times New Roman"/>
          <w:sz w:val="24"/>
          <w:szCs w:val="24"/>
        </w:rPr>
      </w:pPr>
      <w:r w:rsidRPr="001D6200">
        <w:rPr>
          <w:rFonts w:ascii="Times New Roman" w:hAnsi="Times New Roman" w:cs="Times New Roman"/>
          <w:sz w:val="24"/>
          <w:szCs w:val="24"/>
        </w:rPr>
        <w:t>Dependent variable = Investment participation (1 = Yes)</w:t>
      </w:r>
    </w:p>
    <w:p w14:paraId="6C10CCD2" w14:textId="77777777" w:rsidR="001D6200" w:rsidRPr="001D6200" w:rsidRDefault="001D6200" w:rsidP="001D6200">
      <w:pPr>
        <w:spacing w:after="0"/>
        <w:jc w:val="both"/>
        <w:rPr>
          <w:rFonts w:ascii="Times New Roman" w:hAnsi="Times New Roman" w:cs="Times New Roman"/>
          <w:sz w:val="24"/>
          <w:szCs w:val="24"/>
        </w:rPr>
      </w:pPr>
      <w:r w:rsidRPr="001D6200">
        <w:rPr>
          <w:rFonts w:ascii="Times New Roman" w:hAnsi="Times New Roman" w:cs="Times New Roman"/>
          <w:sz w:val="24"/>
          <w:szCs w:val="24"/>
        </w:rPr>
        <w:t>Number of observations (N) = 415</w:t>
      </w:r>
    </w:p>
    <w:p w14:paraId="5B8E9637" w14:textId="77777777" w:rsidR="001D6200" w:rsidRPr="001D6200" w:rsidRDefault="001D6200" w:rsidP="001D6200">
      <w:pPr>
        <w:spacing w:after="0"/>
        <w:jc w:val="both"/>
        <w:rPr>
          <w:rFonts w:ascii="Times New Roman" w:hAnsi="Times New Roman" w:cs="Times New Roman"/>
          <w:sz w:val="24"/>
          <w:szCs w:val="24"/>
        </w:rPr>
      </w:pPr>
      <w:r w:rsidRPr="001D6200">
        <w:rPr>
          <w:rFonts w:ascii="Times New Roman" w:hAnsi="Times New Roman" w:cs="Times New Roman"/>
          <w:sz w:val="24"/>
          <w:szCs w:val="24"/>
        </w:rPr>
        <w:t>Robust (HC1) standard errors used.</w:t>
      </w:r>
    </w:p>
    <w:p w14:paraId="082594A0" w14:textId="77777777" w:rsidR="001D6200" w:rsidRPr="001D6200" w:rsidRDefault="001D6200" w:rsidP="001D6200">
      <w:pPr>
        <w:spacing w:after="0"/>
        <w:jc w:val="both"/>
        <w:rPr>
          <w:rFonts w:ascii="Times New Roman" w:hAnsi="Times New Roman" w:cs="Times New Roman"/>
          <w:sz w:val="24"/>
          <w:szCs w:val="24"/>
        </w:rPr>
      </w:pPr>
      <w:r w:rsidRPr="001D6200">
        <w:rPr>
          <w:rFonts w:ascii="Times New Roman" w:hAnsi="Times New Roman" w:cs="Times New Roman"/>
          <w:sz w:val="24"/>
          <w:szCs w:val="24"/>
        </w:rPr>
        <w:t>AMEs computed using marginal standardization (Stata 18).</w:t>
      </w:r>
    </w:p>
    <w:p w14:paraId="24C36D08" w14:textId="77777777" w:rsidR="001D6200" w:rsidRPr="001D6200" w:rsidRDefault="001D6200" w:rsidP="001D6200">
      <w:pPr>
        <w:spacing w:after="0"/>
        <w:jc w:val="both"/>
        <w:rPr>
          <w:rFonts w:ascii="Times New Roman" w:hAnsi="Times New Roman" w:cs="Times New Roman"/>
          <w:sz w:val="24"/>
          <w:szCs w:val="24"/>
        </w:rPr>
      </w:pPr>
    </w:p>
    <w:p w14:paraId="0AA117F9" w14:textId="783A9A81" w:rsidR="001D6200" w:rsidRPr="00370D12" w:rsidRDefault="001D6200" w:rsidP="001D6200">
      <w:pPr>
        <w:spacing w:after="0"/>
        <w:jc w:val="both"/>
        <w:rPr>
          <w:rFonts w:ascii="Times New Roman" w:hAnsi="Times New Roman" w:cs="Times New Roman"/>
          <w:sz w:val="24"/>
          <w:szCs w:val="24"/>
        </w:rPr>
      </w:pPr>
      <w:r w:rsidRPr="001D6200">
        <w:rPr>
          <w:rFonts w:ascii="Times New Roman" w:hAnsi="Times New Roman" w:cs="Times New Roman"/>
          <w:sz w:val="24"/>
          <w:szCs w:val="24"/>
        </w:rPr>
        <w:t xml:space="preserve">Note: </w:t>
      </w:r>
      <w:r w:rsidRPr="001D6200">
        <w:rPr>
          <w:rFonts w:ascii="Times New Roman" w:hAnsi="Times New Roman" w:cs="Times New Roman"/>
          <w:i/>
          <w:sz w:val="24"/>
          <w:szCs w:val="24"/>
        </w:rPr>
        <w:t>AMEs represent the average change in the probability of investment participation associated with a one-unit increase in the predictor variable, holding other variables at observed values.</w:t>
      </w:r>
    </w:p>
    <w:sectPr w:rsidR="001D6200" w:rsidRPr="00370D12">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DCA46" w14:textId="77777777" w:rsidR="00EA2C3A" w:rsidRDefault="00EA2C3A" w:rsidP="00643BCF">
      <w:pPr>
        <w:spacing w:after="0" w:line="240" w:lineRule="auto"/>
      </w:pPr>
      <w:r>
        <w:separator/>
      </w:r>
    </w:p>
  </w:endnote>
  <w:endnote w:type="continuationSeparator" w:id="0">
    <w:p w14:paraId="37D2567F" w14:textId="77777777" w:rsidR="00EA2C3A" w:rsidRDefault="00EA2C3A" w:rsidP="0064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F4A2" w14:textId="77777777" w:rsidR="006125F4" w:rsidRDefault="00612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4C3D7" w14:textId="77777777" w:rsidR="006125F4" w:rsidRDefault="00612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2149" w14:textId="77777777" w:rsidR="006125F4" w:rsidRDefault="0061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D39DA" w14:textId="77777777" w:rsidR="00EA2C3A" w:rsidRDefault="00EA2C3A" w:rsidP="00643BCF">
      <w:pPr>
        <w:spacing w:after="0" w:line="240" w:lineRule="auto"/>
      </w:pPr>
      <w:r>
        <w:separator/>
      </w:r>
    </w:p>
  </w:footnote>
  <w:footnote w:type="continuationSeparator" w:id="0">
    <w:p w14:paraId="3CD1A5AA" w14:textId="77777777" w:rsidR="00EA2C3A" w:rsidRDefault="00EA2C3A" w:rsidP="00643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4815" w14:textId="229BC5B7" w:rsidR="006125F4" w:rsidRDefault="00EA2C3A">
    <w:pPr>
      <w:pStyle w:val="Header"/>
    </w:pPr>
    <w:r>
      <w:rPr>
        <w:noProof/>
      </w:rPr>
      <w:pict w14:anchorId="366A2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6D1C2" w14:textId="0A922DBD" w:rsidR="006125F4" w:rsidRDefault="00EA2C3A">
    <w:pPr>
      <w:pStyle w:val="Header"/>
    </w:pPr>
    <w:r>
      <w:rPr>
        <w:noProof/>
      </w:rPr>
      <w:pict w14:anchorId="7A96E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0376" w14:textId="101CFE6B" w:rsidR="006125F4" w:rsidRDefault="00EA2C3A">
    <w:pPr>
      <w:pStyle w:val="Header"/>
    </w:pPr>
    <w:r>
      <w:rPr>
        <w:noProof/>
      </w:rPr>
      <w:pict w14:anchorId="3EE5C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86377"/>
    <w:multiLevelType w:val="hybridMultilevel"/>
    <w:tmpl w:val="246C9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814A53"/>
    <w:multiLevelType w:val="hybridMultilevel"/>
    <w:tmpl w:val="30DE2496"/>
    <w:lvl w:ilvl="0" w:tplc="F25C394E">
      <w:numFmt w:val="bullet"/>
      <w:lvlText w:val="•"/>
      <w:lvlJc w:val="left"/>
      <w:pPr>
        <w:ind w:left="608" w:hanging="201"/>
      </w:pPr>
      <w:rPr>
        <w:rFonts w:ascii="Times New Roman" w:eastAsia="Times New Roman" w:hAnsi="Times New Roman" w:cs="Times New Roman" w:hint="default"/>
        <w:b w:val="0"/>
        <w:bCs w:val="0"/>
        <w:i w:val="0"/>
        <w:iCs w:val="0"/>
        <w:spacing w:val="0"/>
        <w:w w:val="99"/>
        <w:sz w:val="24"/>
        <w:szCs w:val="24"/>
        <w:lang w:val="en-US" w:eastAsia="en-US" w:bidi="ar-SA"/>
      </w:rPr>
    </w:lvl>
    <w:lvl w:ilvl="1" w:tplc="C69613D6">
      <w:numFmt w:val="bullet"/>
      <w:lvlText w:val="•"/>
      <w:lvlJc w:val="left"/>
      <w:pPr>
        <w:ind w:left="1461" w:hanging="201"/>
      </w:pPr>
      <w:rPr>
        <w:rFonts w:hint="default"/>
        <w:lang w:val="en-US" w:eastAsia="en-US" w:bidi="ar-SA"/>
      </w:rPr>
    </w:lvl>
    <w:lvl w:ilvl="2" w:tplc="594AC9F8">
      <w:numFmt w:val="bullet"/>
      <w:lvlText w:val="•"/>
      <w:lvlJc w:val="left"/>
      <w:pPr>
        <w:ind w:left="2322" w:hanging="201"/>
      </w:pPr>
      <w:rPr>
        <w:rFonts w:hint="default"/>
        <w:lang w:val="en-US" w:eastAsia="en-US" w:bidi="ar-SA"/>
      </w:rPr>
    </w:lvl>
    <w:lvl w:ilvl="3" w:tplc="CF1E44E6">
      <w:numFmt w:val="bullet"/>
      <w:lvlText w:val="•"/>
      <w:lvlJc w:val="left"/>
      <w:pPr>
        <w:ind w:left="3184" w:hanging="201"/>
      </w:pPr>
      <w:rPr>
        <w:rFonts w:hint="default"/>
        <w:lang w:val="en-US" w:eastAsia="en-US" w:bidi="ar-SA"/>
      </w:rPr>
    </w:lvl>
    <w:lvl w:ilvl="4" w:tplc="BFE661C8">
      <w:numFmt w:val="bullet"/>
      <w:lvlText w:val="•"/>
      <w:lvlJc w:val="left"/>
      <w:pPr>
        <w:ind w:left="4045" w:hanging="201"/>
      </w:pPr>
      <w:rPr>
        <w:rFonts w:hint="default"/>
        <w:lang w:val="en-US" w:eastAsia="en-US" w:bidi="ar-SA"/>
      </w:rPr>
    </w:lvl>
    <w:lvl w:ilvl="5" w:tplc="9A46EEDE">
      <w:numFmt w:val="bullet"/>
      <w:lvlText w:val="•"/>
      <w:lvlJc w:val="left"/>
      <w:pPr>
        <w:ind w:left="4906" w:hanging="201"/>
      </w:pPr>
      <w:rPr>
        <w:rFonts w:hint="default"/>
        <w:lang w:val="en-US" w:eastAsia="en-US" w:bidi="ar-SA"/>
      </w:rPr>
    </w:lvl>
    <w:lvl w:ilvl="6" w:tplc="6E54FBC0">
      <w:numFmt w:val="bullet"/>
      <w:lvlText w:val="•"/>
      <w:lvlJc w:val="left"/>
      <w:pPr>
        <w:ind w:left="5768" w:hanging="201"/>
      </w:pPr>
      <w:rPr>
        <w:rFonts w:hint="default"/>
        <w:lang w:val="en-US" w:eastAsia="en-US" w:bidi="ar-SA"/>
      </w:rPr>
    </w:lvl>
    <w:lvl w:ilvl="7" w:tplc="ABAA1C72">
      <w:numFmt w:val="bullet"/>
      <w:lvlText w:val="•"/>
      <w:lvlJc w:val="left"/>
      <w:pPr>
        <w:ind w:left="6629" w:hanging="201"/>
      </w:pPr>
      <w:rPr>
        <w:rFonts w:hint="default"/>
        <w:lang w:val="en-US" w:eastAsia="en-US" w:bidi="ar-SA"/>
      </w:rPr>
    </w:lvl>
    <w:lvl w:ilvl="8" w:tplc="B386BD70">
      <w:numFmt w:val="bullet"/>
      <w:lvlText w:val="•"/>
      <w:lvlJc w:val="left"/>
      <w:pPr>
        <w:ind w:left="7490" w:hanging="20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3C"/>
    <w:rsid w:val="00042F81"/>
    <w:rsid w:val="0006249C"/>
    <w:rsid w:val="000859F8"/>
    <w:rsid w:val="000866F2"/>
    <w:rsid w:val="000B3B55"/>
    <w:rsid w:val="000C0F91"/>
    <w:rsid w:val="000E5EED"/>
    <w:rsid w:val="000E6847"/>
    <w:rsid w:val="000F4B58"/>
    <w:rsid w:val="00102E02"/>
    <w:rsid w:val="00130DF4"/>
    <w:rsid w:val="001A0321"/>
    <w:rsid w:val="001A1C2A"/>
    <w:rsid w:val="001B0C04"/>
    <w:rsid w:val="001C52FF"/>
    <w:rsid w:val="001C6B89"/>
    <w:rsid w:val="001D6200"/>
    <w:rsid w:val="001D6B55"/>
    <w:rsid w:val="002220E9"/>
    <w:rsid w:val="00242A90"/>
    <w:rsid w:val="00247B0E"/>
    <w:rsid w:val="00251C79"/>
    <w:rsid w:val="00281F07"/>
    <w:rsid w:val="002E10AC"/>
    <w:rsid w:val="00316F5C"/>
    <w:rsid w:val="00320F12"/>
    <w:rsid w:val="0033193B"/>
    <w:rsid w:val="00370D12"/>
    <w:rsid w:val="003A782A"/>
    <w:rsid w:val="00400C0B"/>
    <w:rsid w:val="00422BFD"/>
    <w:rsid w:val="00427375"/>
    <w:rsid w:val="004311A8"/>
    <w:rsid w:val="004356FC"/>
    <w:rsid w:val="00442F1A"/>
    <w:rsid w:val="004533E3"/>
    <w:rsid w:val="004B7E4C"/>
    <w:rsid w:val="004C7345"/>
    <w:rsid w:val="004D5E42"/>
    <w:rsid w:val="004E0052"/>
    <w:rsid w:val="004E57EA"/>
    <w:rsid w:val="0055773D"/>
    <w:rsid w:val="0057534E"/>
    <w:rsid w:val="005806CB"/>
    <w:rsid w:val="00581381"/>
    <w:rsid w:val="005D2B87"/>
    <w:rsid w:val="006125F4"/>
    <w:rsid w:val="00613C53"/>
    <w:rsid w:val="00626667"/>
    <w:rsid w:val="00631EC0"/>
    <w:rsid w:val="00643BCF"/>
    <w:rsid w:val="00667EBD"/>
    <w:rsid w:val="00675046"/>
    <w:rsid w:val="00677A15"/>
    <w:rsid w:val="0069523C"/>
    <w:rsid w:val="006B0DFE"/>
    <w:rsid w:val="007319B3"/>
    <w:rsid w:val="00750862"/>
    <w:rsid w:val="0079151C"/>
    <w:rsid w:val="00794CEC"/>
    <w:rsid w:val="007A0DF7"/>
    <w:rsid w:val="007A26A8"/>
    <w:rsid w:val="007F098D"/>
    <w:rsid w:val="007F6980"/>
    <w:rsid w:val="00890F4F"/>
    <w:rsid w:val="00891396"/>
    <w:rsid w:val="00891AAC"/>
    <w:rsid w:val="00897FBC"/>
    <w:rsid w:val="008B09DE"/>
    <w:rsid w:val="008D128B"/>
    <w:rsid w:val="008D52CA"/>
    <w:rsid w:val="008D7588"/>
    <w:rsid w:val="008F4B82"/>
    <w:rsid w:val="0091225B"/>
    <w:rsid w:val="00914340"/>
    <w:rsid w:val="00926051"/>
    <w:rsid w:val="00934D3F"/>
    <w:rsid w:val="009355FA"/>
    <w:rsid w:val="00945142"/>
    <w:rsid w:val="0095421B"/>
    <w:rsid w:val="009732A3"/>
    <w:rsid w:val="00983D93"/>
    <w:rsid w:val="009C4C34"/>
    <w:rsid w:val="009D4108"/>
    <w:rsid w:val="009E5D26"/>
    <w:rsid w:val="00A00915"/>
    <w:rsid w:val="00A42B01"/>
    <w:rsid w:val="00A44E96"/>
    <w:rsid w:val="00A47B9F"/>
    <w:rsid w:val="00A6000E"/>
    <w:rsid w:val="00A92A0C"/>
    <w:rsid w:val="00AD2BC1"/>
    <w:rsid w:val="00AE280B"/>
    <w:rsid w:val="00AF03E0"/>
    <w:rsid w:val="00AF6E2B"/>
    <w:rsid w:val="00B00D9F"/>
    <w:rsid w:val="00B037B7"/>
    <w:rsid w:val="00B07FDF"/>
    <w:rsid w:val="00B15386"/>
    <w:rsid w:val="00B24603"/>
    <w:rsid w:val="00B52A2E"/>
    <w:rsid w:val="00B80A42"/>
    <w:rsid w:val="00BD6D7C"/>
    <w:rsid w:val="00C0169D"/>
    <w:rsid w:val="00C15F60"/>
    <w:rsid w:val="00C2051D"/>
    <w:rsid w:val="00C24F30"/>
    <w:rsid w:val="00C30AC1"/>
    <w:rsid w:val="00C34556"/>
    <w:rsid w:val="00C44220"/>
    <w:rsid w:val="00C61627"/>
    <w:rsid w:val="00C85180"/>
    <w:rsid w:val="00CA3AAE"/>
    <w:rsid w:val="00CA6E54"/>
    <w:rsid w:val="00CB19A9"/>
    <w:rsid w:val="00CF2166"/>
    <w:rsid w:val="00CF4B98"/>
    <w:rsid w:val="00D1088E"/>
    <w:rsid w:val="00D22392"/>
    <w:rsid w:val="00D51160"/>
    <w:rsid w:val="00DB6F1A"/>
    <w:rsid w:val="00DC0B51"/>
    <w:rsid w:val="00DF20BE"/>
    <w:rsid w:val="00DF624A"/>
    <w:rsid w:val="00E27416"/>
    <w:rsid w:val="00E42DAD"/>
    <w:rsid w:val="00EA2C3A"/>
    <w:rsid w:val="00EB4A60"/>
    <w:rsid w:val="00FB79F1"/>
    <w:rsid w:val="00FB7BC1"/>
    <w:rsid w:val="00FE19DE"/>
    <w:rsid w:val="00FE1B2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BAD75"/>
  <w15:chartTrackingRefBased/>
  <w15:docId w15:val="{096CE1A6-1FE8-4426-B180-6A09C854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D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35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13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23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2392"/>
    <w:rPr>
      <w:i/>
      <w:iCs/>
    </w:rPr>
  </w:style>
  <w:style w:type="character" w:styleId="Hyperlink">
    <w:name w:val="Hyperlink"/>
    <w:basedOn w:val="DefaultParagraphFont"/>
    <w:uiPriority w:val="99"/>
    <w:unhideWhenUsed/>
    <w:rsid w:val="00D22392"/>
    <w:rPr>
      <w:color w:val="0000FF"/>
      <w:u w:val="single"/>
    </w:rPr>
  </w:style>
  <w:style w:type="character" w:styleId="UnresolvedMention">
    <w:name w:val="Unresolved Mention"/>
    <w:basedOn w:val="DefaultParagraphFont"/>
    <w:uiPriority w:val="99"/>
    <w:semiHidden/>
    <w:unhideWhenUsed/>
    <w:rsid w:val="00B037B7"/>
    <w:rPr>
      <w:color w:val="605E5C"/>
      <w:shd w:val="clear" w:color="auto" w:fill="E1DFDD"/>
    </w:rPr>
  </w:style>
  <w:style w:type="character" w:customStyle="1" w:styleId="Heading2Char">
    <w:name w:val="Heading 2 Char"/>
    <w:basedOn w:val="DefaultParagraphFont"/>
    <w:link w:val="Heading2"/>
    <w:uiPriority w:val="9"/>
    <w:rsid w:val="004356FC"/>
    <w:rPr>
      <w:rFonts w:ascii="Times New Roman" w:eastAsia="Times New Roman" w:hAnsi="Times New Roman" w:cs="Times New Roman"/>
      <w:b/>
      <w:bCs/>
      <w:sz w:val="36"/>
      <w:szCs w:val="36"/>
    </w:rPr>
  </w:style>
  <w:style w:type="character" w:styleId="Strong">
    <w:name w:val="Strong"/>
    <w:basedOn w:val="DefaultParagraphFont"/>
    <w:uiPriority w:val="22"/>
    <w:qFormat/>
    <w:rsid w:val="004356FC"/>
    <w:rPr>
      <w:b/>
      <w:bCs/>
    </w:rPr>
  </w:style>
  <w:style w:type="character" w:customStyle="1" w:styleId="Heading3Char">
    <w:name w:val="Heading 3 Char"/>
    <w:basedOn w:val="DefaultParagraphFont"/>
    <w:link w:val="Heading3"/>
    <w:uiPriority w:val="9"/>
    <w:semiHidden/>
    <w:rsid w:val="00581381"/>
    <w:rPr>
      <w:rFonts w:asciiTheme="majorHAnsi" w:eastAsiaTheme="majorEastAsia" w:hAnsiTheme="majorHAnsi" w:cstheme="majorBidi"/>
      <w:color w:val="1F3763" w:themeColor="accent1" w:themeShade="7F"/>
      <w:sz w:val="24"/>
      <w:szCs w:val="24"/>
    </w:rPr>
  </w:style>
  <w:style w:type="character" w:styleId="HTMLCode">
    <w:name w:val="HTML Code"/>
    <w:basedOn w:val="DefaultParagraphFont"/>
    <w:uiPriority w:val="99"/>
    <w:semiHidden/>
    <w:unhideWhenUsed/>
    <w:rsid w:val="00581381"/>
    <w:rPr>
      <w:rFonts w:ascii="Courier New" w:eastAsia="Times New Roman" w:hAnsi="Courier New" w:cs="Courier New"/>
      <w:sz w:val="20"/>
      <w:szCs w:val="20"/>
    </w:rPr>
  </w:style>
  <w:style w:type="character" w:styleId="PlaceholderText">
    <w:name w:val="Placeholder Text"/>
    <w:basedOn w:val="DefaultParagraphFont"/>
    <w:uiPriority w:val="99"/>
    <w:semiHidden/>
    <w:rsid w:val="00B52A2E"/>
    <w:rPr>
      <w:color w:val="808080"/>
    </w:rPr>
  </w:style>
  <w:style w:type="character" w:customStyle="1" w:styleId="katex-mathml">
    <w:name w:val="katex-mathml"/>
    <w:basedOn w:val="DefaultParagraphFont"/>
    <w:rsid w:val="00B52A2E"/>
  </w:style>
  <w:style w:type="character" w:customStyle="1" w:styleId="mord">
    <w:name w:val="mord"/>
    <w:basedOn w:val="DefaultParagraphFont"/>
    <w:rsid w:val="00B52A2E"/>
  </w:style>
  <w:style w:type="character" w:customStyle="1" w:styleId="vlist-s">
    <w:name w:val="vlist-s"/>
    <w:basedOn w:val="DefaultParagraphFont"/>
    <w:rsid w:val="00B52A2E"/>
  </w:style>
  <w:style w:type="table" w:styleId="TableGrid">
    <w:name w:val="Table Grid"/>
    <w:basedOn w:val="TableNormal"/>
    <w:uiPriority w:val="39"/>
    <w:rsid w:val="00C85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6D7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B4A60"/>
    <w:pPr>
      <w:ind w:left="720"/>
      <w:contextualSpacing/>
    </w:pPr>
  </w:style>
  <w:style w:type="character" w:styleId="FollowedHyperlink">
    <w:name w:val="FollowedHyperlink"/>
    <w:basedOn w:val="DefaultParagraphFont"/>
    <w:uiPriority w:val="99"/>
    <w:semiHidden/>
    <w:unhideWhenUsed/>
    <w:rsid w:val="004E57EA"/>
    <w:rPr>
      <w:color w:val="954F72" w:themeColor="followedHyperlink"/>
      <w:u w:val="single"/>
    </w:rPr>
  </w:style>
  <w:style w:type="paragraph" w:styleId="Header">
    <w:name w:val="header"/>
    <w:basedOn w:val="Normal"/>
    <w:link w:val="HeaderChar"/>
    <w:uiPriority w:val="99"/>
    <w:unhideWhenUsed/>
    <w:rsid w:val="00643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BCF"/>
  </w:style>
  <w:style w:type="paragraph" w:styleId="Footer">
    <w:name w:val="footer"/>
    <w:basedOn w:val="Normal"/>
    <w:link w:val="FooterChar"/>
    <w:uiPriority w:val="99"/>
    <w:unhideWhenUsed/>
    <w:rsid w:val="00643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BCF"/>
  </w:style>
  <w:style w:type="table" w:styleId="TableGridLight">
    <w:name w:val="Grid Table Light"/>
    <w:basedOn w:val="TableNormal"/>
    <w:uiPriority w:val="40"/>
    <w:rsid w:val="004C73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9413">
      <w:bodyDiv w:val="1"/>
      <w:marLeft w:val="0"/>
      <w:marRight w:val="0"/>
      <w:marTop w:val="0"/>
      <w:marBottom w:val="0"/>
      <w:divBdr>
        <w:top w:val="none" w:sz="0" w:space="0" w:color="auto"/>
        <w:left w:val="none" w:sz="0" w:space="0" w:color="auto"/>
        <w:bottom w:val="none" w:sz="0" w:space="0" w:color="auto"/>
        <w:right w:val="none" w:sz="0" w:space="0" w:color="auto"/>
      </w:divBdr>
    </w:div>
    <w:div w:id="244219831">
      <w:bodyDiv w:val="1"/>
      <w:marLeft w:val="0"/>
      <w:marRight w:val="0"/>
      <w:marTop w:val="0"/>
      <w:marBottom w:val="0"/>
      <w:divBdr>
        <w:top w:val="none" w:sz="0" w:space="0" w:color="auto"/>
        <w:left w:val="none" w:sz="0" w:space="0" w:color="auto"/>
        <w:bottom w:val="none" w:sz="0" w:space="0" w:color="auto"/>
        <w:right w:val="none" w:sz="0" w:space="0" w:color="auto"/>
      </w:divBdr>
    </w:div>
    <w:div w:id="257447673">
      <w:bodyDiv w:val="1"/>
      <w:marLeft w:val="0"/>
      <w:marRight w:val="0"/>
      <w:marTop w:val="0"/>
      <w:marBottom w:val="0"/>
      <w:divBdr>
        <w:top w:val="none" w:sz="0" w:space="0" w:color="auto"/>
        <w:left w:val="none" w:sz="0" w:space="0" w:color="auto"/>
        <w:bottom w:val="none" w:sz="0" w:space="0" w:color="auto"/>
        <w:right w:val="none" w:sz="0" w:space="0" w:color="auto"/>
      </w:divBdr>
    </w:div>
    <w:div w:id="260261986">
      <w:bodyDiv w:val="1"/>
      <w:marLeft w:val="0"/>
      <w:marRight w:val="0"/>
      <w:marTop w:val="0"/>
      <w:marBottom w:val="0"/>
      <w:divBdr>
        <w:top w:val="none" w:sz="0" w:space="0" w:color="auto"/>
        <w:left w:val="none" w:sz="0" w:space="0" w:color="auto"/>
        <w:bottom w:val="none" w:sz="0" w:space="0" w:color="auto"/>
        <w:right w:val="none" w:sz="0" w:space="0" w:color="auto"/>
      </w:divBdr>
    </w:div>
    <w:div w:id="298920638">
      <w:bodyDiv w:val="1"/>
      <w:marLeft w:val="0"/>
      <w:marRight w:val="0"/>
      <w:marTop w:val="0"/>
      <w:marBottom w:val="0"/>
      <w:divBdr>
        <w:top w:val="none" w:sz="0" w:space="0" w:color="auto"/>
        <w:left w:val="none" w:sz="0" w:space="0" w:color="auto"/>
        <w:bottom w:val="none" w:sz="0" w:space="0" w:color="auto"/>
        <w:right w:val="none" w:sz="0" w:space="0" w:color="auto"/>
      </w:divBdr>
    </w:div>
    <w:div w:id="668366184">
      <w:bodyDiv w:val="1"/>
      <w:marLeft w:val="0"/>
      <w:marRight w:val="0"/>
      <w:marTop w:val="0"/>
      <w:marBottom w:val="0"/>
      <w:divBdr>
        <w:top w:val="none" w:sz="0" w:space="0" w:color="auto"/>
        <w:left w:val="none" w:sz="0" w:space="0" w:color="auto"/>
        <w:bottom w:val="none" w:sz="0" w:space="0" w:color="auto"/>
        <w:right w:val="none" w:sz="0" w:space="0" w:color="auto"/>
      </w:divBdr>
    </w:div>
    <w:div w:id="712391906">
      <w:bodyDiv w:val="1"/>
      <w:marLeft w:val="0"/>
      <w:marRight w:val="0"/>
      <w:marTop w:val="0"/>
      <w:marBottom w:val="0"/>
      <w:divBdr>
        <w:top w:val="none" w:sz="0" w:space="0" w:color="auto"/>
        <w:left w:val="none" w:sz="0" w:space="0" w:color="auto"/>
        <w:bottom w:val="none" w:sz="0" w:space="0" w:color="auto"/>
        <w:right w:val="none" w:sz="0" w:space="0" w:color="auto"/>
      </w:divBdr>
    </w:div>
    <w:div w:id="922840387">
      <w:bodyDiv w:val="1"/>
      <w:marLeft w:val="0"/>
      <w:marRight w:val="0"/>
      <w:marTop w:val="0"/>
      <w:marBottom w:val="0"/>
      <w:divBdr>
        <w:top w:val="none" w:sz="0" w:space="0" w:color="auto"/>
        <w:left w:val="none" w:sz="0" w:space="0" w:color="auto"/>
        <w:bottom w:val="none" w:sz="0" w:space="0" w:color="auto"/>
        <w:right w:val="none" w:sz="0" w:space="0" w:color="auto"/>
      </w:divBdr>
    </w:div>
    <w:div w:id="1061169885">
      <w:bodyDiv w:val="1"/>
      <w:marLeft w:val="0"/>
      <w:marRight w:val="0"/>
      <w:marTop w:val="0"/>
      <w:marBottom w:val="0"/>
      <w:divBdr>
        <w:top w:val="none" w:sz="0" w:space="0" w:color="auto"/>
        <w:left w:val="none" w:sz="0" w:space="0" w:color="auto"/>
        <w:bottom w:val="none" w:sz="0" w:space="0" w:color="auto"/>
        <w:right w:val="none" w:sz="0" w:space="0" w:color="auto"/>
      </w:divBdr>
    </w:div>
    <w:div w:id="1234663189">
      <w:bodyDiv w:val="1"/>
      <w:marLeft w:val="0"/>
      <w:marRight w:val="0"/>
      <w:marTop w:val="0"/>
      <w:marBottom w:val="0"/>
      <w:divBdr>
        <w:top w:val="none" w:sz="0" w:space="0" w:color="auto"/>
        <w:left w:val="none" w:sz="0" w:space="0" w:color="auto"/>
        <w:bottom w:val="none" w:sz="0" w:space="0" w:color="auto"/>
        <w:right w:val="none" w:sz="0" w:space="0" w:color="auto"/>
      </w:divBdr>
    </w:div>
    <w:div w:id="1391885007">
      <w:bodyDiv w:val="1"/>
      <w:marLeft w:val="0"/>
      <w:marRight w:val="0"/>
      <w:marTop w:val="0"/>
      <w:marBottom w:val="0"/>
      <w:divBdr>
        <w:top w:val="none" w:sz="0" w:space="0" w:color="auto"/>
        <w:left w:val="none" w:sz="0" w:space="0" w:color="auto"/>
        <w:bottom w:val="none" w:sz="0" w:space="0" w:color="auto"/>
        <w:right w:val="none" w:sz="0" w:space="0" w:color="auto"/>
      </w:divBdr>
    </w:div>
    <w:div w:id="1459644595">
      <w:bodyDiv w:val="1"/>
      <w:marLeft w:val="0"/>
      <w:marRight w:val="0"/>
      <w:marTop w:val="0"/>
      <w:marBottom w:val="0"/>
      <w:divBdr>
        <w:top w:val="none" w:sz="0" w:space="0" w:color="auto"/>
        <w:left w:val="none" w:sz="0" w:space="0" w:color="auto"/>
        <w:bottom w:val="none" w:sz="0" w:space="0" w:color="auto"/>
        <w:right w:val="none" w:sz="0" w:space="0" w:color="auto"/>
      </w:divBdr>
    </w:div>
    <w:div w:id="1501115462">
      <w:bodyDiv w:val="1"/>
      <w:marLeft w:val="0"/>
      <w:marRight w:val="0"/>
      <w:marTop w:val="0"/>
      <w:marBottom w:val="0"/>
      <w:divBdr>
        <w:top w:val="none" w:sz="0" w:space="0" w:color="auto"/>
        <w:left w:val="none" w:sz="0" w:space="0" w:color="auto"/>
        <w:bottom w:val="none" w:sz="0" w:space="0" w:color="auto"/>
        <w:right w:val="none" w:sz="0" w:space="0" w:color="auto"/>
      </w:divBdr>
    </w:div>
    <w:div w:id="1588419083">
      <w:bodyDiv w:val="1"/>
      <w:marLeft w:val="0"/>
      <w:marRight w:val="0"/>
      <w:marTop w:val="0"/>
      <w:marBottom w:val="0"/>
      <w:divBdr>
        <w:top w:val="none" w:sz="0" w:space="0" w:color="auto"/>
        <w:left w:val="none" w:sz="0" w:space="0" w:color="auto"/>
        <w:bottom w:val="none" w:sz="0" w:space="0" w:color="auto"/>
        <w:right w:val="none" w:sz="0" w:space="0" w:color="auto"/>
      </w:divBdr>
    </w:div>
    <w:div w:id="1715808227">
      <w:bodyDiv w:val="1"/>
      <w:marLeft w:val="0"/>
      <w:marRight w:val="0"/>
      <w:marTop w:val="0"/>
      <w:marBottom w:val="0"/>
      <w:divBdr>
        <w:top w:val="none" w:sz="0" w:space="0" w:color="auto"/>
        <w:left w:val="none" w:sz="0" w:space="0" w:color="auto"/>
        <w:bottom w:val="none" w:sz="0" w:space="0" w:color="auto"/>
        <w:right w:val="none" w:sz="0" w:space="0" w:color="auto"/>
      </w:divBdr>
    </w:div>
    <w:div w:id="1850825596">
      <w:bodyDiv w:val="1"/>
      <w:marLeft w:val="0"/>
      <w:marRight w:val="0"/>
      <w:marTop w:val="0"/>
      <w:marBottom w:val="0"/>
      <w:divBdr>
        <w:top w:val="none" w:sz="0" w:space="0" w:color="auto"/>
        <w:left w:val="none" w:sz="0" w:space="0" w:color="auto"/>
        <w:bottom w:val="none" w:sz="0" w:space="0" w:color="auto"/>
        <w:right w:val="none" w:sz="0" w:space="0" w:color="auto"/>
      </w:divBdr>
    </w:div>
    <w:div w:id="1884828455">
      <w:bodyDiv w:val="1"/>
      <w:marLeft w:val="0"/>
      <w:marRight w:val="0"/>
      <w:marTop w:val="0"/>
      <w:marBottom w:val="0"/>
      <w:divBdr>
        <w:top w:val="none" w:sz="0" w:space="0" w:color="auto"/>
        <w:left w:val="none" w:sz="0" w:space="0" w:color="auto"/>
        <w:bottom w:val="none" w:sz="0" w:space="0" w:color="auto"/>
        <w:right w:val="none" w:sz="0" w:space="0" w:color="auto"/>
      </w:divBdr>
    </w:div>
    <w:div w:id="1924140794">
      <w:bodyDiv w:val="1"/>
      <w:marLeft w:val="0"/>
      <w:marRight w:val="0"/>
      <w:marTop w:val="0"/>
      <w:marBottom w:val="0"/>
      <w:divBdr>
        <w:top w:val="none" w:sz="0" w:space="0" w:color="auto"/>
        <w:left w:val="none" w:sz="0" w:space="0" w:color="auto"/>
        <w:bottom w:val="none" w:sz="0" w:space="0" w:color="auto"/>
        <w:right w:val="none" w:sz="0" w:space="0" w:color="auto"/>
      </w:divBdr>
    </w:div>
    <w:div w:id="19855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2158244020945717" TargetMode="External"/><Relationship Id="rId18" Type="http://schemas.openxmlformats.org/officeDocument/2006/relationships/hyperlink" Target="https://doi.org/10.1111/j.1542-4774.2011.01015.x" TargetMode="External"/><Relationship Id="rId26" Type="http://schemas.openxmlformats.org/officeDocument/2006/relationships/hyperlink" Target="https://doi.org/10.1198/016214508000000139" TargetMode="External"/><Relationship Id="rId39" Type="http://schemas.openxmlformats.org/officeDocument/2006/relationships/hyperlink" Target="https://doi.org/10.1111/ecin.12934" TargetMode="External"/><Relationship Id="rId21" Type="http://schemas.openxmlformats.org/officeDocument/2006/relationships/hyperlink" Target="https://doi.org/10.1093/rof/rfn005" TargetMode="External"/><Relationship Id="rId34" Type="http://schemas.openxmlformats.org/officeDocument/2006/relationships/hyperlink" Target="https://doi.org/10.1016/j.jfineco.2011.03.006"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257/aer.99.2.393" TargetMode="External"/><Relationship Id="rId29" Type="http://schemas.openxmlformats.org/officeDocument/2006/relationships/hyperlink" Target="https://doi.org/10.1257/jel.52.1.5" TargetMode="External"/><Relationship Id="rId11" Type="http://schemas.openxmlformats.org/officeDocument/2006/relationships/hyperlink" Target="https://doi.org/10.1353/eca.0.0067" TargetMode="External"/><Relationship Id="rId24" Type="http://schemas.openxmlformats.org/officeDocument/2006/relationships/hyperlink" Target="https://doi.org/10.1093/wber/lhx018" TargetMode="External"/><Relationship Id="rId32" Type="http://schemas.openxmlformats.org/officeDocument/2006/relationships/hyperlink" Target="https://doi.org/10.1007/s12232-023-00432-9" TargetMode="External"/><Relationship Id="rId37" Type="http://schemas.openxmlformats.org/officeDocument/2006/relationships/hyperlink" Target="https://doi.org/10.1177/05694345231186082" TargetMode="External"/><Relationship Id="rId40" Type="http://schemas.openxmlformats.org/officeDocument/2006/relationships/hyperlink" Target="https://doi.org/10.1007/s40847-024-00367-z"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6/524204" TargetMode="External"/><Relationship Id="rId23" Type="http://schemas.openxmlformats.org/officeDocument/2006/relationships/hyperlink" Target="https://doi.org/10.1016/j.joep.2015.09.002" TargetMode="External"/><Relationship Id="rId28" Type="http://schemas.openxmlformats.org/officeDocument/2006/relationships/hyperlink" Target="https://doi.org/10.1017/S147474721100045X" TargetMode="External"/><Relationship Id="rId36" Type="http://schemas.openxmlformats.org/officeDocument/2006/relationships/hyperlink" Target="https://doi.org/10.1177/ijbe.2024.050204" TargetMode="External"/><Relationship Id="rId49" Type="http://schemas.openxmlformats.org/officeDocument/2006/relationships/theme" Target="theme/theme1.xml"/><Relationship Id="rId10" Type="http://schemas.openxmlformats.org/officeDocument/2006/relationships/hyperlink" Target="https://doi.org/10.1080/14697680902878105" TargetMode="External"/><Relationship Id="rId19" Type="http://schemas.openxmlformats.org/officeDocument/2006/relationships/hyperlink" Target="https://doi.org/10.30574/wjarr.2023.18.3.1086" TargetMode="External"/><Relationship Id="rId31" Type="http://schemas.openxmlformats.org/officeDocument/2006/relationships/hyperlink" Target="https://doi.org/10.13106/jafeb.2023.vol10.no7.0089"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jfmr.com/papers/2024/3/20905.pdf" TargetMode="External"/><Relationship Id="rId22" Type="http://schemas.openxmlformats.org/officeDocument/2006/relationships/hyperlink" Target="https://doi.org/10.1111/j.1540-6261.2011.01701.x" TargetMode="External"/><Relationship Id="rId27" Type="http://schemas.openxmlformats.org/officeDocument/2006/relationships/hyperlink" Target="https://doi.org/10.1016/j.jbankfin.2013.07.014" TargetMode="External"/><Relationship Id="rId30" Type="http://schemas.openxmlformats.org/officeDocument/2006/relationships/hyperlink" Target="https://doi.org/10.1017/S1474747215000232" TargetMode="External"/><Relationship Id="rId35" Type="http://schemas.openxmlformats.org/officeDocument/2006/relationships/hyperlink" Target="https://doi.org/10.9734/jemt/2025/v31i81329"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52121/ijessm.v4i2.369" TargetMode="External"/><Relationship Id="rId17" Type="http://schemas.openxmlformats.org/officeDocument/2006/relationships/hyperlink" Target="https://doi.org/10.1111/j.1540-6261.2006.00883.x" TargetMode="External"/><Relationship Id="rId25" Type="http://schemas.openxmlformats.org/officeDocument/2006/relationships/hyperlink" Target="https://doi.org/10.2307/1914185" TargetMode="External"/><Relationship Id="rId33" Type="http://schemas.openxmlformats.org/officeDocument/2006/relationships/hyperlink" Target="https://doi.org/10.1111/j.1745-6606.2010.01169.x" TargetMode="External"/><Relationship Id="rId38" Type="http://schemas.openxmlformats.org/officeDocument/2006/relationships/hyperlink" Target="https://doi.org/10.1016/j.jbef.2020.100412" TargetMode="External"/><Relationship Id="rId46" Type="http://schemas.openxmlformats.org/officeDocument/2006/relationships/header" Target="header3.xml"/><Relationship Id="rId20" Type="http://schemas.openxmlformats.org/officeDocument/2006/relationships/hyperlink" Target="https://doi.org/10.9734/sajsse/2025/v22i71068" TargetMode="External"/><Relationship Id="rId41" Type="http://schemas.openxmlformats.org/officeDocument/2006/relationships/hyperlink" Target="https://doi.org/10.1177/215824402094571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292106-5FDF-4F3C-95DA-1277F1FB0EA5}">
  <we:reference id="wa200001361" version="2.129.3.0" store="en-US" storeType="OMEX"/>
  <we:alternateReferences>
    <we:reference id="wa200001361" version="2.129.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407</TotalTime>
  <Pages>16</Pages>
  <Words>6061</Words>
  <Characters>34550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Editor-1183</cp:lastModifiedBy>
  <cp:revision>166</cp:revision>
  <dcterms:created xsi:type="dcterms:W3CDTF">2025-11-26T12:26:00Z</dcterms:created>
  <dcterms:modified xsi:type="dcterms:W3CDTF">2025-12-15T10:32:00Z</dcterms:modified>
</cp:coreProperties>
</file>