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4C1BD" w14:textId="44F49BB4" w:rsidR="00163BC4" w:rsidRPr="007C77E8" w:rsidRDefault="007C77E8" w:rsidP="007C77E8">
      <w:pPr>
        <w:pStyle w:val="Author"/>
        <w:spacing w:line="240" w:lineRule="auto"/>
        <w:rPr>
          <w:rFonts w:ascii="Arial" w:hAnsi="Arial" w:cs="Arial"/>
          <w:b w:val="0"/>
          <w:bCs/>
          <w:sz w:val="36"/>
          <w:szCs w:val="36"/>
        </w:rPr>
      </w:pPr>
      <w:r w:rsidRPr="007C77E8">
        <w:rPr>
          <w:b w:val="0"/>
          <w:bCs/>
          <w:sz w:val="36"/>
          <w:szCs w:val="36"/>
          <w:lang w:val="en-GB"/>
        </w:rPr>
        <w:t xml:space="preserve">Threshold Effects of Inflation on Economic Growth in Indonesia: A </w:t>
      </w:r>
      <w:proofErr w:type="spellStart"/>
      <w:r w:rsidRPr="007C77E8">
        <w:rPr>
          <w:b w:val="0"/>
          <w:bCs/>
          <w:sz w:val="36"/>
          <w:szCs w:val="36"/>
          <w:lang w:val="en-GB"/>
        </w:rPr>
        <w:t>Nonlinier</w:t>
      </w:r>
      <w:proofErr w:type="spellEnd"/>
      <w:r w:rsidRPr="007C77E8">
        <w:rPr>
          <w:b w:val="0"/>
          <w:bCs/>
          <w:sz w:val="36"/>
          <w:szCs w:val="36"/>
          <w:lang w:val="en-GB"/>
        </w:rPr>
        <w:t xml:space="preserve"> Analysis</w:t>
      </w:r>
      <w:r w:rsidR="00231920" w:rsidRPr="007C77E8">
        <w:rPr>
          <w:rFonts w:ascii="Arial" w:hAnsi="Arial" w:cs="Arial"/>
          <w:bCs/>
          <w:iCs/>
          <w:kern w:val="28"/>
          <w:sz w:val="36"/>
          <w:szCs w:val="36"/>
        </w:rPr>
        <w:t xml:space="preserve"> </w:t>
      </w:r>
    </w:p>
    <w:p w14:paraId="34495291" w14:textId="77777777" w:rsidR="00A258C3" w:rsidRPr="007C77E8" w:rsidRDefault="00A258C3" w:rsidP="00441B6F">
      <w:pPr>
        <w:pStyle w:val="Author"/>
        <w:spacing w:line="240" w:lineRule="auto"/>
        <w:jc w:val="both"/>
        <w:rPr>
          <w:rFonts w:ascii="Arial" w:hAnsi="Arial" w:cs="Arial"/>
          <w:sz w:val="36"/>
          <w:szCs w:val="36"/>
        </w:rPr>
      </w:pPr>
    </w:p>
    <w:p w14:paraId="23E112BC" w14:textId="77777777" w:rsidR="00790ADA" w:rsidRDefault="00790ADA" w:rsidP="00441B6F">
      <w:pPr>
        <w:pStyle w:val="Affiliation"/>
        <w:spacing w:after="0" w:line="240" w:lineRule="auto"/>
        <w:jc w:val="both"/>
        <w:rPr>
          <w:rFonts w:ascii="Arial" w:hAnsi="Arial" w:cs="Arial"/>
        </w:rPr>
      </w:pPr>
    </w:p>
    <w:p w14:paraId="0C986F8C" w14:textId="77777777" w:rsidR="002C57D2" w:rsidRPr="00FB3A86" w:rsidRDefault="002C57D2" w:rsidP="00441B6F">
      <w:pPr>
        <w:pStyle w:val="Affiliation"/>
        <w:spacing w:after="0" w:line="240" w:lineRule="auto"/>
        <w:jc w:val="both"/>
        <w:rPr>
          <w:rFonts w:ascii="Arial" w:hAnsi="Arial" w:cs="Arial"/>
        </w:rPr>
      </w:pPr>
    </w:p>
    <w:p w14:paraId="4EFBF8A5" w14:textId="0AA52C7D" w:rsidR="00B01FCD" w:rsidRPr="00FB3A86" w:rsidRDefault="007301E9"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14:anchorId="36AA4251" wp14:editId="56475C1A">
                <wp:extent cx="5303520" cy="635"/>
                <wp:effectExtent l="13335" t="13335" r="17145" b="15240"/>
                <wp:docPr id="9455545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AB42FCD" id="_x0000_t32" coordsize="21600,21600" o:spt="32" o:oned="t" path="m,l21600,21600e" filled="f">
                <v:path arrowok="t" fillok="f" o:connecttype="none"/>
                <o:lock v:ext="edit" shapetype="t"/>
              </v:shapetype>
              <v:shape id="AutoShape 4"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BF01C15" w14:textId="0A8494AA" w:rsidR="00790ADA" w:rsidRDefault="00B01FCD" w:rsidP="00441B6F">
      <w:pPr>
        <w:pStyle w:val="AbstHead"/>
        <w:spacing w:after="0"/>
        <w:jc w:val="both"/>
        <w:rPr>
          <w:rFonts w:ascii="Arial" w:hAnsi="Arial" w:cs="Arial"/>
        </w:rPr>
      </w:pPr>
      <w:r w:rsidRPr="00FB3A86">
        <w:rPr>
          <w:rFonts w:ascii="Arial" w:hAnsi="Arial" w:cs="Arial"/>
        </w:rPr>
        <w:t>ABSTRACT</w:t>
      </w:r>
    </w:p>
    <w:p w14:paraId="7D376545" w14:textId="77777777" w:rsidR="005F6B20" w:rsidRPr="00FB3A86" w:rsidRDefault="005F6B20"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C2FD40B" w14:textId="77777777" w:rsidTr="001E44FE">
        <w:tc>
          <w:tcPr>
            <w:tcW w:w="9576" w:type="dxa"/>
            <w:shd w:val="clear" w:color="auto" w:fill="F2F2F2"/>
          </w:tcPr>
          <w:p w14:paraId="1278EAD6" w14:textId="27ADE369"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582D49" w:rsidRPr="00582D49">
              <w:rPr>
                <w:rFonts w:ascii="Arial" w:hAnsi="Arial" w:cs="Arial"/>
              </w:rPr>
              <w:t xml:space="preserve">This empirical </w:t>
            </w:r>
            <w:r w:rsidR="00582D49">
              <w:rPr>
                <w:rFonts w:ascii="Arial" w:hAnsi="Arial" w:cs="Arial"/>
              </w:rPr>
              <w:t>study</w:t>
            </w:r>
            <w:r w:rsidR="00582D49" w:rsidRPr="00582D49">
              <w:rPr>
                <w:rFonts w:ascii="Arial" w:hAnsi="Arial" w:cs="Arial"/>
              </w:rPr>
              <w:t xml:space="preserve"> aims to examine the non-linear dynamics between inflation and economic growth in </w:t>
            </w:r>
            <w:r w:rsidR="0028755C">
              <w:rPr>
                <w:rFonts w:ascii="Arial" w:hAnsi="Arial" w:cs="Arial"/>
              </w:rPr>
              <w:t xml:space="preserve">the context of </w:t>
            </w:r>
            <w:r w:rsidR="00582D49" w:rsidRPr="00582D49">
              <w:rPr>
                <w:rFonts w:ascii="Arial" w:hAnsi="Arial" w:cs="Arial"/>
              </w:rPr>
              <w:t>Indonesia by estimating the relevant threshold effects</w:t>
            </w:r>
            <w:r w:rsidR="0028755C">
              <w:rPr>
                <w:rFonts w:ascii="Arial" w:hAnsi="Arial" w:cs="Arial"/>
              </w:rPr>
              <w:t xml:space="preserve">, while </w:t>
            </w:r>
            <w:proofErr w:type="spellStart"/>
            <w:r w:rsidR="0028755C">
              <w:rPr>
                <w:rFonts w:ascii="Arial" w:hAnsi="Arial" w:cs="Arial"/>
              </w:rPr>
              <w:t>simulteneously</w:t>
            </w:r>
            <w:proofErr w:type="spellEnd"/>
            <w:r w:rsidR="0028755C">
              <w:rPr>
                <w:rFonts w:ascii="Arial" w:hAnsi="Arial" w:cs="Arial"/>
              </w:rPr>
              <w:t xml:space="preserve"> </w:t>
            </w:r>
            <w:proofErr w:type="spellStart"/>
            <w:r w:rsidR="0028755C">
              <w:rPr>
                <w:rFonts w:ascii="Arial" w:hAnsi="Arial" w:cs="Arial"/>
              </w:rPr>
              <w:t>controling</w:t>
            </w:r>
            <w:proofErr w:type="spellEnd"/>
            <w:r w:rsidR="0028755C">
              <w:rPr>
                <w:rFonts w:ascii="Arial" w:hAnsi="Arial" w:cs="Arial"/>
              </w:rPr>
              <w:t xml:space="preserve"> the role of capital formation and working aging population growth.</w:t>
            </w:r>
          </w:p>
          <w:p w14:paraId="6219BCBA" w14:textId="0BB1C150" w:rsidR="0028755C"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28755C" w:rsidRPr="0028755C">
              <w:rPr>
                <w:rFonts w:ascii="Arial" w:eastAsia="Calibri" w:hAnsi="Arial" w:cs="Arial"/>
                <w:szCs w:val="22"/>
              </w:rPr>
              <w:t xml:space="preserve">This study employs annual data spanning the period 1991–2024, resulting in a total of 34 observations. All variables </w:t>
            </w:r>
            <w:r w:rsidR="0028755C">
              <w:rPr>
                <w:rFonts w:ascii="Arial" w:eastAsia="Calibri" w:hAnsi="Arial" w:cs="Arial"/>
                <w:szCs w:val="22"/>
              </w:rPr>
              <w:t xml:space="preserve">investigated, </w:t>
            </w:r>
            <w:proofErr w:type="spellStart"/>
            <w:r w:rsidR="0028755C">
              <w:rPr>
                <w:rFonts w:ascii="Arial" w:eastAsia="Calibri" w:hAnsi="Arial" w:cs="Arial"/>
                <w:szCs w:val="22"/>
              </w:rPr>
              <w:t>i.e</w:t>
            </w:r>
            <w:proofErr w:type="spellEnd"/>
            <w:r w:rsidR="0028755C">
              <w:rPr>
                <w:rFonts w:ascii="Arial" w:eastAsia="Calibri" w:hAnsi="Arial" w:cs="Arial"/>
                <w:szCs w:val="22"/>
              </w:rPr>
              <w:t xml:space="preserve">, Gross </w:t>
            </w:r>
            <w:proofErr w:type="spellStart"/>
            <w:r w:rsidR="0028755C">
              <w:rPr>
                <w:rFonts w:ascii="Arial" w:eastAsia="Calibri" w:hAnsi="Arial" w:cs="Arial"/>
                <w:szCs w:val="22"/>
              </w:rPr>
              <w:t>Domestick</w:t>
            </w:r>
            <w:proofErr w:type="spellEnd"/>
            <w:r w:rsidR="0028755C">
              <w:rPr>
                <w:rFonts w:ascii="Arial" w:eastAsia="Calibri" w:hAnsi="Arial" w:cs="Arial"/>
                <w:szCs w:val="22"/>
              </w:rPr>
              <w:t xml:space="preserve"> Product (</w:t>
            </w:r>
            <w:r w:rsidR="0028755C" w:rsidRPr="0028755C">
              <w:rPr>
                <w:rFonts w:ascii="Arial" w:eastAsia="Calibri" w:hAnsi="Arial" w:cs="Arial"/>
                <w:szCs w:val="22"/>
              </w:rPr>
              <w:t>GDP</w:t>
            </w:r>
            <w:r w:rsidR="0028755C">
              <w:rPr>
                <w:rFonts w:ascii="Arial" w:eastAsia="Calibri" w:hAnsi="Arial" w:cs="Arial"/>
                <w:szCs w:val="22"/>
              </w:rPr>
              <w:t>)</w:t>
            </w:r>
            <w:r w:rsidR="0028755C" w:rsidRPr="0028755C">
              <w:rPr>
                <w:rFonts w:ascii="Arial" w:eastAsia="Calibri" w:hAnsi="Arial" w:cs="Arial"/>
                <w:szCs w:val="22"/>
              </w:rPr>
              <w:t xml:space="preserve"> growth, inflation</w:t>
            </w:r>
            <w:r w:rsidR="0028755C">
              <w:rPr>
                <w:rFonts w:ascii="Arial" w:eastAsia="Calibri" w:hAnsi="Arial" w:cs="Arial"/>
                <w:szCs w:val="22"/>
              </w:rPr>
              <w:t xml:space="preserve"> </w:t>
            </w:r>
            <w:r w:rsidR="0028755C" w:rsidRPr="0028755C">
              <w:rPr>
                <w:rFonts w:ascii="Arial" w:eastAsia="Calibri" w:hAnsi="Arial" w:cs="Arial"/>
                <w:szCs w:val="22"/>
              </w:rPr>
              <w:t xml:space="preserve">as measured by the GDP deflator, and </w:t>
            </w:r>
            <w:r w:rsidR="00865105" w:rsidRPr="0028755C">
              <w:rPr>
                <w:rFonts w:ascii="Arial" w:eastAsia="Calibri" w:hAnsi="Arial" w:cs="Arial"/>
                <w:szCs w:val="22"/>
              </w:rPr>
              <w:t>gross fixed capital formation</w:t>
            </w:r>
            <w:r w:rsidR="0028755C" w:rsidRPr="0028755C">
              <w:rPr>
                <w:rFonts w:ascii="Arial" w:eastAsia="Calibri" w:hAnsi="Arial" w:cs="Arial"/>
                <w:szCs w:val="22"/>
              </w:rPr>
              <w:t xml:space="preserve"> growth</w:t>
            </w:r>
            <w:r w:rsidR="0028755C">
              <w:rPr>
                <w:rFonts w:ascii="Arial" w:eastAsia="Calibri" w:hAnsi="Arial" w:cs="Arial"/>
                <w:szCs w:val="22"/>
              </w:rPr>
              <w:t xml:space="preserve">, </w:t>
            </w:r>
            <w:r w:rsidR="0028755C" w:rsidRPr="0028755C">
              <w:rPr>
                <w:rFonts w:ascii="Arial" w:eastAsia="Calibri" w:hAnsi="Arial" w:cs="Arial"/>
                <w:szCs w:val="22"/>
              </w:rPr>
              <w:t>were obtained from the World Bank.</w:t>
            </w:r>
          </w:p>
          <w:p w14:paraId="215EFBBE" w14:textId="33009598" w:rsidR="009D4A41" w:rsidRPr="00582D49"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9D4A41" w:rsidRPr="009D4A41">
              <w:rPr>
                <w:rFonts w:ascii="Arial" w:eastAsia="Calibri" w:hAnsi="Arial" w:cs="Arial"/>
                <w:szCs w:val="22"/>
              </w:rPr>
              <w:t xml:space="preserve">This study utilizes two principal econometric approaches, specifically the unit root test and a robust threshold regression technique, to investigate the inflation threshold in relation to economic growth. Furthermore, the Fully Modified Ordinary Least Squares (FMOLS) estimator is </w:t>
            </w:r>
            <w:r w:rsidR="009D4A41">
              <w:rPr>
                <w:rFonts w:ascii="Arial" w:eastAsia="Calibri" w:hAnsi="Arial" w:cs="Arial"/>
                <w:szCs w:val="22"/>
              </w:rPr>
              <w:t>applied</w:t>
            </w:r>
            <w:r w:rsidR="009D4A41" w:rsidRPr="009D4A41">
              <w:rPr>
                <w:rFonts w:ascii="Arial" w:eastAsia="Calibri" w:hAnsi="Arial" w:cs="Arial"/>
                <w:szCs w:val="22"/>
              </w:rPr>
              <w:t xml:space="preserve"> as a robustness check to substantiate the reliability and consistency of the results</w:t>
            </w:r>
            <w:r w:rsidR="009D4A41">
              <w:rPr>
                <w:rFonts w:ascii="Arial" w:eastAsia="Calibri" w:hAnsi="Arial" w:cs="Arial"/>
                <w:szCs w:val="22"/>
              </w:rPr>
              <w:t>.</w:t>
            </w:r>
          </w:p>
          <w:p w14:paraId="7E42E0B9" w14:textId="54F5C176" w:rsidR="0028755C" w:rsidRPr="0028755C" w:rsidRDefault="00BA1B01" w:rsidP="00441B6F">
            <w:pPr>
              <w:pStyle w:val="Body"/>
              <w:spacing w:after="0"/>
              <w:rPr>
                <w:rFonts w:ascii="Arial" w:eastAsia="Calibri" w:hAnsi="Arial" w:cs="Arial"/>
                <w:szCs w:val="22"/>
              </w:rPr>
            </w:pPr>
            <w:r w:rsidRPr="00582D49">
              <w:rPr>
                <w:rFonts w:ascii="Arial" w:eastAsia="Calibri" w:hAnsi="Arial" w:cs="Arial"/>
                <w:b/>
                <w:bCs/>
                <w:szCs w:val="22"/>
              </w:rPr>
              <w:t>Results:</w:t>
            </w:r>
            <w:r w:rsidRPr="00582D49">
              <w:rPr>
                <w:rFonts w:ascii="Arial" w:eastAsia="Calibri" w:hAnsi="Arial" w:cs="Arial"/>
                <w:szCs w:val="22"/>
              </w:rPr>
              <w:t xml:space="preserve"> </w:t>
            </w:r>
            <w:r w:rsidR="00801315" w:rsidRPr="00801315">
              <w:rPr>
                <w:rFonts w:ascii="Arial" w:eastAsia="Calibri" w:hAnsi="Arial" w:cs="Arial"/>
                <w:szCs w:val="22"/>
              </w:rPr>
              <w:t>The empirical findings reveal that the estimated inflation threshold is 3.82 percent, effectively separating the observations into low-inflation and high-inflation regimes. When inflation remains below this threshold, its effect on GDP growth is negative but statistically insignificant, thereby supporting the neutrality hypothesis. Conversely, once the inflation rate exceeds the threshold, it exerts a significant negative impact on economic growth. In addition, growth in gross fixed capital formation and the working-age population are validated as key drivers of economic growth across both regimes</w:t>
            </w:r>
            <w:r w:rsidR="00801315">
              <w:rPr>
                <w:rFonts w:ascii="Arial" w:eastAsia="Calibri" w:hAnsi="Arial" w:cs="Arial"/>
                <w:szCs w:val="22"/>
              </w:rPr>
              <w:t>.</w:t>
            </w:r>
          </w:p>
          <w:p w14:paraId="44571EB7" w14:textId="75049D90" w:rsidR="00BF5F58" w:rsidRPr="00BA1B01" w:rsidRDefault="00BA1B01" w:rsidP="00BF5F58">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801315">
              <w:rPr>
                <w:rFonts w:ascii="Arial" w:eastAsia="Calibri" w:hAnsi="Arial" w:cs="Arial"/>
                <w:szCs w:val="22"/>
              </w:rPr>
              <w:t>The</w:t>
            </w:r>
            <w:r w:rsidR="00801315" w:rsidRPr="00801315">
              <w:rPr>
                <w:rFonts w:ascii="Arial" w:eastAsia="Calibri" w:hAnsi="Arial" w:cs="Arial"/>
                <w:szCs w:val="22"/>
              </w:rPr>
              <w:t xml:space="preserve"> non-linear inflation–growth relationship</w:t>
            </w:r>
            <w:r w:rsidR="00801315">
              <w:rPr>
                <w:rFonts w:ascii="Arial" w:eastAsia="Calibri" w:hAnsi="Arial" w:cs="Arial"/>
                <w:szCs w:val="22"/>
              </w:rPr>
              <w:t xml:space="preserve"> is confirmed</w:t>
            </w:r>
            <w:r w:rsidR="00801315" w:rsidRPr="00801315">
              <w:rPr>
                <w:rFonts w:ascii="Arial" w:eastAsia="Calibri" w:hAnsi="Arial" w:cs="Arial"/>
                <w:szCs w:val="22"/>
              </w:rPr>
              <w:t xml:space="preserve">, with an estimated threshold of 3.82 percent. Beyond this threshold, inflation becomes detrimental to economic growth, while capital formation and </w:t>
            </w:r>
            <w:r w:rsidR="00801315">
              <w:rPr>
                <w:rFonts w:ascii="Arial" w:eastAsia="Calibri" w:hAnsi="Arial" w:cs="Arial"/>
                <w:szCs w:val="22"/>
              </w:rPr>
              <w:t>population growth</w:t>
            </w:r>
            <w:r w:rsidR="00801315" w:rsidRPr="00801315">
              <w:rPr>
                <w:rFonts w:ascii="Arial" w:eastAsia="Calibri" w:hAnsi="Arial" w:cs="Arial"/>
                <w:szCs w:val="22"/>
              </w:rPr>
              <w:t xml:space="preserve"> continue to serve as drivers of long-run economic </w:t>
            </w:r>
            <w:r w:rsidR="00801315">
              <w:rPr>
                <w:rFonts w:ascii="Arial" w:eastAsia="Calibri" w:hAnsi="Arial" w:cs="Arial"/>
                <w:szCs w:val="22"/>
              </w:rPr>
              <w:t xml:space="preserve">growth. </w:t>
            </w:r>
            <w:r w:rsidR="00801315" w:rsidRPr="00801315">
              <w:rPr>
                <w:rFonts w:ascii="Arial" w:eastAsia="Calibri" w:hAnsi="Arial" w:cs="Arial"/>
                <w:szCs w:val="22"/>
              </w:rPr>
              <w:t>Policymakers should maintain inflation below the estimated threshold while simultaneously promoting capital formation and enhancing the productivity of the working-age population to sustain long-term economic growth</w:t>
            </w:r>
          </w:p>
          <w:p w14:paraId="5D421BC2" w14:textId="55691E53" w:rsidR="00505F06" w:rsidRPr="00BA1B01" w:rsidRDefault="00505F06" w:rsidP="00441B6F">
            <w:pPr>
              <w:pStyle w:val="Body"/>
              <w:spacing w:after="0"/>
              <w:rPr>
                <w:rFonts w:ascii="Arial" w:eastAsia="Calibri" w:hAnsi="Arial" w:cs="Arial"/>
                <w:szCs w:val="22"/>
              </w:rPr>
            </w:pPr>
          </w:p>
        </w:tc>
      </w:tr>
    </w:tbl>
    <w:p w14:paraId="61E6796B" w14:textId="77777777" w:rsidR="00636EB2" w:rsidRDefault="00636EB2" w:rsidP="00441B6F">
      <w:pPr>
        <w:pStyle w:val="Body"/>
        <w:spacing w:after="0"/>
        <w:rPr>
          <w:rFonts w:ascii="Arial" w:hAnsi="Arial" w:cs="Arial"/>
          <w:i/>
        </w:rPr>
      </w:pPr>
    </w:p>
    <w:p w14:paraId="385D72AD" w14:textId="65CCB756" w:rsidR="0024282C" w:rsidRPr="00633824" w:rsidRDefault="00A24E7E" w:rsidP="00441B6F">
      <w:pPr>
        <w:pStyle w:val="Body"/>
        <w:spacing w:after="0"/>
        <w:rPr>
          <w:rFonts w:ascii="Arial" w:hAnsi="Arial" w:cs="Arial"/>
          <w:i/>
        </w:rPr>
      </w:pPr>
      <w:r>
        <w:rPr>
          <w:rFonts w:ascii="Arial" w:hAnsi="Arial" w:cs="Arial"/>
          <w:i/>
        </w:rPr>
        <w:t xml:space="preserve">Keywords: </w:t>
      </w:r>
      <w:r w:rsidR="00BF5F58">
        <w:rPr>
          <w:rFonts w:ascii="Arial" w:hAnsi="Arial" w:cs="Arial"/>
          <w:i/>
        </w:rPr>
        <w:t>Inflation, Economic Growth, Indonesia, Threshold Regression</w:t>
      </w:r>
    </w:p>
    <w:p w14:paraId="740523A5" w14:textId="77777777" w:rsidR="00505F06" w:rsidRPr="00A24E7E" w:rsidRDefault="00505F06" w:rsidP="00441B6F">
      <w:pPr>
        <w:pStyle w:val="Body"/>
        <w:spacing w:after="0"/>
        <w:rPr>
          <w:rFonts w:ascii="Arial" w:hAnsi="Arial" w:cs="Arial"/>
          <w:i/>
        </w:rPr>
      </w:pPr>
    </w:p>
    <w:p w14:paraId="0435781E" w14:textId="1D3DAA6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24DBE17" w14:textId="77777777" w:rsidR="00790ADA" w:rsidRPr="00FB3A86" w:rsidRDefault="00790ADA" w:rsidP="00441B6F">
      <w:pPr>
        <w:pStyle w:val="AbstHead"/>
        <w:spacing w:after="0"/>
        <w:jc w:val="both"/>
        <w:rPr>
          <w:rFonts w:ascii="Arial" w:hAnsi="Arial" w:cs="Arial"/>
        </w:rPr>
      </w:pPr>
    </w:p>
    <w:p w14:paraId="05519853" w14:textId="17B85FBF" w:rsidR="008960F0" w:rsidRDefault="008960F0" w:rsidP="008960F0">
      <w:pPr>
        <w:pStyle w:val="Body"/>
        <w:spacing w:after="0"/>
        <w:rPr>
          <w:rFonts w:ascii="Arial" w:hAnsi="Arial" w:cs="Arial"/>
        </w:rPr>
      </w:pPr>
      <w:r w:rsidRPr="008960F0">
        <w:rPr>
          <w:rFonts w:ascii="Arial" w:hAnsi="Arial" w:cs="Arial"/>
        </w:rPr>
        <w:t xml:space="preserve">The </w:t>
      </w:r>
      <w:r>
        <w:rPr>
          <w:rFonts w:ascii="Arial" w:hAnsi="Arial" w:cs="Arial"/>
        </w:rPr>
        <w:t xml:space="preserve">debate on the relationship </w:t>
      </w:r>
      <w:r w:rsidRPr="008960F0">
        <w:rPr>
          <w:rFonts w:ascii="Arial" w:hAnsi="Arial" w:cs="Arial"/>
        </w:rPr>
        <w:t xml:space="preserve">between inflation and economic growth has been extensively examined, including within the context of developing </w:t>
      </w:r>
      <w:r w:rsidR="00A17AEA">
        <w:rPr>
          <w:rFonts w:ascii="Arial" w:hAnsi="Arial" w:cs="Arial"/>
        </w:rPr>
        <w:t>countries</w:t>
      </w:r>
      <w:r w:rsidRPr="008960F0">
        <w:rPr>
          <w:rFonts w:ascii="Arial" w:hAnsi="Arial" w:cs="Arial"/>
        </w:rPr>
        <w:t xml:space="preserve">. </w:t>
      </w:r>
      <w:r w:rsidR="00A17AEA" w:rsidRPr="00A17AEA">
        <w:rPr>
          <w:rFonts w:ascii="Arial" w:hAnsi="Arial" w:cs="Arial"/>
        </w:rPr>
        <w:t>Maintaining stable economic growth alongside low and predictable inflation is essential for ensuring long-term economic sustainability</w:t>
      </w:r>
      <w:r w:rsidR="00A17AEA">
        <w:rPr>
          <w:rFonts w:ascii="Arial" w:hAnsi="Arial" w:cs="Arial"/>
        </w:rPr>
        <w:t xml:space="preserve"> </w:t>
      </w:r>
      <w:r w:rsidRPr="008960F0">
        <w:rPr>
          <w:rFonts w:ascii="Arial" w:hAnsi="Arial" w:cs="Arial"/>
        </w:rPr>
        <w:fldChar w:fldCharType="begin" w:fldLock="1"/>
      </w:r>
      <w:r w:rsidR="00DB222C">
        <w:rPr>
          <w:rFonts w:ascii="Arial" w:hAnsi="Arial" w:cs="Arial"/>
        </w:rPr>
        <w:instrText>ADDIN CSL_CITATION {"citationItems":[{"id":"ITEM-1","itemData":{"DOI":"10.3390/su14010518","ISSN":"20711050","abstract":"The problem of inflation is crucial for ensuring sustainable economic growth of the country. In the broadest sense, the economic dimension of sustainable development represents the general economic health of the country. Such macroeconomic indicators as unemployment and inflation rates are the main economic indicators of sustainable development. This article discusses the historical aspects of inflation development and the attitudes of economists towards it. The article presents a new approach to inflation and analyses the main reasons for its formation by developing a new analytical model of aggregate inflation. Based on new analytical model, the theoretical analysis of the formation of an economic bubble is provided based on saturation phenomena and its micro and macroeconomic implications are discussed. The main input of this paper is the creation of an extended (detailed) inflation model representing the main drivers of inflation and therefore contributes to the concept of controlled economic growth, which is necessary to ensure sustainable economic growth of the country.","author":[{"dropping-particle":"","family":"Girdzijauskas","given":"Stasys","non-dropping-particle":"","parse-names":false,"suffix":""},{"dropping-particle":"","family":"Streimikiene","given":"Dalia","non-dropping-particle":"","parse-names":false,"suffix":""},{"dropping-particle":"","family":"Griesiene","given":"Ingrida","non-dropping-particle":"","parse-names":false,"suffix":""},{"dropping-particle":"","family":"Mikalauskiene","given":"Asta","non-dropping-particle":"","parse-names":false,"suffix":""},{"dropping-particle":"","family":"Kyriakopoulos","given":"Grigorios L.","non-dropping-particle":"","parse-names":false,"suffix":""}],"container-title":"Sustainability (Switzerland)","id":"ITEM-1","issue":"1","issued":{"date-parts":[["2022"]]},"page":"1-21","title":"New Approach to Inflation Phenomena to Ensure Sustainable Economic Growth","type":"article-journal","volume":"14"},"uris":["http://www.mendeley.com/documents/?uuid=b5d974eb-6a1f-4390-a1b8-55da37fbeb59"]}],"mendeley":{"formattedCitation":"(Girdzijauskas et al., 2022)","plainTextFormattedCitation":"(Girdzijauskas et al., 2022)","previouslyFormattedCitation":"(Girdzijauskas et al., 2022)"},"properties":{"noteIndex":0},"schema":"https://github.com/citation-style-language/schema/raw/master/csl-citation.json"}</w:instrText>
      </w:r>
      <w:r w:rsidRPr="008960F0">
        <w:rPr>
          <w:rFonts w:ascii="Arial" w:hAnsi="Arial" w:cs="Arial"/>
        </w:rPr>
        <w:fldChar w:fldCharType="separate"/>
      </w:r>
      <w:r w:rsidR="00DB222C" w:rsidRPr="00DB222C">
        <w:rPr>
          <w:rFonts w:ascii="Arial" w:hAnsi="Arial" w:cs="Arial"/>
          <w:noProof/>
        </w:rPr>
        <w:t>(Girdzijauskas et al., 2022)</w:t>
      </w:r>
      <w:r w:rsidRPr="008960F0">
        <w:rPr>
          <w:rFonts w:ascii="Arial" w:hAnsi="Arial" w:cs="Arial"/>
        </w:rPr>
        <w:fldChar w:fldCharType="end"/>
      </w:r>
      <w:r w:rsidRPr="008960F0">
        <w:rPr>
          <w:rFonts w:ascii="Arial" w:hAnsi="Arial" w:cs="Arial"/>
        </w:rPr>
        <w:t xml:space="preserve">. </w:t>
      </w:r>
      <w:r w:rsidR="00A17AEA" w:rsidRPr="00A17AEA">
        <w:rPr>
          <w:rFonts w:ascii="Arial" w:hAnsi="Arial" w:cs="Arial"/>
        </w:rPr>
        <w:t>Stable growth fosters a conducive environment for investment, job creation, and productivity improvements</w:t>
      </w:r>
      <w:r w:rsidRPr="008960F0">
        <w:rPr>
          <w:rFonts w:ascii="Arial" w:hAnsi="Arial" w:cs="Arial"/>
        </w:rPr>
        <w:t>, wh</w:t>
      </w:r>
      <w:r>
        <w:rPr>
          <w:rFonts w:ascii="Arial" w:hAnsi="Arial" w:cs="Arial"/>
        </w:rPr>
        <w:t>ereas</w:t>
      </w:r>
      <w:r w:rsidRPr="008960F0">
        <w:rPr>
          <w:rFonts w:ascii="Arial" w:hAnsi="Arial" w:cs="Arial"/>
        </w:rPr>
        <w:t xml:space="preserve"> keeping inflation under control helps preserve purchasing power, reduces uncertainty, and supports sound financial planning </w:t>
      </w:r>
      <w:r w:rsidRPr="008960F0">
        <w:rPr>
          <w:rFonts w:ascii="Arial" w:hAnsi="Arial" w:cs="Arial"/>
        </w:rPr>
        <w:fldChar w:fldCharType="begin" w:fldLock="1"/>
      </w:r>
      <w:r w:rsidR="00434B2C">
        <w:rPr>
          <w:rFonts w:ascii="Arial" w:hAnsi="Arial" w:cs="Arial"/>
        </w:rPr>
        <w:instrText>ADDIN CSL_CITATION {"citationItems":[{"id":"ITEM-1","itemData":{"author":[{"dropping-particle":"","family":"Mishkin","given":"Frederic S.","non-dropping-particle":"","parse-names":false,"suffix":""}],"id":"ITEM-1","issued":{"date-parts":[["2015"]]},"publisher":"Pearson Education, Inc","title":"The Economics of Money, Banking, and Financial Markets (10th Edition)","type":"book"},"uris":["http://www.mendeley.com/documents/?uuid=dae7f75f-a4ca-452b-a233-daeb1c719df2"]}],"mendeley":{"formattedCitation":"(Mishkin, 2015)","manualFormatting":"(Mishkin, 2015","plainTextFormattedCitation":"(Mishkin, 2015)","previouslyFormattedCitation":"(Mishkin, 2015)"},"properties":{"noteIndex":0},"schema":"https://github.com/citation-style-language/schema/raw/master/csl-citation.json"}</w:instrText>
      </w:r>
      <w:r w:rsidRPr="008960F0">
        <w:rPr>
          <w:rFonts w:ascii="Arial" w:hAnsi="Arial" w:cs="Arial"/>
        </w:rPr>
        <w:fldChar w:fldCharType="separate"/>
      </w:r>
      <w:r w:rsidR="00DB222C" w:rsidRPr="00DB222C">
        <w:rPr>
          <w:rFonts w:ascii="Arial" w:hAnsi="Arial" w:cs="Arial"/>
          <w:noProof/>
        </w:rPr>
        <w:t>(Mishkin, 2015</w:t>
      </w:r>
      <w:r w:rsidRPr="008960F0">
        <w:rPr>
          <w:rFonts w:ascii="Arial" w:hAnsi="Arial" w:cs="Arial"/>
        </w:rPr>
        <w:fldChar w:fldCharType="end"/>
      </w:r>
      <w:r w:rsidR="004B6433">
        <w:rPr>
          <w:rFonts w:ascii="Arial" w:hAnsi="Arial" w:cs="Arial"/>
        </w:rPr>
        <w:t xml:space="preserve">; </w:t>
      </w:r>
      <w:r w:rsidRPr="008960F0">
        <w:rPr>
          <w:rFonts w:ascii="Arial" w:hAnsi="Arial" w:cs="Arial"/>
        </w:rPr>
        <w:fldChar w:fldCharType="begin" w:fldLock="1"/>
      </w:r>
      <w:r w:rsidR="00434B2C">
        <w:rPr>
          <w:rFonts w:ascii="Arial" w:hAnsi="Arial" w:cs="Arial"/>
        </w:rPr>
        <w:instrText>ADDIN CSL_CITATION {"citationItems":[{"id":"ITEM-1","itemData":{"author":[{"dropping-particle":"","family":"Mankiw","given":"N. Gregory","non-dropping-particle":"","parse-names":false,"suffix":""}],"id":"ITEM-1","issued":{"date-parts":[["2019"]]},"publisher":"Worth Publishers","publisher-place":"New York","title":"Macroeconomics (10th ed.)","type":"book"},"uris":["http://www.mendeley.com/documents/?uuid=95b88506-9602-4b03-939f-699a65d4b447"]}],"mendeley":{"formattedCitation":"(Mankiw, 2019)","manualFormatting":"Mankiw, 2019)","plainTextFormattedCitation":"(Mankiw, 2019)","previouslyFormattedCitation":"(Mankiw, 2019)"},"properties":{"noteIndex":0},"schema":"https://github.com/citation-style-language/schema/raw/master/csl-citation.json"}</w:instrText>
      </w:r>
      <w:r w:rsidRPr="008960F0">
        <w:rPr>
          <w:rFonts w:ascii="Arial" w:hAnsi="Arial" w:cs="Arial"/>
        </w:rPr>
        <w:fldChar w:fldCharType="separate"/>
      </w:r>
      <w:r w:rsidR="00DB222C" w:rsidRPr="00DB222C">
        <w:rPr>
          <w:rFonts w:ascii="Arial" w:hAnsi="Arial" w:cs="Arial"/>
          <w:noProof/>
        </w:rPr>
        <w:t>Mankiw, 2019)</w:t>
      </w:r>
      <w:r w:rsidRPr="008960F0">
        <w:rPr>
          <w:rFonts w:ascii="Arial" w:hAnsi="Arial" w:cs="Arial"/>
        </w:rPr>
        <w:fldChar w:fldCharType="end"/>
      </w:r>
      <w:r w:rsidRPr="008960F0">
        <w:rPr>
          <w:rFonts w:ascii="Arial" w:hAnsi="Arial" w:cs="Arial"/>
        </w:rPr>
        <w:t xml:space="preserve">. </w:t>
      </w:r>
      <w:r w:rsidR="00A17AEA" w:rsidRPr="00A17AEA">
        <w:rPr>
          <w:rFonts w:ascii="Arial" w:hAnsi="Arial" w:cs="Arial"/>
        </w:rPr>
        <w:t xml:space="preserve">Collectively, these conditions foster macroeconomic stability, strengthen investor confidence, and support the development of a more resilient and sustainable economy over the long </w:t>
      </w:r>
      <w:r w:rsidR="00A17AEA">
        <w:rPr>
          <w:rFonts w:ascii="Arial" w:hAnsi="Arial" w:cs="Arial"/>
        </w:rPr>
        <w:t>term.</w:t>
      </w:r>
    </w:p>
    <w:p w14:paraId="7ABDDCCB" w14:textId="77777777" w:rsidR="00850A62" w:rsidRDefault="00850A62" w:rsidP="008960F0">
      <w:pPr>
        <w:pStyle w:val="Body"/>
        <w:spacing w:after="0"/>
        <w:rPr>
          <w:rFonts w:ascii="Arial" w:hAnsi="Arial" w:cs="Arial"/>
        </w:rPr>
      </w:pPr>
    </w:p>
    <w:p w14:paraId="1A419D18" w14:textId="0936F44C" w:rsidR="008960F0" w:rsidRPr="005F6B20" w:rsidRDefault="008960F0" w:rsidP="008960F0">
      <w:pPr>
        <w:jc w:val="both"/>
        <w:rPr>
          <w:rFonts w:ascii="Arial" w:hAnsi="Arial" w:cs="Arial"/>
        </w:rPr>
      </w:pPr>
      <w:r w:rsidRPr="008960F0">
        <w:rPr>
          <w:rFonts w:ascii="Arial" w:hAnsi="Arial" w:cs="Arial"/>
        </w:rPr>
        <w:lastRenderedPageBreak/>
        <w:t xml:space="preserve">Economic theory contends that sustaining low and stable inflation is conducive to economic growth, </w:t>
      </w:r>
      <w:r w:rsidRPr="005F6B20">
        <w:rPr>
          <w:rFonts w:ascii="Arial" w:hAnsi="Arial" w:cs="Arial"/>
        </w:rPr>
        <w:t xml:space="preserve">as it reduces macroeconomic uncertainty and creates a more favorable environment for investment </w:t>
      </w:r>
      <w:r w:rsidRPr="005F6B20">
        <w:rPr>
          <w:rFonts w:ascii="Arial" w:hAnsi="Arial" w:cs="Arial"/>
        </w:rPr>
        <w:fldChar w:fldCharType="begin" w:fldLock="1"/>
      </w:r>
      <w:r w:rsidR="00DB222C" w:rsidRPr="005F6B20">
        <w:rPr>
          <w:rFonts w:ascii="Arial" w:hAnsi="Arial" w:cs="Arial"/>
        </w:rPr>
        <w:instrText>ADDIN CSL_CITATION {"citationItems":[{"id":"ITEM-1","itemData":{"DOI":"//doi.org/10.3386/w5326","ISSN":"15297373","abstract":"Data for around 100 countries from 1960 to 1990 are used to assess the effects of inflation on economic performance. If a number of country characteristics are held constant, then regression results indicate that the impact effects from an increase in average infiation by 10 percentage points per year are a reduction of the growth rate of real per capita GDP by 0.2-0.3 percentage points per year and a decrease in the ratio of investment to GDP by 0.4-0.6 percentage points. Since the statistical procedures use plausible instruments for inflation, there is some reason to believe that these relations re ect causal influences from inflation to growth and investment. However, statistically significant results emerge only when high-inflation experiences are included in the sample. Although the adverse influence of inflation on growth looks small, the long-term effects on standards of living are substantial. For example, a shift in monetary policy that raises the long-term average inflation rate by 10 percentage points per year is estimated to lower the level of real GDP after 30 years by 4-7%, more than enough to justify a strong interest in price stability.","author":[{"dropping-particle":"","family":"Barro","given":"Robert J.","non-dropping-particle":"","parse-names":false,"suffix":""}],"container-title":"Bank of England Quarterly Bulletin","id":"ITEM-1","issue":"2","issued":{"date-parts":[["1995"]]},"page":"166-176","title":"Inflation and economic growth","type":"article-journal","volume":"32"},"uris":["http://www.mendeley.com/documents/?uuid=33a9d991-8f8d-431e-a59e-460864348935"]}],"mendeley":{"formattedCitation":"(Barro, 1995)","plainTextFormattedCitation":"(Barro, 1995)","previouslyFormattedCitation":"(Barro, 1995)"},"properties":{"noteIndex":0},"schema":"https://github.com/citation-style-language/schema/raw/master/csl-citation.json"}</w:instrText>
      </w:r>
      <w:r w:rsidRPr="005F6B20">
        <w:rPr>
          <w:rFonts w:ascii="Arial" w:hAnsi="Arial" w:cs="Arial"/>
        </w:rPr>
        <w:fldChar w:fldCharType="separate"/>
      </w:r>
      <w:r w:rsidR="00DB222C" w:rsidRPr="005F6B20">
        <w:rPr>
          <w:rFonts w:ascii="Arial" w:hAnsi="Arial" w:cs="Arial"/>
          <w:noProof/>
        </w:rPr>
        <w:t>(Barro, 1995)</w:t>
      </w:r>
      <w:r w:rsidRPr="005F6B20">
        <w:rPr>
          <w:rFonts w:ascii="Arial" w:hAnsi="Arial" w:cs="Arial"/>
        </w:rPr>
        <w:fldChar w:fldCharType="end"/>
      </w:r>
      <w:r w:rsidRPr="005F6B20">
        <w:rPr>
          <w:rFonts w:ascii="Arial" w:hAnsi="Arial" w:cs="Arial"/>
        </w:rPr>
        <w:t xml:space="preserve">. </w:t>
      </w:r>
      <w:r w:rsidR="00061ABB" w:rsidRPr="00061ABB">
        <w:rPr>
          <w:rFonts w:ascii="Arial" w:hAnsi="Arial" w:cs="Arial"/>
        </w:rPr>
        <w:t xml:space="preserve">Low inflation rates are </w:t>
      </w:r>
      <w:r w:rsidR="00061ABB">
        <w:rPr>
          <w:rFonts w:ascii="Arial" w:hAnsi="Arial" w:cs="Arial"/>
        </w:rPr>
        <w:t>associated with</w:t>
      </w:r>
      <w:r w:rsidR="00061ABB" w:rsidRPr="00061ABB">
        <w:rPr>
          <w:rFonts w:ascii="Arial" w:hAnsi="Arial" w:cs="Arial"/>
        </w:rPr>
        <w:t xml:space="preserve"> economic inclusion, as they help maintain purchasing power and facilitate broader participation in economic activities</w:t>
      </w:r>
      <w:r w:rsidR="00061ABB">
        <w:rPr>
          <w:rFonts w:ascii="Arial" w:hAnsi="Arial" w:cs="Arial"/>
        </w:rPr>
        <w:t xml:space="preserve"> </w:t>
      </w:r>
      <w:r w:rsidRPr="005F6B20">
        <w:rPr>
          <w:rFonts w:ascii="Arial" w:hAnsi="Arial" w:cs="Arial"/>
        </w:rPr>
        <w:fldChar w:fldCharType="begin" w:fldLock="1"/>
      </w:r>
      <w:r w:rsidR="00DB222C" w:rsidRPr="005F6B20">
        <w:rPr>
          <w:rFonts w:ascii="Arial" w:hAnsi="Arial" w:cs="Arial"/>
        </w:rPr>
        <w:instrText>ADDIN CSL_CITATION {"citationItems":[{"id":"ITEM-1","itemData":{"DOI":"https://doi.org/10.1016/j.rie.2022.08.002","ISSN":"1090-9443","abstract":"The question of the implication of the macroeconomic policy environment for welfare may be an empirical one, and the answer may well differ amongst economies. In this paper, we evaluate the role of monetary policy toward inclusive growth. The evidence from a large sample of countries shows that in both the short and long terms, low inflation and stable economic growth are associated with lower income inequality, improved well-being of the poor and greater inclusion. Both short-term and long-run effects are statistically significant and show that monetary policy that aims at low inflation and stable economic growth is most likely to improve permanently growth inclusiveness and the conditions of the poor. However, in advanced economies where inflation rates are considerably lower, disinflation hurts the poor and equity, ignites greater unemployment cost, and worsens growth inclusiveness. In any case, price and output stability is necessary for greater growth inclusiveness. Thus, the twin objectives of macroeconomic stability and inclusive growth offer no trade-offs.","author":[{"dropping-particle":"","family":"Ahiadorme","given":"Johnson Worlanyo","non-dropping-particle":"","parse-names":false,"suffix":""}],"container-title":"Research in Economics","id":"ITEM-1","issue":"4","issued":{"date-parts":[["2022"]]},"page":"308-324","title":"Monetary policy in search of macroeconomic stability and inclusive growth","type":"article-journal","volume":"76"},"uris":["http://www.mendeley.com/documents/?uuid=90b11565-d44c-47e1-a3da-7b02cecdc8af"]}],"mendeley":{"formattedCitation":"(Ahiadorme, 2022)","plainTextFormattedCitation":"(Ahiadorme, 2022)","previouslyFormattedCitation":"(Ahiadorme, 2022)"},"properties":{"noteIndex":0},"schema":"https://github.com/citation-style-language/schema/raw/master/csl-citation.json"}</w:instrText>
      </w:r>
      <w:r w:rsidRPr="005F6B20">
        <w:rPr>
          <w:rFonts w:ascii="Arial" w:hAnsi="Arial" w:cs="Arial"/>
        </w:rPr>
        <w:fldChar w:fldCharType="separate"/>
      </w:r>
      <w:r w:rsidR="00DB222C" w:rsidRPr="005F6B20">
        <w:rPr>
          <w:rFonts w:ascii="Arial" w:hAnsi="Arial" w:cs="Arial"/>
          <w:noProof/>
        </w:rPr>
        <w:t>(Ahiadorme, 2022)</w:t>
      </w:r>
      <w:r w:rsidRPr="005F6B20">
        <w:rPr>
          <w:rFonts w:ascii="Arial" w:hAnsi="Arial" w:cs="Arial"/>
        </w:rPr>
        <w:fldChar w:fldCharType="end"/>
      </w:r>
      <w:r w:rsidRPr="005F6B20">
        <w:rPr>
          <w:rFonts w:ascii="Arial" w:hAnsi="Arial" w:cs="Arial"/>
        </w:rPr>
        <w:t xml:space="preserve">. </w:t>
      </w:r>
      <w:r w:rsidR="00061ABB" w:rsidRPr="00061ABB">
        <w:rPr>
          <w:rFonts w:ascii="Arial" w:hAnsi="Arial" w:cs="Arial"/>
        </w:rPr>
        <w:t>Conversely,</w:t>
      </w:r>
      <w:r w:rsidR="00061ABB">
        <w:rPr>
          <w:rFonts w:ascii="Arial" w:hAnsi="Arial" w:cs="Arial"/>
        </w:rPr>
        <w:t xml:space="preserve"> high and </w:t>
      </w:r>
      <w:r w:rsidR="00061ABB" w:rsidRPr="00061ABB">
        <w:rPr>
          <w:rFonts w:ascii="Arial" w:hAnsi="Arial" w:cs="Arial"/>
        </w:rPr>
        <w:t xml:space="preserve">volatile inflation rates can distort price signals, erode purchasing power, and deter long-term business planning </w:t>
      </w:r>
      <w:r w:rsidRPr="005F6B20">
        <w:rPr>
          <w:rFonts w:ascii="Arial" w:hAnsi="Arial" w:cs="Arial"/>
        </w:rPr>
        <w:fldChar w:fldCharType="begin" w:fldLock="1"/>
      </w:r>
      <w:r w:rsidR="00DB222C" w:rsidRPr="005F6B20">
        <w:rPr>
          <w:rFonts w:ascii="Arial" w:hAnsi="Arial" w:cs="Arial"/>
        </w:rPr>
        <w:instrText>ADDIN CSL_CITATION {"citationItems":[{"id":"ITEM-1","itemData":{"DOI":"10.1108/JES-10-2017-0293","ISSN":"0144-3585","abstract":"Purpose Studies about the determinants of the clarity of central bank communication are still scarce. To the authors’ knowledge, there are no studies regarding emerging economies. The purpose of this paper is to contribute to the literature in the following aspects: to analyze the determinants of the clarity of the central bank communication in an inflation targeting emerging economy; observe the influence of inflation volatility over the clarity; and observe the effect of the monetary policy signaling over the clarity. Design/methodology/approach The work uses readability indexes to measure the clarity of central bank communication. The empirical analysis uses ordinary least squares and the Generalized Method of Moments with one- and two-step estimations. Findings The findings suggest the inflation volatility reduces the clarity of central bank communication. Moreover, the monetary policy signaling also affects the clarity, but the effect depends on the direction of the signal. Practical implications This paper observes the determinants of the clarity considering an emerging economy environment. The clarity of central bank communications is an important tool to access transparency. Hence, the analysis of what determines the clarity of central bank communication is a debate about the level of transparency accessed by the central bank. Originality/value There are no studies about the determinants of the clarity of central bank communication in emerging economies. Moreover, the novelty are the effects of inflation volatility and monetary policy signaling over the clarity.","author":[{"dropping-particle":"","family":"Nicolay","given":"Rodolfo","non-dropping-particle":"","parse-names":false,"suffix":""},{"dropping-particle":"","family":"Oliveira","given":"Ana Jordânia","non-dropping-particle":"de","parse-names":false,"suffix":""}],"container-title":"Journal of Economic Studies","id":"ITEM-1","issue":"2","issued":{"date-parts":[["2019","1","1"]]},"page":"266-283","publisher":"Emerald Publishing Limited","title":"Inflation volatility, monetary policy signaling and clarity of the central bank communication","type":"article-journal","volume":"46"},"uris":["http://www.mendeley.com/documents/?uuid=c3dd9b05-6694-4359-b4f7-f1dca875f3a6"]}],"mendeley":{"formattedCitation":"(Nicolay &amp; de Oliveira, 2019)","plainTextFormattedCitation":"(Nicolay &amp; de Oliveira, 2019)","previouslyFormattedCitation":"(Nicolay &amp; de Oliveira, 2019)"},"properties":{"noteIndex":0},"schema":"https://github.com/citation-style-language/schema/raw/master/csl-citation.json"}</w:instrText>
      </w:r>
      <w:r w:rsidRPr="005F6B20">
        <w:rPr>
          <w:rFonts w:ascii="Arial" w:hAnsi="Arial" w:cs="Arial"/>
        </w:rPr>
        <w:fldChar w:fldCharType="separate"/>
      </w:r>
      <w:r w:rsidR="00DB222C" w:rsidRPr="005F6B20">
        <w:rPr>
          <w:rFonts w:ascii="Arial" w:hAnsi="Arial" w:cs="Arial"/>
          <w:noProof/>
        </w:rPr>
        <w:t>(Nicolay &amp; de Oliveira, 2019)</w:t>
      </w:r>
      <w:r w:rsidRPr="005F6B20">
        <w:rPr>
          <w:rFonts w:ascii="Arial" w:hAnsi="Arial" w:cs="Arial"/>
        </w:rPr>
        <w:fldChar w:fldCharType="end"/>
      </w:r>
      <w:r w:rsidRPr="005F6B20">
        <w:rPr>
          <w:rFonts w:ascii="Arial" w:hAnsi="Arial" w:cs="Arial"/>
        </w:rPr>
        <w:t xml:space="preserve">. </w:t>
      </w:r>
      <w:r w:rsidR="00061ABB" w:rsidRPr="00061ABB">
        <w:rPr>
          <w:rFonts w:ascii="Arial" w:hAnsi="Arial" w:cs="Arial"/>
        </w:rPr>
        <w:t>Such distortions may result in inefficiencies in resource allocation, diminished productivity, and, ultimately, slower economic growth</w:t>
      </w:r>
      <w:r w:rsidR="00061ABB">
        <w:rPr>
          <w:rFonts w:ascii="Arial" w:hAnsi="Arial" w:cs="Arial"/>
        </w:rPr>
        <w:t xml:space="preserve"> </w:t>
      </w:r>
      <w:r w:rsidR="00061ABB">
        <w:rPr>
          <w:rFonts w:ascii="Arial" w:hAnsi="Arial" w:cs="Arial"/>
        </w:rPr>
        <w:fldChar w:fldCharType="begin" w:fldLock="1"/>
      </w:r>
      <w:r w:rsidR="00061ABB">
        <w:rPr>
          <w:rFonts w:ascii="Arial" w:hAnsi="Arial" w:cs="Arial"/>
        </w:rPr>
        <w:instrText>ADDIN CSL_CITATION {"citationItems":[{"id":"ITEM-1","itemData":{"ISBN":"1014049202","PMID":"38252772","abstract":"BACKGROUND: Despite a relative reduction in the hospitalization rate for heart failure (HF), the actual number of HF hospitalizations remains &gt;1 million annually. More than 80% of patients who are hospitalized are initially seen in the emergency department (ED). Importantly, the ED is the safety net for acute HF (AHF) care. Thus, it is the primary provider for vulnerable patients, including those with low socioeconomic status, minority populations, and those with poor health literacy. Hospitalized patients with HF are among those most frequently readmitted within 30 days; they have up to a 25% risk of readmission within a month and a 50% risk within 6 months of discharge. Events in patients with AHF discharged from the ED are reportedly much higher, and an even greater disparity exists between vulnerable and nonvulnerable patients. Self-care education and other strategies could improve this disparity gap. We proposed studying the impact of a self-care intervention on patients with AHF discharged from the ED. OBJECTIVES: We determined the impact of our self-care intervention on our primary outcome, a composite global rank prioritizing outcomes in the following order: cardiovascular (CV) death, HF event (first ED/clinic revisit or hospital admission), and Kansas City Cardiomyopathy Questionnaire (KCCQ) score at 90 days. We (1) determined the overall impact of our strategy regardless of vulnerable characteristics, (2) explored individual characteristics of vulnerability associated with the highest (and lowest) improvements from our intervention, and (3) assessed the reduction in disparities in our primary outcome between those with and without characteristics of vulnerability. Secondary end points included our primary composite outcome at 30 days, patient satisfaction, HF knowledge, and HF health status based on the KCCQ at 30 and 90 days. METHODS: Patients with AHF who were discharged after a brief ED stay at 15 sites were screened to ensure that they fulfilled our broad inclusion and exclusion criteria: history of HF, not on an outpatient inotrope infusion, systolic blood pressure (BP) &gt;100 mm Hg, and no evidence of an acute coronary syndrome. They were randomly assigned 1:1 to structured usual ED discharge care vs a tailored intervention strategy that focused on self-care strategies over the subsequent 90 days. This intervention was conducted by study team coordinators, nurses, and paramedics trained under an identical protocol. We stratified by site an…","author":[{"dropping-particle":"","family":"Ropele","given":"Tiziano","non-dropping-particle":"","parse-names":false,"suffix":""},{"dropping-particle":"","family":"Gorodnichenko","given":"Yuriy","non-dropping-particle":"","parse-names":false,"suffix":""},{"dropping-particle":"","family":"Coibion","given":"Olivier","non-dropping-particle":"","parse-names":false,"suffix":""}],"collection-title":"NBER Working Paper Series","id":"ITEM-1","issued":{"date-parts":[["2021"]]},"number-of-pages":"167-186","title":"Inflation Expectation and Misallocation of Resources: Evidence from Italy","type":"report"},"uris":["http://www.mendeley.com/documents/?uuid=715947bd-0492-45b6-93e5-5ee599b53688"]}],"mendeley":{"formattedCitation":"(Ropele et al., 2021)","plainTextFormattedCitation":"(Ropele et al., 2021)","previouslyFormattedCitation":"(Ropele et al., 2021)"},"properties":{"noteIndex":0},"schema":"https://github.com/citation-style-language/schema/raw/master/csl-citation.json"}</w:instrText>
      </w:r>
      <w:r w:rsidR="00061ABB">
        <w:rPr>
          <w:rFonts w:ascii="Arial" w:hAnsi="Arial" w:cs="Arial"/>
        </w:rPr>
        <w:fldChar w:fldCharType="separate"/>
      </w:r>
      <w:r w:rsidR="00061ABB" w:rsidRPr="00061ABB">
        <w:rPr>
          <w:rFonts w:ascii="Arial" w:hAnsi="Arial" w:cs="Arial"/>
          <w:noProof/>
        </w:rPr>
        <w:t>(Ropele et al., 2021)</w:t>
      </w:r>
      <w:r w:rsidR="00061ABB">
        <w:rPr>
          <w:rFonts w:ascii="Arial" w:hAnsi="Arial" w:cs="Arial"/>
        </w:rPr>
        <w:fldChar w:fldCharType="end"/>
      </w:r>
    </w:p>
    <w:p w14:paraId="4B59C671" w14:textId="77777777" w:rsidR="008960F0" w:rsidRPr="005F6B20" w:rsidRDefault="008960F0" w:rsidP="008960F0">
      <w:pPr>
        <w:jc w:val="both"/>
        <w:rPr>
          <w:rFonts w:ascii="Arial" w:hAnsi="Arial" w:cs="Arial"/>
        </w:rPr>
      </w:pPr>
    </w:p>
    <w:p w14:paraId="5038FDF8" w14:textId="0027C6D9" w:rsidR="00BD7FC2" w:rsidRPr="00F6546B" w:rsidRDefault="00633824" w:rsidP="00633824">
      <w:pPr>
        <w:jc w:val="both"/>
        <w:rPr>
          <w:rFonts w:ascii="Arial" w:hAnsi="Arial" w:cs="Arial"/>
        </w:rPr>
      </w:pPr>
      <w:r w:rsidRPr="005F6B20">
        <w:rPr>
          <w:rFonts w:ascii="Arial" w:hAnsi="Arial" w:cs="Arial"/>
        </w:rPr>
        <w:t xml:space="preserve">The </w:t>
      </w:r>
      <w:r w:rsidRPr="00AC6FA5">
        <w:rPr>
          <w:rFonts w:ascii="Arial" w:hAnsi="Arial" w:cs="Arial"/>
        </w:rPr>
        <w:t xml:space="preserve">monetarist perspective contends that excessive expansion of the money supply </w:t>
      </w:r>
      <w:r w:rsidR="00F66A92" w:rsidRPr="00AC6FA5">
        <w:rPr>
          <w:rFonts w:ascii="Arial" w:hAnsi="Arial" w:cs="Arial"/>
        </w:rPr>
        <w:t>drives</w:t>
      </w:r>
      <w:r w:rsidRPr="00AC6FA5">
        <w:rPr>
          <w:rFonts w:ascii="Arial" w:hAnsi="Arial" w:cs="Arial"/>
        </w:rPr>
        <w:t xml:space="preserve"> inflation, which in turn distorts price signals, undermines efficiency, and negatively affects </w:t>
      </w:r>
      <w:r w:rsidR="00F6546B" w:rsidRPr="00AC6FA5">
        <w:rPr>
          <w:rFonts w:ascii="Arial" w:hAnsi="Arial" w:cs="Arial"/>
        </w:rPr>
        <w:t xml:space="preserve">output </w:t>
      </w:r>
      <w:r w:rsidRPr="00AC6FA5">
        <w:rPr>
          <w:rFonts w:ascii="Arial" w:hAnsi="Arial" w:cs="Arial"/>
        </w:rPr>
        <w:t xml:space="preserve">growth </w:t>
      </w:r>
      <w:r w:rsidRPr="00AC6FA5">
        <w:rPr>
          <w:rFonts w:ascii="Arial" w:hAnsi="Arial" w:cs="Arial"/>
        </w:rPr>
        <w:fldChar w:fldCharType="begin" w:fldLock="1"/>
      </w:r>
      <w:r w:rsidRPr="00AC6FA5">
        <w:rPr>
          <w:rFonts w:ascii="Arial" w:hAnsi="Arial" w:cs="Arial"/>
        </w:rPr>
        <w:instrText>ADDIN CSL_CITATION {"citationItems":[{"id":"ITEM-1","itemData":{"author":[{"dropping-particle":"","family":"Mankiw","given":"N. Gregory","non-dropping-particle":"","parse-names":false,"suffix":""}],"id":"ITEM-1","issued":{"date-parts":[["2019"]]},"publisher":"Worth Publishers","publisher-place":"New York","title":"Macroeconomics (10th ed.)","type":"book"},"uris":["http://www.mendeley.com/documents/?uuid=95b88506-9602-4b03-939f-699a65d4b447"]}],"mendeley":{"formattedCitation":"(Mankiw, 2019)","plainTextFormattedCitation":"(Mankiw, 2019)","previouslyFormattedCitation":"(Mankiw, 2019)"},"properties":{"noteIndex":0},"schema":"https://github.com/citation-style-language/schema/raw/master/csl-citation.json"}</w:instrText>
      </w:r>
      <w:r w:rsidRPr="00AC6FA5">
        <w:rPr>
          <w:rFonts w:ascii="Arial" w:hAnsi="Arial" w:cs="Arial"/>
        </w:rPr>
        <w:fldChar w:fldCharType="separate"/>
      </w:r>
      <w:r w:rsidRPr="00AC6FA5">
        <w:rPr>
          <w:rFonts w:ascii="Arial" w:hAnsi="Arial" w:cs="Arial"/>
          <w:noProof/>
        </w:rPr>
        <w:t>(Mankiw, 2019)</w:t>
      </w:r>
      <w:r w:rsidRPr="00AC6FA5">
        <w:rPr>
          <w:rFonts w:ascii="Arial" w:hAnsi="Arial" w:cs="Arial"/>
        </w:rPr>
        <w:fldChar w:fldCharType="end"/>
      </w:r>
      <w:r w:rsidRPr="00AC6FA5">
        <w:rPr>
          <w:rFonts w:ascii="Arial" w:hAnsi="Arial" w:cs="Arial"/>
        </w:rPr>
        <w:t xml:space="preserve">. Meanwhile, </w:t>
      </w:r>
      <w:r w:rsidR="00F6546B" w:rsidRPr="00AC6FA5">
        <w:rPr>
          <w:rFonts w:ascii="Arial" w:hAnsi="Arial" w:cs="Arial"/>
        </w:rPr>
        <w:t xml:space="preserve">the endogenous growth framework highlights that inflation plays a significant role in shaping human capital accumulation, research activities, and innovation </w:t>
      </w:r>
      <w:r w:rsidRPr="00AC6FA5">
        <w:rPr>
          <w:rFonts w:ascii="Arial" w:hAnsi="Arial" w:cs="Arial"/>
        </w:rPr>
        <w:fldChar w:fldCharType="begin" w:fldLock="1"/>
      </w:r>
      <w:r w:rsidRPr="00AC6FA5">
        <w:rPr>
          <w:rFonts w:ascii="Arial" w:hAnsi="Arial" w:cs="Arial"/>
        </w:rPr>
        <w:instrText>ADDIN CSL_CITATION {"citationItems":[{"id":"ITEM-1","itemData":{"DOI":"10.2307/2937943","ISSN":"0033-5533","abstract":"For 98 countries in the period 1960–1985, the growth rate of real per capita GDP is positively related to initial human capital (proxied by 1960 school-enrollment rates) and negatively related to the initial (1960) level of real per capita GDP. Countries with higher human capital also have lower fertility rates and higher ratios of physical investment to GDP. Growth is inversely related to the share of government consumption in GDP, but insignificantly related to the share of public investment. Growth rates are positively related to measures of political stability and inversely related to a proxy for market distortions.","author":[{"dropping-particle":"","family":"Barro","given":"Robert J","non-dropping-particle":"","parse-names":false,"suffix":""}],"container-title":"The Quarterly Journal of Economics","id":"ITEM-1","issue":"2","issued":{"date-parts":[["1991","5","1"]]},"page":"407-443","title":"Economic Growth in a Cross Section of Countries*","type":"article-journal","volume":"106"},"uris":["http://www.mendeley.com/documents/?uuid=f20b97c4-edd5-46c2-806f-0ff1ff68e18f"]}],"mendeley":{"formattedCitation":"(Barro, 1991)","plainTextFormattedCitation":"(Barro, 1991)","previouslyFormattedCitation":"(Barro, 1991)"},"properties":{"noteIndex":0},"schema":"https://github.com/citation-style-language/schema/raw/master/csl-citation.json"}</w:instrText>
      </w:r>
      <w:r w:rsidRPr="00AC6FA5">
        <w:rPr>
          <w:rFonts w:ascii="Arial" w:hAnsi="Arial" w:cs="Arial"/>
        </w:rPr>
        <w:fldChar w:fldCharType="separate"/>
      </w:r>
      <w:r w:rsidRPr="00AC6FA5">
        <w:rPr>
          <w:rFonts w:ascii="Arial" w:hAnsi="Arial" w:cs="Arial"/>
          <w:noProof/>
        </w:rPr>
        <w:t>(Barro, 1991)</w:t>
      </w:r>
      <w:r w:rsidRPr="00AC6FA5">
        <w:rPr>
          <w:rFonts w:ascii="Arial" w:hAnsi="Arial" w:cs="Arial"/>
        </w:rPr>
        <w:fldChar w:fldCharType="end"/>
      </w:r>
      <w:r w:rsidR="00F66A92" w:rsidRPr="00AC6FA5">
        <w:rPr>
          <w:rFonts w:ascii="Arial" w:hAnsi="Arial" w:cs="Arial"/>
        </w:rPr>
        <w:t xml:space="preserve">. </w:t>
      </w:r>
      <w:r w:rsidR="00406B25" w:rsidRPr="00AC6FA5">
        <w:rPr>
          <w:rFonts w:ascii="Arial" w:hAnsi="Arial" w:cs="Arial"/>
        </w:rPr>
        <w:t xml:space="preserve">According to </w:t>
      </w:r>
      <w:r w:rsidR="00F6546B" w:rsidRPr="00AC6FA5">
        <w:rPr>
          <w:rFonts w:ascii="Arial" w:hAnsi="Arial" w:cs="Arial"/>
        </w:rPr>
        <w:t xml:space="preserve">existing previous </w:t>
      </w:r>
      <w:r w:rsidR="00406B25" w:rsidRPr="00AC6FA5">
        <w:rPr>
          <w:rFonts w:ascii="Arial" w:hAnsi="Arial" w:cs="Arial"/>
        </w:rPr>
        <w:t xml:space="preserve">studies, low inflation promotes financial development </w:t>
      </w:r>
      <w:r w:rsidR="00F6546B" w:rsidRPr="00AC6FA5">
        <w:rPr>
          <w:rFonts w:ascii="Arial" w:hAnsi="Arial" w:cs="Arial"/>
        </w:rPr>
        <w:fldChar w:fldCharType="begin" w:fldLock="1"/>
      </w:r>
      <w:r w:rsidR="007E5968" w:rsidRPr="00AC6FA5">
        <w:rPr>
          <w:rFonts w:ascii="Arial" w:hAnsi="Arial" w:cs="Arial"/>
        </w:rPr>
        <w:instrText>ADDIN CSL_CITATION {"citationItems":[{"id":"ITEM-1","itemData":{"ISBN":"9781479978007","abstract":"The aim of the Natural Resources Group is to build partnerships, capacity and wise decision-making for fair and sustainable use of natural resources. Our priority in pursuing this purpose is on local control and management of natural resources and other ecosystems. Partner Organisations The Institute of Development Studies (IDS) is a leading global Institution for international development research, teaching and learning, and impact and communications, based at the University of Sussex. Its vision is a world in which poverty does not exist, social justice prevails and sustainable economic growth is focused on improving human wellbeing. The Overseas Development Institute (ODI) is a leading independent think tank on international development and humanitarian issues. Its mission is to inspire and inform policy and practice which lead to the reduction of poverty, the alleviation of suffering and the achievement of sustainable livelihoods. The literature on land grabbing and agricultural commercialization has established that there have been major changes in the agrarian political economy over the last three decades. However, the implications of these for agrarian social relations have not been given full consideration. This paper examines some of these questions, identifying agreements and contestations about the implications of agrarian change for social relations, particularly those of class, gender and kinship, which are key to the production and reproduction of the agrarian political economy. We argue that issues of growing social differentiation and inequalities need to be addressed both by the literature and in policy discussions.","author":[{"dropping-particle":"","family":"Kunofiwa","given":"","non-dropping-particle":"","parse-names":false,"suffix":""}],"container-title":"Journal of Economics and Behavioral Studies","id":"ITEM-1","issue":"3","issued":{"date-parts":[["2017"]]},"page":"27","title":"Inflation Thresholds-Financial Development Nexus in South-Eastern Asian Emerging Markets","type":"article-journal","volume":"13"},"uris":["http://www.mendeley.com/documents/?uuid=2fb47ed6-b289-4e38-8528-d09a8995ebed"]}],"mendeley":{"formattedCitation":"(Kunofiwa, 2017)","plainTextFormattedCitation":"(Kunofiwa, 2017)","previouslyFormattedCitation":"(Kunofiwa, 2017)"},"properties":{"noteIndex":0},"schema":"https://github.com/citation-style-language/schema/raw/master/csl-citation.json"}</w:instrText>
      </w:r>
      <w:r w:rsidR="00F6546B" w:rsidRPr="00AC6FA5">
        <w:rPr>
          <w:rFonts w:ascii="Arial" w:hAnsi="Arial" w:cs="Arial"/>
        </w:rPr>
        <w:fldChar w:fldCharType="separate"/>
      </w:r>
      <w:r w:rsidR="00F6546B" w:rsidRPr="00AC6FA5">
        <w:rPr>
          <w:rFonts w:ascii="Arial" w:hAnsi="Arial" w:cs="Arial"/>
          <w:noProof/>
        </w:rPr>
        <w:t>(Kunofiwa, 2017)</w:t>
      </w:r>
      <w:r w:rsidR="00F6546B" w:rsidRPr="00AC6FA5">
        <w:rPr>
          <w:rFonts w:ascii="Arial" w:hAnsi="Arial" w:cs="Arial"/>
        </w:rPr>
        <w:fldChar w:fldCharType="end"/>
      </w:r>
      <w:r w:rsidR="00F6546B" w:rsidRPr="00AC6FA5">
        <w:rPr>
          <w:rFonts w:ascii="Arial" w:hAnsi="Arial" w:cs="Arial"/>
        </w:rPr>
        <w:t>.</w:t>
      </w:r>
      <w:r w:rsidR="00406B25" w:rsidRPr="00AC6FA5">
        <w:rPr>
          <w:rFonts w:ascii="Arial" w:hAnsi="Arial" w:cs="Arial"/>
        </w:rPr>
        <w:t xml:space="preserve">and alleviates real debt obligations </w:t>
      </w:r>
      <w:r w:rsidR="00F6546B" w:rsidRPr="00AC6FA5">
        <w:rPr>
          <w:rFonts w:ascii="Arial" w:hAnsi="Arial" w:cs="Arial"/>
        </w:rPr>
        <w:fldChar w:fldCharType="begin" w:fldLock="1"/>
      </w:r>
      <w:r w:rsidR="00F6546B" w:rsidRPr="00AC6FA5">
        <w:rPr>
          <w:rFonts w:ascii="Arial" w:hAnsi="Arial" w:cs="Arial"/>
        </w:rPr>
        <w:instrText>ADDIN CSL_CITATION {"citationItems":[{"id":"ITEM-1","itemData":{"DOI":"10.1093/ooec/odac008","ISSN":"2752-5074","abstract":"The Global Financial Crisis and the COVID-19 pandemic bequeathed large increases in public debt. At some point governments may seek to bring down these elevated debt-to-GDP ratios, including by inflating (by raising nominal GDP). We assemble a panel of debt consolidation episodes spanning 220 years and 183 nations. The evidence confirms that moderate inflation has been instrumental in facilitating large consolidations in the past. In fact, the frequency of successful debt consolidations was lower in periods of relatively high inflation, when interest rates show a tendency to quickly catch up. The largest concentration of debt consolidations in fact coincides with periods of relatively low and stable inflation in the context of credible monetary policies and sound fiscal policies.","author":[{"dropping-particle":"","family":"Eichengreen","given":"Barry","non-dropping-particle":"","parse-names":false,"suffix":""},{"dropping-particle":"","family":"Esteves","given":"Rui","non-dropping-particle":"","parse-names":false,"suffix":""}],"container-title":"Oxford Open Economics","id":"ITEM-1","issued":{"date-parts":[["2022","3","1"]]},"page":"odac008","title":"Up and away? Inflation and debt consolidation in historical perspective","type":"article-journal","volume":"1"},"uris":["http://www.mendeley.com/documents/?uuid=d1ca01bd-1566-46f5-90bc-ec1db49cc973"]}],"mendeley":{"formattedCitation":"(Eichengreen &amp; Esteves, 2022)","plainTextFormattedCitation":"(Eichengreen &amp; Esteves, 2022)","previouslyFormattedCitation":"(Eichengreen &amp; Esteves, 2022)"},"properties":{"noteIndex":0},"schema":"https://github.com/citation-style-language/schema/raw/master/csl-citation.json"}</w:instrText>
      </w:r>
      <w:r w:rsidR="00F6546B" w:rsidRPr="00AC6FA5">
        <w:rPr>
          <w:rFonts w:ascii="Arial" w:hAnsi="Arial" w:cs="Arial"/>
        </w:rPr>
        <w:fldChar w:fldCharType="separate"/>
      </w:r>
      <w:r w:rsidR="00F6546B" w:rsidRPr="00AC6FA5">
        <w:rPr>
          <w:rFonts w:ascii="Arial" w:hAnsi="Arial" w:cs="Arial"/>
          <w:noProof/>
        </w:rPr>
        <w:t>(Eichengreen &amp; Esteves, 2022)</w:t>
      </w:r>
      <w:r w:rsidR="00F6546B" w:rsidRPr="00AC6FA5">
        <w:rPr>
          <w:rFonts w:ascii="Arial" w:hAnsi="Arial" w:cs="Arial"/>
        </w:rPr>
        <w:fldChar w:fldCharType="end"/>
      </w:r>
      <w:r w:rsidR="00F6546B" w:rsidRPr="00AC6FA5">
        <w:rPr>
          <w:rFonts w:ascii="Arial" w:hAnsi="Arial" w:cs="Arial"/>
        </w:rPr>
        <w:t xml:space="preserve">. </w:t>
      </w:r>
      <w:r w:rsidR="00406B25" w:rsidRPr="00AC6FA5">
        <w:rPr>
          <w:rFonts w:ascii="Arial" w:hAnsi="Arial" w:cs="Arial"/>
        </w:rPr>
        <w:t>In contrast, high inflation</w:t>
      </w:r>
      <w:r w:rsidR="00F6546B" w:rsidRPr="00AC6FA5">
        <w:rPr>
          <w:rFonts w:ascii="Arial" w:hAnsi="Arial" w:cs="Arial"/>
        </w:rPr>
        <w:t xml:space="preserve"> rates</w:t>
      </w:r>
      <w:r w:rsidR="00406B25" w:rsidRPr="00AC6FA5">
        <w:rPr>
          <w:rFonts w:ascii="Arial" w:hAnsi="Arial" w:cs="Arial"/>
        </w:rPr>
        <w:t xml:space="preserve"> disrupt financial markets, </w:t>
      </w:r>
      <w:r w:rsidR="00F6546B" w:rsidRPr="00AC6FA5">
        <w:rPr>
          <w:rFonts w:ascii="Arial" w:hAnsi="Arial" w:cs="Arial"/>
        </w:rPr>
        <w:t>reduces the efficiency of credit allocation</w:t>
      </w:r>
      <w:r w:rsidR="00406B25" w:rsidRPr="00AC6FA5">
        <w:rPr>
          <w:rFonts w:ascii="Arial" w:hAnsi="Arial" w:cs="Arial"/>
        </w:rPr>
        <w:t xml:space="preserve">, and </w:t>
      </w:r>
      <w:r w:rsidR="00F6546B" w:rsidRPr="00AC6FA5">
        <w:rPr>
          <w:rFonts w:ascii="Arial" w:hAnsi="Arial" w:cs="Arial"/>
        </w:rPr>
        <w:t>constrains</w:t>
      </w:r>
      <w:r w:rsidR="00406B25" w:rsidRPr="00AC6FA5">
        <w:rPr>
          <w:rFonts w:ascii="Arial" w:hAnsi="Arial" w:cs="Arial"/>
        </w:rPr>
        <w:t xml:space="preserve"> long-term economic expansion </w:t>
      </w:r>
      <w:r w:rsidR="00BD7FC2" w:rsidRPr="00AC6FA5">
        <w:rPr>
          <w:rFonts w:ascii="Arial" w:hAnsi="Arial" w:cs="Arial"/>
        </w:rPr>
        <w:fldChar w:fldCharType="begin" w:fldLock="1"/>
      </w:r>
      <w:r w:rsidR="00061ABB" w:rsidRPr="00AC6FA5">
        <w:rPr>
          <w:rFonts w:ascii="Arial" w:hAnsi="Arial" w:cs="Arial"/>
        </w:rPr>
        <w:instrText>ADDIN CSL_CITATION {"citationItems":[{"id":"ITEM-1","itemData":{"author":[{"dropping-particle":"","family":"May-jean","given":"Maggie","non-dropping-particle":"","parse-names":false,"suffix":""}],"collection-title":"MPRA Paper No. 70113, posted 18 Mar 2016 05:21 UTC","id":"ITEM-1","issue":"70113","issued":{"date-parts":[["2016"]]},"title":"Munich Personal RePEc Archive A Review of the Literature on Monetary Neutrality","type":"report"},"uris":["http://www.mendeley.com/documents/?uuid=d5b2831a-5a40-4ea1-bf1d-bac0e540788d"]}],"mendeley":{"formattedCitation":"(May-jean, 2016)","plainTextFormattedCitation":"(May-jean, 2016)","previouslyFormattedCitation":"(May-jean, 2016)"},"properties":{"noteIndex":0},"schema":"https://github.com/citation-style-language/schema/raw/master/csl-citation.json"}</w:instrText>
      </w:r>
      <w:r w:rsidR="00BD7FC2" w:rsidRPr="00AC6FA5">
        <w:rPr>
          <w:rFonts w:ascii="Arial" w:hAnsi="Arial" w:cs="Arial"/>
        </w:rPr>
        <w:fldChar w:fldCharType="separate"/>
      </w:r>
      <w:r w:rsidR="00BD7FC2" w:rsidRPr="00AC6FA5">
        <w:rPr>
          <w:rFonts w:ascii="Arial" w:hAnsi="Arial" w:cs="Arial"/>
          <w:noProof/>
        </w:rPr>
        <w:t>(May-jean, 2016)</w:t>
      </w:r>
      <w:r w:rsidR="00BD7FC2" w:rsidRPr="00AC6FA5">
        <w:rPr>
          <w:rFonts w:ascii="Arial" w:hAnsi="Arial" w:cs="Arial"/>
        </w:rPr>
        <w:fldChar w:fldCharType="end"/>
      </w:r>
    </w:p>
    <w:p w14:paraId="122269A7" w14:textId="77777777" w:rsidR="00633824" w:rsidRPr="005F6B20" w:rsidRDefault="00633824" w:rsidP="008960F0">
      <w:pPr>
        <w:jc w:val="both"/>
        <w:rPr>
          <w:rFonts w:ascii="Arial" w:hAnsi="Arial" w:cs="Arial"/>
        </w:rPr>
      </w:pPr>
    </w:p>
    <w:p w14:paraId="6234515F" w14:textId="2684258C" w:rsidR="008960F0" w:rsidRDefault="008960F0" w:rsidP="008960F0">
      <w:pPr>
        <w:jc w:val="both"/>
        <w:rPr>
          <w:rFonts w:ascii="Arial" w:hAnsi="Arial" w:cs="Arial"/>
        </w:rPr>
      </w:pPr>
      <w:r w:rsidRPr="005F6B20">
        <w:rPr>
          <w:rFonts w:ascii="Arial" w:hAnsi="Arial" w:cs="Arial"/>
        </w:rPr>
        <w:t xml:space="preserve">Classical and neoclassical </w:t>
      </w:r>
      <w:r w:rsidR="004B6433">
        <w:rPr>
          <w:rFonts w:ascii="Arial" w:hAnsi="Arial" w:cs="Arial"/>
        </w:rPr>
        <w:t>models</w:t>
      </w:r>
      <w:r w:rsidRPr="005F6B20">
        <w:rPr>
          <w:rFonts w:ascii="Arial" w:hAnsi="Arial" w:cs="Arial"/>
        </w:rPr>
        <w:t xml:space="preserve"> argue that inflation is neutral in the long </w:t>
      </w:r>
      <w:r w:rsidR="004B6433">
        <w:rPr>
          <w:rFonts w:ascii="Arial" w:hAnsi="Arial" w:cs="Arial"/>
        </w:rPr>
        <w:t>term</w:t>
      </w:r>
      <w:r w:rsidRPr="005F6B20">
        <w:rPr>
          <w:rFonts w:ascii="Arial" w:hAnsi="Arial" w:cs="Arial"/>
        </w:rPr>
        <w:t xml:space="preserve">, influencing only nominal variables without affecting real output </w:t>
      </w:r>
      <w:r w:rsidR="00BD7FC2">
        <w:rPr>
          <w:rFonts w:ascii="Arial" w:hAnsi="Arial" w:cs="Arial"/>
        </w:rPr>
        <w:fldChar w:fldCharType="begin" w:fldLock="1"/>
      </w:r>
      <w:r w:rsidR="00BD7FC2">
        <w:rPr>
          <w:rFonts w:ascii="Arial" w:hAnsi="Arial" w:cs="Arial"/>
        </w:rPr>
        <w:instrText>ADDIN CSL_CITATION {"citationItems":[{"id":"ITEM-1","itemData":{"DOI":"10.1257/jep.32.1.121","author":[{"dropping-particle":"","family":"Hall","given":"Robert E","non-dropping-particle":"","parse-names":false,"suffix":""},{"dropping-particle":"","family":"Sargent","given":"Thomas J","non-dropping-particle":"","parse-names":false,"suffix":""}],"container-title":"Journal of Economic Perspectives","id":"ITEM-1","issue":"1","issued":{"date-parts":[["2018"]]},"page":"121-134","title":"Short-Run and Long-Run Effects of Milton Friedman's Presidential Address","type":"article-journal","volume":"32"},"uris":["http://www.mendeley.com/documents/?uuid=6d3ebaee-9f97-40ee-9925-ea3d158b37b3"]}],"mendeley":{"formattedCitation":"(Hall &amp; Sargent, 2018)","plainTextFormattedCitation":"(Hall &amp; Sargent, 2018)","previouslyFormattedCitation":"(Hall &amp; Sargent, 2018)"},"properties":{"noteIndex":0},"schema":"https://github.com/citation-style-language/schema/raw/master/csl-citation.json"}</w:instrText>
      </w:r>
      <w:r w:rsidR="00BD7FC2">
        <w:rPr>
          <w:rFonts w:ascii="Arial" w:hAnsi="Arial" w:cs="Arial"/>
        </w:rPr>
        <w:fldChar w:fldCharType="separate"/>
      </w:r>
      <w:r w:rsidR="00BD7FC2" w:rsidRPr="00BD7FC2">
        <w:rPr>
          <w:rFonts w:ascii="Arial" w:hAnsi="Arial" w:cs="Arial"/>
          <w:noProof/>
        </w:rPr>
        <w:t>(Hall &amp; Sargent, 2018)</w:t>
      </w:r>
      <w:r w:rsidR="00BD7FC2">
        <w:rPr>
          <w:rFonts w:ascii="Arial" w:hAnsi="Arial" w:cs="Arial"/>
        </w:rPr>
        <w:fldChar w:fldCharType="end"/>
      </w:r>
      <w:r w:rsidR="00BD7FC2">
        <w:rPr>
          <w:rFonts w:ascii="Arial" w:hAnsi="Arial" w:cs="Arial"/>
        </w:rPr>
        <w:t xml:space="preserve">. </w:t>
      </w:r>
      <w:r w:rsidRPr="005F6B20">
        <w:rPr>
          <w:rFonts w:ascii="Arial" w:hAnsi="Arial" w:cs="Arial"/>
        </w:rPr>
        <w:t>In contrast, structuralist and Keynesian perspectives emphasize that inflation, particularly at high levels, can distort investment decisions, erode</w:t>
      </w:r>
      <w:r w:rsidRPr="008960F0">
        <w:rPr>
          <w:rFonts w:ascii="Arial" w:hAnsi="Arial" w:cs="Arial"/>
        </w:rPr>
        <w:t xml:space="preserve"> purchasing power, and undermine growth, while moderate inflation may support economic activity by stimulating demand </w:t>
      </w:r>
      <w:r w:rsidRPr="008960F0">
        <w:rPr>
          <w:rFonts w:ascii="Arial" w:hAnsi="Arial" w:cs="Arial"/>
        </w:rPr>
        <w:fldChar w:fldCharType="begin" w:fldLock="1"/>
      </w:r>
      <w:r w:rsidR="00DB222C">
        <w:rPr>
          <w:rFonts w:ascii="Arial" w:hAnsi="Arial" w:cs="Arial"/>
        </w:rPr>
        <w:instrText>ADDIN CSL_CITATION {"citationItems":[{"id":"ITEM-1","itemData":{"DOI":"10.1093/cje/beae009","ISSN":"0309-166X","abstract":"The article proposes a typology of inflation regimes based on the Post-Keynesian and structuralist literature. We identify three separate regimes: the low, moderate and high inflation regimes. Hyperinflation is also defined and described. Each regime presents different characteristics. We identify the key role played by the distributive conflict between workers and capitalists in all the regimes, the role played by the indexation of wages on domestic prices in the moderate and high inflation regimes and the specific roles played by the widespread indexation on a short-term basis in the high inflation regime. Hyperinflation is explained by self-fulfilling prophecies about exchange rate variations and by the rejection of the domestic currency.","author":[{"dropping-particle":"","family":"Bastian","given":"Eduardo F","non-dropping-particle":"","parse-names":false,"suffix":""},{"dropping-particle":"","family":"Charles","given":"Sébastien","non-dropping-particle":"","parse-names":false,"suffix":""},{"dropping-particle":"","family":"Marie","given":"Jonathan","non-dropping-particle":"","parse-names":false,"suffix":""}],"container-title":"Cambridge Journal of Economics","id":"ITEM-1","issue":"4","issued":{"date-parts":[["2024","7","1"]]},"page":"681-708","title":"Inflation regimes and hyperinflation: a Post-Keynesian/structuralist typology","type":"article-journal","volume":"48"},"uris":["http://www.mendeley.com/documents/?uuid=7a43699e-6c63-408a-9084-8932bb962658"]}],"mendeley":{"formattedCitation":"(Bastian et al., 2024)","plainTextFormattedCitation":"(Bastian et al., 2024)","previouslyFormattedCitation":"(Bastian et al., 2024)"},"properties":{"noteIndex":0},"schema":"https://github.com/citation-style-language/schema/raw/master/csl-citation.json"}</w:instrText>
      </w:r>
      <w:r w:rsidRPr="008960F0">
        <w:rPr>
          <w:rFonts w:ascii="Arial" w:hAnsi="Arial" w:cs="Arial"/>
        </w:rPr>
        <w:fldChar w:fldCharType="separate"/>
      </w:r>
      <w:r w:rsidR="00DB222C" w:rsidRPr="00DB222C">
        <w:rPr>
          <w:rFonts w:ascii="Arial" w:hAnsi="Arial" w:cs="Arial"/>
          <w:noProof/>
        </w:rPr>
        <w:t>(Bastian et al., 2024)</w:t>
      </w:r>
      <w:r w:rsidRPr="008960F0">
        <w:rPr>
          <w:rFonts w:ascii="Arial" w:hAnsi="Arial" w:cs="Arial"/>
        </w:rPr>
        <w:fldChar w:fldCharType="end"/>
      </w:r>
      <w:r w:rsidRPr="008960F0">
        <w:rPr>
          <w:rFonts w:ascii="Arial" w:hAnsi="Arial" w:cs="Arial"/>
        </w:rPr>
        <w:t xml:space="preserve">. Empirical evidence has produced mixed results across countries and time periods, suggesting that the effect of inflation on </w:t>
      </w:r>
      <w:r w:rsidR="00A17AEA">
        <w:rPr>
          <w:rFonts w:ascii="Arial" w:hAnsi="Arial" w:cs="Arial"/>
        </w:rPr>
        <w:t>national output</w:t>
      </w:r>
      <w:r w:rsidRPr="008960F0">
        <w:rPr>
          <w:rFonts w:ascii="Arial" w:hAnsi="Arial" w:cs="Arial"/>
        </w:rPr>
        <w:t xml:space="preserve"> may not be linear and could vary depending on institutional, structural, and historical factors</w:t>
      </w:r>
      <w:r w:rsidR="00633824">
        <w:rPr>
          <w:rFonts w:ascii="Arial" w:hAnsi="Arial" w:cs="Arial"/>
        </w:rPr>
        <w:t>.</w:t>
      </w:r>
    </w:p>
    <w:p w14:paraId="7D0C2AC5" w14:textId="77777777" w:rsidR="00633824" w:rsidRPr="00633824" w:rsidRDefault="00633824" w:rsidP="008960F0">
      <w:pPr>
        <w:jc w:val="both"/>
        <w:rPr>
          <w:rFonts w:ascii="Arial" w:hAnsi="Arial" w:cs="Arial"/>
        </w:rPr>
      </w:pPr>
    </w:p>
    <w:p w14:paraId="2815D48C" w14:textId="0AF34F06" w:rsidR="00633824" w:rsidRPr="00633824" w:rsidRDefault="00633824" w:rsidP="00633824">
      <w:pPr>
        <w:jc w:val="both"/>
        <w:rPr>
          <w:rFonts w:ascii="Arial" w:hAnsi="Arial" w:cs="Arial"/>
        </w:rPr>
      </w:pPr>
      <w:r w:rsidRPr="00633824">
        <w:rPr>
          <w:rFonts w:ascii="Arial" w:hAnsi="Arial" w:cs="Arial"/>
        </w:rPr>
        <w:t xml:space="preserve">According to the findings of the </w:t>
      </w:r>
      <w:r w:rsidR="004B6433">
        <w:rPr>
          <w:rFonts w:ascii="Arial" w:hAnsi="Arial" w:cs="Arial"/>
        </w:rPr>
        <w:t>p</w:t>
      </w:r>
      <w:r w:rsidR="00A17AEA">
        <w:rPr>
          <w:rFonts w:ascii="Arial" w:hAnsi="Arial" w:cs="Arial"/>
        </w:rPr>
        <w:t>ast</w:t>
      </w:r>
      <w:r w:rsidR="004B6433">
        <w:rPr>
          <w:rFonts w:ascii="Arial" w:hAnsi="Arial" w:cs="Arial"/>
        </w:rPr>
        <w:t xml:space="preserve"> </w:t>
      </w:r>
      <w:r w:rsidRPr="00633824">
        <w:rPr>
          <w:rFonts w:ascii="Arial" w:hAnsi="Arial" w:cs="Arial"/>
        </w:rPr>
        <w:t>stud</w:t>
      </w:r>
      <w:r w:rsidR="004B6433">
        <w:rPr>
          <w:rFonts w:ascii="Arial" w:hAnsi="Arial" w:cs="Arial"/>
        </w:rPr>
        <w:t>ies</w:t>
      </w:r>
      <w:r w:rsidRPr="00633824">
        <w:rPr>
          <w:rFonts w:ascii="Arial" w:hAnsi="Arial" w:cs="Arial"/>
        </w:rPr>
        <w:t>, the threshold value is 4.182</w:t>
      </w:r>
      <w:r w:rsidR="00A17AEA">
        <w:rPr>
          <w:rFonts w:ascii="Arial" w:hAnsi="Arial" w:cs="Arial"/>
        </w:rPr>
        <w:t xml:space="preserve"> percent</w:t>
      </w:r>
      <w:r w:rsidRPr="00633824">
        <w:rPr>
          <w:rFonts w:ascii="Arial" w:hAnsi="Arial" w:cs="Arial"/>
        </w:rPr>
        <w:t xml:space="preserve"> in inflation-targeting countries: Below the threshold, the inflation-growth relationship is insignificant, and above the threshold, inflation affects economic growth negatively </w:t>
      </w:r>
      <w:r w:rsidRPr="00633824">
        <w:rPr>
          <w:rFonts w:ascii="Arial" w:hAnsi="Arial" w:cs="Arial"/>
        </w:rPr>
        <w:fldChar w:fldCharType="begin" w:fldLock="1"/>
      </w:r>
      <w:r w:rsidRPr="00633824">
        <w:rPr>
          <w:rFonts w:ascii="Arial" w:hAnsi="Arial" w:cs="Arial"/>
        </w:rPr>
        <w:instrText>ADDIN CSL_CITATION {"citationItems":[{"id":"ITEM-1","itemData":{"author":[{"dropping-particle":"","family":"Ekinci","given":"Ramazan","non-dropping-particle":"","parse-names":false,"suffix":""},{"dropping-particle":"","family":"Tuzun","given":"Osman","non-dropping-particle":"","parse-names":false,"suffix":""},{"dropping-particle":"","family":"Ceylan","given":"Fatih","non-dropping-particle":"","parse-names":false,"suffix":""}],"container-title":"Financial Studies","id":"ITEM-1","issue":"1","issued":{"date-parts":[["2020"]]},"page":"6-20","title":"The relationship between inflation and economic growth : Experiences of some inflation targeting countries ECONOMIC GROWTH : EXPERIENCES OF SOME","type":"article-journal","volume":"24"},"uris":["http://www.mendeley.com/documents/?uuid=e5652458-9087-4681-ac95-65869b0095c6"]}],"mendeley":{"formattedCitation":"(Ekinci et al., 2020)","plainTextFormattedCitation":"(Ekinci et al., 2020)","previouslyFormattedCitation":"(Ekinci et al., 2020)"},"properties":{"noteIndex":0},"schema":"https://github.com/citation-style-language/schema/raw/master/csl-citation.json"}</w:instrText>
      </w:r>
      <w:r w:rsidRPr="00633824">
        <w:rPr>
          <w:rFonts w:ascii="Arial" w:hAnsi="Arial" w:cs="Arial"/>
        </w:rPr>
        <w:fldChar w:fldCharType="separate"/>
      </w:r>
      <w:r w:rsidRPr="00633824">
        <w:rPr>
          <w:rFonts w:ascii="Arial" w:hAnsi="Arial" w:cs="Arial"/>
          <w:noProof/>
        </w:rPr>
        <w:t>(Ekinci et al., 2020)</w:t>
      </w:r>
      <w:r w:rsidRPr="00633824">
        <w:rPr>
          <w:rFonts w:ascii="Arial" w:hAnsi="Arial" w:cs="Arial"/>
        </w:rPr>
        <w:fldChar w:fldCharType="end"/>
      </w:r>
      <w:r w:rsidRPr="00633824">
        <w:rPr>
          <w:rFonts w:ascii="Arial" w:hAnsi="Arial" w:cs="Arial"/>
        </w:rPr>
        <w:t xml:space="preserve">. </w:t>
      </w:r>
      <w:r w:rsidR="00A17AEA">
        <w:rPr>
          <w:rFonts w:ascii="Arial" w:hAnsi="Arial" w:cs="Arial"/>
        </w:rPr>
        <w:t>In another study</w:t>
      </w:r>
      <w:r w:rsidRPr="00633824">
        <w:rPr>
          <w:rFonts w:ascii="Arial" w:hAnsi="Arial" w:cs="Arial"/>
        </w:rPr>
        <w:t xml:space="preserve">, </w:t>
      </w:r>
      <w:r w:rsidRPr="00633824">
        <w:rPr>
          <w:rFonts w:ascii="Arial" w:hAnsi="Arial" w:cs="Arial"/>
        </w:rPr>
        <w:fldChar w:fldCharType="begin" w:fldLock="1"/>
      </w:r>
      <w:r w:rsidR="00A17AEA">
        <w:rPr>
          <w:rFonts w:ascii="Arial" w:hAnsi="Arial" w:cs="Arial"/>
        </w:rPr>
        <w:instrText>ADDIN CSL_CITATION {"citationItems":[{"id":"ITEM-1","itemData":{"DOI":"10.1007/s00181-018-1479-7","ISSN":"1435-8921","abstract":"While a bulk of literature in the last two decades confirms a nonlinear relationship between inflation and output growth, the inflation thresholds above which it reduces output growth remain high for developing countries compared to their developed counterparts. Cukierman et al. (Am Econ Rev 82(3):537–555, 1992) posit that the developing economies observe strong political instability and polarization, which makes inflation tax optimal choice for these countries. This study empirically supports these views by using an innovative threshold model and system GMM approaches for a large panel of 113 economies over the period 1981–2015. Moreover, our results show a minimum level of institutional quality above which the inflation–growth relationship is negative and below it is nonexistent.","author":[{"dropping-particle":"","family":"Khan","given":"Muhammad","non-dropping-particle":"","parse-names":false,"suffix":""},{"dropping-particle":"","family":"Hanif","given":"Waqas","non-dropping-particle":"","parse-names":false,"suffix":""}],"container-title":"Empirical Economics","id":"ITEM-1","issue":"2","issued":{"date-parts":[["2020"]]},"page":"627-649","title":"Institutional quality and the relationship between inflation and economic growth","type":"article-journal","volume":"58"},"uris":["http://www.mendeley.com/documents/?uuid=71f722ab-1e3d-4064-a868-cb1e0b8ee6d4"]}],"mendeley":{"formattedCitation":"(Khan &amp; Hanif, 2020)","manualFormatting":"Khan &amp; Hanif (2020)","plainTextFormattedCitation":"(Khan &amp; Hanif, 2020)","previouslyFormattedCitation":"(Khan &amp; Hanif, 2020)"},"properties":{"noteIndex":0},"schema":"https://github.com/citation-style-language/schema/raw/master/csl-citation.json"}</w:instrText>
      </w:r>
      <w:r w:rsidRPr="00633824">
        <w:rPr>
          <w:rFonts w:ascii="Arial" w:hAnsi="Arial" w:cs="Arial"/>
        </w:rPr>
        <w:fldChar w:fldCharType="separate"/>
      </w:r>
      <w:r w:rsidRPr="00633824">
        <w:rPr>
          <w:rFonts w:ascii="Arial" w:hAnsi="Arial" w:cs="Arial"/>
          <w:noProof/>
        </w:rPr>
        <w:t>Khan &amp; Hanif</w:t>
      </w:r>
      <w:r w:rsidR="00A17AEA">
        <w:rPr>
          <w:rFonts w:ascii="Arial" w:hAnsi="Arial" w:cs="Arial"/>
          <w:noProof/>
        </w:rPr>
        <w:t xml:space="preserve"> (</w:t>
      </w:r>
      <w:r w:rsidRPr="00633824">
        <w:rPr>
          <w:rFonts w:ascii="Arial" w:hAnsi="Arial" w:cs="Arial"/>
          <w:noProof/>
        </w:rPr>
        <w:t>2020)</w:t>
      </w:r>
      <w:r w:rsidRPr="00633824">
        <w:rPr>
          <w:rFonts w:ascii="Arial" w:hAnsi="Arial" w:cs="Arial"/>
        </w:rPr>
        <w:fldChar w:fldCharType="end"/>
      </w:r>
      <w:r w:rsidRPr="00633824">
        <w:rPr>
          <w:rFonts w:ascii="Arial" w:hAnsi="Arial" w:cs="Arial"/>
        </w:rPr>
        <w:t xml:space="preserve"> investigated the non-linear relationship between inflation and economic growth by using an innovative threshold model and system GMM approaches for a large panel of 113 economies over the period 1981–2015. The results emphasized a minimum level of institutional quality above which the inflation–growth relationship is negative and below which it is nonexistent.</w:t>
      </w:r>
      <w:r w:rsidR="00B865FE">
        <w:rPr>
          <w:rFonts w:ascii="Arial" w:hAnsi="Arial" w:cs="Arial"/>
        </w:rPr>
        <w:t xml:space="preserve"> </w:t>
      </w:r>
      <w:r w:rsidR="00B865FE">
        <w:rPr>
          <w:rFonts w:ascii="Arial" w:hAnsi="Arial" w:cs="Arial"/>
        </w:rPr>
        <w:fldChar w:fldCharType="begin" w:fldLock="1"/>
      </w:r>
      <w:r w:rsidR="00BD7FC2">
        <w:rPr>
          <w:rFonts w:ascii="Arial" w:hAnsi="Arial" w:cs="Arial"/>
        </w:rPr>
        <w:instrText>ADDIN CSL_CITATION {"citationItems":[{"id":"ITEM-1","itemData":{"DOI":"https://doi.org/10.1111/saje.12249","ISSN":"0038-2280","abstract":"Abstract This paper presents one of the first empirical studies that employ the regression kink model with an unknown threshold to estimate the turning point in the relationship between inflation and economic growth. To deal with the asymptotic non-normality of the regression function, we use a numerical delta bootstrap method and inference methods in the construction of confidence intervals for the regression function. Our estimated threshold suggests that, in the Democratic Republic of Congo, inflation rates lower than 17.2% would drive economic growth, but any inflation rate beyond that threshold will harm the growth. The Congolese policymakers should be aware of this threshold in the implementation of any inflation-targeting policy instruments or strategies.","author":[{"dropping-particle":"","family":"Yemba","given":"Boniface","non-dropping-particle":"","parse-names":false,"suffix":""},{"dropping-particle":"","family":"Kitenge","given":"Erick","non-dropping-particle":"","parse-names":false,"suffix":""},{"dropping-particle":"","family":"Woodburne","given":"Paul","non-dropping-particle":"","parse-names":false,"suffix":""}],"container-title":"South African Journal of Economics","id":"ITEM-1","issue":"4","issued":{"date-parts":[["2020","12","1"]]},"page":"536-550","publisher":"John Wiley &amp; Sons, Ltd","title":"Non-linear Effects of Inflation on Economic Growth in the Democratic Republic of the Congo","type":"article-journal","volume":"88"},"uris":["http://www.mendeley.com/documents/?uuid=92a326d2-b202-4687-b87a-196e0c4039b2"]}],"mendeley":{"formattedCitation":"(Yemba et al., 2020)","plainTextFormattedCitation":"(Yemba et al., 2020)","previouslyFormattedCitation":"(Yemba et al., 2020)"},"properties":{"noteIndex":0},"schema":"https://github.com/citation-style-language/schema/raw/master/csl-citation.json"}</w:instrText>
      </w:r>
      <w:r w:rsidR="00B865FE">
        <w:rPr>
          <w:rFonts w:ascii="Arial" w:hAnsi="Arial" w:cs="Arial"/>
        </w:rPr>
        <w:fldChar w:fldCharType="separate"/>
      </w:r>
      <w:r w:rsidR="00B865FE" w:rsidRPr="00B865FE">
        <w:rPr>
          <w:rFonts w:ascii="Arial" w:hAnsi="Arial" w:cs="Arial"/>
          <w:noProof/>
        </w:rPr>
        <w:t>(Yemba et al., 2020)</w:t>
      </w:r>
      <w:r w:rsidR="00B865FE">
        <w:rPr>
          <w:rFonts w:ascii="Arial" w:hAnsi="Arial" w:cs="Arial"/>
        </w:rPr>
        <w:fldChar w:fldCharType="end"/>
      </w:r>
      <w:r w:rsidR="00B865FE">
        <w:rPr>
          <w:rFonts w:ascii="Arial" w:hAnsi="Arial" w:cs="Arial"/>
        </w:rPr>
        <w:t xml:space="preserve"> </w:t>
      </w:r>
      <w:r w:rsidR="00BD7FC2">
        <w:rPr>
          <w:rFonts w:ascii="Arial" w:hAnsi="Arial" w:cs="Arial"/>
        </w:rPr>
        <w:t xml:space="preserve">found that, </w:t>
      </w:r>
      <w:r w:rsidR="00BD7FC2" w:rsidRPr="00BD7FC2">
        <w:rPr>
          <w:rFonts w:ascii="Arial" w:hAnsi="Arial" w:cs="Arial"/>
        </w:rPr>
        <w:t>in the Democratic Republic of Congo, inflation rates below 17.2% support economic growth, whereas rates exceeding this level undermine it.</w:t>
      </w:r>
    </w:p>
    <w:p w14:paraId="6887D7CC" w14:textId="77777777" w:rsidR="00633824" w:rsidRPr="00633824" w:rsidRDefault="00633824" w:rsidP="00633824">
      <w:pPr>
        <w:jc w:val="both"/>
        <w:rPr>
          <w:rFonts w:ascii="Arial" w:hAnsi="Arial" w:cs="Arial"/>
        </w:rPr>
      </w:pPr>
    </w:p>
    <w:p w14:paraId="30491586" w14:textId="0D5998C2" w:rsidR="00633824" w:rsidRPr="00633824" w:rsidRDefault="00633824" w:rsidP="008960F0">
      <w:pPr>
        <w:jc w:val="both"/>
        <w:rPr>
          <w:rFonts w:ascii="Arial" w:hAnsi="Arial" w:cs="Arial"/>
        </w:rPr>
      </w:pPr>
      <w:r w:rsidRPr="00633824">
        <w:rPr>
          <w:rFonts w:ascii="Arial" w:hAnsi="Arial" w:cs="Arial"/>
        </w:rPr>
        <w:fldChar w:fldCharType="begin" w:fldLock="1"/>
      </w:r>
      <w:r w:rsidR="00BD7FC2">
        <w:rPr>
          <w:rFonts w:ascii="Arial" w:hAnsi="Arial" w:cs="Arial"/>
        </w:rPr>
        <w:instrText>ADDIN CSL_CITATION {"citationItems":[{"id":"ITEM-1","itemData":{"DOI":"10.1007/s00181-023-02473-z","ISSN":"1435-8921","abstract":"Since the 1990s, central banks in many industrialized and developing countries have adopted similar policy strategies for stabilizing inflation. In this context, it has been argued that during common policy periods, the relationships between inflation, output growth, and their uncertainties are stable and more uniform across countries. We intend to verify this for 19 countries using both linear and non-linear bivariate GARCH-in-mean models. According to our findings, the non-linear regime-dependent model performs better in most of the sampled countries. It has been observed that inflation uncertainty has a significant impact on inflation, particularly in developing countries. Nominal and real uncertainty affect output growth primarily during periods of economic contraction. Although nominal uncertainty inhibits output growth, real uncertainty has mixed effects. In most countries, negative growth shocks result in greater output growth volatility than positive growth shocks. Furthermore, in some countries, output growth significantly increases inflation only in high-inflation regimes.","author":[{"dropping-particle":"","family":"Chowdhury","given":"Kushal Banik","non-dropping-particle":"","parse-names":false,"suffix":""}],"container-title":"Empirical Economics","id":"ITEM-1","issue":"2","issued":{"date-parts":[["2024"]]},"page":"623-650","title":"Relationships between inflation, output growth, and uncertainty in the era of inflation stabilization: a multicountry study","type":"article-journal","volume":"66"},"uris":["http://www.mendeley.com/documents/?uuid=f4cfa468-2a79-4b47-9ef9-b62d4a1a5bac"]}],"mendeley":{"formattedCitation":"(Chowdhury, 2024)","manualFormatting":"K. B. Chowdhury (2024)","plainTextFormattedCitation":"(Chowdhury, 2024)","previouslyFormattedCitation":"(Chowdhury, 2024)"},"properties":{"noteIndex":0},"schema":"https://github.com/citation-style-language/schema/raw/master/csl-citation.json"}</w:instrText>
      </w:r>
      <w:r w:rsidRPr="00633824">
        <w:rPr>
          <w:rFonts w:ascii="Arial" w:hAnsi="Arial" w:cs="Arial"/>
        </w:rPr>
        <w:fldChar w:fldCharType="separate"/>
      </w:r>
      <w:r w:rsidR="00850A62" w:rsidRPr="00850A62">
        <w:rPr>
          <w:rFonts w:ascii="Arial" w:hAnsi="Arial" w:cs="Arial"/>
          <w:noProof/>
        </w:rPr>
        <w:t>K. B. Chowdhury</w:t>
      </w:r>
      <w:r w:rsidR="004B6433">
        <w:rPr>
          <w:rFonts w:ascii="Arial" w:hAnsi="Arial" w:cs="Arial"/>
          <w:noProof/>
        </w:rPr>
        <w:t xml:space="preserve"> (</w:t>
      </w:r>
      <w:r w:rsidR="00850A62" w:rsidRPr="00850A62">
        <w:rPr>
          <w:rFonts w:ascii="Arial" w:hAnsi="Arial" w:cs="Arial"/>
          <w:noProof/>
        </w:rPr>
        <w:t>2024)</w:t>
      </w:r>
      <w:r w:rsidRPr="00633824">
        <w:rPr>
          <w:rFonts w:ascii="Arial" w:hAnsi="Arial" w:cs="Arial"/>
        </w:rPr>
        <w:fldChar w:fldCharType="end"/>
      </w:r>
      <w:r w:rsidRPr="00633824">
        <w:rPr>
          <w:rFonts w:ascii="Arial" w:hAnsi="Arial" w:cs="Arial"/>
        </w:rPr>
        <w:t xml:space="preserve"> </w:t>
      </w:r>
      <w:r w:rsidR="004B6433">
        <w:rPr>
          <w:rFonts w:ascii="Arial" w:hAnsi="Arial" w:cs="Arial"/>
        </w:rPr>
        <w:t>demonstrated</w:t>
      </w:r>
      <w:r w:rsidRPr="00633824">
        <w:rPr>
          <w:rFonts w:ascii="Arial" w:hAnsi="Arial" w:cs="Arial"/>
        </w:rPr>
        <w:t xml:space="preserve"> that nominal and real uncertainty affect output growth primarily during periods of economic contraction. Although nominal uncertainty inhibits output growth, real uncertainty has mixed effects. In most countries, negative growth shocks result in greater output growth volatility than positive growth shocks. </w:t>
      </w:r>
      <w:r w:rsidRPr="00633824">
        <w:rPr>
          <w:rFonts w:ascii="Arial" w:hAnsi="Arial" w:cs="Arial"/>
        </w:rPr>
        <w:fldChar w:fldCharType="begin" w:fldLock="1"/>
      </w:r>
      <w:r w:rsidR="00A17AEA">
        <w:rPr>
          <w:rFonts w:ascii="Arial" w:hAnsi="Arial" w:cs="Arial"/>
        </w:rPr>
        <w:instrText>ADDIN CSL_CITATION {"citationItems":[{"id":"ITEM-1","itemData":{"DOI":"https://doi.org/10.1016/j.jefas.2015.01.003","ISSN":"2077-1886","abstract":"The relationship between inflation and economic growth is a contentious issue. The present study is undertaking to test hypothesis that the relationship between inflation and economic growth is nonlinear. This pane data study involves ASEAN-5 countries over the period 1980–2011. Panel Smooth Transition Regression (PSTR) model is employed to estimate the threshold of inflation and its effects on economic growth. Furthermore, we also check robustness by using GMM-IV specification. The study finds that there exists a statistically significant negative relationship between inflation and growth for the inflation rates above the threshold level of 7.84%, above which inflation starts impeding economic growth in the ASEAN-5 countries. The results suggest that central banks in the ASEAN-5 countries could improve economic growth by reducing inflation when it is above or near the estimated thresholds. The threshold inflation level can be considered, therefore, as inflation targeting indicator to conduct monetary policy. Resumen La relación entre la inflación y el crecimiento económico es una cuestión polémica. El presente estudio trata de probar la hipótesis de no linealidad la relación entre la inflación y el crecimiento económico. Este estudio de regresión fluida incluye a los países ASEAN-5 durante el periodo 1980–2011. Se utiliza el modelo -Panel Smooth Transition Regression (PSTR)- para calcular el umbral de la inflación y sus efectos sobre el crecimiento económico. Además, revisamos también la solidez utilizando la especificación GMM-IV. El estudio encuentra que existe una relación negativa estadísticamente significativa entre la inflación y el crecimiento para las tasas de inflación superiores al umbral del 7.84%, por encima del cual la inflación impide el crecimiento económico en los países del sudeste asiático. Los resultados sugieren que los bancos centrales de estos países podrían mejorar el crecimiento económico mediante la reducción de la inflación, cuando esta es superior o cercana a los umbrales estimados. Por tanto, el nivel umbral de la inflación puede considerarse como un indicador objetivo de la misma para la realización de las políticas monetarias.","author":[{"dropping-particle":"","family":"Thanh","given":"Su Dinh","non-dropping-particle":"","parse-names":false,"suffix":""}],"container-title":"Journal of Economics, Finance and Administrative Science","id":"ITEM-1","issue":"38","issued":{"date-parts":[["2015"]]},"page":"41-48","title":"Threshold effects of inflation on growth in the ASEAN-5 countries: A Panel Smooth Transition Regression approach","type":"article-journal","volume":"20"},"uris":["http://www.mendeley.com/documents/?uuid=831aac86-fa21-49e1-a000-8ddc46e6a74b"]}],"mendeley":{"formattedCitation":"(Thanh, 2015)","manualFormatting":"Thanh (2015)","plainTextFormattedCitation":"(Thanh, 2015)","previouslyFormattedCitation":"(Thanh, 2015)"},"properties":{"noteIndex":0},"schema":"https://github.com/citation-style-language/schema/raw/master/csl-citation.json"}</w:instrText>
      </w:r>
      <w:r w:rsidRPr="00633824">
        <w:rPr>
          <w:rFonts w:ascii="Arial" w:hAnsi="Arial" w:cs="Arial"/>
        </w:rPr>
        <w:fldChar w:fldCharType="separate"/>
      </w:r>
      <w:r w:rsidR="00434B2C" w:rsidRPr="00434B2C">
        <w:rPr>
          <w:rFonts w:ascii="Arial" w:hAnsi="Arial" w:cs="Arial"/>
          <w:noProof/>
        </w:rPr>
        <w:t>Thanh</w:t>
      </w:r>
      <w:r w:rsidR="00A17AEA">
        <w:rPr>
          <w:rFonts w:ascii="Arial" w:hAnsi="Arial" w:cs="Arial"/>
          <w:noProof/>
        </w:rPr>
        <w:t xml:space="preserve"> (</w:t>
      </w:r>
      <w:r w:rsidR="00434B2C" w:rsidRPr="00434B2C">
        <w:rPr>
          <w:rFonts w:ascii="Arial" w:hAnsi="Arial" w:cs="Arial"/>
          <w:noProof/>
        </w:rPr>
        <w:t>2015)</w:t>
      </w:r>
      <w:r w:rsidRPr="00633824">
        <w:rPr>
          <w:rFonts w:ascii="Arial" w:hAnsi="Arial" w:cs="Arial"/>
        </w:rPr>
        <w:fldChar w:fldCharType="end"/>
      </w:r>
      <w:r w:rsidRPr="00633824">
        <w:rPr>
          <w:rFonts w:ascii="Arial" w:hAnsi="Arial" w:cs="Arial"/>
        </w:rPr>
        <w:t xml:space="preserve"> employed a Panel Smooth Transition Regression (PSTR) </w:t>
      </w:r>
      <w:r w:rsidR="00B865FE">
        <w:rPr>
          <w:rFonts w:ascii="Arial" w:hAnsi="Arial" w:cs="Arial"/>
        </w:rPr>
        <w:t>procedure</w:t>
      </w:r>
      <w:r w:rsidRPr="00633824">
        <w:rPr>
          <w:rFonts w:ascii="Arial" w:hAnsi="Arial" w:cs="Arial"/>
        </w:rPr>
        <w:t xml:space="preserve"> to determine the inflation threshold and its impact on economic growth. The results indicate a statistically significant negative effect of inflation on economic growth once inflation exceeds the 7.84% threshold, beyond which inflation begins to hinder growth in </w:t>
      </w:r>
      <w:r>
        <w:rPr>
          <w:rFonts w:ascii="Arial" w:hAnsi="Arial" w:cs="Arial"/>
        </w:rPr>
        <w:t>ASEAN.</w:t>
      </w:r>
      <w:r w:rsidRPr="00633824">
        <w:rPr>
          <w:rFonts w:ascii="Arial" w:hAnsi="Arial" w:cs="Arial"/>
        </w:rPr>
        <w:t xml:space="preserve"> </w:t>
      </w:r>
      <w:r w:rsidRPr="00633824">
        <w:rPr>
          <w:rFonts w:ascii="Arial" w:hAnsi="Arial" w:cs="Arial"/>
        </w:rPr>
        <w:fldChar w:fldCharType="begin" w:fldLock="1"/>
      </w:r>
      <w:r w:rsidR="00434B2C">
        <w:rPr>
          <w:rFonts w:ascii="Arial" w:hAnsi="Arial" w:cs="Arial"/>
        </w:rPr>
        <w:instrText>ADDIN CSL_CITATION {"citationItems":[{"id":"ITEM-1","itemData":{"author":[{"dropping-particle":"","family":"Glawe","given":"Linda","non-dropping-particle":"","parse-names":false,"suffix":""},{"dropping-particle":"","family":"Saadaoui","given":"Jamel","non-dropping-particle":"","parse-names":false,"suffix":""},{"dropping-particle":"","family":"Xu","given":"Can","non-dropping-particle":"","parse-names":false,"suffix":""}],"id":"ITEM-1","issued":{"date-parts":[["2025"]]},"title":"Nonlinearities in the Inflation-Growth Relationship and the Role of Uncertainty: Evidence from China’s Provinces (December 22, 2024)","type":"report"},"uris":["http://www.mendeley.com/documents/?uuid=337e1740-269a-4326-b075-a56ed0398f23"]}],"mendeley":{"formattedCitation":"(Glawe et al., 2025)","manualFormatting":"Glawe et al. (2025)","plainTextFormattedCitation":"(Glawe et al., 2025)","previouslyFormattedCitation":"(Glawe et al., 2025)"},"properties":{"noteIndex":0},"schema":"https://github.com/citation-style-language/schema/raw/master/csl-citation.json"}</w:instrText>
      </w:r>
      <w:r w:rsidRPr="00633824">
        <w:rPr>
          <w:rFonts w:ascii="Arial" w:hAnsi="Arial" w:cs="Arial"/>
        </w:rPr>
        <w:fldChar w:fldCharType="separate"/>
      </w:r>
      <w:r w:rsidRPr="00633824">
        <w:rPr>
          <w:rFonts w:ascii="Arial" w:hAnsi="Arial" w:cs="Arial"/>
          <w:noProof/>
        </w:rPr>
        <w:t>Glawe et al.</w:t>
      </w:r>
      <w:r w:rsidR="004B6433">
        <w:rPr>
          <w:rFonts w:ascii="Arial" w:hAnsi="Arial" w:cs="Arial"/>
          <w:noProof/>
        </w:rPr>
        <w:t xml:space="preserve"> (</w:t>
      </w:r>
      <w:r w:rsidRPr="00633824">
        <w:rPr>
          <w:rFonts w:ascii="Arial" w:hAnsi="Arial" w:cs="Arial"/>
          <w:noProof/>
        </w:rPr>
        <w:t>2025)</w:t>
      </w:r>
      <w:r w:rsidRPr="00633824">
        <w:rPr>
          <w:rFonts w:ascii="Arial" w:hAnsi="Arial" w:cs="Arial"/>
        </w:rPr>
        <w:fldChar w:fldCharType="end"/>
      </w:r>
      <w:r w:rsidRPr="00633824">
        <w:rPr>
          <w:rFonts w:ascii="Arial" w:hAnsi="Arial" w:cs="Arial"/>
        </w:rPr>
        <w:t xml:space="preserve"> </w:t>
      </w:r>
      <w:r w:rsidR="004B6433">
        <w:rPr>
          <w:rFonts w:ascii="Arial" w:hAnsi="Arial" w:cs="Arial"/>
        </w:rPr>
        <w:t>reported</w:t>
      </w:r>
      <w:r w:rsidRPr="00633824">
        <w:rPr>
          <w:rFonts w:ascii="Arial" w:hAnsi="Arial" w:cs="Arial"/>
        </w:rPr>
        <w:t xml:space="preserve"> that growth effects of inflation vary with inflation regimes and identified </w:t>
      </w:r>
      <w:r>
        <w:rPr>
          <w:rFonts w:ascii="Arial" w:hAnsi="Arial" w:cs="Arial"/>
        </w:rPr>
        <w:t xml:space="preserve">the </w:t>
      </w:r>
      <w:r w:rsidRPr="00633824">
        <w:rPr>
          <w:rFonts w:ascii="Arial" w:hAnsi="Arial" w:cs="Arial"/>
        </w:rPr>
        <w:t xml:space="preserve">regime cutoff. </w:t>
      </w:r>
    </w:p>
    <w:p w14:paraId="60A04E25" w14:textId="77777777" w:rsidR="008960F0" w:rsidRPr="00633824" w:rsidRDefault="008960F0" w:rsidP="008960F0">
      <w:pPr>
        <w:jc w:val="both"/>
        <w:rPr>
          <w:rFonts w:ascii="Arial" w:hAnsi="Arial" w:cs="Arial"/>
        </w:rPr>
      </w:pPr>
    </w:p>
    <w:p w14:paraId="5CFF4659" w14:textId="341B6E10" w:rsidR="008960F0" w:rsidRDefault="008960F0" w:rsidP="008960F0">
      <w:pPr>
        <w:jc w:val="both"/>
        <w:rPr>
          <w:rFonts w:ascii="Arial" w:hAnsi="Arial" w:cs="Arial"/>
        </w:rPr>
      </w:pPr>
      <w:r w:rsidRPr="008960F0">
        <w:rPr>
          <w:rFonts w:ascii="Arial" w:hAnsi="Arial" w:cs="Arial"/>
        </w:rPr>
        <w:t>In the c</w:t>
      </w:r>
      <w:r>
        <w:rPr>
          <w:rFonts w:ascii="Arial" w:hAnsi="Arial" w:cs="Arial"/>
        </w:rPr>
        <w:t>ontext</w:t>
      </w:r>
      <w:r w:rsidRPr="008960F0">
        <w:rPr>
          <w:rFonts w:ascii="Arial" w:hAnsi="Arial" w:cs="Arial"/>
        </w:rPr>
        <w:t xml:space="preserve"> of </w:t>
      </w:r>
      <w:r w:rsidR="003E163A">
        <w:rPr>
          <w:rFonts w:ascii="Arial" w:hAnsi="Arial" w:cs="Arial"/>
        </w:rPr>
        <w:t>an empirical case</w:t>
      </w:r>
      <w:r w:rsidRPr="008960F0">
        <w:rPr>
          <w:rFonts w:ascii="Arial" w:hAnsi="Arial" w:cs="Arial"/>
        </w:rPr>
        <w:t>, th</w:t>
      </w:r>
      <w:r>
        <w:rPr>
          <w:rFonts w:ascii="Arial" w:hAnsi="Arial" w:cs="Arial"/>
        </w:rPr>
        <w:t>e</w:t>
      </w:r>
      <w:r w:rsidRPr="008960F0">
        <w:rPr>
          <w:rFonts w:ascii="Arial" w:hAnsi="Arial" w:cs="Arial"/>
        </w:rPr>
        <w:t xml:space="preserve"> debate </w:t>
      </w:r>
      <w:r>
        <w:rPr>
          <w:rFonts w:ascii="Arial" w:hAnsi="Arial" w:cs="Arial"/>
        </w:rPr>
        <w:t xml:space="preserve">on the nexus between inflation and economic growth </w:t>
      </w:r>
      <w:r w:rsidRPr="008960F0">
        <w:rPr>
          <w:rFonts w:ascii="Arial" w:hAnsi="Arial" w:cs="Arial"/>
        </w:rPr>
        <w:t>remains highly relevan</w:t>
      </w:r>
      <w:r w:rsidR="003E163A">
        <w:rPr>
          <w:rFonts w:ascii="Arial" w:hAnsi="Arial" w:cs="Arial"/>
        </w:rPr>
        <w:t>t, including in Indonesia</w:t>
      </w:r>
      <w:r w:rsidRPr="008960F0">
        <w:rPr>
          <w:rFonts w:ascii="Arial" w:hAnsi="Arial" w:cs="Arial"/>
        </w:rPr>
        <w:t xml:space="preserve">. While </w:t>
      </w:r>
      <w:r w:rsidR="003E163A">
        <w:rPr>
          <w:rFonts w:ascii="Arial" w:hAnsi="Arial" w:cs="Arial"/>
        </w:rPr>
        <w:t xml:space="preserve">past </w:t>
      </w:r>
      <w:r w:rsidRPr="008960F0">
        <w:rPr>
          <w:rFonts w:ascii="Arial" w:hAnsi="Arial" w:cs="Arial"/>
        </w:rPr>
        <w:t>studies have examined the inflation–growth nexus in Indonesia, most rely on linear frameworks or neglect the role of structural breaks in shaping long-run dynamics</w:t>
      </w:r>
      <w:r>
        <w:rPr>
          <w:rFonts w:ascii="Arial" w:hAnsi="Arial" w:cs="Arial"/>
        </w:rPr>
        <w:t xml:space="preserve"> </w:t>
      </w:r>
      <w:r w:rsidR="00DB222C">
        <w:rPr>
          <w:rFonts w:ascii="Arial" w:hAnsi="Arial" w:cs="Arial"/>
        </w:rPr>
        <w:fldChar w:fldCharType="begin" w:fldLock="1"/>
      </w:r>
      <w:r w:rsidR="00B865FE">
        <w:rPr>
          <w:rFonts w:ascii="Arial" w:hAnsi="Arial" w:cs="Arial"/>
        </w:rPr>
        <w:instrText>ADDIN CSL_CITATION {"citationItems":[{"id":"ITEM-1","itemData":{"DOI":"10.2991/978-94-6463-758-8_20","ISBN":"9789464637588","author":[{"dropping-particle":"","family":"Taliding","given":"Arianto","non-dropping-particle":"","parse-names":false,"suffix":""},{"dropping-particle":"","family":"Paddu","given":"Abdul Hamid","non-dropping-particle":"","parse-names":false,"suffix":""},{"dropping-particle":"","family":"Anwar","given":"Anas Iswanto","non-dropping-particle":"","parse-names":false,"suffix":""},{"dropping-particle":"","family":"Sabir","given":"Sabir","non-dropping-particle":"","parse-names":false,"suffix":""}],"container-title":"Proceedings of the 9th International Conference on Accounting, Management, and Economics 2024 (ICAME 2024)","id":"ITEM-1","issue":"Icame 2024","issued":{"date-parts":[["2025"]]},"publisher":"Atlantis Press International BV","title":"The Effect of Inflation and Interest Rates on Economic Growth in Indonesia","type":"paper-conference","volume":"2024"},"uris":["http://www.mendeley.com/documents/?uuid=f776b49f-e6f2-4a12-96b6-cd8a1d402412"]}],"mendeley":{"formattedCitation":"(Taliding et al., 2025)","manualFormatting":"(Taliding et al., 2025","plainTextFormattedCitation":"(Taliding et al., 2025)","previouslyFormattedCitation":"(Taliding et al., 2025)"},"properties":{"noteIndex":0},"schema":"https://github.com/citation-style-language/schema/raw/master/csl-citation.json"}</w:instrText>
      </w:r>
      <w:r w:rsidR="00DB222C">
        <w:rPr>
          <w:rFonts w:ascii="Arial" w:hAnsi="Arial" w:cs="Arial"/>
        </w:rPr>
        <w:fldChar w:fldCharType="separate"/>
      </w:r>
      <w:r w:rsidR="00434B2C" w:rsidRPr="00434B2C">
        <w:rPr>
          <w:rFonts w:ascii="Arial" w:hAnsi="Arial" w:cs="Arial"/>
          <w:noProof/>
        </w:rPr>
        <w:t>(Taliding et al., 2025</w:t>
      </w:r>
      <w:r w:rsidR="00DB222C">
        <w:rPr>
          <w:rFonts w:ascii="Arial" w:hAnsi="Arial" w:cs="Arial"/>
        </w:rPr>
        <w:fldChar w:fldCharType="end"/>
      </w:r>
      <w:r w:rsidR="004B6433">
        <w:rPr>
          <w:rFonts w:ascii="Arial" w:hAnsi="Arial" w:cs="Arial"/>
        </w:rPr>
        <w:t xml:space="preserve">: </w:t>
      </w:r>
      <w:r w:rsidR="00DB222C">
        <w:rPr>
          <w:rFonts w:ascii="Arial" w:hAnsi="Arial" w:cs="Arial"/>
        </w:rPr>
        <w:fldChar w:fldCharType="begin" w:fldLock="1"/>
      </w:r>
      <w:r w:rsidR="00B865FE">
        <w:rPr>
          <w:rFonts w:ascii="Arial" w:hAnsi="Arial" w:cs="Arial"/>
        </w:rPr>
        <w:instrText>ADDIN CSL_CITATION {"citationItems":[{"id":"ITEM-1","itemData":{"DOI":"doi.org/10.14710/jdep.2.1.15-29","author":[{"dropping-particle":"","family":"Murjani","given":"Ahmadi","non-dropping-particle":"","parse-names":false,"suffix":""}],"container-title":"Jurnal Dinamika Ekonomi Pembangunan","id":"ITEM-1","issue":"1","issued":{"date-parts":[["2019"]]},"title":"Short-run and long-run impact of inflation, unemployment, and economic growth towards poverty in indonesia: ardl approach","type":"article-journal","volume":"2"},"uris":["http://www.mendeley.com/documents/?uuid=39ca05f8-873f-4ff3-956a-5849ad745bb0"]}],"mendeley":{"formattedCitation":"(Murjani, 2019)","manualFormatting":"Murjani, 2019","plainTextFormattedCitation":"(Murjani, 2019)","previouslyFormattedCitation":"(Murjani, 2019)"},"properties":{"noteIndex":0},"schema":"https://github.com/citation-style-language/schema/raw/master/csl-citation.json"}</w:instrText>
      </w:r>
      <w:r w:rsidR="00DB222C">
        <w:rPr>
          <w:rFonts w:ascii="Arial" w:hAnsi="Arial" w:cs="Arial"/>
        </w:rPr>
        <w:fldChar w:fldCharType="separate"/>
      </w:r>
      <w:r w:rsidR="00434B2C" w:rsidRPr="00434B2C">
        <w:rPr>
          <w:rFonts w:ascii="Arial" w:hAnsi="Arial" w:cs="Arial"/>
          <w:noProof/>
        </w:rPr>
        <w:t>Murjani, 2019</w:t>
      </w:r>
      <w:r w:rsidR="00DB222C">
        <w:rPr>
          <w:rFonts w:ascii="Arial" w:hAnsi="Arial" w:cs="Arial"/>
        </w:rPr>
        <w:fldChar w:fldCharType="end"/>
      </w:r>
      <w:r w:rsidR="004B6433">
        <w:rPr>
          <w:rFonts w:ascii="Arial" w:hAnsi="Arial" w:cs="Arial"/>
        </w:rPr>
        <w:t xml:space="preserve">: </w:t>
      </w:r>
      <w:r w:rsidR="00296B03">
        <w:rPr>
          <w:rFonts w:ascii="Arial" w:hAnsi="Arial" w:cs="Arial"/>
        </w:rPr>
        <w:fldChar w:fldCharType="begin" w:fldLock="1"/>
      </w:r>
      <w:r w:rsidR="00B865FE">
        <w:rPr>
          <w:rFonts w:ascii="Arial" w:hAnsi="Arial" w:cs="Arial"/>
        </w:rPr>
        <w:instrText>ADDIN CSL_CITATION {"citationItems":[{"id":"ITEM-1","itemData":{"author":[{"dropping-particle":"","family":"Lutfiah","given":"Zahrotul","non-dropping-particle":"","parse-names":false,"suffix":""},{"dropping-particle":"","family":"Ningsih","given":"Utry Setiyo","non-dropping-particle":"","parse-names":false,"suffix":""},{"dropping-particle":"","family":"Abrahem","given":"Masuwd Mowafg","non-dropping-particle":"","parse-names":false,"suffix":""}],"container-title":"Journal of Islamic Economics, Finance and Business","id":"ITEM-1","issue":"2","issued":{"date-parts":[["2025"]]},"page":"1-13","title":"The Impact of Tax Revenue and Inflation Rate on Economic Growth in Indonesia","type":"article-journal","volume":"1"},"uris":["http://www.mendeley.com/documents/?uuid=7b70686e-107a-4436-aa5a-2b21d6613973"]}],"mendeley":{"formattedCitation":"(Lutfiah et al., 2025)","manualFormatting":"Lutfiah et al., 2025)","plainTextFormattedCitation":"(Lutfiah et al., 2025)","previouslyFormattedCitation":"(Lutfiah et al., 2025)"},"properties":{"noteIndex":0},"schema":"https://github.com/citation-style-language/schema/raw/master/csl-citation.json"}</w:instrText>
      </w:r>
      <w:r w:rsidR="00296B03">
        <w:rPr>
          <w:rFonts w:ascii="Arial" w:hAnsi="Arial" w:cs="Arial"/>
        </w:rPr>
        <w:fldChar w:fldCharType="separate"/>
      </w:r>
      <w:r w:rsidR="00434B2C" w:rsidRPr="00434B2C">
        <w:rPr>
          <w:rFonts w:ascii="Arial" w:hAnsi="Arial" w:cs="Arial"/>
          <w:noProof/>
        </w:rPr>
        <w:t>Lutfiah et al., 2025)</w:t>
      </w:r>
      <w:r w:rsidR="00296B03">
        <w:rPr>
          <w:rFonts w:ascii="Arial" w:hAnsi="Arial" w:cs="Arial"/>
        </w:rPr>
        <w:fldChar w:fldCharType="end"/>
      </w:r>
      <w:r w:rsidRPr="008960F0">
        <w:rPr>
          <w:rFonts w:ascii="Arial" w:hAnsi="Arial" w:cs="Arial"/>
        </w:rPr>
        <w:t xml:space="preserve">. Such </w:t>
      </w:r>
      <w:r w:rsidR="00296B03">
        <w:rPr>
          <w:rFonts w:ascii="Arial" w:hAnsi="Arial" w:cs="Arial"/>
        </w:rPr>
        <w:t>methods</w:t>
      </w:r>
      <w:r w:rsidRPr="008960F0">
        <w:rPr>
          <w:rFonts w:ascii="Arial" w:hAnsi="Arial" w:cs="Arial"/>
        </w:rPr>
        <w:t xml:space="preserve"> may overlook critical threshold effects and regime shifts that alter </w:t>
      </w:r>
      <w:r w:rsidRPr="008960F0">
        <w:rPr>
          <w:rFonts w:ascii="Arial" w:hAnsi="Arial" w:cs="Arial"/>
        </w:rPr>
        <w:lastRenderedPageBreak/>
        <w:t xml:space="preserve">the nature of the </w:t>
      </w:r>
      <w:r w:rsidR="00296B03">
        <w:rPr>
          <w:rFonts w:ascii="Arial" w:hAnsi="Arial" w:cs="Arial"/>
        </w:rPr>
        <w:t>linkage</w:t>
      </w:r>
      <w:r w:rsidRPr="008960F0">
        <w:rPr>
          <w:rFonts w:ascii="Arial" w:hAnsi="Arial" w:cs="Arial"/>
        </w:rPr>
        <w:t xml:space="preserve">. </w:t>
      </w:r>
      <w:r w:rsidR="00B865FE">
        <w:rPr>
          <w:rFonts w:ascii="Arial" w:hAnsi="Arial" w:cs="Arial"/>
        </w:rPr>
        <w:fldChar w:fldCharType="begin" w:fldLock="1"/>
      </w:r>
      <w:r w:rsidR="00B865FE">
        <w:rPr>
          <w:rFonts w:ascii="Arial" w:hAnsi="Arial" w:cs="Arial"/>
        </w:rPr>
        <w:instrText>ADDIN CSL_CITATION {"citationItems":[{"id":"ITEM-1","itemData":{"DOI":"10.1007/s13132-024-02104-7","ISSN":"1868-7873","abstract":"This paper focuses on the analysis of the relationship between inflation and economic growth, using a sample of 32 sub-Saharan African (SSA) countries, over the period 2002-2021. Beyond a linear association widely discussed in the literature, we are particularly interested in testing a non-linear relationship, using the democracy level as the moderating variable. Empirically, we use a renovated framework of González et al. (2005) by using a panel smooth transition regression (PSTR) model. Our strategy validates the non-linearity between inflation and economic growth, with the presence of a single transition function, reflecting two inflation regimes, namely a low-inflation regime in which economic growth is an increasing function of inflation, and a high-inflation regime in which the inverse relationship is observed. On this basis, we establish two main findings: (1) the optimal inflation threshold in SSA is estimated at 9.27%. Such a value stipulates globally that any inflation below this threshold is pro-growth, while inflation above this threshold is anti-growth; (2) political regime determines the estimate of the optimal inflation threshold in SSA. The results show that, unlike democratic regimes, autocratic regimes have a higher optimal inflation threshold. Thus, depending on the level of inflation, these results point to more opportunities and options in central banks’ inflation targeting policies, in formalizing economies to reduce the inflationary tax, and in building more resilient and inclusive institutions.","author":[{"dropping-particle":"","family":"Thioune","given":"Thierno","non-dropping-particle":"","parse-names":false,"suffix":""},{"dropping-particle":"","family":"Mignamissi","given":"Dieudonné","non-dropping-particle":"","parse-names":false,"suffix":""},{"dropping-particle":"","family":"Minkoé Bikoula","given":"Séraphin Brice","non-dropping-particle":"","parse-names":false,"suffix":""}],"container-title":"Journal of the Knowledge Economy","id":"ITEM-1","issue":"1","issued":{"date-parts":[["2025"]]},"page":"5548-5571","title":"The Non-linear effect of Inflation on Economic Growth in Sub-Saharan Africa: Does Democracy Matter?","type":"article-journal","volume":"16"},"uris":["http://www.mendeley.com/documents/?uuid=14c3de9a-d25d-46ff-8b5c-2cf0cdc694a0"]}],"mendeley":{"formattedCitation":"(Thioune et al., 2025)","manualFormatting":"Thioune et al. (2025)","plainTextFormattedCitation":"(Thioune et al., 2025)","previouslyFormattedCitation":"(Thioune et al., 2025)"},"properties":{"noteIndex":0},"schema":"https://github.com/citation-style-language/schema/raw/master/csl-citation.json"}</w:instrText>
      </w:r>
      <w:r w:rsidR="00B865FE">
        <w:rPr>
          <w:rFonts w:ascii="Arial" w:hAnsi="Arial" w:cs="Arial"/>
        </w:rPr>
        <w:fldChar w:fldCharType="separate"/>
      </w:r>
      <w:r w:rsidR="00B865FE" w:rsidRPr="00B865FE">
        <w:rPr>
          <w:rFonts w:ascii="Arial" w:hAnsi="Arial" w:cs="Arial"/>
          <w:noProof/>
        </w:rPr>
        <w:t>Thioune et al.</w:t>
      </w:r>
      <w:r w:rsidR="00B865FE">
        <w:rPr>
          <w:rFonts w:ascii="Arial" w:hAnsi="Arial" w:cs="Arial"/>
          <w:noProof/>
        </w:rPr>
        <w:t xml:space="preserve"> (</w:t>
      </w:r>
      <w:r w:rsidR="00B865FE" w:rsidRPr="00B865FE">
        <w:rPr>
          <w:rFonts w:ascii="Arial" w:hAnsi="Arial" w:cs="Arial"/>
          <w:noProof/>
        </w:rPr>
        <w:t>2025)</w:t>
      </w:r>
      <w:r w:rsidR="00B865FE">
        <w:rPr>
          <w:rFonts w:ascii="Arial" w:hAnsi="Arial" w:cs="Arial"/>
        </w:rPr>
        <w:fldChar w:fldCharType="end"/>
      </w:r>
      <w:r w:rsidR="00B865FE">
        <w:rPr>
          <w:rFonts w:ascii="Arial" w:hAnsi="Arial" w:cs="Arial"/>
        </w:rPr>
        <w:t xml:space="preserve"> investigated the connection between inflation and economic growth in the case </w:t>
      </w:r>
      <w:r w:rsidR="00B865FE" w:rsidRPr="00B865FE">
        <w:rPr>
          <w:rFonts w:ascii="Arial" w:hAnsi="Arial" w:cs="Arial"/>
        </w:rPr>
        <w:t>of 32 sub-Saharan African (SSA) countries</w:t>
      </w:r>
      <w:r w:rsidR="00B865FE">
        <w:rPr>
          <w:rFonts w:ascii="Arial" w:hAnsi="Arial" w:cs="Arial"/>
        </w:rPr>
        <w:t xml:space="preserve"> from</w:t>
      </w:r>
      <w:r w:rsidR="00B865FE" w:rsidRPr="00B865FE">
        <w:rPr>
          <w:rFonts w:ascii="Arial" w:hAnsi="Arial" w:cs="Arial"/>
        </w:rPr>
        <w:t> 2002-2021</w:t>
      </w:r>
      <w:r w:rsidR="00B865FE">
        <w:rPr>
          <w:rFonts w:ascii="Arial" w:hAnsi="Arial" w:cs="Arial"/>
        </w:rPr>
        <w:t xml:space="preserve"> using the PSTR</w:t>
      </w:r>
      <w:r w:rsidR="00B865FE" w:rsidRPr="00B865FE">
        <w:rPr>
          <w:rFonts w:ascii="Arial" w:hAnsi="Arial" w:cs="Arial"/>
        </w:rPr>
        <w:t xml:space="preserve"> </w:t>
      </w:r>
      <w:r w:rsidR="00B865FE">
        <w:rPr>
          <w:rFonts w:ascii="Arial" w:hAnsi="Arial" w:cs="Arial"/>
        </w:rPr>
        <w:t xml:space="preserve">model. </w:t>
      </w:r>
      <w:r w:rsidR="00B865FE" w:rsidRPr="00B865FE">
        <w:rPr>
          <w:rFonts w:ascii="Arial" w:hAnsi="Arial" w:cs="Arial"/>
        </w:rPr>
        <w:t>The findings indicate that the optimal inflation threshold is estimated to be approximately 9.27</w:t>
      </w:r>
      <w:r w:rsidR="00A17AEA">
        <w:rPr>
          <w:rFonts w:ascii="Arial" w:hAnsi="Arial" w:cs="Arial"/>
        </w:rPr>
        <w:t xml:space="preserve"> percent.</w:t>
      </w:r>
    </w:p>
    <w:p w14:paraId="4359A5E4" w14:textId="77777777" w:rsidR="008960F0" w:rsidRDefault="008960F0" w:rsidP="008960F0">
      <w:pPr>
        <w:jc w:val="both"/>
        <w:rPr>
          <w:rFonts w:ascii="Arial" w:hAnsi="Arial" w:cs="Arial"/>
        </w:rPr>
      </w:pPr>
    </w:p>
    <w:p w14:paraId="5B22C46B" w14:textId="7DC201C1" w:rsidR="008960F0" w:rsidRDefault="008960F0" w:rsidP="008960F0">
      <w:pPr>
        <w:jc w:val="both"/>
        <w:rPr>
          <w:rFonts w:ascii="Arial" w:hAnsi="Arial" w:cs="Arial"/>
        </w:rPr>
      </w:pPr>
      <w:r w:rsidRPr="008960F0">
        <w:rPr>
          <w:rFonts w:ascii="Arial" w:hAnsi="Arial" w:cs="Arial"/>
        </w:rPr>
        <w:t>Building upon the aforementioned background,</w:t>
      </w:r>
      <w:r>
        <w:rPr>
          <w:rFonts w:ascii="Arial" w:hAnsi="Arial" w:cs="Arial"/>
        </w:rPr>
        <w:t xml:space="preserve"> t</w:t>
      </w:r>
      <w:r w:rsidRPr="008960F0">
        <w:rPr>
          <w:rFonts w:ascii="Arial" w:hAnsi="Arial" w:cs="Arial"/>
        </w:rPr>
        <w:t xml:space="preserve">his empirical study </w:t>
      </w:r>
      <w:r>
        <w:rPr>
          <w:rFonts w:ascii="Arial" w:hAnsi="Arial" w:cs="Arial"/>
        </w:rPr>
        <w:t>intends</w:t>
      </w:r>
      <w:r w:rsidRPr="008960F0">
        <w:rPr>
          <w:rFonts w:ascii="Arial" w:hAnsi="Arial" w:cs="Arial"/>
        </w:rPr>
        <w:t xml:space="preserve"> to examine the relationship between inflation and economic growth in Indonesia over the period 1991–2024, with particular attention to identifying the presence of an inflation threshold</w:t>
      </w:r>
      <w:r>
        <w:rPr>
          <w:rFonts w:ascii="Arial" w:hAnsi="Arial" w:cs="Arial"/>
        </w:rPr>
        <w:t xml:space="preserve">. </w:t>
      </w:r>
      <w:r w:rsidRPr="008960F0">
        <w:rPr>
          <w:rFonts w:ascii="Arial" w:hAnsi="Arial" w:cs="Arial"/>
        </w:rPr>
        <w:t xml:space="preserve">The study offers two contributions to the existing literature. First, the current study applies the </w:t>
      </w:r>
      <w:proofErr w:type="spellStart"/>
      <w:r w:rsidRPr="008960F0">
        <w:rPr>
          <w:rFonts w:ascii="Arial" w:hAnsi="Arial" w:cs="Arial"/>
        </w:rPr>
        <w:t>Zivot</w:t>
      </w:r>
      <w:proofErr w:type="spellEnd"/>
      <w:r w:rsidRPr="008960F0">
        <w:rPr>
          <w:rFonts w:ascii="Arial" w:hAnsi="Arial" w:cs="Arial"/>
        </w:rPr>
        <w:t xml:space="preserve">–Andrews (ZA) unit root test as proposed by </w:t>
      </w:r>
      <w:r w:rsidRPr="008960F0">
        <w:rPr>
          <w:rFonts w:ascii="Arial" w:hAnsi="Arial" w:cs="Arial"/>
        </w:rPr>
        <w:fldChar w:fldCharType="begin" w:fldLock="1"/>
      </w:r>
      <w:r w:rsidR="00DB222C">
        <w:rPr>
          <w:rFonts w:ascii="Arial" w:hAnsi="Arial" w:cs="Arial"/>
        </w:rPr>
        <w:instrText>ADDIN CSL_CITATION {"citationItems":[{"id":"ITEM-1","itemData":{"DOI":"https://doi.org/10.2307/1391541","author":[{"dropping-particle":"","family":"Zivot","given":"Eric","non-dropping-particle":"","parse-names":false,"suffix":""},{"dropping-particle":"","family":"Andrews","given":"Donald W K","non-dropping-particle":"","parse-names":false,"suffix":""}],"container-title":"Journal of Business &amp; Economic Statistics","id":"ITEM-1","issue":"3","issued":{"date-parts":[["1992"]]},"page":"251-270","title":"Further Evidence on the Great Crash, the Oild-Price Shock, and Unit-Root Hypothesis","type":"article-journal","volume":"10"},"uris":["http://www.mendeley.com/documents/?uuid=31ae5a47-e807-4c90-b2ff-70cdbad670f7"]}],"mendeley":{"formattedCitation":"(Zivot &amp; Andrews, 1992)","plainTextFormattedCitation":"(Zivot &amp; Andrews, 1992)","previouslyFormattedCitation":"(Zivot &amp; Andrews, 1992)"},"properties":{"noteIndex":0},"schema":"https://github.com/citation-style-language/schema/raw/master/csl-citation.json"}</w:instrText>
      </w:r>
      <w:r w:rsidRPr="008960F0">
        <w:rPr>
          <w:rFonts w:ascii="Arial" w:hAnsi="Arial" w:cs="Arial"/>
        </w:rPr>
        <w:fldChar w:fldCharType="separate"/>
      </w:r>
      <w:r w:rsidR="00DB222C" w:rsidRPr="00DB222C">
        <w:rPr>
          <w:rFonts w:ascii="Arial" w:hAnsi="Arial" w:cs="Arial"/>
          <w:noProof/>
        </w:rPr>
        <w:t>(Zivot &amp; Andrews, 1992)</w:t>
      </w:r>
      <w:r w:rsidRPr="008960F0">
        <w:rPr>
          <w:rFonts w:ascii="Arial" w:hAnsi="Arial" w:cs="Arial"/>
        </w:rPr>
        <w:fldChar w:fldCharType="end"/>
      </w:r>
      <w:r w:rsidRPr="008960F0">
        <w:rPr>
          <w:rFonts w:ascii="Arial" w:hAnsi="Arial" w:cs="Arial"/>
        </w:rPr>
        <w:t xml:space="preserve">, which is particularly relevant in the context of Indonesia’s economy, given its exposure to multiple structural shifts such as the 1997–1998 </w:t>
      </w:r>
      <w:proofErr w:type="spellStart"/>
      <w:r w:rsidR="00A17AEA" w:rsidRPr="008960F0">
        <w:rPr>
          <w:rFonts w:ascii="Arial" w:hAnsi="Arial" w:cs="Arial"/>
        </w:rPr>
        <w:t>asian</w:t>
      </w:r>
      <w:proofErr w:type="spellEnd"/>
      <w:r w:rsidR="00A17AEA" w:rsidRPr="008960F0">
        <w:rPr>
          <w:rFonts w:ascii="Arial" w:hAnsi="Arial" w:cs="Arial"/>
        </w:rPr>
        <w:t xml:space="preserve"> financial crisis</w:t>
      </w:r>
      <w:r w:rsidRPr="008960F0">
        <w:rPr>
          <w:rFonts w:ascii="Arial" w:hAnsi="Arial" w:cs="Arial"/>
        </w:rPr>
        <w:t xml:space="preserve">, the 2008 </w:t>
      </w:r>
      <w:r w:rsidR="00A17AEA" w:rsidRPr="008960F0">
        <w:rPr>
          <w:rFonts w:ascii="Arial" w:hAnsi="Arial" w:cs="Arial"/>
        </w:rPr>
        <w:t>global financial crisis</w:t>
      </w:r>
      <w:r w:rsidRPr="008960F0">
        <w:rPr>
          <w:rFonts w:ascii="Arial" w:hAnsi="Arial" w:cs="Arial"/>
        </w:rPr>
        <w:t xml:space="preserve">, and the </w:t>
      </w:r>
      <w:r w:rsidR="00A17AEA">
        <w:rPr>
          <w:rFonts w:ascii="Arial" w:hAnsi="Arial" w:cs="Arial"/>
        </w:rPr>
        <w:t>coronavirus disease (</w:t>
      </w:r>
      <w:r w:rsidRPr="008960F0">
        <w:rPr>
          <w:rFonts w:ascii="Arial" w:hAnsi="Arial" w:cs="Arial"/>
        </w:rPr>
        <w:t>COVID</w:t>
      </w:r>
      <w:r w:rsidR="00A17AEA">
        <w:rPr>
          <w:rFonts w:ascii="Arial" w:hAnsi="Arial" w:cs="Arial"/>
        </w:rPr>
        <w:t>)</w:t>
      </w:r>
      <w:r w:rsidRPr="008960F0">
        <w:rPr>
          <w:rFonts w:ascii="Arial" w:hAnsi="Arial" w:cs="Arial"/>
        </w:rPr>
        <w:t>-19 pandemic.</w:t>
      </w:r>
      <w:r>
        <w:rPr>
          <w:rFonts w:ascii="Arial" w:hAnsi="Arial" w:cs="Arial"/>
        </w:rPr>
        <w:t xml:space="preserve"> </w:t>
      </w:r>
      <w:r w:rsidRPr="008960F0">
        <w:rPr>
          <w:rFonts w:ascii="Arial" w:hAnsi="Arial" w:cs="Arial"/>
        </w:rPr>
        <w:t xml:space="preserve">In contrast to standard unit root tests, the ZA </w:t>
      </w:r>
      <w:r>
        <w:rPr>
          <w:rFonts w:ascii="Arial" w:hAnsi="Arial" w:cs="Arial"/>
        </w:rPr>
        <w:t>method</w:t>
      </w:r>
      <w:r w:rsidRPr="008960F0">
        <w:rPr>
          <w:rFonts w:ascii="Arial" w:hAnsi="Arial" w:cs="Arial"/>
        </w:rPr>
        <w:t xml:space="preserve"> allows for the identification of endogenously determined structural breaks, thereby providing more robust evidence regarding the stationarity properties of the series under investigation. </w:t>
      </w:r>
    </w:p>
    <w:p w14:paraId="6ED23D43" w14:textId="77777777" w:rsidR="008960F0" w:rsidRDefault="008960F0" w:rsidP="008960F0">
      <w:pPr>
        <w:jc w:val="both"/>
        <w:rPr>
          <w:rFonts w:ascii="Arial" w:hAnsi="Arial" w:cs="Arial"/>
        </w:rPr>
      </w:pPr>
    </w:p>
    <w:p w14:paraId="261842B6" w14:textId="1B0C3CE9" w:rsidR="008960F0" w:rsidRPr="008960F0" w:rsidRDefault="008960F0" w:rsidP="008960F0">
      <w:pPr>
        <w:jc w:val="both"/>
        <w:rPr>
          <w:rFonts w:ascii="Arial" w:hAnsi="Arial" w:cs="Arial"/>
        </w:rPr>
      </w:pPr>
      <w:r w:rsidRPr="008960F0">
        <w:rPr>
          <w:rFonts w:ascii="Arial" w:hAnsi="Arial" w:cs="Arial"/>
        </w:rPr>
        <w:t xml:space="preserve">Second, the study employs a threshold regression </w:t>
      </w:r>
      <w:r>
        <w:rPr>
          <w:rFonts w:ascii="Arial" w:hAnsi="Arial" w:cs="Arial"/>
        </w:rPr>
        <w:t>technique</w:t>
      </w:r>
      <w:r w:rsidRPr="008960F0">
        <w:rPr>
          <w:rFonts w:ascii="Arial" w:hAnsi="Arial" w:cs="Arial"/>
        </w:rPr>
        <w:t xml:space="preserve"> to examine the inflation–growth nexus, addressing the possibility of nonlinear dynamics in this relationship. This approach is crucial since the impact of inflation on growth may differ depending on whether inflation lies below or above a certain threshold. By identifying such thresholds, the analysis provides more policy-relevant insights into the conditions under which inflation either fosters or impedes economic growth</w:t>
      </w:r>
      <w:r w:rsidRPr="009131D9">
        <w:rPr>
          <w:rFonts w:ascii="Times New Roman" w:hAnsi="Times New Roman"/>
        </w:rPr>
        <w:t>.</w:t>
      </w:r>
    </w:p>
    <w:p w14:paraId="65E3C349" w14:textId="77777777" w:rsidR="008960F0" w:rsidRDefault="008960F0" w:rsidP="008960F0">
      <w:pPr>
        <w:pStyle w:val="Body"/>
        <w:spacing w:after="0"/>
        <w:rPr>
          <w:rFonts w:ascii="Arial" w:eastAsia="Calibri" w:hAnsi="Arial" w:cs="Arial"/>
          <w:szCs w:val="22"/>
        </w:rPr>
      </w:pPr>
    </w:p>
    <w:p w14:paraId="08FB26D8" w14:textId="77777777" w:rsidR="008960F0" w:rsidRPr="00FB3A86" w:rsidRDefault="008960F0" w:rsidP="008960F0">
      <w:pPr>
        <w:pStyle w:val="Body"/>
        <w:spacing w:after="0"/>
        <w:rPr>
          <w:rFonts w:ascii="Arial" w:hAnsi="Arial" w:cs="Arial"/>
        </w:rPr>
      </w:pPr>
    </w:p>
    <w:p w14:paraId="7BBBF338" w14:textId="161982D6"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636E647A" w14:textId="77777777" w:rsidR="00790ADA" w:rsidRPr="00FB3A86" w:rsidRDefault="00790ADA" w:rsidP="00441B6F">
      <w:pPr>
        <w:pStyle w:val="Body"/>
        <w:spacing w:after="0"/>
        <w:rPr>
          <w:rFonts w:ascii="Arial" w:hAnsi="Arial" w:cs="Arial"/>
        </w:rPr>
      </w:pPr>
    </w:p>
    <w:p w14:paraId="1D118C91" w14:textId="205514BD" w:rsidR="00AA74E0" w:rsidRDefault="00AA74E0" w:rsidP="00441B6F">
      <w:pPr>
        <w:pStyle w:val="Body"/>
        <w:spacing w:after="0"/>
        <w:rPr>
          <w:rFonts w:ascii="Arial" w:hAnsi="Arial" w:cs="Arial"/>
        </w:rPr>
      </w:pPr>
      <w:r w:rsidRPr="00C30A0F">
        <w:rPr>
          <w:rFonts w:ascii="Arial" w:hAnsi="Arial" w:cs="Arial"/>
          <w:b/>
          <w:caps/>
          <w:sz w:val="22"/>
        </w:rPr>
        <w:t xml:space="preserve">2.1 </w:t>
      </w:r>
      <w:r w:rsidR="00633824">
        <w:rPr>
          <w:rFonts w:ascii="Arial" w:hAnsi="Arial" w:cs="Arial"/>
          <w:b/>
          <w:sz w:val="22"/>
        </w:rPr>
        <w:t>Research Design</w:t>
      </w:r>
    </w:p>
    <w:p w14:paraId="049648A6" w14:textId="77777777" w:rsidR="00633824" w:rsidRPr="00633824" w:rsidRDefault="00633824" w:rsidP="00441B6F">
      <w:pPr>
        <w:pStyle w:val="Body"/>
        <w:spacing w:after="0"/>
        <w:rPr>
          <w:rFonts w:ascii="Arial" w:hAnsi="Arial" w:cs="Arial"/>
        </w:rPr>
      </w:pPr>
    </w:p>
    <w:p w14:paraId="48A0FB4F" w14:textId="64733630" w:rsidR="00633824" w:rsidRPr="00633824" w:rsidRDefault="00633824" w:rsidP="00441B6F">
      <w:pPr>
        <w:pStyle w:val="Body"/>
        <w:spacing w:after="0"/>
        <w:rPr>
          <w:rFonts w:ascii="Arial" w:hAnsi="Arial" w:cs="Arial"/>
        </w:rPr>
      </w:pPr>
      <w:r w:rsidRPr="00633824">
        <w:rPr>
          <w:rFonts w:ascii="Arial" w:hAnsi="Arial" w:cs="Arial"/>
        </w:rPr>
        <w:t xml:space="preserve">This study </w:t>
      </w:r>
      <w:r>
        <w:rPr>
          <w:rFonts w:ascii="Arial" w:hAnsi="Arial" w:cs="Arial"/>
        </w:rPr>
        <w:t>adopts</w:t>
      </w:r>
      <w:r w:rsidRPr="00633824">
        <w:rPr>
          <w:rFonts w:ascii="Arial" w:hAnsi="Arial" w:cs="Arial"/>
        </w:rPr>
        <w:t xml:space="preserve"> a quantitative econometric approach to examine the relationship between inflation and economic growth in Indonesia. To capture the potential non-linear effects of inflation, the threshold regression method is </w:t>
      </w:r>
      <w:r>
        <w:rPr>
          <w:rFonts w:ascii="Arial" w:hAnsi="Arial" w:cs="Arial"/>
        </w:rPr>
        <w:t>employed</w:t>
      </w:r>
      <w:r w:rsidRPr="00633824">
        <w:rPr>
          <w:rFonts w:ascii="Arial" w:hAnsi="Arial" w:cs="Arial"/>
        </w:rPr>
        <w:t xml:space="preserve">. This method allows the estimation of different regimes in the inflation–growth </w:t>
      </w:r>
      <w:r>
        <w:rPr>
          <w:rFonts w:ascii="Arial" w:hAnsi="Arial" w:cs="Arial"/>
        </w:rPr>
        <w:t>association,</w:t>
      </w:r>
      <w:r w:rsidRPr="00633824">
        <w:rPr>
          <w:rFonts w:ascii="Arial" w:hAnsi="Arial" w:cs="Arial"/>
        </w:rPr>
        <w:t xml:space="preserve"> where the impact of inflation on </w:t>
      </w:r>
      <w:r>
        <w:rPr>
          <w:rFonts w:ascii="Arial" w:hAnsi="Arial" w:cs="Arial"/>
        </w:rPr>
        <w:t>Gross Domestic Product (GDP)</w:t>
      </w:r>
      <w:r w:rsidRPr="00633824">
        <w:rPr>
          <w:rFonts w:ascii="Arial" w:hAnsi="Arial" w:cs="Arial"/>
        </w:rPr>
        <w:t xml:space="preserve"> growth may vary depending on whether the inflation rate is below or above a certain threshold level.</w:t>
      </w:r>
    </w:p>
    <w:p w14:paraId="4397859E" w14:textId="77777777" w:rsidR="00633824" w:rsidRPr="00633824" w:rsidRDefault="00633824" w:rsidP="00441B6F">
      <w:pPr>
        <w:pStyle w:val="Body"/>
        <w:spacing w:after="0"/>
        <w:rPr>
          <w:rFonts w:ascii="Arial" w:hAnsi="Arial" w:cs="Arial"/>
        </w:rPr>
      </w:pPr>
    </w:p>
    <w:p w14:paraId="3FE899F7" w14:textId="5FD31211" w:rsidR="00633824" w:rsidRPr="00633824" w:rsidRDefault="00633824" w:rsidP="00633824">
      <w:pPr>
        <w:pStyle w:val="Body"/>
        <w:spacing w:after="0"/>
        <w:rPr>
          <w:rFonts w:ascii="Arial" w:hAnsi="Arial" w:cs="Arial"/>
        </w:rPr>
      </w:pPr>
      <w:r w:rsidRPr="00633824">
        <w:rPr>
          <w:rFonts w:ascii="Arial" w:hAnsi="Arial" w:cs="Arial"/>
          <w:b/>
          <w:caps/>
          <w:sz w:val="22"/>
        </w:rPr>
        <w:t>2.</w:t>
      </w:r>
      <w:r>
        <w:rPr>
          <w:rFonts w:ascii="Arial" w:hAnsi="Arial" w:cs="Arial"/>
          <w:b/>
          <w:caps/>
          <w:sz w:val="22"/>
        </w:rPr>
        <w:t>2</w:t>
      </w:r>
      <w:r w:rsidRPr="00633824">
        <w:rPr>
          <w:rFonts w:ascii="Arial" w:hAnsi="Arial" w:cs="Arial"/>
          <w:b/>
          <w:caps/>
          <w:sz w:val="22"/>
        </w:rPr>
        <w:t xml:space="preserve"> </w:t>
      </w:r>
      <w:r>
        <w:rPr>
          <w:rFonts w:ascii="Arial" w:hAnsi="Arial" w:cs="Arial"/>
          <w:b/>
          <w:sz w:val="22"/>
        </w:rPr>
        <w:t>Data and Variables</w:t>
      </w:r>
    </w:p>
    <w:p w14:paraId="2FB57EE8" w14:textId="77777777" w:rsidR="00633824" w:rsidRPr="00633824" w:rsidRDefault="00633824" w:rsidP="00441B6F">
      <w:pPr>
        <w:pStyle w:val="Body"/>
        <w:spacing w:after="0"/>
        <w:rPr>
          <w:rFonts w:ascii="Arial" w:hAnsi="Arial" w:cs="Arial"/>
        </w:rPr>
      </w:pPr>
    </w:p>
    <w:p w14:paraId="7EE50ED6" w14:textId="77777777" w:rsidR="00633824" w:rsidRDefault="00633824" w:rsidP="00633824">
      <w:pPr>
        <w:jc w:val="both"/>
        <w:rPr>
          <w:rFonts w:ascii="Arial" w:hAnsi="Arial" w:cs="Arial"/>
        </w:rPr>
      </w:pPr>
      <w:r w:rsidRPr="00633824">
        <w:rPr>
          <w:rFonts w:ascii="Arial" w:hAnsi="Arial" w:cs="Arial"/>
        </w:rPr>
        <w:t>This study utilizes annual time series data for the period 1991–2024, sourced from the World Bank World Development Indicators (WDI) and Bank Indonesia. The dependent variable is the real gross domestic product (GDP) growth rate, measured as the annual percentage change in real GDP, which serves as an indicator of overall economic performance. The main explanatory variable is inflation, which in this study is proxied by the GDP deflator. The GDP deflator is selected because it provides a comprehensive measure of price changes across all domestically produced goods and services, offering a broader perspective than the Consumer Price Index (CPI).</w:t>
      </w:r>
    </w:p>
    <w:p w14:paraId="4DE9E049" w14:textId="77777777" w:rsidR="00633824" w:rsidRPr="00633824" w:rsidRDefault="00633824" w:rsidP="00633824">
      <w:pPr>
        <w:jc w:val="both"/>
        <w:rPr>
          <w:rFonts w:ascii="Arial" w:hAnsi="Arial" w:cs="Arial"/>
        </w:rPr>
      </w:pPr>
    </w:p>
    <w:p w14:paraId="347724F3" w14:textId="77777777" w:rsidR="00633824" w:rsidRPr="00633824" w:rsidRDefault="00633824" w:rsidP="00633824">
      <w:pPr>
        <w:jc w:val="both"/>
        <w:rPr>
          <w:rFonts w:ascii="Arial" w:hAnsi="Arial" w:cs="Arial"/>
          <w:b/>
          <w:bCs/>
        </w:rPr>
      </w:pPr>
      <w:r w:rsidRPr="00633824">
        <w:rPr>
          <w:rFonts w:ascii="Arial" w:hAnsi="Arial" w:cs="Arial"/>
        </w:rPr>
        <w:t>To enhance the robustness of the analysis, several control variables are incorporated. Gross capital formation is included as a proxy for investment, while government expenditure reflects the role of fiscal policy in influencing aggregate demand. In addition, population growth is considered to capture demographic dynamics that may affect both the supply side and demand side of the economy. The inclusion of these variables ensures a more comprehensive assessment of the inflation–growth relationship while minimizing potential omitted variable bias</w:t>
      </w:r>
      <w:r w:rsidRPr="00633824">
        <w:rPr>
          <w:rFonts w:ascii="Arial" w:hAnsi="Arial" w:cs="Arial"/>
          <w:b/>
          <w:bCs/>
        </w:rPr>
        <w:t>.</w:t>
      </w:r>
    </w:p>
    <w:p w14:paraId="6DC62555" w14:textId="77777777" w:rsidR="00633824" w:rsidRPr="009131D9" w:rsidRDefault="00633824" w:rsidP="00633824">
      <w:pPr>
        <w:jc w:val="both"/>
        <w:rPr>
          <w:rFonts w:ascii="Times New Roman" w:hAnsi="Times New Roman"/>
          <w:b/>
          <w:bCs/>
        </w:rPr>
      </w:pPr>
    </w:p>
    <w:p w14:paraId="10BFB4E5" w14:textId="7A694C48" w:rsidR="00633824" w:rsidRDefault="003E163A" w:rsidP="00633824">
      <w:pPr>
        <w:jc w:val="both"/>
        <w:rPr>
          <w:rFonts w:ascii="Arial" w:hAnsi="Arial" w:cs="Arial"/>
          <w:b/>
          <w:bCs/>
        </w:rPr>
      </w:pPr>
      <w:r>
        <w:rPr>
          <w:rFonts w:ascii="Arial" w:hAnsi="Arial"/>
          <w:b/>
        </w:rPr>
        <w:t xml:space="preserve">Table 1. </w:t>
      </w:r>
      <w:r w:rsidR="00633824" w:rsidRPr="003E163A">
        <w:rPr>
          <w:rFonts w:ascii="Arial" w:hAnsi="Arial" w:cs="Arial"/>
          <w:b/>
          <w:bCs/>
        </w:rPr>
        <w:t>Variables</w:t>
      </w:r>
      <w:r w:rsidRPr="003E163A">
        <w:rPr>
          <w:rFonts w:ascii="Arial" w:hAnsi="Arial" w:cs="Arial"/>
          <w:b/>
          <w:bCs/>
        </w:rPr>
        <w:t xml:space="preserve"> and Measurements</w:t>
      </w:r>
    </w:p>
    <w:p w14:paraId="6468078B" w14:textId="77777777" w:rsidR="00FB7DB7" w:rsidRPr="003E163A" w:rsidRDefault="00FB7DB7" w:rsidP="00633824">
      <w:pPr>
        <w:jc w:val="both"/>
        <w:rPr>
          <w:rFonts w:ascii="Arial" w:hAnsi="Arial" w:cs="Arial"/>
        </w:rPr>
      </w:pPr>
    </w:p>
    <w:tbl>
      <w:tblPr>
        <w:tblW w:w="7268"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572"/>
        <w:gridCol w:w="3168"/>
        <w:gridCol w:w="1528"/>
      </w:tblGrid>
      <w:tr w:rsidR="00633824" w:rsidRPr="00DC3180" w14:paraId="44751AC6" w14:textId="77777777" w:rsidTr="00633824">
        <w:trPr>
          <w:jc w:val="center"/>
        </w:trPr>
        <w:tc>
          <w:tcPr>
            <w:tcW w:w="2572" w:type="dxa"/>
            <w:tcBorders>
              <w:bottom w:val="single" w:sz="4" w:space="0" w:color="auto"/>
            </w:tcBorders>
          </w:tcPr>
          <w:p w14:paraId="27F3B25D" w14:textId="4519A345" w:rsidR="00633824" w:rsidRPr="00633824" w:rsidRDefault="00633824" w:rsidP="00633824">
            <w:pPr>
              <w:jc w:val="center"/>
              <w:rPr>
                <w:rFonts w:ascii="Arial" w:hAnsi="Arial"/>
                <w:b/>
                <w:bCs/>
              </w:rPr>
            </w:pPr>
            <w:r w:rsidRPr="00633824">
              <w:rPr>
                <w:rFonts w:ascii="Arial" w:hAnsi="Arial" w:cs="Arial"/>
                <w:b/>
                <w:bCs/>
              </w:rPr>
              <w:t>Variable</w:t>
            </w:r>
          </w:p>
        </w:tc>
        <w:tc>
          <w:tcPr>
            <w:tcW w:w="3168" w:type="dxa"/>
            <w:tcBorders>
              <w:bottom w:val="single" w:sz="4" w:space="0" w:color="auto"/>
            </w:tcBorders>
          </w:tcPr>
          <w:p w14:paraId="4B0E67C9" w14:textId="3891A95F" w:rsidR="00633824" w:rsidRPr="00633824" w:rsidRDefault="00633824" w:rsidP="00633824">
            <w:pPr>
              <w:jc w:val="center"/>
              <w:rPr>
                <w:rFonts w:ascii="Arial" w:hAnsi="Arial"/>
                <w:b/>
                <w:bCs/>
              </w:rPr>
            </w:pPr>
            <w:r w:rsidRPr="00633824">
              <w:rPr>
                <w:rFonts w:ascii="Arial" w:hAnsi="Arial" w:cs="Arial"/>
                <w:b/>
                <w:bCs/>
              </w:rPr>
              <w:t>Measurement</w:t>
            </w:r>
          </w:p>
        </w:tc>
        <w:tc>
          <w:tcPr>
            <w:tcW w:w="1528" w:type="dxa"/>
            <w:tcBorders>
              <w:bottom w:val="single" w:sz="4" w:space="0" w:color="auto"/>
            </w:tcBorders>
          </w:tcPr>
          <w:p w14:paraId="02B0673C" w14:textId="7FAEB6F6" w:rsidR="00633824" w:rsidRPr="00633824" w:rsidRDefault="00633824" w:rsidP="00633824">
            <w:pPr>
              <w:jc w:val="center"/>
              <w:rPr>
                <w:rFonts w:ascii="Arial" w:hAnsi="Arial"/>
                <w:b/>
                <w:bCs/>
              </w:rPr>
            </w:pPr>
            <w:r w:rsidRPr="00633824">
              <w:rPr>
                <w:rFonts w:ascii="Arial" w:hAnsi="Arial" w:cs="Arial"/>
                <w:b/>
                <w:bCs/>
              </w:rPr>
              <w:t>Source</w:t>
            </w:r>
          </w:p>
        </w:tc>
      </w:tr>
      <w:tr w:rsidR="00633824" w:rsidRPr="00DC3180" w14:paraId="3DCA32DD" w14:textId="77777777" w:rsidTr="00633824">
        <w:trPr>
          <w:jc w:val="center"/>
        </w:trPr>
        <w:tc>
          <w:tcPr>
            <w:tcW w:w="2572" w:type="dxa"/>
            <w:tcBorders>
              <w:top w:val="nil"/>
              <w:bottom w:val="nil"/>
            </w:tcBorders>
          </w:tcPr>
          <w:p w14:paraId="3D73C2D5" w14:textId="6CAE00F6" w:rsidR="00633824" w:rsidRPr="00DC3180" w:rsidRDefault="00633824" w:rsidP="00633824">
            <w:pPr>
              <w:jc w:val="center"/>
              <w:rPr>
                <w:rFonts w:ascii="Arial" w:hAnsi="Arial"/>
              </w:rPr>
            </w:pPr>
            <w:r w:rsidRPr="00633824">
              <w:rPr>
                <w:rFonts w:ascii="Arial" w:hAnsi="Arial" w:cs="Arial"/>
              </w:rPr>
              <w:t>Economic growth</w:t>
            </w:r>
          </w:p>
        </w:tc>
        <w:tc>
          <w:tcPr>
            <w:tcW w:w="3168" w:type="dxa"/>
            <w:tcBorders>
              <w:top w:val="nil"/>
              <w:bottom w:val="nil"/>
            </w:tcBorders>
          </w:tcPr>
          <w:p w14:paraId="1D064943" w14:textId="2CE88495" w:rsidR="00633824" w:rsidRPr="00DC3180" w:rsidRDefault="00633824" w:rsidP="00633824">
            <w:pPr>
              <w:jc w:val="center"/>
              <w:rPr>
                <w:rFonts w:ascii="Arial" w:hAnsi="Arial"/>
              </w:rPr>
            </w:pPr>
            <w:r w:rsidRPr="00633824">
              <w:rPr>
                <w:rFonts w:ascii="Arial" w:hAnsi="Arial" w:cs="Arial"/>
              </w:rPr>
              <w:t>Gross Domestic Product (GDP) growth</w:t>
            </w:r>
          </w:p>
        </w:tc>
        <w:tc>
          <w:tcPr>
            <w:tcW w:w="1528" w:type="dxa"/>
            <w:tcBorders>
              <w:top w:val="nil"/>
              <w:bottom w:val="nil"/>
            </w:tcBorders>
          </w:tcPr>
          <w:p w14:paraId="380BF531" w14:textId="6F330DCF" w:rsidR="00633824" w:rsidRPr="00DC3180" w:rsidRDefault="00633824" w:rsidP="00633824">
            <w:pPr>
              <w:jc w:val="center"/>
              <w:rPr>
                <w:rFonts w:ascii="Arial" w:hAnsi="Arial" w:cs="Arial"/>
              </w:rPr>
            </w:pPr>
            <w:r w:rsidRPr="00633824">
              <w:rPr>
                <w:rFonts w:ascii="Arial" w:hAnsi="Arial" w:cs="Arial"/>
              </w:rPr>
              <w:t>WDI</w:t>
            </w:r>
          </w:p>
        </w:tc>
      </w:tr>
      <w:tr w:rsidR="00633824" w:rsidRPr="00DC3180" w14:paraId="77680FB3" w14:textId="77777777" w:rsidTr="00633824">
        <w:trPr>
          <w:jc w:val="center"/>
        </w:trPr>
        <w:tc>
          <w:tcPr>
            <w:tcW w:w="2572" w:type="dxa"/>
            <w:tcBorders>
              <w:top w:val="nil"/>
              <w:bottom w:val="nil"/>
            </w:tcBorders>
          </w:tcPr>
          <w:p w14:paraId="110E2EDD" w14:textId="35190C15" w:rsidR="00633824" w:rsidRPr="00DC3180" w:rsidRDefault="00633824" w:rsidP="00633824">
            <w:pPr>
              <w:jc w:val="center"/>
              <w:rPr>
                <w:rFonts w:ascii="Arial" w:hAnsi="Arial"/>
              </w:rPr>
            </w:pPr>
            <w:r w:rsidRPr="00633824">
              <w:rPr>
                <w:rFonts w:ascii="Arial" w:hAnsi="Arial" w:cs="Arial"/>
              </w:rPr>
              <w:t>Capital growth</w:t>
            </w:r>
          </w:p>
        </w:tc>
        <w:tc>
          <w:tcPr>
            <w:tcW w:w="3168" w:type="dxa"/>
            <w:tcBorders>
              <w:top w:val="nil"/>
              <w:bottom w:val="nil"/>
            </w:tcBorders>
          </w:tcPr>
          <w:p w14:paraId="6828A14F" w14:textId="6E01EDCB" w:rsidR="00633824" w:rsidRPr="00DC3180" w:rsidRDefault="00633824" w:rsidP="00633824">
            <w:pPr>
              <w:jc w:val="center"/>
              <w:rPr>
                <w:rFonts w:ascii="Arial" w:hAnsi="Arial"/>
              </w:rPr>
            </w:pPr>
            <w:r w:rsidRPr="00633824">
              <w:rPr>
                <w:rFonts w:ascii="Arial" w:hAnsi="Arial" w:cs="Arial"/>
              </w:rPr>
              <w:t>Gross fixed capital formation growth</w:t>
            </w:r>
          </w:p>
        </w:tc>
        <w:tc>
          <w:tcPr>
            <w:tcW w:w="1528" w:type="dxa"/>
            <w:tcBorders>
              <w:top w:val="nil"/>
              <w:bottom w:val="nil"/>
            </w:tcBorders>
          </w:tcPr>
          <w:p w14:paraId="072A28B3" w14:textId="5B0C89F8" w:rsidR="00633824" w:rsidRPr="00DC3180" w:rsidRDefault="00633824" w:rsidP="00633824">
            <w:pPr>
              <w:jc w:val="center"/>
              <w:rPr>
                <w:rFonts w:ascii="Arial" w:hAnsi="Arial" w:cs="Arial"/>
              </w:rPr>
            </w:pPr>
            <w:r w:rsidRPr="00633824">
              <w:rPr>
                <w:rFonts w:ascii="Arial" w:hAnsi="Arial" w:cs="Arial"/>
              </w:rPr>
              <w:t>WDI</w:t>
            </w:r>
          </w:p>
        </w:tc>
      </w:tr>
      <w:tr w:rsidR="00633824" w:rsidRPr="00DC3180" w14:paraId="6B49573A" w14:textId="77777777" w:rsidTr="00633824">
        <w:trPr>
          <w:jc w:val="center"/>
        </w:trPr>
        <w:tc>
          <w:tcPr>
            <w:tcW w:w="2572" w:type="dxa"/>
            <w:tcBorders>
              <w:top w:val="nil"/>
              <w:bottom w:val="nil"/>
            </w:tcBorders>
          </w:tcPr>
          <w:p w14:paraId="6E2F3A77" w14:textId="5D90CD15" w:rsidR="00633824" w:rsidRPr="00DC3180" w:rsidRDefault="00633824" w:rsidP="00633824">
            <w:pPr>
              <w:jc w:val="center"/>
              <w:rPr>
                <w:rFonts w:ascii="Arial" w:hAnsi="Arial"/>
              </w:rPr>
            </w:pPr>
            <w:r w:rsidRPr="00633824">
              <w:rPr>
                <w:rFonts w:ascii="Arial" w:hAnsi="Arial" w:cs="Arial"/>
              </w:rPr>
              <w:t>Population growth</w:t>
            </w:r>
          </w:p>
        </w:tc>
        <w:tc>
          <w:tcPr>
            <w:tcW w:w="3168" w:type="dxa"/>
            <w:tcBorders>
              <w:top w:val="nil"/>
              <w:bottom w:val="nil"/>
            </w:tcBorders>
          </w:tcPr>
          <w:p w14:paraId="24E2CB90" w14:textId="61CB6A64" w:rsidR="00633824" w:rsidRPr="00DC3180" w:rsidRDefault="0074216E" w:rsidP="00633824">
            <w:pPr>
              <w:jc w:val="center"/>
              <w:rPr>
                <w:rFonts w:ascii="Arial" w:hAnsi="Arial"/>
              </w:rPr>
            </w:pPr>
            <w:r w:rsidRPr="0074216E">
              <w:rPr>
                <w:rFonts w:ascii="Arial" w:hAnsi="Arial"/>
              </w:rPr>
              <w:t>Working-age population growth (15–64 years)</w:t>
            </w:r>
          </w:p>
        </w:tc>
        <w:tc>
          <w:tcPr>
            <w:tcW w:w="1528" w:type="dxa"/>
            <w:tcBorders>
              <w:top w:val="nil"/>
              <w:bottom w:val="nil"/>
            </w:tcBorders>
          </w:tcPr>
          <w:p w14:paraId="695B3691" w14:textId="69C4AF70" w:rsidR="00633824" w:rsidRPr="00DC3180" w:rsidRDefault="00633824" w:rsidP="00633824">
            <w:pPr>
              <w:jc w:val="center"/>
              <w:rPr>
                <w:rFonts w:ascii="Arial" w:hAnsi="Arial" w:cs="Arial"/>
              </w:rPr>
            </w:pPr>
            <w:r w:rsidRPr="00633824">
              <w:rPr>
                <w:rFonts w:ascii="Arial" w:hAnsi="Arial" w:cs="Arial"/>
              </w:rPr>
              <w:t>WDI</w:t>
            </w:r>
          </w:p>
        </w:tc>
      </w:tr>
      <w:tr w:rsidR="00633824" w:rsidRPr="00DC3180" w14:paraId="19FAF019" w14:textId="77777777" w:rsidTr="00633824">
        <w:trPr>
          <w:jc w:val="center"/>
        </w:trPr>
        <w:tc>
          <w:tcPr>
            <w:tcW w:w="2572" w:type="dxa"/>
            <w:tcBorders>
              <w:top w:val="nil"/>
              <w:bottom w:val="single" w:sz="4" w:space="0" w:color="auto"/>
            </w:tcBorders>
          </w:tcPr>
          <w:p w14:paraId="710316EA" w14:textId="603A5E18" w:rsidR="00633824" w:rsidRPr="00DC3180" w:rsidRDefault="00633824" w:rsidP="00633824">
            <w:pPr>
              <w:jc w:val="center"/>
              <w:rPr>
                <w:rFonts w:ascii="Arial" w:hAnsi="Arial"/>
              </w:rPr>
            </w:pPr>
            <w:r w:rsidRPr="00633824">
              <w:rPr>
                <w:rFonts w:ascii="Arial" w:hAnsi="Arial" w:cs="Arial"/>
              </w:rPr>
              <w:t>Inflation</w:t>
            </w:r>
          </w:p>
        </w:tc>
        <w:tc>
          <w:tcPr>
            <w:tcW w:w="3168" w:type="dxa"/>
            <w:tcBorders>
              <w:top w:val="nil"/>
              <w:bottom w:val="single" w:sz="4" w:space="0" w:color="auto"/>
            </w:tcBorders>
          </w:tcPr>
          <w:p w14:paraId="1E930300" w14:textId="3A3895B6" w:rsidR="00633824" w:rsidRPr="00DC3180" w:rsidRDefault="00633824" w:rsidP="00633824">
            <w:pPr>
              <w:jc w:val="center"/>
              <w:rPr>
                <w:rFonts w:ascii="Arial" w:hAnsi="Arial"/>
              </w:rPr>
            </w:pPr>
            <w:r w:rsidRPr="00633824">
              <w:rPr>
                <w:rFonts w:ascii="Arial" w:hAnsi="Arial" w:cs="Arial"/>
              </w:rPr>
              <w:t>Inflation rates (%, GDP deflator)</w:t>
            </w:r>
          </w:p>
        </w:tc>
        <w:tc>
          <w:tcPr>
            <w:tcW w:w="1528" w:type="dxa"/>
            <w:tcBorders>
              <w:top w:val="nil"/>
              <w:bottom w:val="single" w:sz="4" w:space="0" w:color="auto"/>
            </w:tcBorders>
          </w:tcPr>
          <w:p w14:paraId="08E6D15F" w14:textId="27D43C8A" w:rsidR="00633824" w:rsidRPr="00DC3180" w:rsidRDefault="00633824" w:rsidP="00633824">
            <w:pPr>
              <w:jc w:val="center"/>
              <w:rPr>
                <w:rFonts w:ascii="Arial" w:hAnsi="Arial" w:cs="Arial"/>
              </w:rPr>
            </w:pPr>
            <w:r w:rsidRPr="00633824">
              <w:rPr>
                <w:rFonts w:ascii="Arial" w:hAnsi="Arial" w:cs="Arial"/>
              </w:rPr>
              <w:t>WDI</w:t>
            </w:r>
          </w:p>
        </w:tc>
      </w:tr>
    </w:tbl>
    <w:p w14:paraId="5A73762A" w14:textId="77777777" w:rsidR="00633824" w:rsidRDefault="00633824" w:rsidP="00441B6F">
      <w:pPr>
        <w:pStyle w:val="Body"/>
        <w:spacing w:after="0"/>
        <w:rPr>
          <w:rFonts w:ascii="Arial" w:hAnsi="Arial" w:cs="Arial"/>
        </w:rPr>
      </w:pPr>
    </w:p>
    <w:p w14:paraId="7E862B7D" w14:textId="77777777" w:rsidR="00633824" w:rsidRDefault="00633824" w:rsidP="00441B6F">
      <w:pPr>
        <w:pStyle w:val="Body"/>
        <w:spacing w:after="0"/>
        <w:rPr>
          <w:rFonts w:ascii="Arial" w:hAnsi="Arial" w:cs="Arial"/>
        </w:rPr>
      </w:pPr>
    </w:p>
    <w:p w14:paraId="64083945" w14:textId="77777777" w:rsidR="00AE5A21" w:rsidRDefault="00633824" w:rsidP="00633824">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00AE5A21">
        <w:rPr>
          <w:rFonts w:ascii="Arial" w:hAnsi="Arial" w:cs="Arial"/>
          <w:b/>
          <w:sz w:val="22"/>
        </w:rPr>
        <w:t>Stationarity Test</w:t>
      </w:r>
    </w:p>
    <w:p w14:paraId="6F7C0246" w14:textId="77777777" w:rsidR="00AE5A21" w:rsidRDefault="00AE5A21" w:rsidP="00633824">
      <w:pPr>
        <w:pStyle w:val="Body"/>
        <w:spacing w:after="0"/>
        <w:rPr>
          <w:rFonts w:ascii="Arial" w:hAnsi="Arial" w:cs="Arial"/>
          <w:b/>
          <w:sz w:val="22"/>
        </w:rPr>
      </w:pPr>
    </w:p>
    <w:p w14:paraId="230B9A8F" w14:textId="1777698E" w:rsidR="00434B2C" w:rsidRPr="00434B2C" w:rsidRDefault="00434B2C" w:rsidP="00633824">
      <w:pPr>
        <w:pStyle w:val="Body"/>
        <w:spacing w:after="0"/>
        <w:rPr>
          <w:rFonts w:ascii="Arial" w:hAnsi="Arial" w:cs="Arial"/>
          <w:bCs/>
        </w:rPr>
      </w:pPr>
      <w:r w:rsidRPr="00434B2C">
        <w:rPr>
          <w:rFonts w:ascii="Arial" w:hAnsi="Arial" w:cs="Arial"/>
          <w:bCs/>
        </w:rPr>
        <w:t xml:space="preserve">To determine the order of integration, this study </w:t>
      </w:r>
      <w:r>
        <w:rPr>
          <w:rFonts w:ascii="Arial" w:hAnsi="Arial" w:cs="Arial"/>
          <w:bCs/>
        </w:rPr>
        <w:t xml:space="preserve">integrates </w:t>
      </w:r>
      <w:r w:rsidRPr="00434B2C">
        <w:rPr>
          <w:rFonts w:ascii="Arial" w:hAnsi="Arial" w:cs="Arial"/>
          <w:bCs/>
        </w:rPr>
        <w:t xml:space="preserve">stationarity </w:t>
      </w:r>
      <w:r>
        <w:rPr>
          <w:rFonts w:ascii="Arial" w:hAnsi="Arial" w:cs="Arial"/>
          <w:bCs/>
        </w:rPr>
        <w:t>investigations</w:t>
      </w:r>
      <w:r w:rsidRPr="00434B2C">
        <w:rPr>
          <w:rFonts w:ascii="Arial" w:hAnsi="Arial" w:cs="Arial"/>
          <w:bCs/>
        </w:rPr>
        <w:t xml:space="preserve">. The </w:t>
      </w:r>
      <w:proofErr w:type="spellStart"/>
      <w:r w:rsidRPr="00434B2C">
        <w:rPr>
          <w:rFonts w:ascii="Arial" w:hAnsi="Arial" w:cs="Arial"/>
          <w:bCs/>
        </w:rPr>
        <w:t>Zivot</w:t>
      </w:r>
      <w:proofErr w:type="spellEnd"/>
      <w:r w:rsidRPr="00434B2C">
        <w:rPr>
          <w:rFonts w:ascii="Arial" w:hAnsi="Arial" w:cs="Arial"/>
          <w:bCs/>
        </w:rPr>
        <w:t>–Andrews (ZA) test is preferred over conventional approaches because it accounts for potential structural breaks</w:t>
      </w:r>
      <w:r>
        <w:rPr>
          <w:rFonts w:ascii="Arial" w:hAnsi="Arial" w:cs="Arial"/>
          <w:bCs/>
        </w:rPr>
        <w:t xml:space="preserve"> </w:t>
      </w:r>
      <w:r>
        <w:rPr>
          <w:rFonts w:ascii="Arial" w:hAnsi="Arial" w:cs="Arial"/>
          <w:bCs/>
        </w:rPr>
        <w:fldChar w:fldCharType="begin" w:fldLock="1"/>
      </w:r>
      <w:r w:rsidR="00B865FE">
        <w:rPr>
          <w:rFonts w:ascii="Arial" w:hAnsi="Arial" w:cs="Arial"/>
          <w:bCs/>
        </w:rPr>
        <w:instrText>ADDIN CSL_CITATION {"citationItems":[{"id":"ITEM-1","itemData":{"DOI":"https://doi.org/10.2307/1391541","author":[{"dropping-particle":"","family":"Zivot","given":"Eric","non-dropping-particle":"","parse-names":false,"suffix":""},{"dropping-particle":"","family":"Andrews","given":"Donald W K","non-dropping-particle":"","parse-names":false,"suffix":""}],"container-title":"Journal of Business &amp; Economic Statistics","id":"ITEM-1","issue":"3","issued":{"date-parts":[["1992"]]},"page":"251-270","title":"Further Evidence on the Great Crash, the Oild-Price Shock, and Unit-Root Hypothesis","type":"article-journal","volume":"10"},"uris":["http://www.mendeley.com/documents/?uuid=31ae5a47-e807-4c90-b2ff-70cdbad670f7"]}],"mendeley":{"formattedCitation":"(Zivot &amp; Andrews, 1992)","plainTextFormattedCitation":"(Zivot &amp; Andrews, 1992)","previouslyFormattedCitation":"(Zivot &amp; Andrews, 1992)"},"properties":{"noteIndex":0},"schema":"https://github.com/citation-style-language/schema/raw/master/csl-citation.json"}</w:instrText>
      </w:r>
      <w:r>
        <w:rPr>
          <w:rFonts w:ascii="Arial" w:hAnsi="Arial" w:cs="Arial"/>
          <w:bCs/>
        </w:rPr>
        <w:fldChar w:fldCharType="separate"/>
      </w:r>
      <w:r w:rsidRPr="00434B2C">
        <w:rPr>
          <w:rFonts w:ascii="Arial" w:hAnsi="Arial" w:cs="Arial"/>
          <w:bCs/>
          <w:noProof/>
        </w:rPr>
        <w:t>(Zivot &amp; Andrews, 1992)</w:t>
      </w:r>
      <w:r>
        <w:rPr>
          <w:rFonts w:ascii="Arial" w:hAnsi="Arial" w:cs="Arial"/>
          <w:bCs/>
        </w:rPr>
        <w:fldChar w:fldCharType="end"/>
      </w:r>
      <w:r w:rsidRPr="00434B2C">
        <w:rPr>
          <w:rFonts w:ascii="Arial" w:hAnsi="Arial" w:cs="Arial"/>
          <w:bCs/>
        </w:rPr>
        <w:t>. By allowing an endogenous structural break in the time series, the ZA test provides a more reliable assessment of stationarity. The general specification of the ZA model is presented as follows</w:t>
      </w:r>
    </w:p>
    <w:p w14:paraId="221A3388" w14:textId="77777777" w:rsidR="00AE5A21" w:rsidRPr="00434B2C" w:rsidRDefault="00AE5A21" w:rsidP="00633824">
      <w:pPr>
        <w:pStyle w:val="Body"/>
        <w:spacing w:after="0"/>
        <w:rPr>
          <w:rFonts w:ascii="Arial" w:hAnsi="Arial" w:cs="Arial"/>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55"/>
        <w:gridCol w:w="753"/>
      </w:tblGrid>
      <w:tr w:rsidR="00AE5A21" w:rsidRPr="00434B2C" w14:paraId="68E29DD9" w14:textId="77777777" w:rsidTr="003273E5">
        <w:tc>
          <w:tcPr>
            <w:tcW w:w="8545" w:type="dxa"/>
          </w:tcPr>
          <w:p w14:paraId="27A2186A" w14:textId="022AEF64" w:rsidR="00AE5A21" w:rsidRPr="00434B2C" w:rsidRDefault="00AE5A21" w:rsidP="003273E5">
            <w:pPr>
              <w:jc w:val="both"/>
              <w:rPr>
                <w:rFonts w:ascii="Arial" w:hAnsi="Arial" w:cs="Arial"/>
                <w:sz w:val="20"/>
                <w:szCs w:val="20"/>
              </w:rPr>
            </w:pPr>
            <m:oMathPara>
              <m:oMath>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t</m:t>
                    </m:r>
                  </m:sub>
                </m:sSub>
                <m:r>
                  <w:rPr>
                    <w:rFonts w:ascii="Cambria Math" w:hAnsi="Cambria Math" w:cs="Arial"/>
                    <w:sz w:val="20"/>
                    <w:szCs w:val="20"/>
                  </w:rPr>
                  <m:t>=v+βt+δD</m:t>
                </m:r>
                <m:sSub>
                  <m:sSubPr>
                    <m:ctrlPr>
                      <w:rPr>
                        <w:rFonts w:ascii="Cambria Math" w:hAnsi="Cambria Math" w:cs="Arial"/>
                        <w:bCs/>
                        <w:i/>
                        <w:sz w:val="20"/>
                        <w:szCs w:val="20"/>
                      </w:rPr>
                    </m:ctrlPr>
                  </m:sSubPr>
                  <m:e>
                    <m:r>
                      <w:rPr>
                        <w:rFonts w:ascii="Cambria Math" w:hAnsi="Cambria Math" w:cs="Arial"/>
                        <w:sz w:val="20"/>
                        <w:szCs w:val="20"/>
                      </w:rPr>
                      <m:t>U</m:t>
                    </m:r>
                  </m:e>
                  <m:sub>
                    <m:r>
                      <w:rPr>
                        <w:rFonts w:ascii="Cambria Math" w:hAnsi="Cambria Math" w:cs="Arial"/>
                        <w:sz w:val="20"/>
                        <w:szCs w:val="20"/>
                      </w:rPr>
                      <m:t>t</m:t>
                    </m:r>
                  </m:sub>
                </m:sSub>
                <m:r>
                  <w:rPr>
                    <w:rFonts w:ascii="Cambria Math" w:hAnsi="Cambria Math" w:cs="Arial"/>
                    <w:sz w:val="20"/>
                    <w:szCs w:val="20"/>
                  </w:rPr>
                  <m:t>+ϕD</m:t>
                </m:r>
                <m:sSub>
                  <m:sSubPr>
                    <m:ctrlPr>
                      <w:rPr>
                        <w:rFonts w:ascii="Cambria Math" w:hAnsi="Cambria Math" w:cs="Arial"/>
                        <w:bCs/>
                        <w:i/>
                        <w:sz w:val="20"/>
                        <w:szCs w:val="20"/>
                      </w:rPr>
                    </m:ctrlPr>
                  </m:sSubPr>
                  <m:e>
                    <m:r>
                      <w:rPr>
                        <w:rFonts w:ascii="Cambria Math" w:hAnsi="Cambria Math" w:cs="Arial"/>
                        <w:sz w:val="20"/>
                        <w:szCs w:val="20"/>
                      </w:rPr>
                      <m:t>T</m:t>
                    </m:r>
                  </m:e>
                  <m:sub>
                    <m:r>
                      <w:rPr>
                        <w:rFonts w:ascii="Cambria Math" w:hAnsi="Cambria Math" w:cs="Arial"/>
                        <w:sz w:val="20"/>
                        <w:szCs w:val="20"/>
                      </w:rPr>
                      <m:t>t</m:t>
                    </m:r>
                  </m:sub>
                </m:sSub>
                <m:r>
                  <w:rPr>
                    <w:rFonts w:ascii="Cambria Math" w:hAnsi="Cambria Math" w:cs="Arial"/>
                    <w:sz w:val="20"/>
                    <w:szCs w:val="20"/>
                  </w:rPr>
                  <m:t>+α</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t-1</m:t>
                    </m:r>
                  </m:sub>
                </m:sSub>
                <m:r>
                  <w:rPr>
                    <w:rFonts w:ascii="Cambria Math" w:hAnsi="Cambria Math" w:cs="Arial"/>
                    <w:sz w:val="20"/>
                    <w:szCs w:val="20"/>
                  </w:rPr>
                  <m:t>+</m:t>
                </m:r>
                <m:nary>
                  <m:naryPr>
                    <m:chr m:val="∑"/>
                    <m:limLoc m:val="undOvr"/>
                    <m:ctrlPr>
                      <w:rPr>
                        <w:rFonts w:ascii="Cambria Math" w:eastAsia="Times New Roman" w:hAnsi="Cambria Math" w:cs="Arial"/>
                        <w:bCs/>
                        <w:i/>
                        <w:sz w:val="20"/>
                        <w:szCs w:val="20"/>
                      </w:rPr>
                    </m:ctrlPr>
                  </m:naryPr>
                  <m:sub>
                    <m:r>
                      <w:rPr>
                        <w:rFonts w:ascii="Cambria Math" w:hAnsi="Cambria Math" w:cs="Arial"/>
                        <w:sz w:val="20"/>
                        <w:szCs w:val="20"/>
                      </w:rPr>
                      <m:t>i=1</m:t>
                    </m:r>
                  </m:sub>
                  <m:sup>
                    <m:r>
                      <w:rPr>
                        <w:rFonts w:ascii="Cambria Math" w:hAnsi="Cambria Math" w:cs="Arial"/>
                        <w:sz w:val="20"/>
                        <w:szCs w:val="20"/>
                      </w:rPr>
                      <m:t>p</m:t>
                    </m:r>
                  </m:sup>
                  <m:e>
                    <m:r>
                      <w:rPr>
                        <w:rFonts w:ascii="Cambria Math" w:hAnsi="Cambria Math" w:cs="Arial"/>
                        <w:sz w:val="20"/>
                        <w:szCs w:val="20"/>
                      </w:rPr>
                      <m:t>ϑ</m:t>
                    </m:r>
                    <m:r>
                      <m:rPr>
                        <m:sty m:val="p"/>
                      </m:rPr>
                      <w:rPr>
                        <w:rFonts w:ascii="Cambria Math" w:hAnsi="Cambria Math" w:cs="Arial"/>
                        <w:sz w:val="20"/>
                        <w:szCs w:val="20"/>
                      </w:rPr>
                      <m:t>Δ</m:t>
                    </m:r>
                    <m:sSub>
                      <m:sSubPr>
                        <m:ctrlPr>
                          <w:rPr>
                            <w:rFonts w:ascii="Cambria Math" w:hAnsi="Cambria Math" w:cs="Arial"/>
                            <w:bCs/>
                            <w:i/>
                            <w:sz w:val="20"/>
                            <w:szCs w:val="20"/>
                          </w:rPr>
                        </m:ctrlPr>
                      </m:sSubPr>
                      <m:e>
                        <m:r>
                          <w:rPr>
                            <w:rFonts w:ascii="Cambria Math" w:hAnsi="Cambria Math" w:cs="Arial"/>
                            <w:sz w:val="20"/>
                            <w:szCs w:val="20"/>
                          </w:rPr>
                          <m:t>y</m:t>
                        </m:r>
                      </m:e>
                      <m:sub>
                        <m:r>
                          <w:rPr>
                            <w:rFonts w:ascii="Cambria Math" w:hAnsi="Cambria Math" w:cs="Arial"/>
                            <w:sz w:val="20"/>
                            <w:szCs w:val="20"/>
                          </w:rPr>
                          <m:t>t-1</m:t>
                        </m:r>
                      </m:sub>
                    </m:sSub>
                  </m:e>
                </m:nary>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ε</m:t>
                    </m:r>
                  </m:e>
                  <m:sub>
                    <m:r>
                      <w:rPr>
                        <w:rFonts w:ascii="Cambria Math" w:hAnsi="Cambria Math" w:cs="Arial"/>
                        <w:sz w:val="20"/>
                        <w:szCs w:val="20"/>
                      </w:rPr>
                      <m:t>t</m:t>
                    </m:r>
                  </m:sub>
                </m:sSub>
              </m:oMath>
            </m:oMathPara>
          </w:p>
        </w:tc>
        <w:tc>
          <w:tcPr>
            <w:tcW w:w="805" w:type="dxa"/>
            <w:vAlign w:val="center"/>
          </w:tcPr>
          <w:p w14:paraId="108F6A03" w14:textId="77777777" w:rsidR="00AE5A21" w:rsidRPr="00434B2C" w:rsidRDefault="00AE5A21" w:rsidP="003273E5">
            <w:pPr>
              <w:jc w:val="center"/>
              <w:rPr>
                <w:rFonts w:ascii="Arial" w:hAnsi="Arial" w:cs="Arial"/>
                <w:sz w:val="20"/>
                <w:szCs w:val="20"/>
              </w:rPr>
            </w:pPr>
            <w:r w:rsidRPr="00434B2C">
              <w:rPr>
                <w:rFonts w:ascii="Arial" w:hAnsi="Arial" w:cs="Arial"/>
                <w:sz w:val="20"/>
                <w:szCs w:val="20"/>
              </w:rPr>
              <w:t>(1)</w:t>
            </w:r>
          </w:p>
        </w:tc>
      </w:tr>
    </w:tbl>
    <w:p w14:paraId="3E9057DE" w14:textId="77777777" w:rsidR="00AE5A21" w:rsidRPr="00434B2C" w:rsidRDefault="00AE5A21" w:rsidP="00633824">
      <w:pPr>
        <w:pStyle w:val="Body"/>
        <w:spacing w:after="0"/>
        <w:rPr>
          <w:rFonts w:ascii="Arial" w:hAnsi="Arial" w:cs="Arial"/>
          <w:bCs/>
        </w:rPr>
      </w:pPr>
    </w:p>
    <w:p w14:paraId="3DC2A651" w14:textId="5F92507A" w:rsidR="00633824" w:rsidRPr="00434B2C" w:rsidRDefault="00AE5A21" w:rsidP="00633824">
      <w:pPr>
        <w:pStyle w:val="Body"/>
        <w:spacing w:after="0"/>
        <w:rPr>
          <w:rFonts w:ascii="Arial" w:hAnsi="Arial" w:cs="Arial"/>
          <w:bCs/>
        </w:rPr>
      </w:pPr>
      <w:r w:rsidRPr="00434B2C">
        <w:rPr>
          <w:rFonts w:ascii="Arial" w:hAnsi="Arial" w:cs="Arial"/>
          <w:bCs/>
        </w:rPr>
        <w:t xml:space="preserve">where y represents the time-series data. </w:t>
      </w:r>
      <m:oMath>
        <m:r>
          <w:rPr>
            <w:rFonts w:ascii="Cambria Math" w:hAnsi="Cambria Math" w:cs="Arial"/>
          </w:rPr>
          <m:t>βt</m:t>
        </m:r>
      </m:oMath>
      <w:r w:rsidRPr="00434B2C">
        <w:rPr>
          <w:rFonts w:ascii="Arial" w:hAnsi="Arial" w:cs="Arial"/>
          <w:bCs/>
        </w:rPr>
        <w:t xml:space="preserve"> shows the deterministic trend. v is the constant term. DU shows the dummy for a shift in the intercept </w:t>
      </w:r>
      <w:proofErr w:type="gramStart"/>
      <w:r w:rsidRPr="00434B2C">
        <w:rPr>
          <w:rFonts w:ascii="Arial" w:hAnsi="Arial" w:cs="Arial"/>
          <w:bCs/>
        </w:rPr>
        <w:t>a the</w:t>
      </w:r>
      <w:proofErr w:type="gramEnd"/>
      <w:r w:rsidRPr="00434B2C">
        <w:rPr>
          <w:rFonts w:ascii="Arial" w:hAnsi="Arial" w:cs="Arial"/>
          <w:bCs/>
        </w:rPr>
        <w:t xml:space="preserve"> break year. DT is the dummy variable for a shift in trend slope at the break year. p is the number of lagged differences. </w:t>
      </w:r>
      <m:oMath>
        <m:sSub>
          <m:sSubPr>
            <m:ctrlPr>
              <w:rPr>
                <w:rFonts w:ascii="Cambria Math" w:hAnsi="Cambria Math" w:cs="Arial"/>
                <w:bCs/>
                <w:i/>
              </w:rPr>
            </m:ctrlPr>
          </m:sSubPr>
          <m:e>
            <m:r>
              <w:rPr>
                <w:rFonts w:ascii="Cambria Math" w:hAnsi="Cambria Math" w:cs="Arial"/>
              </w:rPr>
              <m:t>ε</m:t>
            </m:r>
          </m:e>
          <m:sub>
            <m:r>
              <w:rPr>
                <w:rFonts w:ascii="Cambria Math" w:hAnsi="Cambria Math" w:cs="Arial"/>
              </w:rPr>
              <m:t>t</m:t>
            </m:r>
          </m:sub>
        </m:sSub>
      </m:oMath>
      <w:r w:rsidRPr="00434B2C">
        <w:rPr>
          <w:rFonts w:ascii="Arial" w:hAnsi="Arial" w:cs="Arial"/>
          <w:bCs/>
        </w:rPr>
        <w:t xml:space="preserve"> is the error term.</w:t>
      </w:r>
      <w:r w:rsidR="00633824" w:rsidRPr="00434B2C">
        <w:rPr>
          <w:rFonts w:ascii="Arial" w:hAnsi="Arial" w:cs="Arial"/>
          <w:bCs/>
        </w:rPr>
        <w:t xml:space="preserve"> </w:t>
      </w:r>
    </w:p>
    <w:p w14:paraId="454A4DE6" w14:textId="77777777" w:rsidR="00505F06" w:rsidRDefault="00505F06" w:rsidP="00441B6F">
      <w:pPr>
        <w:pStyle w:val="Body"/>
        <w:spacing w:after="0"/>
        <w:rPr>
          <w:rFonts w:ascii="Arial" w:hAnsi="Arial" w:cs="Arial"/>
        </w:rPr>
      </w:pPr>
    </w:p>
    <w:p w14:paraId="44B0A64F" w14:textId="241BBD5A" w:rsidR="00AE5A21" w:rsidRDefault="00AE5A21" w:rsidP="00AE5A21">
      <w:pPr>
        <w:pStyle w:val="Body"/>
        <w:spacing w:after="0"/>
        <w:rPr>
          <w:rFonts w:ascii="Arial" w:hAnsi="Arial" w:cs="Arial"/>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Pr>
          <w:rFonts w:ascii="Arial" w:hAnsi="Arial" w:cs="Arial"/>
          <w:b/>
          <w:sz w:val="22"/>
        </w:rPr>
        <w:t xml:space="preserve">Threshold Regression </w:t>
      </w:r>
    </w:p>
    <w:p w14:paraId="21D561AE" w14:textId="77777777" w:rsidR="00AE5A21" w:rsidRDefault="00AE5A21" w:rsidP="00441B6F">
      <w:pPr>
        <w:pStyle w:val="Body"/>
        <w:spacing w:after="0"/>
        <w:rPr>
          <w:rFonts w:ascii="Arial" w:hAnsi="Arial" w:cs="Arial"/>
        </w:rPr>
      </w:pPr>
    </w:p>
    <w:p w14:paraId="28F1CDA5" w14:textId="6EED44C9" w:rsidR="00633824" w:rsidRPr="00434B2C" w:rsidRDefault="00633824" w:rsidP="00633824">
      <w:pPr>
        <w:jc w:val="both"/>
        <w:rPr>
          <w:rFonts w:ascii="Arial" w:hAnsi="Arial" w:cs="Arial"/>
        </w:rPr>
      </w:pPr>
      <w:r w:rsidRPr="00434B2C">
        <w:rPr>
          <w:rFonts w:ascii="Arial" w:hAnsi="Arial" w:cs="Arial"/>
        </w:rPr>
        <w:t xml:space="preserve">To identify the inflation threshold, this study applies the model developed by </w:t>
      </w:r>
      <w:r w:rsidRPr="00434B2C">
        <w:rPr>
          <w:rFonts w:ascii="Arial" w:hAnsi="Arial" w:cs="Arial"/>
        </w:rPr>
        <w:fldChar w:fldCharType="begin" w:fldLock="1"/>
      </w:r>
      <w:r w:rsidR="00FB7DB7" w:rsidRPr="00434B2C">
        <w:rPr>
          <w:rFonts w:ascii="Arial" w:hAnsi="Arial" w:cs="Arial"/>
        </w:rPr>
        <w:instrText>ADDIN CSL_CITATION {"citationItems":[{"id":"ITEM-1","itemData":{"DOI":"https://doi.org/10.1016/S0304-4076(99)00025-1","ISSN":"0304-4076","abstract":"Threshold regression methods are developed for non-dynamic panels with individual-specific fixed effects. Least squares estimation of the threshold and regression slopes is proposed using fixed-effects transformations. A non-standard asymptotic theory of inference is developed which allows construction of confidence intervals and testing of hypotheses. The methods are applied to a 15-year sample of 565 US firms to test whether financial constraints affect investment decisions.","author":[{"dropping-particle":"","family":"Hansen","given":"Bruce E","non-dropping-particle":"","parse-names":false,"suffix":""}],"container-title":"Journal of Econometrics","id":"ITEM-1","issue":"2","issued":{"date-parts":[["1999"]]},"page":"345-368","title":"Threshold effects in non-dynamic panels: Estimation, testing, and inference","type":"article-journal","volume":"93"},"uris":["http://www.mendeley.com/documents/?uuid=e4396e0d-6376-4596-b3b9-5deeecb86095"]}],"mendeley":{"formattedCitation":"(Hansen, 1999)","manualFormatting":"Hansen (1999)","plainTextFormattedCitation":"(Hansen, 1999)","previouslyFormattedCitation":"(Hansen, 1999)"},"properties":{"noteIndex":0},"schema":"https://github.com/citation-style-language/schema/raw/master/csl-citation.json"}</w:instrText>
      </w:r>
      <w:r w:rsidRPr="00434B2C">
        <w:rPr>
          <w:rFonts w:ascii="Arial" w:hAnsi="Arial" w:cs="Arial"/>
        </w:rPr>
        <w:fldChar w:fldCharType="separate"/>
      </w:r>
      <w:r w:rsidRPr="00434B2C">
        <w:rPr>
          <w:rFonts w:ascii="Arial" w:hAnsi="Arial" w:cs="Arial"/>
          <w:noProof/>
        </w:rPr>
        <w:t>Hansen</w:t>
      </w:r>
      <w:r w:rsidR="00FB7DB7" w:rsidRPr="00434B2C">
        <w:rPr>
          <w:rFonts w:ascii="Arial" w:hAnsi="Arial" w:cs="Arial"/>
          <w:noProof/>
        </w:rPr>
        <w:t xml:space="preserve"> (</w:t>
      </w:r>
      <w:r w:rsidRPr="00434B2C">
        <w:rPr>
          <w:rFonts w:ascii="Arial" w:hAnsi="Arial" w:cs="Arial"/>
          <w:noProof/>
        </w:rPr>
        <w:t>1999)</w:t>
      </w:r>
      <w:r w:rsidRPr="00434B2C">
        <w:rPr>
          <w:rFonts w:ascii="Arial" w:hAnsi="Arial" w:cs="Arial"/>
        </w:rPr>
        <w:fldChar w:fldCharType="end"/>
      </w:r>
      <w:r w:rsidRPr="00434B2C">
        <w:rPr>
          <w:rFonts w:ascii="Arial" w:hAnsi="Arial" w:cs="Arial"/>
        </w:rPr>
        <w:t xml:space="preserve">, which extends the standard regression framework by allowing the slope coefficients to vary across regimes determined by the threshold variable. The general </w:t>
      </w:r>
      <w:r w:rsidR="00434B2C" w:rsidRPr="00434B2C">
        <w:rPr>
          <w:rFonts w:ascii="Arial" w:hAnsi="Arial" w:cs="Arial"/>
        </w:rPr>
        <w:t xml:space="preserve">equation </w:t>
      </w:r>
      <w:r w:rsidRPr="00434B2C">
        <w:rPr>
          <w:rFonts w:ascii="Arial" w:hAnsi="Arial" w:cs="Arial"/>
        </w:rPr>
        <w:t xml:space="preserve">of the </w:t>
      </w:r>
      <w:r w:rsidR="00AE5A21" w:rsidRPr="00434B2C">
        <w:rPr>
          <w:rFonts w:ascii="Arial" w:hAnsi="Arial" w:cs="Arial"/>
        </w:rPr>
        <w:t>threshold regression</w:t>
      </w:r>
      <w:r w:rsidRPr="00434B2C">
        <w:rPr>
          <w:rFonts w:ascii="Arial" w:hAnsi="Arial" w:cs="Arial"/>
        </w:rPr>
        <w:t xml:space="preserve"> is</w:t>
      </w:r>
      <w:r w:rsidR="00AE5A21" w:rsidRPr="00434B2C">
        <w:rPr>
          <w:rFonts w:ascii="Arial" w:hAnsi="Arial" w:cs="Arial"/>
        </w:rPr>
        <w:t xml:space="preserve"> specified as Eq. (2)</w:t>
      </w:r>
      <w:r w:rsidRPr="00434B2C">
        <w:rPr>
          <w:rFonts w:ascii="Arial" w:hAnsi="Arial" w:cs="Arial"/>
        </w:rPr>
        <w:t>:</w:t>
      </w:r>
    </w:p>
    <w:p w14:paraId="6E1FD8FA" w14:textId="77777777" w:rsidR="00633824" w:rsidRPr="00434B2C" w:rsidRDefault="00633824" w:rsidP="00633824">
      <w:pPr>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53"/>
        <w:gridCol w:w="755"/>
      </w:tblGrid>
      <w:tr w:rsidR="00633824" w:rsidRPr="00434B2C" w14:paraId="6AEF2945" w14:textId="77777777" w:rsidTr="00FB7DB7">
        <w:tc>
          <w:tcPr>
            <w:tcW w:w="8545" w:type="dxa"/>
          </w:tcPr>
          <w:p w14:paraId="5F6B02E3" w14:textId="77777777" w:rsidR="00633824" w:rsidRPr="00434B2C" w:rsidRDefault="00633824" w:rsidP="006F0BD7">
            <w:pPr>
              <w:jc w:val="both"/>
              <w:rPr>
                <w:rFonts w:ascii="Arial" w:hAnsi="Arial" w:cs="Arial"/>
                <w:sz w:val="20"/>
                <w:szCs w:val="20"/>
              </w:rPr>
            </w:pPr>
          </w:p>
          <w:p w14:paraId="275AB767" w14:textId="77777777" w:rsidR="00633824" w:rsidRPr="00434B2C" w:rsidRDefault="00C3612C" w:rsidP="006F0BD7">
            <w:pPr>
              <w:jc w:val="both"/>
              <w:rPr>
                <w:rFonts w:ascii="Arial" w:eastAsiaTheme="minorEastAsia"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GDP</m:t>
                    </m:r>
                  </m:e>
                  <m:sub>
                    <m:r>
                      <w:rPr>
                        <w:rFonts w:ascii="Cambria Math" w:hAnsi="Cambria Math" w:cs="Arial"/>
                        <w:sz w:val="20"/>
                        <w:szCs w:val="20"/>
                      </w:rPr>
                      <m:t>t</m:t>
                    </m:r>
                  </m:sub>
                </m:sSub>
                <m:r>
                  <w:rPr>
                    <w:rFonts w:ascii="Cambria Math" w:hAnsi="Cambria Math" w:cs="Arial"/>
                    <w:sz w:val="20"/>
                    <w:szCs w:val="20"/>
                  </w:rPr>
                  <m:t>=α+</m:t>
                </m:r>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1</m:t>
                    </m:r>
                  </m:sub>
                </m:sSub>
                <m:sSub>
                  <m:sSubPr>
                    <m:ctrlPr>
                      <w:rPr>
                        <w:rFonts w:ascii="Cambria Math" w:hAnsi="Cambria Math" w:cs="Arial"/>
                        <w:i/>
                        <w:sz w:val="20"/>
                        <w:szCs w:val="20"/>
                      </w:rPr>
                    </m:ctrlPr>
                  </m:sSubPr>
                  <m:e>
                    <m:r>
                      <w:rPr>
                        <w:rFonts w:ascii="Cambria Math" w:hAnsi="Cambria Math" w:cs="Arial"/>
                        <w:sz w:val="20"/>
                        <w:szCs w:val="20"/>
                      </w:rPr>
                      <m:t>INF</m:t>
                    </m:r>
                  </m:e>
                  <m:sub>
                    <m:r>
                      <w:rPr>
                        <w:rFonts w:ascii="Cambria Math" w:hAnsi="Cambria Math" w:cs="Arial"/>
                        <w:sz w:val="20"/>
                        <w:szCs w:val="20"/>
                      </w:rPr>
                      <m:t>t</m:t>
                    </m:r>
                  </m:sub>
                </m:sSub>
                <m:r>
                  <w:rPr>
                    <w:rFonts w:ascii="Cambria Math" w:hAnsi="Cambria Math" w:cs="Arial"/>
                    <w:sz w:val="20"/>
                    <w:szCs w:val="20"/>
                  </w:rPr>
                  <m:t>∙I</m:t>
                </m:r>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q</m:t>
                        </m:r>
                      </m:e>
                      <m:sub>
                        <m:r>
                          <w:rPr>
                            <w:rFonts w:ascii="Cambria Math" w:hAnsi="Cambria Math" w:cs="Arial"/>
                            <w:sz w:val="20"/>
                            <w:szCs w:val="20"/>
                          </w:rPr>
                          <m:t>t</m:t>
                        </m:r>
                      </m:sub>
                    </m:sSub>
                    <m:r>
                      <w:rPr>
                        <w:rFonts w:ascii="Cambria Math" w:hAnsi="Cambria Math" w:cs="Arial"/>
                        <w:sz w:val="20"/>
                        <w:szCs w:val="20"/>
                      </w:rPr>
                      <m:t>≤γ</m:t>
                    </m:r>
                  </m:e>
                </m:d>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2</m:t>
                    </m:r>
                  </m:sub>
                </m:sSub>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2</m:t>
                    </m:r>
                  </m:sub>
                </m:sSub>
                <m:r>
                  <w:rPr>
                    <w:rFonts w:ascii="Cambria Math" w:hAnsi="Cambria Math" w:cs="Arial"/>
                    <w:sz w:val="20"/>
                    <w:szCs w:val="20"/>
                  </w:rPr>
                  <m:t>∙I</m:t>
                </m:r>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q</m:t>
                        </m:r>
                      </m:e>
                      <m:sub>
                        <m:r>
                          <w:rPr>
                            <w:rFonts w:ascii="Cambria Math" w:hAnsi="Cambria Math" w:cs="Arial"/>
                            <w:sz w:val="20"/>
                            <w:szCs w:val="20"/>
                          </w:rPr>
                          <m:t>t</m:t>
                        </m:r>
                      </m:sub>
                    </m:sSub>
                    <m:r>
                      <w:rPr>
                        <w:rFonts w:ascii="Cambria Math" w:hAnsi="Cambria Math" w:cs="Arial"/>
                        <w:sz w:val="20"/>
                        <w:szCs w:val="20"/>
                      </w:rPr>
                      <m:t>&gt;γ</m:t>
                    </m:r>
                  </m:e>
                </m:d>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λ</m:t>
                    </m:r>
                  </m:e>
                  <m:sub>
                    <m:r>
                      <w:rPr>
                        <w:rFonts w:ascii="Cambria Math" w:hAnsi="Cambria Math" w:cs="Arial"/>
                        <w:sz w:val="20"/>
                        <w:szCs w:val="20"/>
                      </w:rPr>
                      <m:t>1</m:t>
                    </m:r>
                  </m:sub>
                </m:sSub>
                <m:r>
                  <w:rPr>
                    <w:rFonts w:ascii="Cambria Math" w:hAnsi="Cambria Math" w:cs="Arial"/>
                    <w:sz w:val="20"/>
                    <w:szCs w:val="20"/>
                  </w:rPr>
                  <m:t>CA</m:t>
                </m:r>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λ</m:t>
                    </m:r>
                  </m:e>
                  <m:sub>
                    <m:r>
                      <w:rPr>
                        <w:rFonts w:ascii="Cambria Math" w:hAnsi="Cambria Math" w:cs="Arial"/>
                        <w:sz w:val="20"/>
                        <w:szCs w:val="20"/>
                      </w:rPr>
                      <m:t>2</m:t>
                    </m:r>
                  </m:sub>
                </m:sSub>
                <m:r>
                  <w:rPr>
                    <w:rFonts w:ascii="Cambria Math" w:hAnsi="Cambria Math" w:cs="Arial"/>
                    <w:sz w:val="20"/>
                    <w:szCs w:val="20"/>
                  </w:rPr>
                  <m:t>PO</m:t>
                </m:r>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e</m:t>
                    </m:r>
                  </m:e>
                  <m:sub>
                    <m:r>
                      <w:rPr>
                        <w:rFonts w:ascii="Cambria Math" w:hAnsi="Cambria Math" w:cs="Arial"/>
                        <w:sz w:val="20"/>
                        <w:szCs w:val="20"/>
                      </w:rPr>
                      <m:t>t</m:t>
                    </m:r>
                  </m:sub>
                </m:sSub>
              </m:oMath>
            </m:oMathPara>
          </w:p>
          <w:p w14:paraId="5E3AA456" w14:textId="77777777" w:rsidR="00633824" w:rsidRPr="00434B2C" w:rsidRDefault="00633824" w:rsidP="006F0BD7">
            <w:pPr>
              <w:jc w:val="both"/>
              <w:rPr>
                <w:rFonts w:ascii="Arial" w:hAnsi="Arial" w:cs="Arial"/>
                <w:sz w:val="20"/>
                <w:szCs w:val="20"/>
              </w:rPr>
            </w:pPr>
          </w:p>
        </w:tc>
        <w:tc>
          <w:tcPr>
            <w:tcW w:w="805" w:type="dxa"/>
            <w:vAlign w:val="center"/>
          </w:tcPr>
          <w:p w14:paraId="0ABF60BF" w14:textId="1BEA02BC" w:rsidR="00633824" w:rsidRPr="00434B2C" w:rsidRDefault="00633824" w:rsidP="00633824">
            <w:pPr>
              <w:jc w:val="center"/>
              <w:rPr>
                <w:rFonts w:ascii="Arial" w:hAnsi="Arial" w:cs="Arial"/>
                <w:sz w:val="20"/>
                <w:szCs w:val="20"/>
              </w:rPr>
            </w:pPr>
            <w:r w:rsidRPr="00434B2C">
              <w:rPr>
                <w:rFonts w:ascii="Arial" w:hAnsi="Arial" w:cs="Arial"/>
                <w:sz w:val="20"/>
                <w:szCs w:val="20"/>
              </w:rPr>
              <w:t>(</w:t>
            </w:r>
            <w:r w:rsidR="00AE5A21" w:rsidRPr="00434B2C">
              <w:rPr>
                <w:rFonts w:ascii="Arial" w:hAnsi="Arial" w:cs="Arial"/>
                <w:sz w:val="20"/>
                <w:szCs w:val="20"/>
              </w:rPr>
              <w:t>2</w:t>
            </w:r>
            <w:r w:rsidRPr="00434B2C">
              <w:rPr>
                <w:rFonts w:ascii="Arial" w:hAnsi="Arial" w:cs="Arial"/>
                <w:sz w:val="20"/>
                <w:szCs w:val="20"/>
              </w:rPr>
              <w:t>)</w:t>
            </w:r>
          </w:p>
        </w:tc>
      </w:tr>
    </w:tbl>
    <w:p w14:paraId="740F2A82" w14:textId="77777777" w:rsidR="00633824" w:rsidRPr="00434B2C" w:rsidRDefault="00633824" w:rsidP="00633824">
      <w:pPr>
        <w:jc w:val="both"/>
        <w:rPr>
          <w:rFonts w:ascii="Arial" w:eastAsiaTheme="minorEastAsia" w:hAnsi="Arial" w:cs="Arial"/>
        </w:rPr>
      </w:pPr>
    </w:p>
    <w:p w14:paraId="666D78FE" w14:textId="3C613EE1" w:rsidR="00633824" w:rsidRDefault="00633824" w:rsidP="00633824">
      <w:pPr>
        <w:pStyle w:val="Body"/>
        <w:spacing w:after="0"/>
        <w:rPr>
          <w:rFonts w:ascii="Arial" w:eastAsiaTheme="minorEastAsia" w:hAnsi="Arial" w:cs="Arial"/>
        </w:rPr>
      </w:pPr>
      <w:r w:rsidRPr="00434B2C">
        <w:rPr>
          <w:rFonts w:ascii="Arial" w:eastAsiaTheme="minorEastAsia" w:hAnsi="Arial" w:cs="Arial"/>
        </w:rPr>
        <w:t xml:space="preserve">where GDP </w:t>
      </w:r>
      <w:r w:rsidR="00F66A92" w:rsidRPr="00434B2C">
        <w:rPr>
          <w:rFonts w:ascii="Arial" w:eastAsiaTheme="minorEastAsia" w:hAnsi="Arial" w:cs="Arial"/>
        </w:rPr>
        <w:t>stands for</w:t>
      </w:r>
      <w:r w:rsidRPr="00434B2C">
        <w:rPr>
          <w:rFonts w:ascii="Arial" w:eastAsiaTheme="minorEastAsia" w:hAnsi="Arial" w:cs="Arial"/>
        </w:rPr>
        <w:t xml:space="preserve"> economic growth</w:t>
      </w:r>
      <w:r w:rsidR="00F66A92" w:rsidRPr="00434B2C">
        <w:rPr>
          <w:rFonts w:ascii="Arial" w:eastAsiaTheme="minorEastAsia" w:hAnsi="Arial" w:cs="Arial"/>
        </w:rPr>
        <w:t xml:space="preserve">. </w:t>
      </w:r>
      <w:r w:rsidRPr="00434B2C">
        <w:rPr>
          <w:rFonts w:ascii="Arial" w:eastAsiaTheme="minorEastAsia" w:hAnsi="Arial" w:cs="Arial"/>
        </w:rPr>
        <w:t xml:space="preserve">INF </w:t>
      </w:r>
      <w:r w:rsidR="007E5968">
        <w:rPr>
          <w:rFonts w:ascii="Arial" w:eastAsiaTheme="minorEastAsia" w:hAnsi="Arial" w:cs="Arial"/>
        </w:rPr>
        <w:t>shows</w:t>
      </w:r>
      <w:r w:rsidR="00F66A92" w:rsidRPr="00434B2C">
        <w:rPr>
          <w:rFonts w:ascii="Arial" w:eastAsiaTheme="minorEastAsia" w:hAnsi="Arial" w:cs="Arial"/>
        </w:rPr>
        <w:t xml:space="preserve"> </w:t>
      </w:r>
      <w:r w:rsidRPr="00434B2C">
        <w:rPr>
          <w:rFonts w:ascii="Arial" w:eastAsiaTheme="minorEastAsia" w:hAnsi="Arial" w:cs="Arial"/>
        </w:rPr>
        <w:t xml:space="preserve">inflation rates, </w:t>
      </w:r>
      <w:r w:rsidR="00F66A92" w:rsidRPr="00434B2C">
        <w:rPr>
          <w:rFonts w:ascii="Arial" w:eastAsiaTheme="minorEastAsia" w:hAnsi="Arial" w:cs="Arial"/>
        </w:rPr>
        <w:t xml:space="preserve">proxied by </w:t>
      </w:r>
      <w:r w:rsidR="007E5968">
        <w:rPr>
          <w:rFonts w:ascii="Arial" w:eastAsiaTheme="minorEastAsia" w:hAnsi="Arial" w:cs="Arial"/>
        </w:rPr>
        <w:t>GDP deflator</w:t>
      </w:r>
      <w:r w:rsidR="00F66A92" w:rsidRPr="00434B2C">
        <w:rPr>
          <w:rFonts w:ascii="Arial" w:eastAsiaTheme="minorEastAsia" w:hAnsi="Arial" w:cs="Arial"/>
        </w:rPr>
        <w:t xml:space="preserve">. </w:t>
      </w:r>
      <w:r w:rsidRPr="00434B2C">
        <w:rPr>
          <w:rFonts w:ascii="Arial" w:eastAsiaTheme="minorEastAsia" w:hAnsi="Arial" w:cs="Arial"/>
        </w:rPr>
        <w:t xml:space="preserve">qt </w:t>
      </w:r>
      <w:r w:rsidR="007E5968">
        <w:rPr>
          <w:rFonts w:ascii="Arial" w:eastAsiaTheme="minorEastAsia" w:hAnsi="Arial" w:cs="Arial"/>
        </w:rPr>
        <w:t>is</w:t>
      </w:r>
      <w:r w:rsidRPr="00434B2C">
        <w:rPr>
          <w:rFonts w:ascii="Arial" w:eastAsiaTheme="minorEastAsia" w:hAnsi="Arial" w:cs="Arial"/>
        </w:rPr>
        <w:t xml:space="preserve"> the threshold variable. γ is an unknown threshold value to be estimated.  β1 and β2 </w:t>
      </w:r>
      <w:r w:rsidR="007E5968">
        <w:rPr>
          <w:rFonts w:ascii="Arial" w:eastAsiaTheme="minorEastAsia" w:hAnsi="Arial" w:cs="Arial"/>
        </w:rPr>
        <w:t>are</w:t>
      </w:r>
      <w:r w:rsidRPr="00434B2C">
        <w:rPr>
          <w:rFonts w:ascii="Arial" w:eastAsiaTheme="minorEastAsia" w:hAnsi="Arial" w:cs="Arial"/>
        </w:rPr>
        <w:t xml:space="preserve"> coefficients for regimes below and above the threshold. I(.) denotes an indicator function, equal to 1 if the condition holds and 0 otherwise. </w:t>
      </w:r>
      <w:r w:rsidR="007E5968" w:rsidRPr="007E5968">
        <w:rPr>
          <w:rFonts w:ascii="Arial" w:eastAsiaTheme="minorEastAsia" w:hAnsi="Arial" w:cs="Arial"/>
        </w:rPr>
        <w:t>CAP represents the growth in gross fixed capital formation, while POP denotes population growth, measured specifically by the growth of the working-age population</w:t>
      </w:r>
      <w:r w:rsidR="007E5968">
        <w:rPr>
          <w:rFonts w:ascii="Arial" w:eastAsiaTheme="minorEastAsia" w:hAnsi="Arial" w:cs="Arial"/>
        </w:rPr>
        <w:t xml:space="preserve">. </w:t>
      </w:r>
      <w:r w:rsidRPr="00434B2C">
        <w:rPr>
          <w:rFonts w:ascii="Arial" w:eastAsiaTheme="minorEastAsia" w:hAnsi="Arial" w:cs="Arial"/>
        </w:rPr>
        <w:t>λ1 and λ2 are coefficients of capital growth and population growth to be estimated. e is the error term</w:t>
      </w:r>
      <w:r w:rsidR="007E5968">
        <w:rPr>
          <w:rFonts w:ascii="Arial" w:eastAsiaTheme="minorEastAsia" w:hAnsi="Arial" w:cs="Arial"/>
        </w:rPr>
        <w:t>.</w:t>
      </w:r>
    </w:p>
    <w:p w14:paraId="4E57756B" w14:textId="77777777" w:rsidR="007E5968" w:rsidRDefault="007E5968" w:rsidP="00633824">
      <w:pPr>
        <w:pStyle w:val="Body"/>
        <w:spacing w:after="0"/>
        <w:rPr>
          <w:rFonts w:ascii="Arial" w:hAnsi="Arial" w:cs="Arial"/>
        </w:rPr>
      </w:pPr>
    </w:p>
    <w:p w14:paraId="736825AC" w14:textId="67209100" w:rsidR="00633824" w:rsidRDefault="007E5968" w:rsidP="00441B6F">
      <w:pPr>
        <w:pStyle w:val="Body"/>
        <w:spacing w:after="0"/>
        <w:rPr>
          <w:rFonts w:ascii="Arial" w:hAnsi="Arial" w:cs="Arial"/>
        </w:rPr>
      </w:pPr>
      <w:r w:rsidRPr="007E5968">
        <w:rPr>
          <w:rFonts w:ascii="Arial" w:hAnsi="Arial" w:cs="Arial"/>
        </w:rPr>
        <w:t xml:space="preserve">While this study builds on the basic </w:t>
      </w:r>
      <w:r>
        <w:rPr>
          <w:rFonts w:ascii="Arial" w:hAnsi="Arial" w:cs="Arial"/>
        </w:rPr>
        <w:t>TAR</w:t>
      </w:r>
      <w:r w:rsidRPr="007E5968">
        <w:rPr>
          <w:rFonts w:ascii="Arial" w:hAnsi="Arial" w:cs="Arial"/>
        </w:rPr>
        <w:t xml:space="preserve"> model, it employs the robust TAR approach. The robust TAR is preferred as it delivers more reliable estimation and statistical inference for threshold models, remaining valid even under non-ideal conditions. This </w:t>
      </w:r>
      <w:r>
        <w:rPr>
          <w:rFonts w:ascii="Arial" w:hAnsi="Arial" w:cs="Arial"/>
        </w:rPr>
        <w:t>method</w:t>
      </w:r>
      <w:r w:rsidRPr="007E5968">
        <w:rPr>
          <w:rFonts w:ascii="Arial" w:hAnsi="Arial" w:cs="Arial"/>
        </w:rPr>
        <w:t xml:space="preserve"> is particularly </w:t>
      </w:r>
      <w:r w:rsidRPr="007E5968">
        <w:rPr>
          <w:rFonts w:ascii="Arial" w:hAnsi="Arial" w:cs="Arial"/>
        </w:rPr>
        <w:lastRenderedPageBreak/>
        <w:t>appropriate when the true underlying model exhibits either a kink or a discontinuous change at the threshold</w:t>
      </w:r>
      <w:r>
        <w:rPr>
          <w:rFonts w:ascii="Arial" w:hAnsi="Arial" w:cs="Arial"/>
        </w:rPr>
        <w:t xml:space="preserve"> </w:t>
      </w:r>
      <w:r>
        <w:rPr>
          <w:rFonts w:ascii="Arial" w:hAnsi="Arial" w:cs="Arial"/>
        </w:rPr>
        <w:fldChar w:fldCharType="begin" w:fldLock="1"/>
      </w:r>
      <w:r w:rsidR="00431217">
        <w:rPr>
          <w:rFonts w:ascii="Arial" w:hAnsi="Arial" w:cs="Arial"/>
        </w:rPr>
        <w:instrText>ADDIN CSL_CITATION {"citationItems":[{"id":"ITEM-1","itemData":{"DOI":"10.1016/j.jeconom.2019.01.008","ISSN":"18726895","abstract":"This paper considers robust inference in threshold regression models when the practitioners do not know whether at the threshold point the true specification has a kink or a jump, nesting previous works that assume either continuity or discontinuity at the threshold. We find that the parameter values under the kink restriction are irregular points of the Hessian matrix, destroying the asymptotic normality and inducing the cube-root convergence rate for the threshold estimate. However, we are able to obtain the same asymptotic distribution as Hansen (2000) for the quasi-likelihood ratio statistic for the unknown threshold. We propose to construct confidence intervals for the threshold by bootstrap test inversion. Finite sample performances of the proposed procedures are examined through Monte Carlo simulations and an economic empirical application is given.","author":[{"dropping-particle":"","family":"Hidalgo","given":"Javier","non-dropping-particle":"","parse-names":false,"suffix":""},{"dropping-particle":"","family":"Lee","given":"Jungyoon","non-dropping-particle":"","parse-names":false,"suffix":""},{"dropping-particle":"","family":"Seo","given":"Myung Hwan","non-dropping-particle":"","parse-names":false,"suffix":""}],"container-title":"Journal of Econometrics","id":"ITEM-1","issue":"2","issued":{"date-parts":[["2019"]]},"page":"291-309","title":"Robust inference for threshold regression models","type":"article-journal","volume":"210"},"uris":["http://www.mendeley.com/documents/?uuid=5731f909-4587-4b65-addf-9ec9d4daff19"]}],"mendeley":{"formattedCitation":"(Hidalgo et al., 2019)","plainTextFormattedCitation":"(Hidalgo et al., 2019)","previouslyFormattedCitation":"(Hidalgo et al., 2019)"},"properties":{"noteIndex":0},"schema":"https://github.com/citation-style-language/schema/raw/master/csl-citation.json"}</w:instrText>
      </w:r>
      <w:r>
        <w:rPr>
          <w:rFonts w:ascii="Arial" w:hAnsi="Arial" w:cs="Arial"/>
        </w:rPr>
        <w:fldChar w:fldCharType="separate"/>
      </w:r>
      <w:r w:rsidRPr="007E5968">
        <w:rPr>
          <w:rFonts w:ascii="Arial" w:hAnsi="Arial" w:cs="Arial"/>
          <w:noProof/>
        </w:rPr>
        <w:t>(Hidalgo et al., 2019)</w:t>
      </w:r>
      <w:r>
        <w:rPr>
          <w:rFonts w:ascii="Arial" w:hAnsi="Arial" w:cs="Arial"/>
        </w:rPr>
        <w:fldChar w:fldCharType="end"/>
      </w:r>
      <w:r>
        <w:rPr>
          <w:rFonts w:ascii="Arial" w:hAnsi="Arial" w:cs="Arial"/>
        </w:rPr>
        <w:t>.</w:t>
      </w:r>
    </w:p>
    <w:p w14:paraId="651F1E5C" w14:textId="77777777" w:rsidR="007E5968" w:rsidRDefault="007E5968" w:rsidP="00441B6F">
      <w:pPr>
        <w:pStyle w:val="Body"/>
        <w:spacing w:after="0"/>
        <w:rPr>
          <w:rFonts w:ascii="Arial" w:hAnsi="Arial" w:cs="Arial"/>
        </w:rPr>
      </w:pPr>
    </w:p>
    <w:p w14:paraId="0312507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30847EB" w14:textId="77777777" w:rsidR="00790ADA" w:rsidRDefault="00790ADA" w:rsidP="00441B6F">
      <w:pPr>
        <w:pStyle w:val="Body"/>
        <w:spacing w:after="0"/>
        <w:rPr>
          <w:rFonts w:ascii="Arial" w:hAnsi="Arial" w:cs="Arial"/>
        </w:rPr>
      </w:pPr>
    </w:p>
    <w:p w14:paraId="3F0E5C0C" w14:textId="5D664282" w:rsidR="00697B05" w:rsidRDefault="003E163A" w:rsidP="00697B05">
      <w:pPr>
        <w:jc w:val="both"/>
        <w:rPr>
          <w:rFonts w:ascii="Arial" w:hAnsi="Arial" w:cs="Arial"/>
          <w:b/>
          <w:bCs/>
        </w:rPr>
      </w:pPr>
      <w:r>
        <w:rPr>
          <w:rFonts w:ascii="Arial" w:hAnsi="Arial"/>
          <w:b/>
        </w:rPr>
        <w:t xml:space="preserve">Table 2. </w:t>
      </w:r>
      <w:r w:rsidR="00697B05" w:rsidRPr="003E163A">
        <w:rPr>
          <w:rFonts w:ascii="Arial" w:hAnsi="Arial" w:cs="Arial"/>
          <w:b/>
          <w:bCs/>
        </w:rPr>
        <w:t>Descriptive statistics</w:t>
      </w:r>
    </w:p>
    <w:p w14:paraId="0DA52B81" w14:textId="77777777" w:rsidR="003E163A" w:rsidRDefault="003E163A" w:rsidP="00697B05">
      <w:pPr>
        <w:jc w:val="both"/>
        <w:rPr>
          <w:rFonts w:ascii="Times New Roman" w:hAnsi="Times New Roman" w:cs="Arial"/>
          <w:bCs/>
        </w:rPr>
      </w:pPr>
    </w:p>
    <w:tbl>
      <w:tblPr>
        <w:tblW w:w="8424" w:type="dxa"/>
        <w:jc w:val="center"/>
        <w:tblLook w:val="01E0" w:firstRow="1" w:lastRow="1" w:firstColumn="1" w:lastColumn="1" w:noHBand="0" w:noVBand="0"/>
      </w:tblPr>
      <w:tblGrid>
        <w:gridCol w:w="1774"/>
        <w:gridCol w:w="1504"/>
        <w:gridCol w:w="1746"/>
        <w:gridCol w:w="1996"/>
        <w:gridCol w:w="1404"/>
      </w:tblGrid>
      <w:tr w:rsidR="00466C84" w:rsidRPr="00DC3180" w14:paraId="6929EC8D" w14:textId="77777777" w:rsidTr="00466C84">
        <w:trPr>
          <w:jc w:val="center"/>
        </w:trPr>
        <w:tc>
          <w:tcPr>
            <w:tcW w:w="1774" w:type="dxa"/>
            <w:tcBorders>
              <w:top w:val="single" w:sz="4" w:space="0" w:color="000000"/>
              <w:bottom w:val="single" w:sz="4" w:space="0" w:color="000000"/>
            </w:tcBorders>
            <w:vAlign w:val="bottom"/>
          </w:tcPr>
          <w:p w14:paraId="6BAE0FB6" w14:textId="1E2DAFEE" w:rsidR="00466C84" w:rsidRPr="00466C84" w:rsidRDefault="00466C84" w:rsidP="00466C84">
            <w:pPr>
              <w:jc w:val="right"/>
              <w:rPr>
                <w:rFonts w:ascii="Arial" w:hAnsi="Arial" w:cs="Arial"/>
                <w:b/>
                <w:bCs/>
              </w:rPr>
            </w:pPr>
          </w:p>
        </w:tc>
        <w:tc>
          <w:tcPr>
            <w:tcW w:w="1504" w:type="dxa"/>
            <w:tcBorders>
              <w:top w:val="single" w:sz="4" w:space="0" w:color="000000"/>
              <w:bottom w:val="single" w:sz="4" w:space="0" w:color="000000"/>
            </w:tcBorders>
            <w:vAlign w:val="center"/>
          </w:tcPr>
          <w:p w14:paraId="57223E1F" w14:textId="599F3BD4" w:rsidR="00466C84" w:rsidRPr="00466C84" w:rsidRDefault="00466C84" w:rsidP="00466C84">
            <w:pPr>
              <w:jc w:val="right"/>
              <w:rPr>
                <w:rFonts w:ascii="Arial" w:hAnsi="Arial" w:cs="Arial"/>
                <w:b/>
                <w:bCs/>
              </w:rPr>
            </w:pPr>
            <w:r w:rsidRPr="00466C84">
              <w:rPr>
                <w:rFonts w:ascii="Arial" w:hAnsi="Arial" w:cs="Arial"/>
                <w:b/>
                <w:bCs/>
                <w:color w:val="000000"/>
              </w:rPr>
              <w:t>GDP</w:t>
            </w:r>
          </w:p>
        </w:tc>
        <w:tc>
          <w:tcPr>
            <w:tcW w:w="1746" w:type="dxa"/>
            <w:tcBorders>
              <w:top w:val="single" w:sz="4" w:space="0" w:color="000000"/>
              <w:bottom w:val="single" w:sz="4" w:space="0" w:color="000000"/>
            </w:tcBorders>
            <w:vAlign w:val="center"/>
          </w:tcPr>
          <w:p w14:paraId="2E622229" w14:textId="2B54D587" w:rsidR="00466C84" w:rsidRPr="00466C84" w:rsidRDefault="00466C84" w:rsidP="00466C84">
            <w:pPr>
              <w:jc w:val="right"/>
              <w:rPr>
                <w:rFonts w:ascii="Arial" w:hAnsi="Arial" w:cs="Arial"/>
                <w:b/>
                <w:bCs/>
              </w:rPr>
            </w:pPr>
            <w:r>
              <w:rPr>
                <w:rFonts w:ascii="Arial" w:hAnsi="Arial" w:cs="Arial"/>
                <w:b/>
                <w:bCs/>
              </w:rPr>
              <w:t>INF</w:t>
            </w:r>
          </w:p>
        </w:tc>
        <w:tc>
          <w:tcPr>
            <w:tcW w:w="1996" w:type="dxa"/>
            <w:tcBorders>
              <w:top w:val="single" w:sz="4" w:space="0" w:color="000000"/>
              <w:bottom w:val="single" w:sz="4" w:space="0" w:color="000000"/>
            </w:tcBorders>
            <w:vAlign w:val="center"/>
          </w:tcPr>
          <w:p w14:paraId="0F9DA5D7" w14:textId="4722B8C0" w:rsidR="00466C84" w:rsidRPr="00466C84" w:rsidRDefault="00466C84" w:rsidP="00466C84">
            <w:pPr>
              <w:jc w:val="right"/>
              <w:rPr>
                <w:rFonts w:ascii="Arial" w:hAnsi="Arial" w:cs="Arial"/>
                <w:b/>
                <w:bCs/>
              </w:rPr>
            </w:pPr>
            <w:r>
              <w:rPr>
                <w:rFonts w:ascii="Arial" w:hAnsi="Arial" w:cs="Arial"/>
                <w:b/>
                <w:bCs/>
              </w:rPr>
              <w:t>CAP</w:t>
            </w:r>
          </w:p>
        </w:tc>
        <w:tc>
          <w:tcPr>
            <w:tcW w:w="1404" w:type="dxa"/>
            <w:tcBorders>
              <w:top w:val="single" w:sz="4" w:space="0" w:color="000000"/>
              <w:bottom w:val="single" w:sz="4" w:space="0" w:color="000000"/>
            </w:tcBorders>
            <w:vAlign w:val="center"/>
          </w:tcPr>
          <w:p w14:paraId="2DEFF229" w14:textId="69BD5B9F" w:rsidR="00466C84" w:rsidRPr="00466C84" w:rsidRDefault="00466C84" w:rsidP="00466C84">
            <w:pPr>
              <w:jc w:val="right"/>
              <w:rPr>
                <w:rFonts w:ascii="Arial" w:hAnsi="Arial" w:cs="Arial"/>
                <w:b/>
                <w:bCs/>
              </w:rPr>
            </w:pPr>
            <w:r>
              <w:rPr>
                <w:rFonts w:ascii="Arial" w:hAnsi="Arial" w:cs="Arial"/>
                <w:b/>
                <w:bCs/>
              </w:rPr>
              <w:t>POP</w:t>
            </w:r>
          </w:p>
        </w:tc>
      </w:tr>
      <w:tr w:rsidR="00466C84" w:rsidRPr="00DC3180" w14:paraId="3FB9DC00" w14:textId="77777777" w:rsidTr="00466C84">
        <w:trPr>
          <w:jc w:val="center"/>
        </w:trPr>
        <w:tc>
          <w:tcPr>
            <w:tcW w:w="1774" w:type="dxa"/>
            <w:tcBorders>
              <w:top w:val="single" w:sz="4" w:space="0" w:color="000000"/>
            </w:tcBorders>
            <w:vAlign w:val="bottom"/>
          </w:tcPr>
          <w:p w14:paraId="0864DF60" w14:textId="542DFA6E" w:rsidR="00466C84" w:rsidRPr="00466C84" w:rsidRDefault="00466C84" w:rsidP="00466C84">
            <w:pPr>
              <w:rPr>
                <w:rFonts w:ascii="Arial" w:hAnsi="Arial" w:cs="Arial"/>
              </w:rPr>
            </w:pPr>
            <w:r w:rsidRPr="00466C84">
              <w:rPr>
                <w:rFonts w:ascii="Arial" w:hAnsi="Arial" w:cs="Arial"/>
                <w:color w:val="000000"/>
              </w:rPr>
              <w:t>Mean</w:t>
            </w:r>
          </w:p>
        </w:tc>
        <w:tc>
          <w:tcPr>
            <w:tcW w:w="1504" w:type="dxa"/>
            <w:tcBorders>
              <w:top w:val="single" w:sz="4" w:space="0" w:color="000000"/>
            </w:tcBorders>
            <w:vAlign w:val="bottom"/>
          </w:tcPr>
          <w:p w14:paraId="7DCEBE07" w14:textId="60B85697" w:rsidR="00466C84" w:rsidRPr="00466C84" w:rsidRDefault="00466C84" w:rsidP="00466C84">
            <w:pPr>
              <w:jc w:val="right"/>
              <w:rPr>
                <w:rFonts w:ascii="Arial" w:hAnsi="Arial" w:cs="Arial"/>
              </w:rPr>
            </w:pPr>
            <w:r w:rsidRPr="00466C84">
              <w:rPr>
                <w:rFonts w:ascii="Arial" w:hAnsi="Arial" w:cs="Arial"/>
                <w:color w:val="000000"/>
              </w:rPr>
              <w:t>4.650</w:t>
            </w:r>
          </w:p>
        </w:tc>
        <w:tc>
          <w:tcPr>
            <w:tcW w:w="1746" w:type="dxa"/>
            <w:tcBorders>
              <w:top w:val="single" w:sz="4" w:space="0" w:color="000000"/>
            </w:tcBorders>
            <w:vAlign w:val="bottom"/>
          </w:tcPr>
          <w:p w14:paraId="7DEA217A" w14:textId="711AAB66" w:rsidR="00466C84" w:rsidRPr="00466C84" w:rsidRDefault="00466C84" w:rsidP="00466C84">
            <w:pPr>
              <w:jc w:val="right"/>
              <w:rPr>
                <w:rFonts w:ascii="Arial" w:hAnsi="Arial" w:cs="Arial"/>
              </w:rPr>
            </w:pPr>
            <w:r w:rsidRPr="00466C84">
              <w:rPr>
                <w:rFonts w:ascii="Arial" w:hAnsi="Arial" w:cs="Arial"/>
                <w:color w:val="000000"/>
              </w:rPr>
              <w:t>10.439</w:t>
            </w:r>
          </w:p>
        </w:tc>
        <w:tc>
          <w:tcPr>
            <w:tcW w:w="1996" w:type="dxa"/>
            <w:tcBorders>
              <w:top w:val="single" w:sz="4" w:space="0" w:color="000000"/>
            </w:tcBorders>
            <w:vAlign w:val="bottom"/>
          </w:tcPr>
          <w:p w14:paraId="20DA2CE9" w14:textId="367FEA79" w:rsidR="00466C84" w:rsidRPr="00466C84" w:rsidRDefault="00466C84" w:rsidP="00466C84">
            <w:pPr>
              <w:jc w:val="right"/>
              <w:rPr>
                <w:rFonts w:ascii="Arial" w:hAnsi="Arial" w:cs="Arial"/>
              </w:rPr>
            </w:pPr>
            <w:r w:rsidRPr="00466C84">
              <w:rPr>
                <w:rFonts w:ascii="Arial" w:hAnsi="Arial" w:cs="Arial"/>
                <w:color w:val="000000"/>
              </w:rPr>
              <w:t>5.052</w:t>
            </w:r>
          </w:p>
        </w:tc>
        <w:tc>
          <w:tcPr>
            <w:tcW w:w="1404" w:type="dxa"/>
            <w:tcBorders>
              <w:top w:val="single" w:sz="4" w:space="0" w:color="000000"/>
            </w:tcBorders>
            <w:vAlign w:val="bottom"/>
          </w:tcPr>
          <w:p w14:paraId="6CF9A19C" w14:textId="5B10D89F" w:rsidR="00466C84" w:rsidRPr="00466C84" w:rsidRDefault="00466C84" w:rsidP="00466C84">
            <w:pPr>
              <w:jc w:val="right"/>
              <w:rPr>
                <w:rFonts w:ascii="Arial" w:hAnsi="Arial" w:cs="Arial"/>
              </w:rPr>
            </w:pPr>
            <w:r w:rsidRPr="00466C84">
              <w:rPr>
                <w:rFonts w:ascii="Arial" w:hAnsi="Arial" w:cs="Arial"/>
                <w:color w:val="000000"/>
              </w:rPr>
              <w:t>1.663</w:t>
            </w:r>
          </w:p>
        </w:tc>
      </w:tr>
      <w:tr w:rsidR="00466C84" w:rsidRPr="00DC3180" w14:paraId="7C3B2AC0" w14:textId="77777777" w:rsidTr="00466C84">
        <w:trPr>
          <w:jc w:val="center"/>
        </w:trPr>
        <w:tc>
          <w:tcPr>
            <w:tcW w:w="1774" w:type="dxa"/>
            <w:vAlign w:val="bottom"/>
          </w:tcPr>
          <w:p w14:paraId="5839CF6E" w14:textId="02ED2A80" w:rsidR="00466C84" w:rsidRPr="00466C84" w:rsidRDefault="00466C84" w:rsidP="00466C84">
            <w:pPr>
              <w:rPr>
                <w:rFonts w:ascii="Arial" w:hAnsi="Arial" w:cs="Arial"/>
              </w:rPr>
            </w:pPr>
            <w:r w:rsidRPr="00466C84">
              <w:rPr>
                <w:rFonts w:ascii="Arial" w:hAnsi="Arial" w:cs="Arial"/>
                <w:color w:val="000000"/>
              </w:rPr>
              <w:t>Median</w:t>
            </w:r>
          </w:p>
        </w:tc>
        <w:tc>
          <w:tcPr>
            <w:tcW w:w="1504" w:type="dxa"/>
            <w:vAlign w:val="bottom"/>
          </w:tcPr>
          <w:p w14:paraId="2E661500" w14:textId="03295BDA" w:rsidR="00466C84" w:rsidRPr="00466C84" w:rsidRDefault="00466C84" w:rsidP="00466C84">
            <w:pPr>
              <w:jc w:val="right"/>
              <w:rPr>
                <w:rFonts w:ascii="Arial" w:hAnsi="Arial" w:cs="Arial"/>
              </w:rPr>
            </w:pPr>
            <w:r w:rsidRPr="00466C84">
              <w:rPr>
                <w:rFonts w:ascii="Arial" w:hAnsi="Arial" w:cs="Arial"/>
                <w:color w:val="000000"/>
              </w:rPr>
              <w:t>5.059</w:t>
            </w:r>
          </w:p>
        </w:tc>
        <w:tc>
          <w:tcPr>
            <w:tcW w:w="1746" w:type="dxa"/>
            <w:vAlign w:val="bottom"/>
          </w:tcPr>
          <w:p w14:paraId="6DC6F539" w14:textId="1DD02196" w:rsidR="00466C84" w:rsidRPr="00466C84" w:rsidRDefault="00466C84" w:rsidP="00466C84">
            <w:pPr>
              <w:jc w:val="right"/>
              <w:rPr>
                <w:rFonts w:ascii="Arial" w:hAnsi="Arial" w:cs="Arial"/>
              </w:rPr>
            </w:pPr>
            <w:r w:rsidRPr="00466C84">
              <w:rPr>
                <w:rFonts w:ascii="Arial" w:hAnsi="Arial" w:cs="Arial"/>
                <w:color w:val="000000"/>
              </w:rPr>
              <w:t>8.026</w:t>
            </w:r>
          </w:p>
        </w:tc>
        <w:tc>
          <w:tcPr>
            <w:tcW w:w="1996" w:type="dxa"/>
            <w:vAlign w:val="bottom"/>
          </w:tcPr>
          <w:p w14:paraId="3CD78A39" w14:textId="60C16E81" w:rsidR="00466C84" w:rsidRPr="00466C84" w:rsidRDefault="00466C84" w:rsidP="00466C84">
            <w:pPr>
              <w:jc w:val="right"/>
              <w:rPr>
                <w:rFonts w:ascii="Arial" w:hAnsi="Arial" w:cs="Arial"/>
              </w:rPr>
            </w:pPr>
            <w:r w:rsidRPr="00466C84">
              <w:rPr>
                <w:rFonts w:ascii="Arial" w:hAnsi="Arial" w:cs="Arial"/>
                <w:color w:val="000000"/>
              </w:rPr>
              <w:t>5.350</w:t>
            </w:r>
          </w:p>
        </w:tc>
        <w:tc>
          <w:tcPr>
            <w:tcW w:w="1404" w:type="dxa"/>
            <w:vAlign w:val="bottom"/>
          </w:tcPr>
          <w:p w14:paraId="33DE8FB0" w14:textId="168DCA60" w:rsidR="00466C84" w:rsidRPr="00466C84" w:rsidRDefault="00466C84" w:rsidP="00466C84">
            <w:pPr>
              <w:jc w:val="right"/>
              <w:rPr>
                <w:rFonts w:ascii="Arial" w:hAnsi="Arial" w:cs="Arial"/>
              </w:rPr>
            </w:pPr>
            <w:r w:rsidRPr="00466C84">
              <w:rPr>
                <w:rFonts w:ascii="Arial" w:hAnsi="Arial" w:cs="Arial"/>
                <w:color w:val="000000"/>
              </w:rPr>
              <w:t>1.547</w:t>
            </w:r>
          </w:p>
        </w:tc>
      </w:tr>
      <w:tr w:rsidR="00466C84" w:rsidRPr="00DC3180" w14:paraId="3B57A117" w14:textId="77777777" w:rsidTr="00466C84">
        <w:trPr>
          <w:jc w:val="center"/>
        </w:trPr>
        <w:tc>
          <w:tcPr>
            <w:tcW w:w="1774" w:type="dxa"/>
            <w:vAlign w:val="bottom"/>
          </w:tcPr>
          <w:p w14:paraId="04E40376" w14:textId="5F84307D" w:rsidR="00466C84" w:rsidRPr="00466C84" w:rsidRDefault="00466C84" w:rsidP="00466C84">
            <w:pPr>
              <w:rPr>
                <w:rFonts w:ascii="Arial" w:hAnsi="Arial" w:cs="Arial"/>
              </w:rPr>
            </w:pPr>
            <w:r w:rsidRPr="00466C84">
              <w:rPr>
                <w:rFonts w:ascii="Arial" w:hAnsi="Arial" w:cs="Arial"/>
                <w:color w:val="000000"/>
              </w:rPr>
              <w:t>Maximum</w:t>
            </w:r>
          </w:p>
        </w:tc>
        <w:tc>
          <w:tcPr>
            <w:tcW w:w="1504" w:type="dxa"/>
            <w:vAlign w:val="bottom"/>
          </w:tcPr>
          <w:p w14:paraId="4BBB728A" w14:textId="118B734E" w:rsidR="00466C84" w:rsidRPr="00466C84" w:rsidRDefault="00466C84" w:rsidP="00466C84">
            <w:pPr>
              <w:jc w:val="right"/>
              <w:rPr>
                <w:rFonts w:ascii="Arial" w:hAnsi="Arial" w:cs="Arial"/>
              </w:rPr>
            </w:pPr>
            <w:r w:rsidRPr="00466C84">
              <w:rPr>
                <w:rFonts w:ascii="Arial" w:hAnsi="Arial" w:cs="Arial"/>
                <w:color w:val="000000"/>
              </w:rPr>
              <w:t>8.220</w:t>
            </w:r>
          </w:p>
        </w:tc>
        <w:tc>
          <w:tcPr>
            <w:tcW w:w="1746" w:type="dxa"/>
            <w:vAlign w:val="bottom"/>
          </w:tcPr>
          <w:p w14:paraId="0273E888" w14:textId="17919116" w:rsidR="00466C84" w:rsidRPr="00466C84" w:rsidRDefault="00466C84" w:rsidP="00466C84">
            <w:pPr>
              <w:jc w:val="right"/>
              <w:rPr>
                <w:rFonts w:ascii="Arial" w:hAnsi="Arial" w:cs="Arial"/>
              </w:rPr>
            </w:pPr>
            <w:r w:rsidRPr="00466C84">
              <w:rPr>
                <w:rFonts w:ascii="Arial" w:hAnsi="Arial" w:cs="Arial"/>
                <w:color w:val="000000"/>
              </w:rPr>
              <w:t>75.271</w:t>
            </w:r>
          </w:p>
        </w:tc>
        <w:tc>
          <w:tcPr>
            <w:tcW w:w="1996" w:type="dxa"/>
            <w:vAlign w:val="bottom"/>
          </w:tcPr>
          <w:p w14:paraId="3A657526" w14:textId="770C55AE" w:rsidR="00466C84" w:rsidRPr="00466C84" w:rsidRDefault="00466C84" w:rsidP="00466C84">
            <w:pPr>
              <w:jc w:val="right"/>
              <w:rPr>
                <w:rFonts w:ascii="Arial" w:hAnsi="Arial" w:cs="Arial"/>
              </w:rPr>
            </w:pPr>
            <w:r w:rsidRPr="00466C84">
              <w:rPr>
                <w:rFonts w:ascii="Arial" w:hAnsi="Arial" w:cs="Arial"/>
                <w:color w:val="000000"/>
              </w:rPr>
              <w:t>16.737</w:t>
            </w:r>
          </w:p>
        </w:tc>
        <w:tc>
          <w:tcPr>
            <w:tcW w:w="1404" w:type="dxa"/>
            <w:vAlign w:val="bottom"/>
          </w:tcPr>
          <w:p w14:paraId="614BFDE2" w14:textId="3F8B468E" w:rsidR="00466C84" w:rsidRPr="00466C84" w:rsidRDefault="00466C84" w:rsidP="00466C84">
            <w:pPr>
              <w:jc w:val="right"/>
              <w:rPr>
                <w:rFonts w:ascii="Arial" w:hAnsi="Arial" w:cs="Arial"/>
              </w:rPr>
            </w:pPr>
            <w:r w:rsidRPr="00466C84">
              <w:rPr>
                <w:rFonts w:ascii="Arial" w:hAnsi="Arial" w:cs="Arial"/>
                <w:color w:val="000000"/>
              </w:rPr>
              <w:t>2.552</w:t>
            </w:r>
          </w:p>
        </w:tc>
      </w:tr>
      <w:tr w:rsidR="00466C84" w:rsidRPr="00DC3180" w14:paraId="10815931" w14:textId="77777777" w:rsidTr="00466C84">
        <w:trPr>
          <w:jc w:val="center"/>
        </w:trPr>
        <w:tc>
          <w:tcPr>
            <w:tcW w:w="1774" w:type="dxa"/>
            <w:vAlign w:val="bottom"/>
          </w:tcPr>
          <w:p w14:paraId="2BCBCEF7" w14:textId="6D4509E5" w:rsidR="00466C84" w:rsidRPr="00466C84" w:rsidRDefault="00466C84" w:rsidP="00466C84">
            <w:pPr>
              <w:rPr>
                <w:rFonts w:ascii="Arial" w:hAnsi="Arial" w:cs="Arial"/>
              </w:rPr>
            </w:pPr>
            <w:r w:rsidRPr="00466C84">
              <w:rPr>
                <w:rFonts w:ascii="Arial" w:hAnsi="Arial" w:cs="Arial"/>
                <w:color w:val="000000"/>
              </w:rPr>
              <w:t>Minimum</w:t>
            </w:r>
          </w:p>
        </w:tc>
        <w:tc>
          <w:tcPr>
            <w:tcW w:w="1504" w:type="dxa"/>
            <w:vAlign w:val="bottom"/>
          </w:tcPr>
          <w:p w14:paraId="5725761D" w14:textId="764C12F8" w:rsidR="00466C84" w:rsidRPr="00466C84" w:rsidRDefault="00466C84" w:rsidP="00466C84">
            <w:pPr>
              <w:jc w:val="right"/>
              <w:rPr>
                <w:rFonts w:ascii="Arial" w:hAnsi="Arial" w:cs="Arial"/>
              </w:rPr>
            </w:pPr>
            <w:r w:rsidRPr="00466C84">
              <w:rPr>
                <w:rFonts w:ascii="Arial" w:hAnsi="Arial" w:cs="Arial"/>
                <w:color w:val="000000"/>
              </w:rPr>
              <w:t>-13.127</w:t>
            </w:r>
          </w:p>
        </w:tc>
        <w:tc>
          <w:tcPr>
            <w:tcW w:w="1746" w:type="dxa"/>
            <w:vAlign w:val="bottom"/>
          </w:tcPr>
          <w:p w14:paraId="779C2E74" w14:textId="64BA5A26" w:rsidR="00466C84" w:rsidRPr="00466C84" w:rsidRDefault="00466C84" w:rsidP="00466C84">
            <w:pPr>
              <w:jc w:val="right"/>
              <w:rPr>
                <w:rFonts w:ascii="Arial" w:hAnsi="Arial" w:cs="Arial"/>
              </w:rPr>
            </w:pPr>
            <w:r w:rsidRPr="00466C84">
              <w:rPr>
                <w:rFonts w:ascii="Arial" w:hAnsi="Arial" w:cs="Arial"/>
                <w:color w:val="000000"/>
              </w:rPr>
              <w:t>-0.402</w:t>
            </w:r>
          </w:p>
        </w:tc>
        <w:tc>
          <w:tcPr>
            <w:tcW w:w="1996" w:type="dxa"/>
            <w:vAlign w:val="bottom"/>
          </w:tcPr>
          <w:p w14:paraId="44CFAAE1" w14:textId="0551B192" w:rsidR="00466C84" w:rsidRPr="00466C84" w:rsidRDefault="00466C84" w:rsidP="00466C84">
            <w:pPr>
              <w:jc w:val="right"/>
              <w:rPr>
                <w:rFonts w:ascii="Arial" w:hAnsi="Arial" w:cs="Arial"/>
              </w:rPr>
            </w:pPr>
            <w:r w:rsidRPr="00466C84">
              <w:rPr>
                <w:rFonts w:ascii="Arial" w:hAnsi="Arial" w:cs="Arial"/>
                <w:color w:val="000000"/>
              </w:rPr>
              <w:t>-33.008</w:t>
            </w:r>
          </w:p>
        </w:tc>
        <w:tc>
          <w:tcPr>
            <w:tcW w:w="1404" w:type="dxa"/>
            <w:vAlign w:val="bottom"/>
          </w:tcPr>
          <w:p w14:paraId="6DDB48B6" w14:textId="23C43EC6" w:rsidR="00466C84" w:rsidRPr="00466C84" w:rsidRDefault="00466C84" w:rsidP="00466C84">
            <w:pPr>
              <w:jc w:val="right"/>
              <w:rPr>
                <w:rFonts w:ascii="Arial" w:hAnsi="Arial" w:cs="Arial"/>
              </w:rPr>
            </w:pPr>
            <w:r w:rsidRPr="00466C84">
              <w:rPr>
                <w:rFonts w:ascii="Arial" w:hAnsi="Arial" w:cs="Arial"/>
                <w:color w:val="000000"/>
              </w:rPr>
              <w:t>0.961</w:t>
            </w:r>
          </w:p>
        </w:tc>
      </w:tr>
      <w:tr w:rsidR="00466C84" w:rsidRPr="00DC3180" w14:paraId="044EC553" w14:textId="77777777" w:rsidTr="00466C84">
        <w:trPr>
          <w:jc w:val="center"/>
        </w:trPr>
        <w:tc>
          <w:tcPr>
            <w:tcW w:w="1774" w:type="dxa"/>
            <w:vAlign w:val="bottom"/>
          </w:tcPr>
          <w:p w14:paraId="30FD2805" w14:textId="0C9988E9" w:rsidR="00466C84" w:rsidRPr="00466C84" w:rsidRDefault="00466C84" w:rsidP="00466C84">
            <w:pPr>
              <w:rPr>
                <w:rFonts w:ascii="Arial" w:hAnsi="Arial" w:cs="Arial"/>
                <w:color w:val="000000"/>
              </w:rPr>
            </w:pPr>
            <w:r w:rsidRPr="00466C84">
              <w:rPr>
                <w:rFonts w:ascii="Arial" w:hAnsi="Arial" w:cs="Arial"/>
                <w:color w:val="000000"/>
              </w:rPr>
              <w:t>Std. Dev.</w:t>
            </w:r>
          </w:p>
        </w:tc>
        <w:tc>
          <w:tcPr>
            <w:tcW w:w="1504" w:type="dxa"/>
            <w:vAlign w:val="bottom"/>
          </w:tcPr>
          <w:p w14:paraId="7AF50C39" w14:textId="00CE0668" w:rsidR="00466C84" w:rsidRPr="00466C84" w:rsidRDefault="00466C84" w:rsidP="00466C84">
            <w:pPr>
              <w:jc w:val="right"/>
              <w:rPr>
                <w:rFonts w:ascii="Arial" w:hAnsi="Arial" w:cs="Arial"/>
                <w:color w:val="000000"/>
              </w:rPr>
            </w:pPr>
            <w:r w:rsidRPr="00466C84">
              <w:rPr>
                <w:rFonts w:ascii="Arial" w:hAnsi="Arial" w:cs="Arial"/>
                <w:color w:val="000000"/>
              </w:rPr>
              <w:t>3.639</w:t>
            </w:r>
          </w:p>
        </w:tc>
        <w:tc>
          <w:tcPr>
            <w:tcW w:w="1746" w:type="dxa"/>
            <w:vAlign w:val="bottom"/>
          </w:tcPr>
          <w:p w14:paraId="25E2E0B1" w14:textId="5FC8351A" w:rsidR="00466C84" w:rsidRPr="00466C84" w:rsidRDefault="00466C84" w:rsidP="00466C84">
            <w:pPr>
              <w:jc w:val="right"/>
              <w:rPr>
                <w:rFonts w:ascii="Arial" w:hAnsi="Arial" w:cs="Arial"/>
                <w:color w:val="000000"/>
              </w:rPr>
            </w:pPr>
            <w:r w:rsidRPr="00466C84">
              <w:rPr>
                <w:rFonts w:ascii="Arial" w:hAnsi="Arial" w:cs="Arial"/>
                <w:color w:val="000000"/>
              </w:rPr>
              <w:t>12.653</w:t>
            </w:r>
          </w:p>
        </w:tc>
        <w:tc>
          <w:tcPr>
            <w:tcW w:w="1996" w:type="dxa"/>
            <w:vAlign w:val="bottom"/>
          </w:tcPr>
          <w:p w14:paraId="0BD2B50E" w14:textId="7D356708" w:rsidR="00466C84" w:rsidRPr="00466C84" w:rsidRDefault="00466C84" w:rsidP="00466C84">
            <w:pPr>
              <w:jc w:val="right"/>
              <w:rPr>
                <w:rFonts w:ascii="Arial" w:hAnsi="Arial" w:cs="Arial"/>
                <w:color w:val="000000"/>
              </w:rPr>
            </w:pPr>
            <w:r w:rsidRPr="00466C84">
              <w:rPr>
                <w:rFonts w:ascii="Arial" w:hAnsi="Arial" w:cs="Arial"/>
                <w:color w:val="000000"/>
              </w:rPr>
              <w:t>9.148</w:t>
            </w:r>
          </w:p>
        </w:tc>
        <w:tc>
          <w:tcPr>
            <w:tcW w:w="1404" w:type="dxa"/>
            <w:vAlign w:val="bottom"/>
          </w:tcPr>
          <w:p w14:paraId="2D7889E4" w14:textId="1C7D0FAF" w:rsidR="00466C84" w:rsidRPr="00466C84" w:rsidRDefault="00466C84" w:rsidP="00466C84">
            <w:pPr>
              <w:jc w:val="right"/>
              <w:rPr>
                <w:rFonts w:ascii="Arial" w:hAnsi="Arial" w:cs="Arial"/>
                <w:color w:val="000000"/>
              </w:rPr>
            </w:pPr>
            <w:r w:rsidRPr="00466C84">
              <w:rPr>
                <w:rFonts w:ascii="Arial" w:hAnsi="Arial" w:cs="Arial"/>
                <w:color w:val="000000"/>
              </w:rPr>
              <w:t>0.496</w:t>
            </w:r>
          </w:p>
        </w:tc>
      </w:tr>
      <w:tr w:rsidR="00466C84" w:rsidRPr="00DC3180" w14:paraId="545BF3E5" w14:textId="77777777" w:rsidTr="00466C84">
        <w:trPr>
          <w:jc w:val="center"/>
        </w:trPr>
        <w:tc>
          <w:tcPr>
            <w:tcW w:w="1774" w:type="dxa"/>
            <w:vAlign w:val="bottom"/>
          </w:tcPr>
          <w:p w14:paraId="5705ADC3" w14:textId="792609B7" w:rsidR="00466C84" w:rsidRPr="00466C84" w:rsidRDefault="00466C84" w:rsidP="00466C84">
            <w:pPr>
              <w:rPr>
                <w:rFonts w:ascii="Arial" w:hAnsi="Arial" w:cs="Arial"/>
                <w:color w:val="000000"/>
              </w:rPr>
            </w:pPr>
            <w:r w:rsidRPr="00466C84">
              <w:rPr>
                <w:rFonts w:ascii="Arial" w:hAnsi="Arial" w:cs="Arial"/>
                <w:color w:val="000000"/>
              </w:rPr>
              <w:t>Skewness</w:t>
            </w:r>
          </w:p>
        </w:tc>
        <w:tc>
          <w:tcPr>
            <w:tcW w:w="1504" w:type="dxa"/>
            <w:vAlign w:val="bottom"/>
          </w:tcPr>
          <w:p w14:paraId="0FE8023C" w14:textId="25BB20D5" w:rsidR="00466C84" w:rsidRPr="00466C84" w:rsidRDefault="00466C84" w:rsidP="00466C84">
            <w:pPr>
              <w:jc w:val="right"/>
              <w:rPr>
                <w:rFonts w:ascii="Arial" w:hAnsi="Arial" w:cs="Arial"/>
                <w:color w:val="000000"/>
              </w:rPr>
            </w:pPr>
            <w:r w:rsidRPr="00466C84">
              <w:rPr>
                <w:rFonts w:ascii="Arial" w:hAnsi="Arial" w:cs="Arial"/>
                <w:color w:val="000000"/>
              </w:rPr>
              <w:t>-3.724</w:t>
            </w:r>
          </w:p>
        </w:tc>
        <w:tc>
          <w:tcPr>
            <w:tcW w:w="1746" w:type="dxa"/>
            <w:vAlign w:val="bottom"/>
          </w:tcPr>
          <w:p w14:paraId="52AA7CF4" w14:textId="42F56B9D" w:rsidR="00466C84" w:rsidRPr="00466C84" w:rsidRDefault="00466C84" w:rsidP="00466C84">
            <w:pPr>
              <w:jc w:val="right"/>
              <w:rPr>
                <w:rFonts w:ascii="Arial" w:hAnsi="Arial" w:cs="Arial"/>
                <w:color w:val="000000"/>
              </w:rPr>
            </w:pPr>
            <w:r w:rsidRPr="00466C84">
              <w:rPr>
                <w:rFonts w:ascii="Arial" w:hAnsi="Arial" w:cs="Arial"/>
                <w:color w:val="000000"/>
              </w:rPr>
              <w:t>4.086</w:t>
            </w:r>
          </w:p>
        </w:tc>
        <w:tc>
          <w:tcPr>
            <w:tcW w:w="1996" w:type="dxa"/>
            <w:vAlign w:val="bottom"/>
          </w:tcPr>
          <w:p w14:paraId="71888F94" w14:textId="77914C4F" w:rsidR="00466C84" w:rsidRPr="00466C84" w:rsidRDefault="00466C84" w:rsidP="00466C84">
            <w:pPr>
              <w:jc w:val="right"/>
              <w:rPr>
                <w:rFonts w:ascii="Arial" w:hAnsi="Arial" w:cs="Arial"/>
                <w:color w:val="000000"/>
              </w:rPr>
            </w:pPr>
            <w:r w:rsidRPr="00466C84">
              <w:rPr>
                <w:rFonts w:ascii="Arial" w:hAnsi="Arial" w:cs="Arial"/>
                <w:color w:val="000000"/>
              </w:rPr>
              <w:t>-2.543</w:t>
            </w:r>
          </w:p>
        </w:tc>
        <w:tc>
          <w:tcPr>
            <w:tcW w:w="1404" w:type="dxa"/>
            <w:vAlign w:val="bottom"/>
          </w:tcPr>
          <w:p w14:paraId="1EF91309" w14:textId="7AEDD353" w:rsidR="00466C84" w:rsidRPr="00466C84" w:rsidRDefault="00466C84" w:rsidP="00466C84">
            <w:pPr>
              <w:jc w:val="right"/>
              <w:rPr>
                <w:rFonts w:ascii="Arial" w:hAnsi="Arial" w:cs="Arial"/>
                <w:color w:val="000000"/>
              </w:rPr>
            </w:pPr>
            <w:r w:rsidRPr="00466C84">
              <w:rPr>
                <w:rFonts w:ascii="Arial" w:hAnsi="Arial" w:cs="Arial"/>
                <w:color w:val="000000"/>
              </w:rPr>
              <w:t>0.352</w:t>
            </w:r>
          </w:p>
        </w:tc>
      </w:tr>
      <w:tr w:rsidR="00466C84" w:rsidRPr="00DC3180" w14:paraId="37255734" w14:textId="77777777" w:rsidTr="00466C84">
        <w:trPr>
          <w:jc w:val="center"/>
        </w:trPr>
        <w:tc>
          <w:tcPr>
            <w:tcW w:w="1774" w:type="dxa"/>
            <w:vAlign w:val="bottom"/>
          </w:tcPr>
          <w:p w14:paraId="19C20E00" w14:textId="434F9EBA" w:rsidR="00466C84" w:rsidRPr="00466C84" w:rsidRDefault="00466C84" w:rsidP="00466C84">
            <w:pPr>
              <w:rPr>
                <w:rFonts w:ascii="Arial" w:hAnsi="Arial" w:cs="Arial"/>
                <w:color w:val="000000"/>
              </w:rPr>
            </w:pPr>
            <w:r w:rsidRPr="00466C84">
              <w:rPr>
                <w:rFonts w:ascii="Arial" w:hAnsi="Arial" w:cs="Arial"/>
                <w:color w:val="000000"/>
              </w:rPr>
              <w:t>Kurtosis</w:t>
            </w:r>
          </w:p>
        </w:tc>
        <w:tc>
          <w:tcPr>
            <w:tcW w:w="1504" w:type="dxa"/>
            <w:vAlign w:val="bottom"/>
          </w:tcPr>
          <w:p w14:paraId="449FCAAD" w14:textId="3CD399E9" w:rsidR="00466C84" w:rsidRPr="00466C84" w:rsidRDefault="00466C84" w:rsidP="00466C84">
            <w:pPr>
              <w:jc w:val="right"/>
              <w:rPr>
                <w:rFonts w:ascii="Arial" w:hAnsi="Arial" w:cs="Arial"/>
                <w:color w:val="000000"/>
              </w:rPr>
            </w:pPr>
            <w:r w:rsidRPr="00466C84">
              <w:rPr>
                <w:rFonts w:ascii="Arial" w:hAnsi="Arial" w:cs="Arial"/>
                <w:color w:val="000000"/>
              </w:rPr>
              <w:t>18.257</w:t>
            </w:r>
          </w:p>
        </w:tc>
        <w:tc>
          <w:tcPr>
            <w:tcW w:w="1746" w:type="dxa"/>
            <w:vAlign w:val="bottom"/>
          </w:tcPr>
          <w:p w14:paraId="412F1CEC" w14:textId="352DCA43" w:rsidR="00466C84" w:rsidRPr="00466C84" w:rsidRDefault="00466C84" w:rsidP="00466C84">
            <w:pPr>
              <w:jc w:val="right"/>
              <w:rPr>
                <w:rFonts w:ascii="Arial" w:hAnsi="Arial" w:cs="Arial"/>
                <w:color w:val="000000"/>
              </w:rPr>
            </w:pPr>
            <w:r w:rsidRPr="00466C84">
              <w:rPr>
                <w:rFonts w:ascii="Arial" w:hAnsi="Arial" w:cs="Arial"/>
                <w:color w:val="000000"/>
              </w:rPr>
              <w:t>21.602</w:t>
            </w:r>
          </w:p>
        </w:tc>
        <w:tc>
          <w:tcPr>
            <w:tcW w:w="1996" w:type="dxa"/>
            <w:vAlign w:val="bottom"/>
          </w:tcPr>
          <w:p w14:paraId="47756DEA" w14:textId="1A5E2666" w:rsidR="00466C84" w:rsidRPr="00466C84" w:rsidRDefault="00466C84" w:rsidP="00466C84">
            <w:pPr>
              <w:jc w:val="right"/>
              <w:rPr>
                <w:rFonts w:ascii="Arial" w:hAnsi="Arial" w:cs="Arial"/>
                <w:color w:val="000000"/>
              </w:rPr>
            </w:pPr>
            <w:r w:rsidRPr="00466C84">
              <w:rPr>
                <w:rFonts w:ascii="Arial" w:hAnsi="Arial" w:cs="Arial"/>
                <w:color w:val="000000"/>
              </w:rPr>
              <w:t>10.935</w:t>
            </w:r>
          </w:p>
        </w:tc>
        <w:tc>
          <w:tcPr>
            <w:tcW w:w="1404" w:type="dxa"/>
            <w:vAlign w:val="bottom"/>
          </w:tcPr>
          <w:p w14:paraId="7F067E39" w14:textId="2D0F252C" w:rsidR="00466C84" w:rsidRPr="00466C84" w:rsidRDefault="00466C84" w:rsidP="00466C84">
            <w:pPr>
              <w:jc w:val="right"/>
              <w:rPr>
                <w:rFonts w:ascii="Arial" w:hAnsi="Arial" w:cs="Arial"/>
                <w:color w:val="000000"/>
              </w:rPr>
            </w:pPr>
            <w:r w:rsidRPr="00466C84">
              <w:rPr>
                <w:rFonts w:ascii="Arial" w:hAnsi="Arial" w:cs="Arial"/>
                <w:color w:val="000000"/>
              </w:rPr>
              <w:t>1.963</w:t>
            </w:r>
          </w:p>
        </w:tc>
      </w:tr>
      <w:tr w:rsidR="00466C84" w:rsidRPr="00DC3180" w14:paraId="60A9A7EF" w14:textId="77777777" w:rsidTr="00466C84">
        <w:trPr>
          <w:jc w:val="center"/>
        </w:trPr>
        <w:tc>
          <w:tcPr>
            <w:tcW w:w="1774" w:type="dxa"/>
            <w:vAlign w:val="bottom"/>
          </w:tcPr>
          <w:p w14:paraId="4818DE4F" w14:textId="7FC7C6EC" w:rsidR="00466C84" w:rsidRPr="00466C84" w:rsidRDefault="00466C84" w:rsidP="00466C84">
            <w:pPr>
              <w:rPr>
                <w:rFonts w:ascii="Arial" w:hAnsi="Arial" w:cs="Arial"/>
                <w:color w:val="000000"/>
              </w:rPr>
            </w:pPr>
            <w:r w:rsidRPr="00466C84">
              <w:rPr>
                <w:rFonts w:ascii="Arial" w:hAnsi="Arial" w:cs="Arial"/>
                <w:color w:val="000000"/>
              </w:rPr>
              <w:t>p-value (JB test)</w:t>
            </w:r>
          </w:p>
        </w:tc>
        <w:tc>
          <w:tcPr>
            <w:tcW w:w="1504" w:type="dxa"/>
            <w:vAlign w:val="bottom"/>
          </w:tcPr>
          <w:p w14:paraId="7D154F91" w14:textId="3911DA35" w:rsidR="00466C84" w:rsidRPr="00466C84" w:rsidRDefault="00466C84" w:rsidP="00466C84">
            <w:pPr>
              <w:jc w:val="right"/>
              <w:rPr>
                <w:rFonts w:ascii="Arial" w:hAnsi="Arial" w:cs="Arial"/>
                <w:color w:val="000000"/>
              </w:rPr>
            </w:pPr>
            <w:r w:rsidRPr="00466C84">
              <w:rPr>
                <w:rFonts w:ascii="Arial" w:hAnsi="Arial" w:cs="Arial"/>
                <w:color w:val="000000"/>
              </w:rPr>
              <w:t>0.000</w:t>
            </w:r>
          </w:p>
        </w:tc>
        <w:tc>
          <w:tcPr>
            <w:tcW w:w="1746" w:type="dxa"/>
            <w:vAlign w:val="bottom"/>
          </w:tcPr>
          <w:p w14:paraId="359A69D5" w14:textId="7CECF931" w:rsidR="00466C84" w:rsidRPr="00466C84" w:rsidRDefault="00466C84" w:rsidP="00466C84">
            <w:pPr>
              <w:jc w:val="right"/>
              <w:rPr>
                <w:rFonts w:ascii="Arial" w:hAnsi="Arial" w:cs="Arial"/>
                <w:color w:val="000000"/>
              </w:rPr>
            </w:pPr>
            <w:r w:rsidRPr="00466C84">
              <w:rPr>
                <w:rFonts w:ascii="Arial" w:hAnsi="Arial" w:cs="Arial"/>
                <w:color w:val="000000"/>
              </w:rPr>
              <w:t>0.000</w:t>
            </w:r>
          </w:p>
        </w:tc>
        <w:tc>
          <w:tcPr>
            <w:tcW w:w="1996" w:type="dxa"/>
            <w:vAlign w:val="bottom"/>
          </w:tcPr>
          <w:p w14:paraId="7FDAE977" w14:textId="2A20DA1E" w:rsidR="00466C84" w:rsidRPr="00466C84" w:rsidRDefault="00466C84" w:rsidP="00466C84">
            <w:pPr>
              <w:jc w:val="right"/>
              <w:rPr>
                <w:rFonts w:ascii="Arial" w:hAnsi="Arial" w:cs="Arial"/>
                <w:color w:val="000000"/>
              </w:rPr>
            </w:pPr>
            <w:r w:rsidRPr="00466C84">
              <w:rPr>
                <w:rFonts w:ascii="Arial" w:hAnsi="Arial" w:cs="Arial"/>
                <w:color w:val="000000"/>
              </w:rPr>
              <w:t>0.000</w:t>
            </w:r>
          </w:p>
        </w:tc>
        <w:tc>
          <w:tcPr>
            <w:tcW w:w="1404" w:type="dxa"/>
            <w:vAlign w:val="bottom"/>
          </w:tcPr>
          <w:p w14:paraId="0C3B7950" w14:textId="495C7A8D" w:rsidR="00466C84" w:rsidRPr="00466C84" w:rsidRDefault="00466C84" w:rsidP="00466C84">
            <w:pPr>
              <w:jc w:val="right"/>
              <w:rPr>
                <w:rFonts w:ascii="Arial" w:hAnsi="Arial" w:cs="Arial"/>
                <w:color w:val="000000"/>
              </w:rPr>
            </w:pPr>
            <w:r w:rsidRPr="00466C84">
              <w:rPr>
                <w:rFonts w:ascii="Arial" w:hAnsi="Arial" w:cs="Arial"/>
                <w:color w:val="000000"/>
              </w:rPr>
              <w:t>0.329</w:t>
            </w:r>
          </w:p>
        </w:tc>
      </w:tr>
      <w:tr w:rsidR="00466C84" w:rsidRPr="00DC3180" w14:paraId="196C7C4D" w14:textId="77777777" w:rsidTr="00466C84">
        <w:trPr>
          <w:jc w:val="center"/>
        </w:trPr>
        <w:tc>
          <w:tcPr>
            <w:tcW w:w="1774" w:type="dxa"/>
            <w:tcBorders>
              <w:bottom w:val="single" w:sz="4" w:space="0" w:color="000000"/>
            </w:tcBorders>
            <w:vAlign w:val="bottom"/>
          </w:tcPr>
          <w:p w14:paraId="1FBB47AF" w14:textId="7ACDB670" w:rsidR="00466C84" w:rsidRPr="00466C84" w:rsidRDefault="00466C84" w:rsidP="00466C84">
            <w:pPr>
              <w:rPr>
                <w:rFonts w:ascii="Arial" w:hAnsi="Arial" w:cs="Arial"/>
                <w:color w:val="000000"/>
              </w:rPr>
            </w:pPr>
            <w:r w:rsidRPr="00466C84">
              <w:rPr>
                <w:rFonts w:ascii="Arial" w:hAnsi="Arial" w:cs="Arial"/>
                <w:color w:val="000000"/>
              </w:rPr>
              <w:t>N</w:t>
            </w:r>
          </w:p>
        </w:tc>
        <w:tc>
          <w:tcPr>
            <w:tcW w:w="1504" w:type="dxa"/>
            <w:tcBorders>
              <w:bottom w:val="single" w:sz="4" w:space="0" w:color="000000"/>
            </w:tcBorders>
            <w:vAlign w:val="bottom"/>
          </w:tcPr>
          <w:p w14:paraId="6EB9D9FE" w14:textId="5D4ADB02" w:rsidR="00466C84" w:rsidRPr="00466C84" w:rsidRDefault="00466C84" w:rsidP="00466C84">
            <w:pPr>
              <w:jc w:val="right"/>
              <w:rPr>
                <w:rFonts w:ascii="Arial" w:hAnsi="Arial" w:cs="Arial"/>
                <w:color w:val="000000"/>
              </w:rPr>
            </w:pPr>
            <w:r w:rsidRPr="00466C84">
              <w:rPr>
                <w:rFonts w:ascii="Arial" w:hAnsi="Arial" w:cs="Arial"/>
                <w:color w:val="000000"/>
              </w:rPr>
              <w:t>34</w:t>
            </w:r>
          </w:p>
        </w:tc>
        <w:tc>
          <w:tcPr>
            <w:tcW w:w="1746" w:type="dxa"/>
            <w:tcBorders>
              <w:bottom w:val="single" w:sz="4" w:space="0" w:color="000000"/>
            </w:tcBorders>
            <w:vAlign w:val="bottom"/>
          </w:tcPr>
          <w:p w14:paraId="6AECCD4F" w14:textId="40131776" w:rsidR="00466C84" w:rsidRPr="00466C84" w:rsidRDefault="00466C84" w:rsidP="00466C84">
            <w:pPr>
              <w:jc w:val="right"/>
              <w:rPr>
                <w:rFonts w:ascii="Arial" w:hAnsi="Arial" w:cs="Arial"/>
                <w:color w:val="000000"/>
              </w:rPr>
            </w:pPr>
            <w:r w:rsidRPr="00466C84">
              <w:rPr>
                <w:rFonts w:ascii="Arial" w:hAnsi="Arial" w:cs="Arial"/>
                <w:color w:val="000000"/>
              </w:rPr>
              <w:t>34</w:t>
            </w:r>
          </w:p>
        </w:tc>
        <w:tc>
          <w:tcPr>
            <w:tcW w:w="1996" w:type="dxa"/>
            <w:tcBorders>
              <w:bottom w:val="single" w:sz="4" w:space="0" w:color="000000"/>
            </w:tcBorders>
            <w:vAlign w:val="bottom"/>
          </w:tcPr>
          <w:p w14:paraId="198D44D1" w14:textId="2C27777C" w:rsidR="00466C84" w:rsidRPr="00466C84" w:rsidRDefault="00466C84" w:rsidP="00466C84">
            <w:pPr>
              <w:jc w:val="right"/>
              <w:rPr>
                <w:rFonts w:ascii="Arial" w:hAnsi="Arial" w:cs="Arial"/>
                <w:color w:val="000000"/>
              </w:rPr>
            </w:pPr>
            <w:r w:rsidRPr="00466C84">
              <w:rPr>
                <w:rFonts w:ascii="Arial" w:hAnsi="Arial" w:cs="Arial"/>
                <w:color w:val="000000"/>
              </w:rPr>
              <w:t>34</w:t>
            </w:r>
          </w:p>
        </w:tc>
        <w:tc>
          <w:tcPr>
            <w:tcW w:w="1404" w:type="dxa"/>
            <w:tcBorders>
              <w:bottom w:val="single" w:sz="4" w:space="0" w:color="000000"/>
            </w:tcBorders>
            <w:vAlign w:val="bottom"/>
          </w:tcPr>
          <w:p w14:paraId="5B95B5CE" w14:textId="1D3DDDE2" w:rsidR="00466C84" w:rsidRPr="00466C84" w:rsidRDefault="00466C84" w:rsidP="00466C84">
            <w:pPr>
              <w:jc w:val="right"/>
              <w:rPr>
                <w:rFonts w:ascii="Arial" w:hAnsi="Arial" w:cs="Arial"/>
                <w:color w:val="000000"/>
              </w:rPr>
            </w:pPr>
            <w:r w:rsidRPr="00466C84">
              <w:rPr>
                <w:rFonts w:ascii="Arial" w:hAnsi="Arial" w:cs="Arial"/>
                <w:color w:val="000000"/>
              </w:rPr>
              <w:t>34</w:t>
            </w:r>
          </w:p>
        </w:tc>
      </w:tr>
    </w:tbl>
    <w:p w14:paraId="5DD36E60" w14:textId="77777777" w:rsidR="00F86757" w:rsidRDefault="00F86757" w:rsidP="00697B05">
      <w:pPr>
        <w:jc w:val="both"/>
        <w:rPr>
          <w:rFonts w:ascii="Arial" w:hAnsi="Arial" w:cs="Arial"/>
        </w:rPr>
      </w:pPr>
    </w:p>
    <w:p w14:paraId="6D465609" w14:textId="4E66A5F8" w:rsidR="003E163A" w:rsidRDefault="00F86757" w:rsidP="00697B05">
      <w:pPr>
        <w:jc w:val="both"/>
        <w:rPr>
          <w:rFonts w:ascii="Arial" w:hAnsi="Arial" w:cs="Arial"/>
        </w:rPr>
      </w:pPr>
      <w:r w:rsidRPr="00F86757">
        <w:rPr>
          <w:rFonts w:ascii="Arial" w:hAnsi="Arial" w:cs="Arial"/>
        </w:rPr>
        <w:t>Table 2 reports the descriptive statistics of the model variables for the period 1991–202</w:t>
      </w:r>
      <w:r>
        <w:rPr>
          <w:rFonts w:ascii="Arial" w:hAnsi="Arial" w:cs="Arial"/>
        </w:rPr>
        <w:t>4</w:t>
      </w:r>
      <w:r w:rsidRPr="00F86757">
        <w:rPr>
          <w:rFonts w:ascii="Arial" w:hAnsi="Arial" w:cs="Arial"/>
        </w:rPr>
        <w:t>, encompassing a total of 34 observations.</w:t>
      </w:r>
      <w:r>
        <w:rPr>
          <w:rFonts w:ascii="Arial" w:hAnsi="Arial" w:cs="Arial"/>
        </w:rPr>
        <w:t xml:space="preserve"> </w:t>
      </w:r>
      <w:r w:rsidRPr="00F86757">
        <w:rPr>
          <w:rFonts w:ascii="Arial" w:hAnsi="Arial" w:cs="Arial"/>
        </w:rPr>
        <w:t xml:space="preserve">GDP growth averages 4.65 percent, with occasional severe contractions, as evidenced by its negative skewness and pronounced kurtosis. Gross fixed capital formation growth displays even greater volatility, with extreme negative </w:t>
      </w:r>
      <w:r>
        <w:rPr>
          <w:rFonts w:ascii="Arial" w:hAnsi="Arial" w:cs="Arial"/>
        </w:rPr>
        <w:t xml:space="preserve">values </w:t>
      </w:r>
      <w:r w:rsidRPr="00F86757">
        <w:rPr>
          <w:rFonts w:ascii="Arial" w:hAnsi="Arial" w:cs="Arial"/>
        </w:rPr>
        <w:t>approaching -33.01 percent and substantial fluctuations around a mean of 5.32 percent. In contrast, the growth of the working-age population is the most stable variable, averaging 1.663 percent with minimal variation and a near-symmetric distribution. Inflation, however, exhibits the highest volatility, averaging 10.40 percent but experiencing sharp spikes exceeding 75.27 percent, as reflected by high positive skewness and significant excess kurtosis.</w:t>
      </w:r>
    </w:p>
    <w:p w14:paraId="028B78B1" w14:textId="77777777" w:rsidR="00F86757" w:rsidRPr="003E163A" w:rsidRDefault="00F86757" w:rsidP="00697B05">
      <w:pPr>
        <w:jc w:val="both"/>
        <w:rPr>
          <w:rFonts w:ascii="Arial" w:hAnsi="Arial" w:cs="Arial"/>
        </w:rPr>
      </w:pPr>
    </w:p>
    <w:p w14:paraId="1EC8DDB7" w14:textId="76822011" w:rsidR="00697B05" w:rsidRDefault="00F86757" w:rsidP="003E163A">
      <w:pPr>
        <w:jc w:val="center"/>
        <w:rPr>
          <w:rFonts w:ascii="Arial" w:hAnsi="Arial" w:cs="Arial"/>
        </w:rPr>
      </w:pPr>
      <w:r>
        <w:object w:dxaOrig="9011" w:dyaOrig="4541" w14:anchorId="43B4BF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9.85pt;height:145.85pt" o:ole="">
            <v:imagedata r:id="rId10" o:title=""/>
          </v:shape>
          <o:OLEObject Type="Embed" ProgID="EViews.Workfile.2" ShapeID="_x0000_i1025" DrawAspect="Content" ObjectID="_1826788307" r:id="rId11"/>
        </w:object>
      </w:r>
    </w:p>
    <w:p w14:paraId="58AE6B40" w14:textId="77777777" w:rsidR="00D22422" w:rsidRDefault="00D22422" w:rsidP="003E163A">
      <w:pPr>
        <w:jc w:val="center"/>
        <w:rPr>
          <w:rFonts w:ascii="Arial" w:hAnsi="Arial" w:cs="Arial"/>
        </w:rPr>
      </w:pPr>
    </w:p>
    <w:p w14:paraId="71BE5BFC" w14:textId="77FCD8F5" w:rsidR="003E163A" w:rsidRPr="00D22422" w:rsidRDefault="003E163A" w:rsidP="003E163A">
      <w:pPr>
        <w:jc w:val="center"/>
        <w:rPr>
          <w:rFonts w:ascii="Arial" w:hAnsi="Arial" w:cs="Arial"/>
          <w:b/>
          <w:bCs/>
        </w:rPr>
      </w:pPr>
      <w:r w:rsidRPr="00D22422">
        <w:rPr>
          <w:rFonts w:ascii="Arial" w:hAnsi="Arial" w:cs="Arial"/>
          <w:b/>
          <w:bCs/>
          <w:szCs w:val="22"/>
        </w:rPr>
        <w:t xml:space="preserve">Fig. 1. </w:t>
      </w:r>
      <w:r w:rsidR="00D22422" w:rsidRPr="00D22422">
        <w:rPr>
          <w:rFonts w:ascii="Arial" w:hAnsi="Arial" w:cs="Arial"/>
          <w:b/>
          <w:bCs/>
        </w:rPr>
        <w:t>Boxplots</w:t>
      </w:r>
      <w:r w:rsidR="00FB7DB7">
        <w:rPr>
          <w:rFonts w:ascii="Arial" w:hAnsi="Arial" w:cs="Arial"/>
          <w:b/>
          <w:bCs/>
        </w:rPr>
        <w:t xml:space="preserve"> </w:t>
      </w:r>
      <w:r w:rsidR="00F6099A">
        <w:rPr>
          <w:rFonts w:ascii="Arial" w:hAnsi="Arial" w:cs="Arial"/>
          <w:b/>
          <w:bCs/>
          <w:szCs w:val="22"/>
        </w:rPr>
        <w:t>of GDP, INF, CAP &amp; POP</w:t>
      </w:r>
    </w:p>
    <w:p w14:paraId="5B964E6D" w14:textId="77777777" w:rsidR="003E163A" w:rsidRPr="003E163A" w:rsidRDefault="003E163A" w:rsidP="003E163A">
      <w:pPr>
        <w:jc w:val="center"/>
        <w:rPr>
          <w:rFonts w:ascii="Arial" w:hAnsi="Arial" w:cs="Arial"/>
        </w:rPr>
      </w:pPr>
    </w:p>
    <w:p w14:paraId="1AEE81E9" w14:textId="606542D4" w:rsidR="00697B05" w:rsidRDefault="00431217" w:rsidP="00697B05">
      <w:pPr>
        <w:jc w:val="both"/>
        <w:rPr>
          <w:rFonts w:ascii="Arial" w:hAnsi="Arial" w:cs="Arial"/>
        </w:rPr>
      </w:pPr>
      <w:r w:rsidRPr="00431217">
        <w:rPr>
          <w:rFonts w:ascii="Arial" w:hAnsi="Arial" w:cs="Arial"/>
        </w:rPr>
        <w:t>The boxplots illustrate the distributional characteristics of GDP growth, inflation, gross fixed capital formation growth</w:t>
      </w:r>
      <w:r>
        <w:rPr>
          <w:rFonts w:ascii="Arial" w:hAnsi="Arial" w:cs="Arial"/>
        </w:rPr>
        <w:t xml:space="preserve">, </w:t>
      </w:r>
      <w:r w:rsidRPr="00431217">
        <w:rPr>
          <w:rFonts w:ascii="Arial" w:hAnsi="Arial" w:cs="Arial"/>
        </w:rPr>
        <w:t>and population growth</w:t>
      </w:r>
      <w:r>
        <w:rPr>
          <w:rFonts w:ascii="Arial" w:hAnsi="Arial" w:cs="Arial"/>
        </w:rPr>
        <w:t xml:space="preserve"> </w:t>
      </w:r>
      <w:r w:rsidRPr="00431217">
        <w:rPr>
          <w:rFonts w:ascii="Arial" w:hAnsi="Arial" w:cs="Arial"/>
        </w:rPr>
        <w:t>over the sample period. GDP</w:t>
      </w:r>
      <w:r>
        <w:rPr>
          <w:rFonts w:ascii="Arial" w:hAnsi="Arial" w:cs="Arial"/>
        </w:rPr>
        <w:t xml:space="preserve"> growth</w:t>
      </w:r>
      <w:r w:rsidRPr="00431217">
        <w:rPr>
          <w:rFonts w:ascii="Arial" w:hAnsi="Arial" w:cs="Arial"/>
        </w:rPr>
        <w:t xml:space="preserve"> exhibits a relatively symmetric distribution around its median, though a few negative outliers indicate episodes of economic contraction. Inflation s</w:t>
      </w:r>
      <w:r>
        <w:rPr>
          <w:rFonts w:ascii="Arial" w:hAnsi="Arial" w:cs="Arial"/>
        </w:rPr>
        <w:t xml:space="preserve">ignifies </w:t>
      </w:r>
      <w:r w:rsidRPr="00431217">
        <w:rPr>
          <w:rFonts w:ascii="Arial" w:hAnsi="Arial" w:cs="Arial"/>
        </w:rPr>
        <w:t xml:space="preserve">a pronounced positive skew, with one extreme high-value outlier, suggesting occasional episodes of unusually high inflation. </w:t>
      </w:r>
      <w:r>
        <w:rPr>
          <w:rFonts w:ascii="Arial" w:hAnsi="Arial" w:cs="Arial"/>
        </w:rPr>
        <w:t>Capital formation</w:t>
      </w:r>
      <w:r w:rsidRPr="00431217">
        <w:rPr>
          <w:rFonts w:ascii="Arial" w:hAnsi="Arial" w:cs="Arial"/>
        </w:rPr>
        <w:t xml:space="preserve"> d</w:t>
      </w:r>
      <w:r>
        <w:rPr>
          <w:rFonts w:ascii="Arial" w:hAnsi="Arial" w:cs="Arial"/>
        </w:rPr>
        <w:t>enotes</w:t>
      </w:r>
      <w:r w:rsidRPr="00431217">
        <w:rPr>
          <w:rFonts w:ascii="Arial" w:hAnsi="Arial" w:cs="Arial"/>
        </w:rPr>
        <w:t xml:space="preserve"> substantial variability, with a wide interquartile range and several negative outliers, reflecting periods of investment decline or volatility. The growth of the working-age population is comparatively stable, exhibiting a narrow interquartile range and no extreme outliers, which indicates steady demographic changes over the period</w:t>
      </w:r>
      <w:r>
        <w:rPr>
          <w:rFonts w:ascii="Arial" w:hAnsi="Arial" w:cs="Arial"/>
        </w:rPr>
        <w:t>.</w:t>
      </w:r>
    </w:p>
    <w:p w14:paraId="6945C813" w14:textId="77777777" w:rsidR="00FB7DB7" w:rsidRPr="009131D9" w:rsidRDefault="00FB7DB7" w:rsidP="00697B05">
      <w:pPr>
        <w:jc w:val="both"/>
        <w:rPr>
          <w:rFonts w:ascii="Times New Roman" w:hAnsi="Times New Roman"/>
        </w:rPr>
      </w:pPr>
    </w:p>
    <w:p w14:paraId="4AFA859C" w14:textId="6E77A4AA" w:rsidR="00697B05" w:rsidRDefault="00F86757" w:rsidP="007E5968">
      <w:pPr>
        <w:jc w:val="center"/>
        <w:rPr>
          <w:rFonts w:ascii="Times New Roman" w:hAnsi="Times New Roman"/>
        </w:rPr>
      </w:pPr>
      <w:r>
        <w:object w:dxaOrig="10040" w:dyaOrig="6241" w14:anchorId="0C84246D">
          <v:shape id="_x0000_i1026" type="#_x0000_t75" style="width:345.95pt;height:215.55pt" o:ole="">
            <v:imagedata r:id="rId12" o:title=""/>
          </v:shape>
          <o:OLEObject Type="Embed" ProgID="EViews.Workfile.2" ShapeID="_x0000_i1026" DrawAspect="Content" ObjectID="_1826788308" r:id="rId13"/>
        </w:object>
      </w:r>
    </w:p>
    <w:p w14:paraId="7DFD7C13" w14:textId="77777777" w:rsidR="00D22422" w:rsidRDefault="00D22422" w:rsidP="00697B05">
      <w:pPr>
        <w:jc w:val="both"/>
        <w:rPr>
          <w:rFonts w:ascii="Times New Roman" w:hAnsi="Times New Roman"/>
        </w:rPr>
      </w:pPr>
    </w:p>
    <w:p w14:paraId="436F654D" w14:textId="32183BCD" w:rsidR="00D22422" w:rsidRPr="00D22422" w:rsidRDefault="00D22422" w:rsidP="00D22422">
      <w:pPr>
        <w:jc w:val="center"/>
        <w:rPr>
          <w:rFonts w:ascii="Arial" w:hAnsi="Arial" w:cs="Arial"/>
          <w:b/>
          <w:bCs/>
        </w:rPr>
      </w:pPr>
      <w:r w:rsidRPr="00D22422">
        <w:rPr>
          <w:rFonts w:ascii="Arial" w:hAnsi="Arial" w:cs="Arial"/>
          <w:b/>
          <w:bCs/>
          <w:szCs w:val="22"/>
        </w:rPr>
        <w:t xml:space="preserve">Fig. </w:t>
      </w:r>
      <w:r w:rsidR="0074216E">
        <w:rPr>
          <w:rFonts w:ascii="Arial" w:hAnsi="Arial" w:cs="Arial"/>
          <w:b/>
          <w:bCs/>
          <w:szCs w:val="22"/>
        </w:rPr>
        <w:t>2</w:t>
      </w:r>
      <w:r w:rsidRPr="00D22422">
        <w:rPr>
          <w:rFonts w:ascii="Arial" w:hAnsi="Arial" w:cs="Arial"/>
          <w:b/>
          <w:bCs/>
          <w:szCs w:val="22"/>
        </w:rPr>
        <w:t xml:space="preserve">. </w:t>
      </w:r>
      <w:r>
        <w:rPr>
          <w:rFonts w:ascii="Arial" w:hAnsi="Arial" w:cs="Arial"/>
          <w:b/>
          <w:bCs/>
        </w:rPr>
        <w:t>Trends of Variables</w:t>
      </w:r>
    </w:p>
    <w:p w14:paraId="07E493D5" w14:textId="77777777" w:rsidR="00697B05" w:rsidRPr="009131D9" w:rsidRDefault="00697B05" w:rsidP="00697B05">
      <w:pPr>
        <w:jc w:val="both"/>
        <w:rPr>
          <w:rFonts w:ascii="Times New Roman" w:hAnsi="Times New Roman"/>
        </w:rPr>
      </w:pPr>
    </w:p>
    <w:p w14:paraId="227F149D" w14:textId="3316E89F" w:rsidR="00D22422" w:rsidRDefault="00D22422" w:rsidP="00D22422">
      <w:pPr>
        <w:jc w:val="both"/>
        <w:rPr>
          <w:rFonts w:ascii="Arial" w:hAnsi="Arial" w:cs="Arial"/>
          <w:b/>
          <w:bCs/>
        </w:rPr>
      </w:pPr>
      <w:r>
        <w:rPr>
          <w:rFonts w:ascii="Arial" w:hAnsi="Arial"/>
          <w:b/>
        </w:rPr>
        <w:t xml:space="preserve">Table 3. </w:t>
      </w:r>
      <w:r w:rsidR="00BA3A85">
        <w:rPr>
          <w:rFonts w:ascii="Arial" w:hAnsi="Arial" w:cs="Arial"/>
          <w:b/>
          <w:bCs/>
        </w:rPr>
        <w:t>Unit Root</w:t>
      </w:r>
      <w:r w:rsidR="00527C3C">
        <w:rPr>
          <w:rFonts w:ascii="Arial" w:hAnsi="Arial" w:cs="Arial"/>
          <w:b/>
          <w:bCs/>
        </w:rPr>
        <w:t xml:space="preserve"> </w:t>
      </w:r>
      <w:r>
        <w:rPr>
          <w:rFonts w:ascii="Arial" w:hAnsi="Arial" w:cs="Arial"/>
          <w:b/>
          <w:bCs/>
        </w:rPr>
        <w:t>Test Results</w:t>
      </w:r>
    </w:p>
    <w:p w14:paraId="670803E8" w14:textId="2121A40F" w:rsidR="00697B05" w:rsidRPr="009131D9" w:rsidRDefault="00697B05" w:rsidP="00697B05">
      <w:pPr>
        <w:jc w:val="both"/>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8"/>
        <w:gridCol w:w="1220"/>
        <w:gridCol w:w="1468"/>
        <w:gridCol w:w="1421"/>
        <w:gridCol w:w="1428"/>
        <w:gridCol w:w="1263"/>
      </w:tblGrid>
      <w:tr w:rsidR="006F051E" w:rsidRPr="008B3474" w14:paraId="484D8880" w14:textId="77777777" w:rsidTr="006F051E">
        <w:tc>
          <w:tcPr>
            <w:tcW w:w="1408" w:type="dxa"/>
            <w:tcBorders>
              <w:top w:val="single" w:sz="4" w:space="0" w:color="000000"/>
              <w:bottom w:val="single" w:sz="4" w:space="0" w:color="000000"/>
            </w:tcBorders>
            <w:vAlign w:val="center"/>
          </w:tcPr>
          <w:p w14:paraId="4F09069E" w14:textId="38E8A478" w:rsidR="006F051E" w:rsidRPr="006F051E" w:rsidRDefault="006F051E" w:rsidP="006F051E">
            <w:pPr>
              <w:spacing w:line="276" w:lineRule="auto"/>
              <w:jc w:val="center"/>
              <w:rPr>
                <w:rFonts w:ascii="Arial" w:hAnsi="Arial" w:cs="Arial"/>
                <w:b/>
                <w:bCs/>
                <w:sz w:val="20"/>
                <w:szCs w:val="20"/>
              </w:rPr>
            </w:pPr>
            <w:r w:rsidRPr="006F051E">
              <w:rPr>
                <w:rFonts w:ascii="Arial" w:hAnsi="Arial" w:cs="Arial"/>
                <w:b/>
                <w:bCs/>
                <w:sz w:val="20"/>
                <w:szCs w:val="20"/>
              </w:rPr>
              <w:t>Method</w:t>
            </w:r>
          </w:p>
        </w:tc>
        <w:tc>
          <w:tcPr>
            <w:tcW w:w="1220" w:type="dxa"/>
            <w:tcBorders>
              <w:top w:val="single" w:sz="4" w:space="0" w:color="000000"/>
              <w:bottom w:val="single" w:sz="4" w:space="0" w:color="000000"/>
            </w:tcBorders>
            <w:vAlign w:val="center"/>
          </w:tcPr>
          <w:p w14:paraId="702C6079" w14:textId="487E28AA" w:rsidR="006F051E" w:rsidRPr="006F051E" w:rsidRDefault="006F051E" w:rsidP="006F051E">
            <w:pPr>
              <w:spacing w:line="276" w:lineRule="auto"/>
              <w:jc w:val="center"/>
              <w:rPr>
                <w:rFonts w:ascii="Arial" w:hAnsi="Arial" w:cs="Arial"/>
                <w:b/>
                <w:bCs/>
                <w:color w:val="000000"/>
                <w:sz w:val="20"/>
                <w:szCs w:val="20"/>
              </w:rPr>
            </w:pPr>
            <w:r w:rsidRPr="006F051E">
              <w:rPr>
                <w:rFonts w:ascii="Arial" w:hAnsi="Arial" w:cs="Arial"/>
                <w:b/>
                <w:bCs/>
                <w:sz w:val="20"/>
                <w:szCs w:val="20"/>
              </w:rPr>
              <w:t>Variable</w:t>
            </w:r>
          </w:p>
        </w:tc>
        <w:tc>
          <w:tcPr>
            <w:tcW w:w="1468" w:type="dxa"/>
            <w:tcBorders>
              <w:top w:val="single" w:sz="4" w:space="0" w:color="000000"/>
              <w:bottom w:val="single" w:sz="4" w:space="0" w:color="000000"/>
            </w:tcBorders>
            <w:vAlign w:val="center"/>
          </w:tcPr>
          <w:p w14:paraId="284FAD5F" w14:textId="2441176C" w:rsidR="006F051E" w:rsidRPr="006F051E" w:rsidRDefault="006F051E" w:rsidP="006F051E">
            <w:pPr>
              <w:spacing w:line="276" w:lineRule="auto"/>
              <w:jc w:val="right"/>
              <w:rPr>
                <w:rFonts w:ascii="Arial" w:eastAsia="Times New Roman" w:hAnsi="Arial" w:cs="Arial"/>
                <w:b/>
                <w:bCs/>
                <w:color w:val="000000"/>
                <w:sz w:val="20"/>
                <w:szCs w:val="20"/>
              </w:rPr>
            </w:pPr>
            <w:r w:rsidRPr="006F051E">
              <w:rPr>
                <w:rFonts w:ascii="Arial" w:eastAsia="Times New Roman" w:hAnsi="Arial" w:cs="Arial"/>
                <w:b/>
                <w:bCs/>
                <w:color w:val="000000"/>
                <w:sz w:val="20"/>
                <w:szCs w:val="20"/>
              </w:rPr>
              <w:t>statistic</w:t>
            </w:r>
          </w:p>
        </w:tc>
        <w:tc>
          <w:tcPr>
            <w:tcW w:w="1421" w:type="dxa"/>
            <w:tcBorders>
              <w:top w:val="single" w:sz="4" w:space="0" w:color="000000"/>
              <w:bottom w:val="single" w:sz="4" w:space="0" w:color="000000"/>
            </w:tcBorders>
            <w:vAlign w:val="center"/>
          </w:tcPr>
          <w:p w14:paraId="13BAE46A" w14:textId="77777777" w:rsidR="006F051E" w:rsidRPr="006F051E" w:rsidRDefault="006F051E" w:rsidP="006F051E">
            <w:pPr>
              <w:spacing w:line="276" w:lineRule="auto"/>
              <w:jc w:val="right"/>
              <w:rPr>
                <w:rFonts w:ascii="Arial" w:eastAsia="Times New Roman" w:hAnsi="Arial" w:cs="Arial"/>
                <w:b/>
                <w:bCs/>
                <w:color w:val="000000"/>
                <w:sz w:val="20"/>
                <w:szCs w:val="20"/>
              </w:rPr>
            </w:pPr>
            <w:r w:rsidRPr="006F051E">
              <w:rPr>
                <w:rFonts w:ascii="Arial" w:eastAsia="Times New Roman" w:hAnsi="Arial" w:cs="Arial"/>
                <w:b/>
                <w:bCs/>
                <w:color w:val="000000"/>
                <w:sz w:val="20"/>
                <w:szCs w:val="20"/>
              </w:rPr>
              <w:t>p-value</w:t>
            </w:r>
          </w:p>
        </w:tc>
        <w:tc>
          <w:tcPr>
            <w:tcW w:w="1428" w:type="dxa"/>
            <w:tcBorders>
              <w:top w:val="single" w:sz="4" w:space="0" w:color="000000"/>
              <w:bottom w:val="single" w:sz="4" w:space="0" w:color="000000"/>
            </w:tcBorders>
            <w:vAlign w:val="center"/>
          </w:tcPr>
          <w:p w14:paraId="50EE3D82" w14:textId="1AE0D599" w:rsidR="006F051E" w:rsidRPr="006F051E" w:rsidRDefault="006F051E" w:rsidP="006F051E">
            <w:pPr>
              <w:spacing w:line="276" w:lineRule="auto"/>
              <w:jc w:val="right"/>
              <w:rPr>
                <w:rFonts w:ascii="Arial" w:hAnsi="Arial" w:cs="Arial"/>
                <w:b/>
                <w:bCs/>
                <w:color w:val="000000"/>
                <w:sz w:val="20"/>
                <w:szCs w:val="20"/>
              </w:rPr>
            </w:pPr>
            <w:r w:rsidRPr="006F051E">
              <w:rPr>
                <w:rFonts w:ascii="Arial" w:eastAsia="Times New Roman" w:hAnsi="Arial" w:cs="Arial"/>
                <w:b/>
                <w:bCs/>
                <w:color w:val="000000"/>
                <w:sz w:val="20"/>
                <w:szCs w:val="20"/>
              </w:rPr>
              <w:t>Breakpoint</w:t>
            </w:r>
          </w:p>
        </w:tc>
        <w:tc>
          <w:tcPr>
            <w:tcW w:w="1263" w:type="dxa"/>
            <w:tcBorders>
              <w:top w:val="single" w:sz="4" w:space="0" w:color="000000"/>
              <w:bottom w:val="single" w:sz="4" w:space="0" w:color="000000"/>
            </w:tcBorders>
            <w:vAlign w:val="center"/>
          </w:tcPr>
          <w:p w14:paraId="7C6C36A8" w14:textId="5BD3C170" w:rsidR="006F051E" w:rsidRPr="006F051E" w:rsidRDefault="006F051E" w:rsidP="006F051E">
            <w:pPr>
              <w:spacing w:line="276" w:lineRule="auto"/>
              <w:jc w:val="right"/>
              <w:rPr>
                <w:rFonts w:ascii="Arial" w:hAnsi="Arial" w:cs="Arial"/>
                <w:b/>
                <w:bCs/>
                <w:color w:val="000000"/>
                <w:sz w:val="20"/>
                <w:szCs w:val="20"/>
              </w:rPr>
            </w:pPr>
            <w:r w:rsidRPr="006F051E">
              <w:rPr>
                <w:rFonts w:ascii="Arial" w:hAnsi="Arial" w:cs="Arial"/>
                <w:b/>
                <w:bCs/>
                <w:color w:val="000000"/>
                <w:sz w:val="20"/>
                <w:szCs w:val="20"/>
              </w:rPr>
              <w:t>Order</w:t>
            </w:r>
          </w:p>
        </w:tc>
      </w:tr>
      <w:tr w:rsidR="006F051E" w:rsidRPr="008B3474" w14:paraId="693C2D84" w14:textId="77777777" w:rsidTr="006F051E">
        <w:tc>
          <w:tcPr>
            <w:tcW w:w="1408" w:type="dxa"/>
            <w:vMerge w:val="restart"/>
            <w:tcBorders>
              <w:top w:val="single" w:sz="4" w:space="0" w:color="000000"/>
            </w:tcBorders>
            <w:vAlign w:val="center"/>
          </w:tcPr>
          <w:p w14:paraId="47DE2D8B" w14:textId="7D099E4E" w:rsidR="006F051E" w:rsidRPr="006F051E" w:rsidRDefault="006F051E" w:rsidP="006F051E">
            <w:pPr>
              <w:spacing w:line="276" w:lineRule="auto"/>
              <w:jc w:val="center"/>
              <w:rPr>
                <w:rFonts w:ascii="Arial" w:hAnsi="Arial" w:cs="Arial"/>
                <w:sz w:val="20"/>
                <w:szCs w:val="20"/>
              </w:rPr>
            </w:pPr>
            <w:r w:rsidRPr="006F051E">
              <w:rPr>
                <w:rFonts w:ascii="Arial" w:hAnsi="Arial" w:cs="Arial"/>
                <w:color w:val="000000"/>
                <w:sz w:val="20"/>
                <w:szCs w:val="20"/>
              </w:rPr>
              <w:t>ZA test</w:t>
            </w:r>
          </w:p>
        </w:tc>
        <w:tc>
          <w:tcPr>
            <w:tcW w:w="1220" w:type="dxa"/>
            <w:vAlign w:val="bottom"/>
          </w:tcPr>
          <w:p w14:paraId="031CF927" w14:textId="2AEADCB9" w:rsidR="006F051E" w:rsidRPr="006F051E" w:rsidRDefault="006F051E" w:rsidP="006F051E">
            <w:pPr>
              <w:spacing w:line="276" w:lineRule="auto"/>
              <w:jc w:val="center"/>
              <w:rPr>
                <w:rFonts w:ascii="Arial" w:hAnsi="Arial" w:cs="Arial"/>
                <w:color w:val="000000"/>
                <w:sz w:val="20"/>
                <w:szCs w:val="20"/>
              </w:rPr>
            </w:pPr>
            <w:r w:rsidRPr="006F051E">
              <w:rPr>
                <w:rFonts w:ascii="Arial" w:eastAsia="Times New Roman" w:hAnsi="Arial" w:cs="Arial"/>
                <w:color w:val="000000"/>
                <w:sz w:val="20"/>
                <w:szCs w:val="20"/>
              </w:rPr>
              <w:t>GDP</w:t>
            </w:r>
          </w:p>
        </w:tc>
        <w:tc>
          <w:tcPr>
            <w:tcW w:w="1468" w:type="dxa"/>
            <w:vAlign w:val="bottom"/>
          </w:tcPr>
          <w:p w14:paraId="3186064A" w14:textId="0E12CFAF" w:rsidR="006F051E" w:rsidRPr="006F051E" w:rsidRDefault="006F051E" w:rsidP="006F051E">
            <w:pPr>
              <w:spacing w:line="276" w:lineRule="auto"/>
              <w:jc w:val="right"/>
              <w:rPr>
                <w:rFonts w:ascii="Arial" w:hAnsi="Arial" w:cs="Arial"/>
                <w:sz w:val="20"/>
                <w:szCs w:val="20"/>
              </w:rPr>
            </w:pPr>
            <w:r w:rsidRPr="006F051E">
              <w:rPr>
                <w:rFonts w:ascii="Arial" w:hAnsi="Arial" w:cs="Arial"/>
                <w:color w:val="000000"/>
                <w:sz w:val="20"/>
                <w:szCs w:val="20"/>
              </w:rPr>
              <w:t>-5.5694</w:t>
            </w:r>
          </w:p>
        </w:tc>
        <w:tc>
          <w:tcPr>
            <w:tcW w:w="1421" w:type="dxa"/>
            <w:vAlign w:val="bottom"/>
          </w:tcPr>
          <w:p w14:paraId="7DAC01B9" w14:textId="1E9F73EA" w:rsidR="006F051E" w:rsidRPr="006F051E" w:rsidRDefault="006F051E" w:rsidP="006F051E">
            <w:pPr>
              <w:spacing w:line="276" w:lineRule="auto"/>
              <w:jc w:val="right"/>
              <w:rPr>
                <w:rFonts w:ascii="Arial" w:hAnsi="Arial" w:cs="Arial"/>
                <w:sz w:val="20"/>
                <w:szCs w:val="20"/>
              </w:rPr>
            </w:pPr>
            <w:r w:rsidRPr="006F051E">
              <w:rPr>
                <w:rFonts w:ascii="Arial" w:hAnsi="Arial" w:cs="Arial"/>
                <w:color w:val="000000"/>
                <w:sz w:val="20"/>
                <w:szCs w:val="20"/>
              </w:rPr>
              <w:t>0.0001</w:t>
            </w:r>
          </w:p>
        </w:tc>
        <w:tc>
          <w:tcPr>
            <w:tcW w:w="1428" w:type="dxa"/>
            <w:vAlign w:val="bottom"/>
          </w:tcPr>
          <w:p w14:paraId="42E77BA1" w14:textId="4A3DBFF8" w:rsidR="006F051E" w:rsidRPr="006F051E" w:rsidRDefault="006F051E" w:rsidP="006F051E">
            <w:pPr>
              <w:spacing w:line="276" w:lineRule="auto"/>
              <w:jc w:val="right"/>
              <w:rPr>
                <w:rFonts w:ascii="Arial" w:hAnsi="Arial" w:cs="Arial"/>
                <w:color w:val="000000"/>
                <w:sz w:val="20"/>
                <w:szCs w:val="20"/>
              </w:rPr>
            </w:pPr>
            <w:r w:rsidRPr="00466C84">
              <w:rPr>
                <w:rFonts w:ascii="Arial" w:hAnsi="Arial" w:cs="Arial"/>
                <w:color w:val="000000"/>
                <w:sz w:val="20"/>
                <w:szCs w:val="20"/>
              </w:rPr>
              <w:t>2000</w:t>
            </w:r>
          </w:p>
        </w:tc>
        <w:tc>
          <w:tcPr>
            <w:tcW w:w="1263" w:type="dxa"/>
          </w:tcPr>
          <w:p w14:paraId="4D55608A" w14:textId="3DFA5ED7" w:rsidR="006F051E" w:rsidRPr="006F051E" w:rsidRDefault="006F051E" w:rsidP="006F051E">
            <w:pPr>
              <w:spacing w:line="276" w:lineRule="auto"/>
              <w:jc w:val="right"/>
              <w:rPr>
                <w:rFonts w:ascii="Arial" w:hAnsi="Arial" w:cs="Arial"/>
                <w:color w:val="000000"/>
                <w:sz w:val="20"/>
                <w:szCs w:val="20"/>
              </w:rPr>
            </w:pPr>
            <w:proofErr w:type="gramStart"/>
            <w:r w:rsidRPr="006F051E">
              <w:rPr>
                <w:rFonts w:ascii="Arial" w:hAnsi="Arial" w:cs="Arial"/>
                <w:i/>
                <w:iCs/>
                <w:color w:val="000000"/>
                <w:sz w:val="20"/>
                <w:szCs w:val="20"/>
              </w:rPr>
              <w:t>I</w:t>
            </w:r>
            <w:r w:rsidRPr="006F051E">
              <w:rPr>
                <w:rFonts w:ascii="Arial" w:hAnsi="Arial" w:cs="Arial"/>
                <w:color w:val="000000"/>
                <w:sz w:val="20"/>
                <w:szCs w:val="20"/>
              </w:rPr>
              <w:t>(</w:t>
            </w:r>
            <w:proofErr w:type="gramEnd"/>
            <w:r w:rsidRPr="006F051E">
              <w:rPr>
                <w:rFonts w:ascii="Arial" w:hAnsi="Arial" w:cs="Arial"/>
                <w:color w:val="000000"/>
                <w:sz w:val="20"/>
                <w:szCs w:val="20"/>
              </w:rPr>
              <w:t>0)</w:t>
            </w:r>
          </w:p>
        </w:tc>
      </w:tr>
      <w:tr w:rsidR="006F051E" w:rsidRPr="008B3474" w14:paraId="301A7716" w14:textId="77777777" w:rsidTr="006F051E">
        <w:tc>
          <w:tcPr>
            <w:tcW w:w="1408" w:type="dxa"/>
            <w:vMerge/>
            <w:vAlign w:val="center"/>
          </w:tcPr>
          <w:p w14:paraId="18136FA3" w14:textId="724A269F" w:rsidR="006F051E" w:rsidRPr="006F051E" w:rsidRDefault="006F051E" w:rsidP="006F051E">
            <w:pPr>
              <w:spacing w:line="276" w:lineRule="auto"/>
              <w:jc w:val="center"/>
              <w:rPr>
                <w:rFonts w:ascii="Arial" w:hAnsi="Arial" w:cs="Arial"/>
                <w:color w:val="000000"/>
                <w:sz w:val="20"/>
                <w:szCs w:val="20"/>
              </w:rPr>
            </w:pPr>
          </w:p>
        </w:tc>
        <w:tc>
          <w:tcPr>
            <w:tcW w:w="1220" w:type="dxa"/>
            <w:vAlign w:val="bottom"/>
          </w:tcPr>
          <w:p w14:paraId="5006F55F" w14:textId="0F226C51" w:rsidR="006F051E" w:rsidRPr="006F051E" w:rsidRDefault="006F051E" w:rsidP="006F051E">
            <w:pPr>
              <w:spacing w:line="276" w:lineRule="auto"/>
              <w:jc w:val="center"/>
              <w:rPr>
                <w:rFonts w:ascii="Arial" w:hAnsi="Arial" w:cs="Arial"/>
                <w:color w:val="000000"/>
                <w:sz w:val="20"/>
                <w:szCs w:val="20"/>
              </w:rPr>
            </w:pPr>
            <w:r w:rsidRPr="006F051E">
              <w:rPr>
                <w:rFonts w:ascii="Arial" w:eastAsia="Times New Roman" w:hAnsi="Arial" w:cs="Arial"/>
                <w:color w:val="000000"/>
                <w:sz w:val="20"/>
                <w:szCs w:val="20"/>
              </w:rPr>
              <w:t>INF</w:t>
            </w:r>
          </w:p>
        </w:tc>
        <w:tc>
          <w:tcPr>
            <w:tcW w:w="1468" w:type="dxa"/>
            <w:vAlign w:val="bottom"/>
          </w:tcPr>
          <w:p w14:paraId="3CAE720B" w14:textId="27B78287" w:rsidR="006F051E" w:rsidRPr="006F051E" w:rsidRDefault="006F051E" w:rsidP="006F051E">
            <w:pPr>
              <w:spacing w:line="276" w:lineRule="auto"/>
              <w:jc w:val="right"/>
              <w:rPr>
                <w:rFonts w:ascii="Arial" w:hAnsi="Arial" w:cs="Arial"/>
                <w:color w:val="000000"/>
                <w:sz w:val="20"/>
                <w:szCs w:val="20"/>
              </w:rPr>
            </w:pPr>
            <w:r w:rsidRPr="006F051E">
              <w:rPr>
                <w:rFonts w:ascii="Arial" w:hAnsi="Arial" w:cs="Arial"/>
                <w:color w:val="000000"/>
                <w:sz w:val="20"/>
                <w:szCs w:val="20"/>
              </w:rPr>
              <w:t>-7.1295</w:t>
            </w:r>
          </w:p>
        </w:tc>
        <w:tc>
          <w:tcPr>
            <w:tcW w:w="1421" w:type="dxa"/>
            <w:vAlign w:val="bottom"/>
          </w:tcPr>
          <w:p w14:paraId="0B59E1D2" w14:textId="03D8CCB4" w:rsidR="006F051E" w:rsidRPr="006F051E" w:rsidRDefault="006F051E" w:rsidP="006F051E">
            <w:pPr>
              <w:spacing w:line="276" w:lineRule="auto"/>
              <w:jc w:val="right"/>
              <w:rPr>
                <w:rFonts w:ascii="Arial" w:hAnsi="Arial" w:cs="Arial"/>
                <w:color w:val="000000"/>
                <w:sz w:val="20"/>
                <w:szCs w:val="20"/>
              </w:rPr>
            </w:pPr>
            <w:r w:rsidRPr="006F051E">
              <w:rPr>
                <w:rFonts w:ascii="Arial" w:hAnsi="Arial" w:cs="Arial"/>
                <w:color w:val="000000"/>
                <w:sz w:val="20"/>
                <w:szCs w:val="20"/>
              </w:rPr>
              <w:t>0.0001</w:t>
            </w:r>
          </w:p>
        </w:tc>
        <w:tc>
          <w:tcPr>
            <w:tcW w:w="1428" w:type="dxa"/>
            <w:vAlign w:val="bottom"/>
          </w:tcPr>
          <w:p w14:paraId="1238F641" w14:textId="6AB1A4F7" w:rsidR="006F051E" w:rsidRPr="006F051E" w:rsidRDefault="006F051E" w:rsidP="006F051E">
            <w:pPr>
              <w:spacing w:line="276" w:lineRule="auto"/>
              <w:jc w:val="right"/>
              <w:rPr>
                <w:rFonts w:ascii="Arial" w:hAnsi="Arial" w:cs="Arial"/>
                <w:color w:val="000000"/>
                <w:sz w:val="20"/>
                <w:szCs w:val="20"/>
              </w:rPr>
            </w:pPr>
            <w:r w:rsidRPr="00466C84">
              <w:rPr>
                <w:rFonts w:ascii="Arial" w:hAnsi="Arial" w:cs="Arial"/>
                <w:color w:val="000000"/>
                <w:sz w:val="20"/>
                <w:szCs w:val="20"/>
              </w:rPr>
              <w:t>2000</w:t>
            </w:r>
          </w:p>
        </w:tc>
        <w:tc>
          <w:tcPr>
            <w:tcW w:w="1263" w:type="dxa"/>
          </w:tcPr>
          <w:p w14:paraId="2E4BE199" w14:textId="762F778F" w:rsidR="006F051E" w:rsidRPr="006F051E" w:rsidRDefault="006F051E" w:rsidP="006F051E">
            <w:pPr>
              <w:spacing w:line="276" w:lineRule="auto"/>
              <w:jc w:val="right"/>
              <w:rPr>
                <w:rFonts w:ascii="Arial" w:hAnsi="Arial" w:cs="Arial"/>
                <w:color w:val="000000"/>
                <w:sz w:val="20"/>
                <w:szCs w:val="20"/>
              </w:rPr>
            </w:pPr>
            <w:proofErr w:type="gramStart"/>
            <w:r w:rsidRPr="006F051E">
              <w:rPr>
                <w:rFonts w:ascii="Arial" w:hAnsi="Arial" w:cs="Arial"/>
                <w:i/>
                <w:iCs/>
                <w:color w:val="000000"/>
                <w:sz w:val="20"/>
                <w:szCs w:val="20"/>
              </w:rPr>
              <w:t>I</w:t>
            </w:r>
            <w:r w:rsidRPr="006F051E">
              <w:rPr>
                <w:rFonts w:ascii="Arial" w:hAnsi="Arial" w:cs="Arial"/>
                <w:color w:val="000000"/>
                <w:sz w:val="20"/>
                <w:szCs w:val="20"/>
              </w:rPr>
              <w:t>(</w:t>
            </w:r>
            <w:proofErr w:type="gramEnd"/>
            <w:r w:rsidRPr="006F051E">
              <w:rPr>
                <w:rFonts w:ascii="Arial" w:hAnsi="Arial" w:cs="Arial"/>
                <w:color w:val="000000"/>
                <w:sz w:val="20"/>
                <w:szCs w:val="20"/>
              </w:rPr>
              <w:t>0)</w:t>
            </w:r>
          </w:p>
        </w:tc>
      </w:tr>
      <w:tr w:rsidR="006F051E" w:rsidRPr="008B3474" w14:paraId="13BDA340" w14:textId="77777777" w:rsidTr="006F051E">
        <w:tc>
          <w:tcPr>
            <w:tcW w:w="1408" w:type="dxa"/>
            <w:vMerge/>
            <w:vAlign w:val="center"/>
          </w:tcPr>
          <w:p w14:paraId="44AAFE9D" w14:textId="30AE359F" w:rsidR="006F051E" w:rsidRPr="006F051E" w:rsidRDefault="006F051E" w:rsidP="006F051E">
            <w:pPr>
              <w:spacing w:line="276" w:lineRule="auto"/>
              <w:jc w:val="center"/>
              <w:rPr>
                <w:rFonts w:ascii="Arial" w:hAnsi="Arial" w:cs="Arial"/>
                <w:sz w:val="20"/>
                <w:szCs w:val="20"/>
              </w:rPr>
            </w:pPr>
          </w:p>
        </w:tc>
        <w:tc>
          <w:tcPr>
            <w:tcW w:w="1220" w:type="dxa"/>
            <w:vAlign w:val="bottom"/>
          </w:tcPr>
          <w:p w14:paraId="3D3025FC" w14:textId="36A2215D" w:rsidR="006F051E" w:rsidRPr="006F051E" w:rsidRDefault="006F051E" w:rsidP="006F051E">
            <w:pPr>
              <w:spacing w:line="276" w:lineRule="auto"/>
              <w:jc w:val="center"/>
              <w:rPr>
                <w:rFonts w:ascii="Arial" w:hAnsi="Arial" w:cs="Arial"/>
                <w:color w:val="000000"/>
                <w:sz w:val="20"/>
                <w:szCs w:val="20"/>
              </w:rPr>
            </w:pPr>
            <w:r w:rsidRPr="006F051E">
              <w:rPr>
                <w:rFonts w:ascii="Arial" w:eastAsia="Times New Roman" w:hAnsi="Arial" w:cs="Arial"/>
                <w:color w:val="000000"/>
                <w:sz w:val="20"/>
                <w:szCs w:val="20"/>
              </w:rPr>
              <w:t>CAP</w:t>
            </w:r>
          </w:p>
        </w:tc>
        <w:tc>
          <w:tcPr>
            <w:tcW w:w="1468" w:type="dxa"/>
            <w:vAlign w:val="bottom"/>
          </w:tcPr>
          <w:p w14:paraId="6EF6A8D2" w14:textId="25CE08FC" w:rsidR="006F051E" w:rsidRPr="006F051E" w:rsidRDefault="006F051E" w:rsidP="006F051E">
            <w:pPr>
              <w:spacing w:line="276" w:lineRule="auto"/>
              <w:jc w:val="right"/>
              <w:rPr>
                <w:rFonts w:ascii="Arial" w:hAnsi="Arial" w:cs="Arial"/>
                <w:sz w:val="20"/>
                <w:szCs w:val="20"/>
              </w:rPr>
            </w:pPr>
            <w:r w:rsidRPr="006F051E">
              <w:rPr>
                <w:rFonts w:ascii="Arial" w:hAnsi="Arial" w:cs="Arial"/>
                <w:color w:val="000000"/>
                <w:sz w:val="20"/>
                <w:szCs w:val="20"/>
              </w:rPr>
              <w:t>-6.9537</w:t>
            </w:r>
          </w:p>
        </w:tc>
        <w:tc>
          <w:tcPr>
            <w:tcW w:w="1421" w:type="dxa"/>
            <w:vAlign w:val="bottom"/>
          </w:tcPr>
          <w:p w14:paraId="07B76DB0" w14:textId="3E3D4965" w:rsidR="006F051E" w:rsidRPr="006F051E" w:rsidRDefault="006F051E" w:rsidP="006F051E">
            <w:pPr>
              <w:spacing w:line="276" w:lineRule="auto"/>
              <w:jc w:val="right"/>
              <w:rPr>
                <w:rFonts w:ascii="Arial" w:hAnsi="Arial" w:cs="Arial"/>
                <w:sz w:val="20"/>
                <w:szCs w:val="20"/>
              </w:rPr>
            </w:pPr>
            <w:r w:rsidRPr="006F051E">
              <w:rPr>
                <w:rFonts w:ascii="Arial" w:hAnsi="Arial" w:cs="Arial"/>
                <w:color w:val="000000"/>
                <w:sz w:val="20"/>
                <w:szCs w:val="20"/>
              </w:rPr>
              <w:t>0.0003</w:t>
            </w:r>
          </w:p>
        </w:tc>
        <w:tc>
          <w:tcPr>
            <w:tcW w:w="1428" w:type="dxa"/>
            <w:vAlign w:val="bottom"/>
          </w:tcPr>
          <w:p w14:paraId="2691D46E" w14:textId="4BA2C0CE" w:rsidR="006F051E" w:rsidRPr="006F051E" w:rsidRDefault="006F051E" w:rsidP="006F051E">
            <w:pPr>
              <w:spacing w:line="276" w:lineRule="auto"/>
              <w:jc w:val="right"/>
              <w:rPr>
                <w:rFonts w:ascii="Arial" w:hAnsi="Arial" w:cs="Arial"/>
                <w:color w:val="000000"/>
                <w:sz w:val="20"/>
                <w:szCs w:val="20"/>
              </w:rPr>
            </w:pPr>
            <w:r w:rsidRPr="00466C84">
              <w:rPr>
                <w:rFonts w:ascii="Arial" w:hAnsi="Arial" w:cs="Arial"/>
                <w:color w:val="000000"/>
                <w:sz w:val="20"/>
                <w:szCs w:val="20"/>
              </w:rPr>
              <w:t>2002</w:t>
            </w:r>
          </w:p>
        </w:tc>
        <w:tc>
          <w:tcPr>
            <w:tcW w:w="1263" w:type="dxa"/>
          </w:tcPr>
          <w:p w14:paraId="4F7AF6D4" w14:textId="17275444" w:rsidR="006F051E" w:rsidRPr="006F051E" w:rsidRDefault="006F051E" w:rsidP="006F051E">
            <w:pPr>
              <w:spacing w:line="276" w:lineRule="auto"/>
              <w:jc w:val="right"/>
              <w:rPr>
                <w:rFonts w:ascii="Arial" w:hAnsi="Arial" w:cs="Arial"/>
                <w:color w:val="000000"/>
                <w:sz w:val="20"/>
                <w:szCs w:val="20"/>
              </w:rPr>
            </w:pPr>
            <w:proofErr w:type="gramStart"/>
            <w:r w:rsidRPr="006F051E">
              <w:rPr>
                <w:rFonts w:ascii="Arial" w:hAnsi="Arial" w:cs="Arial"/>
                <w:i/>
                <w:iCs/>
                <w:color w:val="000000"/>
                <w:sz w:val="20"/>
                <w:szCs w:val="20"/>
              </w:rPr>
              <w:t>I</w:t>
            </w:r>
            <w:r w:rsidRPr="006F051E">
              <w:rPr>
                <w:rFonts w:ascii="Arial" w:hAnsi="Arial" w:cs="Arial"/>
                <w:color w:val="000000"/>
                <w:sz w:val="20"/>
                <w:szCs w:val="20"/>
              </w:rPr>
              <w:t>(</w:t>
            </w:r>
            <w:proofErr w:type="gramEnd"/>
            <w:r w:rsidRPr="006F051E">
              <w:rPr>
                <w:rFonts w:ascii="Arial" w:hAnsi="Arial" w:cs="Arial"/>
                <w:color w:val="000000"/>
                <w:sz w:val="20"/>
                <w:szCs w:val="20"/>
              </w:rPr>
              <w:t>0)</w:t>
            </w:r>
          </w:p>
        </w:tc>
      </w:tr>
      <w:tr w:rsidR="006F051E" w:rsidRPr="008B3474" w14:paraId="71460E0A" w14:textId="77777777" w:rsidTr="006F051E">
        <w:tc>
          <w:tcPr>
            <w:tcW w:w="1408" w:type="dxa"/>
            <w:vMerge/>
            <w:tcBorders>
              <w:bottom w:val="single" w:sz="4" w:space="0" w:color="000000"/>
            </w:tcBorders>
            <w:vAlign w:val="center"/>
          </w:tcPr>
          <w:p w14:paraId="6D2C8B2A" w14:textId="264BD893" w:rsidR="006F051E" w:rsidRPr="006F051E" w:rsidRDefault="006F051E" w:rsidP="006F051E">
            <w:pPr>
              <w:spacing w:line="276" w:lineRule="auto"/>
              <w:jc w:val="center"/>
              <w:rPr>
                <w:rFonts w:ascii="Arial" w:hAnsi="Arial" w:cs="Arial"/>
                <w:sz w:val="20"/>
                <w:szCs w:val="20"/>
              </w:rPr>
            </w:pPr>
          </w:p>
        </w:tc>
        <w:tc>
          <w:tcPr>
            <w:tcW w:w="1220" w:type="dxa"/>
            <w:tcBorders>
              <w:bottom w:val="single" w:sz="4" w:space="0" w:color="000000"/>
            </w:tcBorders>
            <w:vAlign w:val="bottom"/>
          </w:tcPr>
          <w:p w14:paraId="2FD3EA2F" w14:textId="04E6C0A2" w:rsidR="006F051E" w:rsidRPr="006F051E" w:rsidRDefault="006F051E" w:rsidP="006F051E">
            <w:pPr>
              <w:spacing w:line="276" w:lineRule="auto"/>
              <w:jc w:val="center"/>
              <w:rPr>
                <w:rFonts w:ascii="Arial" w:hAnsi="Arial" w:cs="Arial"/>
                <w:color w:val="000000"/>
                <w:sz w:val="20"/>
                <w:szCs w:val="20"/>
              </w:rPr>
            </w:pPr>
            <w:r w:rsidRPr="006F051E">
              <w:rPr>
                <w:rFonts w:ascii="Arial" w:eastAsia="Times New Roman" w:hAnsi="Arial" w:cs="Arial"/>
                <w:color w:val="000000"/>
                <w:sz w:val="20"/>
                <w:szCs w:val="20"/>
              </w:rPr>
              <w:t>POP</w:t>
            </w:r>
          </w:p>
        </w:tc>
        <w:tc>
          <w:tcPr>
            <w:tcW w:w="1468" w:type="dxa"/>
            <w:tcBorders>
              <w:bottom w:val="single" w:sz="4" w:space="0" w:color="000000"/>
            </w:tcBorders>
            <w:vAlign w:val="bottom"/>
          </w:tcPr>
          <w:p w14:paraId="60E3BDF2" w14:textId="2CC5F1F7" w:rsidR="006F051E" w:rsidRPr="006F051E" w:rsidRDefault="006F051E" w:rsidP="006F051E">
            <w:pPr>
              <w:spacing w:line="276" w:lineRule="auto"/>
              <w:jc w:val="right"/>
              <w:rPr>
                <w:rFonts w:ascii="Arial" w:hAnsi="Arial" w:cs="Arial"/>
                <w:sz w:val="20"/>
                <w:szCs w:val="20"/>
              </w:rPr>
            </w:pPr>
            <w:r w:rsidRPr="006F051E">
              <w:rPr>
                <w:rFonts w:ascii="Arial" w:hAnsi="Arial" w:cs="Arial"/>
                <w:color w:val="000000"/>
                <w:sz w:val="20"/>
                <w:szCs w:val="20"/>
              </w:rPr>
              <w:t>-5.4408</w:t>
            </w:r>
          </w:p>
        </w:tc>
        <w:tc>
          <w:tcPr>
            <w:tcW w:w="1421" w:type="dxa"/>
            <w:tcBorders>
              <w:bottom w:val="single" w:sz="4" w:space="0" w:color="000000"/>
            </w:tcBorders>
            <w:vAlign w:val="bottom"/>
          </w:tcPr>
          <w:p w14:paraId="1BFAD824" w14:textId="7768EE21" w:rsidR="006F051E" w:rsidRPr="006F051E" w:rsidRDefault="006F051E" w:rsidP="006F051E">
            <w:pPr>
              <w:spacing w:line="276" w:lineRule="auto"/>
              <w:jc w:val="right"/>
              <w:rPr>
                <w:rFonts w:ascii="Arial" w:hAnsi="Arial" w:cs="Arial"/>
                <w:sz w:val="20"/>
                <w:szCs w:val="20"/>
              </w:rPr>
            </w:pPr>
            <w:r w:rsidRPr="006F051E">
              <w:rPr>
                <w:rFonts w:ascii="Arial" w:hAnsi="Arial" w:cs="Arial"/>
                <w:color w:val="000000"/>
                <w:sz w:val="20"/>
                <w:szCs w:val="20"/>
              </w:rPr>
              <w:t>0.0635</w:t>
            </w:r>
          </w:p>
        </w:tc>
        <w:tc>
          <w:tcPr>
            <w:tcW w:w="1428" w:type="dxa"/>
            <w:tcBorders>
              <w:bottom w:val="single" w:sz="4" w:space="0" w:color="000000"/>
            </w:tcBorders>
            <w:vAlign w:val="bottom"/>
          </w:tcPr>
          <w:p w14:paraId="6D7A9EE2" w14:textId="19A5311F" w:rsidR="006F051E" w:rsidRPr="006F051E" w:rsidRDefault="006F051E" w:rsidP="006F051E">
            <w:pPr>
              <w:spacing w:line="276" w:lineRule="auto"/>
              <w:jc w:val="right"/>
              <w:rPr>
                <w:rFonts w:ascii="Arial" w:hAnsi="Arial" w:cs="Arial"/>
                <w:color w:val="000000"/>
                <w:sz w:val="20"/>
                <w:szCs w:val="20"/>
              </w:rPr>
            </w:pPr>
            <w:r w:rsidRPr="00466C84">
              <w:rPr>
                <w:rFonts w:ascii="Arial" w:hAnsi="Arial" w:cs="Arial"/>
                <w:color w:val="000000"/>
                <w:sz w:val="20"/>
                <w:szCs w:val="20"/>
              </w:rPr>
              <w:t>2000</w:t>
            </w:r>
          </w:p>
        </w:tc>
        <w:tc>
          <w:tcPr>
            <w:tcW w:w="1263" w:type="dxa"/>
            <w:tcBorders>
              <w:bottom w:val="single" w:sz="4" w:space="0" w:color="000000"/>
            </w:tcBorders>
          </w:tcPr>
          <w:p w14:paraId="53424C41" w14:textId="3A9D4455" w:rsidR="006F051E" w:rsidRPr="006F051E" w:rsidRDefault="006F051E" w:rsidP="006F051E">
            <w:pPr>
              <w:spacing w:line="276" w:lineRule="auto"/>
              <w:jc w:val="right"/>
              <w:rPr>
                <w:rFonts w:ascii="Arial" w:hAnsi="Arial" w:cs="Arial"/>
                <w:color w:val="000000"/>
                <w:sz w:val="20"/>
                <w:szCs w:val="20"/>
              </w:rPr>
            </w:pPr>
            <w:proofErr w:type="gramStart"/>
            <w:r w:rsidRPr="006F051E">
              <w:rPr>
                <w:rFonts w:ascii="Arial" w:hAnsi="Arial" w:cs="Arial"/>
                <w:i/>
                <w:iCs/>
                <w:color w:val="000000"/>
                <w:sz w:val="20"/>
                <w:szCs w:val="20"/>
              </w:rPr>
              <w:t>I</w:t>
            </w:r>
            <w:r w:rsidRPr="006F051E">
              <w:rPr>
                <w:rFonts w:ascii="Arial" w:hAnsi="Arial" w:cs="Arial"/>
                <w:color w:val="000000"/>
                <w:sz w:val="20"/>
                <w:szCs w:val="20"/>
              </w:rPr>
              <w:t>(</w:t>
            </w:r>
            <w:proofErr w:type="gramEnd"/>
            <w:r w:rsidRPr="006F051E">
              <w:rPr>
                <w:rFonts w:ascii="Arial" w:hAnsi="Arial" w:cs="Arial"/>
                <w:color w:val="000000"/>
                <w:sz w:val="20"/>
                <w:szCs w:val="20"/>
              </w:rPr>
              <w:t>0)</w:t>
            </w:r>
          </w:p>
        </w:tc>
      </w:tr>
      <w:tr w:rsidR="006F051E" w:rsidRPr="008B3474" w14:paraId="4B3DED57" w14:textId="77777777" w:rsidTr="006F051E">
        <w:tc>
          <w:tcPr>
            <w:tcW w:w="1408" w:type="dxa"/>
            <w:vMerge w:val="restart"/>
            <w:tcBorders>
              <w:top w:val="single" w:sz="4" w:space="0" w:color="000000"/>
            </w:tcBorders>
            <w:vAlign w:val="center"/>
          </w:tcPr>
          <w:p w14:paraId="352D7509" w14:textId="55F2168F" w:rsidR="006F051E" w:rsidRPr="006F051E" w:rsidRDefault="006F051E" w:rsidP="006F051E">
            <w:pPr>
              <w:spacing w:line="276" w:lineRule="auto"/>
              <w:jc w:val="center"/>
              <w:rPr>
                <w:rFonts w:ascii="Arial" w:hAnsi="Arial" w:cs="Arial"/>
                <w:color w:val="000000"/>
                <w:sz w:val="20"/>
                <w:szCs w:val="20"/>
              </w:rPr>
            </w:pPr>
            <w:r w:rsidRPr="006F051E">
              <w:rPr>
                <w:rFonts w:ascii="Arial" w:hAnsi="Arial" w:cs="Arial"/>
                <w:sz w:val="20"/>
                <w:szCs w:val="20"/>
              </w:rPr>
              <w:t>DF structural break test</w:t>
            </w:r>
          </w:p>
        </w:tc>
        <w:tc>
          <w:tcPr>
            <w:tcW w:w="1220" w:type="dxa"/>
            <w:tcBorders>
              <w:top w:val="single" w:sz="4" w:space="0" w:color="000000"/>
            </w:tcBorders>
            <w:vAlign w:val="bottom"/>
          </w:tcPr>
          <w:p w14:paraId="790257BC" w14:textId="6F3D3FFD" w:rsidR="006F051E" w:rsidRPr="006F051E" w:rsidRDefault="006F051E" w:rsidP="006F051E">
            <w:pPr>
              <w:spacing w:line="276" w:lineRule="auto"/>
              <w:jc w:val="center"/>
              <w:rPr>
                <w:rFonts w:ascii="Arial" w:hAnsi="Arial" w:cs="Arial"/>
                <w:color w:val="000000"/>
                <w:sz w:val="20"/>
                <w:szCs w:val="20"/>
              </w:rPr>
            </w:pPr>
            <w:r w:rsidRPr="006F051E">
              <w:rPr>
                <w:rFonts w:ascii="Arial" w:eastAsia="Times New Roman" w:hAnsi="Arial" w:cs="Arial"/>
                <w:color w:val="000000"/>
                <w:sz w:val="20"/>
                <w:szCs w:val="20"/>
              </w:rPr>
              <w:t>GDP</w:t>
            </w:r>
          </w:p>
        </w:tc>
        <w:tc>
          <w:tcPr>
            <w:tcW w:w="1468" w:type="dxa"/>
            <w:tcBorders>
              <w:top w:val="single" w:sz="4" w:space="0" w:color="000000"/>
            </w:tcBorders>
            <w:vAlign w:val="bottom"/>
          </w:tcPr>
          <w:p w14:paraId="2BEF97A3" w14:textId="1BCCD283" w:rsidR="006F051E" w:rsidRPr="006F051E" w:rsidRDefault="006F051E" w:rsidP="006F051E">
            <w:pPr>
              <w:spacing w:line="276" w:lineRule="auto"/>
              <w:jc w:val="right"/>
              <w:rPr>
                <w:rFonts w:ascii="Arial" w:hAnsi="Arial" w:cs="Arial"/>
                <w:color w:val="000000"/>
                <w:sz w:val="20"/>
                <w:szCs w:val="20"/>
              </w:rPr>
            </w:pPr>
            <w:r w:rsidRPr="00F9691E">
              <w:rPr>
                <w:rFonts w:ascii="Arial" w:hAnsi="Arial" w:cs="Arial"/>
                <w:color w:val="000000"/>
                <w:sz w:val="20"/>
                <w:szCs w:val="20"/>
              </w:rPr>
              <w:t>-9.2206</w:t>
            </w:r>
          </w:p>
        </w:tc>
        <w:tc>
          <w:tcPr>
            <w:tcW w:w="1421" w:type="dxa"/>
            <w:tcBorders>
              <w:top w:val="single" w:sz="4" w:space="0" w:color="000000"/>
            </w:tcBorders>
            <w:vAlign w:val="bottom"/>
          </w:tcPr>
          <w:p w14:paraId="219918FD" w14:textId="1BB499F9" w:rsidR="006F051E" w:rsidRPr="006F051E" w:rsidRDefault="006F051E" w:rsidP="006F051E">
            <w:pPr>
              <w:spacing w:line="276" w:lineRule="auto"/>
              <w:jc w:val="right"/>
              <w:rPr>
                <w:rFonts w:ascii="Arial" w:hAnsi="Arial" w:cs="Arial"/>
                <w:color w:val="000000"/>
                <w:sz w:val="20"/>
                <w:szCs w:val="20"/>
              </w:rPr>
            </w:pPr>
            <w:r w:rsidRPr="00F9691E">
              <w:rPr>
                <w:rFonts w:ascii="Arial" w:hAnsi="Arial" w:cs="Arial"/>
                <w:color w:val="000000"/>
                <w:sz w:val="20"/>
                <w:szCs w:val="20"/>
              </w:rPr>
              <w:t>0.0000</w:t>
            </w:r>
          </w:p>
        </w:tc>
        <w:tc>
          <w:tcPr>
            <w:tcW w:w="1428" w:type="dxa"/>
            <w:tcBorders>
              <w:top w:val="single" w:sz="4" w:space="0" w:color="000000"/>
            </w:tcBorders>
            <w:vAlign w:val="bottom"/>
          </w:tcPr>
          <w:p w14:paraId="09607469" w14:textId="7A83A9A3" w:rsidR="006F051E" w:rsidRPr="006F051E" w:rsidRDefault="006F051E" w:rsidP="006F051E">
            <w:pPr>
              <w:spacing w:line="276" w:lineRule="auto"/>
              <w:jc w:val="right"/>
              <w:rPr>
                <w:rFonts w:ascii="Arial" w:hAnsi="Arial" w:cs="Arial"/>
                <w:color w:val="000000"/>
                <w:sz w:val="20"/>
                <w:szCs w:val="20"/>
              </w:rPr>
            </w:pPr>
            <w:r w:rsidRPr="00F9691E">
              <w:rPr>
                <w:rFonts w:ascii="Arial" w:hAnsi="Arial" w:cs="Arial"/>
                <w:color w:val="000000"/>
                <w:sz w:val="20"/>
                <w:szCs w:val="20"/>
              </w:rPr>
              <w:t>1998</w:t>
            </w:r>
          </w:p>
        </w:tc>
        <w:tc>
          <w:tcPr>
            <w:tcW w:w="1263" w:type="dxa"/>
            <w:tcBorders>
              <w:top w:val="single" w:sz="4" w:space="0" w:color="000000"/>
            </w:tcBorders>
          </w:tcPr>
          <w:p w14:paraId="545E9318" w14:textId="1C8FAD76" w:rsidR="006F051E" w:rsidRPr="006F051E" w:rsidRDefault="006F051E" w:rsidP="006F051E">
            <w:pPr>
              <w:spacing w:line="276" w:lineRule="auto"/>
              <w:jc w:val="right"/>
              <w:rPr>
                <w:rFonts w:ascii="Arial" w:hAnsi="Arial" w:cs="Arial"/>
                <w:color w:val="000000"/>
                <w:sz w:val="20"/>
                <w:szCs w:val="20"/>
              </w:rPr>
            </w:pPr>
            <w:proofErr w:type="gramStart"/>
            <w:r w:rsidRPr="006F051E">
              <w:rPr>
                <w:rFonts w:ascii="Arial" w:hAnsi="Arial" w:cs="Arial"/>
                <w:i/>
                <w:iCs/>
                <w:color w:val="000000"/>
                <w:sz w:val="20"/>
                <w:szCs w:val="20"/>
              </w:rPr>
              <w:t>I</w:t>
            </w:r>
            <w:r w:rsidRPr="006F051E">
              <w:rPr>
                <w:rFonts w:ascii="Arial" w:hAnsi="Arial" w:cs="Arial"/>
                <w:color w:val="000000"/>
                <w:sz w:val="20"/>
                <w:szCs w:val="20"/>
              </w:rPr>
              <w:t>(</w:t>
            </w:r>
            <w:proofErr w:type="gramEnd"/>
            <w:r w:rsidRPr="006F051E">
              <w:rPr>
                <w:rFonts w:ascii="Arial" w:hAnsi="Arial" w:cs="Arial"/>
                <w:color w:val="000000"/>
                <w:sz w:val="20"/>
                <w:szCs w:val="20"/>
              </w:rPr>
              <w:t>0)</w:t>
            </w:r>
          </w:p>
        </w:tc>
      </w:tr>
      <w:tr w:rsidR="006F051E" w:rsidRPr="008B3474" w14:paraId="546842B5" w14:textId="77777777" w:rsidTr="00EE246F">
        <w:tc>
          <w:tcPr>
            <w:tcW w:w="1408" w:type="dxa"/>
            <w:vMerge/>
            <w:vAlign w:val="bottom"/>
          </w:tcPr>
          <w:p w14:paraId="7A8E5501" w14:textId="77777777" w:rsidR="006F051E" w:rsidRPr="006F051E" w:rsidRDefault="006F051E" w:rsidP="006F051E">
            <w:pPr>
              <w:spacing w:line="276" w:lineRule="auto"/>
              <w:jc w:val="both"/>
              <w:rPr>
                <w:rFonts w:ascii="Arial" w:hAnsi="Arial" w:cs="Arial"/>
                <w:color w:val="000000"/>
                <w:sz w:val="20"/>
                <w:szCs w:val="20"/>
              </w:rPr>
            </w:pPr>
          </w:p>
        </w:tc>
        <w:tc>
          <w:tcPr>
            <w:tcW w:w="1220" w:type="dxa"/>
            <w:vAlign w:val="bottom"/>
          </w:tcPr>
          <w:p w14:paraId="3866F103" w14:textId="03B75139" w:rsidR="006F051E" w:rsidRPr="006F051E" w:rsidRDefault="006F051E" w:rsidP="006F051E">
            <w:pPr>
              <w:spacing w:line="276" w:lineRule="auto"/>
              <w:jc w:val="center"/>
              <w:rPr>
                <w:rFonts w:ascii="Arial" w:hAnsi="Arial" w:cs="Arial"/>
                <w:color w:val="000000"/>
                <w:sz w:val="20"/>
                <w:szCs w:val="20"/>
              </w:rPr>
            </w:pPr>
            <w:r w:rsidRPr="006F051E">
              <w:rPr>
                <w:rFonts w:ascii="Arial" w:eastAsia="Times New Roman" w:hAnsi="Arial" w:cs="Arial"/>
                <w:color w:val="000000"/>
                <w:sz w:val="20"/>
                <w:szCs w:val="20"/>
              </w:rPr>
              <w:t>INF</w:t>
            </w:r>
          </w:p>
        </w:tc>
        <w:tc>
          <w:tcPr>
            <w:tcW w:w="1468" w:type="dxa"/>
            <w:vAlign w:val="bottom"/>
          </w:tcPr>
          <w:p w14:paraId="41600D1D" w14:textId="2AB3AD5B" w:rsidR="006F051E" w:rsidRPr="006F051E" w:rsidRDefault="006F051E" w:rsidP="006F051E">
            <w:pPr>
              <w:spacing w:line="276" w:lineRule="auto"/>
              <w:jc w:val="right"/>
              <w:rPr>
                <w:rFonts w:ascii="Arial" w:hAnsi="Arial" w:cs="Arial"/>
                <w:color w:val="000000"/>
                <w:sz w:val="20"/>
                <w:szCs w:val="20"/>
              </w:rPr>
            </w:pPr>
            <w:r w:rsidRPr="00F9691E">
              <w:rPr>
                <w:rFonts w:ascii="Arial" w:hAnsi="Arial" w:cs="Arial"/>
                <w:color w:val="000000"/>
                <w:sz w:val="20"/>
                <w:szCs w:val="20"/>
              </w:rPr>
              <w:t>-13.7646</w:t>
            </w:r>
          </w:p>
        </w:tc>
        <w:tc>
          <w:tcPr>
            <w:tcW w:w="1421" w:type="dxa"/>
            <w:vAlign w:val="bottom"/>
          </w:tcPr>
          <w:p w14:paraId="1CE3E4C8" w14:textId="4A0E57FF" w:rsidR="006F051E" w:rsidRPr="006F051E" w:rsidRDefault="006F051E" w:rsidP="006F051E">
            <w:pPr>
              <w:spacing w:line="276" w:lineRule="auto"/>
              <w:jc w:val="right"/>
              <w:rPr>
                <w:rFonts w:ascii="Arial" w:hAnsi="Arial" w:cs="Arial"/>
                <w:color w:val="000000"/>
                <w:sz w:val="20"/>
                <w:szCs w:val="20"/>
              </w:rPr>
            </w:pPr>
            <w:r w:rsidRPr="00F9691E">
              <w:rPr>
                <w:rFonts w:ascii="Arial" w:hAnsi="Arial" w:cs="Arial"/>
                <w:color w:val="000000"/>
                <w:sz w:val="20"/>
                <w:szCs w:val="20"/>
              </w:rPr>
              <w:t>0.0000</w:t>
            </w:r>
          </w:p>
        </w:tc>
        <w:tc>
          <w:tcPr>
            <w:tcW w:w="1428" w:type="dxa"/>
            <w:vAlign w:val="bottom"/>
          </w:tcPr>
          <w:p w14:paraId="6DCC9EED" w14:textId="2352A69C" w:rsidR="006F051E" w:rsidRPr="006F051E" w:rsidRDefault="006F051E" w:rsidP="006F051E">
            <w:pPr>
              <w:spacing w:line="276" w:lineRule="auto"/>
              <w:jc w:val="right"/>
              <w:rPr>
                <w:rFonts w:ascii="Arial" w:hAnsi="Arial" w:cs="Arial"/>
                <w:color w:val="000000"/>
                <w:sz w:val="20"/>
                <w:szCs w:val="20"/>
              </w:rPr>
            </w:pPr>
            <w:r w:rsidRPr="00F9691E">
              <w:rPr>
                <w:rFonts w:ascii="Arial" w:hAnsi="Arial" w:cs="Arial"/>
                <w:color w:val="000000"/>
                <w:sz w:val="20"/>
                <w:szCs w:val="20"/>
              </w:rPr>
              <w:t>1998</w:t>
            </w:r>
          </w:p>
        </w:tc>
        <w:tc>
          <w:tcPr>
            <w:tcW w:w="1263" w:type="dxa"/>
          </w:tcPr>
          <w:p w14:paraId="5DF9D4DE" w14:textId="09E41465" w:rsidR="006F051E" w:rsidRPr="006F051E" w:rsidRDefault="006F051E" w:rsidP="006F051E">
            <w:pPr>
              <w:spacing w:line="276" w:lineRule="auto"/>
              <w:jc w:val="right"/>
              <w:rPr>
                <w:rFonts w:ascii="Arial" w:hAnsi="Arial" w:cs="Arial"/>
                <w:color w:val="000000"/>
                <w:sz w:val="20"/>
                <w:szCs w:val="20"/>
              </w:rPr>
            </w:pPr>
            <w:proofErr w:type="gramStart"/>
            <w:r w:rsidRPr="006F051E">
              <w:rPr>
                <w:rFonts w:ascii="Arial" w:hAnsi="Arial" w:cs="Arial"/>
                <w:i/>
                <w:iCs/>
                <w:color w:val="000000"/>
                <w:sz w:val="20"/>
                <w:szCs w:val="20"/>
              </w:rPr>
              <w:t>I</w:t>
            </w:r>
            <w:r w:rsidRPr="006F051E">
              <w:rPr>
                <w:rFonts w:ascii="Arial" w:hAnsi="Arial" w:cs="Arial"/>
                <w:color w:val="000000"/>
                <w:sz w:val="20"/>
                <w:szCs w:val="20"/>
              </w:rPr>
              <w:t>(</w:t>
            </w:r>
            <w:proofErr w:type="gramEnd"/>
            <w:r w:rsidRPr="006F051E">
              <w:rPr>
                <w:rFonts w:ascii="Arial" w:hAnsi="Arial" w:cs="Arial"/>
                <w:color w:val="000000"/>
                <w:sz w:val="20"/>
                <w:szCs w:val="20"/>
              </w:rPr>
              <w:t>0)</w:t>
            </w:r>
          </w:p>
        </w:tc>
      </w:tr>
      <w:tr w:rsidR="006F051E" w:rsidRPr="008B3474" w14:paraId="00DA7434" w14:textId="77777777" w:rsidTr="00EE246F">
        <w:tc>
          <w:tcPr>
            <w:tcW w:w="1408" w:type="dxa"/>
            <w:vMerge/>
            <w:vAlign w:val="bottom"/>
          </w:tcPr>
          <w:p w14:paraId="22C1D824" w14:textId="77777777" w:rsidR="006F051E" w:rsidRPr="006F051E" w:rsidRDefault="006F051E" w:rsidP="006F051E">
            <w:pPr>
              <w:spacing w:line="276" w:lineRule="auto"/>
              <w:jc w:val="both"/>
              <w:rPr>
                <w:rFonts w:ascii="Arial" w:hAnsi="Arial" w:cs="Arial"/>
                <w:color w:val="000000"/>
                <w:sz w:val="20"/>
                <w:szCs w:val="20"/>
              </w:rPr>
            </w:pPr>
          </w:p>
        </w:tc>
        <w:tc>
          <w:tcPr>
            <w:tcW w:w="1220" w:type="dxa"/>
            <w:vAlign w:val="bottom"/>
          </w:tcPr>
          <w:p w14:paraId="7D640FC8" w14:textId="6C7B5EC4" w:rsidR="006F051E" w:rsidRPr="006F051E" w:rsidRDefault="006F051E" w:rsidP="006F051E">
            <w:pPr>
              <w:spacing w:line="276" w:lineRule="auto"/>
              <w:jc w:val="center"/>
              <w:rPr>
                <w:rFonts w:ascii="Arial" w:hAnsi="Arial" w:cs="Arial"/>
                <w:color w:val="000000"/>
                <w:sz w:val="20"/>
                <w:szCs w:val="20"/>
              </w:rPr>
            </w:pPr>
            <w:r w:rsidRPr="006F051E">
              <w:rPr>
                <w:rFonts w:ascii="Arial" w:eastAsia="Times New Roman" w:hAnsi="Arial" w:cs="Arial"/>
                <w:color w:val="000000"/>
                <w:sz w:val="20"/>
                <w:szCs w:val="20"/>
              </w:rPr>
              <w:t>CAP</w:t>
            </w:r>
          </w:p>
        </w:tc>
        <w:tc>
          <w:tcPr>
            <w:tcW w:w="1468" w:type="dxa"/>
            <w:vAlign w:val="bottom"/>
          </w:tcPr>
          <w:p w14:paraId="018D97C0" w14:textId="53EF87CD" w:rsidR="006F051E" w:rsidRPr="006F051E" w:rsidRDefault="006F051E" w:rsidP="006F051E">
            <w:pPr>
              <w:spacing w:line="276" w:lineRule="auto"/>
              <w:jc w:val="right"/>
              <w:rPr>
                <w:rFonts w:ascii="Arial" w:hAnsi="Arial" w:cs="Arial"/>
                <w:color w:val="000000"/>
                <w:sz w:val="20"/>
                <w:szCs w:val="20"/>
              </w:rPr>
            </w:pPr>
            <w:r w:rsidRPr="00F9691E">
              <w:rPr>
                <w:rFonts w:ascii="Arial" w:hAnsi="Arial" w:cs="Arial"/>
                <w:color w:val="000000"/>
                <w:sz w:val="20"/>
                <w:szCs w:val="20"/>
              </w:rPr>
              <w:t>-5.9034</w:t>
            </w:r>
          </w:p>
        </w:tc>
        <w:tc>
          <w:tcPr>
            <w:tcW w:w="1421" w:type="dxa"/>
            <w:vAlign w:val="bottom"/>
          </w:tcPr>
          <w:p w14:paraId="30035CD8" w14:textId="2739B464" w:rsidR="006F051E" w:rsidRPr="006F051E" w:rsidRDefault="006F051E" w:rsidP="006F051E">
            <w:pPr>
              <w:spacing w:line="276" w:lineRule="auto"/>
              <w:jc w:val="right"/>
              <w:rPr>
                <w:rFonts w:ascii="Arial" w:hAnsi="Arial" w:cs="Arial"/>
                <w:color w:val="000000"/>
                <w:sz w:val="20"/>
                <w:szCs w:val="20"/>
              </w:rPr>
            </w:pPr>
            <w:r w:rsidRPr="00F9691E">
              <w:rPr>
                <w:rFonts w:ascii="Arial" w:hAnsi="Arial" w:cs="Arial"/>
                <w:color w:val="000000"/>
                <w:sz w:val="20"/>
                <w:szCs w:val="20"/>
              </w:rPr>
              <w:t>0.0000</w:t>
            </w:r>
          </w:p>
        </w:tc>
        <w:tc>
          <w:tcPr>
            <w:tcW w:w="1428" w:type="dxa"/>
            <w:vAlign w:val="bottom"/>
          </w:tcPr>
          <w:p w14:paraId="0C0D97E0" w14:textId="6BCA2FE6" w:rsidR="006F051E" w:rsidRPr="006F051E" w:rsidRDefault="006F051E" w:rsidP="006F051E">
            <w:pPr>
              <w:spacing w:line="276" w:lineRule="auto"/>
              <w:jc w:val="right"/>
              <w:rPr>
                <w:rFonts w:ascii="Arial" w:hAnsi="Arial" w:cs="Arial"/>
                <w:color w:val="000000"/>
                <w:sz w:val="20"/>
                <w:szCs w:val="20"/>
              </w:rPr>
            </w:pPr>
            <w:r w:rsidRPr="00F9691E">
              <w:rPr>
                <w:rFonts w:ascii="Arial" w:hAnsi="Arial" w:cs="Arial"/>
                <w:color w:val="000000"/>
                <w:sz w:val="20"/>
                <w:szCs w:val="20"/>
              </w:rPr>
              <w:t>1998</w:t>
            </w:r>
          </w:p>
        </w:tc>
        <w:tc>
          <w:tcPr>
            <w:tcW w:w="1263" w:type="dxa"/>
          </w:tcPr>
          <w:p w14:paraId="00881D58" w14:textId="29640E71" w:rsidR="006F051E" w:rsidRPr="006F051E" w:rsidRDefault="006F051E" w:rsidP="006F051E">
            <w:pPr>
              <w:spacing w:line="276" w:lineRule="auto"/>
              <w:jc w:val="right"/>
              <w:rPr>
                <w:rFonts w:ascii="Arial" w:hAnsi="Arial" w:cs="Arial"/>
                <w:color w:val="000000"/>
                <w:sz w:val="20"/>
                <w:szCs w:val="20"/>
              </w:rPr>
            </w:pPr>
            <w:proofErr w:type="gramStart"/>
            <w:r w:rsidRPr="006F051E">
              <w:rPr>
                <w:rFonts w:ascii="Arial" w:hAnsi="Arial" w:cs="Arial"/>
                <w:i/>
                <w:iCs/>
                <w:color w:val="000000"/>
                <w:sz w:val="20"/>
                <w:szCs w:val="20"/>
              </w:rPr>
              <w:t>I</w:t>
            </w:r>
            <w:r w:rsidRPr="006F051E">
              <w:rPr>
                <w:rFonts w:ascii="Arial" w:hAnsi="Arial" w:cs="Arial"/>
                <w:color w:val="000000"/>
                <w:sz w:val="20"/>
                <w:szCs w:val="20"/>
              </w:rPr>
              <w:t>(</w:t>
            </w:r>
            <w:proofErr w:type="gramEnd"/>
            <w:r w:rsidRPr="006F051E">
              <w:rPr>
                <w:rFonts w:ascii="Arial" w:hAnsi="Arial" w:cs="Arial"/>
                <w:color w:val="000000"/>
                <w:sz w:val="20"/>
                <w:szCs w:val="20"/>
              </w:rPr>
              <w:t>0)</w:t>
            </w:r>
          </w:p>
        </w:tc>
      </w:tr>
      <w:tr w:rsidR="006F051E" w:rsidRPr="008B3474" w14:paraId="7A840972" w14:textId="77777777" w:rsidTr="006F051E">
        <w:tc>
          <w:tcPr>
            <w:tcW w:w="1408" w:type="dxa"/>
            <w:vMerge/>
            <w:tcBorders>
              <w:bottom w:val="single" w:sz="4" w:space="0" w:color="000000"/>
            </w:tcBorders>
            <w:vAlign w:val="bottom"/>
          </w:tcPr>
          <w:p w14:paraId="31CFBD32" w14:textId="77777777" w:rsidR="006F051E" w:rsidRPr="006F051E" w:rsidRDefault="006F051E" w:rsidP="006F051E">
            <w:pPr>
              <w:spacing w:line="276" w:lineRule="auto"/>
              <w:jc w:val="both"/>
              <w:rPr>
                <w:rFonts w:ascii="Arial" w:hAnsi="Arial" w:cs="Arial"/>
                <w:color w:val="000000"/>
                <w:sz w:val="20"/>
                <w:szCs w:val="20"/>
              </w:rPr>
            </w:pPr>
          </w:p>
        </w:tc>
        <w:tc>
          <w:tcPr>
            <w:tcW w:w="1220" w:type="dxa"/>
            <w:tcBorders>
              <w:bottom w:val="single" w:sz="4" w:space="0" w:color="000000"/>
            </w:tcBorders>
            <w:vAlign w:val="bottom"/>
          </w:tcPr>
          <w:p w14:paraId="5B0F2D31" w14:textId="7DF44CB0" w:rsidR="006F051E" w:rsidRPr="006F051E" w:rsidRDefault="006F051E" w:rsidP="006F051E">
            <w:pPr>
              <w:spacing w:line="276" w:lineRule="auto"/>
              <w:jc w:val="center"/>
              <w:rPr>
                <w:rFonts w:ascii="Arial" w:hAnsi="Arial" w:cs="Arial"/>
                <w:color w:val="000000"/>
                <w:sz w:val="20"/>
                <w:szCs w:val="20"/>
              </w:rPr>
            </w:pPr>
            <w:r w:rsidRPr="006F051E">
              <w:rPr>
                <w:rFonts w:ascii="Arial" w:eastAsia="Times New Roman" w:hAnsi="Arial" w:cs="Arial"/>
                <w:color w:val="000000"/>
                <w:sz w:val="20"/>
                <w:szCs w:val="20"/>
              </w:rPr>
              <w:t>POP</w:t>
            </w:r>
          </w:p>
        </w:tc>
        <w:tc>
          <w:tcPr>
            <w:tcW w:w="1468" w:type="dxa"/>
            <w:tcBorders>
              <w:bottom w:val="single" w:sz="4" w:space="0" w:color="000000"/>
            </w:tcBorders>
            <w:vAlign w:val="bottom"/>
          </w:tcPr>
          <w:p w14:paraId="0999F099" w14:textId="202EEA89" w:rsidR="006F051E" w:rsidRPr="006F051E" w:rsidRDefault="006F051E" w:rsidP="006F051E">
            <w:pPr>
              <w:spacing w:line="276" w:lineRule="auto"/>
              <w:jc w:val="right"/>
              <w:rPr>
                <w:rFonts w:ascii="Arial" w:hAnsi="Arial" w:cs="Arial"/>
                <w:color w:val="000000"/>
                <w:sz w:val="20"/>
                <w:szCs w:val="20"/>
              </w:rPr>
            </w:pPr>
            <w:r w:rsidRPr="00F9691E">
              <w:rPr>
                <w:rFonts w:ascii="Arial" w:hAnsi="Arial" w:cs="Arial"/>
                <w:color w:val="000000"/>
                <w:sz w:val="20"/>
                <w:szCs w:val="20"/>
              </w:rPr>
              <w:t>-5.0007</w:t>
            </w:r>
          </w:p>
        </w:tc>
        <w:tc>
          <w:tcPr>
            <w:tcW w:w="1421" w:type="dxa"/>
            <w:tcBorders>
              <w:bottom w:val="single" w:sz="4" w:space="0" w:color="000000"/>
            </w:tcBorders>
            <w:vAlign w:val="bottom"/>
          </w:tcPr>
          <w:p w14:paraId="71AFD15B" w14:textId="42E84124" w:rsidR="006F051E" w:rsidRPr="006F051E" w:rsidRDefault="006F051E" w:rsidP="006F051E">
            <w:pPr>
              <w:spacing w:line="276" w:lineRule="auto"/>
              <w:jc w:val="right"/>
              <w:rPr>
                <w:rFonts w:ascii="Arial" w:hAnsi="Arial" w:cs="Arial"/>
                <w:color w:val="000000"/>
                <w:sz w:val="20"/>
                <w:szCs w:val="20"/>
              </w:rPr>
            </w:pPr>
            <w:r w:rsidRPr="00F9691E">
              <w:rPr>
                <w:rFonts w:ascii="Arial" w:hAnsi="Arial" w:cs="Arial"/>
                <w:color w:val="000000"/>
                <w:sz w:val="20"/>
                <w:szCs w:val="20"/>
              </w:rPr>
              <w:t>0.0780</w:t>
            </w:r>
          </w:p>
        </w:tc>
        <w:tc>
          <w:tcPr>
            <w:tcW w:w="1428" w:type="dxa"/>
            <w:tcBorders>
              <w:bottom w:val="single" w:sz="4" w:space="0" w:color="000000"/>
            </w:tcBorders>
            <w:vAlign w:val="bottom"/>
          </w:tcPr>
          <w:p w14:paraId="00FF7D9C" w14:textId="6317E4D5" w:rsidR="006F051E" w:rsidRPr="006F051E" w:rsidRDefault="006F051E" w:rsidP="006F051E">
            <w:pPr>
              <w:spacing w:line="276" w:lineRule="auto"/>
              <w:jc w:val="right"/>
              <w:rPr>
                <w:rFonts w:ascii="Arial" w:hAnsi="Arial" w:cs="Arial"/>
                <w:color w:val="000000"/>
                <w:sz w:val="20"/>
                <w:szCs w:val="20"/>
              </w:rPr>
            </w:pPr>
            <w:r w:rsidRPr="00F9691E">
              <w:rPr>
                <w:rFonts w:ascii="Arial" w:hAnsi="Arial" w:cs="Arial"/>
                <w:color w:val="000000"/>
                <w:sz w:val="20"/>
                <w:szCs w:val="20"/>
              </w:rPr>
              <w:t>2021</w:t>
            </w:r>
          </w:p>
        </w:tc>
        <w:tc>
          <w:tcPr>
            <w:tcW w:w="1263" w:type="dxa"/>
            <w:tcBorders>
              <w:bottom w:val="single" w:sz="4" w:space="0" w:color="000000"/>
            </w:tcBorders>
          </w:tcPr>
          <w:p w14:paraId="64826C5D" w14:textId="2C87F130" w:rsidR="006F051E" w:rsidRPr="006F051E" w:rsidRDefault="006F051E" w:rsidP="006F051E">
            <w:pPr>
              <w:spacing w:line="276" w:lineRule="auto"/>
              <w:jc w:val="right"/>
              <w:rPr>
                <w:rFonts w:ascii="Arial" w:hAnsi="Arial" w:cs="Arial"/>
                <w:color w:val="000000"/>
                <w:sz w:val="20"/>
                <w:szCs w:val="20"/>
              </w:rPr>
            </w:pPr>
            <w:proofErr w:type="gramStart"/>
            <w:r w:rsidRPr="006F051E">
              <w:rPr>
                <w:rFonts w:ascii="Arial" w:hAnsi="Arial" w:cs="Arial"/>
                <w:i/>
                <w:iCs/>
                <w:color w:val="000000"/>
                <w:sz w:val="20"/>
                <w:szCs w:val="20"/>
              </w:rPr>
              <w:t>I</w:t>
            </w:r>
            <w:r w:rsidRPr="006F051E">
              <w:rPr>
                <w:rFonts w:ascii="Arial" w:hAnsi="Arial" w:cs="Arial"/>
                <w:color w:val="000000"/>
                <w:sz w:val="20"/>
                <w:szCs w:val="20"/>
              </w:rPr>
              <w:t>(</w:t>
            </w:r>
            <w:proofErr w:type="gramEnd"/>
            <w:r w:rsidRPr="006F051E">
              <w:rPr>
                <w:rFonts w:ascii="Arial" w:hAnsi="Arial" w:cs="Arial"/>
                <w:color w:val="000000"/>
                <w:sz w:val="20"/>
                <w:szCs w:val="20"/>
              </w:rPr>
              <w:t>0)</w:t>
            </w:r>
          </w:p>
        </w:tc>
      </w:tr>
    </w:tbl>
    <w:p w14:paraId="015622CA" w14:textId="77777777" w:rsidR="00466C84" w:rsidRPr="009131D9" w:rsidRDefault="00466C84" w:rsidP="00697B05">
      <w:pPr>
        <w:jc w:val="both"/>
        <w:rPr>
          <w:rFonts w:ascii="Times New Roman" w:hAnsi="Times New Roman"/>
        </w:rPr>
      </w:pPr>
    </w:p>
    <w:p w14:paraId="306B7269" w14:textId="5169CE8C" w:rsidR="00697B05" w:rsidRDefault="00697B05" w:rsidP="00697B05">
      <w:pPr>
        <w:jc w:val="both"/>
        <w:rPr>
          <w:rFonts w:ascii="Arial" w:hAnsi="Arial" w:cs="Arial"/>
        </w:rPr>
      </w:pPr>
      <w:r w:rsidRPr="00D22422">
        <w:rPr>
          <w:rFonts w:ascii="Arial" w:hAnsi="Arial" w:cs="Arial"/>
        </w:rPr>
        <w:t xml:space="preserve">The results of the </w:t>
      </w:r>
      <w:r w:rsidR="00F9691E">
        <w:rPr>
          <w:rFonts w:ascii="Arial" w:hAnsi="Arial" w:cs="Arial"/>
        </w:rPr>
        <w:t>ZA unit root</w:t>
      </w:r>
      <w:r w:rsidRPr="00D22422">
        <w:rPr>
          <w:rFonts w:ascii="Arial" w:hAnsi="Arial" w:cs="Arial"/>
        </w:rPr>
        <w:t xml:space="preserve"> test</w:t>
      </w:r>
      <w:r w:rsidR="00F9691E">
        <w:rPr>
          <w:rFonts w:ascii="Arial" w:hAnsi="Arial" w:cs="Arial"/>
        </w:rPr>
        <w:t xml:space="preserve"> are presented in</w:t>
      </w:r>
      <w:r w:rsidRPr="00D22422">
        <w:rPr>
          <w:rFonts w:ascii="Arial" w:hAnsi="Arial" w:cs="Arial"/>
        </w:rPr>
        <w:t xml:space="preserve"> Table 3</w:t>
      </w:r>
      <w:r w:rsidR="00F9691E">
        <w:rPr>
          <w:rFonts w:ascii="Arial" w:hAnsi="Arial" w:cs="Arial"/>
        </w:rPr>
        <w:t>. A</w:t>
      </w:r>
      <w:r w:rsidRPr="00D22422">
        <w:rPr>
          <w:rFonts w:ascii="Arial" w:hAnsi="Arial" w:cs="Arial"/>
        </w:rPr>
        <w:t xml:space="preserve">ll </w:t>
      </w:r>
      <w:r w:rsidR="008B3474">
        <w:rPr>
          <w:rFonts w:ascii="Arial" w:hAnsi="Arial" w:cs="Arial"/>
        </w:rPr>
        <w:t>the</w:t>
      </w:r>
      <w:r w:rsidRPr="00D22422">
        <w:rPr>
          <w:rFonts w:ascii="Arial" w:hAnsi="Arial" w:cs="Arial"/>
        </w:rPr>
        <w:t xml:space="preserve"> variables</w:t>
      </w:r>
      <w:r w:rsidR="008B3474">
        <w:rPr>
          <w:rFonts w:ascii="Arial" w:hAnsi="Arial" w:cs="Arial"/>
        </w:rPr>
        <w:t xml:space="preserve"> investigated</w:t>
      </w:r>
      <w:r w:rsidRPr="00D22422">
        <w:rPr>
          <w:rFonts w:ascii="Arial" w:hAnsi="Arial" w:cs="Arial"/>
        </w:rPr>
        <w:t xml:space="preserve">, i.e., </w:t>
      </w:r>
      <w:r w:rsidR="00F9691E">
        <w:rPr>
          <w:rFonts w:ascii="Arial" w:hAnsi="Arial" w:cs="Arial"/>
        </w:rPr>
        <w:t>economic</w:t>
      </w:r>
      <w:r w:rsidRPr="00D22422">
        <w:rPr>
          <w:rFonts w:ascii="Arial" w:hAnsi="Arial" w:cs="Arial"/>
        </w:rPr>
        <w:t xml:space="preserve"> growth (GDP), inflation </w:t>
      </w:r>
      <w:r w:rsidR="00F9691E">
        <w:rPr>
          <w:rFonts w:ascii="Arial" w:hAnsi="Arial" w:cs="Arial"/>
        </w:rPr>
        <w:t xml:space="preserve">rate </w:t>
      </w:r>
      <w:r w:rsidRPr="00D22422">
        <w:rPr>
          <w:rFonts w:ascii="Arial" w:hAnsi="Arial" w:cs="Arial"/>
        </w:rPr>
        <w:t>(INF), capital</w:t>
      </w:r>
      <w:r w:rsidR="00F9691E">
        <w:rPr>
          <w:rFonts w:ascii="Arial" w:hAnsi="Arial" w:cs="Arial"/>
        </w:rPr>
        <w:t xml:space="preserve"> formation</w:t>
      </w:r>
      <w:r w:rsidRPr="00D22422">
        <w:rPr>
          <w:rFonts w:ascii="Arial" w:hAnsi="Arial" w:cs="Arial"/>
        </w:rPr>
        <w:t xml:space="preserve"> growth (CAP), and population growth (POP), are stationary </w:t>
      </w:r>
      <w:r w:rsidR="00F9691E">
        <w:rPr>
          <w:rFonts w:ascii="Arial" w:hAnsi="Arial" w:cs="Arial"/>
        </w:rPr>
        <w:t xml:space="preserve">at their levels </w:t>
      </w:r>
      <w:r w:rsidRPr="00D22422">
        <w:rPr>
          <w:rFonts w:ascii="Arial" w:hAnsi="Arial" w:cs="Arial"/>
        </w:rPr>
        <w:t xml:space="preserve">when accounting for structural breaks, since their test statistics are significant at </w:t>
      </w:r>
      <w:proofErr w:type="spellStart"/>
      <w:r w:rsidRPr="00D22422">
        <w:rPr>
          <w:rFonts w:ascii="Arial" w:hAnsi="Arial" w:cs="Arial"/>
        </w:rPr>
        <w:t>c</w:t>
      </w:r>
      <w:r w:rsidR="00F9691E">
        <w:rPr>
          <w:rFonts w:ascii="Arial" w:hAnsi="Arial" w:cs="Arial"/>
        </w:rPr>
        <w:t>ritcial</w:t>
      </w:r>
      <w:proofErr w:type="spellEnd"/>
      <w:r w:rsidR="00F9691E">
        <w:rPr>
          <w:rFonts w:ascii="Arial" w:hAnsi="Arial" w:cs="Arial"/>
        </w:rPr>
        <w:t xml:space="preserve"> values</w:t>
      </w:r>
      <w:r w:rsidR="00AE5A21">
        <w:rPr>
          <w:rFonts w:ascii="Arial" w:hAnsi="Arial" w:cs="Arial"/>
        </w:rPr>
        <w:t xml:space="preserve">. </w:t>
      </w:r>
      <w:r w:rsidR="00F9691E" w:rsidRPr="00F9691E">
        <w:rPr>
          <w:rFonts w:ascii="Arial" w:hAnsi="Arial" w:cs="Arial"/>
        </w:rPr>
        <w:t>For GDP growth</w:t>
      </w:r>
      <w:r w:rsidR="00F9691E">
        <w:rPr>
          <w:rFonts w:ascii="Arial" w:hAnsi="Arial" w:cs="Arial"/>
        </w:rPr>
        <w:t xml:space="preserve"> </w:t>
      </w:r>
      <w:r w:rsidR="00F9691E" w:rsidRPr="00F9691E">
        <w:rPr>
          <w:rFonts w:ascii="Arial" w:hAnsi="Arial" w:cs="Arial"/>
        </w:rPr>
        <w:t xml:space="preserve">and </w:t>
      </w:r>
      <w:r w:rsidR="00F9691E">
        <w:rPr>
          <w:rFonts w:ascii="Arial" w:hAnsi="Arial" w:cs="Arial"/>
        </w:rPr>
        <w:t xml:space="preserve">inflation </w:t>
      </w:r>
      <w:r w:rsidR="00F9691E" w:rsidRPr="00F9691E">
        <w:rPr>
          <w:rFonts w:ascii="Arial" w:hAnsi="Arial" w:cs="Arial"/>
        </w:rPr>
        <w:t xml:space="preserve">structural breaks were identified in the year 2000, </w:t>
      </w:r>
      <w:r w:rsidR="00F9691E">
        <w:rPr>
          <w:rFonts w:ascii="Arial" w:hAnsi="Arial" w:cs="Arial"/>
        </w:rPr>
        <w:t xml:space="preserve">indicating </w:t>
      </w:r>
      <w:r w:rsidR="00F9691E" w:rsidRPr="00F9691E">
        <w:rPr>
          <w:rFonts w:ascii="Arial" w:hAnsi="Arial" w:cs="Arial"/>
        </w:rPr>
        <w:t>the occurrence of significant economic shifts or crises during that period</w:t>
      </w:r>
      <w:r w:rsidR="00F9691E">
        <w:rPr>
          <w:rFonts w:ascii="Arial" w:hAnsi="Arial" w:cs="Arial"/>
        </w:rPr>
        <w:t xml:space="preserve">. </w:t>
      </w:r>
      <w:r w:rsidRPr="00D22422">
        <w:rPr>
          <w:rFonts w:ascii="Arial" w:hAnsi="Arial" w:cs="Arial"/>
        </w:rPr>
        <w:t xml:space="preserve">Capital growth shows a structural break in 2022, which may reflect recent economic shocks or investment fluctuations. Population growth </w:t>
      </w:r>
      <w:r w:rsidRPr="0074216E">
        <w:rPr>
          <w:rFonts w:ascii="Arial" w:hAnsi="Arial" w:cs="Arial"/>
          <w:shd w:val="clear" w:color="auto" w:fill="FFFFFF" w:themeFill="background1"/>
        </w:rPr>
        <w:t>experienced its break in 200</w:t>
      </w:r>
      <w:r w:rsidR="00F9691E" w:rsidRPr="0074216E">
        <w:rPr>
          <w:rFonts w:ascii="Arial" w:hAnsi="Arial" w:cs="Arial"/>
          <w:shd w:val="clear" w:color="auto" w:fill="FFFFFF" w:themeFill="background1"/>
        </w:rPr>
        <w:t>0</w:t>
      </w:r>
      <w:r w:rsidRPr="0074216E">
        <w:rPr>
          <w:rFonts w:ascii="Arial" w:hAnsi="Arial" w:cs="Arial"/>
          <w:shd w:val="clear" w:color="auto" w:fill="FFFFFF" w:themeFill="background1"/>
        </w:rPr>
        <w:t>, likely due to demographic transitions or policy effects. Overall, the results</w:t>
      </w:r>
      <w:r w:rsidRPr="00D22422">
        <w:rPr>
          <w:rFonts w:ascii="Arial" w:hAnsi="Arial" w:cs="Arial"/>
        </w:rPr>
        <w:t xml:space="preserve"> confirm that while the series may have undergone structural breaks at different times, they are stationary around those breaks</w:t>
      </w:r>
      <w:r w:rsidR="00517C07">
        <w:rPr>
          <w:rFonts w:ascii="Arial" w:hAnsi="Arial" w:cs="Arial"/>
        </w:rPr>
        <w:t>.</w:t>
      </w:r>
    </w:p>
    <w:p w14:paraId="2E270DF8" w14:textId="77777777" w:rsidR="006F051E" w:rsidRDefault="006F051E" w:rsidP="005F17CE">
      <w:pPr>
        <w:jc w:val="both"/>
        <w:rPr>
          <w:rFonts w:ascii="Times New Roman" w:hAnsi="Times New Roman"/>
        </w:rPr>
      </w:pPr>
    </w:p>
    <w:p w14:paraId="2D89879F" w14:textId="6D890D00" w:rsidR="008B3474" w:rsidRDefault="006F051E" w:rsidP="005F17CE">
      <w:pPr>
        <w:jc w:val="both"/>
        <w:rPr>
          <w:rFonts w:ascii="Arial" w:hAnsi="Arial" w:cs="Arial"/>
        </w:rPr>
      </w:pPr>
      <w:r>
        <w:rPr>
          <w:rFonts w:ascii="Arial" w:hAnsi="Arial" w:cs="Arial"/>
        </w:rPr>
        <w:t>T</w:t>
      </w:r>
      <w:r w:rsidRPr="006F051E">
        <w:rPr>
          <w:rFonts w:ascii="Arial" w:hAnsi="Arial" w:cs="Arial"/>
        </w:rPr>
        <w:t>o verify the robustness of the stationarity</w:t>
      </w:r>
      <w:r w:rsidR="0074216E">
        <w:rPr>
          <w:rFonts w:ascii="Arial" w:hAnsi="Arial" w:cs="Arial"/>
        </w:rPr>
        <w:t xml:space="preserve"> test</w:t>
      </w:r>
      <w:r w:rsidRPr="006F051E">
        <w:rPr>
          <w:rFonts w:ascii="Arial" w:hAnsi="Arial" w:cs="Arial"/>
        </w:rPr>
        <w:t xml:space="preserve"> results, the study also </w:t>
      </w:r>
      <w:r w:rsidR="0074216E">
        <w:rPr>
          <w:rFonts w:ascii="Arial" w:hAnsi="Arial" w:cs="Arial"/>
        </w:rPr>
        <w:t>includes</w:t>
      </w:r>
      <w:r w:rsidRPr="006F051E">
        <w:rPr>
          <w:rFonts w:ascii="Arial" w:hAnsi="Arial" w:cs="Arial"/>
        </w:rPr>
        <w:t xml:space="preserve"> the Dickey-Fuller</w:t>
      </w:r>
      <w:r>
        <w:rPr>
          <w:rFonts w:ascii="Arial" w:hAnsi="Arial" w:cs="Arial"/>
        </w:rPr>
        <w:t xml:space="preserve"> (DF)</w:t>
      </w:r>
      <w:r w:rsidRPr="006F051E">
        <w:rPr>
          <w:rFonts w:ascii="Arial" w:hAnsi="Arial" w:cs="Arial"/>
        </w:rPr>
        <w:t xml:space="preserve"> </w:t>
      </w:r>
      <w:r w:rsidR="0074216E">
        <w:rPr>
          <w:rFonts w:ascii="Arial" w:hAnsi="Arial" w:cs="Arial"/>
        </w:rPr>
        <w:t xml:space="preserve">approach </w:t>
      </w:r>
      <w:r w:rsidRPr="006F051E">
        <w:rPr>
          <w:rFonts w:ascii="Arial" w:hAnsi="Arial" w:cs="Arial"/>
        </w:rPr>
        <w:t xml:space="preserve">with structural breaks. As </w:t>
      </w:r>
      <w:r w:rsidR="0074216E">
        <w:rPr>
          <w:rFonts w:ascii="Arial" w:hAnsi="Arial" w:cs="Arial"/>
        </w:rPr>
        <w:t>reported</w:t>
      </w:r>
      <w:r w:rsidRPr="006F051E">
        <w:rPr>
          <w:rFonts w:ascii="Arial" w:hAnsi="Arial" w:cs="Arial"/>
        </w:rPr>
        <w:t xml:space="preserve"> in Table </w:t>
      </w:r>
      <w:r w:rsidR="00BA3A85">
        <w:rPr>
          <w:rFonts w:ascii="Arial" w:hAnsi="Arial" w:cs="Arial"/>
        </w:rPr>
        <w:t>3</w:t>
      </w:r>
      <w:r w:rsidRPr="006F051E">
        <w:rPr>
          <w:rFonts w:ascii="Arial" w:hAnsi="Arial" w:cs="Arial"/>
        </w:rPr>
        <w:t>, all</w:t>
      </w:r>
      <w:r w:rsidR="0074216E">
        <w:rPr>
          <w:rFonts w:ascii="Arial" w:hAnsi="Arial" w:cs="Arial"/>
        </w:rPr>
        <w:t xml:space="preserve"> </w:t>
      </w:r>
      <w:r w:rsidRPr="006F051E">
        <w:rPr>
          <w:rFonts w:ascii="Arial" w:hAnsi="Arial" w:cs="Arial"/>
        </w:rPr>
        <w:t xml:space="preserve">variables reject the null hypothesis, </w:t>
      </w:r>
      <w:r w:rsidR="0074216E">
        <w:rPr>
          <w:rFonts w:ascii="Arial" w:hAnsi="Arial" w:cs="Arial"/>
        </w:rPr>
        <w:t>validating</w:t>
      </w:r>
      <w:r w:rsidRPr="006F051E">
        <w:rPr>
          <w:rFonts w:ascii="Arial" w:hAnsi="Arial" w:cs="Arial"/>
        </w:rPr>
        <w:t xml:space="preserve"> stationarity at their levels. Despite differences in the break years identified by the ZA and DF</w:t>
      </w:r>
      <w:r w:rsidR="0074216E">
        <w:rPr>
          <w:rFonts w:ascii="Arial" w:hAnsi="Arial" w:cs="Arial"/>
        </w:rPr>
        <w:t xml:space="preserve"> </w:t>
      </w:r>
      <w:r w:rsidRPr="006F051E">
        <w:rPr>
          <w:rFonts w:ascii="Arial" w:hAnsi="Arial" w:cs="Arial"/>
        </w:rPr>
        <w:t xml:space="preserve">tests, the evidence consistently shows that all variables are </w:t>
      </w:r>
      <w:proofErr w:type="gramStart"/>
      <w:r w:rsidRPr="0074216E">
        <w:rPr>
          <w:rFonts w:ascii="Arial" w:hAnsi="Arial" w:cs="Arial"/>
          <w:i/>
          <w:iCs/>
        </w:rPr>
        <w:t>I</w:t>
      </w:r>
      <w:r w:rsidR="0074216E">
        <w:rPr>
          <w:rFonts w:ascii="Arial" w:hAnsi="Arial" w:cs="Arial"/>
        </w:rPr>
        <w:t>(</w:t>
      </w:r>
      <w:proofErr w:type="gramEnd"/>
      <w:r w:rsidRPr="006F051E">
        <w:rPr>
          <w:rFonts w:ascii="Arial" w:hAnsi="Arial" w:cs="Arial"/>
        </w:rPr>
        <w:t xml:space="preserve">0). </w:t>
      </w:r>
      <w:r>
        <w:rPr>
          <w:rFonts w:ascii="Arial" w:hAnsi="Arial" w:cs="Arial"/>
        </w:rPr>
        <w:t>Therefore</w:t>
      </w:r>
      <w:r w:rsidRPr="006F051E">
        <w:rPr>
          <w:rFonts w:ascii="Arial" w:hAnsi="Arial" w:cs="Arial"/>
        </w:rPr>
        <w:t>, the robust TAR model is deemed suitable for analyzing the threshold relationship between inflation and economic growth</w:t>
      </w:r>
      <w:r w:rsidR="0074216E">
        <w:rPr>
          <w:rFonts w:ascii="Arial" w:hAnsi="Arial" w:cs="Arial"/>
        </w:rPr>
        <w:t>.</w:t>
      </w:r>
    </w:p>
    <w:p w14:paraId="37D3A68C" w14:textId="77777777" w:rsidR="006F051E" w:rsidRPr="009131D9" w:rsidRDefault="006F051E" w:rsidP="005F17CE">
      <w:pPr>
        <w:jc w:val="both"/>
        <w:rPr>
          <w:rFonts w:ascii="Times New Roman" w:hAnsi="Times New Roman"/>
        </w:rPr>
      </w:pPr>
    </w:p>
    <w:p w14:paraId="7052DDF4" w14:textId="2DB85A4F" w:rsidR="00D22422" w:rsidRDefault="00D22422" w:rsidP="00D22422">
      <w:pPr>
        <w:jc w:val="both"/>
        <w:rPr>
          <w:rFonts w:ascii="Arial" w:hAnsi="Arial" w:cs="Arial"/>
          <w:b/>
          <w:bCs/>
        </w:rPr>
      </w:pPr>
      <w:r>
        <w:rPr>
          <w:rFonts w:ascii="Arial" w:hAnsi="Arial"/>
          <w:b/>
        </w:rPr>
        <w:t xml:space="preserve">Table </w:t>
      </w:r>
      <w:r w:rsidR="0074216E">
        <w:rPr>
          <w:rFonts w:ascii="Arial" w:hAnsi="Arial"/>
          <w:b/>
        </w:rPr>
        <w:t>4</w:t>
      </w:r>
      <w:r>
        <w:rPr>
          <w:rFonts w:ascii="Arial" w:hAnsi="Arial"/>
          <w:b/>
        </w:rPr>
        <w:t xml:space="preserve">. </w:t>
      </w:r>
      <w:r w:rsidR="007C77E8">
        <w:rPr>
          <w:rFonts w:ascii="Arial" w:hAnsi="Arial"/>
          <w:b/>
        </w:rPr>
        <w:t xml:space="preserve">Robust </w:t>
      </w:r>
      <w:r>
        <w:rPr>
          <w:rFonts w:ascii="Arial" w:hAnsi="Arial" w:cs="Arial"/>
          <w:b/>
          <w:bCs/>
        </w:rPr>
        <w:t>T</w:t>
      </w:r>
      <w:r w:rsidR="00AE5A21">
        <w:rPr>
          <w:rFonts w:ascii="Arial" w:hAnsi="Arial" w:cs="Arial"/>
          <w:b/>
          <w:bCs/>
        </w:rPr>
        <w:t>A</w:t>
      </w:r>
      <w:r>
        <w:rPr>
          <w:rFonts w:ascii="Arial" w:hAnsi="Arial" w:cs="Arial"/>
          <w:b/>
          <w:bCs/>
        </w:rPr>
        <w:t>R Estimat</w:t>
      </w:r>
      <w:r w:rsidR="007C77E8">
        <w:rPr>
          <w:rFonts w:ascii="Arial" w:hAnsi="Arial" w:cs="Arial"/>
          <w:b/>
          <w:bCs/>
        </w:rPr>
        <w:t>es</w:t>
      </w:r>
    </w:p>
    <w:p w14:paraId="7492C964" w14:textId="77777777" w:rsidR="00D22422" w:rsidRDefault="00D22422" w:rsidP="00D22422">
      <w:pPr>
        <w:jc w:val="both"/>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2"/>
        <w:gridCol w:w="1696"/>
        <w:gridCol w:w="1614"/>
        <w:gridCol w:w="1642"/>
        <w:gridCol w:w="1614"/>
      </w:tblGrid>
      <w:tr w:rsidR="00697B05" w:rsidRPr="009131D9" w14:paraId="48639E27" w14:textId="77777777" w:rsidTr="007C77E8">
        <w:trPr>
          <w:trHeight w:val="197"/>
        </w:trPr>
        <w:tc>
          <w:tcPr>
            <w:tcW w:w="1642" w:type="dxa"/>
            <w:tcBorders>
              <w:top w:val="single" w:sz="4" w:space="0" w:color="000000"/>
              <w:bottom w:val="single" w:sz="4" w:space="0" w:color="000000"/>
            </w:tcBorders>
            <w:vAlign w:val="bottom"/>
          </w:tcPr>
          <w:p w14:paraId="5474FF9F" w14:textId="1B210623" w:rsidR="00697B05" w:rsidRPr="00D22422" w:rsidRDefault="00697B05" w:rsidP="006F0BD7">
            <w:pPr>
              <w:jc w:val="both"/>
              <w:rPr>
                <w:rFonts w:ascii="Arial" w:hAnsi="Arial" w:cs="Arial"/>
                <w:sz w:val="20"/>
                <w:szCs w:val="20"/>
              </w:rPr>
            </w:pPr>
          </w:p>
        </w:tc>
        <w:tc>
          <w:tcPr>
            <w:tcW w:w="1696" w:type="dxa"/>
            <w:tcBorders>
              <w:top w:val="single" w:sz="4" w:space="0" w:color="000000"/>
              <w:bottom w:val="single" w:sz="4" w:space="0" w:color="000000"/>
            </w:tcBorders>
            <w:vAlign w:val="bottom"/>
          </w:tcPr>
          <w:p w14:paraId="277F6BBA" w14:textId="77777777" w:rsidR="00697B05" w:rsidRPr="00D22422" w:rsidRDefault="00697B05" w:rsidP="00D22422">
            <w:pPr>
              <w:jc w:val="right"/>
              <w:rPr>
                <w:rFonts w:ascii="Arial" w:hAnsi="Arial" w:cs="Arial"/>
                <w:sz w:val="20"/>
                <w:szCs w:val="20"/>
              </w:rPr>
            </w:pPr>
            <w:r w:rsidRPr="00D22422">
              <w:rPr>
                <w:rFonts w:ascii="Arial" w:eastAsia="Times New Roman" w:hAnsi="Arial" w:cs="Arial"/>
                <w:color w:val="000000"/>
                <w:sz w:val="20"/>
                <w:szCs w:val="20"/>
              </w:rPr>
              <w:t>Coefficient</w:t>
            </w:r>
          </w:p>
        </w:tc>
        <w:tc>
          <w:tcPr>
            <w:tcW w:w="1614" w:type="dxa"/>
            <w:tcBorders>
              <w:top w:val="single" w:sz="4" w:space="0" w:color="000000"/>
              <w:bottom w:val="single" w:sz="4" w:space="0" w:color="000000"/>
            </w:tcBorders>
            <w:vAlign w:val="bottom"/>
          </w:tcPr>
          <w:p w14:paraId="5E5486CD" w14:textId="77777777" w:rsidR="00697B05" w:rsidRPr="00D22422" w:rsidRDefault="00697B05" w:rsidP="00D22422">
            <w:pPr>
              <w:jc w:val="right"/>
              <w:rPr>
                <w:rFonts w:ascii="Arial" w:hAnsi="Arial" w:cs="Arial"/>
                <w:sz w:val="20"/>
                <w:szCs w:val="20"/>
              </w:rPr>
            </w:pPr>
            <w:r w:rsidRPr="00D22422">
              <w:rPr>
                <w:rFonts w:ascii="Arial" w:eastAsia="Times New Roman" w:hAnsi="Arial" w:cs="Arial"/>
                <w:color w:val="000000"/>
                <w:sz w:val="20"/>
                <w:szCs w:val="20"/>
              </w:rPr>
              <w:t>Std. Error</w:t>
            </w:r>
          </w:p>
        </w:tc>
        <w:tc>
          <w:tcPr>
            <w:tcW w:w="1642" w:type="dxa"/>
            <w:tcBorders>
              <w:top w:val="single" w:sz="4" w:space="0" w:color="000000"/>
              <w:bottom w:val="single" w:sz="4" w:space="0" w:color="000000"/>
            </w:tcBorders>
            <w:vAlign w:val="bottom"/>
          </w:tcPr>
          <w:p w14:paraId="6BC44435" w14:textId="77777777" w:rsidR="00697B05" w:rsidRPr="00D22422" w:rsidRDefault="00697B05" w:rsidP="00D22422">
            <w:pPr>
              <w:jc w:val="right"/>
              <w:rPr>
                <w:rFonts w:ascii="Arial" w:hAnsi="Arial" w:cs="Arial"/>
                <w:sz w:val="20"/>
                <w:szCs w:val="20"/>
              </w:rPr>
            </w:pPr>
            <w:r w:rsidRPr="00D22422">
              <w:rPr>
                <w:rFonts w:ascii="Arial" w:eastAsia="Times New Roman" w:hAnsi="Arial" w:cs="Arial"/>
                <w:color w:val="000000"/>
                <w:sz w:val="20"/>
                <w:szCs w:val="20"/>
              </w:rPr>
              <w:t>t-Statistic</w:t>
            </w:r>
          </w:p>
        </w:tc>
        <w:tc>
          <w:tcPr>
            <w:tcW w:w="1614" w:type="dxa"/>
            <w:tcBorders>
              <w:top w:val="single" w:sz="4" w:space="0" w:color="000000"/>
            </w:tcBorders>
            <w:vAlign w:val="bottom"/>
          </w:tcPr>
          <w:p w14:paraId="63798802" w14:textId="77777777" w:rsidR="00697B05" w:rsidRPr="00D22422" w:rsidRDefault="00697B05" w:rsidP="00D22422">
            <w:pPr>
              <w:jc w:val="right"/>
              <w:rPr>
                <w:rFonts w:ascii="Arial" w:hAnsi="Arial" w:cs="Arial"/>
                <w:sz w:val="20"/>
                <w:szCs w:val="20"/>
              </w:rPr>
            </w:pPr>
            <w:r w:rsidRPr="00D22422">
              <w:rPr>
                <w:rFonts w:ascii="Arial" w:eastAsia="Times New Roman" w:hAnsi="Arial" w:cs="Arial"/>
                <w:color w:val="000000"/>
                <w:sz w:val="20"/>
                <w:szCs w:val="20"/>
              </w:rPr>
              <w:t xml:space="preserve">Prob.  </w:t>
            </w:r>
          </w:p>
        </w:tc>
      </w:tr>
      <w:tr w:rsidR="00697B05" w:rsidRPr="009131D9" w14:paraId="78A592FA" w14:textId="77777777" w:rsidTr="007C77E8">
        <w:tc>
          <w:tcPr>
            <w:tcW w:w="8208" w:type="dxa"/>
            <w:gridSpan w:val="5"/>
            <w:tcBorders>
              <w:top w:val="single" w:sz="4" w:space="0" w:color="000000"/>
              <w:bottom w:val="single" w:sz="4" w:space="0" w:color="000000"/>
            </w:tcBorders>
            <w:vAlign w:val="bottom"/>
          </w:tcPr>
          <w:p w14:paraId="30B70773" w14:textId="1556847C" w:rsidR="00697B05" w:rsidRPr="00D22422" w:rsidRDefault="00697B05" w:rsidP="006F0BD7">
            <w:pPr>
              <w:jc w:val="both"/>
              <w:rPr>
                <w:rFonts w:ascii="Arial" w:hAnsi="Arial" w:cs="Arial"/>
                <w:sz w:val="20"/>
                <w:szCs w:val="20"/>
              </w:rPr>
            </w:pPr>
            <w:r w:rsidRPr="00D22422">
              <w:rPr>
                <w:rFonts w:ascii="Arial" w:eastAsia="Times New Roman" w:hAnsi="Arial" w:cs="Arial"/>
                <w:color w:val="000000"/>
                <w:sz w:val="20"/>
                <w:szCs w:val="20"/>
              </w:rPr>
              <w:t>INF &lt; 3.</w:t>
            </w:r>
            <w:r w:rsidR="007C77E8">
              <w:rPr>
                <w:rFonts w:ascii="Arial" w:eastAsia="Times New Roman" w:hAnsi="Arial" w:cs="Arial"/>
                <w:color w:val="000000"/>
                <w:sz w:val="20"/>
                <w:szCs w:val="20"/>
              </w:rPr>
              <w:t>8183</w:t>
            </w:r>
          </w:p>
        </w:tc>
      </w:tr>
      <w:tr w:rsidR="0064011A" w:rsidRPr="009131D9" w14:paraId="1E467800" w14:textId="77777777" w:rsidTr="007C77E8">
        <w:tc>
          <w:tcPr>
            <w:tcW w:w="1642" w:type="dxa"/>
            <w:tcBorders>
              <w:top w:val="single" w:sz="4" w:space="0" w:color="000000"/>
            </w:tcBorders>
            <w:vAlign w:val="bottom"/>
          </w:tcPr>
          <w:p w14:paraId="0304769D" w14:textId="495DD611" w:rsidR="0064011A" w:rsidRPr="00D22422" w:rsidRDefault="0064011A" w:rsidP="0064011A">
            <w:pPr>
              <w:jc w:val="both"/>
              <w:rPr>
                <w:rFonts w:ascii="Arial" w:hAnsi="Arial" w:cs="Arial"/>
                <w:sz w:val="20"/>
                <w:szCs w:val="20"/>
              </w:rPr>
            </w:pPr>
            <w:r>
              <w:rPr>
                <w:rFonts w:ascii="Arial" w:hAnsi="Arial" w:cs="Arial"/>
                <w:sz w:val="20"/>
                <w:szCs w:val="20"/>
              </w:rPr>
              <w:t>INF</w:t>
            </w:r>
          </w:p>
        </w:tc>
        <w:tc>
          <w:tcPr>
            <w:tcW w:w="1696" w:type="dxa"/>
            <w:tcBorders>
              <w:top w:val="single" w:sz="4" w:space="0" w:color="000000"/>
            </w:tcBorders>
            <w:vAlign w:val="bottom"/>
          </w:tcPr>
          <w:p w14:paraId="5D4706D4" w14:textId="0CE41D46" w:rsidR="0064011A" w:rsidRPr="00D22422" w:rsidRDefault="0064011A" w:rsidP="0064011A">
            <w:pPr>
              <w:jc w:val="right"/>
              <w:rPr>
                <w:rFonts w:ascii="Arial" w:hAnsi="Arial" w:cs="Arial"/>
                <w:sz w:val="20"/>
                <w:szCs w:val="20"/>
              </w:rPr>
            </w:pPr>
            <w:r w:rsidRPr="0064011A">
              <w:rPr>
                <w:rFonts w:ascii="Aptos Narrow" w:hAnsi="Aptos Narrow"/>
                <w:color w:val="000000"/>
              </w:rPr>
              <w:t>-0.2182</w:t>
            </w:r>
          </w:p>
        </w:tc>
        <w:tc>
          <w:tcPr>
            <w:tcW w:w="1614" w:type="dxa"/>
            <w:tcBorders>
              <w:top w:val="single" w:sz="4" w:space="0" w:color="000000"/>
            </w:tcBorders>
            <w:vAlign w:val="bottom"/>
          </w:tcPr>
          <w:p w14:paraId="08DDC9CA" w14:textId="0D5FC08E" w:rsidR="0064011A" w:rsidRPr="00D22422" w:rsidRDefault="0064011A" w:rsidP="0064011A">
            <w:pPr>
              <w:jc w:val="right"/>
              <w:rPr>
                <w:rFonts w:ascii="Arial" w:hAnsi="Arial" w:cs="Arial"/>
                <w:sz w:val="20"/>
                <w:szCs w:val="20"/>
              </w:rPr>
            </w:pPr>
            <w:r w:rsidRPr="0064011A">
              <w:rPr>
                <w:rFonts w:ascii="Aptos Narrow" w:hAnsi="Aptos Narrow"/>
                <w:color w:val="000000"/>
              </w:rPr>
              <w:t>0.2001</w:t>
            </w:r>
          </w:p>
        </w:tc>
        <w:tc>
          <w:tcPr>
            <w:tcW w:w="1642" w:type="dxa"/>
            <w:tcBorders>
              <w:top w:val="single" w:sz="4" w:space="0" w:color="000000"/>
            </w:tcBorders>
            <w:vAlign w:val="bottom"/>
          </w:tcPr>
          <w:p w14:paraId="3F92FB89" w14:textId="722CCB44" w:rsidR="0064011A" w:rsidRPr="00D22422" w:rsidRDefault="0064011A" w:rsidP="0064011A">
            <w:pPr>
              <w:jc w:val="right"/>
              <w:rPr>
                <w:rFonts w:ascii="Arial" w:hAnsi="Arial" w:cs="Arial"/>
                <w:sz w:val="20"/>
                <w:szCs w:val="20"/>
              </w:rPr>
            </w:pPr>
            <w:r w:rsidRPr="0064011A">
              <w:rPr>
                <w:rFonts w:ascii="Aptos Narrow" w:hAnsi="Aptos Narrow"/>
                <w:color w:val="000000"/>
              </w:rPr>
              <w:t>-1.0901</w:t>
            </w:r>
          </w:p>
        </w:tc>
        <w:tc>
          <w:tcPr>
            <w:tcW w:w="1614" w:type="dxa"/>
            <w:tcBorders>
              <w:top w:val="single" w:sz="4" w:space="0" w:color="000000"/>
            </w:tcBorders>
            <w:vAlign w:val="bottom"/>
          </w:tcPr>
          <w:p w14:paraId="04C8969B" w14:textId="0F8FCB6A" w:rsidR="0064011A" w:rsidRPr="00D22422" w:rsidRDefault="0064011A" w:rsidP="0064011A">
            <w:pPr>
              <w:jc w:val="right"/>
              <w:rPr>
                <w:rFonts w:ascii="Arial" w:hAnsi="Arial" w:cs="Arial"/>
                <w:sz w:val="20"/>
                <w:szCs w:val="20"/>
              </w:rPr>
            </w:pPr>
            <w:r w:rsidRPr="0064011A">
              <w:rPr>
                <w:rFonts w:ascii="Aptos Narrow" w:hAnsi="Aptos Narrow"/>
                <w:color w:val="000000"/>
              </w:rPr>
              <w:t>0.2849</w:t>
            </w:r>
          </w:p>
        </w:tc>
      </w:tr>
      <w:tr w:rsidR="0064011A" w:rsidRPr="009131D9" w14:paraId="61EA380D" w14:textId="77777777" w:rsidTr="007C77E8">
        <w:tc>
          <w:tcPr>
            <w:tcW w:w="1642" w:type="dxa"/>
            <w:vAlign w:val="bottom"/>
          </w:tcPr>
          <w:p w14:paraId="10765A9D" w14:textId="218E0E48" w:rsidR="0064011A" w:rsidRPr="00D22422" w:rsidRDefault="0064011A" w:rsidP="0064011A">
            <w:pPr>
              <w:jc w:val="both"/>
              <w:rPr>
                <w:rFonts w:ascii="Arial" w:hAnsi="Arial" w:cs="Arial"/>
                <w:sz w:val="20"/>
                <w:szCs w:val="20"/>
              </w:rPr>
            </w:pPr>
            <w:r>
              <w:rPr>
                <w:rFonts w:ascii="Arial" w:hAnsi="Arial" w:cs="Arial"/>
                <w:sz w:val="20"/>
                <w:szCs w:val="20"/>
              </w:rPr>
              <w:t>CAP</w:t>
            </w:r>
          </w:p>
        </w:tc>
        <w:tc>
          <w:tcPr>
            <w:tcW w:w="1696" w:type="dxa"/>
            <w:vAlign w:val="bottom"/>
          </w:tcPr>
          <w:p w14:paraId="277EFEDF" w14:textId="08A33748" w:rsidR="0064011A" w:rsidRPr="00D22422" w:rsidRDefault="0064011A" w:rsidP="0064011A">
            <w:pPr>
              <w:jc w:val="right"/>
              <w:rPr>
                <w:rFonts w:ascii="Arial" w:hAnsi="Arial" w:cs="Arial"/>
                <w:sz w:val="20"/>
                <w:szCs w:val="20"/>
              </w:rPr>
            </w:pPr>
            <w:r w:rsidRPr="0064011A">
              <w:rPr>
                <w:rFonts w:ascii="Aptos Narrow" w:hAnsi="Aptos Narrow"/>
                <w:color w:val="000000"/>
              </w:rPr>
              <w:t>0.8018</w:t>
            </w:r>
          </w:p>
        </w:tc>
        <w:tc>
          <w:tcPr>
            <w:tcW w:w="1614" w:type="dxa"/>
            <w:vAlign w:val="bottom"/>
          </w:tcPr>
          <w:p w14:paraId="4E046F94" w14:textId="42277790" w:rsidR="0064011A" w:rsidRPr="00D22422" w:rsidRDefault="0064011A" w:rsidP="0064011A">
            <w:pPr>
              <w:jc w:val="right"/>
              <w:rPr>
                <w:rFonts w:ascii="Arial" w:hAnsi="Arial" w:cs="Arial"/>
                <w:sz w:val="20"/>
                <w:szCs w:val="20"/>
              </w:rPr>
            </w:pPr>
            <w:r w:rsidRPr="0064011A">
              <w:rPr>
                <w:rFonts w:ascii="Aptos Narrow" w:hAnsi="Aptos Narrow"/>
                <w:color w:val="000000"/>
              </w:rPr>
              <w:t>0.0405</w:t>
            </w:r>
          </w:p>
        </w:tc>
        <w:tc>
          <w:tcPr>
            <w:tcW w:w="1642" w:type="dxa"/>
            <w:vAlign w:val="bottom"/>
          </w:tcPr>
          <w:p w14:paraId="1B394DF2" w14:textId="713B7DC4" w:rsidR="0064011A" w:rsidRPr="00D22422" w:rsidRDefault="0064011A" w:rsidP="0064011A">
            <w:pPr>
              <w:jc w:val="right"/>
              <w:rPr>
                <w:rFonts w:ascii="Arial" w:hAnsi="Arial" w:cs="Arial"/>
                <w:sz w:val="20"/>
                <w:szCs w:val="20"/>
              </w:rPr>
            </w:pPr>
            <w:r w:rsidRPr="0064011A">
              <w:rPr>
                <w:rFonts w:ascii="Aptos Narrow" w:hAnsi="Aptos Narrow"/>
                <w:color w:val="000000"/>
              </w:rPr>
              <w:t>19.7951</w:t>
            </w:r>
          </w:p>
        </w:tc>
        <w:tc>
          <w:tcPr>
            <w:tcW w:w="1614" w:type="dxa"/>
            <w:vAlign w:val="bottom"/>
          </w:tcPr>
          <w:p w14:paraId="006FF3D7" w14:textId="58851BF1" w:rsidR="0064011A" w:rsidRPr="00D22422" w:rsidRDefault="0064011A" w:rsidP="0064011A">
            <w:pPr>
              <w:jc w:val="right"/>
              <w:rPr>
                <w:rFonts w:ascii="Arial" w:hAnsi="Arial" w:cs="Arial"/>
                <w:sz w:val="20"/>
                <w:szCs w:val="20"/>
              </w:rPr>
            </w:pPr>
            <w:r w:rsidRPr="0064011A">
              <w:rPr>
                <w:rFonts w:ascii="Aptos Narrow" w:hAnsi="Aptos Narrow"/>
                <w:color w:val="000000"/>
              </w:rPr>
              <w:t>0.0000</w:t>
            </w:r>
          </w:p>
        </w:tc>
      </w:tr>
      <w:tr w:rsidR="0064011A" w:rsidRPr="009131D9" w14:paraId="169F29B2" w14:textId="77777777" w:rsidTr="007C77E8">
        <w:tc>
          <w:tcPr>
            <w:tcW w:w="1642" w:type="dxa"/>
            <w:vAlign w:val="bottom"/>
          </w:tcPr>
          <w:p w14:paraId="2D2847ED" w14:textId="73A340BE" w:rsidR="0064011A" w:rsidRPr="00D22422" w:rsidRDefault="0064011A" w:rsidP="0064011A">
            <w:pPr>
              <w:jc w:val="both"/>
              <w:rPr>
                <w:rFonts w:ascii="Arial" w:hAnsi="Arial" w:cs="Arial"/>
                <w:color w:val="000000"/>
              </w:rPr>
            </w:pPr>
            <w:r>
              <w:rPr>
                <w:rFonts w:ascii="Arial" w:hAnsi="Arial" w:cs="Arial"/>
                <w:color w:val="000000"/>
              </w:rPr>
              <w:t>POP</w:t>
            </w:r>
          </w:p>
        </w:tc>
        <w:tc>
          <w:tcPr>
            <w:tcW w:w="1696" w:type="dxa"/>
            <w:vAlign w:val="bottom"/>
          </w:tcPr>
          <w:p w14:paraId="7D5C1BF8" w14:textId="2DC6BC0F" w:rsidR="0064011A" w:rsidRPr="00D22422" w:rsidRDefault="0064011A" w:rsidP="0064011A">
            <w:pPr>
              <w:jc w:val="right"/>
              <w:rPr>
                <w:rFonts w:ascii="Arial" w:hAnsi="Arial" w:cs="Arial"/>
                <w:color w:val="000000"/>
              </w:rPr>
            </w:pPr>
            <w:r w:rsidRPr="0064011A">
              <w:rPr>
                <w:rFonts w:ascii="Aptos Narrow" w:hAnsi="Aptos Narrow"/>
                <w:color w:val="000000"/>
              </w:rPr>
              <w:t>1.7449</w:t>
            </w:r>
          </w:p>
        </w:tc>
        <w:tc>
          <w:tcPr>
            <w:tcW w:w="1614" w:type="dxa"/>
            <w:vAlign w:val="bottom"/>
          </w:tcPr>
          <w:p w14:paraId="51AA073B" w14:textId="17FD9DA4" w:rsidR="0064011A" w:rsidRPr="00D22422" w:rsidRDefault="0064011A" w:rsidP="0064011A">
            <w:pPr>
              <w:jc w:val="right"/>
              <w:rPr>
                <w:rFonts w:ascii="Arial" w:hAnsi="Arial" w:cs="Arial"/>
                <w:color w:val="000000"/>
              </w:rPr>
            </w:pPr>
            <w:r w:rsidRPr="0064011A">
              <w:rPr>
                <w:rFonts w:ascii="Aptos Narrow" w:hAnsi="Aptos Narrow"/>
                <w:color w:val="000000"/>
              </w:rPr>
              <w:t>0.1274</w:t>
            </w:r>
          </w:p>
        </w:tc>
        <w:tc>
          <w:tcPr>
            <w:tcW w:w="1642" w:type="dxa"/>
            <w:vAlign w:val="bottom"/>
          </w:tcPr>
          <w:p w14:paraId="02E4524E" w14:textId="35F09D79" w:rsidR="0064011A" w:rsidRPr="00D22422" w:rsidRDefault="0064011A" w:rsidP="0064011A">
            <w:pPr>
              <w:jc w:val="right"/>
              <w:rPr>
                <w:rFonts w:ascii="Arial" w:hAnsi="Arial" w:cs="Arial"/>
                <w:color w:val="000000"/>
              </w:rPr>
            </w:pPr>
            <w:r w:rsidRPr="0064011A">
              <w:rPr>
                <w:rFonts w:ascii="Aptos Narrow" w:hAnsi="Aptos Narrow"/>
                <w:color w:val="000000"/>
              </w:rPr>
              <w:t>13.7002</w:t>
            </w:r>
          </w:p>
        </w:tc>
        <w:tc>
          <w:tcPr>
            <w:tcW w:w="1614" w:type="dxa"/>
            <w:vAlign w:val="bottom"/>
          </w:tcPr>
          <w:p w14:paraId="0C363515" w14:textId="30ED077D" w:rsidR="0064011A" w:rsidRPr="00D22422" w:rsidRDefault="0064011A" w:rsidP="0064011A">
            <w:pPr>
              <w:jc w:val="right"/>
              <w:rPr>
                <w:rFonts w:ascii="Arial" w:hAnsi="Arial" w:cs="Arial"/>
                <w:color w:val="000000"/>
              </w:rPr>
            </w:pPr>
            <w:r w:rsidRPr="0064011A">
              <w:rPr>
                <w:rFonts w:ascii="Aptos Narrow" w:hAnsi="Aptos Narrow"/>
                <w:color w:val="000000"/>
              </w:rPr>
              <w:t>0.0000</w:t>
            </w:r>
          </w:p>
        </w:tc>
      </w:tr>
      <w:tr w:rsidR="0064011A" w:rsidRPr="009131D9" w14:paraId="0819EDEA" w14:textId="77777777" w:rsidTr="007C77E8">
        <w:tc>
          <w:tcPr>
            <w:tcW w:w="8208" w:type="dxa"/>
            <w:gridSpan w:val="5"/>
            <w:tcBorders>
              <w:top w:val="single" w:sz="4" w:space="0" w:color="000000"/>
              <w:bottom w:val="single" w:sz="4" w:space="0" w:color="000000"/>
            </w:tcBorders>
            <w:vAlign w:val="bottom"/>
          </w:tcPr>
          <w:p w14:paraId="02797213" w14:textId="3583C917" w:rsidR="0064011A" w:rsidRPr="00D22422" w:rsidRDefault="0064011A" w:rsidP="0064011A">
            <w:pPr>
              <w:jc w:val="both"/>
              <w:rPr>
                <w:rFonts w:ascii="Arial" w:eastAsia="Times New Roman" w:hAnsi="Arial" w:cs="Arial"/>
                <w:color w:val="000000"/>
                <w:sz w:val="20"/>
                <w:szCs w:val="20"/>
              </w:rPr>
            </w:pPr>
            <w:r w:rsidRPr="00D22422">
              <w:rPr>
                <w:rFonts w:ascii="Arial" w:eastAsia="Times New Roman" w:hAnsi="Arial" w:cs="Arial"/>
                <w:color w:val="000000"/>
                <w:sz w:val="20"/>
                <w:szCs w:val="20"/>
              </w:rPr>
              <w:t>3.</w:t>
            </w:r>
            <w:r>
              <w:rPr>
                <w:rFonts w:ascii="Arial" w:eastAsia="Times New Roman" w:hAnsi="Arial" w:cs="Arial"/>
                <w:color w:val="000000"/>
                <w:sz w:val="20"/>
                <w:szCs w:val="20"/>
              </w:rPr>
              <w:t>8183</w:t>
            </w:r>
            <w:r w:rsidRPr="00D22422">
              <w:rPr>
                <w:rFonts w:ascii="Arial" w:eastAsia="Times New Roman" w:hAnsi="Arial" w:cs="Arial"/>
                <w:color w:val="000000"/>
                <w:sz w:val="20"/>
                <w:szCs w:val="20"/>
              </w:rPr>
              <w:t xml:space="preserve"> ≤ INF</w:t>
            </w:r>
          </w:p>
        </w:tc>
      </w:tr>
      <w:tr w:rsidR="0064011A" w:rsidRPr="009131D9" w14:paraId="279B836C" w14:textId="77777777" w:rsidTr="007C77E8">
        <w:tc>
          <w:tcPr>
            <w:tcW w:w="1642" w:type="dxa"/>
            <w:tcBorders>
              <w:top w:val="single" w:sz="4" w:space="0" w:color="000000"/>
            </w:tcBorders>
            <w:vAlign w:val="bottom"/>
          </w:tcPr>
          <w:p w14:paraId="65C8E786" w14:textId="67FABC31" w:rsidR="0064011A" w:rsidRPr="00D22422" w:rsidRDefault="0064011A" w:rsidP="0064011A">
            <w:pPr>
              <w:jc w:val="both"/>
              <w:rPr>
                <w:rFonts w:ascii="Arial" w:eastAsia="Times New Roman" w:hAnsi="Arial" w:cs="Arial"/>
                <w:color w:val="000000"/>
                <w:sz w:val="20"/>
                <w:szCs w:val="20"/>
              </w:rPr>
            </w:pPr>
            <w:r>
              <w:rPr>
                <w:rFonts w:ascii="Arial" w:eastAsia="Times New Roman" w:hAnsi="Arial" w:cs="Arial"/>
                <w:color w:val="000000"/>
                <w:sz w:val="20"/>
                <w:szCs w:val="20"/>
              </w:rPr>
              <w:t>INF</w:t>
            </w:r>
          </w:p>
        </w:tc>
        <w:tc>
          <w:tcPr>
            <w:tcW w:w="1696" w:type="dxa"/>
            <w:tcBorders>
              <w:top w:val="single" w:sz="4" w:space="0" w:color="000000"/>
            </w:tcBorders>
            <w:vAlign w:val="bottom"/>
          </w:tcPr>
          <w:p w14:paraId="6766F561" w14:textId="07A59EED" w:rsidR="0064011A" w:rsidRPr="00D22422" w:rsidRDefault="0064011A" w:rsidP="0064011A">
            <w:pPr>
              <w:jc w:val="right"/>
              <w:rPr>
                <w:rFonts w:ascii="Arial" w:eastAsia="Times New Roman" w:hAnsi="Arial" w:cs="Arial"/>
                <w:color w:val="000000"/>
                <w:sz w:val="20"/>
                <w:szCs w:val="20"/>
              </w:rPr>
            </w:pPr>
            <w:r w:rsidRPr="0064011A">
              <w:rPr>
                <w:rFonts w:ascii="Aptos Narrow" w:hAnsi="Aptos Narrow"/>
                <w:color w:val="000000"/>
              </w:rPr>
              <w:t>-0.1494</w:t>
            </w:r>
          </w:p>
        </w:tc>
        <w:tc>
          <w:tcPr>
            <w:tcW w:w="1614" w:type="dxa"/>
            <w:tcBorders>
              <w:top w:val="single" w:sz="4" w:space="0" w:color="000000"/>
            </w:tcBorders>
            <w:vAlign w:val="bottom"/>
          </w:tcPr>
          <w:p w14:paraId="73E088DD" w14:textId="4CA26086" w:rsidR="0064011A" w:rsidRPr="00D22422" w:rsidRDefault="0064011A" w:rsidP="0064011A">
            <w:pPr>
              <w:jc w:val="right"/>
              <w:rPr>
                <w:rFonts w:ascii="Arial" w:eastAsia="Times New Roman" w:hAnsi="Arial" w:cs="Arial"/>
                <w:color w:val="000000"/>
                <w:sz w:val="20"/>
                <w:szCs w:val="20"/>
              </w:rPr>
            </w:pPr>
            <w:r w:rsidRPr="0064011A">
              <w:rPr>
                <w:rFonts w:ascii="Aptos Narrow" w:hAnsi="Aptos Narrow"/>
                <w:color w:val="000000"/>
              </w:rPr>
              <w:t>0.0241</w:t>
            </w:r>
          </w:p>
        </w:tc>
        <w:tc>
          <w:tcPr>
            <w:tcW w:w="1642" w:type="dxa"/>
            <w:tcBorders>
              <w:top w:val="single" w:sz="4" w:space="0" w:color="000000"/>
            </w:tcBorders>
            <w:vAlign w:val="bottom"/>
          </w:tcPr>
          <w:p w14:paraId="07EF8571" w14:textId="0413A9A6" w:rsidR="0064011A" w:rsidRPr="00D22422" w:rsidRDefault="0064011A" w:rsidP="0064011A">
            <w:pPr>
              <w:jc w:val="right"/>
              <w:rPr>
                <w:rFonts w:ascii="Arial" w:eastAsia="Times New Roman" w:hAnsi="Arial" w:cs="Arial"/>
                <w:color w:val="000000"/>
                <w:sz w:val="20"/>
                <w:szCs w:val="20"/>
              </w:rPr>
            </w:pPr>
            <w:r w:rsidRPr="0064011A">
              <w:rPr>
                <w:rFonts w:ascii="Aptos Narrow" w:hAnsi="Aptos Narrow"/>
                <w:color w:val="000000"/>
              </w:rPr>
              <w:t>-6.1918</w:t>
            </w:r>
          </w:p>
        </w:tc>
        <w:tc>
          <w:tcPr>
            <w:tcW w:w="1614" w:type="dxa"/>
            <w:tcBorders>
              <w:top w:val="single" w:sz="4" w:space="0" w:color="000000"/>
            </w:tcBorders>
            <w:vAlign w:val="bottom"/>
          </w:tcPr>
          <w:p w14:paraId="0ADEFCF9" w14:textId="5BA98D60" w:rsidR="0064011A" w:rsidRPr="00D22422" w:rsidRDefault="0064011A" w:rsidP="0064011A">
            <w:pPr>
              <w:jc w:val="right"/>
              <w:rPr>
                <w:rFonts w:ascii="Arial" w:eastAsia="Times New Roman" w:hAnsi="Arial" w:cs="Arial"/>
                <w:color w:val="000000"/>
                <w:sz w:val="20"/>
                <w:szCs w:val="20"/>
              </w:rPr>
            </w:pPr>
            <w:r w:rsidRPr="0064011A">
              <w:rPr>
                <w:rFonts w:ascii="Aptos Narrow" w:hAnsi="Aptos Narrow"/>
                <w:color w:val="000000"/>
              </w:rPr>
              <w:t>0.0000</w:t>
            </w:r>
          </w:p>
        </w:tc>
      </w:tr>
      <w:tr w:rsidR="0064011A" w:rsidRPr="009131D9" w14:paraId="5F97ECCA" w14:textId="77777777" w:rsidTr="007C77E8">
        <w:tc>
          <w:tcPr>
            <w:tcW w:w="1642" w:type="dxa"/>
            <w:vAlign w:val="bottom"/>
          </w:tcPr>
          <w:p w14:paraId="140D8B19" w14:textId="759BAFCD" w:rsidR="0064011A" w:rsidRPr="00D22422" w:rsidRDefault="0064011A" w:rsidP="0064011A">
            <w:pPr>
              <w:jc w:val="both"/>
              <w:rPr>
                <w:rFonts w:ascii="Arial" w:eastAsia="Times New Roman" w:hAnsi="Arial" w:cs="Arial"/>
                <w:color w:val="000000"/>
                <w:sz w:val="20"/>
                <w:szCs w:val="20"/>
              </w:rPr>
            </w:pPr>
            <w:r>
              <w:rPr>
                <w:rFonts w:ascii="Arial" w:eastAsia="Times New Roman" w:hAnsi="Arial" w:cs="Arial"/>
                <w:color w:val="000000"/>
                <w:sz w:val="20"/>
                <w:szCs w:val="20"/>
              </w:rPr>
              <w:t>CAP</w:t>
            </w:r>
          </w:p>
        </w:tc>
        <w:tc>
          <w:tcPr>
            <w:tcW w:w="1696" w:type="dxa"/>
            <w:vAlign w:val="bottom"/>
          </w:tcPr>
          <w:p w14:paraId="669DEEC9" w14:textId="5A8C23D1" w:rsidR="0064011A" w:rsidRPr="00D22422" w:rsidRDefault="0064011A" w:rsidP="0064011A">
            <w:pPr>
              <w:jc w:val="right"/>
              <w:rPr>
                <w:rFonts w:ascii="Arial" w:eastAsia="Times New Roman" w:hAnsi="Arial" w:cs="Arial"/>
                <w:color w:val="000000"/>
                <w:sz w:val="20"/>
                <w:szCs w:val="20"/>
              </w:rPr>
            </w:pPr>
            <w:r w:rsidRPr="0064011A">
              <w:rPr>
                <w:rFonts w:ascii="Aptos Narrow" w:hAnsi="Aptos Narrow"/>
                <w:color w:val="000000"/>
              </w:rPr>
              <w:t>0.2232</w:t>
            </w:r>
          </w:p>
        </w:tc>
        <w:tc>
          <w:tcPr>
            <w:tcW w:w="1614" w:type="dxa"/>
            <w:vAlign w:val="bottom"/>
          </w:tcPr>
          <w:p w14:paraId="53DE7168" w14:textId="36A3C647" w:rsidR="0064011A" w:rsidRPr="00D22422" w:rsidRDefault="0064011A" w:rsidP="0064011A">
            <w:pPr>
              <w:jc w:val="right"/>
              <w:rPr>
                <w:rFonts w:ascii="Arial" w:eastAsia="Times New Roman" w:hAnsi="Arial" w:cs="Arial"/>
                <w:color w:val="000000"/>
                <w:sz w:val="20"/>
                <w:szCs w:val="20"/>
              </w:rPr>
            </w:pPr>
            <w:r w:rsidRPr="0064011A">
              <w:rPr>
                <w:rFonts w:ascii="Aptos Narrow" w:hAnsi="Aptos Narrow"/>
                <w:color w:val="000000"/>
              </w:rPr>
              <w:t>0.0310</w:t>
            </w:r>
          </w:p>
        </w:tc>
        <w:tc>
          <w:tcPr>
            <w:tcW w:w="1642" w:type="dxa"/>
            <w:vAlign w:val="bottom"/>
          </w:tcPr>
          <w:p w14:paraId="17B17B33" w14:textId="76A172CF" w:rsidR="0064011A" w:rsidRPr="00D22422" w:rsidRDefault="0064011A" w:rsidP="0064011A">
            <w:pPr>
              <w:jc w:val="right"/>
              <w:rPr>
                <w:rFonts w:ascii="Arial" w:eastAsia="Times New Roman" w:hAnsi="Arial" w:cs="Arial"/>
                <w:color w:val="000000"/>
                <w:sz w:val="20"/>
                <w:szCs w:val="20"/>
              </w:rPr>
            </w:pPr>
            <w:r w:rsidRPr="0064011A">
              <w:rPr>
                <w:rFonts w:ascii="Aptos Narrow" w:hAnsi="Aptos Narrow"/>
                <w:color w:val="000000"/>
              </w:rPr>
              <w:t>7.1970</w:t>
            </w:r>
          </w:p>
        </w:tc>
        <w:tc>
          <w:tcPr>
            <w:tcW w:w="1614" w:type="dxa"/>
            <w:vAlign w:val="bottom"/>
          </w:tcPr>
          <w:p w14:paraId="0ED013E5" w14:textId="64C7CB21" w:rsidR="0064011A" w:rsidRPr="00D22422" w:rsidRDefault="0064011A" w:rsidP="0064011A">
            <w:pPr>
              <w:jc w:val="right"/>
              <w:rPr>
                <w:rFonts w:ascii="Arial" w:eastAsia="Times New Roman" w:hAnsi="Arial" w:cs="Arial"/>
                <w:color w:val="000000"/>
                <w:sz w:val="20"/>
                <w:szCs w:val="20"/>
              </w:rPr>
            </w:pPr>
            <w:r w:rsidRPr="0064011A">
              <w:rPr>
                <w:rFonts w:ascii="Aptos Narrow" w:hAnsi="Aptos Narrow"/>
                <w:color w:val="000000"/>
              </w:rPr>
              <w:t>0.0000</w:t>
            </w:r>
          </w:p>
        </w:tc>
      </w:tr>
      <w:tr w:rsidR="0064011A" w:rsidRPr="009131D9" w14:paraId="7E2AE8E0" w14:textId="77777777" w:rsidTr="007C77E8">
        <w:tc>
          <w:tcPr>
            <w:tcW w:w="1642" w:type="dxa"/>
            <w:vAlign w:val="bottom"/>
          </w:tcPr>
          <w:p w14:paraId="27873F8F" w14:textId="1E795563" w:rsidR="0064011A" w:rsidRPr="00D22422" w:rsidRDefault="0064011A" w:rsidP="0064011A">
            <w:pPr>
              <w:jc w:val="both"/>
              <w:rPr>
                <w:rFonts w:ascii="Arial" w:hAnsi="Arial" w:cs="Arial"/>
                <w:color w:val="000000"/>
              </w:rPr>
            </w:pPr>
            <w:r>
              <w:rPr>
                <w:rFonts w:ascii="Arial" w:hAnsi="Arial" w:cs="Arial"/>
                <w:color w:val="000000"/>
              </w:rPr>
              <w:t>POP</w:t>
            </w:r>
          </w:p>
        </w:tc>
        <w:tc>
          <w:tcPr>
            <w:tcW w:w="1696" w:type="dxa"/>
            <w:vAlign w:val="bottom"/>
          </w:tcPr>
          <w:p w14:paraId="0A9E1630" w14:textId="2D9C4081" w:rsidR="0064011A" w:rsidRPr="00D22422" w:rsidRDefault="0064011A" w:rsidP="0064011A">
            <w:pPr>
              <w:jc w:val="right"/>
              <w:rPr>
                <w:rFonts w:ascii="Arial" w:hAnsi="Arial" w:cs="Arial"/>
                <w:color w:val="000000"/>
              </w:rPr>
            </w:pPr>
            <w:r w:rsidRPr="0064011A">
              <w:rPr>
                <w:rFonts w:ascii="Aptos Narrow" w:hAnsi="Aptos Narrow"/>
                <w:color w:val="000000"/>
              </w:rPr>
              <w:t>2.9446</w:t>
            </w:r>
          </w:p>
        </w:tc>
        <w:tc>
          <w:tcPr>
            <w:tcW w:w="1614" w:type="dxa"/>
            <w:vAlign w:val="bottom"/>
          </w:tcPr>
          <w:p w14:paraId="6DC5DC9E" w14:textId="270827A9" w:rsidR="0064011A" w:rsidRPr="00D22422" w:rsidRDefault="0064011A" w:rsidP="0064011A">
            <w:pPr>
              <w:jc w:val="right"/>
              <w:rPr>
                <w:rFonts w:ascii="Arial" w:hAnsi="Arial" w:cs="Arial"/>
                <w:color w:val="000000"/>
              </w:rPr>
            </w:pPr>
            <w:r w:rsidRPr="0064011A">
              <w:rPr>
                <w:rFonts w:ascii="Aptos Narrow" w:hAnsi="Aptos Narrow"/>
                <w:color w:val="000000"/>
              </w:rPr>
              <w:t>0.2195</w:t>
            </w:r>
          </w:p>
        </w:tc>
        <w:tc>
          <w:tcPr>
            <w:tcW w:w="1642" w:type="dxa"/>
            <w:vAlign w:val="bottom"/>
          </w:tcPr>
          <w:p w14:paraId="5AAD878B" w14:textId="62C30AC6" w:rsidR="0064011A" w:rsidRPr="00D22422" w:rsidRDefault="0064011A" w:rsidP="0064011A">
            <w:pPr>
              <w:jc w:val="right"/>
              <w:rPr>
                <w:rFonts w:ascii="Arial" w:hAnsi="Arial" w:cs="Arial"/>
                <w:color w:val="000000"/>
              </w:rPr>
            </w:pPr>
            <w:r w:rsidRPr="0064011A">
              <w:rPr>
                <w:rFonts w:ascii="Aptos Narrow" w:hAnsi="Aptos Narrow"/>
                <w:color w:val="000000"/>
              </w:rPr>
              <w:t>13.4136</w:t>
            </w:r>
          </w:p>
        </w:tc>
        <w:tc>
          <w:tcPr>
            <w:tcW w:w="1614" w:type="dxa"/>
            <w:vAlign w:val="bottom"/>
          </w:tcPr>
          <w:p w14:paraId="4E35B9EF" w14:textId="4AB12D4A" w:rsidR="0064011A" w:rsidRPr="00D22422" w:rsidRDefault="0064011A" w:rsidP="0064011A">
            <w:pPr>
              <w:jc w:val="right"/>
              <w:rPr>
                <w:rFonts w:ascii="Arial" w:hAnsi="Arial" w:cs="Arial"/>
                <w:color w:val="000000"/>
              </w:rPr>
            </w:pPr>
            <w:r w:rsidRPr="0064011A">
              <w:rPr>
                <w:rFonts w:ascii="Aptos Narrow" w:hAnsi="Aptos Narrow"/>
                <w:color w:val="000000"/>
              </w:rPr>
              <w:t>0.0000</w:t>
            </w:r>
          </w:p>
        </w:tc>
      </w:tr>
      <w:tr w:rsidR="0064011A" w:rsidRPr="009131D9" w14:paraId="56FDE366" w14:textId="77777777" w:rsidTr="007C77E8">
        <w:tc>
          <w:tcPr>
            <w:tcW w:w="1642" w:type="dxa"/>
            <w:tcBorders>
              <w:top w:val="single" w:sz="4" w:space="0" w:color="000000"/>
            </w:tcBorders>
            <w:vAlign w:val="bottom"/>
          </w:tcPr>
          <w:p w14:paraId="318B74BF" w14:textId="77777777" w:rsidR="0064011A" w:rsidRPr="00D22422" w:rsidRDefault="0064011A" w:rsidP="0064011A">
            <w:pPr>
              <w:jc w:val="both"/>
              <w:rPr>
                <w:rFonts w:ascii="Arial" w:eastAsia="Times New Roman" w:hAnsi="Arial" w:cs="Arial"/>
                <w:color w:val="000000"/>
                <w:sz w:val="20"/>
                <w:szCs w:val="20"/>
              </w:rPr>
            </w:pPr>
            <w:r w:rsidRPr="00D22422">
              <w:rPr>
                <w:rFonts w:ascii="Arial" w:eastAsia="Times New Roman" w:hAnsi="Arial" w:cs="Arial"/>
                <w:color w:val="000000"/>
                <w:sz w:val="20"/>
                <w:szCs w:val="20"/>
              </w:rPr>
              <w:t>R-squared</w:t>
            </w:r>
          </w:p>
        </w:tc>
        <w:tc>
          <w:tcPr>
            <w:tcW w:w="1696" w:type="dxa"/>
            <w:tcBorders>
              <w:top w:val="single" w:sz="4" w:space="0" w:color="000000"/>
            </w:tcBorders>
            <w:vAlign w:val="bottom"/>
          </w:tcPr>
          <w:p w14:paraId="4E0A8626" w14:textId="504A6EF8" w:rsidR="0064011A" w:rsidRPr="00D22422" w:rsidRDefault="0064011A" w:rsidP="0064011A">
            <w:pPr>
              <w:jc w:val="right"/>
              <w:rPr>
                <w:rFonts w:ascii="Arial" w:eastAsia="Times New Roman" w:hAnsi="Arial" w:cs="Arial"/>
                <w:color w:val="000000"/>
                <w:sz w:val="20"/>
                <w:szCs w:val="20"/>
              </w:rPr>
            </w:pPr>
            <w:r w:rsidRPr="0064011A">
              <w:rPr>
                <w:rFonts w:ascii="Aptos Narrow" w:hAnsi="Aptos Narrow"/>
                <w:color w:val="000000"/>
              </w:rPr>
              <w:t>0.891</w:t>
            </w:r>
            <w:r>
              <w:rPr>
                <w:rFonts w:ascii="Aptos Narrow" w:hAnsi="Aptos Narrow"/>
                <w:color w:val="000000"/>
              </w:rPr>
              <w:t>2</w:t>
            </w:r>
          </w:p>
        </w:tc>
        <w:tc>
          <w:tcPr>
            <w:tcW w:w="1614" w:type="dxa"/>
            <w:tcBorders>
              <w:top w:val="single" w:sz="4" w:space="0" w:color="000000"/>
            </w:tcBorders>
            <w:vAlign w:val="bottom"/>
          </w:tcPr>
          <w:p w14:paraId="04C93394" w14:textId="77777777" w:rsidR="0064011A" w:rsidRPr="00D22422" w:rsidRDefault="0064011A" w:rsidP="0064011A">
            <w:pPr>
              <w:jc w:val="right"/>
              <w:rPr>
                <w:rFonts w:ascii="Arial" w:eastAsia="Times New Roman" w:hAnsi="Arial" w:cs="Arial"/>
                <w:color w:val="000000"/>
                <w:sz w:val="20"/>
                <w:szCs w:val="20"/>
              </w:rPr>
            </w:pPr>
          </w:p>
        </w:tc>
        <w:tc>
          <w:tcPr>
            <w:tcW w:w="1642" w:type="dxa"/>
            <w:tcBorders>
              <w:top w:val="single" w:sz="4" w:space="0" w:color="000000"/>
            </w:tcBorders>
            <w:vAlign w:val="bottom"/>
          </w:tcPr>
          <w:p w14:paraId="35CC6B17" w14:textId="77777777" w:rsidR="0064011A" w:rsidRPr="00D22422" w:rsidRDefault="0064011A" w:rsidP="0064011A">
            <w:pPr>
              <w:jc w:val="right"/>
              <w:rPr>
                <w:rFonts w:ascii="Arial" w:eastAsia="Times New Roman" w:hAnsi="Arial" w:cs="Arial"/>
                <w:color w:val="000000"/>
                <w:sz w:val="20"/>
                <w:szCs w:val="20"/>
              </w:rPr>
            </w:pPr>
          </w:p>
        </w:tc>
        <w:tc>
          <w:tcPr>
            <w:tcW w:w="1614" w:type="dxa"/>
            <w:tcBorders>
              <w:top w:val="single" w:sz="4" w:space="0" w:color="000000"/>
            </w:tcBorders>
            <w:vAlign w:val="bottom"/>
          </w:tcPr>
          <w:p w14:paraId="7E351F47" w14:textId="77777777" w:rsidR="0064011A" w:rsidRPr="00D22422" w:rsidRDefault="0064011A" w:rsidP="0064011A">
            <w:pPr>
              <w:jc w:val="right"/>
              <w:rPr>
                <w:rFonts w:ascii="Arial" w:eastAsia="Times New Roman" w:hAnsi="Arial" w:cs="Arial"/>
                <w:color w:val="000000"/>
                <w:sz w:val="20"/>
                <w:szCs w:val="20"/>
              </w:rPr>
            </w:pPr>
          </w:p>
        </w:tc>
      </w:tr>
      <w:tr w:rsidR="0064011A" w:rsidRPr="009131D9" w14:paraId="614B02A4" w14:textId="77777777" w:rsidTr="007C77E8">
        <w:tc>
          <w:tcPr>
            <w:tcW w:w="1642" w:type="dxa"/>
            <w:tcBorders>
              <w:bottom w:val="single" w:sz="4" w:space="0" w:color="000000"/>
            </w:tcBorders>
            <w:vAlign w:val="bottom"/>
          </w:tcPr>
          <w:p w14:paraId="65099C97" w14:textId="77777777" w:rsidR="0064011A" w:rsidRPr="00D22422" w:rsidRDefault="0064011A" w:rsidP="0064011A">
            <w:pPr>
              <w:jc w:val="both"/>
              <w:rPr>
                <w:rFonts w:ascii="Arial" w:eastAsia="Times New Roman" w:hAnsi="Arial" w:cs="Arial"/>
                <w:color w:val="000000"/>
                <w:sz w:val="20"/>
                <w:szCs w:val="20"/>
              </w:rPr>
            </w:pPr>
            <w:r w:rsidRPr="00D22422">
              <w:rPr>
                <w:rFonts w:ascii="Arial" w:eastAsia="Times New Roman" w:hAnsi="Arial" w:cs="Arial"/>
                <w:color w:val="000000"/>
                <w:sz w:val="20"/>
                <w:szCs w:val="20"/>
              </w:rPr>
              <w:t>adj. R-squared</w:t>
            </w:r>
          </w:p>
        </w:tc>
        <w:tc>
          <w:tcPr>
            <w:tcW w:w="1696" w:type="dxa"/>
            <w:tcBorders>
              <w:bottom w:val="single" w:sz="4" w:space="0" w:color="000000"/>
            </w:tcBorders>
            <w:vAlign w:val="bottom"/>
          </w:tcPr>
          <w:p w14:paraId="3CC93335" w14:textId="1C479C59" w:rsidR="0064011A" w:rsidRPr="00D22422" w:rsidRDefault="0064011A" w:rsidP="0064011A">
            <w:pPr>
              <w:jc w:val="right"/>
              <w:rPr>
                <w:rFonts w:ascii="Arial" w:eastAsia="Times New Roman" w:hAnsi="Arial" w:cs="Arial"/>
                <w:color w:val="000000"/>
                <w:sz w:val="20"/>
                <w:szCs w:val="20"/>
              </w:rPr>
            </w:pPr>
            <w:r w:rsidRPr="0064011A">
              <w:rPr>
                <w:rFonts w:ascii="Aptos Narrow" w:hAnsi="Aptos Narrow"/>
                <w:color w:val="000000"/>
              </w:rPr>
              <w:t>0.871</w:t>
            </w:r>
            <w:r>
              <w:rPr>
                <w:rFonts w:ascii="Aptos Narrow" w:hAnsi="Aptos Narrow"/>
                <w:color w:val="000000"/>
              </w:rPr>
              <w:t>8</w:t>
            </w:r>
          </w:p>
        </w:tc>
        <w:tc>
          <w:tcPr>
            <w:tcW w:w="1614" w:type="dxa"/>
            <w:tcBorders>
              <w:bottom w:val="single" w:sz="4" w:space="0" w:color="000000"/>
            </w:tcBorders>
            <w:vAlign w:val="bottom"/>
          </w:tcPr>
          <w:p w14:paraId="0DBE56BE" w14:textId="77777777" w:rsidR="0064011A" w:rsidRPr="00D22422" w:rsidRDefault="0064011A" w:rsidP="0064011A">
            <w:pPr>
              <w:jc w:val="right"/>
              <w:rPr>
                <w:rFonts w:ascii="Arial" w:eastAsia="Times New Roman" w:hAnsi="Arial" w:cs="Arial"/>
                <w:color w:val="000000"/>
                <w:sz w:val="20"/>
                <w:szCs w:val="20"/>
              </w:rPr>
            </w:pPr>
          </w:p>
        </w:tc>
        <w:tc>
          <w:tcPr>
            <w:tcW w:w="1642" w:type="dxa"/>
            <w:tcBorders>
              <w:bottom w:val="single" w:sz="4" w:space="0" w:color="000000"/>
            </w:tcBorders>
            <w:vAlign w:val="bottom"/>
          </w:tcPr>
          <w:p w14:paraId="5A126C5F" w14:textId="77777777" w:rsidR="0064011A" w:rsidRPr="00D22422" w:rsidRDefault="0064011A" w:rsidP="0064011A">
            <w:pPr>
              <w:jc w:val="right"/>
              <w:rPr>
                <w:rFonts w:ascii="Arial" w:eastAsia="Times New Roman" w:hAnsi="Arial" w:cs="Arial"/>
                <w:color w:val="000000"/>
                <w:sz w:val="20"/>
                <w:szCs w:val="20"/>
              </w:rPr>
            </w:pPr>
          </w:p>
        </w:tc>
        <w:tc>
          <w:tcPr>
            <w:tcW w:w="1614" w:type="dxa"/>
            <w:tcBorders>
              <w:bottom w:val="single" w:sz="4" w:space="0" w:color="000000"/>
            </w:tcBorders>
            <w:vAlign w:val="bottom"/>
          </w:tcPr>
          <w:p w14:paraId="0FD45EF1" w14:textId="77777777" w:rsidR="0064011A" w:rsidRPr="00D22422" w:rsidRDefault="0064011A" w:rsidP="0064011A">
            <w:pPr>
              <w:jc w:val="right"/>
              <w:rPr>
                <w:rFonts w:ascii="Arial" w:eastAsia="Times New Roman" w:hAnsi="Arial" w:cs="Arial"/>
                <w:color w:val="000000"/>
                <w:sz w:val="20"/>
                <w:szCs w:val="20"/>
              </w:rPr>
            </w:pPr>
          </w:p>
        </w:tc>
      </w:tr>
    </w:tbl>
    <w:p w14:paraId="23284D2B" w14:textId="4B193166" w:rsidR="00253210" w:rsidRPr="0064011A" w:rsidRDefault="0064011A" w:rsidP="00697B05">
      <w:pPr>
        <w:jc w:val="both"/>
        <w:rPr>
          <w:rFonts w:ascii="Arial" w:hAnsi="Arial" w:cs="Arial"/>
        </w:rPr>
      </w:pPr>
      <w:r w:rsidRPr="0064011A">
        <w:rPr>
          <w:rFonts w:ascii="Arial" w:hAnsi="Arial" w:cs="Arial"/>
        </w:rPr>
        <w:t>Source:</w:t>
      </w:r>
      <w:r w:rsidRPr="0064011A">
        <w:rPr>
          <w:rFonts w:ascii="Arial" w:hAnsi="Arial" w:cs="Arial"/>
        </w:rPr>
        <w:br/>
      </w:r>
    </w:p>
    <w:p w14:paraId="47EBC96C" w14:textId="3AE05025" w:rsidR="00697B05" w:rsidRPr="00431217" w:rsidRDefault="00697B05" w:rsidP="00697B05">
      <w:pPr>
        <w:jc w:val="both"/>
        <w:rPr>
          <w:rFonts w:ascii="Arial" w:hAnsi="Arial" w:cs="Arial"/>
          <w:lang w:val="nl-NL"/>
        </w:rPr>
      </w:pPr>
      <w:r w:rsidRPr="00D22422">
        <w:rPr>
          <w:rFonts w:ascii="Arial" w:hAnsi="Arial" w:cs="Arial"/>
        </w:rPr>
        <w:t xml:space="preserve">Table </w:t>
      </w:r>
      <w:r w:rsidR="0074216E">
        <w:rPr>
          <w:rFonts w:ascii="Arial" w:hAnsi="Arial" w:cs="Arial"/>
        </w:rPr>
        <w:t>4</w:t>
      </w:r>
      <w:r w:rsidRPr="00D22422">
        <w:rPr>
          <w:rFonts w:ascii="Arial" w:hAnsi="Arial" w:cs="Arial"/>
        </w:rPr>
        <w:t xml:space="preserve"> </w:t>
      </w:r>
      <w:r w:rsidR="00582AE5" w:rsidRPr="00582AE5">
        <w:rPr>
          <w:rFonts w:ascii="Arial" w:hAnsi="Arial" w:cs="Arial"/>
        </w:rPr>
        <w:t>p</w:t>
      </w:r>
      <w:r w:rsidR="00582AE5">
        <w:rPr>
          <w:rFonts w:ascii="Arial" w:hAnsi="Arial" w:cs="Arial"/>
        </w:rPr>
        <w:t>rovides</w:t>
      </w:r>
      <w:r w:rsidR="00582AE5" w:rsidRPr="00582AE5">
        <w:rPr>
          <w:rFonts w:ascii="Arial" w:hAnsi="Arial" w:cs="Arial"/>
        </w:rPr>
        <w:t xml:space="preserve"> the results of the </w:t>
      </w:r>
      <w:r w:rsidR="00582AE5">
        <w:rPr>
          <w:rFonts w:ascii="Arial" w:hAnsi="Arial" w:cs="Arial"/>
        </w:rPr>
        <w:t xml:space="preserve">robust </w:t>
      </w:r>
      <w:r w:rsidR="00582AE5" w:rsidRPr="00582AE5">
        <w:rPr>
          <w:rFonts w:ascii="Arial" w:hAnsi="Arial" w:cs="Arial"/>
        </w:rPr>
        <w:t>TAR model, with economic growth as the dependent variable and inflation as the threshold variable</w:t>
      </w:r>
      <w:r w:rsidR="00582AE5">
        <w:rPr>
          <w:rFonts w:ascii="Arial" w:hAnsi="Arial" w:cs="Arial"/>
        </w:rPr>
        <w:t xml:space="preserve">. </w:t>
      </w:r>
      <w:r w:rsidR="00D22422">
        <w:rPr>
          <w:rFonts w:ascii="Arial" w:hAnsi="Arial" w:cs="Arial"/>
        </w:rPr>
        <w:t xml:space="preserve">Whilst the </w:t>
      </w:r>
      <w:r w:rsidR="00582AE5">
        <w:rPr>
          <w:rFonts w:ascii="Arial" w:hAnsi="Arial" w:cs="Arial"/>
        </w:rPr>
        <w:t xml:space="preserve">primary </w:t>
      </w:r>
      <w:r w:rsidR="00D22422">
        <w:rPr>
          <w:rFonts w:ascii="Arial" w:hAnsi="Arial" w:cs="Arial"/>
        </w:rPr>
        <w:t>motivation is to estimate the inflation threshold, gross fixed c</w:t>
      </w:r>
      <w:r w:rsidRPr="00D22422">
        <w:rPr>
          <w:rFonts w:ascii="Arial" w:hAnsi="Arial" w:cs="Arial"/>
        </w:rPr>
        <w:t xml:space="preserve">apital formation growth and population growth are included </w:t>
      </w:r>
      <w:r w:rsidR="00D22422">
        <w:rPr>
          <w:rFonts w:ascii="Arial" w:hAnsi="Arial" w:cs="Arial"/>
        </w:rPr>
        <w:t>in</w:t>
      </w:r>
      <w:r w:rsidRPr="00D22422">
        <w:rPr>
          <w:rFonts w:ascii="Arial" w:hAnsi="Arial" w:cs="Arial"/>
        </w:rPr>
        <w:t xml:space="preserve"> the empirical model as control variables. The estimated threshold </w:t>
      </w:r>
      <w:r w:rsidR="00582AE5">
        <w:rPr>
          <w:rFonts w:ascii="Arial" w:hAnsi="Arial" w:cs="Arial"/>
        </w:rPr>
        <w:t>for</w:t>
      </w:r>
      <w:r w:rsidRPr="00D22422">
        <w:rPr>
          <w:rFonts w:ascii="Arial" w:hAnsi="Arial" w:cs="Arial"/>
        </w:rPr>
        <w:t xml:space="preserve"> inflation</w:t>
      </w:r>
      <w:r w:rsidR="00582AE5">
        <w:rPr>
          <w:rFonts w:ascii="Arial" w:hAnsi="Arial" w:cs="Arial"/>
        </w:rPr>
        <w:t>–growth nexus</w:t>
      </w:r>
      <w:r w:rsidRPr="00D22422">
        <w:rPr>
          <w:rFonts w:ascii="Arial" w:hAnsi="Arial" w:cs="Arial"/>
        </w:rPr>
        <w:t xml:space="preserve"> is </w:t>
      </w:r>
      <w:r w:rsidR="00582AE5" w:rsidRPr="00705AAE">
        <w:rPr>
          <w:rFonts w:ascii="Arial" w:hAnsi="Arial" w:cs="Arial"/>
        </w:rPr>
        <w:t>3.8</w:t>
      </w:r>
      <w:r w:rsidR="00582AE5">
        <w:rPr>
          <w:rFonts w:ascii="Arial" w:hAnsi="Arial" w:cs="Arial"/>
        </w:rPr>
        <w:t>2</w:t>
      </w:r>
      <w:r w:rsidR="00582AE5" w:rsidRPr="00705AAE">
        <w:rPr>
          <w:rFonts w:ascii="Arial" w:hAnsi="Arial" w:cs="Arial"/>
        </w:rPr>
        <w:t xml:space="preserve"> </w:t>
      </w:r>
      <w:r w:rsidR="00EF21E2">
        <w:rPr>
          <w:rFonts w:ascii="Arial" w:hAnsi="Arial" w:cs="Arial"/>
        </w:rPr>
        <w:t>percent</w:t>
      </w:r>
      <w:r w:rsidRPr="00D22422">
        <w:rPr>
          <w:rFonts w:ascii="Arial" w:hAnsi="Arial" w:cs="Arial"/>
        </w:rPr>
        <w:t>, dividing the sample into two regimes.</w:t>
      </w:r>
      <w:r w:rsidR="00D22422">
        <w:rPr>
          <w:rFonts w:ascii="Arial" w:hAnsi="Arial" w:cs="Arial"/>
        </w:rPr>
        <w:t xml:space="preserve"> </w:t>
      </w:r>
      <w:r w:rsidR="00C601F0" w:rsidRPr="00C601F0">
        <w:rPr>
          <w:rFonts w:ascii="Arial" w:hAnsi="Arial" w:cs="Arial"/>
        </w:rPr>
        <w:t>The observed non-linear nexus between inflation and economic growth aligns with evidence reported in earlier research</w:t>
      </w:r>
      <w:r w:rsidR="00C601F0">
        <w:rPr>
          <w:rFonts w:ascii="Arial" w:hAnsi="Arial" w:cs="Arial"/>
        </w:rPr>
        <w:t xml:space="preserve"> </w:t>
      </w:r>
      <w:r w:rsidR="00431217">
        <w:rPr>
          <w:rFonts w:ascii="Arial" w:hAnsi="Arial" w:cs="Arial"/>
        </w:rPr>
        <w:fldChar w:fldCharType="begin" w:fldLock="1"/>
      </w:r>
      <w:r w:rsidR="00431217">
        <w:rPr>
          <w:rFonts w:ascii="Arial" w:hAnsi="Arial" w:cs="Arial"/>
        </w:rPr>
        <w:instrText>ADDIN CSL_CITATION {"citationItems":[{"id":"ITEM-1","itemData":{"DOI":"10.1186/s40008-024-00336-z","ISSN":"2193-2409","abstract":"Contradictory to conventional economic theory, which foresees any increase in the size of government as inflationary, this article provides evidence that the reaction of price levels to changes in the size of government is nonlinear. The price levels do not necessarily increase in response to a rise in the size of the government but only up to a certain threshold or optimal level. Accordingly, this paper utilizes the dynamic panel threshold model to examine the threshold effects of government size (measured as government final consumption expenditure as a proportion of GDP) on inflation using a sample of 10 selected MENA countries from 1980 to 2019. The findings of this study stand out in several ways. First, the results support the nonlinear relationship between government size and inflation in the study area. Second, the government size’s estimated threshold level is equivalent to 12.46%. Third, gov</w:instrText>
      </w:r>
      <w:r w:rsidR="00431217" w:rsidRPr="00C601F0">
        <w:rPr>
          <w:rFonts w:ascii="Arial" w:hAnsi="Arial" w:cs="Arial"/>
        </w:rPr>
        <w:instrText>ernment size negatively impacts inflation in the regime of small governments up to the threshold level. The impact turns positive once the government size goes beyond the threshold level in a regime of large size of government. These findings have ramifications for the conduct of fiscal policy. Policymakers in the MENA region can increase the size of government till it reaches the threshold level without exerting any upward pressure on price levels.","author":[{"dropping-particle":"","family":"Tariq","given":"Asif","non-dropping-particle":"","parse-names":false,"suffix":""},{"dropping-particle":"","family":"Amin","given":"Aadil","non-dropping-particle":"","parse-names":false,"suffix":""},{"dropping-particle":"","family":"Ahmad","given":"Masroor","non-dropping-particle":"","parse-names":false,"suffix":""}],"container-title":"Journal of Economic Structures","id":"ITEM-1","issue":"1","issued":{"date-parts":[["2024"]]},"page":"14","title":"Deciphering the non-linear nexus between government size and inflation in MENA countries: an application of dynamic-panel threshold model","type":"article-journal","volume":"13"},"uris":["http://www.mendeley.com/documents/?uuid=2f7d7858-f314-49b1-94e5-506eed2820d3"]}],"mendeley":{"formattedCitation":"(Tariq et al., 2024)","plainTextFormattedCitation":"(Tariq et al., 2024)","previouslyFormattedCitation":"(Tariq et al., 2024)"},"properties":{"noteInde</w:instrText>
      </w:r>
      <w:r w:rsidR="00431217" w:rsidRPr="00431217">
        <w:rPr>
          <w:rFonts w:ascii="Arial" w:hAnsi="Arial" w:cs="Arial"/>
          <w:lang w:val="nl-NL"/>
        </w:rPr>
        <w:instrText>x":0},"schema":"https://github.com/citation-style-language/schema/raw/master/csl-citation.json"}</w:instrText>
      </w:r>
      <w:r w:rsidR="00431217">
        <w:rPr>
          <w:rFonts w:ascii="Arial" w:hAnsi="Arial" w:cs="Arial"/>
        </w:rPr>
        <w:fldChar w:fldCharType="separate"/>
      </w:r>
      <w:r w:rsidR="00431217" w:rsidRPr="00431217">
        <w:rPr>
          <w:rFonts w:ascii="Arial" w:hAnsi="Arial" w:cs="Arial"/>
          <w:noProof/>
          <w:lang w:val="nl-NL"/>
        </w:rPr>
        <w:t>(Tariq et al., 2024</w:t>
      </w:r>
      <w:r w:rsidR="00431217">
        <w:rPr>
          <w:rFonts w:ascii="Arial" w:hAnsi="Arial" w:cs="Arial"/>
        </w:rPr>
        <w:fldChar w:fldCharType="end"/>
      </w:r>
      <w:r w:rsidR="00C601F0">
        <w:rPr>
          <w:rFonts w:ascii="Arial" w:hAnsi="Arial" w:cs="Arial"/>
        </w:rPr>
        <w:t xml:space="preserve">; </w:t>
      </w:r>
      <w:r w:rsidR="00431217">
        <w:rPr>
          <w:rFonts w:ascii="Arial" w:hAnsi="Arial" w:cs="Arial"/>
        </w:rPr>
        <w:fldChar w:fldCharType="begin" w:fldLock="1"/>
      </w:r>
      <w:r w:rsidR="00C601F0">
        <w:rPr>
          <w:rFonts w:ascii="Arial" w:hAnsi="Arial" w:cs="Arial"/>
          <w:lang w:val="nl-NL"/>
        </w:rPr>
        <w:instrText>ADDIN CSL_CITATION {"citationItems":[{"id":"ITEM-1","itemData":{"DOI":"10.1007/978-3-319-46702-3_19","ISBN":"978-3-319-46702-3","abstract":"This chapter explores the inflation thresholds beyond which inflation exerts negative effects on the growth–finance nexus. We use a number of econometric techniques to establish the inflation thresholds and test their robustness. The results from various techniques used in the chapter establish the inflation threshold that exerts negative effects in the finance–growth nexus to lie within a range of 4–5 per cent. When inflation is above this threshold range, it exerts a negative effect on the finance–growth nexus. The results are not only robust to the econometric technique used but are statistically significant across various specifications.","author":[{"dropping-particle":"","family":"Ndou","given":"Eliphas","non-dropping-particle":"","parse-names":false,"suffix":""},{"dropping-particle":"","family":"Gumata","given":"Nombulelo","non-dropping-particle":"","parse-names":false,"suffix":""}],"editor":[{"dropping-particle":"","family":"Ndou","given":"Eliphas","non-dropping-particle":"","parse-names":false,"suffix":""},{"dropping-particle":"","family":"Gumata","given":"Nombulelo","non-dropping-particle":"","parse-names":false,"suffix":""}],"id":"ITEM-1","issued":{"date-parts":[["2017"]]},"page":"273-291","publisher":"Springer International Publishing","publisher-place":"Cham","title":"The Inflation–Finance–Growth Nexus: Where Does the Inflation Threshold Lie? BT  - Inflation Dynamics in South Africa: The Role of Thresholds, Exchange Rate Pass-through and Inflation Expectations on Policy Trade-offs","type":"chapter"},"uris":["http://www.mendeley.com/documents/?uuid=d1b883f2-b5df-429e-aaad-0a92ed1c1edb"]}],"mendeley":{"formattedCitation":"(Ndou &amp; Gumata, 2017)","manualFormatting":"Ndou &amp; Gumata, 2017","plainTextFormattedCitation":"(Ndou &amp; Gumata, 2017)","previouslyFormattedCitation":"(Ndou &amp; Gumata, 2017)"},"properties":{"noteIndex":0},"schema":"https://github.com/citation-style-language/schema/raw/master/csl-citation.json"}</w:instrText>
      </w:r>
      <w:r w:rsidR="00431217">
        <w:rPr>
          <w:rFonts w:ascii="Arial" w:hAnsi="Arial" w:cs="Arial"/>
        </w:rPr>
        <w:fldChar w:fldCharType="separate"/>
      </w:r>
      <w:r w:rsidR="00431217" w:rsidRPr="00431217">
        <w:rPr>
          <w:rFonts w:ascii="Arial" w:hAnsi="Arial" w:cs="Arial"/>
          <w:noProof/>
          <w:lang w:val="nl-NL"/>
        </w:rPr>
        <w:t>Ndou &amp; Gumata, 2017</w:t>
      </w:r>
      <w:r w:rsidR="00431217">
        <w:rPr>
          <w:rFonts w:ascii="Arial" w:hAnsi="Arial" w:cs="Arial"/>
        </w:rPr>
        <w:fldChar w:fldCharType="end"/>
      </w:r>
      <w:r w:rsidR="00C601F0">
        <w:rPr>
          <w:rFonts w:ascii="Arial" w:hAnsi="Arial" w:cs="Arial"/>
        </w:rPr>
        <w:t xml:space="preserve">; </w:t>
      </w:r>
      <w:r w:rsidR="00431217">
        <w:rPr>
          <w:rFonts w:ascii="Arial" w:hAnsi="Arial" w:cs="Arial"/>
        </w:rPr>
        <w:fldChar w:fldCharType="begin" w:fldLock="1"/>
      </w:r>
      <w:r w:rsidR="00C601F0">
        <w:rPr>
          <w:rFonts w:ascii="Arial" w:hAnsi="Arial" w:cs="Arial"/>
        </w:rPr>
        <w:instrText>ADDIN CSL_CITATION {"citationItems":[{"id":"ITEM-1","itemData":{"DOI":"10.58709/niujss.v9i3.1711","ISSN":"30071682","abstract":"The relationship between inflation and economic growth has been a subject of enduring interest and debate in the field of economics. This study revisits the inflation and growth nexus in Nigeria, with a particular emphasis on the threshold effect – a non-linear phenomenon positing that the impact of inflation on growth varies depending on the level of inflation. Specifically, the study examines the threshold effect of inflation on growth in Nigeria using secondary data from 1986 to 2022, and employs two-regime threshold autoregressive regression modelling. The findings show that the pattern of relationship between inflation and growth is indeed nonlinear and conditional on certain levels of inflation rate. Findings reveal that the optimal threshold for inflation rate is 15.7%. Below the identified threshold, moderate inflation was associated with growth stimulation through mechanisms like reduced real interest rates and increased investment. However, beyond this threshold level (15.7%), the negative effects of inflation became pronounced, hindering economic growth in Nigeria. The findings of this study have several implications for Nigeria's monetary and fiscal policies, offering guidance on how to maintain inflation within a growth-stimulating range. Additionally, businesses and investors operating in Nigeria will gain insights into adapting their strategies to mitigate risks and capitalize on opportunities arising from varying inflation levels. Ultimately, this study contributes to the ongoing discourse on the inflation and growth nexus, providing valuable insights for policymakers navigating Nigeria's economic landscape about the threshold effect of inflation and its financial and practical implications for Nigeria's economic stability and growth prospects. Keywords: Economic growth; Inflation; Threshold analysis; Nigeria.","author":[{"dropping-particle":"","family":"Adeyemi","given":"Oluwole","non-dropping-particle":"","parse-names":false,"suffix":""},{"dropping-particle":"","family":"Afolabi","given":"Adegboyega","non-dropping-particle":"","parse-names":false,"suffix":""},{"dropping-particle":"","family":"Olawumi","given":"Adekunle","non-dropping-particle":"","parse-names":false,"suffix":""},{"dropping-particle":"","family":"Okunade","given":"Solomon","non-dropping-particle":"","parse-names":false,"suffix":""}],"container-title":"NIU Journal of Social Sciences","id":"ITEM-1","issue":"3","issued":{"date-parts":[["2023"]]},"page":"59-67","title":"Inflation and Growth Nexus Re-visited: Financial and Practical Implications of the Threshold Effect in Nigeria","type":"article-journal","volume":"9"},"uris":["http://www.mendeley.com/documents/?uuid=72c40e3e-02dd-401b-bdec-4fca3ff1a41a"]}],"mendeley":{"formattedCitation":"(Adeyemi et al., 2023)","manualFormatting":"Adeyemi et al., 2023)","plainTextFormattedCitation":"(Adeyemi et al., 2023)","previouslyFormattedCitation":"(Adeyemi et al., 2023)"},"properties":{"noteIndex":0},"schema":"https://github.com/citation-style-language/schema/raw/master/csl-citation.json"}</w:instrText>
      </w:r>
      <w:r w:rsidR="00431217">
        <w:rPr>
          <w:rFonts w:ascii="Arial" w:hAnsi="Arial" w:cs="Arial"/>
        </w:rPr>
        <w:fldChar w:fldCharType="separate"/>
      </w:r>
      <w:r w:rsidR="00431217" w:rsidRPr="00431217">
        <w:rPr>
          <w:rFonts w:ascii="Arial" w:hAnsi="Arial" w:cs="Arial"/>
          <w:noProof/>
        </w:rPr>
        <w:t>Adeyemi et al., 2023)</w:t>
      </w:r>
      <w:r w:rsidR="00431217">
        <w:rPr>
          <w:rFonts w:ascii="Arial" w:hAnsi="Arial" w:cs="Arial"/>
        </w:rPr>
        <w:fldChar w:fldCharType="end"/>
      </w:r>
    </w:p>
    <w:p w14:paraId="1E65F108" w14:textId="77777777" w:rsidR="00D22422" w:rsidRPr="00431217" w:rsidRDefault="00D22422" w:rsidP="00697B05">
      <w:pPr>
        <w:jc w:val="both"/>
        <w:rPr>
          <w:rFonts w:ascii="Arial" w:hAnsi="Arial" w:cs="Arial"/>
          <w:lang w:val="nl-NL"/>
        </w:rPr>
      </w:pPr>
    </w:p>
    <w:p w14:paraId="7EFA9A82" w14:textId="77BC67CA" w:rsidR="00705AAE" w:rsidRPr="00431217" w:rsidRDefault="00705AAE" w:rsidP="00582AE5">
      <w:pPr>
        <w:jc w:val="both"/>
        <w:rPr>
          <w:rFonts w:ascii="Arial" w:hAnsi="Arial" w:cs="Arial"/>
          <w:lang w:val="nl-NL"/>
        </w:rPr>
      </w:pPr>
      <w:r w:rsidRPr="00431217">
        <w:rPr>
          <w:rFonts w:ascii="Arial" w:hAnsi="Arial" w:cs="Arial"/>
          <w:lang w:val="nl-NL"/>
        </w:rPr>
        <w:t xml:space="preserve">The estimation results identify two distinct regimes: a low-inflation regime (INF &lt; 3.82 percent, comprising 5 observations) and a high-inflation regime (INF ≥ 3.82 percent, comprising 29 observations). </w:t>
      </w:r>
      <w:r w:rsidR="00582AE5" w:rsidRPr="00431217">
        <w:rPr>
          <w:rFonts w:ascii="Arial" w:hAnsi="Arial" w:cs="Arial"/>
          <w:lang w:val="nl-NL"/>
        </w:rPr>
        <w:t>In the low-inflation regime, inflation exhibits a negative association with GDP growth; however, this relationship is statistically insignificant. This finding indicates that, at relatively low inflation levels, the impact of price increases on economic growth is essentially neutral.</w:t>
      </w:r>
    </w:p>
    <w:p w14:paraId="493D5997" w14:textId="77777777" w:rsidR="00582AE5" w:rsidRPr="00431217" w:rsidRDefault="00582AE5" w:rsidP="00582AE5">
      <w:pPr>
        <w:jc w:val="both"/>
        <w:rPr>
          <w:rFonts w:ascii="Arial" w:hAnsi="Arial" w:cs="Arial"/>
          <w:lang w:val="nl-NL"/>
        </w:rPr>
      </w:pPr>
    </w:p>
    <w:p w14:paraId="49A27ED8" w14:textId="0106A387" w:rsidR="00D22422" w:rsidRPr="00431217" w:rsidRDefault="00705AAE" w:rsidP="00697B05">
      <w:pPr>
        <w:jc w:val="both"/>
        <w:rPr>
          <w:rFonts w:ascii="Arial" w:hAnsi="Arial" w:cs="Arial"/>
          <w:lang w:val="nl-NL"/>
        </w:rPr>
      </w:pPr>
      <w:r w:rsidRPr="00431217">
        <w:rPr>
          <w:rFonts w:ascii="Arial" w:hAnsi="Arial" w:cs="Arial"/>
          <w:lang w:val="nl-NL"/>
        </w:rPr>
        <w:t>Another key finding indicates that the growth of capital formation has a positive and statistically significant impact on GDP growth at the 1 percent level. The estimated coefficient of 0.8018 implies that a 1 percent increase in capital formation growth results in a 0.80 percent rise in economic growth. Population growth likewise demonstrates a positive and significant effect on GDP growth at the 1 percent level, as reflected by the estimated coefficient of 1.7449, indicating that a 1 percent increase in the working-age population (15–64 years) contributes to a 1.74 percent increase in economic growth. Accordingly, it can be concluded that both capital formation and the expansion of the working-age population serve as critical drivers of economic growth within the low-inflation regime.</w:t>
      </w:r>
    </w:p>
    <w:p w14:paraId="496C87CC" w14:textId="77777777" w:rsidR="0064011A" w:rsidRPr="00431217" w:rsidRDefault="0064011A" w:rsidP="00697B05">
      <w:pPr>
        <w:jc w:val="both"/>
        <w:rPr>
          <w:rFonts w:ascii="Arial" w:hAnsi="Arial" w:cs="Arial"/>
          <w:lang w:val="nl-NL"/>
        </w:rPr>
      </w:pPr>
    </w:p>
    <w:p w14:paraId="57A36C19" w14:textId="22638F8B" w:rsidR="00B735C3" w:rsidRDefault="00B735C3" w:rsidP="00697B05">
      <w:pPr>
        <w:jc w:val="both"/>
        <w:rPr>
          <w:rFonts w:ascii="Arial" w:hAnsi="Arial" w:cs="Arial"/>
        </w:rPr>
      </w:pPr>
      <w:r w:rsidRPr="00431217">
        <w:rPr>
          <w:rFonts w:ascii="Arial" w:hAnsi="Arial" w:cs="Arial"/>
          <w:lang w:val="nl-NL"/>
        </w:rPr>
        <w:t>Within the high-inflation regime, gross fixed capital formation continues to exert a positive and statistically significant influence on GDP growth. The estimated coefficient of 0.2232 ind</w:t>
      </w:r>
      <w:proofErr w:type="spellStart"/>
      <w:r w:rsidRPr="00B735C3">
        <w:rPr>
          <w:rFonts w:ascii="Arial" w:hAnsi="Arial" w:cs="Arial"/>
        </w:rPr>
        <w:t>icates</w:t>
      </w:r>
      <w:proofErr w:type="spellEnd"/>
      <w:r w:rsidRPr="00B735C3">
        <w:rPr>
          <w:rFonts w:ascii="Arial" w:hAnsi="Arial" w:cs="Arial"/>
        </w:rPr>
        <w:t xml:space="preserve"> that the elasticity of capital formation is smaller relative to that observed in the low-inflation regime. Population growth likewise maintains a positive and significant effect on GDP growth, as evidenced by the coefficient of 4.118 at the 1 percent significance level. Consequently, these results suggest that capital formation and population growth persist as fundamental drivers of economic growth even under high-inflation conditions</w:t>
      </w:r>
      <w:r w:rsidR="00431217">
        <w:rPr>
          <w:rFonts w:ascii="Arial" w:hAnsi="Arial" w:cs="Arial"/>
        </w:rPr>
        <w:t xml:space="preserve">. </w:t>
      </w:r>
      <w:r w:rsidR="00C601F0" w:rsidRPr="00C601F0">
        <w:rPr>
          <w:rFonts w:ascii="Arial" w:hAnsi="Arial" w:cs="Arial"/>
        </w:rPr>
        <w:t>The positive contribution of capital formation and the expansion of the working-age population is consistent with findings from previous studies</w:t>
      </w:r>
      <w:r w:rsidR="00C601F0">
        <w:rPr>
          <w:rFonts w:ascii="Arial" w:hAnsi="Arial" w:cs="Arial"/>
        </w:rPr>
        <w:t xml:space="preserve"> </w:t>
      </w:r>
      <w:r w:rsidR="00C601F0">
        <w:rPr>
          <w:rFonts w:ascii="Arial" w:hAnsi="Arial" w:cs="Arial"/>
        </w:rPr>
        <w:fldChar w:fldCharType="begin" w:fldLock="1"/>
      </w:r>
      <w:r w:rsidR="00C601F0">
        <w:rPr>
          <w:rFonts w:ascii="Arial" w:hAnsi="Arial" w:cs="Arial"/>
        </w:rPr>
        <w:instrText>ADDIN CSL_CITATION {"citationItems":[{"id":"ITEM-1","itemData":{"DOI":"10.3390/su11226301","ISSN":"20711050","abstract":"Taiwan's population is aging at a fast pace, and its aged society is expected to transition into a hyper-aged society within eight years. Population aging has been a matter of international concern; however, there remain differing views about its economic impact. Thus, this study aims to examine the impact of population and workforce aging on Taiwan using quarterly data from 1981-2017. The empirical results demonstrate that an aging workforce has a significantly positive impact on the rate of economic growth. However, the old-age dependency ratio has a significantly negative effect on economic growth. The empirical findings indicate that human capital is essential for total factor productivity (TFP) growth and that workforce and population aging mainly impact productivity through TFP. Accounting for policy factors, increasing the supply of the eldercare workforce and foreign manpower contribute toward countering the negative impact of an aging population on national economic growth. Policies on retirement, pension systems, health care, and human capital accumulation that target the aged population are discussed, accompanied by policy suggestions.","author":[{"dropping-particle":"","family":"Huang","given":"Wen Hsin","non-dropping-particle":"","parse-names":false,"suffix":""},{"dropping-particle":"","family":"Lin","given":"Yen Ju","non-dropping-particle":"","parse-names":false,"suffix":""},{"dropping-particle":"","family":"Lee","given":"Hsien Feng","non-dropping-particle":"","parse-names":false,"suffix":""}],"container-title":"Sustainability (Switzerland)","id":"ITEM-1","issue":"22","issued":{"date-parts":[["2019"]]},"page":"1-13","title":"Impact of population and workforce aging on economic growth: Case study of Taiwan","type":"article-journal","volume":"11"},"uris":["http://www.mendeley.com/documents/?uuid=8d9640fe-3356-4ff6-baec-c61a2f732625"]}],"mendeley":{"formattedCitation":"(Huang et al., 2019)","plainTextFormattedCitation":"(Huang et al., 2019)","previouslyFormattedCitation":"(Huang et al., 2019)"},"properties":{"noteIndex":0},"schema":"https://github.com/citation-style-language/schema/raw/master/csl-citation.json"}</w:instrText>
      </w:r>
      <w:r w:rsidR="00C601F0">
        <w:rPr>
          <w:rFonts w:ascii="Arial" w:hAnsi="Arial" w:cs="Arial"/>
        </w:rPr>
        <w:fldChar w:fldCharType="separate"/>
      </w:r>
      <w:r w:rsidR="00C601F0" w:rsidRPr="00C601F0">
        <w:rPr>
          <w:rFonts w:ascii="Arial" w:hAnsi="Arial" w:cs="Arial"/>
          <w:noProof/>
        </w:rPr>
        <w:t>(Huang et al., 2019</w:t>
      </w:r>
      <w:r w:rsidR="00C601F0">
        <w:rPr>
          <w:rFonts w:ascii="Arial" w:hAnsi="Arial" w:cs="Arial"/>
        </w:rPr>
        <w:fldChar w:fldCharType="end"/>
      </w:r>
      <w:r w:rsidR="00C601F0">
        <w:rPr>
          <w:rFonts w:ascii="Arial" w:hAnsi="Arial" w:cs="Arial"/>
        </w:rPr>
        <w:t xml:space="preserve">; </w:t>
      </w:r>
      <w:r w:rsidR="00C601F0">
        <w:rPr>
          <w:rFonts w:ascii="Arial" w:hAnsi="Arial" w:cs="Arial"/>
        </w:rPr>
        <w:fldChar w:fldCharType="begin" w:fldLock="1"/>
      </w:r>
      <w:r w:rsidR="00C601F0">
        <w:rPr>
          <w:rFonts w:ascii="Arial" w:hAnsi="Arial" w:cs="Arial"/>
        </w:rPr>
        <w:instrText>ADDIN CSL_CITATION {"citationItems":[{"id":"ITEM-1","itemData":{"ISSN":"2522-3186","abstract":"Purpose: The purpose of this paper is to examine the effect of Gross Fixed Capital Formation on economic expansion of East African Community Countries. Design/Methodology: The research employed Panel longitudinal, cross sectional and correlational design study period from 2000 to 2022. The study subjected panel data from six (6) EAC member states to pooled OLS Estimation. Findings: The study found that the rate of economic growth was influenced by the rate of gross fixed capital formation. The acquisition of capital assets such as roads, railways, schools, hospitals, machinery, plants, and new businesses greatly influenced the rate of economic growth of the EAC member's states. Originality/Value: This study provides more knowledge on how EAC members' states can rely on the study findings to leverage on gross fixed capital formation to build their economic growth. Implication to Policy: The study implications are that use joint policy on favorable tariffs on capital investments to boost the economic growth of the EAC bloc.","author":[{"dropping-particle":"","family":"Nyajure Achar","given":"Peter","non-dropping-particle":"","parse-names":false,"suffix":""},{"dropping-particle":"","family":"Odhiambo Luther","given":"Otieno","non-dropping-particle":"","parse-names":false,"suffix":""},{"dropping-particle":"","family":"Herick Ochieng","given":"Ondigo","non-dropping-particle":"","parse-names":false,"suffix":""},{"dropping-particle":"","family":"Martine Odhiambo","given":"Oleche","non-dropping-particle":"","parse-names":false,"suffix":""}],"container-title":"African Development Finance Journal","id":"ITEM-1","issue":"6","issued":{"date-parts":[["2024"]]},"page":"2024-2053","title":"Gross Fixed Capital Formation and Economic Growth in East Africa Community States","type":"article-journal","volume":"7"},"uris":["http://www.mendeley.com/documents/?uuid=2b338c9f-c0ad-4040-bb24-4348ef3da2ef"]}],"mendeley":{"formattedCitation":"(Nyajure Achar et al., 2024)","manualFormatting":"Nyajure Achar et al., 2024","plainTextFormattedCitation":"(Nyajure Achar et al., 2024)","previouslyFormattedCitation":"(Nyajure Achar et al., 2024)"},"properties":{"noteIndex":0},"schema":"https://github.com/citation-style-language/schema/raw/master/csl-citation.json"}</w:instrText>
      </w:r>
      <w:r w:rsidR="00C601F0">
        <w:rPr>
          <w:rFonts w:ascii="Arial" w:hAnsi="Arial" w:cs="Arial"/>
        </w:rPr>
        <w:fldChar w:fldCharType="separate"/>
      </w:r>
      <w:r w:rsidR="00C601F0" w:rsidRPr="00C601F0">
        <w:rPr>
          <w:rFonts w:ascii="Arial" w:hAnsi="Arial" w:cs="Arial"/>
          <w:noProof/>
        </w:rPr>
        <w:t>Nyajure Achar et al., 2024</w:t>
      </w:r>
      <w:r w:rsidR="00C601F0">
        <w:rPr>
          <w:rFonts w:ascii="Arial" w:hAnsi="Arial" w:cs="Arial"/>
        </w:rPr>
        <w:fldChar w:fldCharType="end"/>
      </w:r>
      <w:r w:rsidR="00C601F0">
        <w:rPr>
          <w:rFonts w:ascii="Arial" w:hAnsi="Arial" w:cs="Arial"/>
        </w:rPr>
        <w:t xml:space="preserve">; </w:t>
      </w:r>
      <w:r w:rsidR="00C601F0">
        <w:rPr>
          <w:rFonts w:ascii="Arial" w:hAnsi="Arial" w:cs="Arial"/>
        </w:rPr>
        <w:fldChar w:fldCharType="begin" w:fldLock="1"/>
      </w:r>
      <w:r w:rsidR="00C601F0">
        <w:rPr>
          <w:rFonts w:ascii="Arial" w:hAnsi="Arial" w:cs="Arial"/>
        </w:rPr>
        <w:instrText>ADDIN CSL_CITATION {"citationItems":[{"id":"ITEM-1","itemData":{"author":[{"dropping-particle":"","family":"Boamah","given":"John","non-dropping-particle":"","parse-names":false,"suffix":""},{"dropping-particle":"","family":"Adongo","given":"Felix","non-dropping-particle":"","parse-names":false,"suffix":""},{"dropping-particle":"","family":"Essieku","given":"Richmond","non-dropping-particle":"","parse-names":false,"suffix":""},{"dropping-particle":"","family":"Lewis","given":"John","non-dropping-particle":"","parse-names":false,"suffix":""},{"dropping-particle":"","family":"Yanan","given":"Wang","non-dropping-particle":"","parse-names":false,"suffix":""}],"container-title":"International Journal of Scientific and Education Research","id":"ITEM-1","issue":"04","issued":{"date-parts":[["2018"]]},"page":"120-130","title":"Financial Depth, Gross Capital Formation and Economic Growth: Empirical Analysis of 18 Asian Economies","type":"article-journal","volume":"2"},"uris":["http://www.mendeley.com/documents/?uuid=fdaf5300-26d0-4a97-a393-0bc9b209b34d"]}],"mendeley":{"formattedCitation":"(Boamah et al., 2018)","manualFormatting":"Boamah et al., 2018)","plainTextFormattedCitation":"(Boamah et al., 2018)"},"properties":{"noteIndex":0},"schema":"https://github.com/citation-style-language/schema/raw/master/csl-citation.json"}</w:instrText>
      </w:r>
      <w:r w:rsidR="00C601F0">
        <w:rPr>
          <w:rFonts w:ascii="Arial" w:hAnsi="Arial" w:cs="Arial"/>
        </w:rPr>
        <w:fldChar w:fldCharType="separate"/>
      </w:r>
      <w:r w:rsidR="00C601F0" w:rsidRPr="00C601F0">
        <w:rPr>
          <w:rFonts w:ascii="Arial" w:hAnsi="Arial" w:cs="Arial"/>
          <w:noProof/>
        </w:rPr>
        <w:t>Boamah et al., 2018)</w:t>
      </w:r>
      <w:r w:rsidR="00C601F0">
        <w:rPr>
          <w:rFonts w:ascii="Arial" w:hAnsi="Arial" w:cs="Arial"/>
        </w:rPr>
        <w:fldChar w:fldCharType="end"/>
      </w:r>
      <w:r w:rsidR="00C601F0">
        <w:rPr>
          <w:rFonts w:ascii="Arial" w:hAnsi="Arial" w:cs="Arial"/>
        </w:rPr>
        <w:t>.</w:t>
      </w:r>
    </w:p>
    <w:p w14:paraId="37959D16" w14:textId="77777777" w:rsidR="00B735C3" w:rsidRDefault="00B735C3" w:rsidP="00697B05">
      <w:pPr>
        <w:jc w:val="both"/>
        <w:rPr>
          <w:rFonts w:ascii="Arial" w:hAnsi="Arial" w:cs="Arial"/>
        </w:rPr>
      </w:pPr>
    </w:p>
    <w:p w14:paraId="3535D193" w14:textId="07EC8E6E" w:rsidR="00D22422" w:rsidRDefault="00B735C3" w:rsidP="00697B05">
      <w:pPr>
        <w:jc w:val="both"/>
        <w:rPr>
          <w:rFonts w:ascii="Arial" w:hAnsi="Arial" w:cs="Arial"/>
        </w:rPr>
      </w:pPr>
      <w:r w:rsidRPr="00B735C3">
        <w:rPr>
          <w:rFonts w:ascii="Arial" w:hAnsi="Arial" w:cs="Arial"/>
        </w:rPr>
        <w:lastRenderedPageBreak/>
        <w:t xml:space="preserve">Conversely, inflation exhibits a statistically significant effect on GDP growth at the 1 percent </w:t>
      </w:r>
      <w:r>
        <w:rPr>
          <w:rFonts w:ascii="Arial" w:hAnsi="Arial" w:cs="Arial"/>
        </w:rPr>
        <w:t xml:space="preserve">critical </w:t>
      </w:r>
      <w:r w:rsidRPr="00B735C3">
        <w:rPr>
          <w:rFonts w:ascii="Arial" w:hAnsi="Arial" w:cs="Arial"/>
        </w:rPr>
        <w:t xml:space="preserve">level. This is reflected in the estimated coefficient of –0.162 and the accompanying t-statistic of –6.1918. The magnitude and statistical robustness of this coefficient underscore the harmful influence of elevated inflation on overall macroeconomic performance. </w:t>
      </w:r>
      <w:r>
        <w:rPr>
          <w:rFonts w:ascii="Arial" w:hAnsi="Arial" w:cs="Arial"/>
        </w:rPr>
        <w:t>Therefore, it can be inferred that</w:t>
      </w:r>
      <w:r w:rsidRPr="00B735C3">
        <w:rPr>
          <w:rFonts w:ascii="Arial" w:hAnsi="Arial" w:cs="Arial"/>
        </w:rPr>
        <w:t xml:space="preserve"> once inflation exceeds the identified threshold, it exerts a pronounced and detrimental impact on economic growth.</w:t>
      </w:r>
    </w:p>
    <w:p w14:paraId="6BA1A1F5" w14:textId="77777777" w:rsidR="007C77E8" w:rsidRDefault="007C77E8" w:rsidP="00697B05">
      <w:pPr>
        <w:jc w:val="both"/>
        <w:rPr>
          <w:rFonts w:ascii="Arial" w:hAnsi="Arial" w:cs="Arial"/>
        </w:rPr>
      </w:pPr>
    </w:p>
    <w:p w14:paraId="56DE6AF4" w14:textId="129A9957" w:rsidR="007C77E8" w:rsidRDefault="00582AE5" w:rsidP="00697B05">
      <w:pPr>
        <w:jc w:val="both"/>
        <w:rPr>
          <w:rFonts w:ascii="Arial" w:hAnsi="Arial" w:cs="Arial"/>
        </w:rPr>
      </w:pPr>
      <w:r>
        <w:rPr>
          <w:rFonts w:ascii="Arial" w:hAnsi="Arial" w:cs="Arial"/>
        </w:rPr>
        <w:t xml:space="preserve">Table </w:t>
      </w:r>
      <w:r w:rsidR="0074216E">
        <w:rPr>
          <w:rFonts w:ascii="Arial" w:hAnsi="Arial" w:cs="Arial"/>
        </w:rPr>
        <w:t>5</w:t>
      </w:r>
      <w:r>
        <w:rPr>
          <w:rFonts w:ascii="Arial" w:hAnsi="Arial" w:cs="Arial"/>
        </w:rPr>
        <w:t xml:space="preserve">. </w:t>
      </w:r>
      <w:r w:rsidR="001344BC">
        <w:rPr>
          <w:rFonts w:ascii="Arial" w:hAnsi="Arial" w:cs="Arial"/>
        </w:rPr>
        <w:t>FMOLS estimation</w:t>
      </w:r>
      <w:r w:rsidR="007D74B0">
        <w:rPr>
          <w:rFonts w:ascii="Arial" w:hAnsi="Arial" w:cs="Arial"/>
        </w:rPr>
        <w:t xml:space="preserve"> results</w:t>
      </w:r>
      <w:r w:rsidR="007C77E8">
        <w:rPr>
          <w:rFonts w:ascii="Arial" w:hAnsi="Arial" w:cs="Arial"/>
        </w:rPr>
        <w:t xml:space="preserve"> </w:t>
      </w:r>
    </w:p>
    <w:p w14:paraId="2B2270EA" w14:textId="77777777" w:rsidR="007C77E8" w:rsidRDefault="007C77E8" w:rsidP="00697B05">
      <w:pPr>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1268"/>
        <w:gridCol w:w="1614"/>
        <w:gridCol w:w="1642"/>
        <w:gridCol w:w="1614"/>
      </w:tblGrid>
      <w:tr w:rsidR="00DF2C23" w:rsidRPr="00D22422" w14:paraId="53A99EA7" w14:textId="77777777" w:rsidTr="007D74B0">
        <w:trPr>
          <w:trHeight w:val="197"/>
        </w:trPr>
        <w:tc>
          <w:tcPr>
            <w:tcW w:w="2070" w:type="dxa"/>
            <w:tcBorders>
              <w:top w:val="single" w:sz="4" w:space="0" w:color="000000"/>
              <w:bottom w:val="single" w:sz="4" w:space="0" w:color="000000"/>
            </w:tcBorders>
            <w:vAlign w:val="bottom"/>
          </w:tcPr>
          <w:p w14:paraId="5A9BB16D" w14:textId="77777777" w:rsidR="00DF2C23" w:rsidRPr="001344BC" w:rsidRDefault="00DF2C23" w:rsidP="0016765A">
            <w:pPr>
              <w:jc w:val="both"/>
              <w:rPr>
                <w:rFonts w:ascii="Arial" w:hAnsi="Arial" w:cs="Arial"/>
                <w:sz w:val="20"/>
                <w:szCs w:val="20"/>
              </w:rPr>
            </w:pPr>
          </w:p>
        </w:tc>
        <w:tc>
          <w:tcPr>
            <w:tcW w:w="1268" w:type="dxa"/>
            <w:tcBorders>
              <w:top w:val="single" w:sz="4" w:space="0" w:color="000000"/>
              <w:bottom w:val="single" w:sz="4" w:space="0" w:color="000000"/>
            </w:tcBorders>
            <w:vAlign w:val="bottom"/>
          </w:tcPr>
          <w:p w14:paraId="21F299D0" w14:textId="77777777" w:rsidR="00DF2C23" w:rsidRPr="001344BC" w:rsidRDefault="00DF2C23" w:rsidP="0016765A">
            <w:pPr>
              <w:jc w:val="right"/>
              <w:rPr>
                <w:rFonts w:ascii="Arial" w:hAnsi="Arial" w:cs="Arial"/>
                <w:sz w:val="20"/>
                <w:szCs w:val="20"/>
              </w:rPr>
            </w:pPr>
            <w:r w:rsidRPr="001344BC">
              <w:rPr>
                <w:rFonts w:ascii="Arial" w:eastAsia="Times New Roman" w:hAnsi="Arial" w:cs="Arial"/>
                <w:color w:val="000000"/>
                <w:sz w:val="20"/>
                <w:szCs w:val="20"/>
              </w:rPr>
              <w:t>Coefficient</w:t>
            </w:r>
          </w:p>
        </w:tc>
        <w:tc>
          <w:tcPr>
            <w:tcW w:w="1614" w:type="dxa"/>
            <w:tcBorders>
              <w:top w:val="single" w:sz="4" w:space="0" w:color="000000"/>
              <w:bottom w:val="single" w:sz="4" w:space="0" w:color="000000"/>
            </w:tcBorders>
            <w:vAlign w:val="bottom"/>
          </w:tcPr>
          <w:p w14:paraId="730373A9" w14:textId="77777777" w:rsidR="00DF2C23" w:rsidRPr="001344BC" w:rsidRDefault="00DF2C23" w:rsidP="0016765A">
            <w:pPr>
              <w:jc w:val="right"/>
              <w:rPr>
                <w:rFonts w:ascii="Arial" w:hAnsi="Arial" w:cs="Arial"/>
                <w:sz w:val="20"/>
                <w:szCs w:val="20"/>
              </w:rPr>
            </w:pPr>
            <w:r w:rsidRPr="001344BC">
              <w:rPr>
                <w:rFonts w:ascii="Arial" w:eastAsia="Times New Roman" w:hAnsi="Arial" w:cs="Arial"/>
                <w:color w:val="000000"/>
                <w:sz w:val="20"/>
                <w:szCs w:val="20"/>
              </w:rPr>
              <w:t>Std. Error</w:t>
            </w:r>
          </w:p>
        </w:tc>
        <w:tc>
          <w:tcPr>
            <w:tcW w:w="1642" w:type="dxa"/>
            <w:tcBorders>
              <w:top w:val="single" w:sz="4" w:space="0" w:color="000000"/>
              <w:bottom w:val="single" w:sz="4" w:space="0" w:color="000000"/>
            </w:tcBorders>
            <w:vAlign w:val="bottom"/>
          </w:tcPr>
          <w:p w14:paraId="667915F3" w14:textId="77777777" w:rsidR="00DF2C23" w:rsidRPr="001344BC" w:rsidRDefault="00DF2C23" w:rsidP="0016765A">
            <w:pPr>
              <w:jc w:val="right"/>
              <w:rPr>
                <w:rFonts w:ascii="Arial" w:hAnsi="Arial" w:cs="Arial"/>
                <w:sz w:val="20"/>
                <w:szCs w:val="20"/>
              </w:rPr>
            </w:pPr>
            <w:r w:rsidRPr="001344BC">
              <w:rPr>
                <w:rFonts w:ascii="Arial" w:eastAsia="Times New Roman" w:hAnsi="Arial" w:cs="Arial"/>
                <w:color w:val="000000"/>
                <w:sz w:val="20"/>
                <w:szCs w:val="20"/>
              </w:rPr>
              <w:t>t-Statistic</w:t>
            </w:r>
          </w:p>
        </w:tc>
        <w:tc>
          <w:tcPr>
            <w:tcW w:w="1614" w:type="dxa"/>
            <w:tcBorders>
              <w:top w:val="single" w:sz="4" w:space="0" w:color="000000"/>
            </w:tcBorders>
            <w:vAlign w:val="bottom"/>
          </w:tcPr>
          <w:p w14:paraId="4E4BF959" w14:textId="77777777" w:rsidR="00DF2C23" w:rsidRPr="001344BC" w:rsidRDefault="00DF2C23" w:rsidP="0016765A">
            <w:pPr>
              <w:jc w:val="right"/>
              <w:rPr>
                <w:rFonts w:ascii="Arial" w:hAnsi="Arial" w:cs="Arial"/>
                <w:sz w:val="20"/>
                <w:szCs w:val="20"/>
              </w:rPr>
            </w:pPr>
            <w:r w:rsidRPr="001344BC">
              <w:rPr>
                <w:rFonts w:ascii="Arial" w:eastAsia="Times New Roman" w:hAnsi="Arial" w:cs="Arial"/>
                <w:color w:val="000000"/>
                <w:sz w:val="20"/>
                <w:szCs w:val="20"/>
              </w:rPr>
              <w:t xml:space="preserve">Prob.  </w:t>
            </w:r>
          </w:p>
        </w:tc>
      </w:tr>
      <w:tr w:rsidR="00F46661" w:rsidRPr="00D22422" w14:paraId="27D2ACB0" w14:textId="77777777" w:rsidTr="007D74B0">
        <w:tc>
          <w:tcPr>
            <w:tcW w:w="2070" w:type="dxa"/>
            <w:tcBorders>
              <w:top w:val="single" w:sz="4" w:space="0" w:color="000000"/>
            </w:tcBorders>
            <w:vAlign w:val="bottom"/>
          </w:tcPr>
          <w:p w14:paraId="15DC93D2" w14:textId="18F83064" w:rsidR="00F46661" w:rsidRPr="001344BC" w:rsidRDefault="00F46661" w:rsidP="00F46661">
            <w:pPr>
              <w:jc w:val="both"/>
              <w:rPr>
                <w:rFonts w:ascii="Arial" w:hAnsi="Arial" w:cs="Arial"/>
                <w:sz w:val="20"/>
                <w:szCs w:val="20"/>
              </w:rPr>
            </w:pPr>
            <w:r w:rsidRPr="001344BC">
              <w:rPr>
                <w:rFonts w:ascii="Arial" w:hAnsi="Arial" w:cs="Arial"/>
                <w:sz w:val="20"/>
                <w:szCs w:val="20"/>
              </w:rPr>
              <w:t>INF</w:t>
            </w:r>
          </w:p>
        </w:tc>
        <w:tc>
          <w:tcPr>
            <w:tcW w:w="1268" w:type="dxa"/>
            <w:tcBorders>
              <w:top w:val="single" w:sz="4" w:space="0" w:color="000000"/>
            </w:tcBorders>
            <w:vAlign w:val="bottom"/>
          </w:tcPr>
          <w:p w14:paraId="4A1FAA84" w14:textId="2BE77E43" w:rsidR="00F46661" w:rsidRPr="001344BC" w:rsidRDefault="00F46661" w:rsidP="00F46661">
            <w:pPr>
              <w:jc w:val="right"/>
              <w:rPr>
                <w:rFonts w:ascii="Arial" w:hAnsi="Arial" w:cs="Arial"/>
                <w:sz w:val="20"/>
                <w:szCs w:val="20"/>
              </w:rPr>
            </w:pPr>
            <w:r w:rsidRPr="00F46661">
              <w:rPr>
                <w:rFonts w:ascii="Arial" w:hAnsi="Arial" w:cs="Arial"/>
                <w:color w:val="000000"/>
                <w:sz w:val="20"/>
                <w:szCs w:val="20"/>
              </w:rPr>
              <w:t>-0.0161</w:t>
            </w:r>
          </w:p>
        </w:tc>
        <w:tc>
          <w:tcPr>
            <w:tcW w:w="1614" w:type="dxa"/>
            <w:tcBorders>
              <w:top w:val="single" w:sz="4" w:space="0" w:color="000000"/>
            </w:tcBorders>
            <w:vAlign w:val="bottom"/>
          </w:tcPr>
          <w:p w14:paraId="3BDD71E1" w14:textId="35E2D37C" w:rsidR="00F46661" w:rsidRPr="001344BC" w:rsidRDefault="00F46661" w:rsidP="00F46661">
            <w:pPr>
              <w:jc w:val="right"/>
              <w:rPr>
                <w:rFonts w:ascii="Arial" w:hAnsi="Arial" w:cs="Arial"/>
                <w:sz w:val="20"/>
                <w:szCs w:val="20"/>
              </w:rPr>
            </w:pPr>
            <w:r w:rsidRPr="00F46661">
              <w:rPr>
                <w:rFonts w:ascii="Arial" w:hAnsi="Arial" w:cs="Arial"/>
                <w:color w:val="000000"/>
                <w:sz w:val="20"/>
                <w:szCs w:val="20"/>
              </w:rPr>
              <w:t>0.0820</w:t>
            </w:r>
          </w:p>
        </w:tc>
        <w:tc>
          <w:tcPr>
            <w:tcW w:w="1642" w:type="dxa"/>
            <w:tcBorders>
              <w:top w:val="single" w:sz="4" w:space="0" w:color="000000"/>
            </w:tcBorders>
            <w:vAlign w:val="bottom"/>
          </w:tcPr>
          <w:p w14:paraId="39669C1B" w14:textId="524531B4" w:rsidR="00F46661" w:rsidRPr="001344BC" w:rsidRDefault="00F46661" w:rsidP="00F46661">
            <w:pPr>
              <w:jc w:val="right"/>
              <w:rPr>
                <w:rFonts w:ascii="Arial" w:hAnsi="Arial" w:cs="Arial"/>
                <w:sz w:val="20"/>
                <w:szCs w:val="20"/>
              </w:rPr>
            </w:pPr>
            <w:r w:rsidRPr="00F46661">
              <w:rPr>
                <w:rFonts w:ascii="Arial" w:hAnsi="Arial" w:cs="Arial"/>
                <w:color w:val="000000"/>
                <w:sz w:val="20"/>
                <w:szCs w:val="20"/>
              </w:rPr>
              <w:t>-0.1967</w:t>
            </w:r>
          </w:p>
        </w:tc>
        <w:tc>
          <w:tcPr>
            <w:tcW w:w="1614" w:type="dxa"/>
            <w:tcBorders>
              <w:top w:val="single" w:sz="4" w:space="0" w:color="000000"/>
            </w:tcBorders>
            <w:vAlign w:val="bottom"/>
          </w:tcPr>
          <w:p w14:paraId="307F89B5" w14:textId="211D298D" w:rsidR="00F46661" w:rsidRPr="001344BC" w:rsidRDefault="00F46661" w:rsidP="00F46661">
            <w:pPr>
              <w:jc w:val="right"/>
              <w:rPr>
                <w:rFonts w:ascii="Arial" w:hAnsi="Arial" w:cs="Arial"/>
                <w:sz w:val="20"/>
                <w:szCs w:val="20"/>
              </w:rPr>
            </w:pPr>
            <w:r w:rsidRPr="00F46661">
              <w:rPr>
                <w:rFonts w:ascii="Arial" w:hAnsi="Arial" w:cs="Arial"/>
                <w:color w:val="000000"/>
                <w:sz w:val="20"/>
                <w:szCs w:val="20"/>
              </w:rPr>
              <w:t>0.8454</w:t>
            </w:r>
          </w:p>
        </w:tc>
      </w:tr>
      <w:tr w:rsidR="00F46661" w:rsidRPr="00D22422" w14:paraId="06DBC02E" w14:textId="77777777" w:rsidTr="007D74B0">
        <w:tc>
          <w:tcPr>
            <w:tcW w:w="2070" w:type="dxa"/>
            <w:vAlign w:val="bottom"/>
          </w:tcPr>
          <w:p w14:paraId="58379DCC" w14:textId="0FA91298" w:rsidR="00F46661" w:rsidRPr="001344BC" w:rsidRDefault="00F46661" w:rsidP="00F46661">
            <w:pPr>
              <w:jc w:val="both"/>
              <w:rPr>
                <w:rFonts w:ascii="Arial" w:hAnsi="Arial" w:cs="Arial"/>
                <w:sz w:val="20"/>
                <w:szCs w:val="20"/>
              </w:rPr>
            </w:pPr>
            <w:r w:rsidRPr="001344BC">
              <w:rPr>
                <w:rFonts w:ascii="Arial" w:hAnsi="Arial" w:cs="Arial"/>
                <w:sz w:val="20"/>
                <w:szCs w:val="20"/>
              </w:rPr>
              <w:t>INF2</w:t>
            </w:r>
          </w:p>
        </w:tc>
        <w:tc>
          <w:tcPr>
            <w:tcW w:w="1268" w:type="dxa"/>
            <w:vAlign w:val="bottom"/>
          </w:tcPr>
          <w:p w14:paraId="68AD8E59" w14:textId="1E8BE63B" w:rsidR="00F46661" w:rsidRPr="001344BC" w:rsidRDefault="00F46661" w:rsidP="00F46661">
            <w:pPr>
              <w:jc w:val="right"/>
              <w:rPr>
                <w:rFonts w:ascii="Arial" w:hAnsi="Arial" w:cs="Arial"/>
                <w:sz w:val="20"/>
                <w:szCs w:val="20"/>
              </w:rPr>
            </w:pPr>
            <w:r w:rsidRPr="00F46661">
              <w:rPr>
                <w:rFonts w:ascii="Arial" w:hAnsi="Arial" w:cs="Arial"/>
                <w:color w:val="000000"/>
                <w:sz w:val="20"/>
                <w:szCs w:val="20"/>
              </w:rPr>
              <w:t>-0.0020</w:t>
            </w:r>
          </w:p>
        </w:tc>
        <w:tc>
          <w:tcPr>
            <w:tcW w:w="1614" w:type="dxa"/>
            <w:vAlign w:val="bottom"/>
          </w:tcPr>
          <w:p w14:paraId="653AD41B" w14:textId="047D64CD" w:rsidR="00F46661" w:rsidRPr="001344BC" w:rsidRDefault="00F46661" w:rsidP="00F46661">
            <w:pPr>
              <w:jc w:val="right"/>
              <w:rPr>
                <w:rFonts w:ascii="Arial" w:hAnsi="Arial" w:cs="Arial"/>
                <w:sz w:val="20"/>
                <w:szCs w:val="20"/>
              </w:rPr>
            </w:pPr>
            <w:r w:rsidRPr="00F46661">
              <w:rPr>
                <w:rFonts w:ascii="Arial" w:hAnsi="Arial" w:cs="Arial"/>
                <w:color w:val="000000"/>
                <w:sz w:val="20"/>
                <w:szCs w:val="20"/>
              </w:rPr>
              <w:t>0.0011</w:t>
            </w:r>
          </w:p>
        </w:tc>
        <w:tc>
          <w:tcPr>
            <w:tcW w:w="1642" w:type="dxa"/>
            <w:vAlign w:val="bottom"/>
          </w:tcPr>
          <w:p w14:paraId="1CE7FF9B" w14:textId="21B6183A" w:rsidR="00F46661" w:rsidRPr="001344BC" w:rsidRDefault="00F46661" w:rsidP="00F46661">
            <w:pPr>
              <w:jc w:val="right"/>
              <w:rPr>
                <w:rFonts w:ascii="Arial" w:hAnsi="Arial" w:cs="Arial"/>
                <w:sz w:val="20"/>
                <w:szCs w:val="20"/>
              </w:rPr>
            </w:pPr>
            <w:r w:rsidRPr="00F46661">
              <w:rPr>
                <w:rFonts w:ascii="Arial" w:hAnsi="Arial" w:cs="Arial"/>
                <w:color w:val="000000"/>
                <w:sz w:val="20"/>
                <w:szCs w:val="20"/>
              </w:rPr>
              <w:t>-1.7266</w:t>
            </w:r>
          </w:p>
        </w:tc>
        <w:tc>
          <w:tcPr>
            <w:tcW w:w="1614" w:type="dxa"/>
            <w:vAlign w:val="bottom"/>
          </w:tcPr>
          <w:p w14:paraId="0B459116" w14:textId="70C01DE3" w:rsidR="00F46661" w:rsidRPr="001344BC" w:rsidRDefault="00F46661" w:rsidP="00F46661">
            <w:pPr>
              <w:jc w:val="right"/>
              <w:rPr>
                <w:rFonts w:ascii="Arial" w:hAnsi="Arial" w:cs="Arial"/>
                <w:sz w:val="20"/>
                <w:szCs w:val="20"/>
              </w:rPr>
            </w:pPr>
            <w:r w:rsidRPr="00F46661">
              <w:rPr>
                <w:rFonts w:ascii="Arial" w:hAnsi="Arial" w:cs="Arial"/>
                <w:color w:val="000000"/>
                <w:sz w:val="20"/>
                <w:szCs w:val="20"/>
              </w:rPr>
              <w:t>0.0945</w:t>
            </w:r>
          </w:p>
        </w:tc>
      </w:tr>
      <w:tr w:rsidR="00F46661" w:rsidRPr="00D22422" w14:paraId="03476F00" w14:textId="77777777" w:rsidTr="007D74B0">
        <w:tc>
          <w:tcPr>
            <w:tcW w:w="2070" w:type="dxa"/>
            <w:vAlign w:val="bottom"/>
          </w:tcPr>
          <w:p w14:paraId="478BB089" w14:textId="07A8B6A2" w:rsidR="00F46661" w:rsidRPr="001344BC" w:rsidRDefault="00F46661" w:rsidP="00F46661">
            <w:pPr>
              <w:jc w:val="both"/>
              <w:rPr>
                <w:rFonts w:ascii="Arial" w:hAnsi="Arial" w:cs="Arial"/>
                <w:sz w:val="20"/>
                <w:szCs w:val="20"/>
              </w:rPr>
            </w:pPr>
            <w:r w:rsidRPr="001344BC">
              <w:rPr>
                <w:rFonts w:ascii="Arial" w:hAnsi="Arial" w:cs="Arial"/>
                <w:color w:val="000000"/>
                <w:sz w:val="20"/>
                <w:szCs w:val="20"/>
              </w:rPr>
              <w:t>CAP</w:t>
            </w:r>
          </w:p>
        </w:tc>
        <w:tc>
          <w:tcPr>
            <w:tcW w:w="1268" w:type="dxa"/>
            <w:vAlign w:val="bottom"/>
          </w:tcPr>
          <w:p w14:paraId="55006517" w14:textId="7443B42D" w:rsidR="00F46661" w:rsidRPr="001344BC" w:rsidRDefault="00F46661" w:rsidP="00F46661">
            <w:pPr>
              <w:jc w:val="right"/>
              <w:rPr>
                <w:rFonts w:ascii="Arial" w:hAnsi="Arial" w:cs="Arial"/>
                <w:color w:val="000000"/>
                <w:sz w:val="20"/>
                <w:szCs w:val="20"/>
              </w:rPr>
            </w:pPr>
            <w:r w:rsidRPr="00F46661">
              <w:rPr>
                <w:rFonts w:ascii="Arial" w:hAnsi="Arial" w:cs="Arial"/>
                <w:color w:val="000000"/>
                <w:sz w:val="20"/>
                <w:szCs w:val="20"/>
              </w:rPr>
              <w:t>0.2170</w:t>
            </w:r>
          </w:p>
        </w:tc>
        <w:tc>
          <w:tcPr>
            <w:tcW w:w="1614" w:type="dxa"/>
            <w:vAlign w:val="bottom"/>
          </w:tcPr>
          <w:p w14:paraId="0B32FDB9" w14:textId="70017361" w:rsidR="00F46661" w:rsidRPr="001344BC" w:rsidRDefault="00F46661" w:rsidP="00F46661">
            <w:pPr>
              <w:jc w:val="right"/>
              <w:rPr>
                <w:rFonts w:ascii="Arial" w:hAnsi="Arial" w:cs="Arial"/>
                <w:color w:val="000000"/>
                <w:sz w:val="20"/>
                <w:szCs w:val="20"/>
              </w:rPr>
            </w:pPr>
            <w:r w:rsidRPr="00F46661">
              <w:rPr>
                <w:rFonts w:ascii="Arial" w:hAnsi="Arial" w:cs="Arial"/>
                <w:color w:val="000000"/>
                <w:sz w:val="20"/>
                <w:szCs w:val="20"/>
              </w:rPr>
              <w:t>0.0461</w:t>
            </w:r>
          </w:p>
        </w:tc>
        <w:tc>
          <w:tcPr>
            <w:tcW w:w="1642" w:type="dxa"/>
            <w:vAlign w:val="bottom"/>
          </w:tcPr>
          <w:p w14:paraId="3E3C57EE" w14:textId="58488A59" w:rsidR="00F46661" w:rsidRPr="001344BC" w:rsidRDefault="00F46661" w:rsidP="00F46661">
            <w:pPr>
              <w:jc w:val="right"/>
              <w:rPr>
                <w:rFonts w:ascii="Arial" w:hAnsi="Arial" w:cs="Arial"/>
                <w:color w:val="000000"/>
                <w:sz w:val="20"/>
                <w:szCs w:val="20"/>
              </w:rPr>
            </w:pPr>
            <w:r w:rsidRPr="00F46661">
              <w:rPr>
                <w:rFonts w:ascii="Arial" w:hAnsi="Arial" w:cs="Arial"/>
                <w:color w:val="000000"/>
                <w:sz w:val="20"/>
                <w:szCs w:val="20"/>
              </w:rPr>
              <w:t>4.7041</w:t>
            </w:r>
          </w:p>
        </w:tc>
        <w:tc>
          <w:tcPr>
            <w:tcW w:w="1614" w:type="dxa"/>
            <w:vAlign w:val="bottom"/>
          </w:tcPr>
          <w:p w14:paraId="2C06285E" w14:textId="2E8148A6" w:rsidR="00F46661" w:rsidRPr="001344BC" w:rsidRDefault="00F46661" w:rsidP="00F46661">
            <w:pPr>
              <w:jc w:val="right"/>
              <w:rPr>
                <w:rFonts w:ascii="Arial" w:hAnsi="Arial" w:cs="Arial"/>
                <w:color w:val="000000"/>
                <w:sz w:val="20"/>
                <w:szCs w:val="20"/>
              </w:rPr>
            </w:pPr>
            <w:r w:rsidRPr="00F46661">
              <w:rPr>
                <w:rFonts w:ascii="Arial" w:hAnsi="Arial" w:cs="Arial"/>
                <w:color w:val="000000"/>
                <w:sz w:val="20"/>
                <w:szCs w:val="20"/>
              </w:rPr>
              <w:t>0.0001</w:t>
            </w:r>
          </w:p>
        </w:tc>
      </w:tr>
      <w:tr w:rsidR="00F46661" w:rsidRPr="00D22422" w14:paraId="20C82040" w14:textId="77777777" w:rsidTr="007D74B0">
        <w:tc>
          <w:tcPr>
            <w:tcW w:w="2070" w:type="dxa"/>
            <w:vAlign w:val="bottom"/>
          </w:tcPr>
          <w:p w14:paraId="62C270EF" w14:textId="52D4864F" w:rsidR="00F46661" w:rsidRPr="001344BC" w:rsidRDefault="00F46661" w:rsidP="00F46661">
            <w:pPr>
              <w:jc w:val="both"/>
              <w:rPr>
                <w:rFonts w:ascii="Arial" w:hAnsi="Arial" w:cs="Arial"/>
                <w:sz w:val="20"/>
                <w:szCs w:val="20"/>
              </w:rPr>
            </w:pPr>
            <w:r w:rsidRPr="001344BC">
              <w:rPr>
                <w:rFonts w:ascii="Arial" w:hAnsi="Arial" w:cs="Arial"/>
                <w:sz w:val="20"/>
                <w:szCs w:val="20"/>
              </w:rPr>
              <w:t>POP</w:t>
            </w:r>
          </w:p>
        </w:tc>
        <w:tc>
          <w:tcPr>
            <w:tcW w:w="1268" w:type="dxa"/>
            <w:vAlign w:val="bottom"/>
          </w:tcPr>
          <w:p w14:paraId="58736FB8" w14:textId="3C2C9839" w:rsidR="00F46661" w:rsidRPr="001344BC" w:rsidRDefault="00F46661" w:rsidP="00F46661">
            <w:pPr>
              <w:jc w:val="right"/>
              <w:rPr>
                <w:rFonts w:ascii="Arial" w:hAnsi="Arial" w:cs="Arial"/>
                <w:color w:val="000000"/>
                <w:sz w:val="20"/>
                <w:szCs w:val="20"/>
              </w:rPr>
            </w:pPr>
            <w:r w:rsidRPr="00F46661">
              <w:rPr>
                <w:rFonts w:ascii="Arial" w:hAnsi="Arial" w:cs="Arial"/>
                <w:color w:val="000000"/>
                <w:sz w:val="20"/>
                <w:szCs w:val="20"/>
              </w:rPr>
              <w:t>2.5168</w:t>
            </w:r>
          </w:p>
        </w:tc>
        <w:tc>
          <w:tcPr>
            <w:tcW w:w="1614" w:type="dxa"/>
            <w:vAlign w:val="bottom"/>
          </w:tcPr>
          <w:p w14:paraId="5F91B916" w14:textId="2F095A6A" w:rsidR="00F46661" w:rsidRPr="001344BC" w:rsidRDefault="00F46661" w:rsidP="00F46661">
            <w:pPr>
              <w:jc w:val="right"/>
              <w:rPr>
                <w:rFonts w:ascii="Arial" w:hAnsi="Arial" w:cs="Arial"/>
                <w:color w:val="000000"/>
                <w:sz w:val="20"/>
                <w:szCs w:val="20"/>
              </w:rPr>
            </w:pPr>
            <w:r w:rsidRPr="00F46661">
              <w:rPr>
                <w:rFonts w:ascii="Arial" w:hAnsi="Arial" w:cs="Arial"/>
                <w:color w:val="000000"/>
                <w:sz w:val="20"/>
                <w:szCs w:val="20"/>
              </w:rPr>
              <w:t>0.3986</w:t>
            </w:r>
          </w:p>
        </w:tc>
        <w:tc>
          <w:tcPr>
            <w:tcW w:w="1642" w:type="dxa"/>
            <w:vAlign w:val="bottom"/>
          </w:tcPr>
          <w:p w14:paraId="747679A0" w14:textId="34FF9536" w:rsidR="00F46661" w:rsidRPr="001344BC" w:rsidRDefault="00F46661" w:rsidP="00F46661">
            <w:pPr>
              <w:jc w:val="right"/>
              <w:rPr>
                <w:rFonts w:ascii="Arial" w:hAnsi="Arial" w:cs="Arial"/>
                <w:color w:val="000000"/>
                <w:sz w:val="20"/>
                <w:szCs w:val="20"/>
              </w:rPr>
            </w:pPr>
            <w:r w:rsidRPr="00F46661">
              <w:rPr>
                <w:rFonts w:ascii="Arial" w:hAnsi="Arial" w:cs="Arial"/>
                <w:color w:val="000000"/>
                <w:sz w:val="20"/>
                <w:szCs w:val="20"/>
              </w:rPr>
              <w:t>6.3142</w:t>
            </w:r>
          </w:p>
        </w:tc>
        <w:tc>
          <w:tcPr>
            <w:tcW w:w="1614" w:type="dxa"/>
            <w:vAlign w:val="bottom"/>
          </w:tcPr>
          <w:p w14:paraId="0024D9E7" w14:textId="045B3921" w:rsidR="00F46661" w:rsidRPr="001344BC" w:rsidRDefault="00F46661" w:rsidP="00F46661">
            <w:pPr>
              <w:jc w:val="right"/>
              <w:rPr>
                <w:rFonts w:ascii="Arial" w:hAnsi="Arial" w:cs="Arial"/>
                <w:color w:val="000000"/>
                <w:sz w:val="20"/>
                <w:szCs w:val="20"/>
              </w:rPr>
            </w:pPr>
            <w:r w:rsidRPr="00F46661">
              <w:rPr>
                <w:rFonts w:ascii="Arial" w:hAnsi="Arial" w:cs="Arial"/>
                <w:color w:val="000000"/>
                <w:sz w:val="20"/>
                <w:szCs w:val="20"/>
              </w:rPr>
              <w:t>0.0000</w:t>
            </w:r>
          </w:p>
        </w:tc>
      </w:tr>
      <w:tr w:rsidR="00F46661" w:rsidRPr="00D22422" w14:paraId="7C388AD2" w14:textId="77777777" w:rsidTr="007D74B0">
        <w:tc>
          <w:tcPr>
            <w:tcW w:w="2070" w:type="dxa"/>
            <w:tcBorders>
              <w:top w:val="single" w:sz="4" w:space="0" w:color="000000"/>
            </w:tcBorders>
            <w:vAlign w:val="bottom"/>
          </w:tcPr>
          <w:p w14:paraId="3BD0E250" w14:textId="0C63009B" w:rsidR="00F46661" w:rsidRPr="001344BC" w:rsidRDefault="00F46661" w:rsidP="00F46661">
            <w:pPr>
              <w:jc w:val="both"/>
              <w:rPr>
                <w:rFonts w:ascii="Arial" w:hAnsi="Arial" w:cs="Arial"/>
                <w:color w:val="000000"/>
                <w:sz w:val="20"/>
                <w:szCs w:val="20"/>
              </w:rPr>
            </w:pPr>
            <w:r w:rsidRPr="001344BC">
              <w:rPr>
                <w:rFonts w:ascii="Arial" w:hAnsi="Arial" w:cs="Arial"/>
                <w:color w:val="000000"/>
                <w:sz w:val="20"/>
                <w:szCs w:val="20"/>
              </w:rPr>
              <w:t>R-squared</w:t>
            </w:r>
          </w:p>
        </w:tc>
        <w:tc>
          <w:tcPr>
            <w:tcW w:w="1268" w:type="dxa"/>
            <w:tcBorders>
              <w:top w:val="single" w:sz="4" w:space="0" w:color="000000"/>
            </w:tcBorders>
            <w:vAlign w:val="bottom"/>
          </w:tcPr>
          <w:p w14:paraId="5786F206" w14:textId="43773DCA" w:rsidR="00F46661" w:rsidRPr="001344BC" w:rsidRDefault="00F46661" w:rsidP="00F46661">
            <w:pPr>
              <w:jc w:val="right"/>
              <w:rPr>
                <w:rFonts w:ascii="Arial" w:hAnsi="Arial" w:cs="Arial"/>
                <w:color w:val="000000"/>
                <w:sz w:val="20"/>
                <w:szCs w:val="20"/>
              </w:rPr>
            </w:pPr>
            <w:r w:rsidRPr="00F46661">
              <w:rPr>
                <w:rFonts w:ascii="Arial" w:hAnsi="Arial" w:cs="Arial"/>
                <w:color w:val="000000"/>
                <w:sz w:val="20"/>
                <w:szCs w:val="20"/>
              </w:rPr>
              <w:t>0.8622</w:t>
            </w:r>
          </w:p>
        </w:tc>
        <w:tc>
          <w:tcPr>
            <w:tcW w:w="1614" w:type="dxa"/>
            <w:tcBorders>
              <w:top w:val="single" w:sz="4" w:space="0" w:color="000000"/>
            </w:tcBorders>
            <w:vAlign w:val="bottom"/>
          </w:tcPr>
          <w:p w14:paraId="6EFFBDA6" w14:textId="77777777" w:rsidR="00F46661" w:rsidRPr="001344BC" w:rsidRDefault="00F46661" w:rsidP="00F46661">
            <w:pPr>
              <w:jc w:val="right"/>
              <w:rPr>
                <w:rFonts w:ascii="Arial" w:hAnsi="Arial" w:cs="Arial"/>
                <w:color w:val="000000"/>
                <w:sz w:val="20"/>
                <w:szCs w:val="20"/>
              </w:rPr>
            </w:pPr>
          </w:p>
        </w:tc>
        <w:tc>
          <w:tcPr>
            <w:tcW w:w="1642" w:type="dxa"/>
            <w:tcBorders>
              <w:top w:val="single" w:sz="4" w:space="0" w:color="000000"/>
            </w:tcBorders>
            <w:vAlign w:val="bottom"/>
          </w:tcPr>
          <w:p w14:paraId="641B719A" w14:textId="77777777" w:rsidR="00F46661" w:rsidRPr="001344BC" w:rsidRDefault="00F46661" w:rsidP="00F46661">
            <w:pPr>
              <w:jc w:val="right"/>
              <w:rPr>
                <w:rFonts w:ascii="Arial" w:hAnsi="Arial" w:cs="Arial"/>
                <w:color w:val="000000"/>
                <w:sz w:val="20"/>
                <w:szCs w:val="20"/>
              </w:rPr>
            </w:pPr>
          </w:p>
        </w:tc>
        <w:tc>
          <w:tcPr>
            <w:tcW w:w="1614" w:type="dxa"/>
            <w:tcBorders>
              <w:top w:val="single" w:sz="4" w:space="0" w:color="000000"/>
            </w:tcBorders>
            <w:vAlign w:val="bottom"/>
          </w:tcPr>
          <w:p w14:paraId="0BE21B28" w14:textId="77777777" w:rsidR="00F46661" w:rsidRPr="001344BC" w:rsidRDefault="00F46661" w:rsidP="00F46661">
            <w:pPr>
              <w:jc w:val="right"/>
              <w:rPr>
                <w:rFonts w:ascii="Arial" w:hAnsi="Arial" w:cs="Arial"/>
                <w:color w:val="000000"/>
                <w:sz w:val="20"/>
                <w:szCs w:val="20"/>
              </w:rPr>
            </w:pPr>
          </w:p>
        </w:tc>
      </w:tr>
      <w:tr w:rsidR="00F46661" w:rsidRPr="00D22422" w14:paraId="03B39DA6" w14:textId="77777777" w:rsidTr="007D74B0">
        <w:tc>
          <w:tcPr>
            <w:tcW w:w="2070" w:type="dxa"/>
            <w:tcBorders>
              <w:bottom w:val="single" w:sz="4" w:space="0" w:color="000000"/>
            </w:tcBorders>
            <w:vAlign w:val="bottom"/>
          </w:tcPr>
          <w:p w14:paraId="454BE1E5" w14:textId="4CEDC1B2" w:rsidR="00F46661" w:rsidRPr="001344BC" w:rsidRDefault="00F46661" w:rsidP="00F46661">
            <w:pPr>
              <w:jc w:val="both"/>
              <w:rPr>
                <w:rFonts w:ascii="Arial" w:hAnsi="Arial" w:cs="Arial"/>
                <w:sz w:val="20"/>
                <w:szCs w:val="20"/>
              </w:rPr>
            </w:pPr>
            <w:r w:rsidRPr="001344BC">
              <w:rPr>
                <w:rFonts w:ascii="Arial" w:hAnsi="Arial" w:cs="Arial"/>
                <w:color w:val="000000"/>
                <w:sz w:val="20"/>
                <w:szCs w:val="20"/>
              </w:rPr>
              <w:t>Rn-squared statistic</w:t>
            </w:r>
          </w:p>
        </w:tc>
        <w:tc>
          <w:tcPr>
            <w:tcW w:w="1268" w:type="dxa"/>
            <w:tcBorders>
              <w:bottom w:val="single" w:sz="4" w:space="0" w:color="000000"/>
            </w:tcBorders>
            <w:vAlign w:val="bottom"/>
          </w:tcPr>
          <w:p w14:paraId="0B25FA9E" w14:textId="3EBEE534" w:rsidR="00F46661" w:rsidRPr="001344BC" w:rsidRDefault="00F46661" w:rsidP="00F46661">
            <w:pPr>
              <w:jc w:val="right"/>
              <w:rPr>
                <w:rFonts w:ascii="Arial" w:hAnsi="Arial" w:cs="Arial"/>
                <w:sz w:val="20"/>
                <w:szCs w:val="20"/>
              </w:rPr>
            </w:pPr>
            <w:r w:rsidRPr="00F46661">
              <w:rPr>
                <w:rFonts w:ascii="Arial" w:hAnsi="Arial" w:cs="Arial"/>
                <w:color w:val="000000"/>
                <w:sz w:val="20"/>
                <w:szCs w:val="20"/>
              </w:rPr>
              <w:t>0.8484</w:t>
            </w:r>
          </w:p>
        </w:tc>
        <w:tc>
          <w:tcPr>
            <w:tcW w:w="1614" w:type="dxa"/>
            <w:tcBorders>
              <w:bottom w:val="single" w:sz="4" w:space="0" w:color="000000"/>
            </w:tcBorders>
            <w:vAlign w:val="bottom"/>
          </w:tcPr>
          <w:p w14:paraId="4B0C3A24" w14:textId="346F5A57" w:rsidR="00F46661" w:rsidRPr="001344BC" w:rsidRDefault="00F46661" w:rsidP="00F46661">
            <w:pPr>
              <w:jc w:val="right"/>
              <w:rPr>
                <w:rFonts w:ascii="Arial" w:hAnsi="Arial" w:cs="Arial"/>
                <w:sz w:val="20"/>
                <w:szCs w:val="20"/>
              </w:rPr>
            </w:pPr>
          </w:p>
        </w:tc>
        <w:tc>
          <w:tcPr>
            <w:tcW w:w="1642" w:type="dxa"/>
            <w:tcBorders>
              <w:bottom w:val="single" w:sz="4" w:space="0" w:color="000000"/>
            </w:tcBorders>
            <w:vAlign w:val="bottom"/>
          </w:tcPr>
          <w:p w14:paraId="2F1F6081" w14:textId="6AF0D6DA" w:rsidR="00F46661" w:rsidRPr="001344BC" w:rsidRDefault="00F46661" w:rsidP="00F46661">
            <w:pPr>
              <w:jc w:val="right"/>
              <w:rPr>
                <w:rFonts w:ascii="Arial" w:hAnsi="Arial" w:cs="Arial"/>
                <w:sz w:val="20"/>
                <w:szCs w:val="20"/>
              </w:rPr>
            </w:pPr>
          </w:p>
        </w:tc>
        <w:tc>
          <w:tcPr>
            <w:tcW w:w="1614" w:type="dxa"/>
            <w:tcBorders>
              <w:bottom w:val="single" w:sz="4" w:space="0" w:color="000000"/>
            </w:tcBorders>
            <w:vAlign w:val="bottom"/>
          </w:tcPr>
          <w:p w14:paraId="61C5FE24" w14:textId="500F02F2" w:rsidR="00F46661" w:rsidRPr="001344BC" w:rsidRDefault="00F46661" w:rsidP="00F46661">
            <w:pPr>
              <w:jc w:val="right"/>
              <w:rPr>
                <w:rFonts w:ascii="Arial" w:hAnsi="Arial" w:cs="Arial"/>
                <w:sz w:val="20"/>
                <w:szCs w:val="20"/>
              </w:rPr>
            </w:pPr>
          </w:p>
        </w:tc>
      </w:tr>
    </w:tbl>
    <w:p w14:paraId="7FCB6186" w14:textId="77777777" w:rsidR="00F46661" w:rsidRDefault="00F46661" w:rsidP="00697B05">
      <w:pPr>
        <w:jc w:val="both"/>
        <w:rPr>
          <w:rFonts w:ascii="Arial" w:hAnsi="Arial" w:cs="Arial"/>
        </w:rPr>
      </w:pPr>
    </w:p>
    <w:p w14:paraId="546E3034" w14:textId="77CFD1FC" w:rsidR="001344BC" w:rsidRPr="00F46661" w:rsidRDefault="001344BC" w:rsidP="00F46661">
      <w:pPr>
        <w:jc w:val="both"/>
        <w:rPr>
          <w:rFonts w:ascii="Arial" w:hAnsi="Arial" w:cs="Arial"/>
        </w:rPr>
      </w:pPr>
      <w:r w:rsidRPr="001344BC">
        <w:rPr>
          <w:rFonts w:ascii="Arial" w:hAnsi="Arial" w:cs="Arial"/>
        </w:rPr>
        <w:t xml:space="preserve">For robustness </w:t>
      </w:r>
      <w:r>
        <w:rPr>
          <w:rFonts w:ascii="Arial" w:hAnsi="Arial" w:cs="Arial"/>
        </w:rPr>
        <w:t>check</w:t>
      </w:r>
      <w:r w:rsidRPr="001344BC">
        <w:rPr>
          <w:rFonts w:ascii="Arial" w:hAnsi="Arial" w:cs="Arial"/>
        </w:rPr>
        <w:t>, this study develops an additional non-linear specification by in</w:t>
      </w:r>
      <w:r>
        <w:rPr>
          <w:rFonts w:ascii="Arial" w:hAnsi="Arial" w:cs="Arial"/>
        </w:rPr>
        <w:t>tegrating</w:t>
      </w:r>
      <w:r w:rsidRPr="001344BC">
        <w:rPr>
          <w:rFonts w:ascii="Arial" w:hAnsi="Arial" w:cs="Arial"/>
        </w:rPr>
        <w:t xml:space="preserve"> the squared inflation term. The model is estimated using the Fully Modified Ordinary Least Squares (FMOLS) approach. FMOLS offers several advantages, including its ability to correct for endogeneity and serial correlation</w:t>
      </w:r>
      <w:r>
        <w:rPr>
          <w:rFonts w:ascii="Arial" w:hAnsi="Arial" w:cs="Arial"/>
        </w:rPr>
        <w:t xml:space="preserve"> problems</w:t>
      </w:r>
      <w:r w:rsidRPr="001344BC">
        <w:rPr>
          <w:rFonts w:ascii="Arial" w:hAnsi="Arial" w:cs="Arial"/>
        </w:rPr>
        <w:t>. Moreover, it provides asymptotically unbiased estimates and is well-suited for analyses based on relatively small sample sizes</w:t>
      </w:r>
      <w:r>
        <w:rPr>
          <w:rFonts w:ascii="Arial" w:hAnsi="Arial" w:cs="Arial"/>
        </w:rPr>
        <w:t>.</w:t>
      </w:r>
    </w:p>
    <w:p w14:paraId="2D46F993" w14:textId="77777777" w:rsidR="00F46661" w:rsidRDefault="00F46661" w:rsidP="00697B05">
      <w:pPr>
        <w:jc w:val="both"/>
        <w:rPr>
          <w:rFonts w:ascii="Arial" w:hAnsi="Arial" w:cs="Arial"/>
        </w:rPr>
      </w:pPr>
    </w:p>
    <w:p w14:paraId="4258D002" w14:textId="0D82BDD7" w:rsidR="00A30E8F" w:rsidRDefault="00A30E8F" w:rsidP="00697B05">
      <w:pPr>
        <w:jc w:val="both"/>
        <w:rPr>
          <w:rFonts w:ascii="Arial" w:hAnsi="Arial" w:cs="Arial"/>
        </w:rPr>
      </w:pPr>
      <w:r w:rsidRPr="00A30E8F">
        <w:rPr>
          <w:rFonts w:ascii="Arial" w:hAnsi="Arial" w:cs="Arial"/>
        </w:rPr>
        <w:t xml:space="preserve">Table </w:t>
      </w:r>
      <w:r w:rsidR="00DF4806">
        <w:rPr>
          <w:rFonts w:ascii="Arial" w:hAnsi="Arial" w:cs="Arial"/>
        </w:rPr>
        <w:t>5</w:t>
      </w:r>
      <w:r w:rsidRPr="00A30E8F">
        <w:rPr>
          <w:rFonts w:ascii="Arial" w:hAnsi="Arial" w:cs="Arial"/>
        </w:rPr>
        <w:t xml:space="preserve"> </w:t>
      </w:r>
      <w:r>
        <w:rPr>
          <w:rFonts w:ascii="Arial" w:hAnsi="Arial" w:cs="Arial"/>
        </w:rPr>
        <w:t>presents</w:t>
      </w:r>
      <w:r w:rsidRPr="00A30E8F">
        <w:rPr>
          <w:rFonts w:ascii="Arial" w:hAnsi="Arial" w:cs="Arial"/>
        </w:rPr>
        <w:t xml:space="preserve"> the results obtained from the FMOLS </w:t>
      </w:r>
      <w:r>
        <w:rPr>
          <w:rFonts w:ascii="Arial" w:hAnsi="Arial" w:cs="Arial"/>
        </w:rPr>
        <w:t xml:space="preserve">estimation </w:t>
      </w:r>
      <w:r w:rsidRPr="00A30E8F">
        <w:rPr>
          <w:rFonts w:ascii="Arial" w:hAnsi="Arial" w:cs="Arial"/>
        </w:rPr>
        <w:t>procedure. Inflation is negatively related to GDP growth; however, this association is not statistically significant. The quadratic term of inflation is negative and statistically significant</w:t>
      </w:r>
      <w:r>
        <w:rPr>
          <w:rFonts w:ascii="Arial" w:hAnsi="Arial" w:cs="Arial"/>
        </w:rPr>
        <w:t xml:space="preserve"> at the 1 percent critical level</w:t>
      </w:r>
      <w:r w:rsidRPr="00A30E8F">
        <w:rPr>
          <w:rFonts w:ascii="Arial" w:hAnsi="Arial" w:cs="Arial"/>
        </w:rPr>
        <w:t xml:space="preserve">. These results </w:t>
      </w:r>
      <w:r w:rsidR="00AB0417">
        <w:rPr>
          <w:rFonts w:ascii="Arial" w:hAnsi="Arial" w:cs="Arial"/>
        </w:rPr>
        <w:t xml:space="preserve">validate </w:t>
      </w:r>
      <w:r w:rsidRPr="00A30E8F">
        <w:rPr>
          <w:rFonts w:ascii="Arial" w:hAnsi="Arial" w:cs="Arial"/>
        </w:rPr>
        <w:t>the presence of a non-linear relationship, specifically an inverted U-shaped pattern. The corresponding turning point is calculated as follows:</w:t>
      </w:r>
    </w:p>
    <w:p w14:paraId="26ADC149" w14:textId="77777777" w:rsidR="00A30E8F" w:rsidRDefault="00A30E8F" w:rsidP="00697B05">
      <w:pPr>
        <w:jc w:val="both"/>
        <w:rPr>
          <w:rFonts w:ascii="Arial" w:hAnsi="Arial" w:cs="Arial"/>
        </w:rPr>
      </w:pPr>
    </w:p>
    <w:p w14:paraId="495ABEFB" w14:textId="5C92A08A" w:rsidR="00F46661" w:rsidRPr="00F46661" w:rsidRDefault="00F46661" w:rsidP="00697B05">
      <w:pPr>
        <w:jc w:val="both"/>
        <w:rPr>
          <w:rFonts w:ascii="Arial" w:hAnsi="Arial" w:cs="Arial"/>
        </w:rPr>
      </w:pPr>
      <m:oMathPara>
        <m:oMath>
          <m:r>
            <w:rPr>
              <w:rFonts w:ascii="Cambria Math" w:hAnsi="Cambria Math" w:cs="Arial"/>
            </w:rPr>
            <m:t>IN</m:t>
          </m:r>
          <m:sSub>
            <m:sSubPr>
              <m:ctrlPr>
                <w:rPr>
                  <w:rFonts w:ascii="Cambria Math" w:hAnsi="Cambria Math" w:cs="Arial"/>
                  <w:i/>
                </w:rPr>
              </m:ctrlPr>
            </m:sSubPr>
            <m:e>
              <m:r>
                <w:rPr>
                  <w:rFonts w:ascii="Cambria Math" w:hAnsi="Cambria Math" w:cs="Arial"/>
                </w:rPr>
                <m:t>F</m:t>
              </m:r>
            </m:e>
            <m:sub>
              <m:r>
                <w:rPr>
                  <w:rFonts w:ascii="Cambria Math" w:hAnsi="Cambria Math" w:cs="Arial"/>
                </w:rPr>
                <m:t>t</m:t>
              </m:r>
            </m:sub>
          </m:sSub>
          <m:r>
            <w:rPr>
              <w:rFonts w:ascii="Cambria Math" w:hAnsi="Cambria Math" w:cs="Arial"/>
            </w:rPr>
            <m:t>=</m:t>
          </m:r>
          <m:f>
            <m:fPr>
              <m:ctrlPr>
                <w:rPr>
                  <w:rFonts w:ascii="Cambria Math" w:hAnsi="Cambria Math" w:cs="Arial"/>
                  <w:i/>
                </w:rPr>
              </m:ctrlPr>
            </m:fPr>
            <m:num>
              <m:r>
                <w:rPr>
                  <w:rFonts w:ascii="Cambria Math" w:hAnsi="Cambria Math" w:cs="Arial"/>
                </w:rPr>
                <m:t>-</m:t>
              </m:r>
              <m:sSub>
                <m:sSubPr>
                  <m:ctrlPr>
                    <w:rPr>
                      <w:rFonts w:ascii="Cambria Math" w:hAnsi="Cambria Math" w:cs="Arial"/>
                      <w:i/>
                    </w:rPr>
                  </m:ctrlPr>
                </m:sSubPr>
                <m:e>
                  <m:acc>
                    <m:accPr>
                      <m:ctrlPr>
                        <w:rPr>
                          <w:rFonts w:ascii="Cambria Math" w:hAnsi="Cambria Math" w:cs="Arial"/>
                          <w:i/>
                        </w:rPr>
                      </m:ctrlPr>
                    </m:accPr>
                    <m:e>
                      <m:r>
                        <w:rPr>
                          <w:rFonts w:ascii="Cambria Math" w:hAnsi="Cambria Math" w:cs="Arial"/>
                        </w:rPr>
                        <m:t>β</m:t>
                      </m:r>
                    </m:e>
                  </m:acc>
                </m:e>
                <m:sub>
                  <m:r>
                    <w:rPr>
                      <w:rFonts w:ascii="Cambria Math" w:hAnsi="Cambria Math" w:cs="Arial"/>
                    </w:rPr>
                    <m:t>INF</m:t>
                  </m:r>
                </m:sub>
              </m:sSub>
            </m:num>
            <m:den>
              <m:r>
                <w:rPr>
                  <w:rFonts w:ascii="Cambria Math" w:hAnsi="Cambria Math" w:cs="Arial"/>
                </w:rPr>
                <m:t>2(</m:t>
              </m:r>
              <m:sSub>
                <m:sSubPr>
                  <m:ctrlPr>
                    <w:rPr>
                      <w:rFonts w:ascii="Cambria Math" w:hAnsi="Cambria Math" w:cs="Arial"/>
                      <w:i/>
                    </w:rPr>
                  </m:ctrlPr>
                </m:sSubPr>
                <m:e>
                  <m:acc>
                    <m:accPr>
                      <m:ctrlPr>
                        <w:rPr>
                          <w:rFonts w:ascii="Cambria Math" w:hAnsi="Cambria Math" w:cs="Arial"/>
                          <w:i/>
                        </w:rPr>
                      </m:ctrlPr>
                    </m:accPr>
                    <m:e>
                      <m:r>
                        <w:rPr>
                          <w:rFonts w:ascii="Cambria Math" w:hAnsi="Cambria Math" w:cs="Arial"/>
                        </w:rPr>
                        <m:t>β</m:t>
                      </m:r>
                    </m:e>
                  </m:acc>
                </m:e>
                <m:sub>
                  <m:r>
                    <w:rPr>
                      <w:rFonts w:ascii="Cambria Math" w:hAnsi="Cambria Math" w:cs="Arial"/>
                    </w:rPr>
                    <m:t>IN</m:t>
                  </m:r>
                  <m:sSup>
                    <m:sSupPr>
                      <m:ctrlPr>
                        <w:rPr>
                          <w:rFonts w:ascii="Cambria Math" w:hAnsi="Cambria Math" w:cs="Arial"/>
                          <w:i/>
                        </w:rPr>
                      </m:ctrlPr>
                    </m:sSupPr>
                    <m:e>
                      <m:r>
                        <w:rPr>
                          <w:rFonts w:ascii="Cambria Math" w:hAnsi="Cambria Math" w:cs="Arial"/>
                        </w:rPr>
                        <m:t>F</m:t>
                      </m:r>
                    </m:e>
                    <m:sup>
                      <m:r>
                        <w:rPr>
                          <w:rFonts w:ascii="Cambria Math" w:hAnsi="Cambria Math" w:cs="Arial"/>
                        </w:rPr>
                        <m:t>2</m:t>
                      </m:r>
                    </m:sup>
                  </m:sSup>
                </m:sub>
              </m:sSub>
              <m:r>
                <w:rPr>
                  <w:rFonts w:ascii="Cambria Math" w:hAnsi="Cambria Math" w:cs="Arial"/>
                </w:rPr>
                <m:t>)</m:t>
              </m:r>
            </m:den>
          </m:f>
          <m:r>
            <w:rPr>
              <w:rFonts w:ascii="Cambria Math" w:hAnsi="Cambria Math" w:cs="Arial"/>
            </w:rPr>
            <m:t>=-</m:t>
          </m:r>
          <m:f>
            <m:fPr>
              <m:ctrlPr>
                <w:rPr>
                  <w:rFonts w:ascii="Cambria Math" w:hAnsi="Cambria Math" w:cs="Arial"/>
                  <w:i/>
                </w:rPr>
              </m:ctrlPr>
            </m:fPr>
            <m:num>
              <m:d>
                <m:dPr>
                  <m:ctrlPr>
                    <w:rPr>
                      <w:rFonts w:ascii="Cambria Math" w:hAnsi="Cambria Math" w:cs="Arial"/>
                      <w:i/>
                    </w:rPr>
                  </m:ctrlPr>
                </m:dPr>
                <m:e>
                  <m:r>
                    <w:rPr>
                      <w:rFonts w:ascii="Cambria Math" w:hAnsi="Cambria Math" w:cs="Arial"/>
                    </w:rPr>
                    <m:t>0.0161</m:t>
                  </m:r>
                </m:e>
              </m:d>
            </m:num>
            <m:den>
              <m:r>
                <w:rPr>
                  <w:rFonts w:ascii="Cambria Math" w:hAnsi="Cambria Math" w:cs="Arial"/>
                </w:rPr>
                <m:t>2</m:t>
              </m:r>
              <m:d>
                <m:dPr>
                  <m:ctrlPr>
                    <w:rPr>
                      <w:rFonts w:ascii="Cambria Math" w:hAnsi="Cambria Math" w:cs="Arial"/>
                      <w:i/>
                    </w:rPr>
                  </m:ctrlPr>
                </m:dPr>
                <m:e>
                  <m:r>
                    <w:rPr>
                      <w:rFonts w:ascii="Cambria Math" w:hAnsi="Cambria Math" w:cs="Arial"/>
                    </w:rPr>
                    <m:t>-0.0020</m:t>
                  </m:r>
                </m:e>
              </m:d>
            </m:den>
          </m:f>
          <m:r>
            <w:rPr>
              <w:rFonts w:ascii="Cambria Math" w:hAnsi="Cambria Math" w:cs="Arial"/>
            </w:rPr>
            <m:t>=-4.0669</m:t>
          </m:r>
        </m:oMath>
      </m:oMathPara>
    </w:p>
    <w:p w14:paraId="68F60A85" w14:textId="77777777" w:rsidR="00B476EA" w:rsidRDefault="00B476EA" w:rsidP="00697B05">
      <w:pPr>
        <w:jc w:val="both"/>
        <w:rPr>
          <w:rFonts w:ascii="Arial" w:hAnsi="Arial" w:cs="Arial"/>
        </w:rPr>
      </w:pPr>
    </w:p>
    <w:p w14:paraId="2BBB9451" w14:textId="61A1B858" w:rsidR="00AB0417" w:rsidRDefault="00AB0417" w:rsidP="00697B05">
      <w:pPr>
        <w:jc w:val="both"/>
        <w:rPr>
          <w:rFonts w:ascii="Arial" w:hAnsi="Arial" w:cs="Arial"/>
        </w:rPr>
      </w:pPr>
      <w:r w:rsidRPr="00AB0417">
        <w:rPr>
          <w:rFonts w:ascii="Arial" w:hAnsi="Arial" w:cs="Arial"/>
        </w:rPr>
        <w:t>The estimated inflation threshold of –4.0669 implies that inflation exerts a</w:t>
      </w:r>
      <w:r>
        <w:rPr>
          <w:rFonts w:ascii="Arial" w:hAnsi="Arial" w:cs="Arial"/>
        </w:rPr>
        <w:t xml:space="preserve"> </w:t>
      </w:r>
      <w:r w:rsidRPr="00AB0417">
        <w:rPr>
          <w:rFonts w:ascii="Arial" w:hAnsi="Arial" w:cs="Arial"/>
        </w:rPr>
        <w:t xml:space="preserve">significant adverse influence on economic growth once it rises beyond this level. This outcome is in line with the evidence produced by the robust TAR model. Moreover, the positive coefficients for capital formation and population growth reaffirm their roles as fundamental determinants of economic growth. Collectively, these findings provide </w:t>
      </w:r>
      <w:r>
        <w:rPr>
          <w:rFonts w:ascii="Arial" w:hAnsi="Arial" w:cs="Arial"/>
        </w:rPr>
        <w:t>robust</w:t>
      </w:r>
      <w:r w:rsidRPr="00AB0417">
        <w:rPr>
          <w:rFonts w:ascii="Arial" w:hAnsi="Arial" w:cs="Arial"/>
        </w:rPr>
        <w:t xml:space="preserve"> and consistent support for the existence of a non-linear inflation–growth relationship, as well as the beneficial role of investment and the working-age population as engines of growth.</w:t>
      </w:r>
    </w:p>
    <w:p w14:paraId="439D97BE" w14:textId="77777777" w:rsidR="00B476EA" w:rsidRDefault="00B476EA" w:rsidP="00697B05">
      <w:pPr>
        <w:jc w:val="both"/>
        <w:rPr>
          <w:rFonts w:ascii="Arial" w:hAnsi="Arial" w:cs="Arial"/>
        </w:rPr>
      </w:pPr>
    </w:p>
    <w:p w14:paraId="5307AE3A" w14:textId="77777777" w:rsidR="00B735C3" w:rsidRDefault="00B735C3" w:rsidP="00B735C3">
      <w:pPr>
        <w:jc w:val="both"/>
        <w:rPr>
          <w:rFonts w:ascii="Arial" w:hAnsi="Arial" w:cs="Arial"/>
        </w:rPr>
      </w:pPr>
      <w:r w:rsidRPr="00D22422">
        <w:rPr>
          <w:rFonts w:ascii="Arial" w:hAnsi="Arial" w:cs="Arial"/>
        </w:rPr>
        <w:t xml:space="preserve">From a policy perspective, the </w:t>
      </w:r>
      <w:r>
        <w:rPr>
          <w:rFonts w:ascii="Arial" w:hAnsi="Arial" w:cs="Arial"/>
        </w:rPr>
        <w:t xml:space="preserve">empirical </w:t>
      </w:r>
      <w:r w:rsidRPr="00D22422">
        <w:rPr>
          <w:rFonts w:ascii="Arial" w:hAnsi="Arial" w:cs="Arial"/>
        </w:rPr>
        <w:t>results suggest that maintaining inflation below the 3.75</w:t>
      </w:r>
      <w:r>
        <w:rPr>
          <w:rFonts w:ascii="Arial" w:hAnsi="Arial" w:cs="Arial"/>
        </w:rPr>
        <w:t xml:space="preserve"> percent</w:t>
      </w:r>
      <w:r w:rsidRPr="00D22422">
        <w:rPr>
          <w:rFonts w:ascii="Arial" w:hAnsi="Arial" w:cs="Arial"/>
        </w:rPr>
        <w:t xml:space="preserve"> threshold is critical for sustaining growth</w:t>
      </w:r>
      <w:r>
        <w:rPr>
          <w:rFonts w:ascii="Arial" w:hAnsi="Arial" w:cs="Arial"/>
        </w:rPr>
        <w:t xml:space="preserve"> in Indonesia</w:t>
      </w:r>
      <w:r w:rsidRPr="00D22422">
        <w:rPr>
          <w:rFonts w:ascii="Arial" w:hAnsi="Arial" w:cs="Arial"/>
        </w:rPr>
        <w:t>. When inflation is low, it does not significantly hinder</w:t>
      </w:r>
      <w:r>
        <w:rPr>
          <w:rFonts w:ascii="Arial" w:hAnsi="Arial" w:cs="Arial"/>
        </w:rPr>
        <w:t xml:space="preserve"> economic</w:t>
      </w:r>
      <w:r w:rsidRPr="00D22422">
        <w:rPr>
          <w:rFonts w:ascii="Arial" w:hAnsi="Arial" w:cs="Arial"/>
        </w:rPr>
        <w:t xml:space="preserve"> growth, allowing investment (capital formation) and population dynamics to play their positive roles. </w:t>
      </w:r>
      <w:r>
        <w:rPr>
          <w:rFonts w:ascii="Arial" w:hAnsi="Arial" w:cs="Arial"/>
        </w:rPr>
        <w:t>Nonetheless,</w:t>
      </w:r>
      <w:r w:rsidRPr="00D22422">
        <w:rPr>
          <w:rFonts w:ascii="Arial" w:hAnsi="Arial" w:cs="Arial"/>
        </w:rPr>
        <w:t xml:space="preserve"> once inflation rises above the threshold, it exerts a significant negative impact on economic growth, offsetting some of the benefits of capital accumulation and demographic expansion. This i</w:t>
      </w:r>
      <w:r>
        <w:rPr>
          <w:rFonts w:ascii="Arial" w:hAnsi="Arial" w:cs="Arial"/>
        </w:rPr>
        <w:t>ndicates</w:t>
      </w:r>
      <w:r w:rsidRPr="00D22422">
        <w:rPr>
          <w:rFonts w:ascii="Arial" w:hAnsi="Arial" w:cs="Arial"/>
        </w:rPr>
        <w:t xml:space="preserve"> that monetary authorities should adopt policies aimed at controlling inflation</w:t>
      </w:r>
      <w:r>
        <w:rPr>
          <w:rFonts w:ascii="Arial" w:hAnsi="Arial" w:cs="Arial"/>
        </w:rPr>
        <w:t xml:space="preserve"> rates</w:t>
      </w:r>
      <w:r w:rsidRPr="00D22422">
        <w:rPr>
          <w:rFonts w:ascii="Arial" w:hAnsi="Arial" w:cs="Arial"/>
        </w:rPr>
        <w:t xml:space="preserve"> through prudent fiscal management, monetary policy, and supply-side interventions</w:t>
      </w:r>
      <w:r>
        <w:rPr>
          <w:rFonts w:ascii="Arial" w:hAnsi="Arial" w:cs="Arial"/>
        </w:rPr>
        <w:t>.</w:t>
      </w:r>
      <w:r w:rsidRPr="00D22422">
        <w:rPr>
          <w:rFonts w:ascii="Arial" w:hAnsi="Arial" w:cs="Arial"/>
        </w:rPr>
        <w:t xml:space="preserve"> </w:t>
      </w:r>
      <w:r>
        <w:rPr>
          <w:rFonts w:ascii="Arial" w:hAnsi="Arial" w:cs="Arial"/>
        </w:rPr>
        <w:t>P</w:t>
      </w:r>
      <w:r w:rsidRPr="00B31BEA">
        <w:rPr>
          <w:rFonts w:ascii="Arial" w:hAnsi="Arial" w:cs="Arial"/>
        </w:rPr>
        <w:t>ublic policies that promote capital formation and enhance population</w:t>
      </w:r>
      <w:r>
        <w:rPr>
          <w:rFonts w:ascii="Arial" w:hAnsi="Arial" w:cs="Arial"/>
        </w:rPr>
        <w:t xml:space="preserve"> </w:t>
      </w:r>
      <w:r w:rsidRPr="00B31BEA">
        <w:rPr>
          <w:rFonts w:ascii="Arial" w:hAnsi="Arial" w:cs="Arial"/>
        </w:rPr>
        <w:t>productivity</w:t>
      </w:r>
      <w:r>
        <w:rPr>
          <w:rFonts w:ascii="Arial" w:hAnsi="Arial" w:cs="Arial"/>
        </w:rPr>
        <w:t xml:space="preserve"> </w:t>
      </w:r>
      <w:r w:rsidRPr="00D22422">
        <w:rPr>
          <w:rFonts w:ascii="Arial" w:hAnsi="Arial" w:cs="Arial"/>
        </w:rPr>
        <w:t xml:space="preserve">(such as education, health, and labor market efficiency) can further enhance </w:t>
      </w:r>
      <w:r>
        <w:rPr>
          <w:rFonts w:ascii="Arial" w:hAnsi="Arial" w:cs="Arial"/>
        </w:rPr>
        <w:t>development</w:t>
      </w:r>
      <w:r w:rsidRPr="00D22422">
        <w:rPr>
          <w:rFonts w:ascii="Arial" w:hAnsi="Arial" w:cs="Arial"/>
        </w:rPr>
        <w:t>. In summary, whil</w:t>
      </w:r>
      <w:r>
        <w:rPr>
          <w:rFonts w:ascii="Arial" w:hAnsi="Arial" w:cs="Arial"/>
        </w:rPr>
        <w:t>e</w:t>
      </w:r>
      <w:r w:rsidRPr="00D22422">
        <w:rPr>
          <w:rFonts w:ascii="Arial" w:hAnsi="Arial" w:cs="Arial"/>
        </w:rPr>
        <w:t xml:space="preserve"> </w:t>
      </w:r>
      <w:r>
        <w:rPr>
          <w:rFonts w:ascii="Arial" w:hAnsi="Arial" w:cs="Arial"/>
        </w:rPr>
        <w:t>capital formation</w:t>
      </w:r>
      <w:r w:rsidRPr="00D22422">
        <w:rPr>
          <w:rFonts w:ascii="Arial" w:hAnsi="Arial" w:cs="Arial"/>
        </w:rPr>
        <w:t xml:space="preserve"> and population growth are consistent drivers of </w:t>
      </w:r>
      <w:proofErr w:type="spellStart"/>
      <w:r>
        <w:rPr>
          <w:rFonts w:ascii="Arial" w:hAnsi="Arial" w:cs="Arial"/>
        </w:rPr>
        <w:t>econoic</w:t>
      </w:r>
      <w:proofErr w:type="spellEnd"/>
      <w:r>
        <w:rPr>
          <w:rFonts w:ascii="Arial" w:hAnsi="Arial" w:cs="Arial"/>
        </w:rPr>
        <w:t xml:space="preserve"> growth</w:t>
      </w:r>
      <w:r w:rsidRPr="00D22422">
        <w:rPr>
          <w:rFonts w:ascii="Arial" w:hAnsi="Arial" w:cs="Arial"/>
        </w:rPr>
        <w:t xml:space="preserve">, macroeconomic stability </w:t>
      </w:r>
      <w:r>
        <w:rPr>
          <w:rFonts w:ascii="Arial" w:hAnsi="Arial" w:cs="Arial"/>
        </w:rPr>
        <w:t>via</w:t>
      </w:r>
      <w:r w:rsidRPr="00D22422">
        <w:rPr>
          <w:rFonts w:ascii="Arial" w:hAnsi="Arial" w:cs="Arial"/>
        </w:rPr>
        <w:t xml:space="preserve"> inflation control is essential to safeguard their positive impact on the economy.</w:t>
      </w:r>
    </w:p>
    <w:p w14:paraId="017D5C6B" w14:textId="77777777" w:rsidR="00B735C3" w:rsidRDefault="00B735C3" w:rsidP="00697B05">
      <w:pPr>
        <w:jc w:val="both"/>
        <w:rPr>
          <w:rFonts w:ascii="Arial" w:hAnsi="Arial" w:cs="Arial"/>
        </w:rPr>
      </w:pPr>
    </w:p>
    <w:p w14:paraId="44CB040F" w14:textId="77777777" w:rsidR="00D22422" w:rsidRDefault="00D22422" w:rsidP="00697B05">
      <w:pPr>
        <w:jc w:val="both"/>
        <w:rPr>
          <w:rFonts w:ascii="Arial" w:hAnsi="Arial" w:cs="Arial"/>
        </w:rPr>
      </w:pPr>
    </w:p>
    <w:p w14:paraId="7F7D761F" w14:textId="77777777" w:rsidR="00D22422" w:rsidRDefault="00D22422" w:rsidP="00D22422">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0B2978AE" w14:textId="77777777" w:rsidR="00D22422" w:rsidRPr="00FB3A86" w:rsidRDefault="00D22422" w:rsidP="00D22422">
      <w:pPr>
        <w:pStyle w:val="ConcHead"/>
        <w:spacing w:after="0"/>
        <w:jc w:val="both"/>
        <w:rPr>
          <w:rFonts w:ascii="Arial" w:hAnsi="Arial" w:cs="Arial"/>
        </w:rPr>
      </w:pPr>
    </w:p>
    <w:p w14:paraId="6A3BB4DA" w14:textId="766F5812" w:rsidR="0074216E" w:rsidRDefault="00804D3E" w:rsidP="00D22422">
      <w:pPr>
        <w:jc w:val="both"/>
        <w:rPr>
          <w:rFonts w:ascii="Arial" w:hAnsi="Arial" w:cs="Arial"/>
        </w:rPr>
      </w:pPr>
      <w:r w:rsidRPr="00804D3E">
        <w:rPr>
          <w:rFonts w:ascii="Arial" w:hAnsi="Arial" w:cs="Arial"/>
        </w:rPr>
        <w:t xml:space="preserve">This study seeks to </w:t>
      </w:r>
      <w:r>
        <w:rPr>
          <w:rFonts w:ascii="Arial" w:hAnsi="Arial" w:cs="Arial"/>
        </w:rPr>
        <w:t>investigate</w:t>
      </w:r>
      <w:r w:rsidRPr="00804D3E">
        <w:rPr>
          <w:rFonts w:ascii="Arial" w:hAnsi="Arial" w:cs="Arial"/>
        </w:rPr>
        <w:t xml:space="preserve"> the inflation threshold relevant to </w:t>
      </w:r>
      <w:r>
        <w:rPr>
          <w:rFonts w:ascii="Arial" w:hAnsi="Arial" w:cs="Arial"/>
        </w:rPr>
        <w:t>economic</w:t>
      </w:r>
      <w:r w:rsidRPr="00804D3E">
        <w:rPr>
          <w:rFonts w:ascii="Arial" w:hAnsi="Arial" w:cs="Arial"/>
        </w:rPr>
        <w:t xml:space="preserve"> growt</w:t>
      </w:r>
      <w:r>
        <w:rPr>
          <w:rFonts w:ascii="Arial" w:hAnsi="Arial" w:cs="Arial"/>
        </w:rPr>
        <w:t>h</w:t>
      </w:r>
      <w:r w:rsidRPr="00804D3E">
        <w:rPr>
          <w:rFonts w:ascii="Arial" w:hAnsi="Arial" w:cs="Arial"/>
        </w:rPr>
        <w:t xml:space="preserve"> while simultaneously accounting for the effects of capital formation and </w:t>
      </w:r>
      <w:r w:rsidR="0074216E">
        <w:rPr>
          <w:rFonts w:ascii="Arial" w:hAnsi="Arial" w:cs="Arial"/>
        </w:rPr>
        <w:t>the working-age population</w:t>
      </w:r>
      <w:r w:rsidRPr="00804D3E">
        <w:rPr>
          <w:rFonts w:ascii="Arial" w:hAnsi="Arial" w:cs="Arial"/>
        </w:rPr>
        <w:t xml:space="preserve"> growth, using annual data spanning the period 199</w:t>
      </w:r>
      <w:r w:rsidR="0074216E">
        <w:rPr>
          <w:rFonts w:ascii="Arial" w:hAnsi="Arial" w:cs="Arial"/>
        </w:rPr>
        <w:t>1</w:t>
      </w:r>
      <w:r w:rsidRPr="00804D3E">
        <w:rPr>
          <w:rFonts w:ascii="Arial" w:hAnsi="Arial" w:cs="Arial"/>
        </w:rPr>
        <w:t>–2024</w:t>
      </w:r>
      <w:r>
        <w:rPr>
          <w:rFonts w:ascii="Arial" w:hAnsi="Arial" w:cs="Arial"/>
        </w:rPr>
        <w:t xml:space="preserve">. </w:t>
      </w:r>
      <w:r w:rsidR="00697B05" w:rsidRPr="00D22422">
        <w:rPr>
          <w:rFonts w:ascii="Arial" w:hAnsi="Arial" w:cs="Arial"/>
        </w:rPr>
        <w:t xml:space="preserve">The </w:t>
      </w:r>
      <w:proofErr w:type="spellStart"/>
      <w:r w:rsidR="0074216E">
        <w:rPr>
          <w:rFonts w:ascii="Arial" w:hAnsi="Arial" w:cs="Arial"/>
        </w:rPr>
        <w:t>tobust</w:t>
      </w:r>
      <w:proofErr w:type="spellEnd"/>
      <w:r w:rsidR="0074216E">
        <w:rPr>
          <w:rFonts w:ascii="Arial" w:hAnsi="Arial" w:cs="Arial"/>
        </w:rPr>
        <w:t xml:space="preserve"> TAR</w:t>
      </w:r>
      <w:r w:rsidR="00697B05" w:rsidRPr="00D22422">
        <w:rPr>
          <w:rFonts w:ascii="Arial" w:hAnsi="Arial" w:cs="Arial"/>
        </w:rPr>
        <w:t xml:space="preserve"> analysis reveals that capital formation and population growth consistently foster GDP growth, while inflation only becomes detrimental once it surpasses the critical threshold of 3.</w:t>
      </w:r>
      <w:r w:rsidR="0074216E">
        <w:rPr>
          <w:rFonts w:ascii="Arial" w:hAnsi="Arial" w:cs="Arial"/>
        </w:rPr>
        <w:t>82</w:t>
      </w:r>
      <w:r w:rsidR="00697B05" w:rsidRPr="00D22422">
        <w:rPr>
          <w:rFonts w:ascii="Arial" w:hAnsi="Arial" w:cs="Arial"/>
        </w:rPr>
        <w:t xml:space="preserve"> percent. </w:t>
      </w:r>
      <w:r w:rsidR="0074216E" w:rsidRPr="0074216E">
        <w:rPr>
          <w:rFonts w:ascii="Arial" w:hAnsi="Arial" w:cs="Arial"/>
        </w:rPr>
        <w:t xml:space="preserve">Below this level, inflation exerts no significant effect, suggesting the neutrality hypothesis and allowing capital formation and demographic dynamics to drive economic expansion. Nonetheless, once inflation exceeds the threshold, it significantly reduces economic growth, indicating that macroeconomic instability undermines the positive effects of capital formation and population growth. These findings underscore the </w:t>
      </w:r>
      <w:r w:rsidR="0074216E">
        <w:rPr>
          <w:rFonts w:ascii="Arial" w:hAnsi="Arial" w:cs="Arial"/>
        </w:rPr>
        <w:t xml:space="preserve">important </w:t>
      </w:r>
      <w:r w:rsidR="0074216E" w:rsidRPr="0074216E">
        <w:rPr>
          <w:rFonts w:ascii="Arial" w:hAnsi="Arial" w:cs="Arial"/>
        </w:rPr>
        <w:t>of ensuring price stability</w:t>
      </w:r>
      <w:r w:rsidR="0074216E">
        <w:rPr>
          <w:rFonts w:ascii="Arial" w:hAnsi="Arial" w:cs="Arial"/>
        </w:rPr>
        <w:t xml:space="preserve"> </w:t>
      </w:r>
      <w:r w:rsidR="0074216E" w:rsidRPr="0074216E">
        <w:rPr>
          <w:rFonts w:ascii="Arial" w:hAnsi="Arial" w:cs="Arial"/>
        </w:rPr>
        <w:t>to ensure that key growth drivers remain effective. Therefore, policy frameworks should prioritize inflation control while concurrently promoting investment and enhancing population productivity</w:t>
      </w:r>
    </w:p>
    <w:p w14:paraId="13DF4E35" w14:textId="77777777" w:rsidR="0074216E" w:rsidRDefault="0074216E" w:rsidP="00D22422">
      <w:pPr>
        <w:jc w:val="both"/>
        <w:rPr>
          <w:rFonts w:ascii="Arial" w:hAnsi="Arial" w:cs="Arial"/>
        </w:rPr>
      </w:pPr>
    </w:p>
    <w:p w14:paraId="52C93376" w14:textId="426979FF" w:rsidR="00315186" w:rsidRDefault="00804D3E" w:rsidP="00AC6FA5">
      <w:pPr>
        <w:jc w:val="both"/>
        <w:rPr>
          <w:rFonts w:ascii="Arial" w:hAnsi="Arial" w:cs="Arial"/>
        </w:rPr>
      </w:pPr>
      <w:r w:rsidRPr="00804D3E">
        <w:rPr>
          <w:rFonts w:ascii="Arial" w:hAnsi="Arial" w:cs="Arial"/>
        </w:rPr>
        <w:t>More detailed policy recommendations are outlined as follows:</w:t>
      </w:r>
      <w:r w:rsidR="00697B05" w:rsidRPr="00D22422">
        <w:rPr>
          <w:rFonts w:ascii="Arial" w:hAnsi="Arial" w:cs="Arial"/>
        </w:rPr>
        <w:t xml:space="preserve"> </w:t>
      </w:r>
      <w:r w:rsidRPr="00804D3E">
        <w:rPr>
          <w:rFonts w:ascii="Arial" w:hAnsi="Arial" w:cs="Arial"/>
        </w:rPr>
        <w:t xml:space="preserve">First, maintaining inflation </w:t>
      </w:r>
      <w:r w:rsidR="00850A62">
        <w:rPr>
          <w:rFonts w:ascii="Arial" w:hAnsi="Arial" w:cs="Arial"/>
        </w:rPr>
        <w:t xml:space="preserve">rates </w:t>
      </w:r>
      <w:r w:rsidRPr="00804D3E">
        <w:rPr>
          <w:rFonts w:ascii="Arial" w:hAnsi="Arial" w:cs="Arial"/>
        </w:rPr>
        <w:t>below the</w:t>
      </w:r>
      <w:r w:rsidR="0074216E">
        <w:rPr>
          <w:rFonts w:ascii="Arial" w:hAnsi="Arial" w:cs="Arial"/>
        </w:rPr>
        <w:t xml:space="preserve"> calculated</w:t>
      </w:r>
      <w:r w:rsidRPr="00804D3E">
        <w:rPr>
          <w:rFonts w:ascii="Arial" w:hAnsi="Arial" w:cs="Arial"/>
        </w:rPr>
        <w:t xml:space="preserve"> threshold of 3.</w:t>
      </w:r>
      <w:r w:rsidR="0074216E">
        <w:rPr>
          <w:rFonts w:ascii="Arial" w:hAnsi="Arial" w:cs="Arial"/>
        </w:rPr>
        <w:t>82</w:t>
      </w:r>
      <w:r w:rsidRPr="00804D3E">
        <w:rPr>
          <w:rFonts w:ascii="Arial" w:hAnsi="Arial" w:cs="Arial"/>
        </w:rPr>
        <w:t xml:space="preserve"> percent is </w:t>
      </w:r>
      <w:r w:rsidR="0074216E">
        <w:rPr>
          <w:rFonts w:ascii="Arial" w:hAnsi="Arial" w:cs="Arial"/>
        </w:rPr>
        <w:t>critical</w:t>
      </w:r>
      <w:r w:rsidRPr="00804D3E">
        <w:rPr>
          <w:rFonts w:ascii="Arial" w:hAnsi="Arial" w:cs="Arial"/>
        </w:rPr>
        <w:t>, as inflation above this level</w:t>
      </w:r>
      <w:r w:rsidR="0074216E">
        <w:rPr>
          <w:rFonts w:ascii="Arial" w:hAnsi="Arial" w:cs="Arial"/>
        </w:rPr>
        <w:t xml:space="preserve"> </w:t>
      </w:r>
      <w:r w:rsidRPr="00804D3E">
        <w:rPr>
          <w:rFonts w:ascii="Arial" w:hAnsi="Arial" w:cs="Arial"/>
        </w:rPr>
        <w:t xml:space="preserve">hinders economic growth. Second, strengthening monetary and fiscal discipline is </w:t>
      </w:r>
      <w:r>
        <w:rPr>
          <w:rFonts w:ascii="Arial" w:hAnsi="Arial" w:cs="Arial"/>
        </w:rPr>
        <w:t>important</w:t>
      </w:r>
      <w:r w:rsidRPr="00804D3E">
        <w:rPr>
          <w:rFonts w:ascii="Arial" w:hAnsi="Arial" w:cs="Arial"/>
        </w:rPr>
        <w:t xml:space="preserve">, since sound monetary policy and prudent fiscal management help contain inflationary pressures. </w:t>
      </w:r>
      <w:r w:rsidR="00850A62" w:rsidRPr="00850A62">
        <w:rPr>
          <w:rFonts w:ascii="Arial" w:hAnsi="Arial" w:cs="Arial"/>
        </w:rPr>
        <w:t xml:space="preserve">Third, the promotion of capital formation should be accorded priority by fostering both private and public investment in productive sectors, thereby </w:t>
      </w:r>
      <w:r w:rsidR="00AC6FA5">
        <w:rPr>
          <w:rFonts w:ascii="Arial" w:hAnsi="Arial" w:cs="Arial"/>
        </w:rPr>
        <w:t>driving</w:t>
      </w:r>
      <w:r w:rsidR="00850A62" w:rsidRPr="00850A62">
        <w:rPr>
          <w:rFonts w:ascii="Arial" w:hAnsi="Arial" w:cs="Arial"/>
        </w:rPr>
        <w:t xml:space="preserve"> sustainable long-</w:t>
      </w:r>
      <w:r w:rsidR="00AC6FA5">
        <w:rPr>
          <w:rFonts w:ascii="Arial" w:hAnsi="Arial" w:cs="Arial"/>
        </w:rPr>
        <w:t>run</w:t>
      </w:r>
      <w:r w:rsidR="00850A62" w:rsidRPr="00850A62">
        <w:rPr>
          <w:rFonts w:ascii="Arial" w:hAnsi="Arial" w:cs="Arial"/>
        </w:rPr>
        <w:t xml:space="preserve"> economic growth.</w:t>
      </w:r>
      <w:r w:rsidR="00850A62">
        <w:rPr>
          <w:rFonts w:ascii="Arial" w:hAnsi="Arial" w:cs="Arial"/>
        </w:rPr>
        <w:t xml:space="preserve"> </w:t>
      </w:r>
      <w:r w:rsidR="00850A62" w:rsidRPr="00850A62">
        <w:rPr>
          <w:rFonts w:ascii="Arial" w:hAnsi="Arial" w:cs="Arial"/>
        </w:rPr>
        <w:t>F</w:t>
      </w:r>
      <w:r w:rsidR="00AC6FA5">
        <w:rPr>
          <w:rFonts w:ascii="Arial" w:hAnsi="Arial" w:cs="Arial"/>
        </w:rPr>
        <w:t>inally</w:t>
      </w:r>
      <w:r w:rsidR="00850A62" w:rsidRPr="00850A62">
        <w:rPr>
          <w:rFonts w:ascii="Arial" w:hAnsi="Arial" w:cs="Arial"/>
        </w:rPr>
        <w:t xml:space="preserve">, enhancing population productivity requires increased investment, particularly in education and healthcare, to </w:t>
      </w:r>
      <w:r w:rsidR="00850A62">
        <w:rPr>
          <w:rFonts w:ascii="Arial" w:hAnsi="Arial" w:cs="Arial"/>
        </w:rPr>
        <w:t>optimize</w:t>
      </w:r>
      <w:r w:rsidR="00850A62" w:rsidRPr="00850A62">
        <w:rPr>
          <w:rFonts w:ascii="Arial" w:hAnsi="Arial" w:cs="Arial"/>
        </w:rPr>
        <w:t xml:space="preserve"> the</w:t>
      </w:r>
      <w:r w:rsidR="00850A62">
        <w:rPr>
          <w:rFonts w:ascii="Arial" w:hAnsi="Arial" w:cs="Arial"/>
        </w:rPr>
        <w:t xml:space="preserve"> beneficial impact</w:t>
      </w:r>
      <w:r w:rsidR="00850A62" w:rsidRPr="00850A62">
        <w:rPr>
          <w:rFonts w:ascii="Arial" w:hAnsi="Arial" w:cs="Arial"/>
        </w:rPr>
        <w:t xml:space="preserve"> of demographic</w:t>
      </w:r>
      <w:r w:rsidR="00850A62">
        <w:rPr>
          <w:rFonts w:ascii="Arial" w:hAnsi="Arial" w:cs="Arial"/>
        </w:rPr>
        <w:t xml:space="preserve"> trends</w:t>
      </w:r>
      <w:r w:rsidR="00AC6FA5">
        <w:rPr>
          <w:rFonts w:ascii="Arial" w:hAnsi="Arial" w:cs="Arial"/>
        </w:rPr>
        <w:t>.</w:t>
      </w:r>
    </w:p>
    <w:p w14:paraId="25ED1F17" w14:textId="77777777" w:rsidR="00AC6FA5" w:rsidRPr="00315186" w:rsidRDefault="00AC6FA5" w:rsidP="00AC6FA5">
      <w:pPr>
        <w:jc w:val="both"/>
      </w:pPr>
    </w:p>
    <w:p w14:paraId="43D52F40" w14:textId="77777777" w:rsidR="00F6099A" w:rsidRPr="00F6099A" w:rsidRDefault="00F6099A" w:rsidP="00F6099A">
      <w:pPr>
        <w:spacing w:after="200" w:line="276" w:lineRule="auto"/>
        <w:rPr>
          <w:rFonts w:ascii="Calibri" w:eastAsia="Calibri" w:hAnsi="Calibri"/>
          <w:b/>
          <w:kern w:val="2"/>
          <w:sz w:val="22"/>
          <w:szCs w:val="22"/>
          <w14:ligatures w14:val="standardContextual"/>
        </w:rPr>
      </w:pPr>
      <w:bookmarkStart w:id="0" w:name="_GoBack"/>
      <w:r w:rsidRPr="00F6099A">
        <w:rPr>
          <w:rFonts w:ascii="Calibri" w:eastAsia="Calibri" w:hAnsi="Calibri"/>
          <w:b/>
          <w:kern w:val="2"/>
          <w:sz w:val="22"/>
          <w:szCs w:val="22"/>
          <w14:ligatures w14:val="standardContextual"/>
        </w:rPr>
        <w:t>Disclaimer (Artificial intelligence)</w:t>
      </w:r>
    </w:p>
    <w:bookmarkEnd w:id="0"/>
    <w:p w14:paraId="6482813D" w14:textId="77777777" w:rsidR="00F6099A" w:rsidRPr="00F6099A" w:rsidRDefault="00F6099A" w:rsidP="00F6099A">
      <w:pPr>
        <w:spacing w:after="200" w:line="276" w:lineRule="auto"/>
        <w:rPr>
          <w:rFonts w:ascii="Calibri" w:eastAsia="Calibri" w:hAnsi="Calibri"/>
          <w:kern w:val="2"/>
          <w:sz w:val="22"/>
          <w:szCs w:val="22"/>
          <w14:ligatures w14:val="standardContextual"/>
        </w:rPr>
      </w:pPr>
      <w:r w:rsidRPr="00F6099A">
        <w:rPr>
          <w:rFonts w:ascii="Calibri" w:eastAsia="Calibri" w:hAnsi="Calibri"/>
          <w:kern w:val="2"/>
          <w:sz w:val="22"/>
          <w:szCs w:val="22"/>
          <w14:ligatures w14:val="standardContextual"/>
        </w:rPr>
        <w:t xml:space="preserve">Option 1: </w:t>
      </w:r>
    </w:p>
    <w:p w14:paraId="7DA4FCF0" w14:textId="77777777" w:rsidR="00F6099A" w:rsidRPr="00F6099A" w:rsidRDefault="00F6099A" w:rsidP="00F6099A">
      <w:pPr>
        <w:spacing w:after="200" w:line="276" w:lineRule="auto"/>
        <w:rPr>
          <w:rFonts w:ascii="Calibri" w:eastAsia="Calibri" w:hAnsi="Calibri"/>
          <w:kern w:val="2"/>
          <w:sz w:val="22"/>
          <w:szCs w:val="22"/>
          <w14:ligatures w14:val="standardContextual"/>
        </w:rPr>
      </w:pPr>
      <w:r w:rsidRPr="00F6099A">
        <w:rPr>
          <w:rFonts w:ascii="Calibri" w:eastAsia="Calibri" w:hAnsi="Calibri"/>
          <w:kern w:val="2"/>
          <w:sz w:val="22"/>
          <w:szCs w:val="22"/>
          <w14:ligatures w14:val="standardContextual"/>
        </w:rPr>
        <w:t>Author(s) hereby declare that NO generative AI technologies such as Large Language Models (</w:t>
      </w:r>
      <w:proofErr w:type="spellStart"/>
      <w:r w:rsidRPr="00F6099A">
        <w:rPr>
          <w:rFonts w:ascii="Calibri" w:eastAsia="Calibri" w:hAnsi="Calibri"/>
          <w:kern w:val="2"/>
          <w:sz w:val="22"/>
          <w:szCs w:val="22"/>
          <w14:ligatures w14:val="standardContextual"/>
        </w:rPr>
        <w:t>ChatGPT</w:t>
      </w:r>
      <w:proofErr w:type="spellEnd"/>
      <w:r w:rsidRPr="00F6099A">
        <w:rPr>
          <w:rFonts w:ascii="Calibri" w:eastAsia="Calibri" w:hAnsi="Calibri"/>
          <w:kern w:val="2"/>
          <w:sz w:val="22"/>
          <w:szCs w:val="22"/>
          <w14:ligatures w14:val="standardContextual"/>
        </w:rPr>
        <w:t xml:space="preserve">, COPILOT, etc.) and text-to-image generators have been used during the writing or editing of this manuscript. </w:t>
      </w:r>
    </w:p>
    <w:p w14:paraId="3D888616" w14:textId="77777777" w:rsidR="00F6099A" w:rsidRPr="00F6099A" w:rsidRDefault="00F6099A" w:rsidP="00F6099A">
      <w:pPr>
        <w:spacing w:after="200" w:line="276" w:lineRule="auto"/>
        <w:rPr>
          <w:rFonts w:ascii="Calibri" w:eastAsia="Calibri" w:hAnsi="Calibri"/>
          <w:kern w:val="2"/>
          <w:sz w:val="22"/>
          <w:szCs w:val="22"/>
          <w14:ligatures w14:val="standardContextual"/>
        </w:rPr>
      </w:pPr>
      <w:r w:rsidRPr="00F6099A">
        <w:rPr>
          <w:rFonts w:ascii="Calibri" w:eastAsia="Calibri" w:hAnsi="Calibri"/>
          <w:kern w:val="2"/>
          <w:sz w:val="22"/>
          <w:szCs w:val="22"/>
          <w14:ligatures w14:val="standardContextual"/>
        </w:rPr>
        <w:t xml:space="preserve">Option 2: </w:t>
      </w:r>
    </w:p>
    <w:p w14:paraId="398CE06B" w14:textId="77777777" w:rsidR="00F6099A" w:rsidRPr="00F6099A" w:rsidRDefault="00F6099A" w:rsidP="00F6099A">
      <w:pPr>
        <w:spacing w:after="200" w:line="276" w:lineRule="auto"/>
        <w:rPr>
          <w:rFonts w:ascii="Calibri" w:eastAsia="Calibri" w:hAnsi="Calibri"/>
          <w:kern w:val="2"/>
          <w:sz w:val="22"/>
          <w:szCs w:val="22"/>
          <w14:ligatures w14:val="standardContextual"/>
        </w:rPr>
      </w:pPr>
      <w:r w:rsidRPr="00F6099A">
        <w:rPr>
          <w:rFonts w:ascii="Calibri" w:eastAsia="Calibri" w:hAnsi="Calibri"/>
          <w:kern w:val="2"/>
          <w:sz w:val="22"/>
          <w:szCs w:val="22"/>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C8A4E52" w14:textId="77777777" w:rsidR="00F6099A" w:rsidRPr="00F6099A" w:rsidRDefault="00F6099A" w:rsidP="00F6099A">
      <w:pPr>
        <w:spacing w:after="200" w:line="276" w:lineRule="auto"/>
        <w:rPr>
          <w:rFonts w:ascii="Calibri" w:eastAsia="Calibri" w:hAnsi="Calibri"/>
          <w:kern w:val="2"/>
          <w:sz w:val="22"/>
          <w:szCs w:val="22"/>
          <w14:ligatures w14:val="standardContextual"/>
        </w:rPr>
      </w:pPr>
      <w:r w:rsidRPr="00F6099A">
        <w:rPr>
          <w:rFonts w:ascii="Calibri" w:eastAsia="Calibri" w:hAnsi="Calibri"/>
          <w:kern w:val="2"/>
          <w:sz w:val="22"/>
          <w:szCs w:val="22"/>
          <w14:ligatures w14:val="standardContextual"/>
        </w:rPr>
        <w:t>Details of the AI usage are given below:</w:t>
      </w:r>
    </w:p>
    <w:p w14:paraId="10EB9DBF" w14:textId="77777777" w:rsidR="00F6099A" w:rsidRPr="00F6099A" w:rsidRDefault="00F6099A" w:rsidP="00F6099A">
      <w:pPr>
        <w:spacing w:after="200" w:line="276" w:lineRule="auto"/>
        <w:rPr>
          <w:rFonts w:ascii="Calibri" w:eastAsia="Calibri" w:hAnsi="Calibri"/>
          <w:kern w:val="2"/>
          <w:sz w:val="22"/>
          <w:szCs w:val="22"/>
          <w14:ligatures w14:val="standardContextual"/>
        </w:rPr>
      </w:pPr>
      <w:r w:rsidRPr="00F6099A">
        <w:rPr>
          <w:rFonts w:ascii="Calibri" w:eastAsia="Calibri" w:hAnsi="Calibri"/>
          <w:kern w:val="2"/>
          <w:sz w:val="22"/>
          <w:szCs w:val="22"/>
          <w14:ligatures w14:val="standardContextual"/>
        </w:rPr>
        <w:t>1.</w:t>
      </w:r>
    </w:p>
    <w:p w14:paraId="3A0F68E7" w14:textId="77777777" w:rsidR="00F6099A" w:rsidRPr="00F6099A" w:rsidRDefault="00F6099A" w:rsidP="00F6099A">
      <w:pPr>
        <w:spacing w:after="200" w:line="276" w:lineRule="auto"/>
        <w:rPr>
          <w:rFonts w:ascii="Calibri" w:eastAsia="Calibri" w:hAnsi="Calibri"/>
          <w:kern w:val="2"/>
          <w:sz w:val="22"/>
          <w:szCs w:val="22"/>
          <w14:ligatures w14:val="standardContextual"/>
        </w:rPr>
      </w:pPr>
      <w:r w:rsidRPr="00F6099A">
        <w:rPr>
          <w:rFonts w:ascii="Calibri" w:eastAsia="Calibri" w:hAnsi="Calibri"/>
          <w:kern w:val="2"/>
          <w:sz w:val="22"/>
          <w:szCs w:val="22"/>
          <w14:ligatures w14:val="standardContextual"/>
        </w:rPr>
        <w:t>2.</w:t>
      </w:r>
    </w:p>
    <w:p w14:paraId="7C382873" w14:textId="77777777" w:rsidR="00F6099A" w:rsidRPr="00F6099A" w:rsidRDefault="00F6099A" w:rsidP="00F6099A">
      <w:pPr>
        <w:spacing w:after="200" w:line="276" w:lineRule="auto"/>
        <w:rPr>
          <w:rFonts w:ascii="Calibri" w:eastAsia="Calibri" w:hAnsi="Calibri"/>
          <w:kern w:val="2"/>
          <w:sz w:val="22"/>
          <w:szCs w:val="22"/>
          <w14:ligatures w14:val="standardContextual"/>
        </w:rPr>
      </w:pPr>
      <w:r w:rsidRPr="00F6099A">
        <w:rPr>
          <w:rFonts w:ascii="Calibri" w:eastAsia="Calibri" w:hAnsi="Calibri"/>
          <w:kern w:val="2"/>
          <w:sz w:val="22"/>
          <w:szCs w:val="22"/>
          <w14:ligatures w14:val="standardContextual"/>
        </w:rPr>
        <w:t>3.</w:t>
      </w:r>
    </w:p>
    <w:p w14:paraId="1BA4D706" w14:textId="6ED717C4" w:rsidR="00850A62" w:rsidRDefault="00850A62" w:rsidP="00441B6F">
      <w:pPr>
        <w:pStyle w:val="ReferHead"/>
        <w:spacing w:after="0"/>
        <w:jc w:val="both"/>
        <w:rPr>
          <w:rFonts w:ascii="Arial" w:hAnsi="Arial" w:cs="Arial"/>
          <w:bCs/>
        </w:rPr>
      </w:pPr>
    </w:p>
    <w:p w14:paraId="4CB79FE1" w14:textId="1942093F" w:rsidR="00F6099A" w:rsidRDefault="00F6099A" w:rsidP="00441B6F">
      <w:pPr>
        <w:pStyle w:val="ReferHead"/>
        <w:spacing w:after="0"/>
        <w:jc w:val="both"/>
        <w:rPr>
          <w:rFonts w:ascii="Arial" w:hAnsi="Arial" w:cs="Arial"/>
          <w:bCs/>
        </w:rPr>
      </w:pPr>
    </w:p>
    <w:p w14:paraId="1569791A" w14:textId="77777777" w:rsidR="00F6099A" w:rsidRDefault="00F6099A" w:rsidP="00441B6F">
      <w:pPr>
        <w:pStyle w:val="ReferHead"/>
        <w:spacing w:after="0"/>
        <w:jc w:val="both"/>
        <w:rPr>
          <w:rFonts w:ascii="Arial" w:hAnsi="Arial" w:cs="Arial"/>
          <w:bCs/>
        </w:rPr>
      </w:pPr>
    </w:p>
    <w:p w14:paraId="784D5F9C" w14:textId="084B092F" w:rsidR="00371FB6" w:rsidRDefault="00371FB6" w:rsidP="00441B6F">
      <w:pPr>
        <w:pStyle w:val="ReferHead"/>
        <w:spacing w:after="0"/>
        <w:jc w:val="both"/>
        <w:rPr>
          <w:rFonts w:ascii="Arial" w:hAnsi="Arial" w:cs="Arial"/>
          <w:bCs/>
        </w:rPr>
      </w:pPr>
      <w:r w:rsidRPr="00371FB6">
        <w:rPr>
          <w:rFonts w:ascii="Arial" w:hAnsi="Arial" w:cs="Arial"/>
          <w:bCs/>
        </w:rPr>
        <w:t>Authors’ Contributions</w:t>
      </w:r>
    </w:p>
    <w:p w14:paraId="607E0786" w14:textId="77777777" w:rsidR="00077AC7" w:rsidRDefault="00077AC7" w:rsidP="00441B6F">
      <w:pPr>
        <w:pStyle w:val="ReferHead"/>
        <w:spacing w:after="0"/>
        <w:jc w:val="both"/>
        <w:rPr>
          <w:rFonts w:ascii="Arial" w:hAnsi="Arial" w:cs="Arial"/>
          <w:bCs/>
        </w:rPr>
      </w:pPr>
    </w:p>
    <w:p w14:paraId="7323F81A" w14:textId="3E6E5C43" w:rsidR="00077AC7" w:rsidRPr="00077AC7" w:rsidRDefault="00077AC7" w:rsidP="00441B6F">
      <w:pPr>
        <w:pStyle w:val="ReferHead"/>
        <w:spacing w:after="0"/>
        <w:jc w:val="both"/>
        <w:rPr>
          <w:rFonts w:ascii="Arial" w:hAnsi="Arial" w:cs="Arial"/>
          <w:b w:val="0"/>
        </w:rPr>
      </w:pPr>
      <w:r w:rsidRPr="00077AC7">
        <w:rPr>
          <w:rFonts w:ascii="Arial" w:hAnsi="Arial" w:cs="Arial"/>
          <w:b w:val="0"/>
          <w:caps w:val="0"/>
        </w:rPr>
        <w:t xml:space="preserve">The sole author designed, </w:t>
      </w:r>
      <w:proofErr w:type="spellStart"/>
      <w:r w:rsidRPr="00077AC7">
        <w:rPr>
          <w:rFonts w:ascii="Arial" w:hAnsi="Arial" w:cs="Arial"/>
          <w:b w:val="0"/>
          <w:caps w:val="0"/>
        </w:rPr>
        <w:t>analysed</w:t>
      </w:r>
      <w:proofErr w:type="spellEnd"/>
      <w:r w:rsidRPr="00077AC7">
        <w:rPr>
          <w:rFonts w:ascii="Arial" w:hAnsi="Arial" w:cs="Arial"/>
          <w:b w:val="0"/>
          <w:caps w:val="0"/>
        </w:rPr>
        <w:t>, interpreted and prepared the manuscript.</w:t>
      </w:r>
    </w:p>
    <w:p w14:paraId="6F7BD42B" w14:textId="77777777" w:rsidR="00860000" w:rsidRDefault="00860000" w:rsidP="00441B6F">
      <w:pPr>
        <w:pStyle w:val="ReferHead"/>
        <w:spacing w:after="0"/>
        <w:jc w:val="both"/>
        <w:rPr>
          <w:rFonts w:ascii="Arial" w:hAnsi="Arial" w:cs="Arial"/>
        </w:rPr>
      </w:pPr>
    </w:p>
    <w:p w14:paraId="7C87717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31938E6" w14:textId="77777777" w:rsidR="00790ADA" w:rsidRDefault="00790ADA" w:rsidP="00441B6F">
      <w:pPr>
        <w:pStyle w:val="ReferHead"/>
        <w:spacing w:after="0"/>
        <w:jc w:val="both"/>
        <w:rPr>
          <w:rFonts w:ascii="Arial" w:hAnsi="Arial" w:cs="Arial"/>
        </w:rPr>
      </w:pPr>
    </w:p>
    <w:p w14:paraId="39CD82AC" w14:textId="773B143B" w:rsidR="00C601F0" w:rsidRPr="00DF4806" w:rsidRDefault="00850A62" w:rsidP="00DF4806">
      <w:pPr>
        <w:pStyle w:val="ListParagraph"/>
        <w:widowControl w:val="0"/>
        <w:numPr>
          <w:ilvl w:val="0"/>
          <w:numId w:val="33"/>
        </w:numPr>
        <w:autoSpaceDE w:val="0"/>
        <w:autoSpaceDN w:val="0"/>
        <w:adjustRightInd w:val="0"/>
        <w:rPr>
          <w:rFonts w:ascii="Arial" w:hAnsi="Arial" w:cs="Arial"/>
          <w:noProof/>
        </w:rPr>
      </w:pPr>
      <w:r>
        <w:rPr>
          <w:rFonts w:ascii="Arial" w:hAnsi="Arial" w:cs="Arial"/>
        </w:rPr>
        <w:fldChar w:fldCharType="begin" w:fldLock="1"/>
      </w:r>
      <w:r w:rsidRPr="00DF4806">
        <w:rPr>
          <w:rFonts w:ascii="Arial" w:hAnsi="Arial" w:cs="Arial"/>
        </w:rPr>
        <w:instrText xml:space="preserve">ADDIN Mendeley Bibliography CSL_BIBLIOGRAPHY </w:instrText>
      </w:r>
      <w:r>
        <w:rPr>
          <w:rFonts w:ascii="Arial" w:hAnsi="Arial" w:cs="Arial"/>
        </w:rPr>
        <w:fldChar w:fldCharType="separate"/>
      </w:r>
      <w:r w:rsidR="00C601F0" w:rsidRPr="00DF4806">
        <w:rPr>
          <w:rFonts w:ascii="Arial" w:hAnsi="Arial" w:cs="Arial"/>
          <w:noProof/>
        </w:rPr>
        <w:t xml:space="preserve">Adeyemi, O., Afolabi, A., Olawumi, A., &amp; Okunade, S. (2023). Inflation and Growth Nexus Re-visited: Financial and Practical Implications of the Threshold Effect in Nigeria. </w:t>
      </w:r>
      <w:r w:rsidR="00C601F0" w:rsidRPr="00DF4806">
        <w:rPr>
          <w:rFonts w:ascii="Arial" w:hAnsi="Arial" w:cs="Arial"/>
          <w:i/>
          <w:iCs/>
          <w:noProof/>
        </w:rPr>
        <w:t>NIU Journal of Social Sciences</w:t>
      </w:r>
      <w:r w:rsidR="00C601F0" w:rsidRPr="00DF4806">
        <w:rPr>
          <w:rFonts w:ascii="Arial" w:hAnsi="Arial" w:cs="Arial"/>
          <w:noProof/>
        </w:rPr>
        <w:t xml:space="preserve">, </w:t>
      </w:r>
      <w:r w:rsidR="00C601F0" w:rsidRPr="00DF4806">
        <w:rPr>
          <w:rFonts w:ascii="Arial" w:hAnsi="Arial" w:cs="Arial"/>
          <w:i/>
          <w:iCs/>
          <w:noProof/>
        </w:rPr>
        <w:t>9</w:t>
      </w:r>
      <w:r w:rsidR="00C601F0" w:rsidRPr="00DF4806">
        <w:rPr>
          <w:rFonts w:ascii="Arial" w:hAnsi="Arial" w:cs="Arial"/>
          <w:noProof/>
        </w:rPr>
        <w:t>(3), 59–67. https://doi.org/10.58709/niujss.v9i3.1711</w:t>
      </w:r>
    </w:p>
    <w:p w14:paraId="1C1ADFDF" w14:textId="77777777" w:rsidR="00C601F0" w:rsidRPr="00DF4806" w:rsidRDefault="00C601F0" w:rsidP="00DF4806">
      <w:pPr>
        <w:pStyle w:val="ListParagraph"/>
        <w:widowControl w:val="0"/>
        <w:numPr>
          <w:ilvl w:val="0"/>
          <w:numId w:val="33"/>
        </w:numPr>
        <w:autoSpaceDE w:val="0"/>
        <w:autoSpaceDN w:val="0"/>
        <w:adjustRightInd w:val="0"/>
        <w:rPr>
          <w:rFonts w:ascii="Arial" w:hAnsi="Arial" w:cs="Arial"/>
          <w:noProof/>
        </w:rPr>
      </w:pPr>
      <w:r w:rsidRPr="00DF4806">
        <w:rPr>
          <w:rFonts w:ascii="Arial" w:hAnsi="Arial" w:cs="Arial"/>
          <w:noProof/>
        </w:rPr>
        <w:t xml:space="preserve">Ahiadorme, J. W. (2022). Monetary policy in search of macroeconomic stability and inclusive growth. </w:t>
      </w:r>
      <w:r w:rsidRPr="00DF4806">
        <w:rPr>
          <w:rFonts w:ascii="Arial" w:hAnsi="Arial" w:cs="Arial"/>
          <w:i/>
          <w:iCs/>
          <w:noProof/>
        </w:rPr>
        <w:t>Research in Economics</w:t>
      </w:r>
      <w:r w:rsidRPr="00DF4806">
        <w:rPr>
          <w:rFonts w:ascii="Arial" w:hAnsi="Arial" w:cs="Arial"/>
          <w:noProof/>
        </w:rPr>
        <w:t xml:space="preserve">, </w:t>
      </w:r>
      <w:r w:rsidRPr="00DF4806">
        <w:rPr>
          <w:rFonts w:ascii="Arial" w:hAnsi="Arial" w:cs="Arial"/>
          <w:i/>
          <w:iCs/>
          <w:noProof/>
        </w:rPr>
        <w:t>76</w:t>
      </w:r>
      <w:r w:rsidRPr="00DF4806">
        <w:rPr>
          <w:rFonts w:ascii="Arial" w:hAnsi="Arial" w:cs="Arial"/>
          <w:noProof/>
        </w:rPr>
        <w:t>(4), 308–324. https://doi.org/https://doi.org/10.1016/j.rie.2022.08.002</w:t>
      </w:r>
    </w:p>
    <w:p w14:paraId="4E0B2A41" w14:textId="77777777" w:rsidR="00C601F0" w:rsidRPr="00DF4806" w:rsidRDefault="00C601F0" w:rsidP="00DF4806">
      <w:pPr>
        <w:pStyle w:val="ListParagraph"/>
        <w:widowControl w:val="0"/>
        <w:numPr>
          <w:ilvl w:val="0"/>
          <w:numId w:val="33"/>
        </w:numPr>
        <w:autoSpaceDE w:val="0"/>
        <w:autoSpaceDN w:val="0"/>
        <w:adjustRightInd w:val="0"/>
        <w:rPr>
          <w:rFonts w:ascii="Arial" w:hAnsi="Arial" w:cs="Arial"/>
          <w:noProof/>
        </w:rPr>
      </w:pPr>
      <w:r w:rsidRPr="00DF4806">
        <w:rPr>
          <w:rFonts w:ascii="Arial" w:hAnsi="Arial" w:cs="Arial"/>
          <w:noProof/>
        </w:rPr>
        <w:t xml:space="preserve">Barro, R. J. (1991). Economic Growth in a Cross Section of Countries*. </w:t>
      </w:r>
      <w:r w:rsidRPr="00DF4806">
        <w:rPr>
          <w:rFonts w:ascii="Arial" w:hAnsi="Arial" w:cs="Arial"/>
          <w:i/>
          <w:iCs/>
          <w:noProof/>
        </w:rPr>
        <w:t>The Quarterly Journal of Economics</w:t>
      </w:r>
      <w:r w:rsidRPr="00DF4806">
        <w:rPr>
          <w:rFonts w:ascii="Arial" w:hAnsi="Arial" w:cs="Arial"/>
          <w:noProof/>
        </w:rPr>
        <w:t xml:space="preserve">, </w:t>
      </w:r>
      <w:r w:rsidRPr="00DF4806">
        <w:rPr>
          <w:rFonts w:ascii="Arial" w:hAnsi="Arial" w:cs="Arial"/>
          <w:i/>
          <w:iCs/>
          <w:noProof/>
        </w:rPr>
        <w:t>106</w:t>
      </w:r>
      <w:r w:rsidRPr="00DF4806">
        <w:rPr>
          <w:rFonts w:ascii="Arial" w:hAnsi="Arial" w:cs="Arial"/>
          <w:noProof/>
        </w:rPr>
        <w:t>(2), 407–443. https://doi.org/10.2307/2937943</w:t>
      </w:r>
    </w:p>
    <w:p w14:paraId="1D60DAF4" w14:textId="77777777" w:rsidR="00C601F0" w:rsidRPr="00DF4806" w:rsidRDefault="00C601F0" w:rsidP="00DF4806">
      <w:pPr>
        <w:pStyle w:val="ListParagraph"/>
        <w:widowControl w:val="0"/>
        <w:numPr>
          <w:ilvl w:val="0"/>
          <w:numId w:val="33"/>
        </w:numPr>
        <w:autoSpaceDE w:val="0"/>
        <w:autoSpaceDN w:val="0"/>
        <w:adjustRightInd w:val="0"/>
        <w:rPr>
          <w:rFonts w:ascii="Arial" w:hAnsi="Arial" w:cs="Arial"/>
          <w:noProof/>
        </w:rPr>
      </w:pPr>
      <w:r w:rsidRPr="00DF4806">
        <w:rPr>
          <w:rFonts w:ascii="Arial" w:hAnsi="Arial" w:cs="Arial"/>
          <w:noProof/>
        </w:rPr>
        <w:t xml:space="preserve">Barro, R. J. (1995). Inflation and economic growth. </w:t>
      </w:r>
      <w:r w:rsidRPr="00DF4806">
        <w:rPr>
          <w:rFonts w:ascii="Arial" w:hAnsi="Arial" w:cs="Arial"/>
          <w:i/>
          <w:iCs/>
          <w:noProof/>
        </w:rPr>
        <w:t>Bank of England Quarterly Bulletin</w:t>
      </w:r>
      <w:r w:rsidRPr="00DF4806">
        <w:rPr>
          <w:rFonts w:ascii="Arial" w:hAnsi="Arial" w:cs="Arial"/>
          <w:noProof/>
        </w:rPr>
        <w:t xml:space="preserve">, </w:t>
      </w:r>
      <w:r w:rsidRPr="00DF4806">
        <w:rPr>
          <w:rFonts w:ascii="Arial" w:hAnsi="Arial" w:cs="Arial"/>
          <w:i/>
          <w:iCs/>
          <w:noProof/>
        </w:rPr>
        <w:t>32</w:t>
      </w:r>
      <w:r w:rsidRPr="00DF4806">
        <w:rPr>
          <w:rFonts w:ascii="Arial" w:hAnsi="Arial" w:cs="Arial"/>
          <w:noProof/>
        </w:rPr>
        <w:t>(2), 166–176. https://doi.org///doi.org/10.3386/w5326</w:t>
      </w:r>
    </w:p>
    <w:p w14:paraId="27BC863A" w14:textId="77777777" w:rsidR="00C601F0" w:rsidRPr="00DF4806" w:rsidRDefault="00C601F0" w:rsidP="00DF4806">
      <w:pPr>
        <w:pStyle w:val="ListParagraph"/>
        <w:widowControl w:val="0"/>
        <w:numPr>
          <w:ilvl w:val="0"/>
          <w:numId w:val="33"/>
        </w:numPr>
        <w:autoSpaceDE w:val="0"/>
        <w:autoSpaceDN w:val="0"/>
        <w:adjustRightInd w:val="0"/>
        <w:rPr>
          <w:rFonts w:ascii="Arial" w:hAnsi="Arial" w:cs="Arial"/>
          <w:noProof/>
        </w:rPr>
      </w:pPr>
      <w:r w:rsidRPr="00DF4806">
        <w:rPr>
          <w:rFonts w:ascii="Arial" w:hAnsi="Arial" w:cs="Arial"/>
          <w:noProof/>
        </w:rPr>
        <w:t xml:space="preserve">Bastian, E. F., Charles, S., &amp; Marie, J. (2024). Inflation regimes and hyperinflation: a Post-Keynesian/structuralist typology. </w:t>
      </w:r>
      <w:r w:rsidRPr="00DF4806">
        <w:rPr>
          <w:rFonts w:ascii="Arial" w:hAnsi="Arial" w:cs="Arial"/>
          <w:i/>
          <w:iCs/>
          <w:noProof/>
        </w:rPr>
        <w:t>Cambridge Journal of Economics</w:t>
      </w:r>
      <w:r w:rsidRPr="00DF4806">
        <w:rPr>
          <w:rFonts w:ascii="Arial" w:hAnsi="Arial" w:cs="Arial"/>
          <w:noProof/>
        </w:rPr>
        <w:t xml:space="preserve">, </w:t>
      </w:r>
      <w:r w:rsidRPr="00DF4806">
        <w:rPr>
          <w:rFonts w:ascii="Arial" w:hAnsi="Arial" w:cs="Arial"/>
          <w:i/>
          <w:iCs/>
          <w:noProof/>
        </w:rPr>
        <w:t>48</w:t>
      </w:r>
      <w:r w:rsidRPr="00DF4806">
        <w:rPr>
          <w:rFonts w:ascii="Arial" w:hAnsi="Arial" w:cs="Arial"/>
          <w:noProof/>
        </w:rPr>
        <w:t>(4), 681–708. https://doi.org/10.1093/cje/beae009</w:t>
      </w:r>
    </w:p>
    <w:p w14:paraId="067632C5" w14:textId="77777777" w:rsidR="00C601F0" w:rsidRPr="00DF4806" w:rsidRDefault="00C601F0" w:rsidP="00DF4806">
      <w:pPr>
        <w:pStyle w:val="ListParagraph"/>
        <w:widowControl w:val="0"/>
        <w:numPr>
          <w:ilvl w:val="0"/>
          <w:numId w:val="33"/>
        </w:numPr>
        <w:autoSpaceDE w:val="0"/>
        <w:autoSpaceDN w:val="0"/>
        <w:adjustRightInd w:val="0"/>
        <w:rPr>
          <w:rFonts w:ascii="Arial" w:hAnsi="Arial" w:cs="Arial"/>
          <w:noProof/>
        </w:rPr>
      </w:pPr>
      <w:r w:rsidRPr="00DF4806">
        <w:rPr>
          <w:rFonts w:ascii="Arial" w:hAnsi="Arial" w:cs="Arial"/>
          <w:noProof/>
        </w:rPr>
        <w:t xml:space="preserve">Boamah, J., Adongo, F., Essieku, R., Lewis, J., &amp; Yanan, W. (2018). Financial Depth, Gross Capital Formation and Economic Growth: Empirical Analysis of 18 Asian Economies. </w:t>
      </w:r>
      <w:r w:rsidRPr="00DF4806">
        <w:rPr>
          <w:rFonts w:ascii="Arial" w:hAnsi="Arial" w:cs="Arial"/>
          <w:i/>
          <w:iCs/>
          <w:noProof/>
        </w:rPr>
        <w:t>International Journal of Scientific and Education Research</w:t>
      </w:r>
      <w:r w:rsidRPr="00DF4806">
        <w:rPr>
          <w:rFonts w:ascii="Arial" w:hAnsi="Arial" w:cs="Arial"/>
          <w:noProof/>
        </w:rPr>
        <w:t xml:space="preserve">, </w:t>
      </w:r>
      <w:r w:rsidRPr="00DF4806">
        <w:rPr>
          <w:rFonts w:ascii="Arial" w:hAnsi="Arial" w:cs="Arial"/>
          <w:i/>
          <w:iCs/>
          <w:noProof/>
        </w:rPr>
        <w:t>2</w:t>
      </w:r>
      <w:r w:rsidRPr="00DF4806">
        <w:rPr>
          <w:rFonts w:ascii="Arial" w:hAnsi="Arial" w:cs="Arial"/>
          <w:noProof/>
        </w:rPr>
        <w:t>(04), 120–130. http://ijsernet.org/www.ijsernet.org</w:t>
      </w:r>
    </w:p>
    <w:p w14:paraId="7F865EEB" w14:textId="77777777" w:rsidR="00C601F0" w:rsidRPr="00DF4806" w:rsidRDefault="00C601F0" w:rsidP="00DF4806">
      <w:pPr>
        <w:pStyle w:val="ListParagraph"/>
        <w:widowControl w:val="0"/>
        <w:numPr>
          <w:ilvl w:val="0"/>
          <w:numId w:val="33"/>
        </w:numPr>
        <w:autoSpaceDE w:val="0"/>
        <w:autoSpaceDN w:val="0"/>
        <w:adjustRightInd w:val="0"/>
        <w:rPr>
          <w:rFonts w:ascii="Arial" w:hAnsi="Arial" w:cs="Arial"/>
          <w:noProof/>
        </w:rPr>
      </w:pPr>
      <w:r w:rsidRPr="00DF4806">
        <w:rPr>
          <w:rFonts w:ascii="Arial" w:hAnsi="Arial" w:cs="Arial"/>
          <w:noProof/>
        </w:rPr>
        <w:t xml:space="preserve">Chowdhury, K. B. (2024). Relationships between inflation, output growth, and uncertainty in the era of inflation stabilization: a multicountry study. </w:t>
      </w:r>
      <w:r w:rsidRPr="00DF4806">
        <w:rPr>
          <w:rFonts w:ascii="Arial" w:hAnsi="Arial" w:cs="Arial"/>
          <w:i/>
          <w:iCs/>
          <w:noProof/>
        </w:rPr>
        <w:t>Empirical Economics</w:t>
      </w:r>
      <w:r w:rsidRPr="00DF4806">
        <w:rPr>
          <w:rFonts w:ascii="Arial" w:hAnsi="Arial" w:cs="Arial"/>
          <w:noProof/>
        </w:rPr>
        <w:t xml:space="preserve">, </w:t>
      </w:r>
      <w:r w:rsidRPr="00DF4806">
        <w:rPr>
          <w:rFonts w:ascii="Arial" w:hAnsi="Arial" w:cs="Arial"/>
          <w:i/>
          <w:iCs/>
          <w:noProof/>
        </w:rPr>
        <w:t>66</w:t>
      </w:r>
      <w:r w:rsidRPr="00DF4806">
        <w:rPr>
          <w:rFonts w:ascii="Arial" w:hAnsi="Arial" w:cs="Arial"/>
          <w:noProof/>
        </w:rPr>
        <w:t>(2), 623–650. https://doi.org/10.1007/s00181-023-02473-z</w:t>
      </w:r>
    </w:p>
    <w:p w14:paraId="60F455C7" w14:textId="77777777" w:rsidR="00C601F0" w:rsidRPr="00DF4806" w:rsidRDefault="00C601F0" w:rsidP="00DF4806">
      <w:pPr>
        <w:pStyle w:val="ListParagraph"/>
        <w:widowControl w:val="0"/>
        <w:numPr>
          <w:ilvl w:val="0"/>
          <w:numId w:val="33"/>
        </w:numPr>
        <w:autoSpaceDE w:val="0"/>
        <w:autoSpaceDN w:val="0"/>
        <w:adjustRightInd w:val="0"/>
        <w:rPr>
          <w:rFonts w:ascii="Arial" w:hAnsi="Arial" w:cs="Arial"/>
          <w:noProof/>
        </w:rPr>
      </w:pPr>
      <w:r w:rsidRPr="00DF4806">
        <w:rPr>
          <w:rFonts w:ascii="Arial" w:hAnsi="Arial" w:cs="Arial"/>
          <w:noProof/>
        </w:rPr>
        <w:t xml:space="preserve">Eichengreen, B., &amp; Esteves, R. (2022). Up and away? Inflation and debt consolidation in historical perspective. </w:t>
      </w:r>
      <w:r w:rsidRPr="00DF4806">
        <w:rPr>
          <w:rFonts w:ascii="Arial" w:hAnsi="Arial" w:cs="Arial"/>
          <w:i/>
          <w:iCs/>
          <w:noProof/>
        </w:rPr>
        <w:t>Oxford Open Economics</w:t>
      </w:r>
      <w:r w:rsidRPr="00DF4806">
        <w:rPr>
          <w:rFonts w:ascii="Arial" w:hAnsi="Arial" w:cs="Arial"/>
          <w:noProof/>
        </w:rPr>
        <w:t xml:space="preserve">, </w:t>
      </w:r>
      <w:r w:rsidRPr="00DF4806">
        <w:rPr>
          <w:rFonts w:ascii="Arial" w:hAnsi="Arial" w:cs="Arial"/>
          <w:i/>
          <w:iCs/>
          <w:noProof/>
        </w:rPr>
        <w:t>1</w:t>
      </w:r>
      <w:r w:rsidRPr="00DF4806">
        <w:rPr>
          <w:rFonts w:ascii="Arial" w:hAnsi="Arial" w:cs="Arial"/>
          <w:noProof/>
        </w:rPr>
        <w:t>, odac008. https://doi.org/10.1093/ooec/odac008</w:t>
      </w:r>
    </w:p>
    <w:p w14:paraId="188BAF9A" w14:textId="77777777" w:rsidR="00C601F0" w:rsidRPr="00DF4806" w:rsidRDefault="00C601F0" w:rsidP="00DF4806">
      <w:pPr>
        <w:pStyle w:val="ListParagraph"/>
        <w:widowControl w:val="0"/>
        <w:numPr>
          <w:ilvl w:val="0"/>
          <w:numId w:val="33"/>
        </w:numPr>
        <w:autoSpaceDE w:val="0"/>
        <w:autoSpaceDN w:val="0"/>
        <w:adjustRightInd w:val="0"/>
        <w:rPr>
          <w:rFonts w:ascii="Arial" w:hAnsi="Arial" w:cs="Arial"/>
          <w:noProof/>
        </w:rPr>
      </w:pPr>
      <w:r w:rsidRPr="00DF4806">
        <w:rPr>
          <w:rFonts w:ascii="Arial" w:hAnsi="Arial" w:cs="Arial"/>
          <w:noProof/>
        </w:rPr>
        <w:t xml:space="preserve">Ekinci, R., Tuzun, O., &amp; Ceylan, F. (2020). The relationship between inflation and economic growth : Experiences of some inflation targeting countries ECONOMIC GROWTH : EXPERIENCES OF SOME. </w:t>
      </w:r>
      <w:r w:rsidRPr="00DF4806">
        <w:rPr>
          <w:rFonts w:ascii="Arial" w:hAnsi="Arial" w:cs="Arial"/>
          <w:i/>
          <w:iCs/>
          <w:noProof/>
        </w:rPr>
        <w:t>Financial Studies</w:t>
      </w:r>
      <w:r w:rsidRPr="00DF4806">
        <w:rPr>
          <w:rFonts w:ascii="Arial" w:hAnsi="Arial" w:cs="Arial"/>
          <w:noProof/>
        </w:rPr>
        <w:t xml:space="preserve">, </w:t>
      </w:r>
      <w:r w:rsidRPr="00DF4806">
        <w:rPr>
          <w:rFonts w:ascii="Arial" w:hAnsi="Arial" w:cs="Arial"/>
          <w:i/>
          <w:iCs/>
          <w:noProof/>
        </w:rPr>
        <w:t>24</w:t>
      </w:r>
      <w:r w:rsidRPr="00DF4806">
        <w:rPr>
          <w:rFonts w:ascii="Arial" w:hAnsi="Arial" w:cs="Arial"/>
          <w:noProof/>
        </w:rPr>
        <w:t>(1), 6–20. https://www.econstor.eu/handle/10419/231692</w:t>
      </w:r>
    </w:p>
    <w:p w14:paraId="41DC6789" w14:textId="77777777" w:rsidR="00C601F0" w:rsidRPr="00DF4806" w:rsidRDefault="00C601F0" w:rsidP="00DF4806">
      <w:pPr>
        <w:pStyle w:val="ListParagraph"/>
        <w:widowControl w:val="0"/>
        <w:numPr>
          <w:ilvl w:val="0"/>
          <w:numId w:val="33"/>
        </w:numPr>
        <w:autoSpaceDE w:val="0"/>
        <w:autoSpaceDN w:val="0"/>
        <w:adjustRightInd w:val="0"/>
        <w:rPr>
          <w:rFonts w:ascii="Arial" w:hAnsi="Arial" w:cs="Arial"/>
          <w:noProof/>
        </w:rPr>
      </w:pPr>
      <w:r w:rsidRPr="00DF4806">
        <w:rPr>
          <w:rFonts w:ascii="Arial" w:hAnsi="Arial" w:cs="Arial"/>
          <w:noProof/>
        </w:rPr>
        <w:t xml:space="preserve">Girdzijauskas, S., Streimikiene, D., Griesiene, I., Mikalauskiene, A., &amp; Kyriakopoulos, G. L. (2022). New Approach to Inflation Phenomena to Ensure Sustainable Economic Growth. </w:t>
      </w:r>
      <w:r w:rsidRPr="00DF4806">
        <w:rPr>
          <w:rFonts w:ascii="Arial" w:hAnsi="Arial" w:cs="Arial"/>
          <w:i/>
          <w:iCs/>
          <w:noProof/>
        </w:rPr>
        <w:t>Sustainability (Switzerland)</w:t>
      </w:r>
      <w:r w:rsidRPr="00DF4806">
        <w:rPr>
          <w:rFonts w:ascii="Arial" w:hAnsi="Arial" w:cs="Arial"/>
          <w:noProof/>
        </w:rPr>
        <w:t xml:space="preserve">, </w:t>
      </w:r>
      <w:r w:rsidRPr="00DF4806">
        <w:rPr>
          <w:rFonts w:ascii="Arial" w:hAnsi="Arial" w:cs="Arial"/>
          <w:i/>
          <w:iCs/>
          <w:noProof/>
        </w:rPr>
        <w:t>14</w:t>
      </w:r>
      <w:r w:rsidRPr="00DF4806">
        <w:rPr>
          <w:rFonts w:ascii="Arial" w:hAnsi="Arial" w:cs="Arial"/>
          <w:noProof/>
        </w:rPr>
        <w:t>(1), 1–21. https://doi.org/10.3390/su14010518</w:t>
      </w:r>
    </w:p>
    <w:p w14:paraId="3F7CBC46" w14:textId="77777777" w:rsidR="00C601F0" w:rsidRPr="00DF4806" w:rsidRDefault="00C601F0" w:rsidP="00DF4806">
      <w:pPr>
        <w:pStyle w:val="ListParagraph"/>
        <w:widowControl w:val="0"/>
        <w:numPr>
          <w:ilvl w:val="0"/>
          <w:numId w:val="33"/>
        </w:numPr>
        <w:autoSpaceDE w:val="0"/>
        <w:autoSpaceDN w:val="0"/>
        <w:adjustRightInd w:val="0"/>
        <w:rPr>
          <w:rFonts w:ascii="Arial" w:hAnsi="Arial" w:cs="Arial"/>
          <w:noProof/>
        </w:rPr>
      </w:pPr>
      <w:r w:rsidRPr="00DF4806">
        <w:rPr>
          <w:rFonts w:ascii="Arial" w:hAnsi="Arial" w:cs="Arial"/>
          <w:noProof/>
        </w:rPr>
        <w:t xml:space="preserve">Glawe, L., Saadaoui, J., &amp; Xu, C. (2025). </w:t>
      </w:r>
      <w:r w:rsidRPr="00DF4806">
        <w:rPr>
          <w:rFonts w:ascii="Arial" w:hAnsi="Arial" w:cs="Arial"/>
          <w:i/>
          <w:iCs/>
          <w:noProof/>
        </w:rPr>
        <w:t>Nonlinearities in the Inflation-Growth Relationship and the Role of Uncertainty: Evidence from China’s Provinces (December 22, 2024)</w:t>
      </w:r>
      <w:r w:rsidRPr="00DF4806">
        <w:rPr>
          <w:rFonts w:ascii="Arial" w:hAnsi="Arial" w:cs="Arial"/>
          <w:noProof/>
        </w:rPr>
        <w:t>. https://ssrn.com/abstract=5067849</w:t>
      </w:r>
    </w:p>
    <w:p w14:paraId="2F4FAA8A" w14:textId="77777777" w:rsidR="00C601F0" w:rsidRPr="00DF4806" w:rsidRDefault="00C601F0" w:rsidP="00DF4806">
      <w:pPr>
        <w:pStyle w:val="ListParagraph"/>
        <w:widowControl w:val="0"/>
        <w:numPr>
          <w:ilvl w:val="0"/>
          <w:numId w:val="33"/>
        </w:numPr>
        <w:autoSpaceDE w:val="0"/>
        <w:autoSpaceDN w:val="0"/>
        <w:adjustRightInd w:val="0"/>
        <w:rPr>
          <w:rFonts w:ascii="Arial" w:hAnsi="Arial" w:cs="Arial"/>
          <w:noProof/>
        </w:rPr>
      </w:pPr>
      <w:r w:rsidRPr="00DF4806">
        <w:rPr>
          <w:rFonts w:ascii="Arial" w:hAnsi="Arial" w:cs="Arial"/>
          <w:noProof/>
        </w:rPr>
        <w:t xml:space="preserve">Hall, R. E., &amp; Sargent, T. J. (2018). Short-Run and Long-Run Effects of Milton Friedman’s Presidential Address. </w:t>
      </w:r>
      <w:r w:rsidRPr="00DF4806">
        <w:rPr>
          <w:rFonts w:ascii="Arial" w:hAnsi="Arial" w:cs="Arial"/>
          <w:i/>
          <w:iCs/>
          <w:noProof/>
        </w:rPr>
        <w:t>Journal of Economic Perspectives</w:t>
      </w:r>
      <w:r w:rsidRPr="00DF4806">
        <w:rPr>
          <w:rFonts w:ascii="Arial" w:hAnsi="Arial" w:cs="Arial"/>
          <w:noProof/>
        </w:rPr>
        <w:t xml:space="preserve">, </w:t>
      </w:r>
      <w:r w:rsidRPr="00DF4806">
        <w:rPr>
          <w:rFonts w:ascii="Arial" w:hAnsi="Arial" w:cs="Arial"/>
          <w:i/>
          <w:iCs/>
          <w:noProof/>
        </w:rPr>
        <w:t>32</w:t>
      </w:r>
      <w:r w:rsidRPr="00DF4806">
        <w:rPr>
          <w:rFonts w:ascii="Arial" w:hAnsi="Arial" w:cs="Arial"/>
          <w:noProof/>
        </w:rPr>
        <w:t>(1), 121–134. https://doi.org/10.1257/jep.32.1.121</w:t>
      </w:r>
    </w:p>
    <w:p w14:paraId="1E4E3332" w14:textId="77777777" w:rsidR="00C601F0" w:rsidRPr="00DF4806" w:rsidRDefault="00C601F0" w:rsidP="00DF4806">
      <w:pPr>
        <w:pStyle w:val="ListParagraph"/>
        <w:widowControl w:val="0"/>
        <w:numPr>
          <w:ilvl w:val="0"/>
          <w:numId w:val="33"/>
        </w:numPr>
        <w:autoSpaceDE w:val="0"/>
        <w:autoSpaceDN w:val="0"/>
        <w:adjustRightInd w:val="0"/>
        <w:rPr>
          <w:rFonts w:ascii="Arial" w:hAnsi="Arial" w:cs="Arial"/>
          <w:noProof/>
        </w:rPr>
      </w:pPr>
      <w:r w:rsidRPr="00DF4806">
        <w:rPr>
          <w:rFonts w:ascii="Arial" w:hAnsi="Arial" w:cs="Arial"/>
          <w:noProof/>
        </w:rPr>
        <w:t xml:space="preserve">Hansen, B. E. (1999). Threshold effects in non-dynamic panels: Estimation, testing, and inference. </w:t>
      </w:r>
      <w:r w:rsidRPr="00DF4806">
        <w:rPr>
          <w:rFonts w:ascii="Arial" w:hAnsi="Arial" w:cs="Arial"/>
          <w:i/>
          <w:iCs/>
          <w:noProof/>
        </w:rPr>
        <w:t>Journal of Econometrics</w:t>
      </w:r>
      <w:r w:rsidRPr="00DF4806">
        <w:rPr>
          <w:rFonts w:ascii="Arial" w:hAnsi="Arial" w:cs="Arial"/>
          <w:noProof/>
        </w:rPr>
        <w:t xml:space="preserve">, </w:t>
      </w:r>
      <w:r w:rsidRPr="00DF4806">
        <w:rPr>
          <w:rFonts w:ascii="Arial" w:hAnsi="Arial" w:cs="Arial"/>
          <w:i/>
          <w:iCs/>
          <w:noProof/>
        </w:rPr>
        <w:t>93</w:t>
      </w:r>
      <w:r w:rsidRPr="00DF4806">
        <w:rPr>
          <w:rFonts w:ascii="Arial" w:hAnsi="Arial" w:cs="Arial"/>
          <w:noProof/>
        </w:rPr>
        <w:t>(2), 345–368. https://doi.org/https://doi.org/10.1016/S0304-4076(99)00025-1</w:t>
      </w:r>
    </w:p>
    <w:p w14:paraId="390ECE72" w14:textId="77777777" w:rsidR="00C601F0" w:rsidRPr="00DF4806" w:rsidRDefault="00C601F0" w:rsidP="00DF4806">
      <w:pPr>
        <w:pStyle w:val="ListParagraph"/>
        <w:widowControl w:val="0"/>
        <w:numPr>
          <w:ilvl w:val="0"/>
          <w:numId w:val="33"/>
        </w:numPr>
        <w:autoSpaceDE w:val="0"/>
        <w:autoSpaceDN w:val="0"/>
        <w:adjustRightInd w:val="0"/>
        <w:rPr>
          <w:rFonts w:ascii="Arial" w:hAnsi="Arial" w:cs="Arial"/>
          <w:noProof/>
        </w:rPr>
      </w:pPr>
      <w:r w:rsidRPr="00DF4806">
        <w:rPr>
          <w:rFonts w:ascii="Arial" w:hAnsi="Arial" w:cs="Arial"/>
          <w:noProof/>
        </w:rPr>
        <w:t xml:space="preserve">Hidalgo, J., Lee, J., &amp; Seo, M. H. (2019). Robust inference for threshold regression models. </w:t>
      </w:r>
      <w:r w:rsidRPr="00DF4806">
        <w:rPr>
          <w:rFonts w:ascii="Arial" w:hAnsi="Arial" w:cs="Arial"/>
          <w:i/>
          <w:iCs/>
          <w:noProof/>
        </w:rPr>
        <w:t>Journal of Econometrics</w:t>
      </w:r>
      <w:r w:rsidRPr="00DF4806">
        <w:rPr>
          <w:rFonts w:ascii="Arial" w:hAnsi="Arial" w:cs="Arial"/>
          <w:noProof/>
        </w:rPr>
        <w:t xml:space="preserve">, </w:t>
      </w:r>
      <w:r w:rsidRPr="00DF4806">
        <w:rPr>
          <w:rFonts w:ascii="Arial" w:hAnsi="Arial" w:cs="Arial"/>
          <w:i/>
          <w:iCs/>
          <w:noProof/>
        </w:rPr>
        <w:t>210</w:t>
      </w:r>
      <w:r w:rsidRPr="00DF4806">
        <w:rPr>
          <w:rFonts w:ascii="Arial" w:hAnsi="Arial" w:cs="Arial"/>
          <w:noProof/>
        </w:rPr>
        <w:t xml:space="preserve">(2), 291–309. </w:t>
      </w:r>
      <w:r w:rsidRPr="00DF4806">
        <w:rPr>
          <w:rFonts w:ascii="Arial" w:hAnsi="Arial" w:cs="Arial"/>
          <w:noProof/>
        </w:rPr>
        <w:lastRenderedPageBreak/>
        <w:t>https://doi.org/10.1016/j.jeconom.2019.01.008</w:t>
      </w:r>
    </w:p>
    <w:p w14:paraId="0812B79F" w14:textId="77777777" w:rsidR="00C601F0" w:rsidRPr="00DF4806" w:rsidRDefault="00C601F0" w:rsidP="00DF4806">
      <w:pPr>
        <w:pStyle w:val="ListParagraph"/>
        <w:widowControl w:val="0"/>
        <w:numPr>
          <w:ilvl w:val="0"/>
          <w:numId w:val="33"/>
        </w:numPr>
        <w:autoSpaceDE w:val="0"/>
        <w:autoSpaceDN w:val="0"/>
        <w:adjustRightInd w:val="0"/>
        <w:rPr>
          <w:rFonts w:ascii="Arial" w:hAnsi="Arial" w:cs="Arial"/>
          <w:noProof/>
        </w:rPr>
      </w:pPr>
      <w:r w:rsidRPr="00DF4806">
        <w:rPr>
          <w:rFonts w:ascii="Arial" w:hAnsi="Arial" w:cs="Arial"/>
          <w:noProof/>
        </w:rPr>
        <w:t xml:space="preserve">Huang, W. H., Lin, Y. J., &amp; Lee, H. F. (2019). Impact of population and workforce aging on economic growth: Case study of Taiwan. </w:t>
      </w:r>
      <w:r w:rsidRPr="00DF4806">
        <w:rPr>
          <w:rFonts w:ascii="Arial" w:hAnsi="Arial" w:cs="Arial"/>
          <w:i/>
          <w:iCs/>
          <w:noProof/>
        </w:rPr>
        <w:t>Sustainability (Switzerland)</w:t>
      </w:r>
      <w:r w:rsidRPr="00DF4806">
        <w:rPr>
          <w:rFonts w:ascii="Arial" w:hAnsi="Arial" w:cs="Arial"/>
          <w:noProof/>
        </w:rPr>
        <w:t xml:space="preserve">, </w:t>
      </w:r>
      <w:r w:rsidRPr="00DF4806">
        <w:rPr>
          <w:rFonts w:ascii="Arial" w:hAnsi="Arial" w:cs="Arial"/>
          <w:i/>
          <w:iCs/>
          <w:noProof/>
        </w:rPr>
        <w:t>11</w:t>
      </w:r>
      <w:r w:rsidRPr="00DF4806">
        <w:rPr>
          <w:rFonts w:ascii="Arial" w:hAnsi="Arial" w:cs="Arial"/>
          <w:noProof/>
        </w:rPr>
        <w:t>(22), 1–13. https://doi.org/10.3390/su11226301</w:t>
      </w:r>
    </w:p>
    <w:p w14:paraId="511AF7D2" w14:textId="77777777" w:rsidR="00C601F0" w:rsidRPr="00DF4806" w:rsidRDefault="00C601F0" w:rsidP="00DF4806">
      <w:pPr>
        <w:pStyle w:val="ListParagraph"/>
        <w:widowControl w:val="0"/>
        <w:numPr>
          <w:ilvl w:val="0"/>
          <w:numId w:val="33"/>
        </w:numPr>
        <w:autoSpaceDE w:val="0"/>
        <w:autoSpaceDN w:val="0"/>
        <w:adjustRightInd w:val="0"/>
        <w:rPr>
          <w:rFonts w:ascii="Arial" w:hAnsi="Arial" w:cs="Arial"/>
          <w:noProof/>
        </w:rPr>
      </w:pPr>
      <w:r w:rsidRPr="00DF4806">
        <w:rPr>
          <w:rFonts w:ascii="Arial" w:hAnsi="Arial" w:cs="Arial"/>
          <w:noProof/>
        </w:rPr>
        <w:t xml:space="preserve">Khan, M., &amp; Hanif, W. (2020). Institutional quality and the relationship between inflation and economic growth. </w:t>
      </w:r>
      <w:r w:rsidRPr="00DF4806">
        <w:rPr>
          <w:rFonts w:ascii="Arial" w:hAnsi="Arial" w:cs="Arial"/>
          <w:i/>
          <w:iCs/>
          <w:noProof/>
        </w:rPr>
        <w:t>Empirical Economics</w:t>
      </w:r>
      <w:r w:rsidRPr="00DF4806">
        <w:rPr>
          <w:rFonts w:ascii="Arial" w:hAnsi="Arial" w:cs="Arial"/>
          <w:noProof/>
        </w:rPr>
        <w:t xml:space="preserve">, </w:t>
      </w:r>
      <w:r w:rsidRPr="00DF4806">
        <w:rPr>
          <w:rFonts w:ascii="Arial" w:hAnsi="Arial" w:cs="Arial"/>
          <w:i/>
          <w:iCs/>
          <w:noProof/>
        </w:rPr>
        <w:t>58</w:t>
      </w:r>
      <w:r w:rsidRPr="00DF4806">
        <w:rPr>
          <w:rFonts w:ascii="Arial" w:hAnsi="Arial" w:cs="Arial"/>
          <w:noProof/>
        </w:rPr>
        <w:t>(2), 627–649. https://doi.org/10.1007/s00181-018-1479-7</w:t>
      </w:r>
    </w:p>
    <w:p w14:paraId="12A221D0" w14:textId="77777777" w:rsidR="00C601F0" w:rsidRPr="00DF4806" w:rsidRDefault="00C601F0" w:rsidP="00DF4806">
      <w:pPr>
        <w:pStyle w:val="ListParagraph"/>
        <w:widowControl w:val="0"/>
        <w:numPr>
          <w:ilvl w:val="0"/>
          <w:numId w:val="33"/>
        </w:numPr>
        <w:autoSpaceDE w:val="0"/>
        <w:autoSpaceDN w:val="0"/>
        <w:adjustRightInd w:val="0"/>
        <w:rPr>
          <w:rFonts w:ascii="Arial" w:hAnsi="Arial" w:cs="Arial"/>
          <w:noProof/>
        </w:rPr>
      </w:pPr>
      <w:r w:rsidRPr="00DF4806">
        <w:rPr>
          <w:rFonts w:ascii="Arial" w:hAnsi="Arial" w:cs="Arial"/>
          <w:noProof/>
        </w:rPr>
        <w:t xml:space="preserve">Kunofiwa. (2017). Inflation Thresholds-Financial Development Nexus in South-Eastern Asian Emerging Markets. </w:t>
      </w:r>
      <w:r w:rsidRPr="00DF4806">
        <w:rPr>
          <w:rFonts w:ascii="Arial" w:hAnsi="Arial" w:cs="Arial"/>
          <w:i/>
          <w:iCs/>
          <w:noProof/>
        </w:rPr>
        <w:t>Journal of Economics and Behavioral Studies</w:t>
      </w:r>
      <w:r w:rsidRPr="00DF4806">
        <w:rPr>
          <w:rFonts w:ascii="Arial" w:hAnsi="Arial" w:cs="Arial"/>
          <w:noProof/>
        </w:rPr>
        <w:t xml:space="preserve">, </w:t>
      </w:r>
      <w:r w:rsidRPr="00DF4806">
        <w:rPr>
          <w:rFonts w:ascii="Arial" w:hAnsi="Arial" w:cs="Arial"/>
          <w:i/>
          <w:iCs/>
          <w:noProof/>
        </w:rPr>
        <w:t>13</w:t>
      </w:r>
      <w:r w:rsidRPr="00DF4806">
        <w:rPr>
          <w:rFonts w:ascii="Arial" w:hAnsi="Arial" w:cs="Arial"/>
          <w:noProof/>
        </w:rPr>
        <w:t>(3), 27. https://doi.org/10.22610/jebs.v9i4(J).1818</w:t>
      </w:r>
    </w:p>
    <w:p w14:paraId="70F7D8F7" w14:textId="77777777" w:rsidR="00C601F0" w:rsidRPr="00DF4806" w:rsidRDefault="00C601F0" w:rsidP="00DF4806">
      <w:pPr>
        <w:pStyle w:val="ListParagraph"/>
        <w:widowControl w:val="0"/>
        <w:numPr>
          <w:ilvl w:val="0"/>
          <w:numId w:val="33"/>
        </w:numPr>
        <w:autoSpaceDE w:val="0"/>
        <w:autoSpaceDN w:val="0"/>
        <w:adjustRightInd w:val="0"/>
        <w:rPr>
          <w:rFonts w:ascii="Arial" w:hAnsi="Arial" w:cs="Arial"/>
          <w:noProof/>
        </w:rPr>
      </w:pPr>
      <w:r w:rsidRPr="00DF4806">
        <w:rPr>
          <w:rFonts w:ascii="Arial" w:hAnsi="Arial" w:cs="Arial"/>
          <w:noProof/>
        </w:rPr>
        <w:t xml:space="preserve">Lutfiah, Z., Ningsih, U. S., &amp; Abrahem, M. M. (2025). The Impact of Tax Revenue and Inflation Rate on Economic Growth in Indonesia. </w:t>
      </w:r>
      <w:r w:rsidRPr="00DF4806">
        <w:rPr>
          <w:rFonts w:ascii="Arial" w:hAnsi="Arial" w:cs="Arial"/>
          <w:i/>
          <w:iCs/>
          <w:noProof/>
        </w:rPr>
        <w:t>Journal of Islamic Economics, Finance and Business</w:t>
      </w:r>
      <w:r w:rsidRPr="00DF4806">
        <w:rPr>
          <w:rFonts w:ascii="Arial" w:hAnsi="Arial" w:cs="Arial"/>
          <w:noProof/>
        </w:rPr>
        <w:t xml:space="preserve">, </w:t>
      </w:r>
      <w:r w:rsidRPr="00DF4806">
        <w:rPr>
          <w:rFonts w:ascii="Arial" w:hAnsi="Arial" w:cs="Arial"/>
          <w:i/>
          <w:iCs/>
          <w:noProof/>
        </w:rPr>
        <w:t>1</w:t>
      </w:r>
      <w:r w:rsidRPr="00DF4806">
        <w:rPr>
          <w:rFonts w:ascii="Arial" w:hAnsi="Arial" w:cs="Arial"/>
          <w:noProof/>
        </w:rPr>
        <w:t>(2), 1–13. https://ejournal.kampusalazhar.ac.id/index.php/jat/article/view/33</w:t>
      </w:r>
    </w:p>
    <w:p w14:paraId="6F4B629B" w14:textId="77777777" w:rsidR="00C601F0" w:rsidRPr="00DF4806" w:rsidRDefault="00C601F0" w:rsidP="00DF4806">
      <w:pPr>
        <w:pStyle w:val="ListParagraph"/>
        <w:widowControl w:val="0"/>
        <w:numPr>
          <w:ilvl w:val="0"/>
          <w:numId w:val="33"/>
        </w:numPr>
        <w:autoSpaceDE w:val="0"/>
        <w:autoSpaceDN w:val="0"/>
        <w:adjustRightInd w:val="0"/>
        <w:rPr>
          <w:rFonts w:ascii="Arial" w:hAnsi="Arial" w:cs="Arial"/>
          <w:noProof/>
        </w:rPr>
      </w:pPr>
      <w:r w:rsidRPr="00DF4806">
        <w:rPr>
          <w:rFonts w:ascii="Arial" w:hAnsi="Arial" w:cs="Arial"/>
          <w:noProof/>
        </w:rPr>
        <w:t xml:space="preserve">Mankiw, N. G. (2019). </w:t>
      </w:r>
      <w:r w:rsidRPr="00DF4806">
        <w:rPr>
          <w:rFonts w:ascii="Arial" w:hAnsi="Arial" w:cs="Arial"/>
          <w:i/>
          <w:iCs/>
          <w:noProof/>
        </w:rPr>
        <w:t>Macroeconomics (10th ed.)</w:t>
      </w:r>
      <w:r w:rsidRPr="00DF4806">
        <w:rPr>
          <w:rFonts w:ascii="Arial" w:hAnsi="Arial" w:cs="Arial"/>
          <w:noProof/>
        </w:rPr>
        <w:t>. Worth Publishers.</w:t>
      </w:r>
    </w:p>
    <w:p w14:paraId="3A12BD49" w14:textId="77777777" w:rsidR="00C601F0" w:rsidRPr="00DF4806" w:rsidRDefault="00C601F0" w:rsidP="00DF4806">
      <w:pPr>
        <w:pStyle w:val="ListParagraph"/>
        <w:widowControl w:val="0"/>
        <w:numPr>
          <w:ilvl w:val="0"/>
          <w:numId w:val="33"/>
        </w:numPr>
        <w:autoSpaceDE w:val="0"/>
        <w:autoSpaceDN w:val="0"/>
        <w:adjustRightInd w:val="0"/>
        <w:rPr>
          <w:rFonts w:ascii="Arial" w:hAnsi="Arial" w:cs="Arial"/>
          <w:noProof/>
        </w:rPr>
      </w:pPr>
      <w:r w:rsidRPr="00DF4806">
        <w:rPr>
          <w:rFonts w:ascii="Arial" w:hAnsi="Arial" w:cs="Arial"/>
          <w:noProof/>
        </w:rPr>
        <w:t xml:space="preserve">May-jean, M. (2016). </w:t>
      </w:r>
      <w:r w:rsidRPr="00DF4806">
        <w:rPr>
          <w:rFonts w:ascii="Arial" w:hAnsi="Arial" w:cs="Arial"/>
          <w:i/>
          <w:iCs/>
          <w:noProof/>
        </w:rPr>
        <w:t>Munich Personal RePEc Archive A Review of the Literature on Monetary Neutrality</w:t>
      </w:r>
      <w:r w:rsidRPr="00DF4806">
        <w:rPr>
          <w:rFonts w:ascii="Arial" w:hAnsi="Arial" w:cs="Arial"/>
          <w:noProof/>
        </w:rPr>
        <w:t xml:space="preserve"> (MPRA Paper No. 70113, Posted 18 Mar 2016 05:21 UTC, Issue 70113). https://mpra.ub.uni-muenchen.de/70113/</w:t>
      </w:r>
    </w:p>
    <w:p w14:paraId="7BF45F6D" w14:textId="77777777" w:rsidR="00C601F0" w:rsidRPr="00DF4806" w:rsidRDefault="00C601F0" w:rsidP="00DF4806">
      <w:pPr>
        <w:pStyle w:val="ListParagraph"/>
        <w:widowControl w:val="0"/>
        <w:numPr>
          <w:ilvl w:val="0"/>
          <w:numId w:val="33"/>
        </w:numPr>
        <w:autoSpaceDE w:val="0"/>
        <w:autoSpaceDN w:val="0"/>
        <w:adjustRightInd w:val="0"/>
        <w:rPr>
          <w:rFonts w:ascii="Arial" w:hAnsi="Arial" w:cs="Arial"/>
          <w:noProof/>
        </w:rPr>
      </w:pPr>
      <w:r w:rsidRPr="00DF4806">
        <w:rPr>
          <w:rFonts w:ascii="Arial" w:hAnsi="Arial" w:cs="Arial"/>
          <w:noProof/>
        </w:rPr>
        <w:t xml:space="preserve">Mishkin, F. S. (2015). </w:t>
      </w:r>
      <w:r w:rsidRPr="00DF4806">
        <w:rPr>
          <w:rFonts w:ascii="Arial" w:hAnsi="Arial" w:cs="Arial"/>
          <w:i/>
          <w:iCs/>
          <w:noProof/>
        </w:rPr>
        <w:t>The Economics of Money, Banking, and Financial Markets (10th Edition)</w:t>
      </w:r>
      <w:r w:rsidRPr="00DF4806">
        <w:rPr>
          <w:rFonts w:ascii="Arial" w:hAnsi="Arial" w:cs="Arial"/>
          <w:noProof/>
        </w:rPr>
        <w:t>. Pearson Education, Inc.</w:t>
      </w:r>
    </w:p>
    <w:p w14:paraId="68FDC47E" w14:textId="77777777" w:rsidR="00C601F0" w:rsidRPr="00DF4806" w:rsidRDefault="00C601F0" w:rsidP="00DF4806">
      <w:pPr>
        <w:pStyle w:val="ListParagraph"/>
        <w:widowControl w:val="0"/>
        <w:numPr>
          <w:ilvl w:val="0"/>
          <w:numId w:val="33"/>
        </w:numPr>
        <w:autoSpaceDE w:val="0"/>
        <w:autoSpaceDN w:val="0"/>
        <w:adjustRightInd w:val="0"/>
        <w:rPr>
          <w:rFonts w:ascii="Arial" w:hAnsi="Arial" w:cs="Arial"/>
          <w:noProof/>
        </w:rPr>
      </w:pPr>
      <w:r w:rsidRPr="00DF4806">
        <w:rPr>
          <w:rFonts w:ascii="Arial" w:hAnsi="Arial" w:cs="Arial"/>
          <w:noProof/>
        </w:rPr>
        <w:t xml:space="preserve">Murjani, A. (2019). Short-run and long-run impact of inflation, unemployment, and economic growth towards poverty in indonesia: ardl approach. </w:t>
      </w:r>
      <w:r w:rsidRPr="00DF4806">
        <w:rPr>
          <w:rFonts w:ascii="Arial" w:hAnsi="Arial" w:cs="Arial"/>
          <w:i/>
          <w:iCs/>
          <w:noProof/>
        </w:rPr>
        <w:t>Jurnal Dinamika Ekonomi Pembangunan</w:t>
      </w:r>
      <w:r w:rsidRPr="00DF4806">
        <w:rPr>
          <w:rFonts w:ascii="Arial" w:hAnsi="Arial" w:cs="Arial"/>
          <w:noProof/>
        </w:rPr>
        <w:t xml:space="preserve">, </w:t>
      </w:r>
      <w:r w:rsidRPr="00DF4806">
        <w:rPr>
          <w:rFonts w:ascii="Arial" w:hAnsi="Arial" w:cs="Arial"/>
          <w:i/>
          <w:iCs/>
          <w:noProof/>
        </w:rPr>
        <w:t>2</w:t>
      </w:r>
      <w:r w:rsidRPr="00DF4806">
        <w:rPr>
          <w:rFonts w:ascii="Arial" w:hAnsi="Arial" w:cs="Arial"/>
          <w:noProof/>
        </w:rPr>
        <w:t>(1). https://doi.org/doi.org/10.14710/jdep.2.1.15-29</w:t>
      </w:r>
    </w:p>
    <w:p w14:paraId="6A680531" w14:textId="77777777" w:rsidR="00C601F0" w:rsidRPr="00DF4806" w:rsidRDefault="00C601F0" w:rsidP="00DF4806">
      <w:pPr>
        <w:pStyle w:val="ListParagraph"/>
        <w:widowControl w:val="0"/>
        <w:numPr>
          <w:ilvl w:val="0"/>
          <w:numId w:val="33"/>
        </w:numPr>
        <w:autoSpaceDE w:val="0"/>
        <w:autoSpaceDN w:val="0"/>
        <w:adjustRightInd w:val="0"/>
        <w:rPr>
          <w:rFonts w:ascii="Arial" w:hAnsi="Arial" w:cs="Arial"/>
          <w:noProof/>
        </w:rPr>
      </w:pPr>
      <w:r w:rsidRPr="00DF4806">
        <w:rPr>
          <w:rFonts w:ascii="Arial" w:hAnsi="Arial" w:cs="Arial"/>
          <w:noProof/>
        </w:rPr>
        <w:t xml:space="preserve">Ndou, E., &amp; Gumata, N. (2017). </w:t>
      </w:r>
      <w:r w:rsidRPr="00DF4806">
        <w:rPr>
          <w:rFonts w:ascii="Arial" w:hAnsi="Arial" w:cs="Arial"/>
          <w:i/>
          <w:iCs/>
          <w:noProof/>
        </w:rPr>
        <w:t>The Inflation–Finance–Growth Nexus: Where Does the Inflation Threshold Lie? BT  - Inflation Dynamics in South Africa: The Role of Thresholds, Exchange Rate Pass-through and Inflation Expectations on Policy Trade-offs</w:t>
      </w:r>
      <w:r w:rsidRPr="00DF4806">
        <w:rPr>
          <w:rFonts w:ascii="Arial" w:hAnsi="Arial" w:cs="Arial"/>
          <w:noProof/>
        </w:rPr>
        <w:t xml:space="preserve"> (E. Ndou &amp; N. Gumata (eds.); pp. 273–291). Springer International Publishing. https://doi.org/10.1007/978-3-319-46702-3_19</w:t>
      </w:r>
    </w:p>
    <w:p w14:paraId="339C0676" w14:textId="77777777" w:rsidR="00C601F0" w:rsidRPr="00DF4806" w:rsidRDefault="00C601F0" w:rsidP="00DF4806">
      <w:pPr>
        <w:pStyle w:val="ListParagraph"/>
        <w:widowControl w:val="0"/>
        <w:numPr>
          <w:ilvl w:val="0"/>
          <w:numId w:val="33"/>
        </w:numPr>
        <w:autoSpaceDE w:val="0"/>
        <w:autoSpaceDN w:val="0"/>
        <w:adjustRightInd w:val="0"/>
        <w:rPr>
          <w:rFonts w:ascii="Arial" w:hAnsi="Arial" w:cs="Arial"/>
          <w:noProof/>
        </w:rPr>
      </w:pPr>
      <w:r w:rsidRPr="00DF4806">
        <w:rPr>
          <w:rFonts w:ascii="Arial" w:hAnsi="Arial" w:cs="Arial"/>
          <w:noProof/>
        </w:rPr>
        <w:t xml:space="preserve">Nicolay, R., &amp; de Oliveira, A. J. (2019). Inflation volatility, monetary policy signaling and clarity of the central bank communication. </w:t>
      </w:r>
      <w:r w:rsidRPr="00DF4806">
        <w:rPr>
          <w:rFonts w:ascii="Arial" w:hAnsi="Arial" w:cs="Arial"/>
          <w:i/>
          <w:iCs/>
          <w:noProof/>
        </w:rPr>
        <w:t>Journal of Economic Studies</w:t>
      </w:r>
      <w:r w:rsidRPr="00DF4806">
        <w:rPr>
          <w:rFonts w:ascii="Arial" w:hAnsi="Arial" w:cs="Arial"/>
          <w:noProof/>
        </w:rPr>
        <w:t xml:space="preserve">, </w:t>
      </w:r>
      <w:r w:rsidRPr="00DF4806">
        <w:rPr>
          <w:rFonts w:ascii="Arial" w:hAnsi="Arial" w:cs="Arial"/>
          <w:i/>
          <w:iCs/>
          <w:noProof/>
        </w:rPr>
        <w:t>46</w:t>
      </w:r>
      <w:r w:rsidRPr="00DF4806">
        <w:rPr>
          <w:rFonts w:ascii="Arial" w:hAnsi="Arial" w:cs="Arial"/>
          <w:noProof/>
        </w:rPr>
        <w:t>(2), 266–283. https://doi.org/10.1108/JES-10-2017-0293</w:t>
      </w:r>
    </w:p>
    <w:p w14:paraId="03B0B8A9" w14:textId="77777777" w:rsidR="00C601F0" w:rsidRPr="00DF4806" w:rsidRDefault="00C601F0" w:rsidP="00DF4806">
      <w:pPr>
        <w:pStyle w:val="ListParagraph"/>
        <w:widowControl w:val="0"/>
        <w:numPr>
          <w:ilvl w:val="0"/>
          <w:numId w:val="33"/>
        </w:numPr>
        <w:autoSpaceDE w:val="0"/>
        <w:autoSpaceDN w:val="0"/>
        <w:adjustRightInd w:val="0"/>
        <w:rPr>
          <w:rFonts w:ascii="Arial" w:hAnsi="Arial" w:cs="Arial"/>
          <w:noProof/>
        </w:rPr>
      </w:pPr>
      <w:r w:rsidRPr="00DF4806">
        <w:rPr>
          <w:rFonts w:ascii="Arial" w:hAnsi="Arial" w:cs="Arial"/>
          <w:noProof/>
        </w:rPr>
        <w:t xml:space="preserve">Nyajure Achar, P., Odhiambo Luther, O., Herick Ochieng, O., &amp; Martine Odhiambo, O. (2024). Gross Fixed Capital Formation and Economic Growth in East Africa Community States. </w:t>
      </w:r>
      <w:r w:rsidRPr="00DF4806">
        <w:rPr>
          <w:rFonts w:ascii="Arial" w:hAnsi="Arial" w:cs="Arial"/>
          <w:i/>
          <w:iCs/>
          <w:noProof/>
        </w:rPr>
        <w:t>African Development Finance Journal</w:t>
      </w:r>
      <w:r w:rsidRPr="00DF4806">
        <w:rPr>
          <w:rFonts w:ascii="Arial" w:hAnsi="Arial" w:cs="Arial"/>
          <w:noProof/>
        </w:rPr>
        <w:t xml:space="preserve">, </w:t>
      </w:r>
      <w:r w:rsidRPr="00DF4806">
        <w:rPr>
          <w:rFonts w:ascii="Arial" w:hAnsi="Arial" w:cs="Arial"/>
          <w:i/>
          <w:iCs/>
          <w:noProof/>
        </w:rPr>
        <w:t>7</w:t>
      </w:r>
      <w:r w:rsidRPr="00DF4806">
        <w:rPr>
          <w:rFonts w:ascii="Arial" w:hAnsi="Arial" w:cs="Arial"/>
          <w:noProof/>
        </w:rPr>
        <w:t>(6), 2024–2053. http://journals.uonbi.ac.ke/index.php/http://journals.uonbi.ac.ke/index.php/</w:t>
      </w:r>
    </w:p>
    <w:p w14:paraId="2DA8CC11" w14:textId="77777777" w:rsidR="00C601F0" w:rsidRPr="00DF4806" w:rsidRDefault="00C601F0" w:rsidP="00DF4806">
      <w:pPr>
        <w:pStyle w:val="ListParagraph"/>
        <w:widowControl w:val="0"/>
        <w:numPr>
          <w:ilvl w:val="0"/>
          <w:numId w:val="33"/>
        </w:numPr>
        <w:autoSpaceDE w:val="0"/>
        <w:autoSpaceDN w:val="0"/>
        <w:adjustRightInd w:val="0"/>
        <w:rPr>
          <w:rFonts w:ascii="Arial" w:hAnsi="Arial" w:cs="Arial"/>
          <w:noProof/>
        </w:rPr>
      </w:pPr>
      <w:r w:rsidRPr="00DF4806">
        <w:rPr>
          <w:rFonts w:ascii="Arial" w:hAnsi="Arial" w:cs="Arial"/>
          <w:noProof/>
        </w:rPr>
        <w:t xml:space="preserve">Ropele, T., Gorodnichenko, Y., &amp; Coibion, O. (2021). </w:t>
      </w:r>
      <w:r w:rsidRPr="00DF4806">
        <w:rPr>
          <w:rFonts w:ascii="Arial" w:hAnsi="Arial" w:cs="Arial"/>
          <w:i/>
          <w:iCs/>
          <w:noProof/>
        </w:rPr>
        <w:t>Inflation Expectation and Misallocation of Resources: Evidence from Italy</w:t>
      </w:r>
      <w:r w:rsidRPr="00DF4806">
        <w:rPr>
          <w:rFonts w:ascii="Arial" w:hAnsi="Arial" w:cs="Arial"/>
          <w:noProof/>
        </w:rPr>
        <w:t xml:space="preserve"> (NBER Working Paper Series). http://www.nber.org/papers/w31190</w:t>
      </w:r>
    </w:p>
    <w:p w14:paraId="3FA96325" w14:textId="77777777" w:rsidR="00C601F0" w:rsidRPr="00DF4806" w:rsidRDefault="00C601F0" w:rsidP="00DF4806">
      <w:pPr>
        <w:pStyle w:val="ListParagraph"/>
        <w:widowControl w:val="0"/>
        <w:numPr>
          <w:ilvl w:val="0"/>
          <w:numId w:val="33"/>
        </w:numPr>
        <w:autoSpaceDE w:val="0"/>
        <w:autoSpaceDN w:val="0"/>
        <w:adjustRightInd w:val="0"/>
        <w:rPr>
          <w:rFonts w:ascii="Arial" w:hAnsi="Arial" w:cs="Arial"/>
          <w:noProof/>
        </w:rPr>
      </w:pPr>
      <w:r w:rsidRPr="00DF4806">
        <w:rPr>
          <w:rFonts w:ascii="Arial" w:hAnsi="Arial" w:cs="Arial"/>
          <w:noProof/>
        </w:rPr>
        <w:t xml:space="preserve">Taliding, A., Paddu, A. H., Anwar, A. I., &amp; Sabir, S. (2025). The Effect of Inflation and Interest Rates on Economic Growth in Indonesia. </w:t>
      </w:r>
      <w:r w:rsidRPr="00DF4806">
        <w:rPr>
          <w:rFonts w:ascii="Arial" w:hAnsi="Arial" w:cs="Arial"/>
          <w:i/>
          <w:iCs/>
          <w:noProof/>
        </w:rPr>
        <w:t>Proceedings of the 9th International Conference on Accounting, Management, and Economics 2024 (ICAME 2024)</w:t>
      </w:r>
      <w:r w:rsidRPr="00DF4806">
        <w:rPr>
          <w:rFonts w:ascii="Arial" w:hAnsi="Arial" w:cs="Arial"/>
          <w:noProof/>
        </w:rPr>
        <w:t xml:space="preserve">, </w:t>
      </w:r>
      <w:r w:rsidRPr="00DF4806">
        <w:rPr>
          <w:rFonts w:ascii="Arial" w:hAnsi="Arial" w:cs="Arial"/>
          <w:i/>
          <w:iCs/>
          <w:noProof/>
        </w:rPr>
        <w:t>2024</w:t>
      </w:r>
      <w:r w:rsidRPr="00DF4806">
        <w:rPr>
          <w:rFonts w:ascii="Arial" w:hAnsi="Arial" w:cs="Arial"/>
          <w:noProof/>
        </w:rPr>
        <w:t>(Icame 2024). https://doi.org/10.2991/978-94-6463-758-8_20</w:t>
      </w:r>
    </w:p>
    <w:p w14:paraId="604D5A68" w14:textId="77777777" w:rsidR="00C601F0" w:rsidRPr="00DF4806" w:rsidRDefault="00C601F0" w:rsidP="00DF4806">
      <w:pPr>
        <w:pStyle w:val="ListParagraph"/>
        <w:widowControl w:val="0"/>
        <w:numPr>
          <w:ilvl w:val="0"/>
          <w:numId w:val="33"/>
        </w:numPr>
        <w:autoSpaceDE w:val="0"/>
        <w:autoSpaceDN w:val="0"/>
        <w:adjustRightInd w:val="0"/>
        <w:rPr>
          <w:rFonts w:ascii="Arial" w:hAnsi="Arial" w:cs="Arial"/>
          <w:noProof/>
        </w:rPr>
      </w:pPr>
      <w:r w:rsidRPr="00DF4806">
        <w:rPr>
          <w:rFonts w:ascii="Arial" w:hAnsi="Arial" w:cs="Arial"/>
          <w:noProof/>
        </w:rPr>
        <w:t xml:space="preserve">Tariq, A., Amin, A., &amp; Ahmad, M. (2024). Deciphering the non-linear nexus between government size and inflation in MENA countries: an application of dynamic-panel threshold model. </w:t>
      </w:r>
      <w:r w:rsidRPr="00DF4806">
        <w:rPr>
          <w:rFonts w:ascii="Arial" w:hAnsi="Arial" w:cs="Arial"/>
          <w:i/>
          <w:iCs/>
          <w:noProof/>
        </w:rPr>
        <w:t>Journal of Economic Structures</w:t>
      </w:r>
      <w:r w:rsidRPr="00DF4806">
        <w:rPr>
          <w:rFonts w:ascii="Arial" w:hAnsi="Arial" w:cs="Arial"/>
          <w:noProof/>
        </w:rPr>
        <w:t xml:space="preserve">, </w:t>
      </w:r>
      <w:r w:rsidRPr="00DF4806">
        <w:rPr>
          <w:rFonts w:ascii="Arial" w:hAnsi="Arial" w:cs="Arial"/>
          <w:i/>
          <w:iCs/>
          <w:noProof/>
        </w:rPr>
        <w:t>13</w:t>
      </w:r>
      <w:r w:rsidRPr="00DF4806">
        <w:rPr>
          <w:rFonts w:ascii="Arial" w:hAnsi="Arial" w:cs="Arial"/>
          <w:noProof/>
        </w:rPr>
        <w:t>(1), 14. https://doi.org/10.1186/s40008-024-00336-z</w:t>
      </w:r>
    </w:p>
    <w:p w14:paraId="12922B10" w14:textId="77777777" w:rsidR="00C601F0" w:rsidRPr="00DF4806" w:rsidRDefault="00C601F0" w:rsidP="00DF4806">
      <w:pPr>
        <w:pStyle w:val="ListParagraph"/>
        <w:widowControl w:val="0"/>
        <w:numPr>
          <w:ilvl w:val="0"/>
          <w:numId w:val="33"/>
        </w:numPr>
        <w:autoSpaceDE w:val="0"/>
        <w:autoSpaceDN w:val="0"/>
        <w:adjustRightInd w:val="0"/>
        <w:rPr>
          <w:rFonts w:ascii="Arial" w:hAnsi="Arial" w:cs="Arial"/>
          <w:noProof/>
        </w:rPr>
      </w:pPr>
      <w:r w:rsidRPr="00DF4806">
        <w:rPr>
          <w:rFonts w:ascii="Arial" w:hAnsi="Arial" w:cs="Arial"/>
          <w:noProof/>
        </w:rPr>
        <w:t xml:space="preserve">Thanh, S. D. (2015). Threshold effects of inflation on growth in the ASEAN-5 countries: A Panel Smooth Transition Regression approach. </w:t>
      </w:r>
      <w:r w:rsidRPr="00DF4806">
        <w:rPr>
          <w:rFonts w:ascii="Arial" w:hAnsi="Arial" w:cs="Arial"/>
          <w:i/>
          <w:iCs/>
          <w:noProof/>
        </w:rPr>
        <w:t>Journal of Economics, Finance and Administrative Science</w:t>
      </w:r>
      <w:r w:rsidRPr="00DF4806">
        <w:rPr>
          <w:rFonts w:ascii="Arial" w:hAnsi="Arial" w:cs="Arial"/>
          <w:noProof/>
        </w:rPr>
        <w:t xml:space="preserve">, </w:t>
      </w:r>
      <w:r w:rsidRPr="00DF4806">
        <w:rPr>
          <w:rFonts w:ascii="Arial" w:hAnsi="Arial" w:cs="Arial"/>
          <w:i/>
          <w:iCs/>
          <w:noProof/>
        </w:rPr>
        <w:t>20</w:t>
      </w:r>
      <w:r w:rsidRPr="00DF4806">
        <w:rPr>
          <w:rFonts w:ascii="Arial" w:hAnsi="Arial" w:cs="Arial"/>
          <w:noProof/>
        </w:rPr>
        <w:t>(38), 41–48. https://doi.org/https://doi.org/10.1016/j.jefas.2015.01.003</w:t>
      </w:r>
    </w:p>
    <w:p w14:paraId="0C8AD224" w14:textId="77777777" w:rsidR="00C601F0" w:rsidRPr="00DF4806" w:rsidRDefault="00C601F0" w:rsidP="00DF4806">
      <w:pPr>
        <w:pStyle w:val="ListParagraph"/>
        <w:widowControl w:val="0"/>
        <w:numPr>
          <w:ilvl w:val="0"/>
          <w:numId w:val="33"/>
        </w:numPr>
        <w:autoSpaceDE w:val="0"/>
        <w:autoSpaceDN w:val="0"/>
        <w:adjustRightInd w:val="0"/>
        <w:rPr>
          <w:rFonts w:ascii="Arial" w:hAnsi="Arial" w:cs="Arial"/>
          <w:noProof/>
        </w:rPr>
      </w:pPr>
      <w:r w:rsidRPr="00DF4806">
        <w:rPr>
          <w:rFonts w:ascii="Arial" w:hAnsi="Arial" w:cs="Arial"/>
          <w:noProof/>
        </w:rPr>
        <w:t xml:space="preserve">Thioune, T., Mignamissi, D., &amp; Minkoé Bikoula, S. B. (2025). The Non-linear effect of Inflation on Economic Growth in Sub-Saharan Africa: Does Democracy Matter? </w:t>
      </w:r>
      <w:r w:rsidRPr="00DF4806">
        <w:rPr>
          <w:rFonts w:ascii="Arial" w:hAnsi="Arial" w:cs="Arial"/>
          <w:i/>
          <w:iCs/>
          <w:noProof/>
        </w:rPr>
        <w:t>Journal of the Knowledge Economy</w:t>
      </w:r>
      <w:r w:rsidRPr="00DF4806">
        <w:rPr>
          <w:rFonts w:ascii="Arial" w:hAnsi="Arial" w:cs="Arial"/>
          <w:noProof/>
        </w:rPr>
        <w:t xml:space="preserve">, </w:t>
      </w:r>
      <w:r w:rsidRPr="00DF4806">
        <w:rPr>
          <w:rFonts w:ascii="Arial" w:hAnsi="Arial" w:cs="Arial"/>
          <w:i/>
          <w:iCs/>
          <w:noProof/>
        </w:rPr>
        <w:t>16</w:t>
      </w:r>
      <w:r w:rsidRPr="00DF4806">
        <w:rPr>
          <w:rFonts w:ascii="Arial" w:hAnsi="Arial" w:cs="Arial"/>
          <w:noProof/>
        </w:rPr>
        <w:t xml:space="preserve">(1), 5548–5571. </w:t>
      </w:r>
      <w:r w:rsidRPr="00DF4806">
        <w:rPr>
          <w:rFonts w:ascii="Arial" w:hAnsi="Arial" w:cs="Arial"/>
          <w:noProof/>
        </w:rPr>
        <w:lastRenderedPageBreak/>
        <w:t>https://doi.org/10.1007/s13132-024-02104-7</w:t>
      </w:r>
    </w:p>
    <w:p w14:paraId="44AC73F0" w14:textId="77777777" w:rsidR="00C601F0" w:rsidRPr="00DF4806" w:rsidRDefault="00C601F0" w:rsidP="00DF4806">
      <w:pPr>
        <w:pStyle w:val="ListParagraph"/>
        <w:widowControl w:val="0"/>
        <w:numPr>
          <w:ilvl w:val="0"/>
          <w:numId w:val="33"/>
        </w:numPr>
        <w:autoSpaceDE w:val="0"/>
        <w:autoSpaceDN w:val="0"/>
        <w:adjustRightInd w:val="0"/>
        <w:rPr>
          <w:rFonts w:ascii="Arial" w:hAnsi="Arial" w:cs="Arial"/>
          <w:noProof/>
        </w:rPr>
      </w:pPr>
      <w:r w:rsidRPr="00DF4806">
        <w:rPr>
          <w:rFonts w:ascii="Arial" w:hAnsi="Arial" w:cs="Arial"/>
          <w:noProof/>
        </w:rPr>
        <w:t xml:space="preserve">Yemba, B., Kitenge, E., &amp; Woodburne, P. (2020). Non-linear Effects of Inflation on Economic Growth in the Democratic Republic of the Congo. </w:t>
      </w:r>
      <w:r w:rsidRPr="00DF4806">
        <w:rPr>
          <w:rFonts w:ascii="Arial" w:hAnsi="Arial" w:cs="Arial"/>
          <w:i/>
          <w:iCs/>
          <w:noProof/>
        </w:rPr>
        <w:t>South African Journal of Economics</w:t>
      </w:r>
      <w:r w:rsidRPr="00DF4806">
        <w:rPr>
          <w:rFonts w:ascii="Arial" w:hAnsi="Arial" w:cs="Arial"/>
          <w:noProof/>
        </w:rPr>
        <w:t xml:space="preserve">, </w:t>
      </w:r>
      <w:r w:rsidRPr="00DF4806">
        <w:rPr>
          <w:rFonts w:ascii="Arial" w:hAnsi="Arial" w:cs="Arial"/>
          <w:i/>
          <w:iCs/>
          <w:noProof/>
        </w:rPr>
        <w:t>88</w:t>
      </w:r>
      <w:r w:rsidRPr="00DF4806">
        <w:rPr>
          <w:rFonts w:ascii="Arial" w:hAnsi="Arial" w:cs="Arial"/>
          <w:noProof/>
        </w:rPr>
        <w:t>(4), 536–550. https://doi.org/https://doi.org/10.1111/saje.12249</w:t>
      </w:r>
    </w:p>
    <w:p w14:paraId="26E89542" w14:textId="77777777" w:rsidR="00C601F0" w:rsidRPr="00DF4806" w:rsidRDefault="00C601F0" w:rsidP="00DF4806">
      <w:pPr>
        <w:pStyle w:val="ListParagraph"/>
        <w:widowControl w:val="0"/>
        <w:numPr>
          <w:ilvl w:val="0"/>
          <w:numId w:val="33"/>
        </w:numPr>
        <w:autoSpaceDE w:val="0"/>
        <w:autoSpaceDN w:val="0"/>
        <w:adjustRightInd w:val="0"/>
        <w:rPr>
          <w:rFonts w:ascii="Arial" w:hAnsi="Arial" w:cs="Arial"/>
          <w:noProof/>
        </w:rPr>
      </w:pPr>
      <w:r w:rsidRPr="00DF4806">
        <w:rPr>
          <w:rFonts w:ascii="Arial" w:hAnsi="Arial" w:cs="Arial"/>
          <w:noProof/>
        </w:rPr>
        <w:t xml:space="preserve">Zivot, E., &amp; Andrews, D. W. K. (1992). Further Evidence on the Great Crash, the Oild-Price Shock, and Unit-Root Hypothesis. </w:t>
      </w:r>
      <w:r w:rsidRPr="00DF4806">
        <w:rPr>
          <w:rFonts w:ascii="Arial" w:hAnsi="Arial" w:cs="Arial"/>
          <w:i/>
          <w:iCs/>
          <w:noProof/>
        </w:rPr>
        <w:t>Journal of Business &amp; Economic Statistics</w:t>
      </w:r>
      <w:r w:rsidRPr="00DF4806">
        <w:rPr>
          <w:rFonts w:ascii="Arial" w:hAnsi="Arial" w:cs="Arial"/>
          <w:noProof/>
        </w:rPr>
        <w:t xml:space="preserve">, </w:t>
      </w:r>
      <w:r w:rsidRPr="00DF4806">
        <w:rPr>
          <w:rFonts w:ascii="Arial" w:hAnsi="Arial" w:cs="Arial"/>
          <w:i/>
          <w:iCs/>
          <w:noProof/>
        </w:rPr>
        <w:t>10</w:t>
      </w:r>
      <w:r w:rsidRPr="00DF4806">
        <w:rPr>
          <w:rFonts w:ascii="Arial" w:hAnsi="Arial" w:cs="Arial"/>
          <w:noProof/>
        </w:rPr>
        <w:t>(3), 251–270. https://doi.org/https://doi.org/10.2307/1391541</w:t>
      </w:r>
    </w:p>
    <w:p w14:paraId="70AC2876" w14:textId="295BACD2" w:rsidR="00790ADA" w:rsidRDefault="00850A62" w:rsidP="00441B6F">
      <w:pPr>
        <w:pStyle w:val="Body"/>
        <w:spacing w:after="0"/>
        <w:rPr>
          <w:rFonts w:ascii="Arial" w:hAnsi="Arial" w:cs="Arial"/>
        </w:rPr>
      </w:pPr>
      <w:r>
        <w:rPr>
          <w:rFonts w:ascii="Arial" w:hAnsi="Arial" w:cs="Arial"/>
        </w:rPr>
        <w:fldChar w:fldCharType="end"/>
      </w:r>
    </w:p>
    <w:p w14:paraId="4551B69B" w14:textId="77777777" w:rsidR="00850A62" w:rsidRPr="00FB3A86" w:rsidRDefault="00850A62" w:rsidP="00441B6F">
      <w:pPr>
        <w:pStyle w:val="Body"/>
        <w:spacing w:after="0"/>
        <w:rPr>
          <w:rFonts w:ascii="Arial" w:hAnsi="Arial" w:cs="Arial"/>
        </w:rPr>
      </w:pPr>
    </w:p>
    <w:p w14:paraId="179928D6" w14:textId="4A7752AA" w:rsidR="004D4277" w:rsidRPr="00FB3A86" w:rsidRDefault="004D4277" w:rsidP="00441B6F">
      <w:pPr>
        <w:pStyle w:val="Appendix"/>
        <w:spacing w:after="0"/>
        <w:jc w:val="both"/>
        <w:rPr>
          <w:rFonts w:ascii="Arial" w:hAnsi="Arial" w:cs="Arial"/>
          <w:b w:val="0"/>
        </w:rPr>
        <w:sectPr w:rsidR="004D4277" w:rsidRPr="00FB3A86" w:rsidSect="000B1E33">
          <w:footerReference w:type="default" r:id="rId14"/>
          <w:type w:val="continuous"/>
          <w:pgSz w:w="12240" w:h="15840"/>
          <w:pgMar w:top="1440" w:right="2016" w:bottom="2016" w:left="2016" w:header="720" w:footer="1123" w:gutter="0"/>
          <w:lnNumType w:countBy="1" w:restart="continuous"/>
          <w:cols w:space="720"/>
          <w:docGrid w:linePitch="272"/>
        </w:sectPr>
      </w:pPr>
    </w:p>
    <w:p w14:paraId="69C057DB" w14:textId="77777777" w:rsidR="00B01FCD" w:rsidRPr="00FB3A86" w:rsidRDefault="00B01FCD" w:rsidP="00067F68">
      <w:pPr>
        <w:pStyle w:val="Appendix"/>
        <w:spacing w:after="0"/>
        <w:jc w:val="both"/>
        <w:rPr>
          <w:rFonts w:ascii="Arial" w:hAnsi="Arial" w:cs="Arial"/>
          <w:b w:val="0"/>
        </w:rPr>
      </w:pPr>
    </w:p>
    <w:sectPr w:rsidR="00B01FCD" w:rsidRPr="00FB3A86"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AE0E9" w14:textId="77777777" w:rsidR="00C3612C" w:rsidRDefault="00C3612C" w:rsidP="00C37E61">
      <w:r>
        <w:separator/>
      </w:r>
    </w:p>
  </w:endnote>
  <w:endnote w:type="continuationSeparator" w:id="0">
    <w:p w14:paraId="77A2D6DA" w14:textId="77777777" w:rsidR="00C3612C" w:rsidRDefault="00C3612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88A03" w14:textId="77777777" w:rsidR="009E048A" w:rsidRDefault="009E048A">
    <w:pPr>
      <w:pStyle w:val="Footer"/>
      <w:rPr>
        <w:rFonts w:ascii="Arial" w:hAnsi="Arial" w:cs="Arial"/>
        <w:sz w:val="16"/>
      </w:rPr>
    </w:pPr>
  </w:p>
  <w:p w14:paraId="4BB3833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0BE6F16" w14:textId="77777777" w:rsidR="009E048A" w:rsidRDefault="009E048A">
    <w:pPr>
      <w:pStyle w:val="Footer"/>
      <w:rPr>
        <w:rFonts w:ascii="Arial" w:hAnsi="Arial" w:cs="Arial"/>
        <w:sz w:val="16"/>
      </w:rPr>
    </w:pPr>
  </w:p>
  <w:p w14:paraId="64B8741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79E0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B210D" w14:textId="77777777" w:rsidR="00C3612C" w:rsidRDefault="00C3612C" w:rsidP="00C37E61">
      <w:r>
        <w:separator/>
      </w:r>
    </w:p>
  </w:footnote>
  <w:footnote w:type="continuationSeparator" w:id="0">
    <w:p w14:paraId="71B8C624" w14:textId="77777777" w:rsidR="00C3612C" w:rsidRDefault="00C3612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125E2" w14:textId="77777777" w:rsidR="00296529" w:rsidRPr="00296529" w:rsidRDefault="00296529" w:rsidP="00296529">
    <w:pPr>
      <w:ind w:left="2160"/>
      <w:jc w:val="center"/>
      <w:rPr>
        <w:rFonts w:ascii="Times New Roman" w:eastAsia="Calibri" w:hAnsi="Times New Roman"/>
        <w:i/>
        <w:sz w:val="18"/>
        <w:szCs w:val="22"/>
      </w:rPr>
    </w:pPr>
  </w:p>
  <w:p w14:paraId="3E973EF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B57913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96A3AF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B646BE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68D091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BA26E6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BB0456B"/>
    <w:multiLevelType w:val="hybridMultilevel"/>
    <w:tmpl w:val="B2EEF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1882266"/>
    <w:multiLevelType w:val="multilevel"/>
    <w:tmpl w:val="C2A2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16247F"/>
    <w:multiLevelType w:val="hybridMultilevel"/>
    <w:tmpl w:val="C9041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1"/>
  </w:num>
  <w:num w:numId="20">
    <w:abstractNumId w:val="11"/>
  </w:num>
  <w:num w:numId="21">
    <w:abstractNumId w:val="9"/>
  </w:num>
  <w:num w:numId="22">
    <w:abstractNumId w:val="14"/>
  </w:num>
  <w:num w:numId="23">
    <w:abstractNumId w:val="21"/>
  </w:num>
  <w:num w:numId="24">
    <w:abstractNumId w:val="29"/>
  </w:num>
  <w:num w:numId="25">
    <w:abstractNumId w:val="4"/>
  </w:num>
  <w:num w:numId="26">
    <w:abstractNumId w:val="18"/>
  </w:num>
  <w:num w:numId="27">
    <w:abstractNumId w:val="22"/>
  </w:num>
  <w:num w:numId="28">
    <w:abstractNumId w:val="30"/>
  </w:num>
  <w:num w:numId="29">
    <w:abstractNumId w:val="26"/>
  </w:num>
  <w:num w:numId="30">
    <w:abstractNumId w:val="10"/>
  </w:num>
  <w:num w:numId="31">
    <w:abstractNumId w:val="17"/>
  </w:num>
  <w:num w:numId="32">
    <w:abstractNumId w:val="12"/>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61ABB"/>
    <w:rsid w:val="00067F68"/>
    <w:rsid w:val="00077AC7"/>
    <w:rsid w:val="000A47FA"/>
    <w:rsid w:val="000A65D3"/>
    <w:rsid w:val="000B1E33"/>
    <w:rsid w:val="000D689F"/>
    <w:rsid w:val="000E7B7B"/>
    <w:rsid w:val="000E7D62"/>
    <w:rsid w:val="00101052"/>
    <w:rsid w:val="00103357"/>
    <w:rsid w:val="00123C9F"/>
    <w:rsid w:val="00126190"/>
    <w:rsid w:val="00130F17"/>
    <w:rsid w:val="001320BF"/>
    <w:rsid w:val="001338F0"/>
    <w:rsid w:val="001344BC"/>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3210"/>
    <w:rsid w:val="002556F6"/>
    <w:rsid w:val="00283105"/>
    <w:rsid w:val="00284C4C"/>
    <w:rsid w:val="0028755C"/>
    <w:rsid w:val="00287E68"/>
    <w:rsid w:val="00296529"/>
    <w:rsid w:val="00296B03"/>
    <w:rsid w:val="002B27FB"/>
    <w:rsid w:val="002B685A"/>
    <w:rsid w:val="002C57D2"/>
    <w:rsid w:val="002D1541"/>
    <w:rsid w:val="002E0D56"/>
    <w:rsid w:val="002F32F7"/>
    <w:rsid w:val="00315186"/>
    <w:rsid w:val="0033343E"/>
    <w:rsid w:val="003512C2"/>
    <w:rsid w:val="00371FB6"/>
    <w:rsid w:val="003763C1"/>
    <w:rsid w:val="00376BBE"/>
    <w:rsid w:val="0039224F"/>
    <w:rsid w:val="003A43A4"/>
    <w:rsid w:val="003A7E18"/>
    <w:rsid w:val="003C4C86"/>
    <w:rsid w:val="003C6258"/>
    <w:rsid w:val="003E163A"/>
    <w:rsid w:val="003E2904"/>
    <w:rsid w:val="00401927"/>
    <w:rsid w:val="00406B25"/>
    <w:rsid w:val="0041027F"/>
    <w:rsid w:val="00412475"/>
    <w:rsid w:val="00417D81"/>
    <w:rsid w:val="00423789"/>
    <w:rsid w:val="00430B00"/>
    <w:rsid w:val="00431217"/>
    <w:rsid w:val="00434B2C"/>
    <w:rsid w:val="00440F43"/>
    <w:rsid w:val="004413AB"/>
    <w:rsid w:val="00441B6F"/>
    <w:rsid w:val="00446221"/>
    <w:rsid w:val="00450E62"/>
    <w:rsid w:val="004539DB"/>
    <w:rsid w:val="00466C84"/>
    <w:rsid w:val="00471A80"/>
    <w:rsid w:val="004B6433"/>
    <w:rsid w:val="004D305E"/>
    <w:rsid w:val="004D4277"/>
    <w:rsid w:val="00502516"/>
    <w:rsid w:val="00505F06"/>
    <w:rsid w:val="00506828"/>
    <w:rsid w:val="00517C07"/>
    <w:rsid w:val="00521CFE"/>
    <w:rsid w:val="00527C3C"/>
    <w:rsid w:val="0053056E"/>
    <w:rsid w:val="00554FDA"/>
    <w:rsid w:val="005654AE"/>
    <w:rsid w:val="00582AE5"/>
    <w:rsid w:val="00582D49"/>
    <w:rsid w:val="005C784C"/>
    <w:rsid w:val="005D17F6"/>
    <w:rsid w:val="005E5539"/>
    <w:rsid w:val="005F6B20"/>
    <w:rsid w:val="00602BF5"/>
    <w:rsid w:val="00617FDD"/>
    <w:rsid w:val="00621EBC"/>
    <w:rsid w:val="00633614"/>
    <w:rsid w:val="00633824"/>
    <w:rsid w:val="00633F68"/>
    <w:rsid w:val="00636EB2"/>
    <w:rsid w:val="006375B8"/>
    <w:rsid w:val="0064011A"/>
    <w:rsid w:val="0066510A"/>
    <w:rsid w:val="00673F9F"/>
    <w:rsid w:val="00686953"/>
    <w:rsid w:val="00687DEA"/>
    <w:rsid w:val="00687E67"/>
    <w:rsid w:val="006967F7"/>
    <w:rsid w:val="00697B05"/>
    <w:rsid w:val="006A250C"/>
    <w:rsid w:val="006B21D3"/>
    <w:rsid w:val="006B57D0"/>
    <w:rsid w:val="006D30FF"/>
    <w:rsid w:val="006D6940"/>
    <w:rsid w:val="006F051E"/>
    <w:rsid w:val="006F11EC"/>
    <w:rsid w:val="0070082C"/>
    <w:rsid w:val="00705AAE"/>
    <w:rsid w:val="0072494D"/>
    <w:rsid w:val="007301E9"/>
    <w:rsid w:val="007369E6"/>
    <w:rsid w:val="0074216E"/>
    <w:rsid w:val="00746E59"/>
    <w:rsid w:val="00754C9A"/>
    <w:rsid w:val="0075599A"/>
    <w:rsid w:val="00761D52"/>
    <w:rsid w:val="0077749E"/>
    <w:rsid w:val="00790ADA"/>
    <w:rsid w:val="007C77E8"/>
    <w:rsid w:val="007D2288"/>
    <w:rsid w:val="007D74B0"/>
    <w:rsid w:val="007E088F"/>
    <w:rsid w:val="007E5968"/>
    <w:rsid w:val="007F7B32"/>
    <w:rsid w:val="00801315"/>
    <w:rsid w:val="00804BC2"/>
    <w:rsid w:val="00804D3E"/>
    <w:rsid w:val="0081431A"/>
    <w:rsid w:val="0083216F"/>
    <w:rsid w:val="00850A62"/>
    <w:rsid w:val="00860000"/>
    <w:rsid w:val="00863BD3"/>
    <w:rsid w:val="008641ED"/>
    <w:rsid w:val="00865105"/>
    <w:rsid w:val="00866D66"/>
    <w:rsid w:val="008671C6"/>
    <w:rsid w:val="00875803"/>
    <w:rsid w:val="008960F0"/>
    <w:rsid w:val="008B3474"/>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4A41"/>
    <w:rsid w:val="009D7EB7"/>
    <w:rsid w:val="009E048A"/>
    <w:rsid w:val="009E08E9"/>
    <w:rsid w:val="009E3DB9"/>
    <w:rsid w:val="009E6E35"/>
    <w:rsid w:val="009F0EDA"/>
    <w:rsid w:val="00A039FC"/>
    <w:rsid w:val="00A03B96"/>
    <w:rsid w:val="00A05B19"/>
    <w:rsid w:val="00A1134E"/>
    <w:rsid w:val="00A17AEA"/>
    <w:rsid w:val="00A24E7E"/>
    <w:rsid w:val="00A258C3"/>
    <w:rsid w:val="00A30E8F"/>
    <w:rsid w:val="00A347C0"/>
    <w:rsid w:val="00A51431"/>
    <w:rsid w:val="00A539AD"/>
    <w:rsid w:val="00A75250"/>
    <w:rsid w:val="00A94063"/>
    <w:rsid w:val="00AA6219"/>
    <w:rsid w:val="00AA74E0"/>
    <w:rsid w:val="00AB0417"/>
    <w:rsid w:val="00AB703F"/>
    <w:rsid w:val="00AC6BB8"/>
    <w:rsid w:val="00AC6FA5"/>
    <w:rsid w:val="00AE008F"/>
    <w:rsid w:val="00AE5A21"/>
    <w:rsid w:val="00AF6C35"/>
    <w:rsid w:val="00B01FCD"/>
    <w:rsid w:val="00B1776C"/>
    <w:rsid w:val="00B31BEA"/>
    <w:rsid w:val="00B476EA"/>
    <w:rsid w:val="00B52583"/>
    <w:rsid w:val="00B52896"/>
    <w:rsid w:val="00B735C3"/>
    <w:rsid w:val="00B865FE"/>
    <w:rsid w:val="00B95236"/>
    <w:rsid w:val="00B96BD9"/>
    <w:rsid w:val="00BA1B01"/>
    <w:rsid w:val="00BA2641"/>
    <w:rsid w:val="00BA3A85"/>
    <w:rsid w:val="00BB37AA"/>
    <w:rsid w:val="00BC53A0"/>
    <w:rsid w:val="00BD709B"/>
    <w:rsid w:val="00BD7FC2"/>
    <w:rsid w:val="00BE62AD"/>
    <w:rsid w:val="00BF121F"/>
    <w:rsid w:val="00BF1F80"/>
    <w:rsid w:val="00BF5F58"/>
    <w:rsid w:val="00C166EF"/>
    <w:rsid w:val="00C177D4"/>
    <w:rsid w:val="00C17EB0"/>
    <w:rsid w:val="00C24113"/>
    <w:rsid w:val="00C27F5F"/>
    <w:rsid w:val="00C30A0F"/>
    <w:rsid w:val="00C3612C"/>
    <w:rsid w:val="00C37E61"/>
    <w:rsid w:val="00C601F0"/>
    <w:rsid w:val="00C70F1B"/>
    <w:rsid w:val="00C71A47"/>
    <w:rsid w:val="00C73AED"/>
    <w:rsid w:val="00C7464C"/>
    <w:rsid w:val="00C85588"/>
    <w:rsid w:val="00CD6755"/>
    <w:rsid w:val="00CD6856"/>
    <w:rsid w:val="00CE0089"/>
    <w:rsid w:val="00CE793C"/>
    <w:rsid w:val="00CF193C"/>
    <w:rsid w:val="00D173F1"/>
    <w:rsid w:val="00D209CB"/>
    <w:rsid w:val="00D22422"/>
    <w:rsid w:val="00D74CB0"/>
    <w:rsid w:val="00D8295D"/>
    <w:rsid w:val="00D94B6B"/>
    <w:rsid w:val="00DB222C"/>
    <w:rsid w:val="00DC2A65"/>
    <w:rsid w:val="00DE15F0"/>
    <w:rsid w:val="00DE5663"/>
    <w:rsid w:val="00DE78AA"/>
    <w:rsid w:val="00DF2C23"/>
    <w:rsid w:val="00DF4806"/>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21E2"/>
    <w:rsid w:val="00EF581D"/>
    <w:rsid w:val="00EF7FD8"/>
    <w:rsid w:val="00F06F59"/>
    <w:rsid w:val="00F17988"/>
    <w:rsid w:val="00F2615E"/>
    <w:rsid w:val="00F46661"/>
    <w:rsid w:val="00F469F0"/>
    <w:rsid w:val="00F53273"/>
    <w:rsid w:val="00F6099A"/>
    <w:rsid w:val="00F6546B"/>
    <w:rsid w:val="00F66A92"/>
    <w:rsid w:val="00F755E4"/>
    <w:rsid w:val="00F77D02"/>
    <w:rsid w:val="00F86757"/>
    <w:rsid w:val="00F9691E"/>
    <w:rsid w:val="00FB3A86"/>
    <w:rsid w:val="00FB5300"/>
    <w:rsid w:val="00FB7DB7"/>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919B6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3382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633824"/>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804D3E"/>
    <w:pPr>
      <w:ind w:left="720"/>
      <w:contextualSpacing/>
    </w:pPr>
  </w:style>
  <w:style w:type="character" w:styleId="PlaceholderText">
    <w:name w:val="Placeholder Text"/>
    <w:basedOn w:val="DefaultParagraphFont"/>
    <w:uiPriority w:val="99"/>
    <w:semiHidden/>
    <w:rsid w:val="00527C3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540EE-F3D0-4BEB-BC9A-947DFA721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12</Pages>
  <Words>14183</Words>
  <Characters>80847</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94841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7</cp:revision>
  <cp:lastPrinted>1999-07-06T11:00:00Z</cp:lastPrinted>
  <dcterms:created xsi:type="dcterms:W3CDTF">2025-12-07T06:31:00Z</dcterms:created>
  <dcterms:modified xsi:type="dcterms:W3CDTF">2025-12-09T06:54:00Z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a4d51125-1558-4f1f-a3fc-8bc03dc5562b</vt:lpwstr>
  </property>
  <property fmtid="{D5CDD505-2E9C-101B-9397-08002B2CF9AE}" pid="3" name="Mendeley Recent Style Id 0_1">
    <vt:lpwstr>http://www.zotero.org/styles/apa</vt:lpwstr>
  </property>
  <property fmtid="{D5CDD505-2E9C-101B-9397-08002B2CF9AE}" pid="4" name="Mendeley Recent Style Name 0_1">
    <vt:lpwstr>American Psychological Association 7th edition</vt:lpwstr>
  </property>
  <property fmtid="{D5CDD505-2E9C-101B-9397-08002B2CF9AE}" pid="5" name="Mendeley Recent Style Id 1_1">
    <vt:lpwstr>http://www.zotero.org/styles/chicago-note-bibliography</vt:lpwstr>
  </property>
  <property fmtid="{D5CDD505-2E9C-101B-9397-08002B2CF9AE}" pid="6" name="Mendeley Recent Style Name 1_1">
    <vt:lpwstr>Chicago Manual of Style 17th edition (note)</vt:lpwstr>
  </property>
  <property fmtid="{D5CDD505-2E9C-101B-9397-08002B2CF9AE}" pid="7" name="Mendeley Recent Style Id 2_1">
    <vt:lpwstr>http://www.zotero.org/styles/harvard1</vt:lpwstr>
  </property>
  <property fmtid="{D5CDD505-2E9C-101B-9397-08002B2CF9AE}" pid="8" name="Mendeley Recent Style Name 2_1">
    <vt:lpwstr>Harvard reference format 1 (deprecated)</vt:lpwstr>
  </property>
  <property fmtid="{D5CDD505-2E9C-101B-9397-08002B2CF9AE}" pid="9" name="Mendeley Recent Style Id 3_1">
    <vt:lpwstr>http://www.zotero.org/styles/ieee</vt:lpwstr>
  </property>
  <property fmtid="{D5CDD505-2E9C-101B-9397-08002B2CF9AE}" pid="10" name="Mendeley Recent Style Name 3_1">
    <vt:lpwstr>IEEE</vt:lpwstr>
  </property>
  <property fmtid="{D5CDD505-2E9C-101B-9397-08002B2CF9AE}" pid="11" name="Mendeley Recent Style Id 4_1">
    <vt:lpwstr>http://www.zotero.org/styles/ieee-access</vt:lpwstr>
  </property>
  <property fmtid="{D5CDD505-2E9C-101B-9397-08002B2CF9AE}" pid="12" name="Mendeley Recent Style Name 4_1">
    <vt:lpwstr>IEEE Access</vt:lpwstr>
  </property>
  <property fmtid="{D5CDD505-2E9C-101B-9397-08002B2CF9AE}" pid="13" name="Mendeley Recent Style Id 5_1">
    <vt:lpwstr>http://www.zotero.org/styles/ieee-annals-of-the-history-of-computing</vt:lpwstr>
  </property>
  <property fmtid="{D5CDD505-2E9C-101B-9397-08002B2CF9AE}" pid="14" name="Mendeley Recent Style Name 5_1">
    <vt:lpwstr>IEEE Annals of the History of Computing</vt:lpwstr>
  </property>
  <property fmtid="{D5CDD505-2E9C-101B-9397-08002B2CF9AE}" pid="15" name="Mendeley Recent Style Id 6_1">
    <vt:lpwstr>http://www.zotero.org/styles/ieee-communications-letters</vt:lpwstr>
  </property>
  <property fmtid="{D5CDD505-2E9C-101B-9397-08002B2CF9AE}" pid="16" name="Mendeley Recent Style Name 6_1">
    <vt:lpwstr>IEEE Communications Letters</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http://www.zotero.org/styles/national-library-of-medicine</vt:lpwstr>
  </property>
  <property fmtid="{D5CDD505-2E9C-101B-9397-08002B2CF9AE}" pid="20" name="Mendeley Recent Style Name 8_1">
    <vt:lpwstr>National Library of Medicine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607f78c1-d0db-3f37-92a4-dd2af83a4ee5</vt:lpwstr>
  </property>
  <property fmtid="{D5CDD505-2E9C-101B-9397-08002B2CF9AE}" pid="25" name="Mendeley Citation Style_1">
    <vt:lpwstr>http://www.zotero.org/styles/apa</vt:lpwstr>
  </property>
</Properties>
</file>