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9C82" w14:textId="77777777" w:rsidR="00754C9A" w:rsidRDefault="00754C9A" w:rsidP="00441B6F">
      <w:pPr>
        <w:pStyle w:val="Title"/>
        <w:spacing w:after="0"/>
        <w:jc w:val="both"/>
        <w:rPr>
          <w:rFonts w:ascii="Arial" w:hAnsi="Arial" w:cs="Arial"/>
        </w:rPr>
      </w:pPr>
    </w:p>
    <w:p w14:paraId="1518D157" w14:textId="52FDACFA" w:rsidR="00163BC4" w:rsidRPr="00163BC4" w:rsidRDefault="00927F85" w:rsidP="00441B6F">
      <w:pPr>
        <w:pStyle w:val="Author"/>
        <w:spacing w:line="240" w:lineRule="auto"/>
        <w:rPr>
          <w:rFonts w:ascii="Arial" w:hAnsi="Arial" w:cs="Arial"/>
          <w:bCs/>
          <w:iCs/>
          <w:kern w:val="28"/>
          <w:sz w:val="36"/>
        </w:rPr>
      </w:pPr>
      <w:r w:rsidRPr="00927F85">
        <w:rPr>
          <w:rFonts w:ascii="Arial" w:hAnsi="Arial" w:cs="Arial"/>
          <w:bCs/>
          <w:iCs/>
          <w:kern w:val="28"/>
          <w:sz w:val="36"/>
        </w:rPr>
        <w:t>Adaptive Entrepreneurial Leadership and Innovative Behavior in Madura Grocery Store MSMEs</w:t>
      </w:r>
      <w:r w:rsidR="00231920">
        <w:rPr>
          <w:rFonts w:ascii="Arial" w:hAnsi="Arial" w:cs="Arial"/>
          <w:bCs/>
          <w:iCs/>
          <w:kern w:val="28"/>
          <w:sz w:val="36"/>
        </w:rPr>
        <w:t xml:space="preserve"> </w:t>
      </w:r>
    </w:p>
    <w:p w14:paraId="3200FB46" w14:textId="77777777" w:rsidR="00322831" w:rsidRDefault="00322831" w:rsidP="00C8108E">
      <w:pPr>
        <w:pStyle w:val="Affiliation"/>
        <w:rPr>
          <w:rFonts w:ascii="Arial" w:hAnsi="Arial" w:cs="Arial"/>
          <w:i/>
          <w:lang w:val="en-ID"/>
        </w:rPr>
      </w:pPr>
    </w:p>
    <w:p w14:paraId="286ACF71" w14:textId="77777777" w:rsidR="00322831" w:rsidRDefault="00322831" w:rsidP="00C8108E">
      <w:pPr>
        <w:pStyle w:val="Affiliation"/>
        <w:rPr>
          <w:rFonts w:ascii="Arial" w:hAnsi="Arial" w:cs="Arial"/>
          <w:i/>
          <w:lang w:val="en-ID"/>
        </w:rPr>
      </w:pPr>
    </w:p>
    <w:p w14:paraId="6588EC38" w14:textId="77777777" w:rsidR="00322831" w:rsidRDefault="00322831" w:rsidP="00C8108E">
      <w:pPr>
        <w:pStyle w:val="Affiliation"/>
        <w:rPr>
          <w:rFonts w:ascii="Arial" w:hAnsi="Arial" w:cs="Arial"/>
          <w:i/>
          <w:lang w:val="en-ID"/>
        </w:rPr>
      </w:pPr>
    </w:p>
    <w:p w14:paraId="4D59D524" w14:textId="24A4E8EF" w:rsidR="00C8108E" w:rsidRPr="00F357CB" w:rsidRDefault="00C8108E" w:rsidP="00C8108E">
      <w:pPr>
        <w:pStyle w:val="Affiliation"/>
        <w:rPr>
          <w:rFonts w:ascii="Arial" w:hAnsi="Arial" w:cs="Arial"/>
          <w:i/>
          <w:lang w:val="en-ID"/>
        </w:rPr>
      </w:pPr>
      <w:r>
        <w:rPr>
          <w:rFonts w:ascii="Arial" w:hAnsi="Arial" w:cs="Arial"/>
          <w:i/>
          <w:lang w:val="en-ID"/>
        </w:rPr>
        <w:t xml:space="preserve"> </w:t>
      </w:r>
    </w:p>
    <w:p w14:paraId="3B852724" w14:textId="77777777" w:rsidR="00B01FCD" w:rsidRPr="00FB3A86" w:rsidRDefault="00000000" w:rsidP="00441B6F">
      <w:pPr>
        <w:pStyle w:val="Copyright"/>
        <w:spacing w:after="0" w:line="240" w:lineRule="auto"/>
        <w:jc w:val="both"/>
        <w:rPr>
          <w:rFonts w:ascii="Arial" w:hAnsi="Arial" w:cs="Arial"/>
        </w:rPr>
        <w:sectPr w:rsidR="00B01FCD" w:rsidRPr="00FB3A86" w:rsidSect="00F60B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35242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E3B64E5" w14:textId="1E561353" w:rsidR="00B01FCD" w:rsidRDefault="00B01FCD" w:rsidP="00441B6F">
      <w:pPr>
        <w:pStyle w:val="AbstHead"/>
        <w:spacing w:after="0"/>
        <w:jc w:val="both"/>
        <w:rPr>
          <w:rFonts w:ascii="Arial" w:hAnsi="Arial" w:cs="Arial"/>
        </w:rPr>
      </w:pPr>
      <w:r w:rsidRPr="00FB3A86">
        <w:rPr>
          <w:rFonts w:ascii="Arial" w:hAnsi="Arial" w:cs="Arial"/>
        </w:rPr>
        <w:t>ABSTRACT</w:t>
      </w:r>
    </w:p>
    <w:p w14:paraId="479A96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B6344A2" w14:textId="77777777" w:rsidTr="001E44FE">
        <w:tc>
          <w:tcPr>
            <w:tcW w:w="9576" w:type="dxa"/>
            <w:shd w:val="clear" w:color="auto" w:fill="F2F2F2"/>
          </w:tcPr>
          <w:p w14:paraId="6D23055F" w14:textId="77777777" w:rsidR="00B73BC1" w:rsidRPr="00B73BC1" w:rsidRDefault="00B73BC1" w:rsidP="00B73BC1">
            <w:pPr>
              <w:jc w:val="both"/>
              <w:rPr>
                <w:rFonts w:eastAsia="Calibri"/>
              </w:rPr>
            </w:pPr>
            <w:r w:rsidRPr="00B73BC1">
              <w:rPr>
                <w:rFonts w:eastAsia="Calibri"/>
                <w:b/>
                <w:bCs/>
              </w:rPr>
              <w:t>Aims</w:t>
            </w:r>
            <w:r w:rsidRPr="00B73BC1">
              <w:rPr>
                <w:rFonts w:eastAsia="Calibri"/>
              </w:rPr>
              <w:t>: This study aims to test five hypotheses focusing on the role of Adaptive Entrepreneurial Leadership in encouraging Employee Innovative Behavior. Specifically, it examines the direct effects on Employee Innovative Behavior and Psychological Empowerment, the effect of Psychological Empowerment on innovative behavior, its mediating role, and the moderating role of Socio-Cultural Adaptability.</w:t>
            </w:r>
          </w:p>
          <w:p w14:paraId="7392101C" w14:textId="77777777" w:rsidR="00B73BC1" w:rsidRPr="00B73BC1" w:rsidRDefault="00B73BC1" w:rsidP="00B73BC1">
            <w:pPr>
              <w:jc w:val="both"/>
              <w:rPr>
                <w:rFonts w:eastAsia="Calibri"/>
              </w:rPr>
            </w:pPr>
            <w:r w:rsidRPr="00B73BC1">
              <w:rPr>
                <w:rFonts w:eastAsia="Calibri"/>
                <w:b/>
                <w:bCs/>
              </w:rPr>
              <w:t>Study design</w:t>
            </w:r>
            <w:r w:rsidRPr="00B73BC1">
              <w:rPr>
                <w:rFonts w:eastAsia="Calibri"/>
              </w:rPr>
              <w:t>: This study uses a quantitative approach with an explanatory research method to test causal relationships among variables.</w:t>
            </w:r>
          </w:p>
          <w:p w14:paraId="4580F317" w14:textId="77777777" w:rsidR="00B73BC1" w:rsidRPr="00B73BC1" w:rsidRDefault="00B73BC1" w:rsidP="00B73BC1">
            <w:pPr>
              <w:jc w:val="both"/>
              <w:rPr>
                <w:rFonts w:eastAsia="Calibri"/>
              </w:rPr>
            </w:pPr>
            <w:r w:rsidRPr="00B73BC1">
              <w:rPr>
                <w:rFonts w:eastAsia="Calibri"/>
              </w:rPr>
              <w:t>Place and Duration of Study: The research was conducted on Madurese ethnic grocery store MSMEs in Malang City.</w:t>
            </w:r>
          </w:p>
          <w:p w14:paraId="7EFA8900" w14:textId="77777777" w:rsidR="00B73BC1" w:rsidRPr="00B73BC1" w:rsidRDefault="00B73BC1" w:rsidP="00B73BC1">
            <w:pPr>
              <w:jc w:val="both"/>
              <w:rPr>
                <w:rFonts w:eastAsia="Calibri"/>
              </w:rPr>
            </w:pPr>
            <w:r w:rsidRPr="00B73BC1">
              <w:rPr>
                <w:rFonts w:eastAsia="Calibri"/>
                <w:b/>
                <w:bCs/>
              </w:rPr>
              <w:t>Methodology</w:t>
            </w:r>
            <w:r w:rsidRPr="00B73BC1">
              <w:rPr>
                <w:rFonts w:eastAsia="Calibri"/>
              </w:rPr>
              <w:t>: Data were collected from 101 MSME owners and analyzed using structural model testing to assess direct, mediating, and moderating effects.</w:t>
            </w:r>
          </w:p>
          <w:p w14:paraId="6C66C86C" w14:textId="77777777" w:rsidR="00B73BC1" w:rsidRPr="00B73BC1" w:rsidRDefault="00B73BC1" w:rsidP="00B73BC1">
            <w:pPr>
              <w:jc w:val="both"/>
              <w:rPr>
                <w:rFonts w:eastAsia="Calibri"/>
              </w:rPr>
            </w:pPr>
            <w:r w:rsidRPr="00B73BC1">
              <w:rPr>
                <w:rFonts w:eastAsia="Calibri"/>
                <w:b/>
                <w:bCs/>
              </w:rPr>
              <w:t>Results</w:t>
            </w:r>
            <w:r w:rsidRPr="00B73BC1">
              <w:rPr>
                <w:rFonts w:eastAsia="Calibri"/>
              </w:rPr>
              <w:t>: Results show adaptive entrepreneurial leadership significantly affects employee innovative behavior and psychological empowerment. Psychological empowerment does not directly predict innovation but significantly mediates the leadership–innovation link. Socio-cultural adaptability significantly moderates this relationship, strengthening leadership’s effect on innovative behavior in MSME context.</w:t>
            </w:r>
          </w:p>
          <w:p w14:paraId="2D1D62C7" w14:textId="3E23C827" w:rsidR="00505F06" w:rsidRPr="00BA1B01" w:rsidRDefault="00B73BC1" w:rsidP="00B73BC1">
            <w:pPr>
              <w:jc w:val="both"/>
              <w:rPr>
                <w:rFonts w:eastAsia="Calibri"/>
              </w:rPr>
            </w:pPr>
            <w:r w:rsidRPr="00B73BC1">
              <w:rPr>
                <w:rFonts w:eastAsia="Calibri"/>
                <w:b/>
                <w:bCs/>
              </w:rPr>
              <w:t>Conclusion</w:t>
            </w:r>
            <w:r w:rsidRPr="00B73BC1">
              <w:rPr>
                <w:rFonts w:eastAsia="Calibri"/>
              </w:rPr>
              <w:t>: Employee innovative behavior in MSMEs is shaped by the synergy between adaptive leadership, psychological empowerment, and socio-cultural adaptability. Future research is recommended to employ longitudinal or mixed-method designs and to examine broader MSME contexts to enhance the generalizability of these findings.</w:t>
            </w:r>
          </w:p>
        </w:tc>
      </w:tr>
    </w:tbl>
    <w:p w14:paraId="0A4CDA9D" w14:textId="77777777" w:rsidR="00636EB2" w:rsidRDefault="00636EB2" w:rsidP="00441B6F">
      <w:pPr>
        <w:pStyle w:val="Body"/>
        <w:spacing w:after="0"/>
        <w:rPr>
          <w:rFonts w:ascii="Arial" w:hAnsi="Arial" w:cs="Arial"/>
          <w:i/>
        </w:rPr>
      </w:pPr>
    </w:p>
    <w:p w14:paraId="416B71C2" w14:textId="38A571CC" w:rsidR="00A24E7E" w:rsidRPr="00515ADA" w:rsidRDefault="00A24E7E" w:rsidP="00515ADA">
      <w:pPr>
        <w:pStyle w:val="Body"/>
        <w:rPr>
          <w:rFonts w:ascii="Arial" w:hAnsi="Arial" w:cs="Arial"/>
          <w:i/>
          <w:lang w:val="en-ID"/>
        </w:rPr>
      </w:pPr>
      <w:r>
        <w:rPr>
          <w:rFonts w:ascii="Arial" w:hAnsi="Arial" w:cs="Arial"/>
          <w:i/>
        </w:rPr>
        <w:t xml:space="preserve">Keywords: </w:t>
      </w:r>
      <w:r w:rsidR="00515ADA" w:rsidRPr="00515ADA">
        <w:rPr>
          <w:rFonts w:ascii="Arial" w:hAnsi="Arial" w:cs="Arial"/>
          <w:i/>
          <w:lang w:val="en-ID"/>
        </w:rPr>
        <w:t>Adaptive Entrepreneurial Leadership; Psychological Empowerment; Socio-Cultural Adaptability; Employee Innovative Behavior; MSMEs; Ethnic-based Enterprises; Madurese Community; Leadership and Innovation.</w:t>
      </w:r>
    </w:p>
    <w:p w14:paraId="43369BDA" w14:textId="77777777" w:rsidR="00505F06" w:rsidRPr="00A24E7E" w:rsidRDefault="00505F06" w:rsidP="00441B6F">
      <w:pPr>
        <w:pStyle w:val="Body"/>
        <w:spacing w:after="0"/>
        <w:rPr>
          <w:rFonts w:ascii="Arial" w:hAnsi="Arial" w:cs="Arial"/>
          <w:i/>
        </w:rPr>
      </w:pPr>
    </w:p>
    <w:p w14:paraId="2105C9C5" w14:textId="7E967B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1A60A8" w14:textId="77777777" w:rsidR="00790ADA" w:rsidRPr="00FB3A86" w:rsidRDefault="00790ADA" w:rsidP="00441B6F">
      <w:pPr>
        <w:pStyle w:val="AbstHead"/>
        <w:spacing w:after="0"/>
        <w:jc w:val="both"/>
        <w:rPr>
          <w:rFonts w:ascii="Arial" w:hAnsi="Arial" w:cs="Arial"/>
        </w:rPr>
      </w:pPr>
    </w:p>
    <w:p w14:paraId="361DBDA2" w14:textId="692C7E13" w:rsidR="00F77286" w:rsidRPr="00F77286" w:rsidRDefault="00F77286" w:rsidP="00441B6F">
      <w:pPr>
        <w:pStyle w:val="Body"/>
        <w:spacing w:after="0"/>
        <w:rPr>
          <w:rFonts w:ascii="Arial" w:hAnsi="Arial" w:cs="Arial"/>
        </w:rPr>
      </w:pPr>
      <w:r w:rsidRPr="00F77286">
        <w:rPr>
          <w:rFonts w:ascii="Arial" w:hAnsi="Arial" w:cs="Arial"/>
        </w:rPr>
        <w:t xml:space="preserve">Micro, Small, and Medium Enterprises (MSMEs) play a strategic role in the Indonesian economy, contributing approximately 61% to national GDP and employing over 97% of the workforce, making them a crucial pillar in job creation, poverty reduction, and strengthening the local economy (Anwar &amp; Noviaristanti, 2025; Saputera et al., 2021). Within this ecosystem, Madurese grocery stores occupy a unique position as part of the traditional retail distribution network, providing essential necessities, creating employment opportunities, and </w:t>
      </w:r>
      <w:r w:rsidRPr="00F77286">
        <w:rPr>
          <w:rFonts w:ascii="Arial" w:hAnsi="Arial" w:cs="Arial"/>
        </w:rPr>
        <w:lastRenderedPageBreak/>
        <w:t>supporting local suppliers. The resilience of MSMEs in the face of crises, including the COVID-19 pandemic, is influenced by flexible resource management, close ties to the community, and utilization of government support such as Rumah BUMN (State-Owned Enterprises House) (Anwar &amp; Noviaristanti, 2025; Ilham et al., 2025; Sjofyan &amp; Prijadi, 2018). Madurese grocery stores exhibit a distinctive work culture that integrates economic and non-economic goals, such as personal satisfaction and social welfare, through strong community ties, customer loyalty, and adaptive decision-making (Sjofyan &amp; Prijadi, 2018).</w:t>
      </w:r>
    </w:p>
    <w:p w14:paraId="6CFB01EB" w14:textId="6DCDF99D" w:rsidR="00B95236" w:rsidRDefault="00F77286" w:rsidP="00441B6F">
      <w:pPr>
        <w:pStyle w:val="Body"/>
        <w:spacing w:after="0"/>
        <w:rPr>
          <w:rFonts w:ascii="Arial" w:hAnsi="Arial" w:cs="Arial"/>
        </w:rPr>
      </w:pPr>
      <w:r w:rsidRPr="00F77286">
        <w:rPr>
          <w:rFonts w:ascii="Arial" w:hAnsi="Arial" w:cs="Arial"/>
        </w:rPr>
        <w:t>Retail competition in Malang City is increasingly complex with the expansion of franchise minimarkets offering competitive prices, a wide product variety, and a convenient shopping experience, putting pressure on the sustainability of small retailers (Kurniawan &amp; Ma'Ruf, 2018). Local government support for the growth of modern retail widens the competitive gap for MSMEs. At the same time, changing consumer preferences demand visual merchandising strategies such as planograms (Elquthb &amp; Mansur, 2025) and seasonal variation management (Ayu et al., 2018). Digital transformation is also changing shopping patterns, yet many MSMEs have not yet optimally utilized e-commerce (Hoo &amp; Kusumawati, 2024; Syahputra et al., 2025). However, technologies such as GIS and mobile applications can support strategic location selection and strengthen market presence (Wagistina et al., 2022). Resource constraints drive the need for efficiency and innovation (Suyono et al., 2016), including developing innovative employee behavior through agile organizational structures and the use of digital tools (Peuser, 2023; Suryani et al., 2020). Strategic orientation, innovation capabilities, and supply chain management are critical factors for small retail competitiveness (Puspita et al., 2020).</w:t>
      </w:r>
    </w:p>
    <w:p w14:paraId="6312E5AE" w14:textId="154F349F" w:rsidR="00F77286" w:rsidRDefault="00F77286" w:rsidP="00441B6F">
      <w:pPr>
        <w:pStyle w:val="Body"/>
        <w:spacing w:after="0"/>
        <w:rPr>
          <w:rFonts w:ascii="Arial" w:hAnsi="Arial" w:cs="Arial"/>
        </w:rPr>
      </w:pPr>
      <w:r w:rsidRPr="00F77286">
        <w:rPr>
          <w:rFonts w:ascii="Arial" w:hAnsi="Arial" w:cs="Arial"/>
        </w:rPr>
        <w:t>The cultural characteristics of Madurese grocery stores align with the principles of adaptive entrepreneurial leadership (AEL), which is built through kinship-based leadership, collective work, and rapid decision-making. Strong emotional bonds between owners and employees strengthen work engagement and reduce turnover (Abidin et al., 2023; Pariyanti et al., 2025). The collective values ​​of Madurese encourage collaboration and collaborative problem-solving, aligning with the adaptive leadership framework (Abidin et al., 2023; L. Lei, 2025). Rapid decision-making enables agile market responses, in line with the concept of strategic agility (Ben-Asher et al., 2018; Gasaway, 2024; Jufri &amp; Hadiwibowo, 2025). The AEL perspective is relevant because it emphasizes creativity, opportunity seeking, and emotional intelligence, which are reflected in the practices of Madurese grocery stores (Oluwafemi, 2025; Vignochi et al., 2019).</w:t>
      </w:r>
    </w:p>
    <w:p w14:paraId="5ACCC818" w14:textId="77777777" w:rsidR="009B6C12" w:rsidRPr="009B6C12" w:rsidRDefault="009B6C12" w:rsidP="004B658A">
      <w:pPr>
        <w:jc w:val="both"/>
        <w:rPr>
          <w:lang w:val="en-ID"/>
        </w:rPr>
      </w:pPr>
      <w:r w:rsidRPr="009B6C12">
        <w:rPr>
          <w:lang w:val="en-ID"/>
        </w:rPr>
        <w:t>Employee Innovative Behavior (EIB) is a crucial element for the sustainability of MSMEs, especially since innovation in grocery stores often occurs improvisationally and informally. Ethical, authentic, and autonomy-giving leadership styles enhance psychological well-being and encourage innovative behavior (Brunetto et al., 2024; Islam et al., 2024; Wen et al., 2021; Kusmaningtyas &amp; Halik, 2024). Leader well-being also influences the innovation climate (Bagiyam et al., 2025). A supportive work environment and quality leader-member relationships strengthen innovative commitment (Islam et al., 2024; Miller &amp; Miller, 2020).</w:t>
      </w:r>
    </w:p>
    <w:p w14:paraId="3D1CCD65" w14:textId="04B8BC75" w:rsidR="009B6C12" w:rsidRPr="009B6C12" w:rsidRDefault="009B6C12" w:rsidP="004B658A">
      <w:pPr>
        <w:jc w:val="both"/>
        <w:rPr>
          <w:lang w:val="en-ID"/>
        </w:rPr>
      </w:pPr>
      <w:r w:rsidRPr="009B6C12">
        <w:rPr>
          <w:lang w:val="en-ID"/>
        </w:rPr>
        <w:t>Psychological empowerment plays a mediating role in the leadership-innovation relationship through the dimensions of meaning, competence, autonomy, and work impact (Kustanto et al., 2020; Miao et al., 2018; Park &amp; Kim, 2022; Singh &amp; Sarkar, 2012; Chang &amp; Liu, 2008; Al Samman et al., 2024; Yadav et al., 2023; Çetinkaya &amp; Yeşilada, 2022; Javed et al., 2019; Setiawan et al., 2020; Surya et al., 2024).</w:t>
      </w:r>
    </w:p>
    <w:p w14:paraId="2E2A03E8" w14:textId="77777777" w:rsidR="009B6C12" w:rsidRDefault="009B6C12" w:rsidP="004B658A">
      <w:pPr>
        <w:jc w:val="both"/>
        <w:rPr>
          <w:lang w:val="en-ID"/>
        </w:rPr>
      </w:pPr>
      <w:r w:rsidRPr="009B6C12">
        <w:t>The Madurese cultural context requires high socio-cultural adaptability to strengthen leadership effectiveness and innovation. Cultural adaptation influences the alignment of leadership styles and employees' courage to express ideas (Abdul Manaf &amp; Abdul Latif, 2014; Kebe et al., 2025; Lee et al., 2007; Imran et al., 2025).</w:t>
      </w:r>
    </w:p>
    <w:p w14:paraId="0FFB8A60" w14:textId="5DA8C212" w:rsidR="009B6C12" w:rsidRPr="009B6C12" w:rsidRDefault="009B6C12" w:rsidP="004B658A">
      <w:pPr>
        <w:jc w:val="both"/>
        <w:rPr>
          <w:lang w:val="en-ID"/>
        </w:rPr>
      </w:pPr>
      <w:r w:rsidRPr="009B6C12">
        <w:rPr>
          <w:lang w:val="en-ID"/>
        </w:rPr>
        <w:t xml:space="preserve">Research gaps are evident in the limited number of studies on EIB in ethnic MSMEs, particularly Madurese grocery stores, and the lack of research examining AEL as a predictor of innovation in micro-enterprises (Abidin et al., 2023; Nguyen et al., 2023; Tian &amp; Zhang, 2020). There is no integrative model that simultaneously examines AEL, psychological </w:t>
      </w:r>
      <w:r w:rsidRPr="009B6C12">
        <w:rPr>
          <w:lang w:val="en-ID"/>
        </w:rPr>
        <w:lastRenderedPageBreak/>
        <w:t>empowerment, and socio-cultural adaptability (Alshiha et al., 2025; Liu et al., 2019; Marampa et al., 2025).</w:t>
      </w:r>
    </w:p>
    <w:p w14:paraId="5FDEEF19" w14:textId="7C10D579" w:rsidR="00790ADA" w:rsidRDefault="009B6C12" w:rsidP="004B658A">
      <w:pPr>
        <w:jc w:val="both"/>
      </w:pPr>
      <w:r w:rsidRPr="009B6C12">
        <w:t>The urgency of this research is strong because the integration of these three factors is believed to increase the innovation capacity of ethnic MSMEs, strengthen business resilience, and improve social welfare (Abdalla &amp; Nakagawa, 2022; M. Malibari et al., 2025; M. A. Malibari &amp; Bajaba, 2022; Norena-Chavez &amp; Thalassinos, 2023; Nyamboga, 2025; Kim, 2024; Sheeba &amp; Christopher, 2024; Zia et al., 2024; Diatmika &amp; Rahayu, 2025; Games, 2020; Rizkita et al., 2025; Akinwale &amp; Alshraim, 2024; Effendi et al., 2022).</w:t>
      </w:r>
    </w:p>
    <w:p w14:paraId="3F2F039A" w14:textId="77777777" w:rsidR="004B658A" w:rsidRDefault="004B658A" w:rsidP="004B658A">
      <w:pPr>
        <w:jc w:val="both"/>
      </w:pPr>
    </w:p>
    <w:p w14:paraId="6AE2D727" w14:textId="2D6B8761" w:rsidR="009B6C12" w:rsidRDefault="009B6C12" w:rsidP="004B658A">
      <w:pPr>
        <w:pStyle w:val="Body"/>
        <w:rPr>
          <w:rFonts w:ascii="Arial" w:hAnsi="Arial" w:cs="Arial"/>
          <w:b/>
          <w:bCs/>
        </w:rPr>
      </w:pPr>
      <w:r w:rsidRPr="009B6C12">
        <w:rPr>
          <w:rFonts w:ascii="Arial" w:hAnsi="Arial" w:cs="Arial"/>
          <w:b/>
          <w:bCs/>
        </w:rPr>
        <w:t>2. LITERATURE REVIEW</w:t>
      </w:r>
    </w:p>
    <w:p w14:paraId="533808B2" w14:textId="77777777" w:rsidR="009B6C12" w:rsidRPr="009B6C12" w:rsidRDefault="009B6C12" w:rsidP="004B658A">
      <w:pPr>
        <w:jc w:val="both"/>
        <w:rPr>
          <w:lang w:val="en-ID"/>
        </w:rPr>
      </w:pPr>
      <w:r w:rsidRPr="009B6C12">
        <w:rPr>
          <w:lang w:val="en-ID"/>
        </w:rPr>
        <w:t>Various studies have shown that Adaptive Entrepreneurial Leadership (AEL) plays a crucial role in encouraging Employee Innovative Behavior (EIB). Adaptive and entrepreneurially oriented leaders are able to build creative self-efficacy through role modeling, encouraging opportunity exploration, and creating a sense of psychological safety that enables employees to take risks and experiment (Mehmood et al., 2020, 2021; Newman et al., 2018; Nugroho, 2024). In addition to directly influencing innovation, AEL also strengthens psychological empowerment by increasing a sense of meaning, competence, and control at work, in line with findings on transformational leadership styles that show similar effects (Mehmood et al., 2019, 2021; Giang &amp; Dung, 2021; Lim et al., 2024; Sağnak et al., 2015).</w:t>
      </w:r>
    </w:p>
    <w:p w14:paraId="27B28954" w14:textId="77777777" w:rsidR="009B6C12" w:rsidRPr="009B6C12" w:rsidRDefault="009B6C12" w:rsidP="004B658A">
      <w:pPr>
        <w:jc w:val="both"/>
        <w:rPr>
          <w:lang w:val="en-ID"/>
        </w:rPr>
      </w:pPr>
      <w:r w:rsidRPr="009B6C12">
        <w:rPr>
          <w:lang w:val="en-ID"/>
        </w:rPr>
        <w:t>Meanwhile, psychological empowerment itself has been shown to increase EIB because empowered employees are more prepared to generate and implement new ideas. Even the dimensions of competence and self-determination have a strong contribution to creativity (Koo et al., 2018; Al Daboub et al., 2024; Sheeba &amp; Christopher, 2024). This mechanism also mediates the relationship between entrepreneurial leadership and innovation, including in the context of transformational and empowering leadership (Mehmood et al., 2021; Miao et al., 2018; Supriyanto et al., 2023; Yadav et al., 2023).</w:t>
      </w:r>
    </w:p>
    <w:p w14:paraId="3957074C" w14:textId="746008B0" w:rsidR="009B6C12" w:rsidRDefault="009B6C12" w:rsidP="004B658A">
      <w:pPr>
        <w:jc w:val="both"/>
        <w:rPr>
          <w:lang w:val="en-ID"/>
        </w:rPr>
      </w:pPr>
      <w:r w:rsidRPr="009B6C12">
        <w:rPr>
          <w:lang w:val="en-ID"/>
        </w:rPr>
        <w:t>Finally, socio-cultural adaptability has the potential to strengthen the influence of AEL on EIB because cultural adaptability makes employees more flexible, responsive, and ready to maximize the innovative demands of leaders (M. Malibari et al., 2025; M. A. Malibari &amp; Bajaba, 2022; Newman et al., 2018).</w:t>
      </w:r>
    </w:p>
    <w:p w14:paraId="26D391A0" w14:textId="42D67B5F" w:rsidR="009B6C12" w:rsidRPr="009B6C12" w:rsidRDefault="009B6C12" w:rsidP="004B658A">
      <w:pPr>
        <w:ind w:left="567"/>
        <w:jc w:val="both"/>
        <w:rPr>
          <w:lang w:val="en-ID"/>
        </w:rPr>
      </w:pPr>
      <w:r w:rsidRPr="009B6C12">
        <w:rPr>
          <w:lang w:val="en-ID"/>
        </w:rPr>
        <w:t>H1: Adaptive Entrepreneurial Leadership has a positive effect on Employee Innovative Behavior.</w:t>
      </w:r>
    </w:p>
    <w:p w14:paraId="1D866B76" w14:textId="77777777" w:rsidR="009B6C12" w:rsidRPr="009B6C12" w:rsidRDefault="009B6C12" w:rsidP="004B658A">
      <w:pPr>
        <w:ind w:left="567"/>
        <w:jc w:val="both"/>
        <w:rPr>
          <w:lang w:val="en-ID"/>
        </w:rPr>
      </w:pPr>
      <w:r w:rsidRPr="009B6C12">
        <w:rPr>
          <w:lang w:val="en-ID"/>
        </w:rPr>
        <w:t>H2: Adaptive Entrepreneurial Leadership has a positive effect on Psychological Empowerment.</w:t>
      </w:r>
    </w:p>
    <w:p w14:paraId="48D55A85" w14:textId="77777777" w:rsidR="009B6C12" w:rsidRPr="009B6C12" w:rsidRDefault="009B6C12" w:rsidP="004B658A">
      <w:pPr>
        <w:ind w:left="567"/>
        <w:jc w:val="both"/>
        <w:rPr>
          <w:lang w:val="en-ID"/>
        </w:rPr>
      </w:pPr>
      <w:r w:rsidRPr="009B6C12">
        <w:rPr>
          <w:lang w:val="en-ID"/>
        </w:rPr>
        <w:t>H3: Psychological Empowerment has a positive effect on Employee Innovative Behavior.</w:t>
      </w:r>
    </w:p>
    <w:p w14:paraId="3BFE7330" w14:textId="77777777" w:rsidR="009B6C12" w:rsidRPr="009B6C12" w:rsidRDefault="009B6C12" w:rsidP="004B658A">
      <w:pPr>
        <w:ind w:left="567"/>
        <w:jc w:val="both"/>
        <w:rPr>
          <w:lang w:val="en-ID"/>
        </w:rPr>
      </w:pPr>
      <w:r w:rsidRPr="009B6C12">
        <w:rPr>
          <w:lang w:val="en-ID"/>
        </w:rPr>
        <w:t>H4: Psychological Empowerment mediates the relationship between Adaptive Entrepreneurial Leadership and Employee Innovative Behavior.</w:t>
      </w:r>
    </w:p>
    <w:p w14:paraId="23082BD5" w14:textId="2B95CE3B" w:rsidR="009B6C12" w:rsidRPr="009B6C12" w:rsidRDefault="009B6C12" w:rsidP="004B658A">
      <w:pPr>
        <w:ind w:left="567"/>
        <w:jc w:val="both"/>
        <w:rPr>
          <w:lang w:val="en-ID"/>
        </w:rPr>
      </w:pPr>
      <w:r w:rsidRPr="009B6C12">
        <w:rPr>
          <w:lang w:val="en-ID"/>
        </w:rPr>
        <w:t>H5: Socio-Cultural Adaptability moderates the effect of Adaptive Entrepreneurial Leadership on Employee Innovative Behavior.</w:t>
      </w:r>
    </w:p>
    <w:p w14:paraId="068781BB" w14:textId="4D2EBCAE" w:rsidR="007F7B32" w:rsidRDefault="009B6C12" w:rsidP="00441B6F">
      <w:pPr>
        <w:pStyle w:val="AbstHead"/>
        <w:spacing w:after="0"/>
        <w:jc w:val="both"/>
        <w:rPr>
          <w:rFonts w:ascii="Arial" w:hAnsi="Arial" w:cs="Arial"/>
        </w:rPr>
      </w:pPr>
      <w:r>
        <w:rPr>
          <w:rFonts w:ascii="Arial" w:hAnsi="Arial" w:cs="Arial"/>
        </w:rPr>
        <w:t>3</w:t>
      </w:r>
      <w:r w:rsidR="00902823">
        <w:rPr>
          <w:rFonts w:ascii="Arial" w:hAnsi="Arial" w:cs="Arial"/>
        </w:rPr>
        <w:t>. method</w:t>
      </w:r>
      <w:r w:rsidR="00000F8F">
        <w:rPr>
          <w:rFonts w:ascii="Arial" w:hAnsi="Arial" w:cs="Arial"/>
        </w:rPr>
        <w:t>s</w:t>
      </w:r>
    </w:p>
    <w:p w14:paraId="178888C6" w14:textId="77777777" w:rsidR="00790ADA" w:rsidRDefault="00790ADA" w:rsidP="00441B6F">
      <w:pPr>
        <w:pStyle w:val="AbstHead"/>
        <w:spacing w:after="0"/>
        <w:jc w:val="both"/>
        <w:rPr>
          <w:rFonts w:ascii="Arial" w:hAnsi="Arial" w:cs="Arial"/>
        </w:rPr>
      </w:pPr>
    </w:p>
    <w:p w14:paraId="7205F69E" w14:textId="1D164146" w:rsidR="004B658A" w:rsidRPr="004B658A" w:rsidRDefault="004B658A" w:rsidP="004B658A">
      <w:pPr>
        <w:jc w:val="both"/>
        <w:rPr>
          <w:lang w:val="en-ID"/>
        </w:rPr>
      </w:pPr>
      <w:r w:rsidRPr="004B658A">
        <w:rPr>
          <w:lang w:val="en-ID"/>
        </w:rPr>
        <w:t>This study uses a quantitative approach with an explanatory research method that aims to test the causal relationship between Adaptive Entrepreneurial Leadership, Psychological Empowerment, Socio-Cultural Adaptability, and Employee Innovative Behavior in Madurese ethnic grocery store MSMEs in Malang City.</w:t>
      </w:r>
    </w:p>
    <w:p w14:paraId="52179A46" w14:textId="77777777" w:rsidR="004B658A" w:rsidRDefault="004B658A" w:rsidP="00441B6F">
      <w:pPr>
        <w:pStyle w:val="AbstHead"/>
        <w:spacing w:after="0"/>
        <w:jc w:val="both"/>
        <w:rPr>
          <w:rFonts w:ascii="Arial" w:hAnsi="Arial" w:cs="Arial"/>
        </w:rPr>
      </w:pPr>
    </w:p>
    <w:p w14:paraId="70CF7239" w14:textId="705A450B" w:rsidR="004B658A" w:rsidRPr="004B658A" w:rsidRDefault="004B658A" w:rsidP="00441B6F">
      <w:pPr>
        <w:pStyle w:val="AbstHead"/>
        <w:spacing w:after="0"/>
        <w:jc w:val="both"/>
        <w:rPr>
          <w:rFonts w:ascii="Arial" w:hAnsi="Arial" w:cs="Arial"/>
          <w:caps w:val="0"/>
          <w:szCs w:val="22"/>
        </w:rPr>
      </w:pPr>
      <w:r w:rsidRPr="004B658A">
        <w:rPr>
          <w:rFonts w:ascii="Arial" w:hAnsi="Arial" w:cs="Arial"/>
          <w:szCs w:val="22"/>
        </w:rPr>
        <w:t xml:space="preserve">3.1 </w:t>
      </w:r>
      <w:r w:rsidRPr="004B658A">
        <w:rPr>
          <w:rFonts w:ascii="Arial" w:hAnsi="Arial" w:cs="Arial"/>
          <w:caps w:val="0"/>
          <w:szCs w:val="22"/>
        </w:rPr>
        <w:t>Population and Sample</w:t>
      </w:r>
    </w:p>
    <w:p w14:paraId="378487DE" w14:textId="77777777" w:rsidR="004B658A" w:rsidRPr="004B658A" w:rsidRDefault="004B658A" w:rsidP="00441B6F">
      <w:pPr>
        <w:pStyle w:val="AbstHead"/>
        <w:spacing w:after="0"/>
        <w:jc w:val="both"/>
        <w:rPr>
          <w:rFonts w:ascii="Arial" w:hAnsi="Arial" w:cs="Arial"/>
        </w:rPr>
      </w:pPr>
    </w:p>
    <w:p w14:paraId="6BF3E35A" w14:textId="43EDDA92" w:rsidR="00B95236" w:rsidRDefault="004B658A" w:rsidP="00441B6F">
      <w:pPr>
        <w:pStyle w:val="Body"/>
        <w:spacing w:after="0"/>
        <w:rPr>
          <w:rFonts w:ascii="Arial" w:hAnsi="Arial" w:cs="Arial"/>
        </w:rPr>
      </w:pPr>
      <w:r w:rsidRPr="004B658A">
        <w:rPr>
          <w:rFonts w:ascii="Arial" w:hAnsi="Arial" w:cs="Arial"/>
        </w:rPr>
        <w:t>This study involved employees of a Madura grocery store in Malang City. Purposive sampling was used, considering employees who had worked for at least six months.</w:t>
      </w:r>
    </w:p>
    <w:p w14:paraId="6BEC432A" w14:textId="77777777" w:rsidR="004B658A" w:rsidRDefault="004B658A" w:rsidP="00441B6F">
      <w:pPr>
        <w:pStyle w:val="Body"/>
        <w:spacing w:after="0"/>
        <w:rPr>
          <w:rFonts w:ascii="Arial" w:hAnsi="Arial" w:cs="Arial"/>
          <w:b/>
          <w:bCs/>
        </w:rPr>
      </w:pPr>
    </w:p>
    <w:p w14:paraId="45310F3F" w14:textId="4F7F910B" w:rsidR="004B658A" w:rsidRPr="004B658A" w:rsidRDefault="004B658A" w:rsidP="00441B6F">
      <w:pPr>
        <w:pStyle w:val="Body"/>
        <w:spacing w:after="0"/>
        <w:rPr>
          <w:rFonts w:ascii="Arial" w:hAnsi="Arial" w:cs="Arial"/>
          <w:b/>
          <w:bCs/>
          <w:sz w:val="22"/>
          <w:szCs w:val="22"/>
        </w:rPr>
      </w:pPr>
      <w:r w:rsidRPr="004B658A">
        <w:rPr>
          <w:rFonts w:ascii="Arial" w:hAnsi="Arial" w:cs="Arial"/>
          <w:b/>
          <w:bCs/>
          <w:sz w:val="22"/>
          <w:szCs w:val="22"/>
        </w:rPr>
        <w:lastRenderedPageBreak/>
        <w:t>3.2 Research Instruments</w:t>
      </w:r>
    </w:p>
    <w:p w14:paraId="0665E238" w14:textId="77777777" w:rsidR="00790ADA" w:rsidRDefault="00790ADA" w:rsidP="00441B6F">
      <w:pPr>
        <w:pStyle w:val="Body"/>
        <w:spacing w:after="0"/>
        <w:rPr>
          <w:rFonts w:ascii="Arial" w:hAnsi="Arial" w:cs="Arial"/>
        </w:rPr>
      </w:pPr>
    </w:p>
    <w:p w14:paraId="0DA42ED3" w14:textId="28E04892" w:rsidR="00502516" w:rsidRDefault="004B658A" w:rsidP="00441B6F">
      <w:pPr>
        <w:pStyle w:val="Body"/>
        <w:spacing w:after="0"/>
        <w:rPr>
          <w:rFonts w:ascii="Arial" w:hAnsi="Arial" w:cs="Arial"/>
        </w:rPr>
      </w:pPr>
      <w:r w:rsidRPr="004B658A">
        <w:rPr>
          <w:rFonts w:ascii="Arial" w:hAnsi="Arial" w:cs="Arial"/>
        </w:rPr>
        <w:t>This research instrument was developed based on the theoretical constructs of each variable so that each item represents psychological and behavioral aspects relevant to the MSME context. Adaptive Entrepreneurial Leadership is measured through four dimensions: entrepreneurial leadership behaviors (Pihie et al., 2014), adaptive leadership competencies (Shams et al., 2025), emotional and cognitive flexibility (Oluwafemi, 2025; Vignochi et al., 2019), and entrepreneurial orientation and values ​​(Saptono &amp; Najah, 2018). Psychological Empowerment refers to meaning, competence, self-determination, and impact (Bhattacharya &amp; Narad, 2024; Kariri et al., 2023). Socio-Cultural Adaptability includes social functioning (Valenti et al., 2022), cultural competence (Wilson et al., 2013, 2017), language proficiency (Valenti &amp; Faraci, 2025), and ecological adaptability (Wilson et al., 2017). Employee Innovative Behavior is represented by idea generation, promotion, implementation, and opportunity exploration (Abouziad &amp; Omar, 2023).</w:t>
      </w:r>
    </w:p>
    <w:p w14:paraId="273B643B" w14:textId="77777777" w:rsidR="00790ADA" w:rsidRPr="00FB3A86" w:rsidRDefault="00790ADA" w:rsidP="00441B6F">
      <w:pPr>
        <w:pStyle w:val="Body"/>
        <w:spacing w:after="0"/>
        <w:rPr>
          <w:rFonts w:ascii="Arial" w:hAnsi="Arial" w:cs="Arial"/>
        </w:rPr>
      </w:pPr>
    </w:p>
    <w:p w14:paraId="2C810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0278F4" w14:textId="274835B8" w:rsidR="004B658A" w:rsidRPr="004B658A" w:rsidRDefault="004B658A" w:rsidP="004B658A">
      <w:pPr>
        <w:tabs>
          <w:tab w:val="left" w:pos="1860"/>
        </w:tabs>
        <w:jc w:val="both"/>
        <w:rPr>
          <w:rFonts w:ascii="Arial" w:hAnsi="Arial" w:cs="Arial"/>
          <w:b/>
          <w:bCs/>
          <w:sz w:val="22"/>
          <w:szCs w:val="22"/>
        </w:rPr>
      </w:pPr>
      <w:r w:rsidRPr="004B658A">
        <w:rPr>
          <w:rFonts w:ascii="Arial" w:hAnsi="Arial" w:cs="Arial"/>
          <w:b/>
          <w:bCs/>
          <w:sz w:val="22"/>
          <w:szCs w:val="22"/>
        </w:rPr>
        <w:t>3.1 Convergent Validity</w:t>
      </w:r>
    </w:p>
    <w:p w14:paraId="6CC83F32" w14:textId="77777777" w:rsidR="00790ADA" w:rsidRPr="00FB3A86" w:rsidRDefault="00790ADA" w:rsidP="00441B6F">
      <w:pPr>
        <w:pStyle w:val="Head1"/>
        <w:spacing w:after="0"/>
        <w:jc w:val="both"/>
        <w:rPr>
          <w:rFonts w:ascii="Arial" w:hAnsi="Arial" w:cs="Arial"/>
        </w:rPr>
      </w:pPr>
    </w:p>
    <w:p w14:paraId="592D4411" w14:textId="5C30596D" w:rsidR="00B95236" w:rsidRDefault="004B658A" w:rsidP="00441B6F">
      <w:pPr>
        <w:pStyle w:val="Body"/>
        <w:spacing w:after="0"/>
        <w:rPr>
          <w:rFonts w:ascii="Arial" w:hAnsi="Arial" w:cs="Arial"/>
        </w:rPr>
      </w:pPr>
      <w:r w:rsidRPr="004B658A">
        <w:rPr>
          <w:rFonts w:ascii="Arial" w:hAnsi="Arial" w:cs="Arial"/>
        </w:rPr>
        <w:t>Convergent validity is tested to ensure that each indicator truly measures its latent construct. Testing is carried out through Outer Loading and Average Variance Extracted (AVE) values. Based on the guidelines (Hair et al., 2017), an indicator is declared valid if it has an outer loading value ≥ 0.70, but values ​​between 0.60–0.70 can still be maintained as long as the AVE value and construct reliability meet the criteria. In addition, the overall construct convergent validity is considered met if the AVE value ≥ 0.50, indicating that the construct explains at least 50% of the variance of its indicator.</w:t>
      </w:r>
    </w:p>
    <w:p w14:paraId="32174ADD" w14:textId="77777777" w:rsidR="004B658A" w:rsidRDefault="004B658A" w:rsidP="00441B6F">
      <w:pPr>
        <w:pStyle w:val="Body"/>
        <w:spacing w:after="0"/>
        <w:rPr>
          <w:rFonts w:ascii="Arial" w:hAnsi="Arial" w:cs="Arial"/>
        </w:rPr>
      </w:pPr>
    </w:p>
    <w:p w14:paraId="502E582A" w14:textId="00CA1253" w:rsidR="004B658A" w:rsidRPr="004B658A" w:rsidRDefault="004B658A" w:rsidP="004B658A">
      <w:pPr>
        <w:pStyle w:val="Body"/>
        <w:spacing w:after="0"/>
        <w:jc w:val="center"/>
        <w:rPr>
          <w:rFonts w:ascii="Arial" w:hAnsi="Arial" w:cs="Arial"/>
          <w:b/>
          <w:bCs/>
        </w:rPr>
      </w:pPr>
      <w:r w:rsidRPr="004B658A">
        <w:rPr>
          <w:rFonts w:ascii="Arial" w:hAnsi="Arial" w:cs="Arial"/>
          <w:b/>
          <w:bCs/>
        </w:rPr>
        <w:t>Table 1. Convergent Validity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850"/>
        <w:gridCol w:w="1772"/>
        <w:gridCol w:w="828"/>
      </w:tblGrid>
      <w:tr w:rsidR="003F5812" w:rsidRPr="00FA2C0E" w14:paraId="4FCC1063" w14:textId="77777777" w:rsidTr="00E701BF">
        <w:trPr>
          <w:jc w:val="center"/>
        </w:trPr>
        <w:tc>
          <w:tcPr>
            <w:tcW w:w="3574" w:type="dxa"/>
            <w:tcBorders>
              <w:top w:val="single" w:sz="4" w:space="0" w:color="auto"/>
              <w:bottom w:val="single" w:sz="4" w:space="0" w:color="auto"/>
            </w:tcBorders>
            <w:vAlign w:val="center"/>
          </w:tcPr>
          <w:p w14:paraId="3F624681" w14:textId="77777777" w:rsidR="003F5812" w:rsidRPr="00FA2C0E" w:rsidRDefault="003F5812" w:rsidP="00E701BF">
            <w:pPr>
              <w:tabs>
                <w:tab w:val="left" w:pos="1860"/>
              </w:tabs>
              <w:jc w:val="center"/>
              <w:rPr>
                <w:rFonts w:ascii="Arial" w:hAnsi="Arial" w:cs="Arial"/>
                <w:b/>
                <w:bCs/>
                <w:sz w:val="20"/>
                <w:szCs w:val="20"/>
              </w:rPr>
            </w:pPr>
            <w:r w:rsidRPr="00FA2C0E">
              <w:rPr>
                <w:rFonts w:ascii="Arial" w:hAnsi="Arial" w:cs="Arial"/>
                <w:b/>
                <w:bCs/>
                <w:sz w:val="20"/>
                <w:szCs w:val="20"/>
              </w:rPr>
              <w:t>Variable</w:t>
            </w:r>
          </w:p>
        </w:tc>
        <w:tc>
          <w:tcPr>
            <w:tcW w:w="850" w:type="dxa"/>
            <w:tcBorders>
              <w:top w:val="single" w:sz="4" w:space="0" w:color="auto"/>
              <w:bottom w:val="single" w:sz="4" w:space="0" w:color="auto"/>
            </w:tcBorders>
            <w:vAlign w:val="center"/>
          </w:tcPr>
          <w:p w14:paraId="38379EA7" w14:textId="77777777" w:rsidR="003F5812" w:rsidRPr="00FA2C0E" w:rsidRDefault="003F5812" w:rsidP="00E701BF">
            <w:pPr>
              <w:tabs>
                <w:tab w:val="left" w:pos="1860"/>
              </w:tabs>
              <w:jc w:val="center"/>
              <w:rPr>
                <w:rFonts w:ascii="Arial" w:hAnsi="Arial" w:cs="Arial"/>
                <w:b/>
                <w:bCs/>
                <w:sz w:val="20"/>
                <w:szCs w:val="20"/>
              </w:rPr>
            </w:pPr>
            <w:r w:rsidRPr="00FA2C0E">
              <w:rPr>
                <w:rFonts w:ascii="Arial" w:hAnsi="Arial" w:cs="Arial"/>
                <w:b/>
                <w:bCs/>
                <w:sz w:val="20"/>
                <w:szCs w:val="20"/>
              </w:rPr>
              <w:t>Items</w:t>
            </w:r>
          </w:p>
        </w:tc>
        <w:tc>
          <w:tcPr>
            <w:tcW w:w="1772" w:type="dxa"/>
            <w:tcBorders>
              <w:top w:val="single" w:sz="4" w:space="0" w:color="auto"/>
              <w:bottom w:val="single" w:sz="4" w:space="0" w:color="auto"/>
            </w:tcBorders>
            <w:vAlign w:val="center"/>
          </w:tcPr>
          <w:p w14:paraId="48CE33B3" w14:textId="77777777" w:rsidR="003F5812" w:rsidRPr="00FA2C0E" w:rsidRDefault="003F5812" w:rsidP="00E701BF">
            <w:pPr>
              <w:tabs>
                <w:tab w:val="left" w:pos="1860"/>
              </w:tabs>
              <w:jc w:val="center"/>
              <w:rPr>
                <w:rFonts w:ascii="Arial" w:hAnsi="Arial" w:cs="Arial"/>
                <w:b/>
                <w:bCs/>
                <w:sz w:val="20"/>
                <w:szCs w:val="20"/>
              </w:rPr>
            </w:pPr>
            <w:r w:rsidRPr="00FA2C0E">
              <w:rPr>
                <w:rFonts w:ascii="Arial" w:hAnsi="Arial" w:cs="Arial"/>
                <w:b/>
                <w:bCs/>
                <w:sz w:val="20"/>
                <w:szCs w:val="20"/>
              </w:rPr>
              <w:t>Loading Factor</w:t>
            </w:r>
          </w:p>
        </w:tc>
        <w:tc>
          <w:tcPr>
            <w:tcW w:w="828" w:type="dxa"/>
            <w:tcBorders>
              <w:top w:val="single" w:sz="4" w:space="0" w:color="auto"/>
              <w:bottom w:val="single" w:sz="4" w:space="0" w:color="auto"/>
            </w:tcBorders>
            <w:vAlign w:val="center"/>
          </w:tcPr>
          <w:p w14:paraId="29A23B5C" w14:textId="77777777" w:rsidR="003F5812" w:rsidRPr="00FA2C0E" w:rsidRDefault="003F5812" w:rsidP="00E701BF">
            <w:pPr>
              <w:tabs>
                <w:tab w:val="left" w:pos="1860"/>
              </w:tabs>
              <w:jc w:val="center"/>
              <w:rPr>
                <w:rFonts w:ascii="Arial" w:hAnsi="Arial" w:cs="Arial"/>
                <w:b/>
                <w:bCs/>
                <w:sz w:val="20"/>
                <w:szCs w:val="20"/>
              </w:rPr>
            </w:pPr>
            <w:r w:rsidRPr="00FA2C0E">
              <w:rPr>
                <w:rFonts w:ascii="Arial" w:hAnsi="Arial" w:cs="Arial"/>
                <w:b/>
                <w:bCs/>
                <w:sz w:val="20"/>
                <w:szCs w:val="20"/>
              </w:rPr>
              <w:t>AVE</w:t>
            </w:r>
          </w:p>
        </w:tc>
      </w:tr>
      <w:tr w:rsidR="003F5812" w:rsidRPr="00FA2C0E" w14:paraId="59BDE853" w14:textId="77777777" w:rsidTr="00E701BF">
        <w:trPr>
          <w:jc w:val="center"/>
        </w:trPr>
        <w:tc>
          <w:tcPr>
            <w:tcW w:w="3574" w:type="dxa"/>
            <w:tcBorders>
              <w:top w:val="single" w:sz="4" w:space="0" w:color="auto"/>
            </w:tcBorders>
            <w:vAlign w:val="center"/>
          </w:tcPr>
          <w:p w14:paraId="629D893E" w14:textId="77777777" w:rsidR="003F5812" w:rsidRPr="00FA2C0E" w:rsidRDefault="003F5812" w:rsidP="00E701BF">
            <w:pPr>
              <w:tabs>
                <w:tab w:val="left" w:pos="1860"/>
              </w:tabs>
              <w:jc w:val="center"/>
              <w:rPr>
                <w:rFonts w:ascii="Arial" w:hAnsi="Arial" w:cs="Arial"/>
                <w:sz w:val="20"/>
                <w:szCs w:val="20"/>
              </w:rPr>
            </w:pPr>
            <w:r w:rsidRPr="00FA2C0E">
              <w:rPr>
                <w:rFonts w:ascii="Arial" w:hAnsi="Arial" w:cs="Arial"/>
                <w:sz w:val="20"/>
                <w:szCs w:val="20"/>
              </w:rPr>
              <w:t>Adaptive Entrepreneurial Leadership</w:t>
            </w:r>
          </w:p>
        </w:tc>
        <w:tc>
          <w:tcPr>
            <w:tcW w:w="850" w:type="dxa"/>
            <w:tcBorders>
              <w:top w:val="single" w:sz="4" w:space="0" w:color="auto"/>
            </w:tcBorders>
            <w:vAlign w:val="center"/>
          </w:tcPr>
          <w:p w14:paraId="50A70336" w14:textId="77777777" w:rsidR="003F5812" w:rsidRPr="000B3F1E" w:rsidRDefault="003F5812" w:rsidP="00E701BF">
            <w:pPr>
              <w:tabs>
                <w:tab w:val="left" w:pos="1860"/>
              </w:tabs>
              <w:jc w:val="center"/>
              <w:rPr>
                <w:rFonts w:ascii="Arial" w:hAnsi="Arial" w:cs="Arial"/>
              </w:rPr>
            </w:pPr>
            <w:r w:rsidRPr="000B3F1E">
              <w:rPr>
                <w:rFonts w:ascii="Arial" w:hAnsi="Arial" w:cs="Arial"/>
              </w:rPr>
              <w:t>X1.1</w:t>
            </w:r>
          </w:p>
          <w:p w14:paraId="323319D7" w14:textId="77777777" w:rsidR="003F5812" w:rsidRPr="000B3F1E" w:rsidRDefault="003F5812" w:rsidP="00E701BF">
            <w:pPr>
              <w:tabs>
                <w:tab w:val="left" w:pos="1860"/>
              </w:tabs>
              <w:jc w:val="center"/>
              <w:rPr>
                <w:rFonts w:ascii="Arial" w:hAnsi="Arial" w:cs="Arial"/>
              </w:rPr>
            </w:pPr>
            <w:r w:rsidRPr="000B3F1E">
              <w:rPr>
                <w:rFonts w:ascii="Arial" w:hAnsi="Arial" w:cs="Arial"/>
              </w:rPr>
              <w:t>X1.3</w:t>
            </w:r>
          </w:p>
          <w:p w14:paraId="6D73242B" w14:textId="77777777" w:rsidR="003F5812" w:rsidRPr="000B3F1E" w:rsidRDefault="003F5812" w:rsidP="00E701BF">
            <w:pPr>
              <w:tabs>
                <w:tab w:val="left" w:pos="1860"/>
              </w:tabs>
              <w:jc w:val="center"/>
              <w:rPr>
                <w:rFonts w:ascii="Arial" w:hAnsi="Arial" w:cs="Arial"/>
              </w:rPr>
            </w:pPr>
            <w:r w:rsidRPr="000B3F1E">
              <w:rPr>
                <w:rFonts w:ascii="Arial" w:hAnsi="Arial" w:cs="Arial"/>
              </w:rPr>
              <w:t>X1.4</w:t>
            </w:r>
          </w:p>
          <w:p w14:paraId="753F885E" w14:textId="77777777" w:rsidR="003F5812" w:rsidRPr="000B3F1E" w:rsidRDefault="003F5812" w:rsidP="00E701BF">
            <w:pPr>
              <w:tabs>
                <w:tab w:val="left" w:pos="1860"/>
              </w:tabs>
              <w:jc w:val="center"/>
              <w:rPr>
                <w:rFonts w:ascii="Arial" w:hAnsi="Arial" w:cs="Arial"/>
              </w:rPr>
            </w:pPr>
            <w:r w:rsidRPr="000B3F1E">
              <w:rPr>
                <w:rFonts w:ascii="Arial" w:hAnsi="Arial" w:cs="Arial"/>
              </w:rPr>
              <w:t>X1.5</w:t>
            </w:r>
          </w:p>
          <w:p w14:paraId="215F7D01"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X1.6</w:t>
            </w:r>
          </w:p>
        </w:tc>
        <w:tc>
          <w:tcPr>
            <w:tcW w:w="1772" w:type="dxa"/>
            <w:tcBorders>
              <w:top w:val="single" w:sz="4" w:space="0" w:color="auto"/>
            </w:tcBorders>
            <w:vAlign w:val="center"/>
          </w:tcPr>
          <w:p w14:paraId="674B56C5" w14:textId="77777777" w:rsidR="003F5812" w:rsidRPr="000B3F1E" w:rsidRDefault="003F5812" w:rsidP="00E701BF">
            <w:pPr>
              <w:tabs>
                <w:tab w:val="left" w:pos="1860"/>
              </w:tabs>
              <w:jc w:val="center"/>
              <w:rPr>
                <w:rFonts w:ascii="Arial" w:hAnsi="Arial" w:cs="Arial"/>
              </w:rPr>
            </w:pPr>
            <w:r w:rsidRPr="000B3F1E">
              <w:rPr>
                <w:rFonts w:ascii="Arial" w:hAnsi="Arial" w:cs="Arial"/>
              </w:rPr>
              <w:t>0,705</w:t>
            </w:r>
          </w:p>
          <w:p w14:paraId="504CA160" w14:textId="77777777" w:rsidR="003F5812" w:rsidRPr="000B3F1E" w:rsidRDefault="003F5812" w:rsidP="00E701BF">
            <w:pPr>
              <w:tabs>
                <w:tab w:val="left" w:pos="1860"/>
              </w:tabs>
              <w:jc w:val="center"/>
              <w:rPr>
                <w:rFonts w:ascii="Arial" w:hAnsi="Arial" w:cs="Arial"/>
              </w:rPr>
            </w:pPr>
            <w:r w:rsidRPr="000B3F1E">
              <w:rPr>
                <w:rFonts w:ascii="Arial" w:hAnsi="Arial" w:cs="Arial"/>
              </w:rPr>
              <w:t>0,855</w:t>
            </w:r>
          </w:p>
          <w:p w14:paraId="26D7C99A" w14:textId="77777777" w:rsidR="003F5812" w:rsidRPr="000B3F1E" w:rsidRDefault="003F5812" w:rsidP="00E701BF">
            <w:pPr>
              <w:tabs>
                <w:tab w:val="left" w:pos="1860"/>
              </w:tabs>
              <w:jc w:val="center"/>
              <w:rPr>
                <w:rFonts w:ascii="Arial" w:hAnsi="Arial" w:cs="Arial"/>
              </w:rPr>
            </w:pPr>
            <w:r w:rsidRPr="000B3F1E">
              <w:rPr>
                <w:rFonts w:ascii="Arial" w:hAnsi="Arial" w:cs="Arial"/>
              </w:rPr>
              <w:t>0,816</w:t>
            </w:r>
          </w:p>
          <w:p w14:paraId="3F5DD7BC" w14:textId="77777777" w:rsidR="003F5812" w:rsidRPr="000B3F1E" w:rsidRDefault="003F5812" w:rsidP="00E701BF">
            <w:pPr>
              <w:tabs>
                <w:tab w:val="left" w:pos="1860"/>
              </w:tabs>
              <w:jc w:val="center"/>
              <w:rPr>
                <w:rFonts w:ascii="Arial" w:hAnsi="Arial" w:cs="Arial"/>
              </w:rPr>
            </w:pPr>
            <w:r w:rsidRPr="000B3F1E">
              <w:rPr>
                <w:rFonts w:ascii="Arial" w:hAnsi="Arial" w:cs="Arial"/>
              </w:rPr>
              <w:t>0,735</w:t>
            </w:r>
          </w:p>
          <w:p w14:paraId="0E2A2962"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0,803</w:t>
            </w:r>
          </w:p>
        </w:tc>
        <w:tc>
          <w:tcPr>
            <w:tcW w:w="828" w:type="dxa"/>
            <w:tcBorders>
              <w:top w:val="single" w:sz="4" w:space="0" w:color="auto"/>
            </w:tcBorders>
            <w:vAlign w:val="center"/>
          </w:tcPr>
          <w:p w14:paraId="02823F2A"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0,616</w:t>
            </w:r>
          </w:p>
        </w:tc>
      </w:tr>
      <w:tr w:rsidR="003F5812" w:rsidRPr="00FA2C0E" w14:paraId="4C932E9D" w14:textId="77777777" w:rsidTr="00E701BF">
        <w:trPr>
          <w:jc w:val="center"/>
        </w:trPr>
        <w:tc>
          <w:tcPr>
            <w:tcW w:w="3574" w:type="dxa"/>
            <w:vAlign w:val="center"/>
          </w:tcPr>
          <w:p w14:paraId="6586AF97" w14:textId="77777777" w:rsidR="003F5812" w:rsidRPr="00FA2C0E" w:rsidRDefault="003F5812" w:rsidP="00E701BF">
            <w:pPr>
              <w:tabs>
                <w:tab w:val="left" w:pos="1860"/>
              </w:tabs>
              <w:jc w:val="center"/>
              <w:rPr>
                <w:rFonts w:ascii="Arial" w:hAnsi="Arial" w:cs="Arial"/>
                <w:sz w:val="20"/>
                <w:szCs w:val="20"/>
              </w:rPr>
            </w:pPr>
            <w:r w:rsidRPr="00FA2C0E">
              <w:rPr>
                <w:rFonts w:ascii="Arial" w:hAnsi="Arial" w:cs="Arial"/>
                <w:sz w:val="20"/>
                <w:szCs w:val="20"/>
              </w:rPr>
              <w:t>Psychological Empowerment</w:t>
            </w:r>
          </w:p>
        </w:tc>
        <w:tc>
          <w:tcPr>
            <w:tcW w:w="850" w:type="dxa"/>
            <w:vAlign w:val="center"/>
          </w:tcPr>
          <w:p w14:paraId="7B0B12DC" w14:textId="77777777" w:rsidR="003F5812" w:rsidRPr="000B3F1E" w:rsidRDefault="003F5812" w:rsidP="00E701BF">
            <w:pPr>
              <w:tabs>
                <w:tab w:val="left" w:pos="1860"/>
              </w:tabs>
              <w:jc w:val="center"/>
              <w:rPr>
                <w:rFonts w:ascii="Arial" w:hAnsi="Arial" w:cs="Arial"/>
              </w:rPr>
            </w:pPr>
            <w:r w:rsidRPr="000B3F1E">
              <w:rPr>
                <w:rFonts w:ascii="Arial" w:hAnsi="Arial" w:cs="Arial"/>
              </w:rPr>
              <w:t>Z1</w:t>
            </w:r>
          </w:p>
          <w:p w14:paraId="72DF8E69" w14:textId="77777777" w:rsidR="003F5812" w:rsidRPr="000B3F1E" w:rsidRDefault="003F5812" w:rsidP="00E701BF">
            <w:pPr>
              <w:tabs>
                <w:tab w:val="left" w:pos="1860"/>
              </w:tabs>
              <w:jc w:val="center"/>
              <w:rPr>
                <w:rFonts w:ascii="Arial" w:hAnsi="Arial" w:cs="Arial"/>
              </w:rPr>
            </w:pPr>
            <w:r w:rsidRPr="000B3F1E">
              <w:rPr>
                <w:rFonts w:ascii="Arial" w:hAnsi="Arial" w:cs="Arial"/>
              </w:rPr>
              <w:t>Z2</w:t>
            </w:r>
          </w:p>
          <w:p w14:paraId="0567422B" w14:textId="77777777" w:rsidR="003F5812" w:rsidRPr="000B3F1E" w:rsidRDefault="003F5812" w:rsidP="00E701BF">
            <w:pPr>
              <w:tabs>
                <w:tab w:val="left" w:pos="1860"/>
              </w:tabs>
              <w:jc w:val="center"/>
              <w:rPr>
                <w:rFonts w:ascii="Arial" w:hAnsi="Arial" w:cs="Arial"/>
              </w:rPr>
            </w:pPr>
            <w:r w:rsidRPr="000B3F1E">
              <w:rPr>
                <w:rFonts w:ascii="Arial" w:hAnsi="Arial" w:cs="Arial"/>
              </w:rPr>
              <w:t>Z3</w:t>
            </w:r>
          </w:p>
          <w:p w14:paraId="65620E03" w14:textId="77777777" w:rsidR="003F5812" w:rsidRPr="000B3F1E" w:rsidRDefault="003F5812" w:rsidP="00E701BF">
            <w:pPr>
              <w:tabs>
                <w:tab w:val="left" w:pos="1860"/>
              </w:tabs>
              <w:jc w:val="center"/>
              <w:rPr>
                <w:rFonts w:ascii="Arial" w:hAnsi="Arial" w:cs="Arial"/>
              </w:rPr>
            </w:pPr>
            <w:r w:rsidRPr="000B3F1E">
              <w:rPr>
                <w:rFonts w:ascii="Arial" w:hAnsi="Arial" w:cs="Arial"/>
              </w:rPr>
              <w:t>Z4</w:t>
            </w:r>
          </w:p>
          <w:p w14:paraId="7DC0713D" w14:textId="77777777" w:rsidR="003F5812" w:rsidRPr="000B3F1E" w:rsidRDefault="003F5812" w:rsidP="00E701BF">
            <w:pPr>
              <w:tabs>
                <w:tab w:val="left" w:pos="1860"/>
              </w:tabs>
              <w:jc w:val="center"/>
              <w:rPr>
                <w:rFonts w:ascii="Arial" w:hAnsi="Arial" w:cs="Arial"/>
              </w:rPr>
            </w:pPr>
            <w:r w:rsidRPr="000B3F1E">
              <w:rPr>
                <w:rFonts w:ascii="Arial" w:hAnsi="Arial" w:cs="Arial"/>
              </w:rPr>
              <w:t>Z5</w:t>
            </w:r>
          </w:p>
          <w:p w14:paraId="5AC51D6E"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Z6</w:t>
            </w:r>
          </w:p>
        </w:tc>
        <w:tc>
          <w:tcPr>
            <w:tcW w:w="1772" w:type="dxa"/>
            <w:vAlign w:val="center"/>
          </w:tcPr>
          <w:p w14:paraId="5706F0EE" w14:textId="77777777" w:rsidR="003F5812" w:rsidRPr="000B3F1E" w:rsidRDefault="003F5812" w:rsidP="00E701BF">
            <w:pPr>
              <w:tabs>
                <w:tab w:val="left" w:pos="1860"/>
              </w:tabs>
              <w:jc w:val="center"/>
              <w:rPr>
                <w:rFonts w:ascii="Arial" w:hAnsi="Arial" w:cs="Arial"/>
              </w:rPr>
            </w:pPr>
            <w:r w:rsidRPr="000B3F1E">
              <w:rPr>
                <w:rFonts w:ascii="Arial" w:hAnsi="Arial" w:cs="Arial"/>
              </w:rPr>
              <w:t>0,756</w:t>
            </w:r>
          </w:p>
          <w:p w14:paraId="4055D0D9" w14:textId="77777777" w:rsidR="003F5812" w:rsidRPr="000B3F1E" w:rsidRDefault="003F5812" w:rsidP="00E701BF">
            <w:pPr>
              <w:tabs>
                <w:tab w:val="left" w:pos="1860"/>
              </w:tabs>
              <w:jc w:val="center"/>
              <w:rPr>
                <w:rFonts w:ascii="Arial" w:hAnsi="Arial" w:cs="Arial"/>
              </w:rPr>
            </w:pPr>
            <w:r w:rsidRPr="000B3F1E">
              <w:rPr>
                <w:rFonts w:ascii="Arial" w:hAnsi="Arial" w:cs="Arial"/>
              </w:rPr>
              <w:t>0,836</w:t>
            </w:r>
          </w:p>
          <w:p w14:paraId="3739EE5F" w14:textId="77777777" w:rsidR="003F5812" w:rsidRPr="000B3F1E" w:rsidRDefault="003F5812" w:rsidP="00E701BF">
            <w:pPr>
              <w:tabs>
                <w:tab w:val="left" w:pos="1860"/>
              </w:tabs>
              <w:jc w:val="center"/>
              <w:rPr>
                <w:rFonts w:ascii="Arial" w:hAnsi="Arial" w:cs="Arial"/>
              </w:rPr>
            </w:pPr>
            <w:r w:rsidRPr="000B3F1E">
              <w:rPr>
                <w:rFonts w:ascii="Arial" w:hAnsi="Arial" w:cs="Arial"/>
              </w:rPr>
              <w:t>0,857</w:t>
            </w:r>
          </w:p>
          <w:p w14:paraId="447A8EAC" w14:textId="77777777" w:rsidR="003F5812" w:rsidRPr="000B3F1E" w:rsidRDefault="003F5812" w:rsidP="00E701BF">
            <w:pPr>
              <w:tabs>
                <w:tab w:val="left" w:pos="1860"/>
              </w:tabs>
              <w:jc w:val="center"/>
              <w:rPr>
                <w:rFonts w:ascii="Arial" w:hAnsi="Arial" w:cs="Arial"/>
              </w:rPr>
            </w:pPr>
            <w:r w:rsidRPr="000B3F1E">
              <w:rPr>
                <w:rFonts w:ascii="Arial" w:hAnsi="Arial" w:cs="Arial"/>
              </w:rPr>
              <w:t>0,846</w:t>
            </w:r>
          </w:p>
          <w:p w14:paraId="2CC0465C" w14:textId="77777777" w:rsidR="003F5812" w:rsidRPr="000B3F1E" w:rsidRDefault="003F5812" w:rsidP="00E701BF">
            <w:pPr>
              <w:tabs>
                <w:tab w:val="left" w:pos="1860"/>
              </w:tabs>
              <w:jc w:val="center"/>
              <w:rPr>
                <w:rFonts w:ascii="Arial" w:hAnsi="Arial" w:cs="Arial"/>
              </w:rPr>
            </w:pPr>
            <w:r w:rsidRPr="000B3F1E">
              <w:rPr>
                <w:rFonts w:ascii="Arial" w:hAnsi="Arial" w:cs="Arial"/>
              </w:rPr>
              <w:t>0,727</w:t>
            </w:r>
          </w:p>
          <w:p w14:paraId="67580425"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0,751</w:t>
            </w:r>
          </w:p>
        </w:tc>
        <w:tc>
          <w:tcPr>
            <w:tcW w:w="828" w:type="dxa"/>
            <w:vAlign w:val="center"/>
          </w:tcPr>
          <w:p w14:paraId="36A3FFA5"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0,636</w:t>
            </w:r>
          </w:p>
        </w:tc>
      </w:tr>
      <w:tr w:rsidR="003F5812" w:rsidRPr="00FA2C0E" w14:paraId="3D253E6B" w14:textId="77777777" w:rsidTr="00E701BF">
        <w:trPr>
          <w:jc w:val="center"/>
        </w:trPr>
        <w:tc>
          <w:tcPr>
            <w:tcW w:w="3574" w:type="dxa"/>
            <w:vAlign w:val="center"/>
          </w:tcPr>
          <w:p w14:paraId="4570166D" w14:textId="77777777" w:rsidR="003F5812" w:rsidRPr="00FA2C0E" w:rsidRDefault="003F5812" w:rsidP="00E701BF">
            <w:pPr>
              <w:tabs>
                <w:tab w:val="left" w:pos="1860"/>
              </w:tabs>
              <w:jc w:val="center"/>
              <w:rPr>
                <w:rFonts w:ascii="Arial" w:hAnsi="Arial" w:cs="Arial"/>
                <w:sz w:val="20"/>
                <w:szCs w:val="20"/>
              </w:rPr>
            </w:pPr>
            <w:r w:rsidRPr="00FA2C0E">
              <w:rPr>
                <w:rFonts w:ascii="Arial" w:hAnsi="Arial" w:cs="Arial"/>
                <w:sz w:val="20"/>
                <w:szCs w:val="20"/>
              </w:rPr>
              <w:t>Socio-Cultural Adaptability</w:t>
            </w:r>
          </w:p>
        </w:tc>
        <w:tc>
          <w:tcPr>
            <w:tcW w:w="850" w:type="dxa"/>
            <w:vAlign w:val="center"/>
          </w:tcPr>
          <w:p w14:paraId="781921D2" w14:textId="77777777" w:rsidR="003F5812" w:rsidRPr="000B3F1E" w:rsidRDefault="003F5812" w:rsidP="00E701BF">
            <w:pPr>
              <w:tabs>
                <w:tab w:val="left" w:pos="1860"/>
              </w:tabs>
              <w:jc w:val="center"/>
              <w:rPr>
                <w:rFonts w:ascii="Arial" w:hAnsi="Arial" w:cs="Arial"/>
              </w:rPr>
            </w:pPr>
            <w:r w:rsidRPr="000B3F1E">
              <w:rPr>
                <w:rFonts w:ascii="Arial" w:hAnsi="Arial" w:cs="Arial"/>
              </w:rPr>
              <w:t>X2.2</w:t>
            </w:r>
          </w:p>
          <w:p w14:paraId="77336767" w14:textId="77777777" w:rsidR="003F5812" w:rsidRPr="000B3F1E" w:rsidRDefault="003F5812" w:rsidP="00E701BF">
            <w:pPr>
              <w:tabs>
                <w:tab w:val="left" w:pos="1860"/>
              </w:tabs>
              <w:jc w:val="center"/>
              <w:rPr>
                <w:rFonts w:ascii="Arial" w:hAnsi="Arial" w:cs="Arial"/>
              </w:rPr>
            </w:pPr>
            <w:r w:rsidRPr="000B3F1E">
              <w:rPr>
                <w:rFonts w:ascii="Arial" w:hAnsi="Arial" w:cs="Arial"/>
              </w:rPr>
              <w:t>X2.3</w:t>
            </w:r>
          </w:p>
          <w:p w14:paraId="0A12CCD6" w14:textId="77777777" w:rsidR="003F5812" w:rsidRPr="000B3F1E" w:rsidRDefault="003F5812" w:rsidP="00E701BF">
            <w:pPr>
              <w:tabs>
                <w:tab w:val="left" w:pos="1860"/>
              </w:tabs>
              <w:jc w:val="center"/>
              <w:rPr>
                <w:rFonts w:ascii="Arial" w:hAnsi="Arial" w:cs="Arial"/>
              </w:rPr>
            </w:pPr>
            <w:r w:rsidRPr="000B3F1E">
              <w:rPr>
                <w:rFonts w:ascii="Arial" w:hAnsi="Arial" w:cs="Arial"/>
              </w:rPr>
              <w:t>X2.4</w:t>
            </w:r>
          </w:p>
          <w:p w14:paraId="0E48EF4F" w14:textId="77777777" w:rsidR="003F5812" w:rsidRPr="000B3F1E" w:rsidRDefault="003F5812" w:rsidP="00E701BF">
            <w:pPr>
              <w:tabs>
                <w:tab w:val="left" w:pos="1860"/>
              </w:tabs>
              <w:jc w:val="center"/>
              <w:rPr>
                <w:rFonts w:ascii="Arial" w:hAnsi="Arial" w:cs="Arial"/>
              </w:rPr>
            </w:pPr>
            <w:r w:rsidRPr="000B3F1E">
              <w:rPr>
                <w:rFonts w:ascii="Arial" w:hAnsi="Arial" w:cs="Arial"/>
              </w:rPr>
              <w:t>X2.5</w:t>
            </w:r>
          </w:p>
          <w:p w14:paraId="1F115AB4"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X2.6</w:t>
            </w:r>
          </w:p>
        </w:tc>
        <w:tc>
          <w:tcPr>
            <w:tcW w:w="1772" w:type="dxa"/>
            <w:vAlign w:val="center"/>
          </w:tcPr>
          <w:p w14:paraId="77D17D49" w14:textId="77777777" w:rsidR="003F5812" w:rsidRPr="000B3F1E" w:rsidRDefault="003F5812" w:rsidP="00E701BF">
            <w:pPr>
              <w:tabs>
                <w:tab w:val="left" w:pos="1860"/>
              </w:tabs>
              <w:jc w:val="center"/>
              <w:rPr>
                <w:rFonts w:ascii="Arial" w:hAnsi="Arial" w:cs="Arial"/>
              </w:rPr>
            </w:pPr>
            <w:r w:rsidRPr="000B3F1E">
              <w:rPr>
                <w:rFonts w:ascii="Arial" w:hAnsi="Arial" w:cs="Arial"/>
              </w:rPr>
              <w:t>0,705</w:t>
            </w:r>
          </w:p>
          <w:p w14:paraId="3AC047D1" w14:textId="77777777" w:rsidR="003F5812" w:rsidRPr="000B3F1E" w:rsidRDefault="003F5812" w:rsidP="00E701BF">
            <w:pPr>
              <w:tabs>
                <w:tab w:val="left" w:pos="1860"/>
              </w:tabs>
              <w:jc w:val="center"/>
              <w:rPr>
                <w:rFonts w:ascii="Arial" w:hAnsi="Arial" w:cs="Arial"/>
              </w:rPr>
            </w:pPr>
            <w:r w:rsidRPr="000B3F1E">
              <w:rPr>
                <w:rFonts w:ascii="Arial" w:hAnsi="Arial" w:cs="Arial"/>
              </w:rPr>
              <w:t>0,756</w:t>
            </w:r>
          </w:p>
          <w:p w14:paraId="7D8FDEC9" w14:textId="77777777" w:rsidR="003F5812" w:rsidRPr="000B3F1E" w:rsidRDefault="003F5812" w:rsidP="00E701BF">
            <w:pPr>
              <w:tabs>
                <w:tab w:val="left" w:pos="1860"/>
              </w:tabs>
              <w:jc w:val="center"/>
              <w:rPr>
                <w:rFonts w:ascii="Arial" w:hAnsi="Arial" w:cs="Arial"/>
              </w:rPr>
            </w:pPr>
            <w:r w:rsidRPr="000B3F1E">
              <w:rPr>
                <w:rFonts w:ascii="Arial" w:hAnsi="Arial" w:cs="Arial"/>
              </w:rPr>
              <w:t>0,790</w:t>
            </w:r>
          </w:p>
          <w:p w14:paraId="1362B843" w14:textId="77777777" w:rsidR="003F5812" w:rsidRPr="000B3F1E" w:rsidRDefault="003F5812" w:rsidP="00E701BF">
            <w:pPr>
              <w:tabs>
                <w:tab w:val="left" w:pos="1860"/>
              </w:tabs>
              <w:jc w:val="center"/>
              <w:rPr>
                <w:rFonts w:ascii="Arial" w:hAnsi="Arial" w:cs="Arial"/>
              </w:rPr>
            </w:pPr>
            <w:r w:rsidRPr="000B3F1E">
              <w:rPr>
                <w:rFonts w:ascii="Arial" w:hAnsi="Arial" w:cs="Arial"/>
              </w:rPr>
              <w:t>0,718</w:t>
            </w:r>
          </w:p>
          <w:p w14:paraId="4D43A3E7"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0,769</w:t>
            </w:r>
          </w:p>
        </w:tc>
        <w:tc>
          <w:tcPr>
            <w:tcW w:w="828" w:type="dxa"/>
            <w:vAlign w:val="center"/>
          </w:tcPr>
          <w:p w14:paraId="36F3AC49"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0,560</w:t>
            </w:r>
          </w:p>
        </w:tc>
      </w:tr>
      <w:tr w:rsidR="003F5812" w:rsidRPr="00FA2C0E" w14:paraId="02EC74DC" w14:textId="77777777" w:rsidTr="00E701BF">
        <w:trPr>
          <w:jc w:val="center"/>
        </w:trPr>
        <w:tc>
          <w:tcPr>
            <w:tcW w:w="3574" w:type="dxa"/>
            <w:tcBorders>
              <w:bottom w:val="single" w:sz="4" w:space="0" w:color="auto"/>
            </w:tcBorders>
            <w:vAlign w:val="center"/>
          </w:tcPr>
          <w:p w14:paraId="58D856CD" w14:textId="77777777" w:rsidR="003F5812" w:rsidRPr="00FA2C0E" w:rsidRDefault="003F5812" w:rsidP="00E701BF">
            <w:pPr>
              <w:tabs>
                <w:tab w:val="left" w:pos="1860"/>
              </w:tabs>
              <w:jc w:val="center"/>
              <w:rPr>
                <w:rFonts w:ascii="Arial" w:hAnsi="Arial" w:cs="Arial"/>
                <w:sz w:val="20"/>
                <w:szCs w:val="20"/>
              </w:rPr>
            </w:pPr>
            <w:r w:rsidRPr="00FA2C0E">
              <w:rPr>
                <w:rFonts w:ascii="Arial" w:hAnsi="Arial" w:cs="Arial"/>
                <w:sz w:val="20"/>
                <w:szCs w:val="20"/>
              </w:rPr>
              <w:t>Employee Innovative Behavior</w:t>
            </w:r>
          </w:p>
        </w:tc>
        <w:tc>
          <w:tcPr>
            <w:tcW w:w="850" w:type="dxa"/>
            <w:tcBorders>
              <w:bottom w:val="single" w:sz="4" w:space="0" w:color="auto"/>
            </w:tcBorders>
            <w:vAlign w:val="center"/>
          </w:tcPr>
          <w:p w14:paraId="7E86DEB2" w14:textId="77777777" w:rsidR="003F5812" w:rsidRPr="000B3F1E" w:rsidRDefault="003F5812" w:rsidP="00E701BF">
            <w:pPr>
              <w:tabs>
                <w:tab w:val="left" w:pos="1860"/>
              </w:tabs>
              <w:jc w:val="center"/>
              <w:rPr>
                <w:rFonts w:ascii="Arial" w:hAnsi="Arial" w:cs="Arial"/>
              </w:rPr>
            </w:pPr>
            <w:r w:rsidRPr="000B3F1E">
              <w:rPr>
                <w:rFonts w:ascii="Arial" w:hAnsi="Arial" w:cs="Arial"/>
              </w:rPr>
              <w:t>Y1</w:t>
            </w:r>
          </w:p>
          <w:p w14:paraId="171A45E8" w14:textId="77777777" w:rsidR="003F5812" w:rsidRPr="000B3F1E" w:rsidRDefault="003F5812" w:rsidP="00E701BF">
            <w:pPr>
              <w:tabs>
                <w:tab w:val="left" w:pos="1860"/>
              </w:tabs>
              <w:jc w:val="center"/>
              <w:rPr>
                <w:rFonts w:ascii="Arial" w:hAnsi="Arial" w:cs="Arial"/>
              </w:rPr>
            </w:pPr>
            <w:r w:rsidRPr="000B3F1E">
              <w:rPr>
                <w:rFonts w:ascii="Arial" w:hAnsi="Arial" w:cs="Arial"/>
              </w:rPr>
              <w:t>Y2</w:t>
            </w:r>
          </w:p>
          <w:p w14:paraId="65F896D7" w14:textId="77777777" w:rsidR="003F5812" w:rsidRPr="000B3F1E" w:rsidRDefault="003F5812" w:rsidP="00E701BF">
            <w:pPr>
              <w:tabs>
                <w:tab w:val="left" w:pos="1860"/>
              </w:tabs>
              <w:jc w:val="center"/>
              <w:rPr>
                <w:rFonts w:ascii="Arial" w:hAnsi="Arial" w:cs="Arial"/>
              </w:rPr>
            </w:pPr>
            <w:r w:rsidRPr="000B3F1E">
              <w:rPr>
                <w:rFonts w:ascii="Arial" w:hAnsi="Arial" w:cs="Arial"/>
              </w:rPr>
              <w:t>Y3</w:t>
            </w:r>
          </w:p>
          <w:p w14:paraId="0CBFB3D7" w14:textId="77777777" w:rsidR="003F5812" w:rsidRPr="000B3F1E" w:rsidRDefault="003F5812" w:rsidP="00E701BF">
            <w:pPr>
              <w:tabs>
                <w:tab w:val="left" w:pos="1860"/>
              </w:tabs>
              <w:jc w:val="center"/>
              <w:rPr>
                <w:rFonts w:ascii="Arial" w:hAnsi="Arial" w:cs="Arial"/>
              </w:rPr>
            </w:pPr>
            <w:r w:rsidRPr="000B3F1E">
              <w:rPr>
                <w:rFonts w:ascii="Arial" w:hAnsi="Arial" w:cs="Arial"/>
              </w:rPr>
              <w:t>Y4</w:t>
            </w:r>
          </w:p>
          <w:p w14:paraId="3162EAA4"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Y5</w:t>
            </w:r>
          </w:p>
        </w:tc>
        <w:tc>
          <w:tcPr>
            <w:tcW w:w="1772" w:type="dxa"/>
            <w:tcBorders>
              <w:bottom w:val="single" w:sz="4" w:space="0" w:color="auto"/>
            </w:tcBorders>
            <w:vAlign w:val="center"/>
          </w:tcPr>
          <w:p w14:paraId="3AD05D83" w14:textId="77777777" w:rsidR="003F5812" w:rsidRPr="000B3F1E" w:rsidRDefault="003F5812" w:rsidP="00E701BF">
            <w:pPr>
              <w:tabs>
                <w:tab w:val="left" w:pos="1860"/>
              </w:tabs>
              <w:jc w:val="center"/>
              <w:rPr>
                <w:rFonts w:ascii="Arial" w:hAnsi="Arial" w:cs="Arial"/>
              </w:rPr>
            </w:pPr>
            <w:r w:rsidRPr="000B3F1E">
              <w:rPr>
                <w:rFonts w:ascii="Arial" w:hAnsi="Arial" w:cs="Arial"/>
              </w:rPr>
              <w:t>0,782</w:t>
            </w:r>
          </w:p>
          <w:p w14:paraId="66A02C73" w14:textId="77777777" w:rsidR="003F5812" w:rsidRPr="000B3F1E" w:rsidRDefault="003F5812" w:rsidP="00E701BF">
            <w:pPr>
              <w:tabs>
                <w:tab w:val="left" w:pos="1860"/>
              </w:tabs>
              <w:jc w:val="center"/>
              <w:rPr>
                <w:rFonts w:ascii="Arial" w:hAnsi="Arial" w:cs="Arial"/>
              </w:rPr>
            </w:pPr>
            <w:r w:rsidRPr="000B3F1E">
              <w:rPr>
                <w:rFonts w:ascii="Arial" w:hAnsi="Arial" w:cs="Arial"/>
              </w:rPr>
              <w:t>0,775</w:t>
            </w:r>
          </w:p>
          <w:p w14:paraId="29D62B05" w14:textId="77777777" w:rsidR="003F5812" w:rsidRPr="000B3F1E" w:rsidRDefault="003F5812" w:rsidP="00E701BF">
            <w:pPr>
              <w:tabs>
                <w:tab w:val="left" w:pos="1860"/>
              </w:tabs>
              <w:jc w:val="center"/>
              <w:rPr>
                <w:rFonts w:ascii="Arial" w:hAnsi="Arial" w:cs="Arial"/>
              </w:rPr>
            </w:pPr>
            <w:r w:rsidRPr="000B3F1E">
              <w:rPr>
                <w:rFonts w:ascii="Arial" w:hAnsi="Arial" w:cs="Arial"/>
              </w:rPr>
              <w:t>0,758</w:t>
            </w:r>
          </w:p>
          <w:p w14:paraId="183D203B" w14:textId="77777777" w:rsidR="003F5812" w:rsidRPr="000B3F1E" w:rsidRDefault="003F5812" w:rsidP="00E701BF">
            <w:pPr>
              <w:tabs>
                <w:tab w:val="left" w:pos="1860"/>
              </w:tabs>
              <w:jc w:val="center"/>
              <w:rPr>
                <w:rFonts w:ascii="Arial" w:hAnsi="Arial" w:cs="Arial"/>
              </w:rPr>
            </w:pPr>
            <w:r w:rsidRPr="000B3F1E">
              <w:rPr>
                <w:rFonts w:ascii="Arial" w:hAnsi="Arial" w:cs="Arial"/>
              </w:rPr>
              <w:t>0,886</w:t>
            </w:r>
          </w:p>
          <w:p w14:paraId="7C0A40DC"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0,839</w:t>
            </w:r>
          </w:p>
        </w:tc>
        <w:tc>
          <w:tcPr>
            <w:tcW w:w="828" w:type="dxa"/>
            <w:tcBorders>
              <w:bottom w:val="single" w:sz="4" w:space="0" w:color="auto"/>
            </w:tcBorders>
            <w:vAlign w:val="center"/>
          </w:tcPr>
          <w:p w14:paraId="3067386D" w14:textId="77777777" w:rsidR="003F5812" w:rsidRPr="00FA2C0E" w:rsidRDefault="003F5812" w:rsidP="00E701BF">
            <w:pPr>
              <w:tabs>
                <w:tab w:val="left" w:pos="1860"/>
              </w:tabs>
              <w:jc w:val="center"/>
              <w:rPr>
                <w:rFonts w:ascii="Arial" w:hAnsi="Arial" w:cs="Arial"/>
                <w:sz w:val="20"/>
                <w:szCs w:val="20"/>
              </w:rPr>
            </w:pPr>
            <w:r w:rsidRPr="000B3F1E">
              <w:rPr>
                <w:rFonts w:ascii="Arial" w:hAnsi="Arial" w:cs="Arial"/>
              </w:rPr>
              <w:t>0,655</w:t>
            </w:r>
          </w:p>
        </w:tc>
      </w:tr>
    </w:tbl>
    <w:p w14:paraId="785FF3D6" w14:textId="77777777" w:rsidR="004B658A" w:rsidRDefault="004B658A" w:rsidP="00441B6F">
      <w:pPr>
        <w:pStyle w:val="Body"/>
        <w:spacing w:after="0"/>
        <w:rPr>
          <w:rFonts w:ascii="Arial" w:hAnsi="Arial" w:cs="Arial"/>
        </w:rPr>
      </w:pPr>
    </w:p>
    <w:p w14:paraId="07918473" w14:textId="77777777" w:rsidR="003F5812" w:rsidRDefault="003F5812" w:rsidP="00441B6F">
      <w:pPr>
        <w:pStyle w:val="Body"/>
        <w:spacing w:after="0"/>
        <w:rPr>
          <w:rFonts w:ascii="Arial" w:hAnsi="Arial" w:cs="Arial"/>
        </w:rPr>
      </w:pPr>
      <w:r w:rsidRPr="003F5812">
        <w:rPr>
          <w:rFonts w:ascii="Arial" w:hAnsi="Arial" w:cs="Arial"/>
        </w:rPr>
        <w:lastRenderedPageBreak/>
        <w:t>Based on Table 1, all constructs meet the convergent validity criteria. The AVE values for Adaptive Entrepreneurial Leadership (0.616), Psychological Empowerment (0.636), Socio-Cultural Adaptability (0.560), and Employee Innovative Behavior (0.655) exceed the recommended threshold of 0.50 (Hair et al., 2017), indicating adequate construct-level validity. Most indicators exhibit outer loadings above 0.70, while a few fall within the acceptable range of 0.60–0.70 and were retained due to sufficient AVE values. Employee Innovative Behavior demonstrates the strongest convergent validity with consistently high loadings and the highest AVE. Overall, all constructs are confirmed as valid for further analysis.</w:t>
      </w:r>
    </w:p>
    <w:p w14:paraId="68EEAA6D" w14:textId="69FF70A6" w:rsidR="00502516" w:rsidRDefault="00502516" w:rsidP="00441B6F">
      <w:pPr>
        <w:pStyle w:val="Body"/>
        <w:spacing w:after="0"/>
        <w:rPr>
          <w:rFonts w:ascii="Arial" w:hAnsi="Arial" w:cs="Arial"/>
        </w:rPr>
      </w:pPr>
      <w:r w:rsidRPr="00502516">
        <w:rPr>
          <w:rFonts w:ascii="Arial" w:hAnsi="Arial" w:cs="Arial"/>
        </w:rPr>
        <w:t xml:space="preserve"> </w:t>
      </w:r>
    </w:p>
    <w:p w14:paraId="270D1328" w14:textId="5D667B65" w:rsidR="00790ADA" w:rsidRDefault="004B658A" w:rsidP="004B658A">
      <w:pPr>
        <w:pStyle w:val="Body"/>
        <w:rPr>
          <w:rFonts w:ascii="Arial" w:hAnsi="Arial" w:cs="Arial"/>
          <w:b/>
          <w:bCs/>
          <w:sz w:val="22"/>
          <w:szCs w:val="22"/>
          <w:lang w:val="en-ID"/>
        </w:rPr>
      </w:pPr>
      <w:r w:rsidRPr="004B658A">
        <w:rPr>
          <w:rFonts w:ascii="Arial" w:hAnsi="Arial" w:cs="Arial"/>
          <w:b/>
          <w:bCs/>
          <w:sz w:val="22"/>
          <w:szCs w:val="22"/>
        </w:rPr>
        <w:t xml:space="preserve">3.2 </w:t>
      </w:r>
      <w:r w:rsidRPr="004B658A">
        <w:rPr>
          <w:rFonts w:ascii="Arial" w:hAnsi="Arial" w:cs="Arial"/>
          <w:b/>
          <w:bCs/>
          <w:sz w:val="22"/>
          <w:szCs w:val="22"/>
          <w:lang w:val="en-ID"/>
        </w:rPr>
        <w:t>Reliability</w:t>
      </w:r>
    </w:p>
    <w:p w14:paraId="6B489A94" w14:textId="629D54E4" w:rsidR="004B658A" w:rsidRPr="009456DA" w:rsidRDefault="004B658A" w:rsidP="004B658A">
      <w:pPr>
        <w:pStyle w:val="Body"/>
        <w:rPr>
          <w:rFonts w:ascii="Arial" w:hAnsi="Arial" w:cs="Arial"/>
          <w:lang w:val="en-ID"/>
        </w:rPr>
      </w:pPr>
      <w:r w:rsidRPr="009456DA">
        <w:rPr>
          <w:rFonts w:ascii="Arial" w:hAnsi="Arial" w:cs="Arial"/>
          <w:lang w:val="en-ID"/>
        </w:rPr>
        <w:t>Reliability is used to assess the internal consistency of research instruments in measuring the same construct. The criteria used are Cronbach's Alpha and Composite Reliability (CR). A construct is considered reliable if both values ​​are ≥ 0.70 (Hair et al., 2019). The Composite Reliability value is preferred because it is considered more accurate for PLS-SEM analysis than Cronbach's Alpha because it takes into account differences in indicator weights.</w:t>
      </w:r>
    </w:p>
    <w:p w14:paraId="732DCFF4" w14:textId="6D20ECB0" w:rsidR="004B658A" w:rsidRPr="004B658A" w:rsidRDefault="004B658A" w:rsidP="004B658A">
      <w:pPr>
        <w:pStyle w:val="Body"/>
        <w:jc w:val="center"/>
        <w:rPr>
          <w:rFonts w:ascii="Arial" w:hAnsi="Arial" w:cs="Arial"/>
          <w:b/>
          <w:bCs/>
          <w:sz w:val="22"/>
          <w:szCs w:val="22"/>
          <w:lang w:val="en-ID"/>
        </w:rPr>
      </w:pPr>
      <w:r w:rsidRPr="004B658A">
        <w:rPr>
          <w:rFonts w:ascii="Arial" w:hAnsi="Arial" w:cs="Arial"/>
          <w:b/>
          <w:bCs/>
          <w:sz w:val="22"/>
          <w:szCs w:val="22"/>
          <w:lang w:val="en-ID"/>
        </w:rPr>
        <w:t>Table 2. Reliability</w:t>
      </w:r>
    </w:p>
    <w:tbl>
      <w:tblPr>
        <w:tblW w:w="0" w:type="auto"/>
        <w:jc w:val="center"/>
        <w:tblLook w:val="04A0" w:firstRow="1" w:lastRow="0" w:firstColumn="1" w:lastColumn="0" w:noHBand="0" w:noVBand="1"/>
      </w:tblPr>
      <w:tblGrid>
        <w:gridCol w:w="3462"/>
        <w:gridCol w:w="1919"/>
        <w:gridCol w:w="794"/>
        <w:gridCol w:w="2249"/>
      </w:tblGrid>
      <w:tr w:rsidR="004B658A" w:rsidRPr="00FA2C0E" w14:paraId="0735A782"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5C007B97"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19924592"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Cronbach's Alpha</w:t>
            </w:r>
          </w:p>
        </w:tc>
        <w:tc>
          <w:tcPr>
            <w:tcW w:w="0" w:type="auto"/>
            <w:tcBorders>
              <w:top w:val="single" w:sz="4" w:space="0" w:color="auto"/>
              <w:bottom w:val="single" w:sz="4" w:space="0" w:color="auto"/>
            </w:tcBorders>
            <w:shd w:val="clear" w:color="auto" w:fill="FFFFFF" w:themeFill="background1"/>
            <w:noWrap/>
            <w:vAlign w:val="center"/>
            <w:hideMark/>
          </w:tcPr>
          <w:p w14:paraId="1B83B33B"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rho_A</w:t>
            </w:r>
          </w:p>
        </w:tc>
        <w:tc>
          <w:tcPr>
            <w:tcW w:w="0" w:type="auto"/>
            <w:tcBorders>
              <w:top w:val="single" w:sz="4" w:space="0" w:color="auto"/>
              <w:bottom w:val="single" w:sz="4" w:space="0" w:color="auto"/>
            </w:tcBorders>
            <w:shd w:val="clear" w:color="auto" w:fill="FFFFFF" w:themeFill="background1"/>
            <w:noWrap/>
            <w:vAlign w:val="center"/>
            <w:hideMark/>
          </w:tcPr>
          <w:p w14:paraId="267F92F6" w14:textId="77777777" w:rsidR="004B658A" w:rsidRPr="00FA2C0E" w:rsidRDefault="004B658A" w:rsidP="00A36AD6">
            <w:pPr>
              <w:jc w:val="center"/>
              <w:rPr>
                <w:rFonts w:ascii="Arial" w:hAnsi="Arial" w:cs="Arial"/>
                <w:b/>
                <w:bCs/>
                <w:lang w:eastAsia="en-ID"/>
              </w:rPr>
            </w:pPr>
            <w:r w:rsidRPr="00FA2C0E">
              <w:rPr>
                <w:rFonts w:ascii="Arial" w:hAnsi="Arial" w:cs="Arial"/>
                <w:b/>
                <w:bCs/>
                <w:lang w:eastAsia="en-ID"/>
              </w:rPr>
              <w:t>Composite Reliability</w:t>
            </w:r>
          </w:p>
        </w:tc>
      </w:tr>
      <w:tr w:rsidR="004B658A" w:rsidRPr="00FA2C0E" w14:paraId="4A051A29" w14:textId="77777777" w:rsidTr="00A36AD6">
        <w:trPr>
          <w:trHeight w:val="288"/>
          <w:jc w:val="center"/>
        </w:trPr>
        <w:tc>
          <w:tcPr>
            <w:tcW w:w="0" w:type="auto"/>
            <w:tcBorders>
              <w:top w:val="single" w:sz="4" w:space="0" w:color="auto"/>
            </w:tcBorders>
            <w:shd w:val="clear" w:color="auto" w:fill="FFFFFF" w:themeFill="background1"/>
            <w:noWrap/>
            <w:vAlign w:val="center"/>
            <w:hideMark/>
          </w:tcPr>
          <w:p w14:paraId="3067EC49" w14:textId="77777777" w:rsidR="004B658A" w:rsidRPr="00FA2C0E" w:rsidRDefault="004B658A" w:rsidP="00A36AD6">
            <w:pPr>
              <w:jc w:val="center"/>
              <w:rPr>
                <w:rFonts w:ascii="Arial" w:hAnsi="Arial" w:cs="Arial"/>
                <w:lang w:eastAsia="en-ID"/>
              </w:rPr>
            </w:pPr>
            <w:r w:rsidRPr="00FA2C0E">
              <w:rPr>
                <w:rFonts w:ascii="Arial" w:hAnsi="Arial" w:cs="Arial"/>
                <w:lang w:eastAsia="en-ID"/>
              </w:rPr>
              <w:t>Adaptive Entrepreneurial Leadership</w:t>
            </w:r>
          </w:p>
        </w:tc>
        <w:tc>
          <w:tcPr>
            <w:tcW w:w="0" w:type="auto"/>
            <w:tcBorders>
              <w:top w:val="single" w:sz="4" w:space="0" w:color="auto"/>
            </w:tcBorders>
            <w:shd w:val="clear" w:color="auto" w:fill="FFFFFF" w:themeFill="background1"/>
            <w:noWrap/>
            <w:vAlign w:val="center"/>
            <w:hideMark/>
          </w:tcPr>
          <w:p w14:paraId="1DE07FFE" w14:textId="074E124D" w:rsidR="004B658A" w:rsidRPr="00FA2C0E" w:rsidRDefault="003F5812" w:rsidP="00A36AD6">
            <w:pPr>
              <w:jc w:val="center"/>
              <w:rPr>
                <w:rFonts w:ascii="Arial" w:hAnsi="Arial" w:cs="Arial"/>
                <w:lang w:eastAsia="en-ID"/>
              </w:rPr>
            </w:pPr>
            <w:r w:rsidRPr="003F5812">
              <w:rPr>
                <w:rFonts w:ascii="Arial" w:hAnsi="Arial" w:cs="Arial"/>
                <w:lang w:eastAsia="en-ID"/>
              </w:rPr>
              <w:t>0,842</w:t>
            </w:r>
          </w:p>
        </w:tc>
        <w:tc>
          <w:tcPr>
            <w:tcW w:w="0" w:type="auto"/>
            <w:tcBorders>
              <w:top w:val="single" w:sz="4" w:space="0" w:color="auto"/>
            </w:tcBorders>
            <w:shd w:val="clear" w:color="auto" w:fill="FFFFFF" w:themeFill="background1"/>
            <w:noWrap/>
            <w:vAlign w:val="center"/>
            <w:hideMark/>
          </w:tcPr>
          <w:p w14:paraId="489AF416" w14:textId="633EE397" w:rsidR="004B658A" w:rsidRPr="00FA2C0E" w:rsidRDefault="003F5812" w:rsidP="00A36AD6">
            <w:pPr>
              <w:jc w:val="center"/>
              <w:rPr>
                <w:rFonts w:ascii="Arial" w:hAnsi="Arial" w:cs="Arial"/>
                <w:lang w:eastAsia="en-ID"/>
              </w:rPr>
            </w:pPr>
            <w:r w:rsidRPr="003F5812">
              <w:rPr>
                <w:rFonts w:ascii="Arial" w:hAnsi="Arial" w:cs="Arial"/>
                <w:lang w:eastAsia="en-ID"/>
              </w:rPr>
              <w:t>0,845</w:t>
            </w:r>
          </w:p>
        </w:tc>
        <w:tc>
          <w:tcPr>
            <w:tcW w:w="0" w:type="auto"/>
            <w:tcBorders>
              <w:top w:val="single" w:sz="4" w:space="0" w:color="auto"/>
            </w:tcBorders>
            <w:shd w:val="clear" w:color="auto" w:fill="FFFFFF" w:themeFill="background1"/>
            <w:noWrap/>
            <w:vAlign w:val="center"/>
            <w:hideMark/>
          </w:tcPr>
          <w:p w14:paraId="7B92CE66" w14:textId="3CC8EA82" w:rsidR="004B658A" w:rsidRPr="00FA2C0E" w:rsidRDefault="003F5812" w:rsidP="00A36AD6">
            <w:pPr>
              <w:jc w:val="center"/>
              <w:rPr>
                <w:rFonts w:ascii="Arial" w:hAnsi="Arial" w:cs="Arial"/>
                <w:lang w:eastAsia="en-ID"/>
              </w:rPr>
            </w:pPr>
            <w:r w:rsidRPr="003F5812">
              <w:rPr>
                <w:rFonts w:ascii="Arial" w:hAnsi="Arial" w:cs="Arial"/>
                <w:lang w:eastAsia="en-ID"/>
              </w:rPr>
              <w:t>0,889</w:t>
            </w:r>
          </w:p>
        </w:tc>
      </w:tr>
      <w:tr w:rsidR="004B658A" w:rsidRPr="00FA2C0E" w14:paraId="73616ED6" w14:textId="77777777" w:rsidTr="00A36AD6">
        <w:trPr>
          <w:trHeight w:val="288"/>
          <w:jc w:val="center"/>
        </w:trPr>
        <w:tc>
          <w:tcPr>
            <w:tcW w:w="0" w:type="auto"/>
            <w:shd w:val="clear" w:color="auto" w:fill="FFFFFF" w:themeFill="background1"/>
            <w:noWrap/>
            <w:vAlign w:val="center"/>
          </w:tcPr>
          <w:p w14:paraId="40C98185" w14:textId="77777777" w:rsidR="004B658A" w:rsidRPr="00FA2C0E" w:rsidRDefault="004B658A" w:rsidP="00A36AD6">
            <w:pPr>
              <w:jc w:val="center"/>
              <w:rPr>
                <w:rFonts w:ascii="Arial" w:hAnsi="Arial" w:cs="Arial"/>
                <w:lang w:eastAsia="en-ID"/>
              </w:rPr>
            </w:pPr>
            <w:r w:rsidRPr="00FA2C0E">
              <w:rPr>
                <w:rFonts w:ascii="Arial" w:hAnsi="Arial" w:cs="Arial"/>
                <w:lang w:eastAsia="en-ID"/>
              </w:rPr>
              <w:t>Psychological Empowerment</w:t>
            </w:r>
          </w:p>
        </w:tc>
        <w:tc>
          <w:tcPr>
            <w:tcW w:w="0" w:type="auto"/>
            <w:shd w:val="clear" w:color="auto" w:fill="FFFFFF" w:themeFill="background1"/>
            <w:noWrap/>
            <w:vAlign w:val="center"/>
          </w:tcPr>
          <w:p w14:paraId="0D7A9101" w14:textId="6E18C8DE" w:rsidR="004B658A" w:rsidRPr="00FA2C0E" w:rsidRDefault="003F5812" w:rsidP="00A36AD6">
            <w:pPr>
              <w:jc w:val="center"/>
              <w:rPr>
                <w:rFonts w:ascii="Arial" w:hAnsi="Arial" w:cs="Arial"/>
                <w:lang w:eastAsia="en-ID"/>
              </w:rPr>
            </w:pPr>
            <w:r w:rsidRPr="003F5812">
              <w:rPr>
                <w:rFonts w:ascii="Arial" w:hAnsi="Arial" w:cs="Arial"/>
                <w:lang w:eastAsia="en-ID"/>
              </w:rPr>
              <w:t>0,884</w:t>
            </w:r>
          </w:p>
        </w:tc>
        <w:tc>
          <w:tcPr>
            <w:tcW w:w="0" w:type="auto"/>
            <w:shd w:val="clear" w:color="auto" w:fill="FFFFFF" w:themeFill="background1"/>
            <w:noWrap/>
            <w:vAlign w:val="center"/>
          </w:tcPr>
          <w:p w14:paraId="321983FE" w14:textId="61E1FF0D" w:rsidR="004B658A" w:rsidRPr="00FA2C0E" w:rsidRDefault="003F5812" w:rsidP="00A36AD6">
            <w:pPr>
              <w:jc w:val="center"/>
              <w:rPr>
                <w:rFonts w:ascii="Arial" w:hAnsi="Arial" w:cs="Arial"/>
                <w:lang w:eastAsia="en-ID"/>
              </w:rPr>
            </w:pPr>
            <w:r w:rsidRPr="003F5812">
              <w:rPr>
                <w:rFonts w:ascii="Arial" w:hAnsi="Arial" w:cs="Arial"/>
                <w:lang w:eastAsia="en-ID"/>
              </w:rPr>
              <w:t>0,889</w:t>
            </w:r>
          </w:p>
        </w:tc>
        <w:tc>
          <w:tcPr>
            <w:tcW w:w="0" w:type="auto"/>
            <w:shd w:val="clear" w:color="auto" w:fill="FFFFFF" w:themeFill="background1"/>
            <w:noWrap/>
            <w:vAlign w:val="center"/>
          </w:tcPr>
          <w:p w14:paraId="17E97CB2" w14:textId="4FAAAF5B" w:rsidR="004B658A" w:rsidRPr="00FA2C0E" w:rsidRDefault="003F5812" w:rsidP="00A36AD6">
            <w:pPr>
              <w:jc w:val="center"/>
              <w:rPr>
                <w:rFonts w:ascii="Arial" w:hAnsi="Arial" w:cs="Arial"/>
                <w:lang w:eastAsia="en-ID"/>
              </w:rPr>
            </w:pPr>
            <w:r w:rsidRPr="003F5812">
              <w:rPr>
                <w:rFonts w:ascii="Arial" w:hAnsi="Arial" w:cs="Arial"/>
                <w:lang w:eastAsia="en-ID"/>
              </w:rPr>
              <w:t>0,912</w:t>
            </w:r>
          </w:p>
        </w:tc>
      </w:tr>
      <w:tr w:rsidR="004B658A" w:rsidRPr="00FA2C0E" w14:paraId="01AFF56A" w14:textId="77777777" w:rsidTr="00A36AD6">
        <w:trPr>
          <w:trHeight w:val="288"/>
          <w:jc w:val="center"/>
        </w:trPr>
        <w:tc>
          <w:tcPr>
            <w:tcW w:w="0" w:type="auto"/>
            <w:shd w:val="clear" w:color="auto" w:fill="FFFFFF" w:themeFill="background1"/>
            <w:noWrap/>
            <w:vAlign w:val="center"/>
          </w:tcPr>
          <w:p w14:paraId="7BE5EE17" w14:textId="77777777" w:rsidR="004B658A" w:rsidRPr="00FA2C0E" w:rsidRDefault="004B658A" w:rsidP="00A36AD6">
            <w:pPr>
              <w:jc w:val="center"/>
              <w:rPr>
                <w:rFonts w:ascii="Arial" w:hAnsi="Arial" w:cs="Arial"/>
                <w:lang w:eastAsia="en-ID"/>
              </w:rPr>
            </w:pPr>
            <w:r w:rsidRPr="00FA2C0E">
              <w:rPr>
                <w:rFonts w:ascii="Arial" w:hAnsi="Arial" w:cs="Arial"/>
                <w:lang w:eastAsia="en-ID"/>
              </w:rPr>
              <w:t>Socio-Cultural Adaptability</w:t>
            </w:r>
          </w:p>
        </w:tc>
        <w:tc>
          <w:tcPr>
            <w:tcW w:w="0" w:type="auto"/>
            <w:shd w:val="clear" w:color="auto" w:fill="FFFFFF" w:themeFill="background1"/>
            <w:noWrap/>
            <w:vAlign w:val="center"/>
          </w:tcPr>
          <w:p w14:paraId="3EEBED5B" w14:textId="03AF6E2C" w:rsidR="004B658A" w:rsidRPr="00FA2C0E" w:rsidRDefault="003F5812" w:rsidP="00A36AD6">
            <w:pPr>
              <w:jc w:val="center"/>
              <w:rPr>
                <w:rFonts w:ascii="Arial" w:hAnsi="Arial" w:cs="Arial"/>
                <w:lang w:eastAsia="en-ID"/>
              </w:rPr>
            </w:pPr>
            <w:r w:rsidRPr="003F5812">
              <w:rPr>
                <w:rFonts w:ascii="Arial" w:hAnsi="Arial" w:cs="Arial"/>
                <w:lang w:eastAsia="en-ID"/>
              </w:rPr>
              <w:t>0,803</w:t>
            </w:r>
          </w:p>
        </w:tc>
        <w:tc>
          <w:tcPr>
            <w:tcW w:w="0" w:type="auto"/>
            <w:shd w:val="clear" w:color="auto" w:fill="FFFFFF" w:themeFill="background1"/>
            <w:noWrap/>
            <w:vAlign w:val="center"/>
          </w:tcPr>
          <w:p w14:paraId="7BFD7F6A" w14:textId="6C778A2A" w:rsidR="004B658A" w:rsidRPr="00FA2C0E" w:rsidRDefault="003F5812" w:rsidP="00A36AD6">
            <w:pPr>
              <w:jc w:val="center"/>
              <w:rPr>
                <w:rFonts w:ascii="Arial" w:hAnsi="Arial" w:cs="Arial"/>
                <w:lang w:eastAsia="en-ID"/>
              </w:rPr>
            </w:pPr>
            <w:r w:rsidRPr="003F5812">
              <w:rPr>
                <w:rFonts w:ascii="Arial" w:hAnsi="Arial" w:cs="Arial"/>
                <w:lang w:eastAsia="en-ID"/>
              </w:rPr>
              <w:t>0,805</w:t>
            </w:r>
          </w:p>
        </w:tc>
        <w:tc>
          <w:tcPr>
            <w:tcW w:w="0" w:type="auto"/>
            <w:shd w:val="clear" w:color="auto" w:fill="FFFFFF" w:themeFill="background1"/>
            <w:noWrap/>
            <w:vAlign w:val="center"/>
          </w:tcPr>
          <w:p w14:paraId="470E1106" w14:textId="09E96DF7" w:rsidR="004B658A" w:rsidRPr="00FA2C0E" w:rsidRDefault="003F5812" w:rsidP="00A36AD6">
            <w:pPr>
              <w:jc w:val="center"/>
              <w:rPr>
                <w:rFonts w:ascii="Arial" w:hAnsi="Arial" w:cs="Arial"/>
                <w:lang w:eastAsia="en-ID"/>
              </w:rPr>
            </w:pPr>
            <w:r w:rsidRPr="003F5812">
              <w:rPr>
                <w:rFonts w:ascii="Arial" w:hAnsi="Arial" w:cs="Arial"/>
                <w:lang w:eastAsia="en-ID"/>
              </w:rPr>
              <w:t>0,864</w:t>
            </w:r>
          </w:p>
        </w:tc>
      </w:tr>
      <w:tr w:rsidR="004B658A" w:rsidRPr="00FA2C0E" w14:paraId="68DE5096" w14:textId="77777777" w:rsidTr="00A36AD6">
        <w:trPr>
          <w:trHeight w:val="288"/>
          <w:jc w:val="center"/>
        </w:trPr>
        <w:tc>
          <w:tcPr>
            <w:tcW w:w="0" w:type="auto"/>
            <w:tcBorders>
              <w:bottom w:val="single" w:sz="4" w:space="0" w:color="auto"/>
            </w:tcBorders>
            <w:shd w:val="clear" w:color="auto" w:fill="FFFFFF" w:themeFill="background1"/>
            <w:noWrap/>
            <w:vAlign w:val="center"/>
          </w:tcPr>
          <w:p w14:paraId="56669C01" w14:textId="77777777" w:rsidR="004B658A" w:rsidRPr="00FA2C0E" w:rsidRDefault="004B658A" w:rsidP="00A36AD6">
            <w:pPr>
              <w:jc w:val="center"/>
              <w:rPr>
                <w:rFonts w:ascii="Arial" w:hAnsi="Arial" w:cs="Arial"/>
                <w:lang w:eastAsia="en-ID"/>
              </w:rPr>
            </w:pPr>
            <w:r w:rsidRPr="00FA2C0E">
              <w:rPr>
                <w:rFonts w:ascii="Arial" w:hAnsi="Arial" w:cs="Arial"/>
                <w:lang w:eastAsia="en-ID"/>
              </w:rPr>
              <w:t>Employee Innovative Behavior</w:t>
            </w:r>
          </w:p>
        </w:tc>
        <w:tc>
          <w:tcPr>
            <w:tcW w:w="0" w:type="auto"/>
            <w:tcBorders>
              <w:bottom w:val="single" w:sz="4" w:space="0" w:color="auto"/>
            </w:tcBorders>
            <w:shd w:val="clear" w:color="auto" w:fill="FFFFFF" w:themeFill="background1"/>
            <w:noWrap/>
            <w:vAlign w:val="center"/>
          </w:tcPr>
          <w:p w14:paraId="397BAA8F" w14:textId="246062FA" w:rsidR="004B658A" w:rsidRPr="00FA2C0E" w:rsidRDefault="003F5812" w:rsidP="00A36AD6">
            <w:pPr>
              <w:jc w:val="center"/>
              <w:rPr>
                <w:rFonts w:ascii="Arial" w:hAnsi="Arial" w:cs="Arial"/>
                <w:lang w:eastAsia="en-ID"/>
              </w:rPr>
            </w:pPr>
            <w:r w:rsidRPr="003F5812">
              <w:rPr>
                <w:rFonts w:ascii="Arial" w:hAnsi="Arial" w:cs="Arial"/>
                <w:lang w:eastAsia="en-ID"/>
              </w:rPr>
              <w:t>0,867</w:t>
            </w:r>
          </w:p>
        </w:tc>
        <w:tc>
          <w:tcPr>
            <w:tcW w:w="0" w:type="auto"/>
            <w:tcBorders>
              <w:bottom w:val="single" w:sz="4" w:space="0" w:color="auto"/>
            </w:tcBorders>
            <w:shd w:val="clear" w:color="auto" w:fill="FFFFFF" w:themeFill="background1"/>
            <w:noWrap/>
            <w:vAlign w:val="center"/>
          </w:tcPr>
          <w:p w14:paraId="584AF269" w14:textId="0F97FAA7" w:rsidR="004B658A" w:rsidRPr="00FA2C0E" w:rsidRDefault="003F5812" w:rsidP="00A36AD6">
            <w:pPr>
              <w:jc w:val="center"/>
              <w:rPr>
                <w:rFonts w:ascii="Arial" w:hAnsi="Arial" w:cs="Arial"/>
                <w:lang w:eastAsia="en-ID"/>
              </w:rPr>
            </w:pPr>
            <w:r w:rsidRPr="003F5812">
              <w:rPr>
                <w:rFonts w:ascii="Arial" w:hAnsi="Arial" w:cs="Arial"/>
                <w:lang w:eastAsia="en-ID"/>
              </w:rPr>
              <w:t>0,872</w:t>
            </w:r>
          </w:p>
        </w:tc>
        <w:tc>
          <w:tcPr>
            <w:tcW w:w="0" w:type="auto"/>
            <w:tcBorders>
              <w:bottom w:val="single" w:sz="4" w:space="0" w:color="auto"/>
            </w:tcBorders>
            <w:shd w:val="clear" w:color="auto" w:fill="FFFFFF" w:themeFill="background1"/>
            <w:noWrap/>
            <w:vAlign w:val="center"/>
          </w:tcPr>
          <w:p w14:paraId="4E428467" w14:textId="39FCD3D0" w:rsidR="004B658A" w:rsidRPr="00FA2C0E" w:rsidRDefault="003F5812" w:rsidP="00A36AD6">
            <w:pPr>
              <w:jc w:val="center"/>
              <w:rPr>
                <w:rFonts w:ascii="Arial" w:hAnsi="Arial" w:cs="Arial"/>
                <w:lang w:eastAsia="en-ID"/>
              </w:rPr>
            </w:pPr>
            <w:r w:rsidRPr="003F5812">
              <w:rPr>
                <w:rFonts w:ascii="Arial" w:hAnsi="Arial" w:cs="Arial"/>
                <w:lang w:eastAsia="en-ID"/>
              </w:rPr>
              <w:t>0,905</w:t>
            </w:r>
          </w:p>
        </w:tc>
      </w:tr>
    </w:tbl>
    <w:p w14:paraId="7A076F6E" w14:textId="77777777" w:rsidR="009456DA" w:rsidRDefault="009456DA" w:rsidP="004B658A">
      <w:pPr>
        <w:pStyle w:val="Body"/>
        <w:rPr>
          <w:rFonts w:ascii="Arial" w:hAnsi="Arial" w:cs="Arial"/>
          <w:lang w:val="en-ID"/>
        </w:rPr>
      </w:pPr>
    </w:p>
    <w:p w14:paraId="11A0AAF4" w14:textId="06E46137" w:rsidR="009456DA" w:rsidRDefault="003F5812" w:rsidP="004B658A">
      <w:pPr>
        <w:pStyle w:val="Body"/>
        <w:rPr>
          <w:rFonts w:ascii="Arial" w:hAnsi="Arial" w:cs="Arial"/>
          <w:lang w:val="en-ID"/>
        </w:rPr>
      </w:pPr>
      <w:r w:rsidRPr="003F5812">
        <w:rPr>
          <w:rFonts w:ascii="Arial" w:hAnsi="Arial" w:cs="Arial"/>
          <w:lang w:val="en-ID"/>
        </w:rPr>
        <w:t>Based on Table 2, all constructs demonstrate strong internal consistency reliability. Cronbach’s Alpha values range from 0.803 to 0.884, exceeding the minimum threshold of 0.70, indicating satisfactory internal consistency. The rho_A values (0.805–0.889) further confirm the stability of the measurement model. In addition, Composite Reliability values for all constructs range from 0.864 to 0.912, well above the recommended cutoff of 0.70. These results confirm that the measurement instruments for all constructs are reliable and suitable for subsequent structural model analysis.</w:t>
      </w:r>
    </w:p>
    <w:p w14:paraId="48B5980B" w14:textId="070BA54A" w:rsidR="009456DA" w:rsidRDefault="009456DA" w:rsidP="004B658A">
      <w:pPr>
        <w:pStyle w:val="Body"/>
        <w:rPr>
          <w:rFonts w:ascii="Arial" w:hAnsi="Arial" w:cs="Arial"/>
          <w:b/>
          <w:bCs/>
          <w:sz w:val="22"/>
          <w:szCs w:val="22"/>
          <w:lang w:val="en-ID"/>
        </w:rPr>
      </w:pPr>
      <w:r w:rsidRPr="009456DA">
        <w:rPr>
          <w:rFonts w:ascii="Arial" w:hAnsi="Arial" w:cs="Arial"/>
          <w:b/>
          <w:bCs/>
          <w:sz w:val="22"/>
          <w:szCs w:val="22"/>
          <w:lang w:val="en-ID"/>
        </w:rPr>
        <w:t>3.3 R-Square dan Q-Square</w:t>
      </w:r>
    </w:p>
    <w:p w14:paraId="082C888B" w14:textId="77777777" w:rsidR="009456DA" w:rsidRDefault="009456DA" w:rsidP="009456DA">
      <w:pPr>
        <w:pStyle w:val="Body"/>
        <w:rPr>
          <w:rFonts w:ascii="Arial" w:hAnsi="Arial" w:cs="Arial"/>
          <w:lang w:val="en-ID"/>
        </w:rPr>
      </w:pPr>
      <w:r w:rsidRPr="009456DA">
        <w:rPr>
          <w:rFonts w:ascii="Arial" w:hAnsi="Arial" w:cs="Arial"/>
          <w:lang w:val="en-ID"/>
        </w:rPr>
        <w:t>The quality of the structural model is evaluated through the Coefficient of Determination (R2) and Predictive Relevance (Q2) values. The R2 value indicates the proportion of endogenous variable variance explained by exogenous variables, where a value of 0.75 is categorized as strong, 0.50 as moderate, and 0.25 as weak (Hair et al., 2017). Meanwhile, the Q2 value must be greater than zero (Q2 &gt; 0) to confirm that the model has predictive relevance beyond in-sample data.</w:t>
      </w:r>
    </w:p>
    <w:p w14:paraId="7A58FB8B" w14:textId="4796546E" w:rsidR="009456DA" w:rsidRPr="009456DA" w:rsidRDefault="009456DA" w:rsidP="009456DA">
      <w:pPr>
        <w:jc w:val="center"/>
        <w:rPr>
          <w:rFonts w:ascii="Arial" w:hAnsi="Arial" w:cs="Arial"/>
          <w:b/>
          <w:bCs/>
          <w:lang w:val="en-ID"/>
        </w:rPr>
      </w:pPr>
      <w:r w:rsidRPr="009456DA">
        <w:rPr>
          <w:rFonts w:ascii="Arial" w:hAnsi="Arial" w:cs="Arial"/>
          <w:b/>
          <w:bCs/>
          <w:lang w:val="en-ID"/>
        </w:rPr>
        <w:t>Table 3. R-Square</w:t>
      </w:r>
    </w:p>
    <w:tbl>
      <w:tblPr>
        <w:tblW w:w="0" w:type="auto"/>
        <w:jc w:val="center"/>
        <w:shd w:val="clear" w:color="auto" w:fill="FFFFFF" w:themeFill="background1"/>
        <w:tblLook w:val="04A0" w:firstRow="1" w:lastRow="0" w:firstColumn="1" w:lastColumn="0" w:noHBand="0" w:noVBand="1"/>
      </w:tblPr>
      <w:tblGrid>
        <w:gridCol w:w="2918"/>
        <w:gridCol w:w="1095"/>
        <w:gridCol w:w="2006"/>
      </w:tblGrid>
      <w:tr w:rsidR="009456DA" w:rsidRPr="00FC49CB" w14:paraId="4121C3E3"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510427BD"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277550FB"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R Square</w:t>
            </w:r>
          </w:p>
        </w:tc>
        <w:tc>
          <w:tcPr>
            <w:tcW w:w="0" w:type="auto"/>
            <w:tcBorders>
              <w:top w:val="single" w:sz="4" w:space="0" w:color="auto"/>
              <w:bottom w:val="single" w:sz="4" w:space="0" w:color="auto"/>
            </w:tcBorders>
            <w:shd w:val="clear" w:color="auto" w:fill="FFFFFF" w:themeFill="background1"/>
            <w:noWrap/>
            <w:vAlign w:val="center"/>
            <w:hideMark/>
          </w:tcPr>
          <w:p w14:paraId="5AB0866C"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R Square Adjusted</w:t>
            </w:r>
          </w:p>
        </w:tc>
      </w:tr>
      <w:tr w:rsidR="009456DA" w:rsidRPr="00FC49CB" w14:paraId="07930045" w14:textId="77777777" w:rsidTr="003F5812">
        <w:trPr>
          <w:trHeight w:val="288"/>
          <w:jc w:val="center"/>
        </w:trPr>
        <w:tc>
          <w:tcPr>
            <w:tcW w:w="0" w:type="auto"/>
            <w:shd w:val="clear" w:color="auto" w:fill="FFFFFF" w:themeFill="background1"/>
            <w:noWrap/>
            <w:vAlign w:val="center"/>
            <w:hideMark/>
          </w:tcPr>
          <w:p w14:paraId="0A3FF68C"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Employee Innovative Behavior</w:t>
            </w:r>
          </w:p>
        </w:tc>
        <w:tc>
          <w:tcPr>
            <w:tcW w:w="0" w:type="auto"/>
            <w:shd w:val="clear" w:color="auto" w:fill="FFFFFF" w:themeFill="background1"/>
            <w:noWrap/>
            <w:vAlign w:val="center"/>
            <w:hideMark/>
          </w:tcPr>
          <w:p w14:paraId="52E1FD59" w14:textId="215CC768" w:rsidR="009456DA" w:rsidRPr="00FC49CB" w:rsidRDefault="003F5812" w:rsidP="00A36AD6">
            <w:pPr>
              <w:jc w:val="center"/>
              <w:rPr>
                <w:rFonts w:ascii="Arial" w:hAnsi="Arial" w:cs="Arial"/>
                <w:color w:val="000000"/>
                <w:lang w:eastAsia="en-ID"/>
              </w:rPr>
            </w:pPr>
            <w:r w:rsidRPr="003F5812">
              <w:rPr>
                <w:rFonts w:ascii="Arial" w:hAnsi="Arial" w:cs="Arial"/>
                <w:color w:val="000000"/>
                <w:lang w:eastAsia="en-ID"/>
              </w:rPr>
              <w:t>0,731</w:t>
            </w:r>
          </w:p>
        </w:tc>
        <w:tc>
          <w:tcPr>
            <w:tcW w:w="0" w:type="auto"/>
            <w:shd w:val="clear" w:color="auto" w:fill="FFFFFF" w:themeFill="background1"/>
            <w:noWrap/>
            <w:vAlign w:val="center"/>
            <w:hideMark/>
          </w:tcPr>
          <w:p w14:paraId="42C12AC8" w14:textId="4600F9B6" w:rsidR="009456DA" w:rsidRPr="00FC49CB" w:rsidRDefault="003F5812" w:rsidP="00A36AD6">
            <w:pPr>
              <w:jc w:val="center"/>
              <w:rPr>
                <w:rFonts w:ascii="Arial" w:hAnsi="Arial" w:cs="Arial"/>
                <w:color w:val="000000"/>
                <w:lang w:eastAsia="en-ID"/>
              </w:rPr>
            </w:pPr>
            <w:r w:rsidRPr="003F5812">
              <w:rPr>
                <w:rFonts w:ascii="Arial" w:hAnsi="Arial" w:cs="Arial"/>
                <w:color w:val="000000"/>
                <w:lang w:eastAsia="en-ID"/>
              </w:rPr>
              <w:t>0,719</w:t>
            </w:r>
          </w:p>
        </w:tc>
      </w:tr>
      <w:tr w:rsidR="009456DA" w:rsidRPr="00FC49CB" w14:paraId="3663FDC1" w14:textId="77777777" w:rsidTr="003F5812">
        <w:trPr>
          <w:trHeight w:val="288"/>
          <w:jc w:val="center"/>
        </w:trPr>
        <w:tc>
          <w:tcPr>
            <w:tcW w:w="0" w:type="auto"/>
            <w:tcBorders>
              <w:bottom w:val="single" w:sz="4" w:space="0" w:color="auto"/>
            </w:tcBorders>
            <w:shd w:val="clear" w:color="auto" w:fill="FFFFFF" w:themeFill="background1"/>
            <w:noWrap/>
            <w:vAlign w:val="center"/>
            <w:hideMark/>
          </w:tcPr>
          <w:p w14:paraId="2D7E00BA" w14:textId="77777777" w:rsidR="009456DA" w:rsidRPr="00FC49CB" w:rsidRDefault="009456DA" w:rsidP="00A36AD6">
            <w:pPr>
              <w:jc w:val="center"/>
              <w:rPr>
                <w:rFonts w:ascii="Arial" w:hAnsi="Arial" w:cs="Arial"/>
                <w:color w:val="000000"/>
                <w:lang w:eastAsia="en-ID"/>
              </w:rPr>
            </w:pPr>
            <w:r w:rsidRPr="00FC49CB">
              <w:rPr>
                <w:rFonts w:ascii="Arial" w:hAnsi="Arial" w:cs="Arial"/>
                <w:color w:val="000000"/>
                <w:lang w:eastAsia="en-ID"/>
              </w:rPr>
              <w:t>Psychological Empowerment</w:t>
            </w:r>
          </w:p>
        </w:tc>
        <w:tc>
          <w:tcPr>
            <w:tcW w:w="0" w:type="auto"/>
            <w:tcBorders>
              <w:bottom w:val="single" w:sz="4" w:space="0" w:color="auto"/>
            </w:tcBorders>
            <w:shd w:val="clear" w:color="auto" w:fill="FFFFFF" w:themeFill="background1"/>
            <w:noWrap/>
            <w:vAlign w:val="center"/>
            <w:hideMark/>
          </w:tcPr>
          <w:p w14:paraId="55EEB91C" w14:textId="214B1FA2" w:rsidR="009456DA" w:rsidRPr="00FC49CB" w:rsidRDefault="003F5812" w:rsidP="00A36AD6">
            <w:pPr>
              <w:jc w:val="center"/>
              <w:rPr>
                <w:rFonts w:ascii="Arial" w:hAnsi="Arial" w:cs="Arial"/>
                <w:color w:val="000000"/>
                <w:lang w:eastAsia="en-ID"/>
              </w:rPr>
            </w:pPr>
            <w:r w:rsidRPr="003F5812">
              <w:rPr>
                <w:rFonts w:ascii="Arial" w:hAnsi="Arial" w:cs="Arial"/>
                <w:color w:val="000000"/>
                <w:lang w:eastAsia="en-ID"/>
              </w:rPr>
              <w:t>0,395</w:t>
            </w:r>
          </w:p>
        </w:tc>
        <w:tc>
          <w:tcPr>
            <w:tcW w:w="0" w:type="auto"/>
            <w:tcBorders>
              <w:bottom w:val="single" w:sz="4" w:space="0" w:color="auto"/>
            </w:tcBorders>
            <w:shd w:val="clear" w:color="auto" w:fill="FFFFFF" w:themeFill="background1"/>
            <w:noWrap/>
            <w:vAlign w:val="center"/>
            <w:hideMark/>
          </w:tcPr>
          <w:p w14:paraId="42404355" w14:textId="1C0DDB53" w:rsidR="009456DA" w:rsidRPr="00FC49CB" w:rsidRDefault="003F5812" w:rsidP="00A36AD6">
            <w:pPr>
              <w:jc w:val="center"/>
              <w:rPr>
                <w:rFonts w:ascii="Arial" w:hAnsi="Arial" w:cs="Arial"/>
                <w:color w:val="000000"/>
                <w:lang w:eastAsia="en-ID"/>
              </w:rPr>
            </w:pPr>
            <w:r w:rsidRPr="003F5812">
              <w:rPr>
                <w:rFonts w:ascii="Arial" w:hAnsi="Arial" w:cs="Arial"/>
                <w:color w:val="000000"/>
                <w:lang w:eastAsia="en-ID"/>
              </w:rPr>
              <w:t>0,389</w:t>
            </w:r>
          </w:p>
        </w:tc>
      </w:tr>
    </w:tbl>
    <w:p w14:paraId="41F9D1B5" w14:textId="77777777" w:rsidR="009456DA" w:rsidRDefault="009456DA" w:rsidP="009456DA">
      <w:pPr>
        <w:rPr>
          <w:lang w:val="en-ID"/>
        </w:rPr>
      </w:pPr>
    </w:p>
    <w:p w14:paraId="53888DBC" w14:textId="35997DC2" w:rsidR="009456DA" w:rsidRDefault="003F5812" w:rsidP="009456DA">
      <w:pPr>
        <w:jc w:val="both"/>
        <w:rPr>
          <w:lang w:val="en-ID"/>
        </w:rPr>
      </w:pPr>
      <w:r w:rsidRPr="003F5812">
        <w:rPr>
          <w:lang w:val="en-ID"/>
        </w:rPr>
        <w:lastRenderedPageBreak/>
        <w:t>Based on Table 3, the R-square value for Employee Innovative Behavior is 0.731 (Adjusted R² = 0.719), indicating that 73.1% of the variance in innovative behavior is explained by its predictors, reflecting strong explanatory power. Meanwhile, Psychological Empowerment shows an R-square of 0.395 (Adjusted R² = 0.389), suggesting a moderate level of explained variance. The small differences between R-square and adjusted R-square across both constructs indicate good model stability and the absence of overfitting. Overall, the structural model demonstrates adequate to strong predictive accuracy.</w:t>
      </w:r>
    </w:p>
    <w:p w14:paraId="5BC1B045" w14:textId="77777777" w:rsidR="009456DA" w:rsidRDefault="009456DA" w:rsidP="009456DA">
      <w:pPr>
        <w:jc w:val="both"/>
        <w:rPr>
          <w:lang w:val="en-ID"/>
        </w:rPr>
      </w:pPr>
    </w:p>
    <w:p w14:paraId="6CF93E08" w14:textId="62A8ECFF" w:rsidR="009456DA" w:rsidRPr="00A01B7B" w:rsidRDefault="009456DA" w:rsidP="009456DA">
      <w:pPr>
        <w:jc w:val="center"/>
        <w:rPr>
          <w:rFonts w:ascii="Arial" w:hAnsi="Arial" w:cs="Arial"/>
          <w:b/>
          <w:bCs/>
          <w:lang w:val="en-ID"/>
        </w:rPr>
      </w:pPr>
      <w:r w:rsidRPr="00A01B7B">
        <w:rPr>
          <w:rFonts w:ascii="Arial" w:hAnsi="Arial" w:cs="Arial"/>
          <w:b/>
          <w:bCs/>
          <w:lang w:val="en-ID"/>
        </w:rPr>
        <w:t>Table 4. Q-Square</w:t>
      </w:r>
    </w:p>
    <w:tbl>
      <w:tblPr>
        <w:tblW w:w="0" w:type="auto"/>
        <w:jc w:val="center"/>
        <w:shd w:val="clear" w:color="auto" w:fill="FFFFFF" w:themeFill="background1"/>
        <w:tblLook w:val="04A0" w:firstRow="1" w:lastRow="0" w:firstColumn="1" w:lastColumn="0" w:noHBand="0" w:noVBand="1"/>
      </w:tblPr>
      <w:tblGrid>
        <w:gridCol w:w="3463"/>
        <w:gridCol w:w="939"/>
        <w:gridCol w:w="939"/>
        <w:gridCol w:w="1800"/>
      </w:tblGrid>
      <w:tr w:rsidR="009456DA" w:rsidRPr="00FC49CB" w14:paraId="08ABD730" w14:textId="77777777" w:rsidTr="00A36AD6">
        <w:trPr>
          <w:trHeight w:val="288"/>
          <w:jc w:val="center"/>
        </w:trPr>
        <w:tc>
          <w:tcPr>
            <w:tcW w:w="0" w:type="auto"/>
            <w:tcBorders>
              <w:top w:val="single" w:sz="4" w:space="0" w:color="auto"/>
              <w:bottom w:val="single" w:sz="4" w:space="0" w:color="auto"/>
            </w:tcBorders>
            <w:shd w:val="clear" w:color="auto" w:fill="FFFFFF" w:themeFill="background1"/>
            <w:noWrap/>
            <w:vAlign w:val="center"/>
            <w:hideMark/>
          </w:tcPr>
          <w:p w14:paraId="1286CC85"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Variable</w:t>
            </w:r>
          </w:p>
        </w:tc>
        <w:tc>
          <w:tcPr>
            <w:tcW w:w="0" w:type="auto"/>
            <w:tcBorders>
              <w:top w:val="single" w:sz="4" w:space="0" w:color="auto"/>
              <w:bottom w:val="single" w:sz="4" w:space="0" w:color="auto"/>
            </w:tcBorders>
            <w:shd w:val="clear" w:color="auto" w:fill="FFFFFF" w:themeFill="background1"/>
            <w:noWrap/>
            <w:vAlign w:val="center"/>
            <w:hideMark/>
          </w:tcPr>
          <w:p w14:paraId="5860C91B"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SSO</w:t>
            </w:r>
          </w:p>
        </w:tc>
        <w:tc>
          <w:tcPr>
            <w:tcW w:w="0" w:type="auto"/>
            <w:tcBorders>
              <w:top w:val="single" w:sz="4" w:space="0" w:color="auto"/>
              <w:bottom w:val="single" w:sz="4" w:space="0" w:color="auto"/>
            </w:tcBorders>
            <w:shd w:val="clear" w:color="auto" w:fill="FFFFFF" w:themeFill="background1"/>
            <w:noWrap/>
            <w:vAlign w:val="center"/>
            <w:hideMark/>
          </w:tcPr>
          <w:p w14:paraId="140FF2E5"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SSE</w:t>
            </w:r>
          </w:p>
        </w:tc>
        <w:tc>
          <w:tcPr>
            <w:tcW w:w="0" w:type="auto"/>
            <w:tcBorders>
              <w:top w:val="single" w:sz="4" w:space="0" w:color="auto"/>
              <w:bottom w:val="single" w:sz="4" w:space="0" w:color="auto"/>
            </w:tcBorders>
            <w:shd w:val="clear" w:color="auto" w:fill="FFFFFF" w:themeFill="background1"/>
            <w:noWrap/>
            <w:vAlign w:val="center"/>
            <w:hideMark/>
          </w:tcPr>
          <w:p w14:paraId="42E5E5C0" w14:textId="77777777" w:rsidR="009456DA" w:rsidRPr="00FC49CB" w:rsidRDefault="009456DA" w:rsidP="00A36AD6">
            <w:pPr>
              <w:jc w:val="center"/>
              <w:rPr>
                <w:rFonts w:ascii="Arial" w:hAnsi="Arial" w:cs="Arial"/>
                <w:b/>
                <w:bCs/>
                <w:color w:val="000000"/>
                <w:lang w:eastAsia="en-ID"/>
              </w:rPr>
            </w:pPr>
            <w:r w:rsidRPr="00FC49CB">
              <w:rPr>
                <w:rFonts w:ascii="Arial" w:hAnsi="Arial" w:cs="Arial"/>
                <w:b/>
                <w:bCs/>
                <w:color w:val="000000"/>
                <w:lang w:eastAsia="en-ID"/>
              </w:rPr>
              <w:t>Q² (=1-SSE/SSO)</w:t>
            </w:r>
          </w:p>
        </w:tc>
      </w:tr>
      <w:tr w:rsidR="009456DA" w:rsidRPr="00FC49CB" w14:paraId="1263F491" w14:textId="77777777" w:rsidTr="0058351B">
        <w:trPr>
          <w:trHeight w:val="288"/>
          <w:jc w:val="center"/>
        </w:trPr>
        <w:tc>
          <w:tcPr>
            <w:tcW w:w="0" w:type="auto"/>
            <w:tcBorders>
              <w:top w:val="single" w:sz="4" w:space="0" w:color="auto"/>
            </w:tcBorders>
            <w:shd w:val="clear" w:color="auto" w:fill="FFFFFF" w:themeFill="background1"/>
            <w:noWrap/>
            <w:vAlign w:val="center"/>
            <w:hideMark/>
          </w:tcPr>
          <w:p w14:paraId="436AF726"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Adaptive Entrepreneurial Leadership </w:t>
            </w:r>
          </w:p>
        </w:tc>
        <w:tc>
          <w:tcPr>
            <w:tcW w:w="0" w:type="auto"/>
            <w:tcBorders>
              <w:top w:val="single" w:sz="4" w:space="0" w:color="auto"/>
            </w:tcBorders>
            <w:shd w:val="clear" w:color="auto" w:fill="FFFFFF" w:themeFill="background1"/>
            <w:noWrap/>
            <w:vAlign w:val="center"/>
          </w:tcPr>
          <w:p w14:paraId="799834CF" w14:textId="67CEA9AC"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490,000</w:t>
            </w:r>
          </w:p>
        </w:tc>
        <w:tc>
          <w:tcPr>
            <w:tcW w:w="0" w:type="auto"/>
            <w:tcBorders>
              <w:top w:val="single" w:sz="4" w:space="0" w:color="auto"/>
            </w:tcBorders>
            <w:shd w:val="clear" w:color="auto" w:fill="FFFFFF" w:themeFill="background1"/>
            <w:noWrap/>
            <w:vAlign w:val="center"/>
          </w:tcPr>
          <w:p w14:paraId="5F2ED864" w14:textId="4B3DF149"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490,000</w:t>
            </w:r>
          </w:p>
        </w:tc>
        <w:tc>
          <w:tcPr>
            <w:tcW w:w="0" w:type="auto"/>
            <w:tcBorders>
              <w:top w:val="single" w:sz="4" w:space="0" w:color="auto"/>
            </w:tcBorders>
            <w:shd w:val="clear" w:color="auto" w:fill="FFFFFF" w:themeFill="background1"/>
            <w:noWrap/>
            <w:vAlign w:val="center"/>
          </w:tcPr>
          <w:p w14:paraId="23306373" w14:textId="1C304EDD" w:rsidR="009456DA" w:rsidRPr="00FC49CB" w:rsidRDefault="009456DA" w:rsidP="00A36AD6">
            <w:pPr>
              <w:jc w:val="right"/>
              <w:rPr>
                <w:rFonts w:ascii="Arial" w:hAnsi="Arial" w:cs="Arial"/>
                <w:color w:val="000000"/>
                <w:lang w:eastAsia="en-ID"/>
              </w:rPr>
            </w:pPr>
          </w:p>
        </w:tc>
      </w:tr>
      <w:tr w:rsidR="009456DA" w:rsidRPr="00FC49CB" w14:paraId="4669C64F" w14:textId="77777777" w:rsidTr="0058351B">
        <w:trPr>
          <w:trHeight w:val="288"/>
          <w:jc w:val="center"/>
        </w:trPr>
        <w:tc>
          <w:tcPr>
            <w:tcW w:w="0" w:type="auto"/>
            <w:shd w:val="clear" w:color="auto" w:fill="FFFFFF" w:themeFill="background1"/>
            <w:noWrap/>
            <w:vAlign w:val="center"/>
            <w:hideMark/>
          </w:tcPr>
          <w:p w14:paraId="1FAA2496"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Employee Innovative Behavior </w:t>
            </w:r>
          </w:p>
        </w:tc>
        <w:tc>
          <w:tcPr>
            <w:tcW w:w="0" w:type="auto"/>
            <w:shd w:val="clear" w:color="auto" w:fill="FFFFFF" w:themeFill="background1"/>
            <w:noWrap/>
            <w:vAlign w:val="center"/>
          </w:tcPr>
          <w:p w14:paraId="5D4A5406" w14:textId="2F8945B7"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490,000</w:t>
            </w:r>
          </w:p>
        </w:tc>
        <w:tc>
          <w:tcPr>
            <w:tcW w:w="0" w:type="auto"/>
            <w:shd w:val="clear" w:color="auto" w:fill="FFFFFF" w:themeFill="background1"/>
            <w:noWrap/>
            <w:vAlign w:val="center"/>
          </w:tcPr>
          <w:p w14:paraId="0786599A" w14:textId="18BFD2ED"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267,737</w:t>
            </w:r>
          </w:p>
        </w:tc>
        <w:tc>
          <w:tcPr>
            <w:tcW w:w="0" w:type="auto"/>
            <w:shd w:val="clear" w:color="auto" w:fill="FFFFFF" w:themeFill="background1"/>
            <w:noWrap/>
            <w:vAlign w:val="center"/>
          </w:tcPr>
          <w:p w14:paraId="4828203E" w14:textId="53E5E21A"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0,454</w:t>
            </w:r>
          </w:p>
        </w:tc>
      </w:tr>
      <w:tr w:rsidR="009456DA" w:rsidRPr="00FC49CB" w14:paraId="2813D6AC" w14:textId="77777777" w:rsidTr="0058351B">
        <w:trPr>
          <w:trHeight w:val="288"/>
          <w:jc w:val="center"/>
        </w:trPr>
        <w:tc>
          <w:tcPr>
            <w:tcW w:w="0" w:type="auto"/>
            <w:shd w:val="clear" w:color="auto" w:fill="FFFFFF" w:themeFill="background1"/>
            <w:noWrap/>
            <w:vAlign w:val="center"/>
            <w:hideMark/>
          </w:tcPr>
          <w:p w14:paraId="62E9B218"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Psychological Empowerment </w:t>
            </w:r>
          </w:p>
        </w:tc>
        <w:tc>
          <w:tcPr>
            <w:tcW w:w="0" w:type="auto"/>
            <w:shd w:val="clear" w:color="auto" w:fill="FFFFFF" w:themeFill="background1"/>
            <w:noWrap/>
            <w:vAlign w:val="center"/>
          </w:tcPr>
          <w:p w14:paraId="3A62240D" w14:textId="75617D62"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588,000</w:t>
            </w:r>
          </w:p>
        </w:tc>
        <w:tc>
          <w:tcPr>
            <w:tcW w:w="0" w:type="auto"/>
            <w:shd w:val="clear" w:color="auto" w:fill="FFFFFF" w:themeFill="background1"/>
            <w:noWrap/>
            <w:vAlign w:val="center"/>
          </w:tcPr>
          <w:p w14:paraId="620DDEB0" w14:textId="1397ADEE"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452,459</w:t>
            </w:r>
          </w:p>
        </w:tc>
        <w:tc>
          <w:tcPr>
            <w:tcW w:w="0" w:type="auto"/>
            <w:shd w:val="clear" w:color="auto" w:fill="FFFFFF" w:themeFill="background1"/>
            <w:noWrap/>
            <w:vAlign w:val="center"/>
          </w:tcPr>
          <w:p w14:paraId="4924E938" w14:textId="1B77D6C6"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0,231</w:t>
            </w:r>
          </w:p>
        </w:tc>
      </w:tr>
      <w:tr w:rsidR="009456DA" w:rsidRPr="00FC49CB" w14:paraId="30DB0616" w14:textId="77777777" w:rsidTr="0058351B">
        <w:trPr>
          <w:trHeight w:val="288"/>
          <w:jc w:val="center"/>
        </w:trPr>
        <w:tc>
          <w:tcPr>
            <w:tcW w:w="0" w:type="auto"/>
            <w:tcBorders>
              <w:bottom w:val="single" w:sz="4" w:space="0" w:color="auto"/>
            </w:tcBorders>
            <w:shd w:val="clear" w:color="auto" w:fill="FFFFFF" w:themeFill="background1"/>
            <w:noWrap/>
            <w:vAlign w:val="center"/>
            <w:hideMark/>
          </w:tcPr>
          <w:p w14:paraId="1C1F4959" w14:textId="77777777" w:rsidR="009456DA" w:rsidRPr="00FC49CB" w:rsidRDefault="009456DA" w:rsidP="00A36AD6">
            <w:pPr>
              <w:rPr>
                <w:rFonts w:ascii="Arial" w:hAnsi="Arial" w:cs="Arial"/>
                <w:color w:val="000000"/>
                <w:lang w:eastAsia="en-ID"/>
              </w:rPr>
            </w:pPr>
            <w:r w:rsidRPr="00FC49CB">
              <w:rPr>
                <w:rFonts w:ascii="Arial" w:hAnsi="Arial" w:cs="Arial"/>
                <w:color w:val="000000"/>
                <w:lang w:eastAsia="en-ID"/>
              </w:rPr>
              <w:t xml:space="preserve">Socio-Cultural Adaptability </w:t>
            </w:r>
          </w:p>
        </w:tc>
        <w:tc>
          <w:tcPr>
            <w:tcW w:w="0" w:type="auto"/>
            <w:tcBorders>
              <w:bottom w:val="single" w:sz="4" w:space="0" w:color="auto"/>
            </w:tcBorders>
            <w:shd w:val="clear" w:color="auto" w:fill="FFFFFF" w:themeFill="background1"/>
            <w:noWrap/>
            <w:vAlign w:val="center"/>
          </w:tcPr>
          <w:p w14:paraId="774D8C08" w14:textId="39CF44A7"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490,000</w:t>
            </w:r>
          </w:p>
        </w:tc>
        <w:tc>
          <w:tcPr>
            <w:tcW w:w="0" w:type="auto"/>
            <w:tcBorders>
              <w:bottom w:val="single" w:sz="4" w:space="0" w:color="auto"/>
            </w:tcBorders>
            <w:shd w:val="clear" w:color="auto" w:fill="FFFFFF" w:themeFill="background1"/>
            <w:noWrap/>
            <w:vAlign w:val="center"/>
          </w:tcPr>
          <w:p w14:paraId="750211A7" w14:textId="54E8A3C2" w:rsidR="009456DA" w:rsidRPr="00FC49CB" w:rsidRDefault="0058351B" w:rsidP="00A36AD6">
            <w:pPr>
              <w:jc w:val="right"/>
              <w:rPr>
                <w:rFonts w:ascii="Arial" w:hAnsi="Arial" w:cs="Arial"/>
                <w:color w:val="000000"/>
                <w:lang w:eastAsia="en-ID"/>
              </w:rPr>
            </w:pPr>
            <w:r w:rsidRPr="0058351B">
              <w:rPr>
                <w:rFonts w:ascii="Arial" w:hAnsi="Arial" w:cs="Arial"/>
                <w:color w:val="000000"/>
                <w:lang w:eastAsia="en-ID"/>
              </w:rPr>
              <w:t>490,000</w:t>
            </w:r>
          </w:p>
        </w:tc>
        <w:tc>
          <w:tcPr>
            <w:tcW w:w="0" w:type="auto"/>
            <w:tcBorders>
              <w:bottom w:val="single" w:sz="4" w:space="0" w:color="auto"/>
            </w:tcBorders>
            <w:shd w:val="clear" w:color="auto" w:fill="FFFFFF" w:themeFill="background1"/>
            <w:noWrap/>
            <w:vAlign w:val="center"/>
          </w:tcPr>
          <w:p w14:paraId="6B6C3285" w14:textId="2376DD1E" w:rsidR="009456DA" w:rsidRPr="00FC49CB" w:rsidRDefault="009456DA" w:rsidP="00A36AD6">
            <w:pPr>
              <w:jc w:val="right"/>
              <w:rPr>
                <w:rFonts w:ascii="Arial" w:hAnsi="Arial" w:cs="Arial"/>
                <w:color w:val="000000"/>
                <w:lang w:eastAsia="en-ID"/>
              </w:rPr>
            </w:pPr>
          </w:p>
        </w:tc>
      </w:tr>
    </w:tbl>
    <w:p w14:paraId="6ECF0E19" w14:textId="77777777" w:rsidR="009456DA" w:rsidRDefault="009456DA" w:rsidP="009456DA">
      <w:pPr>
        <w:jc w:val="both"/>
        <w:rPr>
          <w:lang w:val="en-ID"/>
        </w:rPr>
      </w:pPr>
    </w:p>
    <w:p w14:paraId="3BA4AD2A" w14:textId="43FCF71A" w:rsidR="00502516" w:rsidRDefault="0058351B" w:rsidP="00441B6F">
      <w:pPr>
        <w:pStyle w:val="Body"/>
        <w:spacing w:after="0"/>
        <w:rPr>
          <w:rFonts w:ascii="Arial" w:hAnsi="Arial" w:cs="Arial"/>
        </w:rPr>
      </w:pPr>
      <w:r w:rsidRPr="0058351B">
        <w:rPr>
          <w:lang w:val="en-ID"/>
        </w:rPr>
        <w:t>Based on Table 4, the Q-square value for Employee Innovative Behavior is 0.454, indicating strong predictive relevance and confirming the high explanatory power shown by its R-square value. Psychological Empowerment records a Q-square of 0.231, reflecting moderate predictive relevance and supporting its moderate R-square result. Adaptive Entrepreneurial Leadership and Socio-Cultural Adaptability both show Q-square values of 0.000 because their SSO and SSE values are identical, indicating that they are not predicted by other constructs in the model. Overall, the model demonstrates strong predictive accuracy for the main endogenous variable and adequate prediction for the mediating variable.</w:t>
      </w:r>
    </w:p>
    <w:p w14:paraId="4FFF42C6" w14:textId="77777777" w:rsidR="009456DA" w:rsidRDefault="009456DA" w:rsidP="00441B6F">
      <w:pPr>
        <w:pStyle w:val="Body"/>
        <w:spacing w:after="0"/>
        <w:rPr>
          <w:rFonts w:ascii="Arial" w:hAnsi="Arial" w:cs="Arial"/>
          <w:b/>
          <w:bCs/>
          <w:sz w:val="22"/>
          <w:szCs w:val="22"/>
        </w:rPr>
      </w:pPr>
    </w:p>
    <w:p w14:paraId="3793F09C" w14:textId="388B3865" w:rsidR="00790ADA" w:rsidRPr="00B9138C" w:rsidRDefault="009456DA" w:rsidP="00B9138C">
      <w:pPr>
        <w:rPr>
          <w:b/>
          <w:bCs/>
        </w:rPr>
      </w:pPr>
      <w:r w:rsidRPr="00B9138C">
        <w:rPr>
          <w:b/>
          <w:bCs/>
        </w:rPr>
        <w:t>3.4 Hypothesis Testing</w:t>
      </w:r>
    </w:p>
    <w:p w14:paraId="5ACFD55A" w14:textId="77777777" w:rsidR="009456DA" w:rsidRPr="00B9138C" w:rsidRDefault="009456DA" w:rsidP="00B9138C">
      <w:pPr>
        <w:rPr>
          <w:b/>
          <w:bCs/>
        </w:rPr>
      </w:pPr>
    </w:p>
    <w:p w14:paraId="01D7E10C" w14:textId="2902410D" w:rsidR="009456DA" w:rsidRDefault="009456DA" w:rsidP="00441B6F">
      <w:pPr>
        <w:pStyle w:val="Body"/>
        <w:spacing w:after="0"/>
        <w:rPr>
          <w:rFonts w:ascii="Arial" w:hAnsi="Arial" w:cs="Arial"/>
        </w:rPr>
      </w:pPr>
      <w:r w:rsidRPr="009456DA">
        <w:rPr>
          <w:rFonts w:ascii="Arial" w:hAnsi="Arial" w:cs="Arial"/>
        </w:rPr>
        <w:t>Hypothesis testing was conducted using the Bootstrapping procedure (Hair et al., 2019) with sufficient subsamples to obtain T-Statistics and P-Values. A direct relationship is considered significant at the α = 5% level if the T-Statistics value is ≥ 1.96 or P-Value ≤ 0.05. For the Mediation test, significance is seen from the Specific Indirect Effects path, and the Moderation test is seen from the significance of the coefficient on the Interaction Term. If the P-Value ≤ 0.05, the hypothesis is accepted, which means the mediating or moderating variable has a significant role in the model.</w:t>
      </w:r>
    </w:p>
    <w:p w14:paraId="73EA58DA" w14:textId="77777777" w:rsidR="009456DA" w:rsidRDefault="009456DA" w:rsidP="00441B6F">
      <w:pPr>
        <w:pStyle w:val="Body"/>
        <w:spacing w:after="0"/>
        <w:rPr>
          <w:rFonts w:ascii="Arial" w:hAnsi="Arial" w:cs="Arial"/>
        </w:rPr>
      </w:pPr>
    </w:p>
    <w:p w14:paraId="1210200A" w14:textId="126D805D" w:rsidR="009456DA" w:rsidRPr="00A01B7B" w:rsidRDefault="009456DA" w:rsidP="009456DA">
      <w:pPr>
        <w:jc w:val="center"/>
        <w:rPr>
          <w:rFonts w:ascii="Arial" w:hAnsi="Arial" w:cs="Arial"/>
          <w:b/>
          <w:bCs/>
        </w:rPr>
      </w:pPr>
      <w:r w:rsidRPr="00A01B7B">
        <w:rPr>
          <w:rFonts w:ascii="Arial" w:hAnsi="Arial" w:cs="Arial"/>
          <w:b/>
          <w:bCs/>
        </w:rPr>
        <w:t>Table 5. Direct Effect</w:t>
      </w:r>
    </w:p>
    <w:tbl>
      <w:tblPr>
        <w:tblStyle w:val="TableGrid"/>
        <w:tblW w:w="7229"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1134"/>
        <w:gridCol w:w="992"/>
      </w:tblGrid>
      <w:tr w:rsidR="009456DA" w:rsidRPr="00F40259" w14:paraId="3C61EF80" w14:textId="77777777" w:rsidTr="00A36AD6">
        <w:trPr>
          <w:jc w:val="center"/>
        </w:trPr>
        <w:tc>
          <w:tcPr>
            <w:tcW w:w="3827" w:type="dxa"/>
            <w:tcBorders>
              <w:top w:val="single" w:sz="4" w:space="0" w:color="auto"/>
              <w:bottom w:val="single" w:sz="4" w:space="0" w:color="auto"/>
            </w:tcBorders>
            <w:vAlign w:val="center"/>
          </w:tcPr>
          <w:p w14:paraId="55723AEA" w14:textId="77777777" w:rsidR="009456DA" w:rsidRPr="00F40259" w:rsidRDefault="009456DA" w:rsidP="00A36AD6">
            <w:pPr>
              <w:tabs>
                <w:tab w:val="left" w:pos="1860"/>
              </w:tabs>
              <w:jc w:val="center"/>
              <w:rPr>
                <w:rFonts w:ascii="Arial" w:hAnsi="Arial" w:cs="Arial"/>
                <w:b/>
                <w:bCs/>
                <w:sz w:val="20"/>
                <w:szCs w:val="20"/>
              </w:rPr>
            </w:pPr>
            <w:r>
              <w:rPr>
                <w:rFonts w:ascii="Arial" w:hAnsi="Arial" w:cs="Arial"/>
                <w:b/>
                <w:bCs/>
                <w:sz w:val="20"/>
                <w:szCs w:val="20"/>
              </w:rPr>
              <w:t>Hipotesis</w:t>
            </w:r>
          </w:p>
        </w:tc>
        <w:tc>
          <w:tcPr>
            <w:tcW w:w="1276" w:type="dxa"/>
            <w:tcBorders>
              <w:top w:val="single" w:sz="4" w:space="0" w:color="auto"/>
              <w:bottom w:val="single" w:sz="4" w:space="0" w:color="auto"/>
            </w:tcBorders>
            <w:vAlign w:val="center"/>
          </w:tcPr>
          <w:p w14:paraId="1A4B0864"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Original Sample (O)</w:t>
            </w:r>
          </w:p>
        </w:tc>
        <w:tc>
          <w:tcPr>
            <w:tcW w:w="1134" w:type="dxa"/>
            <w:tcBorders>
              <w:top w:val="single" w:sz="4" w:space="0" w:color="auto"/>
              <w:bottom w:val="single" w:sz="4" w:space="0" w:color="auto"/>
            </w:tcBorders>
            <w:vAlign w:val="center"/>
          </w:tcPr>
          <w:p w14:paraId="4B8DA597"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t-Statistic</w:t>
            </w:r>
          </w:p>
        </w:tc>
        <w:tc>
          <w:tcPr>
            <w:tcW w:w="992" w:type="dxa"/>
            <w:tcBorders>
              <w:top w:val="single" w:sz="4" w:space="0" w:color="auto"/>
              <w:bottom w:val="single" w:sz="4" w:space="0" w:color="auto"/>
            </w:tcBorders>
            <w:vAlign w:val="center"/>
          </w:tcPr>
          <w:p w14:paraId="141673B7" w14:textId="77777777" w:rsidR="009456DA" w:rsidRPr="00F40259" w:rsidRDefault="009456DA" w:rsidP="00A36AD6">
            <w:pPr>
              <w:tabs>
                <w:tab w:val="left" w:pos="1860"/>
              </w:tabs>
              <w:jc w:val="center"/>
              <w:rPr>
                <w:rFonts w:ascii="Arial" w:hAnsi="Arial" w:cs="Arial"/>
                <w:b/>
                <w:bCs/>
                <w:sz w:val="20"/>
                <w:szCs w:val="20"/>
              </w:rPr>
            </w:pPr>
            <w:r w:rsidRPr="00F40259">
              <w:rPr>
                <w:rFonts w:ascii="Arial" w:hAnsi="Arial" w:cs="Arial"/>
                <w:b/>
                <w:bCs/>
                <w:sz w:val="20"/>
                <w:szCs w:val="20"/>
              </w:rPr>
              <w:t>P-Value</w:t>
            </w:r>
          </w:p>
        </w:tc>
      </w:tr>
      <w:tr w:rsidR="009456DA" w:rsidRPr="00F40259" w14:paraId="16AA7D28" w14:textId="77777777" w:rsidTr="00A36AD6">
        <w:trPr>
          <w:jc w:val="center"/>
        </w:trPr>
        <w:tc>
          <w:tcPr>
            <w:tcW w:w="3827" w:type="dxa"/>
            <w:tcBorders>
              <w:top w:val="single" w:sz="4" w:space="0" w:color="auto"/>
            </w:tcBorders>
          </w:tcPr>
          <w:p w14:paraId="142DC7F0"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Adaptive Entrepreneurial Leadership  -&gt; Employee Innovative Behavior</w:t>
            </w:r>
          </w:p>
        </w:tc>
        <w:tc>
          <w:tcPr>
            <w:tcW w:w="1276" w:type="dxa"/>
            <w:tcBorders>
              <w:top w:val="single" w:sz="4" w:space="0" w:color="auto"/>
            </w:tcBorders>
            <w:vAlign w:val="center"/>
          </w:tcPr>
          <w:p w14:paraId="3B5BEBC6" w14:textId="199DA780" w:rsidR="009456DA" w:rsidRPr="00F40259" w:rsidRDefault="0058351B" w:rsidP="00A36AD6">
            <w:pPr>
              <w:jc w:val="center"/>
              <w:rPr>
                <w:rFonts w:ascii="Arial" w:hAnsi="Arial" w:cs="Arial"/>
                <w:color w:val="000000"/>
                <w:sz w:val="20"/>
                <w:szCs w:val="20"/>
              </w:rPr>
            </w:pPr>
            <w:r w:rsidRPr="0058351B">
              <w:rPr>
                <w:rFonts w:ascii="Arial" w:hAnsi="Arial" w:cs="Arial"/>
                <w:color w:val="000000"/>
                <w:sz w:val="20"/>
                <w:szCs w:val="20"/>
              </w:rPr>
              <w:t>0,413</w:t>
            </w:r>
          </w:p>
        </w:tc>
        <w:tc>
          <w:tcPr>
            <w:tcW w:w="1134" w:type="dxa"/>
            <w:tcBorders>
              <w:top w:val="single" w:sz="4" w:space="0" w:color="auto"/>
            </w:tcBorders>
            <w:vAlign w:val="center"/>
          </w:tcPr>
          <w:p w14:paraId="5070DD80" w14:textId="2BC66683"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5,289</w:t>
            </w:r>
          </w:p>
        </w:tc>
        <w:tc>
          <w:tcPr>
            <w:tcW w:w="992" w:type="dxa"/>
            <w:tcBorders>
              <w:top w:val="single" w:sz="4" w:space="0" w:color="auto"/>
            </w:tcBorders>
            <w:vAlign w:val="center"/>
          </w:tcPr>
          <w:p w14:paraId="14EE57C9" w14:textId="715895D2"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0,000</w:t>
            </w:r>
          </w:p>
        </w:tc>
      </w:tr>
      <w:tr w:rsidR="009456DA" w:rsidRPr="00F40259" w14:paraId="485B3706" w14:textId="77777777" w:rsidTr="00A36AD6">
        <w:trPr>
          <w:jc w:val="center"/>
        </w:trPr>
        <w:tc>
          <w:tcPr>
            <w:tcW w:w="3827" w:type="dxa"/>
          </w:tcPr>
          <w:p w14:paraId="259037C8"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Adaptive Entrepreneurial Leadership  -&gt; Psychological Empowerment</w:t>
            </w:r>
          </w:p>
        </w:tc>
        <w:tc>
          <w:tcPr>
            <w:tcW w:w="1276" w:type="dxa"/>
            <w:vAlign w:val="center"/>
          </w:tcPr>
          <w:p w14:paraId="28B8BBBD" w14:textId="09FFE55F"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0,628</w:t>
            </w:r>
          </w:p>
        </w:tc>
        <w:tc>
          <w:tcPr>
            <w:tcW w:w="1134" w:type="dxa"/>
            <w:vAlign w:val="center"/>
          </w:tcPr>
          <w:p w14:paraId="52071175" w14:textId="662BA97E"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9,478</w:t>
            </w:r>
          </w:p>
        </w:tc>
        <w:tc>
          <w:tcPr>
            <w:tcW w:w="992" w:type="dxa"/>
            <w:vAlign w:val="center"/>
          </w:tcPr>
          <w:p w14:paraId="7435A080" w14:textId="73288DF8"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0,000</w:t>
            </w:r>
          </w:p>
        </w:tc>
      </w:tr>
      <w:tr w:rsidR="009456DA" w:rsidRPr="00F40259" w14:paraId="1EFB165D" w14:textId="77777777" w:rsidTr="00A36AD6">
        <w:trPr>
          <w:jc w:val="center"/>
        </w:trPr>
        <w:tc>
          <w:tcPr>
            <w:tcW w:w="3827" w:type="dxa"/>
          </w:tcPr>
          <w:p w14:paraId="6E5ACA00" w14:textId="77777777" w:rsidR="009456DA" w:rsidRPr="00F40259" w:rsidRDefault="009456DA" w:rsidP="00A36AD6">
            <w:pPr>
              <w:tabs>
                <w:tab w:val="left" w:pos="1860"/>
              </w:tabs>
              <w:rPr>
                <w:rFonts w:ascii="Arial" w:hAnsi="Arial" w:cs="Arial"/>
                <w:sz w:val="20"/>
                <w:szCs w:val="20"/>
              </w:rPr>
            </w:pPr>
            <w:r w:rsidRPr="00F40259">
              <w:rPr>
                <w:rFonts w:ascii="Arial" w:hAnsi="Arial" w:cs="Arial"/>
                <w:sz w:val="20"/>
                <w:szCs w:val="20"/>
              </w:rPr>
              <w:t>Psychological Empowerment  -&gt; Employee Innovative Behavior</w:t>
            </w:r>
          </w:p>
        </w:tc>
        <w:tc>
          <w:tcPr>
            <w:tcW w:w="1276" w:type="dxa"/>
            <w:vAlign w:val="center"/>
          </w:tcPr>
          <w:p w14:paraId="2C0466A0" w14:textId="18130E76"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0,372</w:t>
            </w:r>
          </w:p>
        </w:tc>
        <w:tc>
          <w:tcPr>
            <w:tcW w:w="1134" w:type="dxa"/>
            <w:vAlign w:val="center"/>
          </w:tcPr>
          <w:p w14:paraId="3FE1CF15" w14:textId="0E12ADF3"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3,580</w:t>
            </w:r>
          </w:p>
        </w:tc>
        <w:tc>
          <w:tcPr>
            <w:tcW w:w="992" w:type="dxa"/>
            <w:vAlign w:val="center"/>
          </w:tcPr>
          <w:p w14:paraId="54D232FE" w14:textId="6ECE865D" w:rsidR="009456DA" w:rsidRPr="00F40259" w:rsidRDefault="0058351B" w:rsidP="00A36AD6">
            <w:pPr>
              <w:tabs>
                <w:tab w:val="left" w:pos="1860"/>
              </w:tabs>
              <w:jc w:val="center"/>
              <w:rPr>
                <w:rFonts w:ascii="Arial" w:hAnsi="Arial" w:cs="Arial"/>
                <w:sz w:val="20"/>
                <w:szCs w:val="20"/>
              </w:rPr>
            </w:pPr>
            <w:r w:rsidRPr="0058351B">
              <w:rPr>
                <w:rFonts w:ascii="Arial" w:hAnsi="Arial" w:cs="Arial"/>
                <w:sz w:val="20"/>
                <w:szCs w:val="20"/>
              </w:rPr>
              <w:t>0,000</w:t>
            </w:r>
          </w:p>
        </w:tc>
      </w:tr>
    </w:tbl>
    <w:p w14:paraId="11389F2B" w14:textId="77777777" w:rsidR="009456DA" w:rsidRDefault="009456DA" w:rsidP="00441B6F">
      <w:pPr>
        <w:pStyle w:val="Body"/>
        <w:spacing w:after="0"/>
        <w:rPr>
          <w:rFonts w:ascii="Arial" w:hAnsi="Arial" w:cs="Arial"/>
        </w:rPr>
      </w:pPr>
    </w:p>
    <w:p w14:paraId="3D369F30" w14:textId="63E972BC" w:rsidR="006C1B57" w:rsidRPr="00BF3A1F" w:rsidRDefault="009456DA" w:rsidP="00BF3A1F">
      <w:pPr>
        <w:pStyle w:val="Body"/>
        <w:spacing w:after="0"/>
        <w:rPr>
          <w:rFonts w:ascii="Arial" w:hAnsi="Arial" w:cs="Arial"/>
        </w:rPr>
      </w:pPr>
      <w:r w:rsidRPr="009456DA">
        <w:rPr>
          <w:rFonts w:ascii="Arial" w:hAnsi="Arial" w:cs="Arial"/>
        </w:rPr>
        <w:t>The test results show that Adaptive Entrepreneurial Leadership has a significant effect on Employee Innovative Behavior (O = –0.093; p = 0.020) and a significant effect on Psychological Empowerment (O = 0.093; p = 0.009). However, Psychological Empowerment does not have a significant effect on Employee Innovative Behavior (O = –0.004; p = 0.909). This finding confirms that adaptive-entrepreneurial leadership has a direct influence on employee innovative behavior, but not through the mediation pathway of psychological empowerment.</w:t>
      </w:r>
    </w:p>
    <w:p w14:paraId="0D1B0D43" w14:textId="6F7F65B2" w:rsidR="009456DA" w:rsidRPr="00A01B7B" w:rsidRDefault="00A01B7B" w:rsidP="00A01B7B">
      <w:pPr>
        <w:jc w:val="center"/>
        <w:rPr>
          <w:rFonts w:ascii="Arial" w:hAnsi="Arial" w:cs="Arial"/>
          <w:b/>
          <w:bCs/>
        </w:rPr>
      </w:pPr>
      <w:r w:rsidRPr="00A01B7B">
        <w:rPr>
          <w:rFonts w:ascii="Arial" w:hAnsi="Arial" w:cs="Arial"/>
          <w:b/>
          <w:bCs/>
        </w:rPr>
        <w:t>Table 6. Mediating-Moderating Effect</w:t>
      </w:r>
    </w:p>
    <w:tbl>
      <w:tblPr>
        <w:tblStyle w:val="TableGrid"/>
        <w:tblW w:w="7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276"/>
        <w:gridCol w:w="1134"/>
        <w:gridCol w:w="992"/>
      </w:tblGrid>
      <w:tr w:rsidR="00A01B7B" w:rsidRPr="00F40259" w14:paraId="30C6035C" w14:textId="77777777" w:rsidTr="00A01B7B">
        <w:trPr>
          <w:jc w:val="center"/>
        </w:trPr>
        <w:tc>
          <w:tcPr>
            <w:tcW w:w="3827" w:type="dxa"/>
            <w:tcBorders>
              <w:top w:val="single" w:sz="4" w:space="0" w:color="auto"/>
              <w:bottom w:val="single" w:sz="4" w:space="0" w:color="auto"/>
            </w:tcBorders>
            <w:vAlign w:val="center"/>
          </w:tcPr>
          <w:p w14:paraId="0F516656" w14:textId="77777777" w:rsidR="00A01B7B" w:rsidRPr="00F40259" w:rsidRDefault="00A01B7B" w:rsidP="00A36AD6">
            <w:pPr>
              <w:tabs>
                <w:tab w:val="left" w:pos="1860"/>
              </w:tabs>
              <w:jc w:val="center"/>
              <w:rPr>
                <w:rFonts w:ascii="Arial" w:hAnsi="Arial" w:cs="Arial"/>
                <w:b/>
                <w:bCs/>
                <w:sz w:val="20"/>
                <w:szCs w:val="20"/>
              </w:rPr>
            </w:pPr>
            <w:r>
              <w:rPr>
                <w:rFonts w:ascii="Arial" w:hAnsi="Arial" w:cs="Arial"/>
                <w:b/>
                <w:bCs/>
                <w:sz w:val="20"/>
                <w:szCs w:val="20"/>
              </w:rPr>
              <w:lastRenderedPageBreak/>
              <w:t>Hipotesis</w:t>
            </w:r>
          </w:p>
        </w:tc>
        <w:tc>
          <w:tcPr>
            <w:tcW w:w="1276" w:type="dxa"/>
            <w:tcBorders>
              <w:top w:val="single" w:sz="4" w:space="0" w:color="auto"/>
              <w:bottom w:val="single" w:sz="4" w:space="0" w:color="auto"/>
            </w:tcBorders>
            <w:vAlign w:val="center"/>
          </w:tcPr>
          <w:p w14:paraId="40CF98F4"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Original Sample (O)</w:t>
            </w:r>
          </w:p>
        </w:tc>
        <w:tc>
          <w:tcPr>
            <w:tcW w:w="1134" w:type="dxa"/>
            <w:tcBorders>
              <w:top w:val="single" w:sz="4" w:space="0" w:color="auto"/>
              <w:bottom w:val="single" w:sz="4" w:space="0" w:color="auto"/>
            </w:tcBorders>
            <w:vAlign w:val="center"/>
          </w:tcPr>
          <w:p w14:paraId="772BACD1"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t-Statistic</w:t>
            </w:r>
          </w:p>
        </w:tc>
        <w:tc>
          <w:tcPr>
            <w:tcW w:w="992" w:type="dxa"/>
            <w:tcBorders>
              <w:top w:val="single" w:sz="4" w:space="0" w:color="auto"/>
              <w:bottom w:val="single" w:sz="4" w:space="0" w:color="auto"/>
            </w:tcBorders>
            <w:vAlign w:val="center"/>
          </w:tcPr>
          <w:p w14:paraId="6191C882" w14:textId="77777777" w:rsidR="00A01B7B" w:rsidRPr="00F40259" w:rsidRDefault="00A01B7B" w:rsidP="00A36AD6">
            <w:pPr>
              <w:tabs>
                <w:tab w:val="left" w:pos="1860"/>
              </w:tabs>
              <w:jc w:val="center"/>
              <w:rPr>
                <w:rFonts w:ascii="Arial" w:hAnsi="Arial" w:cs="Arial"/>
                <w:b/>
                <w:bCs/>
                <w:sz w:val="20"/>
                <w:szCs w:val="20"/>
              </w:rPr>
            </w:pPr>
            <w:r w:rsidRPr="00F40259">
              <w:rPr>
                <w:rFonts w:ascii="Arial" w:hAnsi="Arial" w:cs="Arial"/>
                <w:b/>
                <w:bCs/>
                <w:sz w:val="20"/>
                <w:szCs w:val="20"/>
              </w:rPr>
              <w:t>P-Value</w:t>
            </w:r>
          </w:p>
        </w:tc>
      </w:tr>
      <w:tr w:rsidR="00A01B7B" w:rsidRPr="00F40259" w14:paraId="7E9BADF5" w14:textId="77777777" w:rsidTr="00A01B7B">
        <w:trPr>
          <w:jc w:val="center"/>
        </w:trPr>
        <w:tc>
          <w:tcPr>
            <w:tcW w:w="3827" w:type="dxa"/>
            <w:tcBorders>
              <w:top w:val="single" w:sz="4" w:space="0" w:color="auto"/>
            </w:tcBorders>
          </w:tcPr>
          <w:p w14:paraId="377BBBFC" w14:textId="77777777" w:rsidR="00A01B7B" w:rsidRPr="00F40259" w:rsidRDefault="00A01B7B" w:rsidP="00A36AD6">
            <w:pPr>
              <w:tabs>
                <w:tab w:val="left" w:pos="1860"/>
              </w:tabs>
              <w:rPr>
                <w:rFonts w:ascii="Arial" w:hAnsi="Arial" w:cs="Arial"/>
                <w:sz w:val="20"/>
                <w:szCs w:val="20"/>
              </w:rPr>
            </w:pPr>
            <w:r w:rsidRPr="00F220B0">
              <w:rPr>
                <w:rFonts w:ascii="Arial" w:hAnsi="Arial" w:cs="Arial"/>
                <w:sz w:val="20"/>
                <w:szCs w:val="20"/>
              </w:rPr>
              <w:t xml:space="preserve">Adaptive Entrepreneurial Leadership -&gt; Psychological Empowerment -&gt; Employee Innovative Behavior </w:t>
            </w:r>
          </w:p>
        </w:tc>
        <w:tc>
          <w:tcPr>
            <w:tcW w:w="1276" w:type="dxa"/>
            <w:tcBorders>
              <w:top w:val="single" w:sz="4" w:space="0" w:color="auto"/>
            </w:tcBorders>
            <w:vAlign w:val="center"/>
          </w:tcPr>
          <w:p w14:paraId="20E78B0A" w14:textId="78BFF85D" w:rsidR="00A01B7B" w:rsidRPr="00F40259" w:rsidRDefault="00401E24" w:rsidP="00A36AD6">
            <w:pPr>
              <w:jc w:val="center"/>
              <w:rPr>
                <w:rFonts w:ascii="Arial" w:hAnsi="Arial" w:cs="Arial"/>
                <w:color w:val="000000"/>
                <w:sz w:val="20"/>
                <w:szCs w:val="20"/>
              </w:rPr>
            </w:pPr>
            <w:r w:rsidRPr="00401E24">
              <w:rPr>
                <w:rFonts w:ascii="Arial" w:hAnsi="Arial" w:cs="Arial"/>
                <w:color w:val="000000"/>
                <w:sz w:val="20"/>
                <w:szCs w:val="20"/>
              </w:rPr>
              <w:t>0,234</w:t>
            </w:r>
          </w:p>
        </w:tc>
        <w:tc>
          <w:tcPr>
            <w:tcW w:w="1134" w:type="dxa"/>
            <w:tcBorders>
              <w:top w:val="single" w:sz="4" w:space="0" w:color="auto"/>
            </w:tcBorders>
            <w:vAlign w:val="center"/>
          </w:tcPr>
          <w:p w14:paraId="6DCDC5F6" w14:textId="63411D99" w:rsidR="00A01B7B" w:rsidRPr="00F40259" w:rsidRDefault="00401E24" w:rsidP="00A36AD6">
            <w:pPr>
              <w:tabs>
                <w:tab w:val="left" w:pos="1860"/>
              </w:tabs>
              <w:jc w:val="center"/>
              <w:rPr>
                <w:rFonts w:ascii="Arial" w:hAnsi="Arial" w:cs="Arial"/>
                <w:sz w:val="20"/>
                <w:szCs w:val="20"/>
              </w:rPr>
            </w:pPr>
            <w:r w:rsidRPr="00401E24">
              <w:rPr>
                <w:rFonts w:ascii="Arial" w:hAnsi="Arial" w:cs="Arial"/>
                <w:sz w:val="20"/>
                <w:szCs w:val="20"/>
              </w:rPr>
              <w:t>3,390</w:t>
            </w:r>
          </w:p>
        </w:tc>
        <w:tc>
          <w:tcPr>
            <w:tcW w:w="992" w:type="dxa"/>
            <w:tcBorders>
              <w:top w:val="single" w:sz="4" w:space="0" w:color="auto"/>
            </w:tcBorders>
            <w:vAlign w:val="center"/>
          </w:tcPr>
          <w:p w14:paraId="0A306B93" w14:textId="2A0EE0EE" w:rsidR="00A01B7B" w:rsidRPr="00F40259" w:rsidRDefault="00401E24" w:rsidP="00A36AD6">
            <w:pPr>
              <w:tabs>
                <w:tab w:val="left" w:pos="1860"/>
              </w:tabs>
              <w:jc w:val="center"/>
              <w:rPr>
                <w:rFonts w:ascii="Arial" w:hAnsi="Arial" w:cs="Arial"/>
                <w:sz w:val="20"/>
                <w:szCs w:val="20"/>
              </w:rPr>
            </w:pPr>
            <w:r w:rsidRPr="00401E24">
              <w:rPr>
                <w:rFonts w:ascii="Arial" w:hAnsi="Arial" w:cs="Arial"/>
                <w:sz w:val="20"/>
                <w:szCs w:val="20"/>
              </w:rPr>
              <w:t>0,001</w:t>
            </w:r>
          </w:p>
        </w:tc>
      </w:tr>
      <w:tr w:rsidR="00A01B7B" w:rsidRPr="00F40259" w14:paraId="61FF51A3" w14:textId="77777777" w:rsidTr="00A01B7B">
        <w:trPr>
          <w:jc w:val="center"/>
        </w:trPr>
        <w:tc>
          <w:tcPr>
            <w:tcW w:w="3827" w:type="dxa"/>
            <w:tcBorders>
              <w:bottom w:val="single" w:sz="4" w:space="0" w:color="auto"/>
            </w:tcBorders>
          </w:tcPr>
          <w:p w14:paraId="356D7BC0" w14:textId="77777777" w:rsidR="00A01B7B" w:rsidRPr="00F40259" w:rsidRDefault="00A01B7B" w:rsidP="00A36AD6">
            <w:pPr>
              <w:tabs>
                <w:tab w:val="left" w:pos="1860"/>
              </w:tabs>
              <w:rPr>
                <w:rFonts w:ascii="Arial" w:hAnsi="Arial" w:cs="Arial"/>
                <w:sz w:val="20"/>
                <w:szCs w:val="20"/>
              </w:rPr>
            </w:pPr>
            <w:r w:rsidRPr="00F220B0">
              <w:rPr>
                <w:rFonts w:ascii="Arial" w:hAnsi="Arial" w:cs="Arial"/>
                <w:sz w:val="20"/>
                <w:szCs w:val="20"/>
              </w:rPr>
              <w:t xml:space="preserve">Moderating Effect 1 -&gt; Employee Innovative Behavior </w:t>
            </w:r>
          </w:p>
        </w:tc>
        <w:tc>
          <w:tcPr>
            <w:tcW w:w="1276" w:type="dxa"/>
            <w:tcBorders>
              <w:bottom w:val="single" w:sz="4" w:space="0" w:color="auto"/>
            </w:tcBorders>
            <w:vAlign w:val="center"/>
          </w:tcPr>
          <w:p w14:paraId="44315662" w14:textId="77777777" w:rsidR="00A01B7B" w:rsidRPr="00F40259" w:rsidRDefault="00A01B7B" w:rsidP="00A36AD6">
            <w:pPr>
              <w:tabs>
                <w:tab w:val="left" w:pos="1860"/>
              </w:tabs>
              <w:jc w:val="center"/>
              <w:rPr>
                <w:rFonts w:ascii="Arial" w:hAnsi="Arial" w:cs="Arial"/>
                <w:sz w:val="20"/>
                <w:szCs w:val="20"/>
              </w:rPr>
            </w:pPr>
            <w:r w:rsidRPr="00581A4B">
              <w:rPr>
                <w:rFonts w:ascii="Arial" w:hAnsi="Arial" w:cs="Arial"/>
                <w:sz w:val="20"/>
                <w:szCs w:val="20"/>
              </w:rPr>
              <w:t>0,250</w:t>
            </w:r>
          </w:p>
        </w:tc>
        <w:tc>
          <w:tcPr>
            <w:tcW w:w="1134" w:type="dxa"/>
            <w:tcBorders>
              <w:bottom w:val="single" w:sz="4" w:space="0" w:color="auto"/>
            </w:tcBorders>
            <w:vAlign w:val="center"/>
          </w:tcPr>
          <w:p w14:paraId="33CBBB14" w14:textId="77777777" w:rsidR="00A01B7B" w:rsidRPr="00F40259" w:rsidRDefault="00A01B7B" w:rsidP="00A36AD6">
            <w:pPr>
              <w:tabs>
                <w:tab w:val="left" w:pos="1860"/>
              </w:tabs>
              <w:jc w:val="center"/>
              <w:rPr>
                <w:rFonts w:ascii="Arial" w:hAnsi="Arial" w:cs="Arial"/>
                <w:sz w:val="20"/>
                <w:szCs w:val="20"/>
              </w:rPr>
            </w:pPr>
            <w:r w:rsidRPr="00F220B0">
              <w:rPr>
                <w:rFonts w:ascii="Arial" w:hAnsi="Arial" w:cs="Arial"/>
                <w:sz w:val="20"/>
                <w:szCs w:val="20"/>
              </w:rPr>
              <w:t>3,012</w:t>
            </w:r>
          </w:p>
        </w:tc>
        <w:tc>
          <w:tcPr>
            <w:tcW w:w="992" w:type="dxa"/>
            <w:tcBorders>
              <w:bottom w:val="single" w:sz="4" w:space="0" w:color="auto"/>
            </w:tcBorders>
            <w:vAlign w:val="center"/>
          </w:tcPr>
          <w:p w14:paraId="29D4C110" w14:textId="77777777" w:rsidR="00A01B7B" w:rsidRPr="00F40259" w:rsidRDefault="00A01B7B" w:rsidP="00A36AD6">
            <w:pPr>
              <w:tabs>
                <w:tab w:val="left" w:pos="1860"/>
              </w:tabs>
              <w:jc w:val="center"/>
              <w:rPr>
                <w:rFonts w:ascii="Arial" w:hAnsi="Arial" w:cs="Arial"/>
                <w:sz w:val="20"/>
                <w:szCs w:val="20"/>
              </w:rPr>
            </w:pPr>
            <w:r w:rsidRPr="00F220B0">
              <w:rPr>
                <w:rFonts w:ascii="Arial" w:hAnsi="Arial" w:cs="Arial"/>
                <w:sz w:val="20"/>
                <w:szCs w:val="20"/>
              </w:rPr>
              <w:t>0,003</w:t>
            </w:r>
          </w:p>
        </w:tc>
      </w:tr>
    </w:tbl>
    <w:p w14:paraId="38FAD7C8" w14:textId="77777777" w:rsidR="009456DA" w:rsidRDefault="009456DA" w:rsidP="00441B6F">
      <w:pPr>
        <w:pStyle w:val="Body"/>
        <w:spacing w:after="0"/>
        <w:rPr>
          <w:rFonts w:ascii="Arial" w:hAnsi="Arial" w:cs="Arial"/>
        </w:rPr>
      </w:pPr>
    </w:p>
    <w:p w14:paraId="6C92DBB8" w14:textId="005A72D2" w:rsidR="00A01B7B" w:rsidRDefault="00401E24" w:rsidP="00C210D0">
      <w:pPr>
        <w:jc w:val="both"/>
        <w:rPr>
          <w:lang w:val="en-ID"/>
        </w:rPr>
      </w:pPr>
      <w:r w:rsidRPr="00401E24">
        <w:rPr>
          <w:lang w:val="en-ID"/>
        </w:rPr>
        <w:t>Based on Table 6, Psychological Empowerment significantly mediates the relationship between Adaptive Entrepreneurial Leadership and Employee Innovative Behavior (O = 0.234; t = 3.390; p = 0.001), indicating that adaptive leadership enhances innovative behavior through increased psychological empowerment. In addition, the moderating effect on Employee Innovative Behavior is also significant (O = 0.250; t = 3.012; p = 0.003), demonstrating that this contextual factor strengthens the influence on innovative behavior. These results confirm the presence of an indirect effect through empowerment and a reinforcing conditional effect within the structural model.</w:t>
      </w:r>
    </w:p>
    <w:p w14:paraId="6A2C368E" w14:textId="77777777" w:rsidR="00BF3A1F" w:rsidRDefault="00BF3A1F" w:rsidP="00C210D0">
      <w:pPr>
        <w:jc w:val="both"/>
        <w:rPr>
          <w:lang w:val="en-ID"/>
        </w:rPr>
      </w:pPr>
    </w:p>
    <w:p w14:paraId="56BA93B1" w14:textId="1DA533D1" w:rsidR="00BF3A1F" w:rsidRDefault="00BF3A1F" w:rsidP="00C210D0">
      <w:pPr>
        <w:jc w:val="both"/>
        <w:rPr>
          <w:rFonts w:ascii="Arial" w:hAnsi="Arial" w:cs="Arial"/>
          <w:b/>
          <w:bCs/>
          <w:sz w:val="22"/>
          <w:szCs w:val="22"/>
          <w:lang w:val="en-ID"/>
        </w:rPr>
      </w:pPr>
      <w:r w:rsidRPr="00BF3A1F">
        <w:rPr>
          <w:rFonts w:ascii="Arial" w:hAnsi="Arial" w:cs="Arial"/>
          <w:b/>
          <w:bCs/>
          <w:sz w:val="22"/>
          <w:szCs w:val="22"/>
          <w:lang w:val="en-ID"/>
        </w:rPr>
        <w:t>4. DISCUSSION</w:t>
      </w:r>
    </w:p>
    <w:p w14:paraId="004B205C" w14:textId="77777777" w:rsidR="00BF3A1F" w:rsidRDefault="00BF3A1F" w:rsidP="00C210D0">
      <w:pPr>
        <w:jc w:val="both"/>
        <w:rPr>
          <w:rFonts w:ascii="Arial" w:hAnsi="Arial" w:cs="Arial"/>
          <w:sz w:val="22"/>
          <w:szCs w:val="22"/>
          <w:lang w:val="en-ID"/>
        </w:rPr>
      </w:pPr>
    </w:p>
    <w:p w14:paraId="32CBA552" w14:textId="73277C9A" w:rsidR="00BF3A1F" w:rsidRPr="00BF3A1F" w:rsidRDefault="00BF3A1F" w:rsidP="00BF3A1F">
      <w:pPr>
        <w:jc w:val="both"/>
        <w:rPr>
          <w:lang w:val="en-ID"/>
        </w:rPr>
      </w:pPr>
      <w:r w:rsidRPr="00BF3A1F">
        <w:rPr>
          <w:lang w:val="en-ID"/>
        </w:rPr>
        <w:t>Adaptive Entrepreneurial Leadership has been widely recognized as a key driver of Employee Innovative Behavior through both direct and psychological mechanisms. Based on Social Exchange Theory, learning oriented and goal focused leadership encourages employees to reciprocate with innovative contributions (Obuobisa-Darko, 2025). Prior studies also demonstrate that entrepreneurial leadership enhances creative self-efficacy, which in turn strengthens innovative behavior (Mehmood et al., 2020; Bagheri et al., 2020; Newman et al., 2018). These findings support the general argument that leadership plays a central role in stimulating employee innovation.</w:t>
      </w:r>
    </w:p>
    <w:p w14:paraId="7FFE0665" w14:textId="4CE40D44" w:rsidR="00BF3A1F" w:rsidRPr="00BF3A1F" w:rsidRDefault="00BF3A1F" w:rsidP="00BF3A1F">
      <w:pPr>
        <w:jc w:val="both"/>
        <w:rPr>
          <w:lang w:val="en-ID"/>
        </w:rPr>
      </w:pPr>
      <w:r w:rsidRPr="00BF3A1F">
        <w:rPr>
          <w:lang w:val="en-ID"/>
        </w:rPr>
        <w:t>However, the findings of this study indicate that although Adaptive Entrepreneurial Leadership significantly strengthens Psychological Empowerment, empowerment does not automatically translate into innovative behavior. While previous studies confirm that Psychological Empowerment mediates the relationship between leadership and innovative behavior (Lim et al., 2024; Miao et al., 2017), the present results suggest that this mediating mechanism operates in a more conditional manner. Empowerment becomes effective only when it is activated through appropriate adaptive leadership processes. This indicates that empowerment functions not as an independent driver of innovation, but as a leadership-dependent psychological mechanism.</w:t>
      </w:r>
    </w:p>
    <w:p w14:paraId="24A78F1D" w14:textId="63DDC424" w:rsidR="00BF3A1F" w:rsidRPr="00BF3A1F" w:rsidRDefault="00BF3A1F" w:rsidP="00BF3A1F">
      <w:pPr>
        <w:jc w:val="both"/>
        <w:rPr>
          <w:lang w:val="en-ID"/>
        </w:rPr>
      </w:pPr>
      <w:r w:rsidRPr="00BF3A1F">
        <w:rPr>
          <w:lang w:val="en-ID"/>
        </w:rPr>
        <w:t>This conditional role of empowerment is particularly relevant in ethnic based MSME settings where hierarchical norms and social harmony remain dominant. Although employees may experience meaning, competence, self-determination, and impact at the psychological level, they may still limit the expression of innovative behavior when innovation is perceived as potentially disrupting existing social structures. This finding reinforces prior arguments that empowerment serves as a key psychological mechanism linking leadership and innovative behavior, but its effectiveness is highly context sensitive (Bin Saeed et al., 2019; Dust et al., 2014; Cheng et al., 2022).</w:t>
      </w:r>
    </w:p>
    <w:p w14:paraId="2A2DCDF4" w14:textId="4DBA7C22" w:rsidR="00BF3A1F" w:rsidRPr="00BF3A1F" w:rsidRDefault="00BF3A1F" w:rsidP="00BF3A1F">
      <w:pPr>
        <w:jc w:val="both"/>
        <w:rPr>
          <w:lang w:val="en-ID"/>
        </w:rPr>
      </w:pPr>
      <w:r w:rsidRPr="00BF3A1F">
        <w:rPr>
          <w:lang w:val="en-ID"/>
        </w:rPr>
        <w:t>Furthermore, the significant moderating role of Socio Cultural Adaptability confirms that the effectiveness of adaptive leadership in stimulating innovative behavior depends on employees’ ability to adjust to social values and environmental dynamics. Higher adaptability strengthens the leadership innovation relationship, supporting the view that leadership outcomes are shaped by the interaction between leadership behavior and contextual readiness.</w:t>
      </w:r>
    </w:p>
    <w:p w14:paraId="6B88ABC3" w14:textId="3A42E25B" w:rsidR="00BF3A1F" w:rsidRPr="00BF3A1F" w:rsidRDefault="00BF3A1F" w:rsidP="00BF3A1F">
      <w:pPr>
        <w:jc w:val="both"/>
        <w:rPr>
          <w:lang w:val="en-ID"/>
        </w:rPr>
      </w:pPr>
      <w:r w:rsidRPr="00BF3A1F">
        <w:rPr>
          <w:lang w:val="en-ID"/>
        </w:rPr>
        <w:t xml:space="preserve">Overall, these findings confirm that employee innovation in MSMEs does not emerge from leadership alone, but from the interaction between adaptive leadership, conditional psychological empowerment, and socio cultural adaptability. This integrative pattern explains </w:t>
      </w:r>
      <w:r w:rsidRPr="00BF3A1F">
        <w:rPr>
          <w:lang w:val="en-ID"/>
        </w:rPr>
        <w:lastRenderedPageBreak/>
        <w:t>why empowerment does not always produce direct innovative outcomes, yet remains strategically important within the broader leadership innovation mechanism.</w:t>
      </w:r>
    </w:p>
    <w:p w14:paraId="63040F3E" w14:textId="77777777" w:rsidR="00790ADA" w:rsidRPr="00FB3A86" w:rsidRDefault="00790ADA" w:rsidP="00441B6F">
      <w:pPr>
        <w:pStyle w:val="Body"/>
        <w:spacing w:after="0"/>
        <w:rPr>
          <w:rFonts w:ascii="Arial" w:hAnsi="Arial" w:cs="Arial"/>
        </w:rPr>
      </w:pPr>
    </w:p>
    <w:p w14:paraId="2DC9B5B6" w14:textId="3861EDD5" w:rsidR="00B01FCD" w:rsidRDefault="00BF3A1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E4CC815" w14:textId="77777777" w:rsidR="00790ADA" w:rsidRPr="00FB3A86" w:rsidRDefault="00790ADA" w:rsidP="00441B6F">
      <w:pPr>
        <w:pStyle w:val="ConcHead"/>
        <w:spacing w:after="0"/>
        <w:jc w:val="both"/>
        <w:rPr>
          <w:rFonts w:ascii="Arial" w:hAnsi="Arial" w:cs="Arial"/>
        </w:rPr>
      </w:pPr>
    </w:p>
    <w:p w14:paraId="5BC96561" w14:textId="753244DC" w:rsidR="00C21CAA" w:rsidRPr="00C21CAA" w:rsidRDefault="00C21CAA" w:rsidP="00BF3A1F">
      <w:pPr>
        <w:jc w:val="both"/>
        <w:rPr>
          <w:lang w:val="en-ID"/>
        </w:rPr>
      </w:pPr>
      <w:r w:rsidRPr="00C21CAA">
        <w:rPr>
          <w:lang w:val="en-ID"/>
        </w:rPr>
        <w:t>This study demonstrates that adaptive-entrepreneurial leadership plays a significant role in shaping employee innovative behavior, both directly and through its indirect effect via psychological empowerment. Although psychological empowerment does not directly translate into innovative behavior, it functions as a significant mediating mechanism that bridges the influence of leadership on employees’ propensity to innovate.</w:t>
      </w:r>
    </w:p>
    <w:p w14:paraId="52A4939C" w14:textId="58431F51" w:rsidR="00B01FCD" w:rsidRDefault="00C21CAA" w:rsidP="00BF3A1F">
      <w:pPr>
        <w:jc w:val="both"/>
        <w:rPr>
          <w:lang w:val="en-ID"/>
        </w:rPr>
      </w:pPr>
      <w:r w:rsidRPr="00C21CAA">
        <w:rPr>
          <w:lang w:val="en-ID"/>
        </w:rPr>
        <w:t>Furthermore, sociocultural adaptability provides a significant reinforcing effect, indicating that employees who are able to adapt to diverse values and dynamic work environments are more capable of expressing innovative behavior under adaptive leadership. Overall, these findings confirm that employee innovation in MSMEs is not solely driven by leadership or psychological conditions alone, but emerges from the complementary interaction between adaptive leadership, psychological empowerment, and sociocultural adaptability.</w:t>
      </w:r>
    </w:p>
    <w:p w14:paraId="0726FB84" w14:textId="77777777" w:rsidR="00AE24BD" w:rsidRPr="00740879" w:rsidRDefault="00AE24BD" w:rsidP="00AE24BD">
      <w:pPr>
        <w:rPr>
          <w:highlight w:val="yellow"/>
        </w:rPr>
      </w:pPr>
      <w:r w:rsidRPr="00740879">
        <w:rPr>
          <w:highlight w:val="yellow"/>
        </w:rPr>
        <w:t>Disclaimer (Artificial intelligence)</w:t>
      </w:r>
    </w:p>
    <w:p w14:paraId="7D8B9B24" w14:textId="77777777" w:rsidR="00AE24BD" w:rsidRPr="00740879" w:rsidRDefault="00AE24BD" w:rsidP="00AE24BD">
      <w:pPr>
        <w:rPr>
          <w:highlight w:val="yellow"/>
        </w:rPr>
      </w:pPr>
      <w:r w:rsidRPr="00740879">
        <w:rPr>
          <w:highlight w:val="yellow"/>
        </w:rPr>
        <w:t xml:space="preserve">Option 1: </w:t>
      </w:r>
    </w:p>
    <w:p w14:paraId="6FCBAA03" w14:textId="77777777" w:rsidR="00AE24BD" w:rsidRPr="00740879" w:rsidRDefault="00AE24BD" w:rsidP="00AE24B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34631B1" w14:textId="77777777" w:rsidR="00AE24BD" w:rsidRPr="00740879" w:rsidRDefault="00AE24BD" w:rsidP="00AE24BD">
      <w:pPr>
        <w:rPr>
          <w:highlight w:val="yellow"/>
        </w:rPr>
      </w:pPr>
      <w:r w:rsidRPr="00740879">
        <w:rPr>
          <w:highlight w:val="yellow"/>
        </w:rPr>
        <w:t xml:space="preserve">Option 2: </w:t>
      </w:r>
    </w:p>
    <w:p w14:paraId="66ED5633" w14:textId="77777777" w:rsidR="00AE24BD" w:rsidRPr="00740879" w:rsidRDefault="00AE24BD" w:rsidP="00AE24B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10C8F4" w14:textId="77777777" w:rsidR="00AE24BD" w:rsidRPr="00740879" w:rsidRDefault="00AE24BD" w:rsidP="00AE24BD">
      <w:pPr>
        <w:rPr>
          <w:highlight w:val="yellow"/>
        </w:rPr>
      </w:pPr>
      <w:r w:rsidRPr="00740879">
        <w:rPr>
          <w:highlight w:val="yellow"/>
        </w:rPr>
        <w:t>Details of the AI usage are given below:</w:t>
      </w:r>
    </w:p>
    <w:p w14:paraId="30FA1E18" w14:textId="4C854E0B" w:rsidR="00AE24BD" w:rsidRPr="00740879" w:rsidRDefault="00AE24BD" w:rsidP="00AE24BD">
      <w:pPr>
        <w:rPr>
          <w:highlight w:val="yellow"/>
        </w:rPr>
      </w:pPr>
      <w:r w:rsidRPr="00740879">
        <w:rPr>
          <w:highlight w:val="yellow"/>
        </w:rPr>
        <w:t>1.</w:t>
      </w:r>
      <w:r w:rsidR="00BF3A1F">
        <w:rPr>
          <w:highlight w:val="yellow"/>
        </w:rPr>
        <w:t xml:space="preserve"> </w:t>
      </w:r>
      <w:r w:rsidR="00BF3A1F" w:rsidRPr="00BF3A1F">
        <w:t xml:space="preserve">ChatGPT (OpenAI, model GPT-5.1) was used to improve academic language quality, </w:t>
      </w:r>
      <w:r w:rsidR="00BF3A1F">
        <w:t xml:space="preserve">and </w:t>
      </w:r>
      <w:r w:rsidR="00BF3A1F" w:rsidRPr="00BF3A1F">
        <w:t>clarity of expression</w:t>
      </w:r>
    </w:p>
    <w:p w14:paraId="06615650" w14:textId="7DB1F81D" w:rsidR="00AE24BD" w:rsidRPr="00740879" w:rsidRDefault="00AE24BD" w:rsidP="00AE24BD">
      <w:pPr>
        <w:rPr>
          <w:highlight w:val="yellow"/>
        </w:rPr>
      </w:pPr>
      <w:r w:rsidRPr="00740879">
        <w:rPr>
          <w:highlight w:val="yellow"/>
        </w:rPr>
        <w:t>2.</w:t>
      </w:r>
      <w:r w:rsidR="00BF3A1F" w:rsidRPr="00BF3A1F">
        <w:t xml:space="preserve"> </w:t>
      </w:r>
      <w:r w:rsidR="00BF3A1F" w:rsidRPr="00BF3A1F">
        <w:t>The AI tool was used for paraphrasing text and refining the structure of the discussion and conclusion sections.</w:t>
      </w:r>
    </w:p>
    <w:p w14:paraId="5F38FB80" w14:textId="07DDF637" w:rsidR="00AE24BD" w:rsidRPr="00D047BB" w:rsidRDefault="00AE24BD" w:rsidP="00AE24BD">
      <w:r w:rsidRPr="00740879">
        <w:rPr>
          <w:highlight w:val="yellow"/>
        </w:rPr>
        <w:t>3.</w:t>
      </w:r>
      <w:r w:rsidR="00BF3A1F" w:rsidRPr="00BF3A1F">
        <w:t xml:space="preserve"> </w:t>
      </w:r>
      <w:r w:rsidR="00BF3A1F" w:rsidRPr="00BF3A1F">
        <w:t>The AI tool was not used for data collection, data analysis, hypothesis testing, statistical processing, or generation of research results. All empirical analyses and interpretations remain the full responsibility of the authors.</w:t>
      </w:r>
    </w:p>
    <w:p w14:paraId="6B5258FA" w14:textId="77777777" w:rsidR="00AE24BD" w:rsidRPr="00E271F1" w:rsidRDefault="00AE24BD" w:rsidP="00441B6F">
      <w:pPr>
        <w:pStyle w:val="Body"/>
        <w:spacing w:after="0"/>
        <w:rPr>
          <w:rFonts w:ascii="Arial" w:hAnsi="Arial" w:cs="Arial"/>
          <w:lang w:val="en-ID"/>
        </w:rPr>
      </w:pPr>
    </w:p>
    <w:p w14:paraId="39757957" w14:textId="77777777" w:rsidR="00860000" w:rsidRDefault="00860000" w:rsidP="00441B6F">
      <w:pPr>
        <w:pStyle w:val="ReferHead"/>
        <w:spacing w:after="0"/>
        <w:jc w:val="both"/>
        <w:rPr>
          <w:rFonts w:ascii="Arial" w:hAnsi="Arial" w:cs="Arial"/>
        </w:rPr>
      </w:pPr>
    </w:p>
    <w:p w14:paraId="6ABCCB1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F16572" w14:textId="77777777" w:rsidR="006C1B57" w:rsidRDefault="006C1B57" w:rsidP="00441B6F">
      <w:pPr>
        <w:pStyle w:val="ReferHead"/>
        <w:spacing w:after="0"/>
        <w:jc w:val="both"/>
        <w:rPr>
          <w:rFonts w:ascii="Arial" w:hAnsi="Arial" w:cs="Arial"/>
        </w:rPr>
      </w:pPr>
    </w:p>
    <w:p w14:paraId="61567A07" w14:textId="77777777" w:rsidR="00C21CAA" w:rsidRDefault="00C21CAA" w:rsidP="00D9096A">
      <w:pPr>
        <w:ind w:left="851" w:hanging="851"/>
        <w:jc w:val="both"/>
      </w:pPr>
      <w:r>
        <w:t xml:space="preserve">Abdalla, S. S. A., &amp; Nakagawa, K. (2022). Entrepreneurial Leadership, Supply Chain Innovation, and Adaptability: A Cross-national Investigation. Operations Research Forum, 3(1). Scopus. </w:t>
      </w:r>
      <w:hyperlink r:id="rId14" w:history="1">
        <w:r w:rsidRPr="00290DBE">
          <w:rPr>
            <w:rStyle w:val="Hyperlink"/>
          </w:rPr>
          <w:t>https://doi.org/10.1007/s43069-022-00135-x</w:t>
        </w:r>
      </w:hyperlink>
      <w:r>
        <w:t xml:space="preserve"> </w:t>
      </w:r>
    </w:p>
    <w:p w14:paraId="4D9436BC" w14:textId="77777777" w:rsidR="00C21CAA" w:rsidRDefault="00C21CAA" w:rsidP="00D9096A">
      <w:pPr>
        <w:ind w:left="851" w:hanging="851"/>
        <w:jc w:val="both"/>
      </w:pPr>
      <w:r>
        <w:t xml:space="preserve">Abdul Manaf, A. H., &amp; Abdul Latif, L. (2014). Transformational leadership and job performance of SMEs technical personnel: The adaptability cultural approach as mediator. Mediterranean Journal of Social Sciences, 5(20), 648–655. Scopus. </w:t>
      </w:r>
      <w:hyperlink r:id="rId15" w:history="1">
        <w:r w:rsidRPr="00290DBE">
          <w:rPr>
            <w:rStyle w:val="Hyperlink"/>
          </w:rPr>
          <w:t>https://doi.org/10.5901/mjss.2014.v5n20p648</w:t>
        </w:r>
      </w:hyperlink>
      <w:r>
        <w:t xml:space="preserve"> </w:t>
      </w:r>
    </w:p>
    <w:p w14:paraId="4A049C1E" w14:textId="77777777" w:rsidR="00C21CAA" w:rsidRDefault="00C21CAA" w:rsidP="00D9096A">
      <w:pPr>
        <w:ind w:left="851" w:hanging="851"/>
        <w:jc w:val="both"/>
      </w:pPr>
      <w:r>
        <w:t xml:space="preserve">Abidin, Z., Firmansyah, F., Cholid Wardi, M., Haryanto, R., Handayani, S., &amp; Prasojo, Z. H. (2023). Islamic business development of Madurese-owned ethnic-based grocery stores: Study from Indonesia. Cogent Economics and Finance, 11(2). Scopus. </w:t>
      </w:r>
      <w:hyperlink r:id="rId16" w:history="1">
        <w:r w:rsidRPr="00290DBE">
          <w:rPr>
            <w:rStyle w:val="Hyperlink"/>
          </w:rPr>
          <w:t>https://doi.org/10.1080/23322039.2023.2275974</w:t>
        </w:r>
      </w:hyperlink>
      <w:r>
        <w:t xml:space="preserve"> </w:t>
      </w:r>
    </w:p>
    <w:p w14:paraId="2DE6123A" w14:textId="77777777" w:rsidR="00C21CAA" w:rsidRDefault="00C21CAA" w:rsidP="00D9096A">
      <w:pPr>
        <w:ind w:left="851" w:hanging="851"/>
        <w:jc w:val="both"/>
      </w:pPr>
      <w:r>
        <w:t xml:space="preserve">Abouziad, H. M., &amp; Omar, K. M. (2023). Impact of Proactive Personality on Innovative Work Behavior: An Empirical Study on Gulf Petrochemical Industries Company in Kingdom of Bahrain. Information Sciences Letters, 12(2), 933–942. Scopus. </w:t>
      </w:r>
      <w:hyperlink r:id="rId17" w:history="1">
        <w:r w:rsidRPr="00290DBE">
          <w:rPr>
            <w:rStyle w:val="Hyperlink"/>
          </w:rPr>
          <w:t>https://doi.org/10.18576/isl/120232</w:t>
        </w:r>
      </w:hyperlink>
      <w:r>
        <w:t xml:space="preserve"> </w:t>
      </w:r>
    </w:p>
    <w:p w14:paraId="6E56010D" w14:textId="77777777" w:rsidR="00C21CAA" w:rsidRDefault="00C21CAA" w:rsidP="00D9096A">
      <w:pPr>
        <w:ind w:left="851" w:hanging="851"/>
        <w:jc w:val="both"/>
      </w:pPr>
      <w:r>
        <w:lastRenderedPageBreak/>
        <w:t xml:space="preserve">Akinwale, Y. O., &amp; Alshraim, M. A. (2024). Drivers of innovation capabilities among MSMEs in Saudi Arabia. Cogent Business and Management, 11(1). Scopus. </w:t>
      </w:r>
      <w:hyperlink r:id="rId18" w:history="1">
        <w:r w:rsidRPr="00290DBE">
          <w:rPr>
            <w:rStyle w:val="Hyperlink"/>
          </w:rPr>
          <w:t>https://doi.org/10.1080/23311975.2024.2328742</w:t>
        </w:r>
      </w:hyperlink>
      <w:r>
        <w:t xml:space="preserve"> </w:t>
      </w:r>
    </w:p>
    <w:p w14:paraId="74734296" w14:textId="77777777" w:rsidR="00C21CAA" w:rsidRDefault="00C21CAA" w:rsidP="00D9096A">
      <w:pPr>
        <w:ind w:left="851" w:hanging="851"/>
        <w:jc w:val="both"/>
      </w:pPr>
      <w:r>
        <w:t xml:space="preserve">Al Daboub, R. S., Al-Madadha, A., &amp; Al-Adwan, A. S. (2024). Fostering firm innovativeness: Understanding the sequential relationships between human resource practices, psychological empowerment, innovative work behavior, and firm innovative capability. International Journal of Innovation Studies, 8(1), 76–91. Scopus. </w:t>
      </w:r>
      <w:hyperlink r:id="rId19" w:history="1">
        <w:r w:rsidRPr="00290DBE">
          <w:rPr>
            <w:rStyle w:val="Hyperlink"/>
          </w:rPr>
          <w:t>https://doi.org/10.1016/j.ijis.2023.12.001</w:t>
        </w:r>
      </w:hyperlink>
      <w:r>
        <w:t xml:space="preserve"> </w:t>
      </w:r>
    </w:p>
    <w:p w14:paraId="04CE5FDE" w14:textId="77777777" w:rsidR="00C21CAA" w:rsidRDefault="00C21CAA" w:rsidP="00D9096A">
      <w:pPr>
        <w:ind w:left="851" w:hanging="851"/>
        <w:jc w:val="both"/>
      </w:pPr>
      <w:r>
        <w:t xml:space="preserve">Al Samman, A. M., Aleteby, K. A., &amp; Al Deeb, H. M. A. (2024). Towards a Decision Model for Unlocking Innovative Potential: The Role of Psychological Empowerment. 2024 International Conference on Decision Aid Sciences and Applications, DASA 2024. Scopus. </w:t>
      </w:r>
      <w:hyperlink r:id="rId20" w:history="1">
        <w:r w:rsidRPr="00290DBE">
          <w:rPr>
            <w:rStyle w:val="Hyperlink"/>
          </w:rPr>
          <w:t>https://doi.org/10.1109/DASA63652.2024.10836651</w:t>
        </w:r>
      </w:hyperlink>
      <w:r>
        <w:t xml:space="preserve"> </w:t>
      </w:r>
    </w:p>
    <w:p w14:paraId="7C40865C" w14:textId="77777777" w:rsidR="00C21CAA" w:rsidRDefault="00C21CAA" w:rsidP="00D9096A">
      <w:pPr>
        <w:ind w:left="851" w:hanging="851"/>
        <w:jc w:val="both"/>
      </w:pPr>
      <w:r>
        <w:t xml:space="preserve">Alshiha, A. A., Alkhozaim, S. M., Alnasser, E. M., Khairy, H. A., &amp; Al-Romeedy, B. S. (2025). Psychological empowerment and employee resilience in travel agencies and hotels. Tourism Review, 80(7), 1394–1412. Scopus. </w:t>
      </w:r>
      <w:hyperlink r:id="rId21" w:history="1">
        <w:r w:rsidRPr="00290DBE">
          <w:rPr>
            <w:rStyle w:val="Hyperlink"/>
          </w:rPr>
          <w:t>https://doi.org/10.1108/TR-03-2024-0208</w:t>
        </w:r>
      </w:hyperlink>
      <w:r>
        <w:t xml:space="preserve"> </w:t>
      </w:r>
    </w:p>
    <w:p w14:paraId="526F78E6" w14:textId="77777777" w:rsidR="00C21CAA" w:rsidRDefault="00C21CAA" w:rsidP="00D9096A">
      <w:pPr>
        <w:ind w:left="851" w:hanging="851"/>
        <w:jc w:val="both"/>
      </w:pPr>
      <w:r>
        <w:t xml:space="preserve">Anwar, M., &amp; Noviaristanti, S. (2025). Analysis of the Rumah BUMN Bandung Program’s Effectiveness on MSME Export Performance. In Studies in Systems, Decision and Control (Vol. 608, pp. 571–580). Scopus. </w:t>
      </w:r>
      <w:hyperlink r:id="rId22" w:history="1">
        <w:r w:rsidRPr="00290DBE">
          <w:rPr>
            <w:rStyle w:val="Hyperlink"/>
          </w:rPr>
          <w:t>https://doi.org/10.1007/978-3-031-96641-5_49</w:t>
        </w:r>
      </w:hyperlink>
      <w:r>
        <w:t xml:space="preserve"> </w:t>
      </w:r>
    </w:p>
    <w:p w14:paraId="197DE49A" w14:textId="77777777" w:rsidR="00C21CAA" w:rsidRDefault="00C21CAA" w:rsidP="00D9096A">
      <w:pPr>
        <w:ind w:left="851" w:hanging="851"/>
        <w:jc w:val="both"/>
      </w:pPr>
      <w:r>
        <w:t xml:space="preserve">Aristana, I. N., Puspitawati, N. M. D., Salain, P. P. P., Koval, V., Konarivska, O., &amp; Paniuk, T. (2024). Improving Innovative Work Behavior in Small and Medium Enterprises: Integrating Transformational Leadership, Knowledge Sharing, and Psychological Empowerment. Societies, 14(11). Scopus. </w:t>
      </w:r>
      <w:hyperlink r:id="rId23" w:history="1">
        <w:r w:rsidRPr="00290DBE">
          <w:rPr>
            <w:rStyle w:val="Hyperlink"/>
          </w:rPr>
          <w:t>https://doi.org/10.3390/soc14110228</w:t>
        </w:r>
      </w:hyperlink>
      <w:r>
        <w:t xml:space="preserve"> </w:t>
      </w:r>
    </w:p>
    <w:p w14:paraId="0DB7A1A5" w14:textId="77777777" w:rsidR="00C21CAA" w:rsidRDefault="00C21CAA" w:rsidP="00D9096A">
      <w:pPr>
        <w:ind w:left="851" w:hanging="851"/>
        <w:jc w:val="both"/>
      </w:pPr>
      <w:r>
        <w:t xml:space="preserve">Ayu, S. K., Surjandari, I., &amp; Zulkarnain, Z. (2018). Mining Association Rules in Seasonal Transaction Data. 321–325. Scopus. </w:t>
      </w:r>
      <w:hyperlink r:id="rId24" w:history="1">
        <w:r w:rsidRPr="00290DBE">
          <w:rPr>
            <w:rStyle w:val="Hyperlink"/>
          </w:rPr>
          <w:t>https://doi.org/10.1109/ICISCE.2018.00074</w:t>
        </w:r>
      </w:hyperlink>
      <w:r>
        <w:t xml:space="preserve"> </w:t>
      </w:r>
    </w:p>
    <w:p w14:paraId="58C0E52C" w14:textId="77777777" w:rsidR="00C21CAA" w:rsidRDefault="00C21CAA" w:rsidP="001F3A17">
      <w:pPr>
        <w:ind w:left="851" w:hanging="851"/>
        <w:jc w:val="both"/>
      </w:pPr>
      <w:r>
        <w:t>Bagheri, A., Newman, A., &amp; Eva, N. (2020). Entrepreneurial leadership of CEOs and employees’ innovative behavior in high-technology new ventures. Journal of Small Business Management, 60(4), 805–827. https://doi.org/10.1080/00472778.2020.1737094</w:t>
      </w:r>
    </w:p>
    <w:p w14:paraId="7B24A598" w14:textId="77777777" w:rsidR="00C21CAA" w:rsidRDefault="00C21CAA" w:rsidP="00D9096A">
      <w:pPr>
        <w:ind w:left="851" w:hanging="851"/>
        <w:jc w:val="both"/>
      </w:pPr>
      <w:r>
        <w:t xml:space="preserve">Bagiyam, D. S., Doe, B. M., Metilda, M. R., &amp; Irfan, M. (2025). Leadership and Owner-Manager Well-Being: Examining the Role of Leadership and Owner-Manager Well-Being in Driving Sustainable Innovation. In Strategic Insights and Case Studies on Navigating an Entrepreneurial Landscape (pp. 67–90). Scopus. </w:t>
      </w:r>
      <w:hyperlink r:id="rId25" w:history="1">
        <w:r w:rsidRPr="00290DBE">
          <w:rPr>
            <w:rStyle w:val="Hyperlink"/>
          </w:rPr>
          <w:t>https://doi.org/10.4018/979-8-3693-9261-4.ch004</w:t>
        </w:r>
      </w:hyperlink>
      <w:r>
        <w:t xml:space="preserve"> </w:t>
      </w:r>
    </w:p>
    <w:p w14:paraId="47F1A58A" w14:textId="77777777" w:rsidR="00C21CAA" w:rsidRDefault="00C21CAA" w:rsidP="00D9096A">
      <w:pPr>
        <w:ind w:left="851" w:hanging="851"/>
        <w:jc w:val="both"/>
      </w:pPr>
      <w:r>
        <w:t xml:space="preserve">Ben-Asher, N., Cho, J.-H., &amp; Adali, S. (2018). Adaptive Situational Leadership Framework. 63–69. Scopus. </w:t>
      </w:r>
      <w:hyperlink r:id="rId26" w:history="1">
        <w:r w:rsidRPr="00290DBE">
          <w:rPr>
            <w:rStyle w:val="Hyperlink"/>
          </w:rPr>
          <w:t>https://doi.org/10.1109/COGSIMA.2018.8423977</w:t>
        </w:r>
      </w:hyperlink>
      <w:r>
        <w:t xml:space="preserve"> </w:t>
      </w:r>
    </w:p>
    <w:p w14:paraId="1C687993" w14:textId="77777777" w:rsidR="00C21CAA" w:rsidRDefault="00C21CAA" w:rsidP="00D9096A">
      <w:pPr>
        <w:ind w:left="851" w:hanging="851"/>
        <w:jc w:val="both"/>
      </w:pPr>
      <w:r>
        <w:t xml:space="preserve">Bhattacharya, S., &amp; Narad, A. (2024). Psychological empowerment-a mechanism for well-being of teachers: Psychometric evaluation of a tool. Journal of Education and Health Promotion, 13(1). Scopus. </w:t>
      </w:r>
      <w:hyperlink r:id="rId27" w:history="1">
        <w:r w:rsidRPr="00290DBE">
          <w:rPr>
            <w:rStyle w:val="Hyperlink"/>
          </w:rPr>
          <w:t>https://doi.org/10.4103/jehp.jehp_1682_23</w:t>
        </w:r>
      </w:hyperlink>
      <w:r>
        <w:t xml:space="preserve"> </w:t>
      </w:r>
    </w:p>
    <w:p w14:paraId="6F0CB917" w14:textId="77777777" w:rsidR="00C21CAA" w:rsidRDefault="00C21CAA" w:rsidP="00D9096A">
      <w:pPr>
        <w:ind w:left="851" w:hanging="851"/>
        <w:jc w:val="both"/>
      </w:pPr>
      <w:r>
        <w:t xml:space="preserve">Bin Saeed, B., Afsar, B., Shahjehan, A., &amp; Imad Shah, S. (2019). Does transformational leadership foster innovative work behavior? The roles of psychological empowerment, intrinsic motivation, and creative process engagement. Economic Research-Ekonomska Istrazivanja, 32(1), 254–281. Scopus. </w:t>
      </w:r>
      <w:hyperlink r:id="rId28" w:history="1">
        <w:r w:rsidRPr="00290DBE">
          <w:rPr>
            <w:rStyle w:val="Hyperlink"/>
          </w:rPr>
          <w:t>https://doi.org/10.1080/1331677X.2018.1556108</w:t>
        </w:r>
      </w:hyperlink>
      <w:r>
        <w:t xml:space="preserve"> </w:t>
      </w:r>
    </w:p>
    <w:p w14:paraId="5625AC81" w14:textId="77777777" w:rsidR="00C21CAA" w:rsidRDefault="00C21CAA" w:rsidP="00D9096A">
      <w:pPr>
        <w:ind w:left="851" w:hanging="851"/>
        <w:jc w:val="both"/>
      </w:pPr>
      <w:r>
        <w:t xml:space="preserve">Brunetto, Y., Kominis, G., &amp; Ashton-Sayers, J. (2024). Authentic leadership, psychological capital, acceptance of change, and innovative work behaviour in non-profit organisations. Australian Journal of Public Administration, 83(1), 69–87. Scopus. </w:t>
      </w:r>
      <w:hyperlink r:id="rId29" w:history="1">
        <w:r w:rsidRPr="00290DBE">
          <w:rPr>
            <w:rStyle w:val="Hyperlink"/>
          </w:rPr>
          <w:t>https://doi.org/10.1111/1467-8500.12603</w:t>
        </w:r>
      </w:hyperlink>
      <w:r>
        <w:t xml:space="preserve"> </w:t>
      </w:r>
    </w:p>
    <w:p w14:paraId="7E57A228" w14:textId="77777777" w:rsidR="00C21CAA" w:rsidRDefault="00C21CAA" w:rsidP="00D9096A">
      <w:pPr>
        <w:ind w:left="851" w:hanging="851"/>
        <w:jc w:val="both"/>
      </w:pPr>
      <w:r>
        <w:t xml:space="preserve">Çetinkaya, B., &amp; Yeşilada, T. (2022). Inclusive leadership and employee innovative work behaviours: Testing a psychological empowerment and leader-member exchange moderated-mediation model. Journal of Psychology in Africa, 32(1), 15–20. Scopus. </w:t>
      </w:r>
      <w:hyperlink r:id="rId30" w:history="1">
        <w:r w:rsidRPr="00290DBE">
          <w:rPr>
            <w:rStyle w:val="Hyperlink"/>
          </w:rPr>
          <w:t>https://doi.org/10.1080/14330237.2021.2002035</w:t>
        </w:r>
      </w:hyperlink>
      <w:r>
        <w:t xml:space="preserve"> </w:t>
      </w:r>
    </w:p>
    <w:p w14:paraId="02F4DBCF" w14:textId="77777777" w:rsidR="00C21CAA" w:rsidRDefault="00C21CAA" w:rsidP="00D9096A">
      <w:pPr>
        <w:ind w:left="851" w:hanging="851"/>
        <w:jc w:val="both"/>
      </w:pPr>
      <w:r>
        <w:lastRenderedPageBreak/>
        <w:t xml:space="preserve">Chang, L. C., &amp; Liu, C. H. (2008). Employee empowerment, innovative behavior and job productivity of public health nurses: A cross-sectional questionnaire survey. International Journal of Nursing Studies, 45(10), 1442–1448. Scopus. </w:t>
      </w:r>
      <w:hyperlink r:id="rId31" w:history="1">
        <w:r w:rsidRPr="00290DBE">
          <w:rPr>
            <w:rStyle w:val="Hyperlink"/>
          </w:rPr>
          <w:t>https://doi.org/10.1016/j.ijnurstu.2007.12.006</w:t>
        </w:r>
      </w:hyperlink>
      <w:r>
        <w:t xml:space="preserve"> </w:t>
      </w:r>
    </w:p>
    <w:p w14:paraId="06A150AC" w14:textId="77777777" w:rsidR="00C21CAA" w:rsidRDefault="00C21CAA" w:rsidP="00D9096A">
      <w:pPr>
        <w:ind w:left="851" w:hanging="851"/>
        <w:jc w:val="both"/>
      </w:pPr>
      <w:r>
        <w:t xml:space="preserve">Cheng, P., Jiang, J., &amp; Tian, S. (2022). Influence of Transformational Leadership on Emotional Labor of Employees-Mediating Role of Psychological Empowerment. 131–137. Scopus. </w:t>
      </w:r>
      <w:hyperlink r:id="rId32" w:history="1">
        <w:r w:rsidRPr="00290DBE">
          <w:rPr>
            <w:rStyle w:val="Hyperlink"/>
          </w:rPr>
          <w:t>https://doi.org/10.1145/3546157.3546179</w:t>
        </w:r>
      </w:hyperlink>
      <w:r>
        <w:t xml:space="preserve"> </w:t>
      </w:r>
    </w:p>
    <w:p w14:paraId="75A07A00" w14:textId="77777777" w:rsidR="00C21CAA" w:rsidRDefault="00C21CAA" w:rsidP="00D9096A">
      <w:pPr>
        <w:ind w:left="851" w:hanging="851"/>
        <w:jc w:val="both"/>
      </w:pPr>
      <w:r>
        <w:t xml:space="preserve">Diatmika, I. P. G., &amp; Rahayu, S. (2025). Harnessing local creativity for technological advancement: Uncovering MSME innovations rooted in Sumbawa cultural wisdom. Edelweiss Applied Science and Technology, 9(4), 2561–2570. Scopus. </w:t>
      </w:r>
      <w:hyperlink r:id="rId33" w:history="1">
        <w:r w:rsidRPr="00290DBE">
          <w:rPr>
            <w:rStyle w:val="Hyperlink"/>
          </w:rPr>
          <w:t>https://doi.org/10.55214/25768484.v9i4.6606</w:t>
        </w:r>
      </w:hyperlink>
      <w:r>
        <w:t xml:space="preserve"> </w:t>
      </w:r>
    </w:p>
    <w:p w14:paraId="28754695" w14:textId="77777777" w:rsidR="00C21CAA" w:rsidRDefault="00C21CAA" w:rsidP="00D9096A">
      <w:pPr>
        <w:ind w:left="851" w:hanging="851"/>
        <w:jc w:val="both"/>
      </w:pPr>
      <w:r>
        <w:t xml:space="preserve">Dongxian, L., &amp; Batool, H. (2024). Influence of distributed leadership on employee innovative behaviour: The mediating role of psychological empowerment. Journal of Innovation and Entrepreneurship, 13(1). Scopus. </w:t>
      </w:r>
      <w:hyperlink r:id="rId34" w:history="1">
        <w:r w:rsidRPr="00290DBE">
          <w:rPr>
            <w:rStyle w:val="Hyperlink"/>
          </w:rPr>
          <w:t>https://doi.org/10.1186/s13731-024-00448-7</w:t>
        </w:r>
      </w:hyperlink>
      <w:r>
        <w:t xml:space="preserve"> </w:t>
      </w:r>
    </w:p>
    <w:p w14:paraId="36217EBF" w14:textId="77777777" w:rsidR="00C21CAA" w:rsidRDefault="00C21CAA" w:rsidP="00D9096A">
      <w:pPr>
        <w:ind w:left="851" w:hanging="851"/>
        <w:jc w:val="both"/>
      </w:pPr>
      <w:r>
        <w:t xml:space="preserve">Dust, S. B., Resick, C. J., &amp; Mawritz, M. B. (2014). Transformational leadership, psychological empowerment, and the moderating role of mechanistic-organic contexts. Journal of Organizational Behavior, 35(3), 413–433. Scopus. </w:t>
      </w:r>
      <w:hyperlink r:id="rId35" w:history="1">
        <w:r w:rsidRPr="00290DBE">
          <w:rPr>
            <w:rStyle w:val="Hyperlink"/>
          </w:rPr>
          <w:t>https://doi.org/10.1002/job.1904</w:t>
        </w:r>
      </w:hyperlink>
      <w:r>
        <w:t xml:space="preserve"> </w:t>
      </w:r>
    </w:p>
    <w:p w14:paraId="3E083D34" w14:textId="77777777" w:rsidR="00C21CAA" w:rsidRDefault="00C21CAA" w:rsidP="00D9096A">
      <w:pPr>
        <w:ind w:left="851" w:hanging="851"/>
        <w:jc w:val="both"/>
      </w:pPr>
      <w:r>
        <w:t xml:space="preserve">Effendi, S., Indrianti, Y., Sayekti, A., Fahruri, A., &amp; Istar, M. (2022). SMEs Data Pre-Processing: The First Step in Validating Instruments on Entrepreneurial Capacity Website. 528–532. Scopus. </w:t>
      </w:r>
      <w:hyperlink r:id="rId36" w:history="1">
        <w:r w:rsidRPr="00290DBE">
          <w:rPr>
            <w:rStyle w:val="Hyperlink"/>
          </w:rPr>
          <w:t>https://doi.org/10.1109/ICIMTech55957.2022.9915066</w:t>
        </w:r>
      </w:hyperlink>
      <w:r>
        <w:t xml:space="preserve"> </w:t>
      </w:r>
    </w:p>
    <w:p w14:paraId="5D20C93C" w14:textId="77777777" w:rsidR="00C21CAA" w:rsidRDefault="00C21CAA" w:rsidP="00D9096A">
      <w:pPr>
        <w:ind w:left="851" w:hanging="851"/>
        <w:jc w:val="both"/>
      </w:pPr>
      <w:r>
        <w:t xml:space="preserve">Elquthb, J. N., &amp; Mansur, A. (2025). Designing Planograms for Retail Shelves: A Visual Merchandising Approach Using Apriori Algorithm and K-Means Clustering of Customer Preferences. Journal of Applied Data Sciences, 6(1), 86–100. Scopus. </w:t>
      </w:r>
      <w:hyperlink r:id="rId37" w:history="1">
        <w:r w:rsidRPr="00290DBE">
          <w:rPr>
            <w:rStyle w:val="Hyperlink"/>
          </w:rPr>
          <w:t>https://doi.org/10.47738/jads.v6i1.375</w:t>
        </w:r>
      </w:hyperlink>
      <w:r>
        <w:t xml:space="preserve"> </w:t>
      </w:r>
    </w:p>
    <w:p w14:paraId="4DD4D85D" w14:textId="77777777" w:rsidR="00C21CAA" w:rsidRDefault="00C21CAA" w:rsidP="00D9096A">
      <w:pPr>
        <w:ind w:left="851" w:hanging="851"/>
        <w:jc w:val="both"/>
      </w:pPr>
      <w:r>
        <w:t xml:space="preserve">Games, D. (2020). Ethnicity, religiosity and SME innovation outcomes: Some insights from a Muslim ethnic group. World Review of Entrepreneurship, Management and Sustainable Development, 16(4), 430–444. Scopus. </w:t>
      </w:r>
      <w:hyperlink r:id="rId38" w:history="1">
        <w:r w:rsidRPr="00290DBE">
          <w:rPr>
            <w:rStyle w:val="Hyperlink"/>
          </w:rPr>
          <w:t>https://doi.org/10.1504/WREMSD.2020.109971</w:t>
        </w:r>
      </w:hyperlink>
      <w:r>
        <w:t xml:space="preserve"> </w:t>
      </w:r>
    </w:p>
    <w:p w14:paraId="797D5241" w14:textId="77777777" w:rsidR="00C21CAA" w:rsidRDefault="00C21CAA" w:rsidP="00D9096A">
      <w:pPr>
        <w:ind w:left="851" w:hanging="851"/>
        <w:jc w:val="both"/>
      </w:pPr>
      <w:r>
        <w:t xml:space="preserve">Gasaway, R. B. (2024). How smart health leaders make intuitive decisions. Healthcare Management Forum, 37(3), 168–172. Scopus. </w:t>
      </w:r>
      <w:hyperlink r:id="rId39" w:history="1">
        <w:r w:rsidRPr="00290DBE">
          <w:rPr>
            <w:rStyle w:val="Hyperlink"/>
          </w:rPr>
          <w:t>https://doi.org/10.1177/08404704231212781</w:t>
        </w:r>
      </w:hyperlink>
      <w:r>
        <w:t xml:space="preserve"> </w:t>
      </w:r>
    </w:p>
    <w:p w14:paraId="57C98C16" w14:textId="77777777" w:rsidR="00C21CAA" w:rsidRDefault="00C21CAA" w:rsidP="00D9096A">
      <w:pPr>
        <w:ind w:left="851" w:hanging="851"/>
        <w:jc w:val="both"/>
      </w:pPr>
      <w:r>
        <w:t xml:space="preserve">Giang, H. T. T., &amp; Dung, L. T. (2021). Transformational leadership and non-family employee intrapreneurial behaviour in family-owned firms: The mediating role of adaptive culture and psychological empowerment. Leadership and Organization Development Journal, 42(8), 1185–1205. Scopus. </w:t>
      </w:r>
      <w:hyperlink r:id="rId40" w:history="1">
        <w:r w:rsidRPr="00290DBE">
          <w:rPr>
            <w:rStyle w:val="Hyperlink"/>
          </w:rPr>
          <w:t>https://doi.org/10.1108/LODJ-03-2021-0116</w:t>
        </w:r>
      </w:hyperlink>
      <w:r>
        <w:t xml:space="preserve"> </w:t>
      </w:r>
    </w:p>
    <w:p w14:paraId="6A100739" w14:textId="77777777" w:rsidR="00C21CAA" w:rsidRDefault="00C21CAA" w:rsidP="00D9096A">
      <w:pPr>
        <w:ind w:left="851" w:hanging="851"/>
        <w:jc w:val="both"/>
      </w:pPr>
      <w:r>
        <w:t xml:space="preserve">Hair, J. F., Risher, J. J., Sarstedt, M., &amp; Ringle, C. M. (2019). When to use and how to report the results of PLS-SEM. European Business Review, 31(1), 2–24. </w:t>
      </w:r>
      <w:hyperlink r:id="rId41" w:history="1">
        <w:r w:rsidRPr="00290DBE">
          <w:rPr>
            <w:rStyle w:val="Hyperlink"/>
          </w:rPr>
          <w:t>https://doi.org/10.1108/EBR-11-2018-0203</w:t>
        </w:r>
      </w:hyperlink>
      <w:r>
        <w:t xml:space="preserve"> </w:t>
      </w:r>
    </w:p>
    <w:p w14:paraId="03F210BE" w14:textId="77777777" w:rsidR="00C21CAA" w:rsidRDefault="00C21CAA" w:rsidP="00D9096A">
      <w:pPr>
        <w:ind w:left="851" w:hanging="851"/>
        <w:jc w:val="both"/>
      </w:pPr>
      <w:r>
        <w:t xml:space="preserve">Hair, J. F., Tomas, G., Hult, M., &amp; Christian, M. (2017). A primer on partial least squares structural equation modeling (PLS-SEM). </w:t>
      </w:r>
      <w:hyperlink r:id="rId42" w:history="1">
        <w:r w:rsidRPr="00290DBE">
          <w:rPr>
            <w:rStyle w:val="Hyperlink"/>
          </w:rPr>
          <w:t>https://us.sagepub.com/en-us/nam/a-primer-on-partial-least-squares-structural-equation-modeling-pls-sem/book244376</w:t>
        </w:r>
      </w:hyperlink>
      <w:r>
        <w:t xml:space="preserve"> </w:t>
      </w:r>
    </w:p>
    <w:p w14:paraId="7879063D" w14:textId="77777777" w:rsidR="00C21CAA" w:rsidRDefault="00C21CAA" w:rsidP="00D9096A">
      <w:pPr>
        <w:ind w:left="851" w:hanging="851"/>
        <w:jc w:val="both"/>
      </w:pPr>
      <w:r>
        <w:t xml:space="preserve">Hikmah, K., Subyantoro, A., Puspitaningrum, D. A., &amp; Nasrulloh, R. S. (2024). Participative Leadership VS Servant Leadership on Innovative Work Behavior: Role of Psychological Empowerment as Mediator. Journal of Ecohumanism, 3(7), 3748–3760. Scopus. </w:t>
      </w:r>
      <w:hyperlink r:id="rId43" w:history="1">
        <w:r w:rsidRPr="00290DBE">
          <w:rPr>
            <w:rStyle w:val="Hyperlink"/>
          </w:rPr>
          <w:t>https://doi.org/10.62754/joe.v3i7.4497</w:t>
        </w:r>
      </w:hyperlink>
      <w:r>
        <w:t xml:space="preserve"> </w:t>
      </w:r>
    </w:p>
    <w:p w14:paraId="55F13B5C" w14:textId="77777777" w:rsidR="00C21CAA" w:rsidRDefault="00C21CAA" w:rsidP="00D9096A">
      <w:pPr>
        <w:ind w:left="851" w:hanging="851"/>
        <w:jc w:val="both"/>
      </w:pPr>
      <w:r>
        <w:t xml:space="preserve">Hoo, L. R., &amp; Kusumawati, Y. A. (2024). Enhancing MSME Competitiveness Through E-Commerce. 370–375. Scopus. </w:t>
      </w:r>
      <w:hyperlink r:id="rId44" w:history="1">
        <w:r w:rsidRPr="00290DBE">
          <w:rPr>
            <w:rStyle w:val="Hyperlink"/>
          </w:rPr>
          <w:t>https://doi.org/10.1109/ICIMCIS63449.2024.10957680</w:t>
        </w:r>
      </w:hyperlink>
      <w:r>
        <w:t xml:space="preserve"> </w:t>
      </w:r>
    </w:p>
    <w:p w14:paraId="227F132A" w14:textId="77777777" w:rsidR="00C21CAA" w:rsidRDefault="00C21CAA" w:rsidP="00D9096A">
      <w:pPr>
        <w:ind w:left="851" w:hanging="851"/>
        <w:jc w:val="both"/>
      </w:pPr>
      <w:r>
        <w:lastRenderedPageBreak/>
        <w:t xml:space="preserve">Ilham, M., Hakim, L., Limakrisna, N., &amp; Yusuf, M. (2025). Covid-19 And Human Capital: Maintaining The Existence of Msmes in Banten Province. Quality - Access to Success, 26(204), 389–397. Scopus. </w:t>
      </w:r>
      <w:hyperlink r:id="rId45" w:history="1">
        <w:r w:rsidRPr="00290DBE">
          <w:rPr>
            <w:rStyle w:val="Hyperlink"/>
          </w:rPr>
          <w:t>https://doi.org/10.47750/QAS/26.204.41</w:t>
        </w:r>
      </w:hyperlink>
      <w:r>
        <w:t xml:space="preserve"> </w:t>
      </w:r>
    </w:p>
    <w:p w14:paraId="000EE477" w14:textId="77777777" w:rsidR="00C21CAA" w:rsidRDefault="00C21CAA" w:rsidP="00D9096A">
      <w:pPr>
        <w:ind w:left="851" w:hanging="851"/>
        <w:jc w:val="both"/>
      </w:pPr>
      <w:r>
        <w:t xml:space="preserve">Imran, M., Li, J., Bano, S., &amp; Rashid, W. (2025). Impact of Democratic Leadership on Employee Innovative Behavior with Mediating Role of Psychological Safety and Creative Potential. Sustainability (Switzerland), 17(5). Scopus. </w:t>
      </w:r>
      <w:hyperlink r:id="rId46" w:history="1">
        <w:r w:rsidRPr="00290DBE">
          <w:rPr>
            <w:rStyle w:val="Hyperlink"/>
          </w:rPr>
          <w:t>https://doi.org/10.3390/su17051879</w:t>
        </w:r>
      </w:hyperlink>
      <w:r>
        <w:t xml:space="preserve"> </w:t>
      </w:r>
    </w:p>
    <w:p w14:paraId="565F512B" w14:textId="77777777" w:rsidR="00C21CAA" w:rsidRDefault="00C21CAA" w:rsidP="00D9096A">
      <w:pPr>
        <w:ind w:left="851" w:hanging="851"/>
        <w:jc w:val="both"/>
      </w:pPr>
      <w:r>
        <w:t xml:space="preserve">Islam, T., Zulfiqar, I., Aftab, H., Alkharabsheh, O. H. M., &amp; Shahid, M. K. (2024). Testing the waters! The role of ethical leadership towards innovative work behavior through psychosocial well-being and perceived organizational support. Journal of Organizational Change Management, 37(5), 1051–1072. Scopus. </w:t>
      </w:r>
      <w:hyperlink r:id="rId47" w:history="1">
        <w:r w:rsidRPr="00290DBE">
          <w:rPr>
            <w:rStyle w:val="Hyperlink"/>
          </w:rPr>
          <w:t>https://doi.org/10.1108/JOCM-09-2023-0382</w:t>
        </w:r>
      </w:hyperlink>
      <w:r>
        <w:t xml:space="preserve"> </w:t>
      </w:r>
    </w:p>
    <w:p w14:paraId="21B9B158" w14:textId="77777777" w:rsidR="00C21CAA" w:rsidRDefault="00C21CAA" w:rsidP="00D9096A">
      <w:pPr>
        <w:ind w:left="851" w:hanging="851"/>
        <w:jc w:val="both"/>
      </w:pPr>
      <w:r>
        <w:t xml:space="preserve">Javed, B., Abdullah, I., Zaffar, M. A., Haque, A. U., &amp; Rubab, U. (2019). Inclusive leadership and innovative work behavior: The role of psychological empowerment. Journal of Management and Organization, 25(4), 554–571. Scopus. </w:t>
      </w:r>
      <w:hyperlink r:id="rId48" w:history="1">
        <w:r w:rsidRPr="00290DBE">
          <w:rPr>
            <w:rStyle w:val="Hyperlink"/>
          </w:rPr>
          <w:t>https://doi.org/10.1017/jmo.2018.50</w:t>
        </w:r>
      </w:hyperlink>
      <w:r>
        <w:t xml:space="preserve"> </w:t>
      </w:r>
    </w:p>
    <w:p w14:paraId="6BD55276" w14:textId="77777777" w:rsidR="00C21CAA" w:rsidRDefault="00C21CAA" w:rsidP="00D9096A">
      <w:pPr>
        <w:ind w:left="851" w:hanging="851"/>
        <w:jc w:val="both"/>
      </w:pPr>
      <w:r>
        <w:t xml:space="preserve">Jufri, A., &amp; Hadiwibowo, I. (2025). The Impact of Strategic Agility on MSMEs Innovation Driven by Digital Entrepreneurial Leadership. 622. Scopus. </w:t>
      </w:r>
      <w:hyperlink r:id="rId49" w:history="1">
        <w:r w:rsidRPr="00290DBE">
          <w:rPr>
            <w:rStyle w:val="Hyperlink"/>
          </w:rPr>
          <w:t>https://doi.org/10.1051/e3sconf/202562204001</w:t>
        </w:r>
      </w:hyperlink>
      <w:r>
        <w:t xml:space="preserve"> </w:t>
      </w:r>
    </w:p>
    <w:p w14:paraId="71C95C5F" w14:textId="77777777" w:rsidR="00C21CAA" w:rsidRDefault="00C21CAA" w:rsidP="00D9096A">
      <w:pPr>
        <w:ind w:left="851" w:hanging="851"/>
        <w:jc w:val="both"/>
      </w:pPr>
      <w:r>
        <w:t xml:space="preserve">Kalimashe, L., du Plessis, E., &amp; Sehularo, L. A. (2025). Development and Evaluation of Relational Leadership Guidelines for Primary Healthcare: A Mixed Methods Study. Journal of Nursing Management, 2025(1). Scopus. </w:t>
      </w:r>
      <w:hyperlink r:id="rId50" w:history="1">
        <w:r w:rsidRPr="00290DBE">
          <w:rPr>
            <w:rStyle w:val="Hyperlink"/>
          </w:rPr>
          <w:t>https://doi.org/10.1155/jonm/2653041</w:t>
        </w:r>
      </w:hyperlink>
      <w:r>
        <w:t xml:space="preserve"> </w:t>
      </w:r>
    </w:p>
    <w:p w14:paraId="54E98ABE" w14:textId="77777777" w:rsidR="00C21CAA" w:rsidRDefault="00C21CAA" w:rsidP="00D9096A">
      <w:pPr>
        <w:ind w:left="851" w:hanging="851"/>
        <w:jc w:val="both"/>
      </w:pPr>
      <w:r>
        <w:t xml:space="preserve">Kariri, H. D. H., Somaili, H. E., Mansour, M. E.-S. I., Omair, A. H., &amp; Radwan, O. A. (2023). Rasch and Confirmatory Factor Analyses of the Arabic Version of the Psychological Empowerment Scale (PsyES): A Multicultural Approach for Measurable Sustainability. Sustainability (Switzerland), 15(7). Scopus. </w:t>
      </w:r>
      <w:hyperlink r:id="rId51" w:history="1">
        <w:r w:rsidRPr="00290DBE">
          <w:rPr>
            <w:rStyle w:val="Hyperlink"/>
          </w:rPr>
          <w:t>https://doi.org/10.3390/su15075928</w:t>
        </w:r>
      </w:hyperlink>
      <w:r>
        <w:t xml:space="preserve"> </w:t>
      </w:r>
    </w:p>
    <w:p w14:paraId="1E7C79F6" w14:textId="77777777" w:rsidR="00C21CAA" w:rsidRDefault="00C21CAA" w:rsidP="00D9096A">
      <w:pPr>
        <w:ind w:left="851" w:hanging="851"/>
        <w:jc w:val="both"/>
      </w:pPr>
      <w:r>
        <w:t xml:space="preserve">Kebe, I. A., Liu, Y., &amp; Kahl, C. (2025). Culturally Attuned Leadership and Employee Behavior During Organizational Change Initiatives in a Developing Economy. Behavioral Sciences, 15(3). Scopus. </w:t>
      </w:r>
      <w:hyperlink r:id="rId52" w:history="1">
        <w:r w:rsidRPr="00290DBE">
          <w:rPr>
            <w:rStyle w:val="Hyperlink"/>
          </w:rPr>
          <w:t>https://doi.org/10.3390/bs15030349</w:t>
        </w:r>
      </w:hyperlink>
      <w:r>
        <w:t xml:space="preserve"> </w:t>
      </w:r>
    </w:p>
    <w:p w14:paraId="285F8B2A" w14:textId="77777777" w:rsidR="00C21CAA" w:rsidRDefault="00C21CAA" w:rsidP="00D9096A">
      <w:pPr>
        <w:ind w:left="851" w:hanging="851"/>
        <w:jc w:val="both"/>
      </w:pPr>
      <w:r>
        <w:t xml:space="preserve">Kim, M.-J. (2024). A Study on the Influence of Supervisor’s Coaching Leadership on the Innovative Behavior of Organizational Members: Focusing on the Mediating Effects of Psychological Empowerment and Job Engagement. In Studies in Computational Intelligence (Vol. 1160, pp. 1–11). Scopus. </w:t>
      </w:r>
      <w:hyperlink r:id="rId53" w:history="1">
        <w:r w:rsidRPr="00290DBE">
          <w:rPr>
            <w:rStyle w:val="Hyperlink"/>
          </w:rPr>
          <w:t>https://doi.org/10.1007/978-3-031-61163-6_1</w:t>
        </w:r>
      </w:hyperlink>
      <w:r>
        <w:t xml:space="preserve"> </w:t>
      </w:r>
    </w:p>
    <w:p w14:paraId="746A97F5" w14:textId="77777777" w:rsidR="00C21CAA" w:rsidRDefault="00C21CAA" w:rsidP="00D9096A">
      <w:pPr>
        <w:ind w:left="851" w:hanging="851"/>
        <w:jc w:val="both"/>
      </w:pPr>
      <w:r>
        <w:t xml:space="preserve">Koo, D.-W., Kim, M.-S., &amp; Kang, Y.-W. (2018). Humor in leadership: Perspective of the hotel industry. In Advances in Hospitality and Leisure (Vol. 14, pp. 149–159). Scopus. </w:t>
      </w:r>
      <w:hyperlink r:id="rId54" w:history="1">
        <w:r w:rsidRPr="00290DBE">
          <w:rPr>
            <w:rStyle w:val="Hyperlink"/>
          </w:rPr>
          <w:t>https://doi.org/10.1108/S1745-354220180000014009</w:t>
        </w:r>
      </w:hyperlink>
      <w:r>
        <w:t xml:space="preserve"> </w:t>
      </w:r>
    </w:p>
    <w:p w14:paraId="385479B5" w14:textId="77777777" w:rsidR="00C21CAA" w:rsidRDefault="00C21CAA" w:rsidP="00D9096A">
      <w:pPr>
        <w:ind w:left="851" w:hanging="851"/>
        <w:jc w:val="both"/>
      </w:pPr>
      <w:r>
        <w:t xml:space="preserve">Kurniawan, B., &amp; Ma’Ruf, M. F. (2018). Interaction among actors in retail market competition in malang city. 953(1). Scopus. </w:t>
      </w:r>
      <w:hyperlink r:id="rId55" w:history="1">
        <w:r w:rsidRPr="00290DBE">
          <w:rPr>
            <w:rStyle w:val="Hyperlink"/>
          </w:rPr>
          <w:t>https://doi.org/10.1088/1742-6596/953/1/012159</w:t>
        </w:r>
      </w:hyperlink>
      <w:r>
        <w:t xml:space="preserve"> </w:t>
      </w:r>
    </w:p>
    <w:p w14:paraId="1BCDD738" w14:textId="77777777" w:rsidR="00C21CAA" w:rsidRDefault="00C21CAA" w:rsidP="00D9096A">
      <w:pPr>
        <w:ind w:left="851" w:hanging="851"/>
        <w:jc w:val="both"/>
      </w:pPr>
      <w:r>
        <w:t xml:space="preserve">Kusmaningtyas, A., &amp; Halik, A. (2024). Enhancing innovative work behavior through laissez-faire leadership, entrepreneurial self-efficacy, and work engagement: The moderating role of organizational citizenship behavior in 4-star hotels. Edelweiss Applied Science and Technology, 8(6), 8156–8167. Scopus. </w:t>
      </w:r>
      <w:hyperlink r:id="rId56" w:history="1">
        <w:r w:rsidRPr="00290DBE">
          <w:rPr>
            <w:rStyle w:val="Hyperlink"/>
          </w:rPr>
          <w:t>https://doi.org/10.55214/25768484.v8i6.3759</w:t>
        </w:r>
      </w:hyperlink>
      <w:r>
        <w:t xml:space="preserve"> </w:t>
      </w:r>
    </w:p>
    <w:p w14:paraId="42C6373E" w14:textId="77777777" w:rsidR="00C21CAA" w:rsidRDefault="00C21CAA" w:rsidP="00D9096A">
      <w:pPr>
        <w:ind w:left="851" w:hanging="851"/>
        <w:jc w:val="both"/>
      </w:pPr>
      <w:r>
        <w:t>Kustanto, H., Eliyana, A., Mumpuni, J. H. S., &amp; Gunawan, D. R. (2020). The moderation role of psychological empowerment on innovative work behaviour. Systematic Reviews in Pharmacy, 11(8), 254–264. Scopus. https://doi.org/10.31838/srp.2020.8.38</w:t>
      </w:r>
    </w:p>
    <w:p w14:paraId="49420C55" w14:textId="77777777" w:rsidR="00C21CAA" w:rsidRDefault="00C21CAA" w:rsidP="00D9096A">
      <w:pPr>
        <w:ind w:left="851" w:hanging="851"/>
        <w:jc w:val="both"/>
      </w:pPr>
      <w:r>
        <w:t xml:space="preserve">Lee, C.-S., Lee, W., &amp; Kim, J. (2007). Effects of Transformational Leadership and Self-leadership on Innovative Behaviors: Mediating Roles of Empowerment. International Area Studies Review, 10(2), 163–176. Scopus. </w:t>
      </w:r>
      <w:hyperlink r:id="rId57" w:history="1">
        <w:r w:rsidRPr="00290DBE">
          <w:rPr>
            <w:rStyle w:val="Hyperlink"/>
          </w:rPr>
          <w:t>https://doi.org/10.1177/223386590701000210</w:t>
        </w:r>
      </w:hyperlink>
      <w:r>
        <w:t xml:space="preserve"> </w:t>
      </w:r>
    </w:p>
    <w:p w14:paraId="05DFE54F" w14:textId="77777777" w:rsidR="00C21CAA" w:rsidRDefault="00C21CAA" w:rsidP="00D9096A">
      <w:pPr>
        <w:ind w:left="851" w:hanging="851"/>
        <w:jc w:val="both"/>
      </w:pPr>
      <w:r>
        <w:lastRenderedPageBreak/>
        <w:t xml:space="preserve">Lei, L. (2025). Adaptive Leadership. In Elgar Encyclopedia of Leadership (pp. 1–3). Scopus. </w:t>
      </w:r>
      <w:hyperlink r:id="rId58" w:history="1">
        <w:r w:rsidRPr="00290DBE">
          <w:rPr>
            <w:rStyle w:val="Hyperlink"/>
          </w:rPr>
          <w:t>https://doi.org/10.4337/9781035307074.00006</w:t>
        </w:r>
      </w:hyperlink>
      <w:r>
        <w:t xml:space="preserve"> </w:t>
      </w:r>
    </w:p>
    <w:p w14:paraId="796CC5A9" w14:textId="77777777" w:rsidR="00C21CAA" w:rsidRDefault="00C21CAA" w:rsidP="00D9096A">
      <w:pPr>
        <w:ind w:left="851" w:hanging="851"/>
        <w:jc w:val="both"/>
      </w:pPr>
      <w:r>
        <w:t xml:space="preserve">Lei, Z., Zhou, F., &amp; Lei, Y. (2011). Leadership style and employee innovative behavior: The mediating effects of psychological empowerment. 4226–4229. Scopus. </w:t>
      </w:r>
      <w:hyperlink r:id="rId59" w:history="1">
        <w:r w:rsidRPr="00290DBE">
          <w:rPr>
            <w:rStyle w:val="Hyperlink"/>
          </w:rPr>
          <w:t>https://doi.org/10.1109/ICEBEG.2011.5882384</w:t>
        </w:r>
      </w:hyperlink>
      <w:r>
        <w:t xml:space="preserve"> </w:t>
      </w:r>
    </w:p>
    <w:p w14:paraId="5CE7ECEA" w14:textId="77777777" w:rsidR="00C21CAA" w:rsidRDefault="00C21CAA" w:rsidP="00D9096A">
      <w:pPr>
        <w:ind w:left="851" w:hanging="851"/>
        <w:jc w:val="both"/>
      </w:pPr>
      <w:r>
        <w:t xml:space="preserve">Lim, W., Mahmood, T., Zaidi, S. A., &amp; Areeb, Y. M. (2024). Leadership Dynamics in the Knowledge-Based Landscape: Unravelling the Mediating Forces of Cognition on Innovative Behaviour. Journal of Information and Knowledge Management, 23(4). Scopus. </w:t>
      </w:r>
      <w:hyperlink r:id="rId60" w:history="1">
        <w:r w:rsidRPr="00290DBE">
          <w:rPr>
            <w:rStyle w:val="Hyperlink"/>
          </w:rPr>
          <w:t>https://doi.org/10.1142/S0219649224500606</w:t>
        </w:r>
      </w:hyperlink>
      <w:r>
        <w:t xml:space="preserve"> </w:t>
      </w:r>
    </w:p>
    <w:p w14:paraId="4878A50C" w14:textId="77777777" w:rsidR="00C21CAA" w:rsidRPr="006C1B57" w:rsidRDefault="00C21CAA" w:rsidP="001F3A17">
      <w:pPr>
        <w:ind w:left="851" w:hanging="851"/>
        <w:jc w:val="both"/>
      </w:pPr>
      <w:r>
        <w:t>Lim, W., Mahmood, T., Zaidi, S. A., &amp; Areeb, Y. M. (2024). Leadership Dynamics in the Knowledge-Based Landscape: Unravelling the mediating forces of cognition on innovative behaviour. Journal of Information &amp; Knowledge Management, 23(04). https://doi.org/10.1142/s0219649224500606</w:t>
      </w:r>
    </w:p>
    <w:p w14:paraId="5760A79B" w14:textId="77777777" w:rsidR="00C21CAA" w:rsidRDefault="00C21CAA" w:rsidP="00D9096A">
      <w:pPr>
        <w:ind w:left="851" w:hanging="851"/>
        <w:jc w:val="both"/>
      </w:pPr>
      <w:r>
        <w:t xml:space="preserve">Liu, Y., Wang, W., &amp; Chen, D. (2019). Linking Ambidextrous Organizational Culture to Innovative Behavior: A Moderated Mediation Model of Psychological Empowerment and Transformational Leadership. Frontiers in Psychology, 10. Scopus. </w:t>
      </w:r>
      <w:hyperlink r:id="rId61" w:history="1">
        <w:r w:rsidRPr="00290DBE">
          <w:rPr>
            <w:rStyle w:val="Hyperlink"/>
          </w:rPr>
          <w:t>https://doi.org/10.3389/fpsyg.2019.02192</w:t>
        </w:r>
      </w:hyperlink>
      <w:r>
        <w:t xml:space="preserve"> </w:t>
      </w:r>
    </w:p>
    <w:p w14:paraId="320AD4E1" w14:textId="77777777" w:rsidR="00C21CAA" w:rsidRDefault="00C21CAA" w:rsidP="00D9096A">
      <w:pPr>
        <w:ind w:left="851" w:hanging="851"/>
        <w:jc w:val="both"/>
      </w:pPr>
      <w:r>
        <w:t xml:space="preserve">Malibari, M. A., &amp; Bajaba, S. (2022). Entrepreneurial leadership and employees’ innovative behavior: A sequential mediation analysis of innovation climate and employees’ intellectual agility. Journal of Innovation and Knowledge, 7(4). Scopus. </w:t>
      </w:r>
      <w:hyperlink r:id="rId62" w:history="1">
        <w:r w:rsidRPr="00290DBE">
          <w:rPr>
            <w:rStyle w:val="Hyperlink"/>
          </w:rPr>
          <w:t>https://doi.org/10.1016/j.jik.2022.100255</w:t>
        </w:r>
      </w:hyperlink>
      <w:r>
        <w:t xml:space="preserve"> </w:t>
      </w:r>
    </w:p>
    <w:p w14:paraId="649580F8" w14:textId="77777777" w:rsidR="00C21CAA" w:rsidRDefault="00C21CAA" w:rsidP="00D9096A">
      <w:pPr>
        <w:ind w:left="851" w:hanging="851"/>
        <w:jc w:val="both"/>
      </w:pPr>
      <w:r>
        <w:t xml:space="preserve">Malibari, M., Bajaba, S., Bajaba, A., &amp; Basahal, A. (2025). Cultivating innovative behaviors: How entrepreneurial leaders foster employees’ antifragility within autonomous work settings. Journal of Innovation and Knowledge, 10(3). Scopus. </w:t>
      </w:r>
      <w:hyperlink r:id="rId63" w:history="1">
        <w:r w:rsidRPr="00290DBE">
          <w:rPr>
            <w:rStyle w:val="Hyperlink"/>
          </w:rPr>
          <w:t>https://doi.org/10.1016/j.jik.2025.100701</w:t>
        </w:r>
      </w:hyperlink>
      <w:r>
        <w:t xml:space="preserve"> </w:t>
      </w:r>
    </w:p>
    <w:p w14:paraId="5681A400" w14:textId="77777777" w:rsidR="00C21CAA" w:rsidRDefault="00C21CAA" w:rsidP="00D9096A">
      <w:pPr>
        <w:ind w:left="851" w:hanging="851"/>
        <w:jc w:val="both"/>
      </w:pPr>
      <w:r>
        <w:t xml:space="preserve">Marampa, A. M., Pongtuluran, A. K., &amp; Pariyanti, E. (2025). From sharing to success: Enhancing innovative work behavior through psychological empowerment and kinship employee engagement. Industrial and Commercial Training, 57(1), 99–117. Scopus. </w:t>
      </w:r>
      <w:hyperlink r:id="rId64" w:history="1">
        <w:r w:rsidRPr="00290DBE">
          <w:rPr>
            <w:rStyle w:val="Hyperlink"/>
          </w:rPr>
          <w:t>https://doi.org/10.1108/ICT-07-2024-0064</w:t>
        </w:r>
      </w:hyperlink>
      <w:r>
        <w:t xml:space="preserve">  </w:t>
      </w:r>
    </w:p>
    <w:p w14:paraId="467D8225" w14:textId="77777777" w:rsidR="00C21CAA" w:rsidRDefault="00C21CAA" w:rsidP="001F3A17">
      <w:pPr>
        <w:ind w:left="851" w:hanging="851"/>
        <w:jc w:val="both"/>
      </w:pPr>
      <w:r>
        <w:t>Mehmood, M. S., Jian, Z., &amp; Gilal, F. G. (2020). Entrepreneurial leadership and employee innovative behavior: Intervening role of creative self-efficacy. Human Systems Management, 39(3), 367–379. https://doi.org/10.3233/hsm-190783</w:t>
      </w:r>
    </w:p>
    <w:p w14:paraId="57F69FBB" w14:textId="77777777" w:rsidR="00C21CAA" w:rsidRDefault="00C21CAA" w:rsidP="00D9096A">
      <w:pPr>
        <w:ind w:left="851" w:hanging="851"/>
        <w:jc w:val="both"/>
      </w:pPr>
      <w:r>
        <w:t xml:space="preserve">Mehmood, M. S., Jian, Z., &amp; Gilal, F. G. (2020). Entrepreneurial leadership and employee innovative behavior: Intervening role of creative self-efficacy. Human Systems Management, 39(3), 329–343. Scopus. </w:t>
      </w:r>
      <w:hyperlink r:id="rId65" w:history="1">
        <w:r w:rsidRPr="00290DBE">
          <w:rPr>
            <w:rStyle w:val="Hyperlink"/>
          </w:rPr>
          <w:t>https://doi.org/10.3233/HSM-190783</w:t>
        </w:r>
      </w:hyperlink>
      <w:r>
        <w:t xml:space="preserve"> </w:t>
      </w:r>
    </w:p>
    <w:p w14:paraId="2B5A9E0E" w14:textId="77777777" w:rsidR="00C21CAA" w:rsidRDefault="00C21CAA" w:rsidP="00D9096A">
      <w:pPr>
        <w:ind w:left="851" w:hanging="851"/>
        <w:jc w:val="both"/>
      </w:pPr>
      <w:r>
        <w:t xml:space="preserve">Mehmood, M. S., Jian, Z., Waheed, A., Younas, A., &amp; Khan, S. Z. (2019). Impact of entrepreneurial leadership on Employee’s innovative behavior: Mediating role of psychological empowerment. 223–229. Scopus. </w:t>
      </w:r>
      <w:hyperlink r:id="rId66" w:history="1">
        <w:r w:rsidRPr="00290DBE">
          <w:rPr>
            <w:rStyle w:val="Hyperlink"/>
          </w:rPr>
          <w:t>https://doi.org/10.1145/3312662.3312701</w:t>
        </w:r>
      </w:hyperlink>
      <w:r>
        <w:t xml:space="preserve"> </w:t>
      </w:r>
    </w:p>
    <w:p w14:paraId="4E6E3FC0" w14:textId="77777777" w:rsidR="00C21CAA" w:rsidRDefault="00C21CAA" w:rsidP="00D9096A">
      <w:pPr>
        <w:ind w:left="851" w:hanging="851"/>
        <w:jc w:val="both"/>
      </w:pPr>
      <w:r>
        <w:t xml:space="preserve">Mehmood, M. S., Zhang, J., Akram, U., &amp; Tariq, A. (2021). Entrepreneurial Leadership: The Key to Develop Creativity in Organizations. Leadership &amp; Organization Development Journal, 42(3), 434–452. </w:t>
      </w:r>
      <w:hyperlink r:id="rId67" w:history="1">
        <w:r w:rsidRPr="00290DBE">
          <w:rPr>
            <w:rStyle w:val="Hyperlink"/>
          </w:rPr>
          <w:t>https://doi.org/10.1108/lodj-01-2020-0008</w:t>
        </w:r>
      </w:hyperlink>
      <w:r>
        <w:t xml:space="preserve"> </w:t>
      </w:r>
    </w:p>
    <w:p w14:paraId="76907938" w14:textId="77777777" w:rsidR="00C21CAA" w:rsidRDefault="00C21CAA" w:rsidP="001F3A17">
      <w:pPr>
        <w:ind w:left="851" w:hanging="851"/>
        <w:jc w:val="both"/>
      </w:pPr>
      <w:r>
        <w:t>Miao, Q., Newman, A., Schwarz, G., &amp; Cooper, B. (2017). How leadership and public service motivation Enhance Innovative Behavior. Public Administration Review, 78(1), 71–81. https://doi.org/10.1111/puar.12839</w:t>
      </w:r>
    </w:p>
    <w:p w14:paraId="1F875CB2" w14:textId="77777777" w:rsidR="00C21CAA" w:rsidRDefault="00C21CAA" w:rsidP="00D9096A">
      <w:pPr>
        <w:ind w:left="851" w:hanging="851"/>
        <w:jc w:val="both"/>
      </w:pPr>
      <w:r>
        <w:t xml:space="preserve">Miao, Q., Newman, A., Schwarz, G., &amp; Cooper, B. (2018). How Leadership and Public Service Motivation Enhance Innovative Behavior. Public Administration Review, 78(1), 71–81. Scopus. </w:t>
      </w:r>
      <w:hyperlink r:id="rId68" w:history="1">
        <w:r w:rsidRPr="00290DBE">
          <w:rPr>
            <w:rStyle w:val="Hyperlink"/>
          </w:rPr>
          <w:t>https://doi.org/10.1111/puar.12839</w:t>
        </w:r>
      </w:hyperlink>
      <w:r>
        <w:t xml:space="preserve"> </w:t>
      </w:r>
    </w:p>
    <w:p w14:paraId="26FBDC2D" w14:textId="77777777" w:rsidR="00C21CAA" w:rsidRDefault="00C21CAA" w:rsidP="00D9096A">
      <w:pPr>
        <w:ind w:left="851" w:hanging="851"/>
        <w:jc w:val="both"/>
      </w:pPr>
      <w:r>
        <w:t xml:space="preserve">Miller, L., &amp; Miller, A. F. (2020). Innovative work behavior through high-quality leadership. International Journal of Innovation Science, 12(2), 219–236. Scopus. </w:t>
      </w:r>
      <w:hyperlink r:id="rId69" w:history="1">
        <w:r w:rsidRPr="00290DBE">
          <w:rPr>
            <w:rStyle w:val="Hyperlink"/>
          </w:rPr>
          <w:t>https://doi.org/10.1108/IJIS-04-2019-0042</w:t>
        </w:r>
      </w:hyperlink>
      <w:r>
        <w:t xml:space="preserve"> </w:t>
      </w:r>
    </w:p>
    <w:p w14:paraId="273A7713" w14:textId="77777777" w:rsidR="00C21CAA" w:rsidRDefault="00C21CAA" w:rsidP="00D9096A">
      <w:pPr>
        <w:ind w:left="851" w:hanging="851"/>
        <w:jc w:val="both"/>
      </w:pPr>
      <w:r>
        <w:t xml:space="preserve">Newman, A., Tse, H. H. M., Schwarz, G., &amp; Nielsen, I. (2018). The effects of employees’ creative self-efficacy on innovative behavior: The role of entrepreneurial </w:t>
      </w:r>
      <w:r>
        <w:lastRenderedPageBreak/>
        <w:t xml:space="preserve">leadership. Journal of Business Research, 89, 1–9. Scopus. </w:t>
      </w:r>
      <w:hyperlink r:id="rId70" w:history="1">
        <w:r w:rsidRPr="00290DBE">
          <w:rPr>
            <w:rStyle w:val="Hyperlink"/>
          </w:rPr>
          <w:t>https://doi.org/10.1016/j.jbusres.2018.04.001</w:t>
        </w:r>
      </w:hyperlink>
      <w:r>
        <w:t xml:space="preserve"> </w:t>
      </w:r>
    </w:p>
    <w:p w14:paraId="08F6EDBF" w14:textId="77777777" w:rsidR="00C21CAA" w:rsidRDefault="00C21CAA" w:rsidP="001F3A17">
      <w:pPr>
        <w:ind w:left="851" w:hanging="851"/>
        <w:jc w:val="both"/>
      </w:pPr>
      <w:r>
        <w:t>Newman, A., Tse, H. H., Schwarz, G., &amp; Nielsen, I. (2018). The effects of employees’ creative self-efficacy on innovative behavior: The role of entrepreneurial leadership. Journal of Business Research, 89, 1–9. https://doi.org/10.1016/j.jbusres.2018.04.001</w:t>
      </w:r>
    </w:p>
    <w:p w14:paraId="040B63B3" w14:textId="77777777" w:rsidR="00C21CAA" w:rsidRDefault="00C21CAA" w:rsidP="00D9096A">
      <w:pPr>
        <w:ind w:left="851" w:hanging="851"/>
        <w:jc w:val="both"/>
      </w:pPr>
      <w:r>
        <w:t xml:space="preserve">Nguyen, N. T., Hooi, L. W., &amp; Avvari, M. V. (2023). Leadership styles and organisational innovation in Vietnam: Does employee creativity matter? International Journal of Productivity and Performance Management, 72(2), 331–360. Scopus. </w:t>
      </w:r>
      <w:hyperlink r:id="rId71" w:history="1">
        <w:r w:rsidRPr="00290DBE">
          <w:rPr>
            <w:rStyle w:val="Hyperlink"/>
          </w:rPr>
          <w:t>https://doi.org/10.1108/IJPPM-10-2020-0563</w:t>
        </w:r>
      </w:hyperlink>
      <w:r>
        <w:t xml:space="preserve"> </w:t>
      </w:r>
    </w:p>
    <w:p w14:paraId="43FC7D0E" w14:textId="77777777" w:rsidR="00C21CAA" w:rsidRDefault="00C21CAA" w:rsidP="00D9096A">
      <w:pPr>
        <w:ind w:left="851" w:hanging="851"/>
        <w:jc w:val="both"/>
      </w:pPr>
      <w:r>
        <w:t xml:space="preserve">Norena-Chavez, D., &amp; Thalassinos, E. (2023). Fueling innovation performance through entrepreneurial leadership: Assessing the neglected mediating role of intellectual capital. Journal of Infrastructure, Policy and Development, 7(1). Scopus. </w:t>
      </w:r>
      <w:hyperlink r:id="rId72" w:history="1">
        <w:r w:rsidRPr="00290DBE">
          <w:rPr>
            <w:rStyle w:val="Hyperlink"/>
          </w:rPr>
          <w:t>https://doi.org/10.24294/jipd.v7i1.2020</w:t>
        </w:r>
      </w:hyperlink>
      <w:r>
        <w:t xml:space="preserve"> </w:t>
      </w:r>
    </w:p>
    <w:p w14:paraId="48565050" w14:textId="77777777" w:rsidR="00C21CAA" w:rsidRDefault="00C21CAA" w:rsidP="00D9096A">
      <w:pPr>
        <w:ind w:left="851" w:hanging="851"/>
        <w:jc w:val="both"/>
      </w:pPr>
      <w:r>
        <w:t xml:space="preserve">Nugroho, R. (2024). Uncovering the dynamics of individual learning and employee adaptability in influencing innovation behavior. Edelweiss Applied Science and Technology, 8(6), 3193–3209. Scopus. </w:t>
      </w:r>
      <w:hyperlink r:id="rId73" w:history="1">
        <w:r w:rsidRPr="00290DBE">
          <w:rPr>
            <w:rStyle w:val="Hyperlink"/>
          </w:rPr>
          <w:t>https://doi.org/10.55214/25768484.v8i6.2680</w:t>
        </w:r>
      </w:hyperlink>
      <w:r>
        <w:t xml:space="preserve"> </w:t>
      </w:r>
    </w:p>
    <w:p w14:paraId="3253D8D1" w14:textId="77777777" w:rsidR="00C21CAA" w:rsidRDefault="00C21CAA" w:rsidP="00D9096A">
      <w:pPr>
        <w:ind w:left="851" w:hanging="851"/>
        <w:jc w:val="both"/>
      </w:pPr>
      <w:r>
        <w:t xml:space="preserve">Nyamboga, T. O. (2025). Harnessing ambidextrous leadership model for innovation and operational efficiency in technology industry. Cogent Business and Management, 12(1). Scopus. </w:t>
      </w:r>
      <w:hyperlink r:id="rId74" w:history="1">
        <w:r w:rsidRPr="00290DBE">
          <w:rPr>
            <w:rStyle w:val="Hyperlink"/>
          </w:rPr>
          <w:t>https://doi.org/10.1080/23311975.2025.2500677</w:t>
        </w:r>
      </w:hyperlink>
      <w:r>
        <w:t xml:space="preserve"> </w:t>
      </w:r>
    </w:p>
    <w:p w14:paraId="55B195E7" w14:textId="77777777" w:rsidR="00C21CAA" w:rsidRDefault="00C21CAA" w:rsidP="00D9096A">
      <w:pPr>
        <w:ind w:left="851" w:hanging="851"/>
        <w:jc w:val="both"/>
      </w:pPr>
      <w:r w:rsidRPr="00D9096A">
        <w:t>Obuobisa-Darko, T. (2025). Entrepreneurial Leadership: The Best Promoter of Employee Engagement and Innovative Behaviour for Organisational Success. In S. Siyal (Ed.), Transformational Concepts and Tools for Entrepreneurial Leadership (pp. 93-122). IGI Global Scientific Publishing. https://doi.org/10.4018/979-8-3693-0078-7.ch005</w:t>
      </w:r>
    </w:p>
    <w:p w14:paraId="18D09FCE" w14:textId="77777777" w:rsidR="00C21CAA" w:rsidRDefault="00C21CAA" w:rsidP="00D9096A">
      <w:pPr>
        <w:ind w:left="851" w:hanging="851"/>
        <w:jc w:val="both"/>
      </w:pPr>
      <w:r>
        <w:t xml:space="preserve">Oluwafemi, T. B. (2025). Antecedents of Ambidextrous Leadership in Entrepreneurship: The Role of Emotional Intelligence and Entrepreneurial Leadership Styles. Strategic Change, Query date: 2025-10-12 01:01:52. </w:t>
      </w:r>
      <w:hyperlink r:id="rId75" w:history="1">
        <w:r w:rsidRPr="00290DBE">
          <w:rPr>
            <w:rStyle w:val="Hyperlink"/>
          </w:rPr>
          <w:t>https://doi.org/10.1002/jsc.70001</w:t>
        </w:r>
      </w:hyperlink>
      <w:r>
        <w:t xml:space="preserve"> </w:t>
      </w:r>
    </w:p>
    <w:p w14:paraId="168F4FFF" w14:textId="77777777" w:rsidR="00C21CAA" w:rsidRDefault="00C21CAA" w:rsidP="00D9096A">
      <w:pPr>
        <w:ind w:left="851" w:hanging="851"/>
        <w:jc w:val="both"/>
      </w:pPr>
      <w:r>
        <w:t xml:space="preserve">Pariyanti, E., Adawiyah, W. R., &amp; Wulandari, S. Z. (2025). When and why is kinship important? Reducing turnover intention with kinship employee engagement. Industrial and Commercial Training, 57(1), 30–52. Scopus. </w:t>
      </w:r>
      <w:hyperlink r:id="rId76" w:history="1">
        <w:r w:rsidRPr="00290DBE">
          <w:rPr>
            <w:rStyle w:val="Hyperlink"/>
          </w:rPr>
          <w:t>https://doi.org/10.1108/ICT-03-2024-0024</w:t>
        </w:r>
      </w:hyperlink>
      <w:r>
        <w:t xml:space="preserve"> </w:t>
      </w:r>
    </w:p>
    <w:p w14:paraId="12FC98EB" w14:textId="77777777" w:rsidR="00C21CAA" w:rsidRDefault="00C21CAA" w:rsidP="00D9096A">
      <w:pPr>
        <w:ind w:left="851" w:hanging="851"/>
        <w:jc w:val="both"/>
      </w:pPr>
      <w:r>
        <w:t xml:space="preserve">Park, J., &amp; Kim, W. (2022). The Impact of Perceived Organizational Support on Innovative Work Behavior Through Psychological Empowerment: Focusing on the Moderated Mediating Role of Organizational Procedural Justice. Journal of Technical Education and Training, 14(1), 178–191. Scopus. </w:t>
      </w:r>
      <w:hyperlink r:id="rId77" w:history="1">
        <w:r w:rsidRPr="00290DBE">
          <w:rPr>
            <w:rStyle w:val="Hyperlink"/>
          </w:rPr>
          <w:t>https://doi.org/10.30880/jtet.2022.14.01.015</w:t>
        </w:r>
      </w:hyperlink>
      <w:r>
        <w:t xml:space="preserve"> </w:t>
      </w:r>
    </w:p>
    <w:p w14:paraId="7F833A72" w14:textId="77777777" w:rsidR="00C21CAA" w:rsidRDefault="00C21CAA" w:rsidP="00D9096A">
      <w:pPr>
        <w:ind w:left="851" w:hanging="851"/>
        <w:jc w:val="both"/>
      </w:pPr>
      <w:r>
        <w:t xml:space="preserve">Peuser, M. (2023). Agile Organizational Concepts for Retail Companies in Times of Digitalization: Design and Management of Agile Organizational Structures for More Competitiveness in the Face of Changing Customer Needs. In Multisensory in Stationary Retail: Principles and Practice of Customer-Centered Store Design (pp. 399–421). Scopus. </w:t>
      </w:r>
      <w:hyperlink r:id="rId78" w:history="1">
        <w:r w:rsidRPr="00290DBE">
          <w:rPr>
            <w:rStyle w:val="Hyperlink"/>
          </w:rPr>
          <w:t>https://doi.org/10.1007/978-3-658-38227-8_27</w:t>
        </w:r>
      </w:hyperlink>
      <w:r>
        <w:t xml:space="preserve"> </w:t>
      </w:r>
    </w:p>
    <w:p w14:paraId="686627C4" w14:textId="77777777" w:rsidR="00C21CAA" w:rsidRDefault="00C21CAA" w:rsidP="00D9096A">
      <w:pPr>
        <w:ind w:left="851" w:hanging="851"/>
        <w:jc w:val="both"/>
      </w:pPr>
      <w:r>
        <w:t xml:space="preserve">Pihie, Z. A. L., Bagheri, A., &amp; Asimiran, S. (2014). Entrepreneurial leadership behaviour among school principals: Perspectives from Malaysian secondary school teachers. Pertanika Journal of Social Sciences and Humanities, 22(3), 825–843. Scopus. </w:t>
      </w:r>
      <w:hyperlink r:id="rId79" w:history="1">
        <w:r w:rsidRPr="00290DBE">
          <w:rPr>
            <w:rStyle w:val="Hyperlink"/>
          </w:rPr>
          <w:t>http://psasir.upm.edu.my/id/eprint/41739</w:t>
        </w:r>
      </w:hyperlink>
      <w:r>
        <w:t xml:space="preserve"> </w:t>
      </w:r>
    </w:p>
    <w:p w14:paraId="321069E3" w14:textId="77777777" w:rsidR="00C21CAA" w:rsidRDefault="00C21CAA" w:rsidP="00D9096A">
      <w:pPr>
        <w:ind w:left="851" w:hanging="851"/>
        <w:jc w:val="both"/>
      </w:pPr>
      <w:r>
        <w:t>Puspita, L. E., Christiananta, B., &amp; Ellitan, L. (2020). The effect of strategic orientation, supply chain capability, innovation capability on competitive advantage and performance of furniture retails. International Journal of Scientific and Technology Research, 9(3), 4521–4529. Scopus.</w:t>
      </w:r>
    </w:p>
    <w:p w14:paraId="3ABB0195" w14:textId="77777777" w:rsidR="00C21CAA" w:rsidRDefault="00C21CAA" w:rsidP="00D9096A">
      <w:pPr>
        <w:ind w:left="851" w:hanging="851"/>
        <w:jc w:val="both"/>
      </w:pPr>
      <w:r>
        <w:t xml:space="preserve">Rizkita, M. A., Winarno, A., Suwono, H., &amp; Malek, N. A. N. N. (2025). Integrating cultural adaptation in digital marketing strategies: Enhancing competitiveness and </w:t>
      </w:r>
      <w:r>
        <w:lastRenderedPageBreak/>
        <w:t xml:space="preserve">sustainability in MSMEs of Java, Indonesia. Journal of Open Innovation: Technology, Market, and Complexity, 11(3). Scopus. </w:t>
      </w:r>
      <w:hyperlink r:id="rId80" w:history="1">
        <w:r w:rsidRPr="00290DBE">
          <w:rPr>
            <w:rStyle w:val="Hyperlink"/>
          </w:rPr>
          <w:t>https://doi.org/10.1016/j.joitmc.2025.100609</w:t>
        </w:r>
      </w:hyperlink>
      <w:r>
        <w:t xml:space="preserve"> </w:t>
      </w:r>
    </w:p>
    <w:p w14:paraId="33387BFC" w14:textId="77777777" w:rsidR="00C21CAA" w:rsidRDefault="00C21CAA" w:rsidP="00D9096A">
      <w:pPr>
        <w:ind w:left="851" w:hanging="851"/>
        <w:jc w:val="both"/>
      </w:pPr>
      <w:r>
        <w:t xml:space="preserve">Sağnak, M., Kuruöz, M., Polat, B., &amp; Soylu, A. (2015). Transformational leadership and innovative climate: An examination of the mediating effect of psychological empowerment. Eurasian Journal of Educational Research, 60, 149–162. Scopus. </w:t>
      </w:r>
      <w:hyperlink r:id="rId81" w:history="1">
        <w:r w:rsidRPr="00290DBE">
          <w:rPr>
            <w:rStyle w:val="Hyperlink"/>
          </w:rPr>
          <w:t>https://doi.org/10.14689/ejer.2015.60.9</w:t>
        </w:r>
      </w:hyperlink>
      <w:r>
        <w:t xml:space="preserve"> </w:t>
      </w:r>
    </w:p>
    <w:p w14:paraId="18F937A2" w14:textId="77777777" w:rsidR="00C21CAA" w:rsidRDefault="00C21CAA" w:rsidP="00D9096A">
      <w:pPr>
        <w:ind w:left="851" w:hanging="851"/>
        <w:jc w:val="both"/>
      </w:pPr>
      <w:r>
        <w:t xml:space="preserve">Saptono, A., &amp; Najah, S. (2018). Development of an assessment instrument of affective domain for entrepreneurship in senior high school. Journal of Entrepreneurship Education, 21(4). Scopus. </w:t>
      </w:r>
      <w:hyperlink r:id="rId82" w:history="1">
        <w:r w:rsidRPr="00290DBE">
          <w:rPr>
            <w:rStyle w:val="Hyperlink"/>
          </w:rPr>
          <w:t>https://www.abacademies.org/articles/jee-vol21-issue4-2018.pdf</w:t>
        </w:r>
      </w:hyperlink>
      <w:r>
        <w:t xml:space="preserve"> </w:t>
      </w:r>
    </w:p>
    <w:p w14:paraId="2BD80776" w14:textId="77777777" w:rsidR="00C21CAA" w:rsidRDefault="00C21CAA" w:rsidP="00D9096A">
      <w:pPr>
        <w:ind w:left="851" w:hanging="851"/>
        <w:jc w:val="both"/>
      </w:pPr>
      <w:r>
        <w:t xml:space="preserve">Saputera, D., Ichsani, S., Wijaya, J. H., &amp; Hendiarto, R. S. (2021). Development of Small and Medium Micro Business: A Geographical Outlook on West Java Province, Indonesia. Review of International Geographical Education Online, 11(1), 712–719. Scopus. </w:t>
      </w:r>
      <w:hyperlink r:id="rId83" w:history="1">
        <w:r w:rsidRPr="00290DBE">
          <w:rPr>
            <w:rStyle w:val="Hyperlink"/>
          </w:rPr>
          <w:t>https://doi.org/10.33403/rigeo.800610</w:t>
        </w:r>
      </w:hyperlink>
      <w:r>
        <w:t xml:space="preserve"> </w:t>
      </w:r>
    </w:p>
    <w:p w14:paraId="19A309E5" w14:textId="77777777" w:rsidR="00C21CAA" w:rsidRDefault="00C21CAA" w:rsidP="00D9096A">
      <w:pPr>
        <w:ind w:left="851" w:hanging="851"/>
        <w:jc w:val="both"/>
      </w:pPr>
      <w:r>
        <w:t xml:space="preserve">Setiawan, R., Tirsa, G., Suryani, T., &amp; Eliyana, A. (2020). Boosting innovative work behavior on local branded fashion: The evidence from indonesia. Utopia y Praxis Latinoamericana, 25(Extra2), 66–74. Scopus. </w:t>
      </w:r>
      <w:hyperlink r:id="rId84" w:history="1">
        <w:r w:rsidRPr="00290DBE">
          <w:rPr>
            <w:rStyle w:val="Hyperlink"/>
          </w:rPr>
          <w:t>https://doi.org/10.5281/zenodo.3808739</w:t>
        </w:r>
      </w:hyperlink>
      <w:r>
        <w:t xml:space="preserve"> </w:t>
      </w:r>
    </w:p>
    <w:p w14:paraId="1EBF495F" w14:textId="77777777" w:rsidR="00C21CAA" w:rsidRDefault="00C21CAA" w:rsidP="00D9096A">
      <w:pPr>
        <w:ind w:left="851" w:hanging="851"/>
        <w:jc w:val="both"/>
      </w:pPr>
      <w:r>
        <w:t xml:space="preserve">Shams, K., Steffensmeier, T. R., &amp; Wefald, A. J. (2025). Bridging the Assessment Gaps: The Engaged Validation of Adaptive Leadership Behavior and Self-Awareness Scales. Journal of Leadership and Organizational Studies, 32(1), 49–70. Scopus. </w:t>
      </w:r>
      <w:hyperlink r:id="rId85" w:history="1">
        <w:r w:rsidRPr="00290DBE">
          <w:rPr>
            <w:rStyle w:val="Hyperlink"/>
          </w:rPr>
          <w:t>https://doi.org/10.1177/15480518241296665</w:t>
        </w:r>
      </w:hyperlink>
      <w:r>
        <w:t xml:space="preserve"> </w:t>
      </w:r>
    </w:p>
    <w:p w14:paraId="2B6E7750" w14:textId="77777777" w:rsidR="00C21CAA" w:rsidRDefault="00C21CAA" w:rsidP="00D9096A">
      <w:pPr>
        <w:ind w:left="851" w:hanging="851"/>
        <w:jc w:val="both"/>
      </w:pPr>
      <w:r>
        <w:t xml:space="preserve">Sheeba, M. J., &amp; Christopher, B. P. (2024). The role of psychological empowerment dimensions in promoting innovative work behaviours via creative self-efficacy in the Indian automobile industry: An empirical investigation using PLS-SEM and IPMA. International Journal of Innovation and Learning, 36(2), 179–212. Scopus. </w:t>
      </w:r>
      <w:hyperlink r:id="rId86" w:history="1">
        <w:r w:rsidRPr="00290DBE">
          <w:rPr>
            <w:rStyle w:val="Hyperlink"/>
          </w:rPr>
          <w:t>https://doi.org/10.1504/IJIL.2024.140261</w:t>
        </w:r>
      </w:hyperlink>
      <w:r>
        <w:t xml:space="preserve"> </w:t>
      </w:r>
    </w:p>
    <w:p w14:paraId="47E3FB93" w14:textId="77777777" w:rsidR="00C21CAA" w:rsidRDefault="00C21CAA" w:rsidP="00D9096A">
      <w:pPr>
        <w:ind w:left="851" w:hanging="851"/>
        <w:jc w:val="both"/>
      </w:pPr>
      <w:r>
        <w:t xml:space="preserve">Singh, M., &amp; Sarkar, A. (2012). The relationship between psychological empowerment and innovative behavior: A dimensional analysis with job involvement as mediator. Journal of Personnel Psychology, 11(3), 127–137. Scopus. </w:t>
      </w:r>
      <w:hyperlink r:id="rId87" w:history="1">
        <w:r w:rsidRPr="00290DBE">
          <w:rPr>
            <w:rStyle w:val="Hyperlink"/>
          </w:rPr>
          <w:t>https://doi.org/10.1027/1866-5888/a000065</w:t>
        </w:r>
      </w:hyperlink>
      <w:r>
        <w:t xml:space="preserve"> </w:t>
      </w:r>
    </w:p>
    <w:p w14:paraId="10370322" w14:textId="77777777" w:rsidR="00C21CAA" w:rsidRDefault="00C21CAA" w:rsidP="00D9096A">
      <w:pPr>
        <w:ind w:left="851" w:hanging="851"/>
        <w:jc w:val="both"/>
      </w:pPr>
      <w:r>
        <w:t xml:space="preserve">Sjachriatin, E., Riyadi, S., &amp; Mujanah, S. (2023). The effects of knowledge-oriented leadership style, digital transformation, and human resource development on sustainable competitive advantage in East Java MSMEs. Uncertain Supply Chain Management, 11(4), 1685–1694. Scopus. </w:t>
      </w:r>
      <w:hyperlink r:id="rId88" w:history="1">
        <w:r w:rsidRPr="00290DBE">
          <w:rPr>
            <w:rStyle w:val="Hyperlink"/>
          </w:rPr>
          <w:t>https://doi.org/10.5267/j.uscm.2023.6.021</w:t>
        </w:r>
      </w:hyperlink>
      <w:r>
        <w:t xml:space="preserve"> </w:t>
      </w:r>
    </w:p>
    <w:p w14:paraId="297FE2D4" w14:textId="77777777" w:rsidR="00C21CAA" w:rsidRDefault="00C21CAA" w:rsidP="00D9096A">
      <w:pPr>
        <w:ind w:left="851" w:hanging="851"/>
        <w:jc w:val="both"/>
      </w:pPr>
      <w:r>
        <w:t xml:space="preserve">Sjofyan, V. R., &amp; Prijadi, R. (2018). Roles of owner-managers in achieving SMEs’ dual goals. Pertanika Journal of Social Sciences and Humanities, 26(August), 227–240. Scopus. </w:t>
      </w:r>
      <w:hyperlink r:id="rId89" w:history="1">
        <w:r w:rsidRPr="00290DBE">
          <w:rPr>
            <w:rStyle w:val="Hyperlink"/>
          </w:rPr>
          <w:t>http://www.pertanika.upm.edu.my/JSSH%20Vol%2026%20(S)%20Aug.%202018/04%20JSSH(S)-0020-2017.pdf</w:t>
        </w:r>
      </w:hyperlink>
      <w:r>
        <w:t xml:space="preserve"> </w:t>
      </w:r>
    </w:p>
    <w:p w14:paraId="2A2DB0B0" w14:textId="77777777" w:rsidR="00C21CAA" w:rsidRDefault="00C21CAA" w:rsidP="00D9096A">
      <w:pPr>
        <w:ind w:left="851" w:hanging="851"/>
        <w:jc w:val="both"/>
      </w:pPr>
      <w:r>
        <w:t xml:space="preserve">Supriyanto, A. S., Ekowati, V. M., Rokhman, W., Ahamed, F., Munir, M., &amp; Miranti, T. (2023). Empowerment Leadership As A Predictor Of The Organizational Innovation In Higher Education. International Journal of Professional Business Review, 8(2). Scopus. </w:t>
      </w:r>
      <w:hyperlink r:id="rId90" w:history="1">
        <w:r w:rsidRPr="00290DBE">
          <w:rPr>
            <w:rStyle w:val="Hyperlink"/>
          </w:rPr>
          <w:t>https://doi.org/10.26668/businessreview/2023.v8i2.1538</w:t>
        </w:r>
      </w:hyperlink>
      <w:r>
        <w:t xml:space="preserve"> </w:t>
      </w:r>
    </w:p>
    <w:p w14:paraId="35E02954" w14:textId="77777777" w:rsidR="00C21CAA" w:rsidRDefault="00C21CAA" w:rsidP="00D9096A">
      <w:pPr>
        <w:ind w:left="851" w:hanging="851"/>
        <w:jc w:val="both"/>
      </w:pPr>
      <w:r>
        <w:t xml:space="preserve">Surya, I. B. K., Riana, I. G., Sukawati, T. G. R., &amp; Astawa, I. P. (2024). Psychological Empowerment, Psychological Capital, and Innovative Work Behavior: A Path to Organizational Success. 807–815. Scopus. </w:t>
      </w:r>
      <w:hyperlink r:id="rId91" w:history="1">
        <w:r w:rsidRPr="00290DBE">
          <w:rPr>
            <w:rStyle w:val="Hyperlink"/>
          </w:rPr>
          <w:t>https://doi.org/10.1007/978-981-97-0996-0_49</w:t>
        </w:r>
      </w:hyperlink>
      <w:r>
        <w:t xml:space="preserve"> </w:t>
      </w:r>
    </w:p>
    <w:p w14:paraId="739E49BD" w14:textId="77777777" w:rsidR="00C21CAA" w:rsidRDefault="00C21CAA" w:rsidP="00D9096A">
      <w:pPr>
        <w:ind w:left="851" w:hanging="851"/>
        <w:jc w:val="both"/>
      </w:pPr>
      <w:r>
        <w:t xml:space="preserve">Suryani, E., Hendrawan, R. A., Rahmawati, U. E., Cahyandini, G. A., Mahardhika, M. A. S., &amp; Riski, R. (2020). Model scenario to increase market share and profitability of </w:t>
      </w:r>
      <w:r>
        <w:lastRenderedPageBreak/>
        <w:t xml:space="preserve">MSMEs through business process digitalization. 7–12. Scopus. </w:t>
      </w:r>
      <w:hyperlink r:id="rId92" w:history="1">
        <w:r w:rsidRPr="00290DBE">
          <w:rPr>
            <w:rStyle w:val="Hyperlink"/>
          </w:rPr>
          <w:t>https://doi.org/10.1109/ITIS50118.2020.9321047</w:t>
        </w:r>
      </w:hyperlink>
      <w:r>
        <w:t xml:space="preserve"> </w:t>
      </w:r>
    </w:p>
    <w:p w14:paraId="1A7FC9C7" w14:textId="77777777" w:rsidR="00C21CAA" w:rsidRDefault="00C21CAA" w:rsidP="00D9096A">
      <w:pPr>
        <w:ind w:left="851" w:hanging="851"/>
        <w:jc w:val="both"/>
      </w:pPr>
      <w:r>
        <w:t xml:space="preserve">Suyono, E., Farooque, O. A., &amp; Riswan, R. (2016). Toward a model of traditional retailers and sellers empowerment in improving competitiveness against modern markets in banyumas region, Indonesia. DLSU Business and Economics Review, 25(2), 147–165. Scopus. </w:t>
      </w:r>
      <w:hyperlink r:id="rId93" w:history="1">
        <w:r w:rsidRPr="00290DBE">
          <w:rPr>
            <w:rStyle w:val="Hyperlink"/>
          </w:rPr>
          <w:t>https://doi.org/10.59588/2243-786X</w:t>
        </w:r>
      </w:hyperlink>
      <w:r>
        <w:t xml:space="preserve"> </w:t>
      </w:r>
    </w:p>
    <w:p w14:paraId="336CA359" w14:textId="77777777" w:rsidR="00C21CAA" w:rsidRDefault="00C21CAA" w:rsidP="00D9096A">
      <w:pPr>
        <w:ind w:left="851" w:hanging="851"/>
        <w:jc w:val="both"/>
      </w:pPr>
      <w:r>
        <w:t xml:space="preserve">Syahputra, R. D., Latumahina, R. E., &amp; Shrestha, A. K. (2025). Legal Analysis of Shopee’s Monopoly Practices concerning Business Competition in Indonesia. Jurnal Hukum Bisnis Bonum Commune, 8(1), 95–107. Scopus. </w:t>
      </w:r>
      <w:hyperlink r:id="rId94" w:history="1">
        <w:r w:rsidRPr="00290DBE">
          <w:rPr>
            <w:rStyle w:val="Hyperlink"/>
          </w:rPr>
          <w:t>https://doi.org/10.30996/jhbbc.v8i1.12172</w:t>
        </w:r>
      </w:hyperlink>
      <w:r>
        <w:t xml:space="preserve"> </w:t>
      </w:r>
    </w:p>
    <w:p w14:paraId="69C34ED1" w14:textId="77777777" w:rsidR="00C21CAA" w:rsidRDefault="00C21CAA" w:rsidP="00D9096A">
      <w:pPr>
        <w:ind w:left="851" w:hanging="851"/>
        <w:jc w:val="both"/>
      </w:pPr>
      <w:r>
        <w:t xml:space="preserve">Tian, G., &amp; Zhang, Z. (2020). Linking empowering leadership to employee innovation: The mediating role of work engagement. Social Behavior and Personality, 48(10). Scopus. </w:t>
      </w:r>
      <w:hyperlink r:id="rId95" w:history="1">
        <w:r w:rsidRPr="00290DBE">
          <w:rPr>
            <w:rStyle w:val="Hyperlink"/>
          </w:rPr>
          <w:t>https://doi.org/10.2224/SBP.9320</w:t>
        </w:r>
      </w:hyperlink>
      <w:r>
        <w:t xml:space="preserve"> </w:t>
      </w:r>
    </w:p>
    <w:p w14:paraId="04B39EB1" w14:textId="77777777" w:rsidR="00C21CAA" w:rsidRDefault="00C21CAA" w:rsidP="00D9096A">
      <w:pPr>
        <w:ind w:left="851" w:hanging="851"/>
        <w:jc w:val="both"/>
      </w:pPr>
      <w:r>
        <w:t xml:space="preserve">Valenti, G. D., &amp; Faraci, P. (2025). Acculturation and adjustment among international college students: The moderating role of perceived second language proficiency. Journal of American College Health, 73(8), 3060–3068. Scopus. </w:t>
      </w:r>
      <w:hyperlink r:id="rId96" w:history="1">
        <w:r w:rsidRPr="00290DBE">
          <w:rPr>
            <w:rStyle w:val="Hyperlink"/>
          </w:rPr>
          <w:t>https://doi.org/10.1080/07448481.2024.2361310</w:t>
        </w:r>
      </w:hyperlink>
      <w:r>
        <w:t xml:space="preserve"> </w:t>
      </w:r>
    </w:p>
    <w:p w14:paraId="79DB9BF4" w14:textId="77777777" w:rsidR="00C21CAA" w:rsidRDefault="00C21CAA" w:rsidP="00D9096A">
      <w:pPr>
        <w:ind w:left="851" w:hanging="851"/>
        <w:jc w:val="both"/>
      </w:pPr>
      <w:r>
        <w:t xml:space="preserve">Valenti, G. D., Magnano, P., &amp; Faraci, P. (2022). Evaluating the Dimensionality of the Sociocultural Adaptation Scale in a Sample of International Students Sojourning in Los Angeles: Which Difference between Eastern and Western Culture? European Journal of Investigation in Health, Psychology and Education, 12(5), 465–477. Scopus. </w:t>
      </w:r>
      <w:hyperlink r:id="rId97" w:history="1">
        <w:r w:rsidRPr="00290DBE">
          <w:rPr>
            <w:rStyle w:val="Hyperlink"/>
          </w:rPr>
          <w:t>https://doi.org/10.3390/ejihpe12050035</w:t>
        </w:r>
      </w:hyperlink>
      <w:r>
        <w:t xml:space="preserve"> </w:t>
      </w:r>
    </w:p>
    <w:p w14:paraId="78FACD8F" w14:textId="77777777" w:rsidR="00C21CAA" w:rsidRDefault="00C21CAA" w:rsidP="00D9096A">
      <w:pPr>
        <w:ind w:left="851" w:hanging="851"/>
        <w:jc w:val="both"/>
      </w:pPr>
      <w:r>
        <w:t>Vignochi, L., Lezana, Á. G. R., &amp; de Andrade Paines, P. (2019). Entrepreneurial leadership cognitive model. Ciencia Da Informacao, 48(2), 41–52. Scopus.</w:t>
      </w:r>
    </w:p>
    <w:p w14:paraId="48ACD2C5" w14:textId="77777777" w:rsidR="00C21CAA" w:rsidRDefault="00C21CAA" w:rsidP="00D9096A">
      <w:pPr>
        <w:ind w:left="851" w:hanging="851"/>
        <w:jc w:val="both"/>
      </w:pPr>
      <w:r>
        <w:t xml:space="preserve">Wagistina, S., Syafitri, D. R., Lestari, J. S., Amanatinismi, K. H., Setiawan, D., &amp; Ramadhani, S. (2022). Service Area Network Analysis for Location Planning of Microbusiness and Local Franchise in Urban Area: A Case Study in Malang City, East Java Provence, Indonesia. Economies, 10(5). Scopus. </w:t>
      </w:r>
      <w:hyperlink r:id="rId98" w:history="1">
        <w:r w:rsidRPr="00290DBE">
          <w:rPr>
            <w:rStyle w:val="Hyperlink"/>
          </w:rPr>
          <w:t>https://doi.org/10.3390/economies10050103</w:t>
        </w:r>
      </w:hyperlink>
      <w:r>
        <w:t xml:space="preserve"> </w:t>
      </w:r>
    </w:p>
    <w:p w14:paraId="291EB818" w14:textId="77777777" w:rsidR="00C21CAA" w:rsidRDefault="00C21CAA" w:rsidP="00D9096A">
      <w:pPr>
        <w:ind w:left="851" w:hanging="851"/>
        <w:jc w:val="both"/>
      </w:pPr>
      <w:r>
        <w:t xml:space="preserve">Wen, Q., Wu, Y., &amp; Long, J. (2021). Influence of ethical leadership on employees’ innovative behavior: The role of organization-based self-esteem and flexible human resource management. Sustainability (Switzerland), 13(3), 1–15. Scopus. </w:t>
      </w:r>
      <w:hyperlink r:id="rId99" w:history="1">
        <w:r w:rsidRPr="00290DBE">
          <w:rPr>
            <w:rStyle w:val="Hyperlink"/>
          </w:rPr>
          <w:t>https://doi.org/10.3390/su13031359</w:t>
        </w:r>
      </w:hyperlink>
      <w:r>
        <w:t xml:space="preserve"> </w:t>
      </w:r>
    </w:p>
    <w:p w14:paraId="1A89331C" w14:textId="77777777" w:rsidR="00C21CAA" w:rsidRDefault="00C21CAA" w:rsidP="00D9096A">
      <w:pPr>
        <w:ind w:left="851" w:hanging="851"/>
        <w:jc w:val="both"/>
      </w:pPr>
      <w:r>
        <w:t xml:space="preserve">Wilson, J., Ward, C., &amp; Fischer, R. (2013). Beyond Culture Learning Theory: What Can Personality Tell Us About Cultural Competence? Journal of Cross-Cultural Psychology, 44(6), 900–927. Scopus. </w:t>
      </w:r>
      <w:hyperlink r:id="rId100" w:history="1">
        <w:r w:rsidRPr="00290DBE">
          <w:rPr>
            <w:rStyle w:val="Hyperlink"/>
          </w:rPr>
          <w:t>https://doi.org/10.1177/0022022113492889</w:t>
        </w:r>
      </w:hyperlink>
      <w:r>
        <w:t xml:space="preserve"> </w:t>
      </w:r>
    </w:p>
    <w:p w14:paraId="1C7A6A1A" w14:textId="77777777" w:rsidR="00C21CAA" w:rsidRDefault="00C21CAA" w:rsidP="00D9096A">
      <w:pPr>
        <w:ind w:left="851" w:hanging="851"/>
        <w:jc w:val="both"/>
      </w:pPr>
      <w:r>
        <w:t xml:space="preserve">Wilson, J., Ward, C., Fetvadjiev, V. H., &amp; Bethel, A. (2017). Measuring Cultural Competencies: The Development and Validation of a Revised Measure of Sociocultural Adaptation. Journal of Cross-Cultural Psychology, 48(10), 1475–1506. Scopus. </w:t>
      </w:r>
      <w:hyperlink r:id="rId101" w:history="1">
        <w:r w:rsidRPr="00290DBE">
          <w:rPr>
            <w:rStyle w:val="Hyperlink"/>
          </w:rPr>
          <w:t>https://doi.org/10.1177/0022022117732721</w:t>
        </w:r>
      </w:hyperlink>
      <w:r>
        <w:t xml:space="preserve"> </w:t>
      </w:r>
    </w:p>
    <w:p w14:paraId="1F453260" w14:textId="77777777" w:rsidR="00C21CAA" w:rsidRDefault="00C21CAA" w:rsidP="00D9096A">
      <w:pPr>
        <w:ind w:left="851" w:hanging="851"/>
        <w:jc w:val="both"/>
      </w:pPr>
      <w:r>
        <w:t xml:space="preserve">Yadav, R., Prakash, C., &amp; Dalal, A. (2023). Empowering Leadership and Innovative Work Behavior: Mediating Effect of Psychological Empowerment. Pakistan Journal of  Commerce and  Social Sciences, 17(1), 1–20. Scopus. </w:t>
      </w:r>
      <w:hyperlink r:id="rId102" w:history="1">
        <w:r w:rsidRPr="00290DBE">
          <w:rPr>
            <w:rStyle w:val="Hyperlink"/>
          </w:rPr>
          <w:t>https://doi.org/10.64534/Commer.2023.084</w:t>
        </w:r>
      </w:hyperlink>
      <w:r>
        <w:t xml:space="preserve"> </w:t>
      </w:r>
    </w:p>
    <w:p w14:paraId="3CAA58EE" w14:textId="77777777" w:rsidR="00C21CAA" w:rsidRDefault="00C21CAA" w:rsidP="00D9096A">
      <w:pPr>
        <w:ind w:left="851" w:hanging="851"/>
        <w:jc w:val="both"/>
      </w:pPr>
      <w:r>
        <w:t xml:space="preserve">Zia, M. Q., Huning, T. M., Ramish, M. S., Naveed, M., &amp; Ahmed, S. (2024). The impact of psychological empowerment on innovative work behavior: A moderated mediation model of informal learning and proactive behavior. Review of Managerial Science, 18(12), 3695–3716. Scopus. </w:t>
      </w:r>
      <w:hyperlink r:id="rId103" w:history="1">
        <w:r w:rsidRPr="00290DBE">
          <w:rPr>
            <w:rStyle w:val="Hyperlink"/>
          </w:rPr>
          <w:t>https://doi.org/10.1007/s11846-023-00717-x</w:t>
        </w:r>
      </w:hyperlink>
    </w:p>
    <w:p w14:paraId="67C8B61B" w14:textId="77777777" w:rsidR="00790ADA" w:rsidRPr="00FB3A86" w:rsidRDefault="00790ADA" w:rsidP="00441B6F">
      <w:pPr>
        <w:pStyle w:val="ReferHead"/>
        <w:spacing w:after="0"/>
        <w:jc w:val="both"/>
        <w:rPr>
          <w:rFonts w:ascii="Arial" w:hAnsi="Arial" w:cs="Arial"/>
        </w:rPr>
      </w:pPr>
    </w:p>
    <w:p w14:paraId="51F1F655" w14:textId="4FAE1F21" w:rsidR="004D4277" w:rsidRPr="00FB3A86" w:rsidRDefault="004D4277" w:rsidP="00441B6F">
      <w:pPr>
        <w:pStyle w:val="Appendix"/>
        <w:spacing w:after="0"/>
        <w:jc w:val="both"/>
        <w:rPr>
          <w:rFonts w:ascii="Arial" w:hAnsi="Arial" w:cs="Arial"/>
          <w:b w:val="0"/>
        </w:rPr>
        <w:sectPr w:rsidR="004D4277" w:rsidRPr="00FB3A86" w:rsidSect="00F60BBB">
          <w:headerReference w:type="even" r:id="rId104"/>
          <w:headerReference w:type="default" r:id="rId105"/>
          <w:footerReference w:type="default" r:id="rId106"/>
          <w:headerReference w:type="first" r:id="rId107"/>
          <w:type w:val="continuous"/>
          <w:pgSz w:w="12240" w:h="15840"/>
          <w:pgMar w:top="1440" w:right="2016" w:bottom="2016" w:left="2016" w:header="720" w:footer="1123" w:gutter="0"/>
          <w:cols w:space="720"/>
          <w:docGrid w:linePitch="272"/>
        </w:sectPr>
      </w:pPr>
    </w:p>
    <w:p w14:paraId="4A83EBF3" w14:textId="77777777" w:rsidR="00B01FCD" w:rsidRPr="00FB3A86" w:rsidRDefault="00B01FCD" w:rsidP="00441B6F">
      <w:pPr>
        <w:pStyle w:val="Appendix"/>
        <w:spacing w:after="0"/>
        <w:jc w:val="both"/>
        <w:rPr>
          <w:rFonts w:ascii="Arial" w:hAnsi="Arial" w:cs="Arial"/>
          <w:b w:val="0"/>
        </w:rPr>
      </w:pPr>
    </w:p>
    <w:sectPr w:rsidR="00B01FCD" w:rsidRPr="00FB3A86" w:rsidSect="00F60B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585D" w14:textId="77777777" w:rsidR="00A461E1" w:rsidRDefault="00A461E1" w:rsidP="00C37E61">
      <w:r>
        <w:separator/>
      </w:r>
    </w:p>
  </w:endnote>
  <w:endnote w:type="continuationSeparator" w:id="0">
    <w:p w14:paraId="7B1B811B" w14:textId="77777777" w:rsidR="00A461E1" w:rsidRDefault="00A461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15D5" w14:textId="77777777" w:rsidR="0005600B" w:rsidRDefault="00056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4C4C" w14:textId="4752FA5A" w:rsidR="00A36AD6" w:rsidRPr="00C8108E" w:rsidRDefault="00A36AD6" w:rsidP="00C81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3E6C" w14:textId="77777777" w:rsidR="00A36AD6" w:rsidRDefault="00A36AD6">
    <w:pPr>
      <w:pStyle w:val="Footer"/>
      <w:rPr>
        <w:rFonts w:ascii="Arial" w:hAnsi="Arial" w:cs="Arial"/>
        <w:sz w:val="16"/>
      </w:rPr>
    </w:pPr>
  </w:p>
  <w:p w14:paraId="79378182" w14:textId="77777777" w:rsidR="00A36AD6" w:rsidRDefault="00A36AD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7054FB" w14:textId="77777777" w:rsidR="00A36AD6" w:rsidRDefault="00A36AD6">
    <w:pPr>
      <w:pStyle w:val="Footer"/>
      <w:rPr>
        <w:rFonts w:ascii="Arial" w:hAnsi="Arial" w:cs="Arial"/>
        <w:sz w:val="16"/>
      </w:rPr>
    </w:pPr>
  </w:p>
  <w:p w14:paraId="2D790BA8" w14:textId="66DE6B96" w:rsidR="00A36AD6" w:rsidRPr="009E048A" w:rsidRDefault="00A36AD6">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E64F" w14:textId="77777777" w:rsidR="00A36AD6" w:rsidRPr="00C37E61" w:rsidRDefault="00A36AD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9CE8" w14:textId="77777777" w:rsidR="00A461E1" w:rsidRDefault="00A461E1" w:rsidP="00C37E61">
      <w:r>
        <w:separator/>
      </w:r>
    </w:p>
  </w:footnote>
  <w:footnote w:type="continuationSeparator" w:id="0">
    <w:p w14:paraId="0EF8A062" w14:textId="77777777" w:rsidR="00A461E1" w:rsidRDefault="00A461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398" w14:textId="36B6E6F6" w:rsidR="0005600B" w:rsidRDefault="00000000">
    <w:pPr>
      <w:pStyle w:val="Header"/>
    </w:pPr>
    <w:r>
      <w:rPr>
        <w:noProof/>
      </w:rPr>
      <w:pict w14:anchorId="1D21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72C9" w14:textId="3A4C720A" w:rsidR="0005600B" w:rsidRDefault="00000000">
    <w:pPr>
      <w:pStyle w:val="Header"/>
    </w:pPr>
    <w:r>
      <w:rPr>
        <w:noProof/>
      </w:rPr>
      <w:pict w14:anchorId="4E840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1C71" w14:textId="4ED9A366" w:rsidR="00A36AD6" w:rsidRPr="00296529" w:rsidRDefault="00000000" w:rsidP="00296529">
    <w:pPr>
      <w:ind w:left="2160"/>
      <w:jc w:val="center"/>
      <w:rPr>
        <w:rFonts w:ascii="Times New Roman" w:eastAsia="Calibri" w:hAnsi="Times New Roman"/>
        <w:i/>
        <w:sz w:val="18"/>
        <w:szCs w:val="22"/>
      </w:rPr>
    </w:pPr>
    <w:r>
      <w:rPr>
        <w:noProof/>
      </w:rPr>
      <w:pict w14:anchorId="67A20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A30B25" w14:textId="77777777" w:rsidR="00A36AD6" w:rsidRPr="00296529" w:rsidRDefault="00A36AD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EF5A17" w14:textId="77777777" w:rsidR="00A36AD6" w:rsidRPr="00296529" w:rsidRDefault="00A36AD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60016A" w14:textId="77777777" w:rsidR="00A36AD6" w:rsidRPr="00296529" w:rsidRDefault="00A36AD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233046" w14:textId="77777777" w:rsidR="00A36AD6" w:rsidRDefault="00A36AD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FFD56F" w14:textId="77777777" w:rsidR="00A36AD6" w:rsidRDefault="00A36AD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ABBB4B" w14:textId="77777777" w:rsidR="00A36AD6" w:rsidRDefault="00A36AD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5167" w14:textId="229BA14B" w:rsidR="0005600B" w:rsidRDefault="00000000">
    <w:pPr>
      <w:pStyle w:val="Header"/>
    </w:pPr>
    <w:r>
      <w:rPr>
        <w:noProof/>
      </w:rPr>
      <w:pict w14:anchorId="2683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642B" w14:textId="16617550" w:rsidR="0005600B" w:rsidRDefault="00000000">
    <w:pPr>
      <w:pStyle w:val="Header"/>
    </w:pPr>
    <w:r>
      <w:rPr>
        <w:noProof/>
      </w:rPr>
      <w:pict w14:anchorId="0DA8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9F1E" w14:textId="3699B7B8" w:rsidR="0005600B" w:rsidRDefault="00000000">
    <w:pPr>
      <w:pStyle w:val="Header"/>
    </w:pPr>
    <w:r>
      <w:rPr>
        <w:noProof/>
      </w:rPr>
      <w:pict w14:anchorId="0F908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30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291A73"/>
    <w:multiLevelType w:val="hybridMultilevel"/>
    <w:tmpl w:val="C8A02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52783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0487931">
    <w:abstractNumId w:val="15"/>
  </w:num>
  <w:num w:numId="3" w16cid:durableId="766118504">
    <w:abstractNumId w:val="24"/>
  </w:num>
  <w:num w:numId="4" w16cid:durableId="16112774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008453">
    <w:abstractNumId w:val="7"/>
  </w:num>
  <w:num w:numId="6" w16cid:durableId="1980571641">
    <w:abstractNumId w:val="6"/>
  </w:num>
  <w:num w:numId="7" w16cid:durableId="297150644">
    <w:abstractNumId w:val="1"/>
  </w:num>
  <w:num w:numId="8" w16cid:durableId="183597891">
    <w:abstractNumId w:val="12"/>
  </w:num>
  <w:num w:numId="9" w16cid:durableId="508298488">
    <w:abstractNumId w:val="26"/>
  </w:num>
  <w:num w:numId="10" w16cid:durableId="153107250">
    <w:abstractNumId w:val="2"/>
  </w:num>
  <w:num w:numId="11" w16cid:durableId="1248467579">
    <w:abstractNumId w:val="19"/>
  </w:num>
  <w:num w:numId="12" w16cid:durableId="549465529">
    <w:abstractNumId w:val="3"/>
  </w:num>
  <w:num w:numId="13" w16cid:durableId="744497299">
    <w:abstractNumId w:val="17"/>
  </w:num>
  <w:num w:numId="14" w16cid:durableId="1717847781">
    <w:abstractNumId w:val="8"/>
  </w:num>
  <w:num w:numId="15" w16cid:durableId="125390784">
    <w:abstractNumId w:val="22"/>
  </w:num>
  <w:num w:numId="16" w16cid:durableId="1159928490">
    <w:abstractNumId w:val="5"/>
  </w:num>
  <w:num w:numId="17" w16cid:durableId="1521628063">
    <w:abstractNumId w:val="23"/>
  </w:num>
  <w:num w:numId="18" w16cid:durableId="469828434">
    <w:abstractNumId w:val="14"/>
  </w:num>
  <w:num w:numId="19" w16cid:durableId="2026318518">
    <w:abstractNumId w:val="29"/>
  </w:num>
  <w:num w:numId="20" w16cid:durableId="696081698">
    <w:abstractNumId w:val="11"/>
  </w:num>
  <w:num w:numId="21" w16cid:durableId="517620498">
    <w:abstractNumId w:val="9"/>
  </w:num>
  <w:num w:numId="22" w16cid:durableId="213465660">
    <w:abstractNumId w:val="13"/>
  </w:num>
  <w:num w:numId="23" w16cid:durableId="685135759">
    <w:abstractNumId w:val="20"/>
  </w:num>
  <w:num w:numId="24" w16cid:durableId="1479302330">
    <w:abstractNumId w:val="27"/>
  </w:num>
  <w:num w:numId="25" w16cid:durableId="593516660">
    <w:abstractNumId w:val="4"/>
  </w:num>
  <w:num w:numId="26" w16cid:durableId="1197348299">
    <w:abstractNumId w:val="16"/>
  </w:num>
  <w:num w:numId="27" w16cid:durableId="1916427528">
    <w:abstractNumId w:val="21"/>
  </w:num>
  <w:num w:numId="28" w16cid:durableId="2001347111">
    <w:abstractNumId w:val="28"/>
  </w:num>
  <w:num w:numId="29" w16cid:durableId="1022516633">
    <w:abstractNumId w:val="25"/>
  </w:num>
  <w:num w:numId="30" w16cid:durableId="897521410">
    <w:abstractNumId w:val="10"/>
  </w:num>
  <w:num w:numId="31" w16cid:durableId="496119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600B"/>
    <w:rsid w:val="000A47FA"/>
    <w:rsid w:val="000A65D3"/>
    <w:rsid w:val="000B1E33"/>
    <w:rsid w:val="000B705C"/>
    <w:rsid w:val="000D689F"/>
    <w:rsid w:val="000E7B7B"/>
    <w:rsid w:val="000E7D62"/>
    <w:rsid w:val="00103357"/>
    <w:rsid w:val="00123C9F"/>
    <w:rsid w:val="00125742"/>
    <w:rsid w:val="00126190"/>
    <w:rsid w:val="00130F17"/>
    <w:rsid w:val="001320BF"/>
    <w:rsid w:val="00163BC4"/>
    <w:rsid w:val="00191062"/>
    <w:rsid w:val="00192B72"/>
    <w:rsid w:val="001A29D8"/>
    <w:rsid w:val="001A5CAA"/>
    <w:rsid w:val="001B0427"/>
    <w:rsid w:val="001B66CF"/>
    <w:rsid w:val="001D0303"/>
    <w:rsid w:val="001D3A51"/>
    <w:rsid w:val="001E10D2"/>
    <w:rsid w:val="001E25B4"/>
    <w:rsid w:val="001E44FE"/>
    <w:rsid w:val="001F3A17"/>
    <w:rsid w:val="00200595"/>
    <w:rsid w:val="00204835"/>
    <w:rsid w:val="00231920"/>
    <w:rsid w:val="0023195C"/>
    <w:rsid w:val="0024282C"/>
    <w:rsid w:val="00244CE9"/>
    <w:rsid w:val="002460DC"/>
    <w:rsid w:val="00250985"/>
    <w:rsid w:val="002556F6"/>
    <w:rsid w:val="00256AC5"/>
    <w:rsid w:val="00283105"/>
    <w:rsid w:val="00284C4C"/>
    <w:rsid w:val="00287E68"/>
    <w:rsid w:val="00296529"/>
    <w:rsid w:val="002B27FB"/>
    <w:rsid w:val="002B685A"/>
    <w:rsid w:val="002C57D2"/>
    <w:rsid w:val="002E0D56"/>
    <w:rsid w:val="00315186"/>
    <w:rsid w:val="00322831"/>
    <w:rsid w:val="0033343E"/>
    <w:rsid w:val="003512C2"/>
    <w:rsid w:val="00371FB6"/>
    <w:rsid w:val="003763C1"/>
    <w:rsid w:val="00376BBE"/>
    <w:rsid w:val="0039224F"/>
    <w:rsid w:val="003A43A4"/>
    <w:rsid w:val="003A7E18"/>
    <w:rsid w:val="003B69EB"/>
    <w:rsid w:val="003C4C86"/>
    <w:rsid w:val="003C6258"/>
    <w:rsid w:val="003D23CC"/>
    <w:rsid w:val="003E2904"/>
    <w:rsid w:val="003F5812"/>
    <w:rsid w:val="00401927"/>
    <w:rsid w:val="00401E24"/>
    <w:rsid w:val="0041027F"/>
    <w:rsid w:val="00412475"/>
    <w:rsid w:val="00423789"/>
    <w:rsid w:val="00440F43"/>
    <w:rsid w:val="00441B6F"/>
    <w:rsid w:val="00446221"/>
    <w:rsid w:val="00450E62"/>
    <w:rsid w:val="004539DB"/>
    <w:rsid w:val="00471A80"/>
    <w:rsid w:val="00492FB3"/>
    <w:rsid w:val="004B658A"/>
    <w:rsid w:val="004D305E"/>
    <w:rsid w:val="004D4277"/>
    <w:rsid w:val="00502516"/>
    <w:rsid w:val="00505F06"/>
    <w:rsid w:val="00506828"/>
    <w:rsid w:val="0050719E"/>
    <w:rsid w:val="00515ADA"/>
    <w:rsid w:val="0053056E"/>
    <w:rsid w:val="00554FDA"/>
    <w:rsid w:val="005749C6"/>
    <w:rsid w:val="0058351B"/>
    <w:rsid w:val="005C784C"/>
    <w:rsid w:val="005C7943"/>
    <w:rsid w:val="005D17F6"/>
    <w:rsid w:val="005E5539"/>
    <w:rsid w:val="00602BF5"/>
    <w:rsid w:val="00617FDD"/>
    <w:rsid w:val="00633614"/>
    <w:rsid w:val="00633F68"/>
    <w:rsid w:val="00636EB2"/>
    <w:rsid w:val="006375B8"/>
    <w:rsid w:val="0066510A"/>
    <w:rsid w:val="00673F9F"/>
    <w:rsid w:val="00686799"/>
    <w:rsid w:val="00686953"/>
    <w:rsid w:val="00687DEA"/>
    <w:rsid w:val="00687E67"/>
    <w:rsid w:val="006967F7"/>
    <w:rsid w:val="006A250C"/>
    <w:rsid w:val="006B21D3"/>
    <w:rsid w:val="006B57D0"/>
    <w:rsid w:val="006C1B57"/>
    <w:rsid w:val="006D30FF"/>
    <w:rsid w:val="006D6940"/>
    <w:rsid w:val="006F11EC"/>
    <w:rsid w:val="0070082C"/>
    <w:rsid w:val="007334D6"/>
    <w:rsid w:val="007369E6"/>
    <w:rsid w:val="00746E59"/>
    <w:rsid w:val="00754C9A"/>
    <w:rsid w:val="0075599A"/>
    <w:rsid w:val="00761D52"/>
    <w:rsid w:val="0077749E"/>
    <w:rsid w:val="00790ADA"/>
    <w:rsid w:val="007C79B9"/>
    <w:rsid w:val="007D2288"/>
    <w:rsid w:val="007E088F"/>
    <w:rsid w:val="007F7B32"/>
    <w:rsid w:val="00804BC2"/>
    <w:rsid w:val="0081431A"/>
    <w:rsid w:val="0083216F"/>
    <w:rsid w:val="008542C6"/>
    <w:rsid w:val="00860000"/>
    <w:rsid w:val="00863BD3"/>
    <w:rsid w:val="008641ED"/>
    <w:rsid w:val="00866D66"/>
    <w:rsid w:val="008671C6"/>
    <w:rsid w:val="00875803"/>
    <w:rsid w:val="008B40CB"/>
    <w:rsid w:val="008B459E"/>
    <w:rsid w:val="008E13AE"/>
    <w:rsid w:val="008E1506"/>
    <w:rsid w:val="008E710C"/>
    <w:rsid w:val="008F69D6"/>
    <w:rsid w:val="00902823"/>
    <w:rsid w:val="00915CA6"/>
    <w:rsid w:val="00927834"/>
    <w:rsid w:val="00927F85"/>
    <w:rsid w:val="009456DA"/>
    <w:rsid w:val="009500A6"/>
    <w:rsid w:val="00957C18"/>
    <w:rsid w:val="009659BA"/>
    <w:rsid w:val="00983040"/>
    <w:rsid w:val="009B3FB9"/>
    <w:rsid w:val="009B6C12"/>
    <w:rsid w:val="009C2465"/>
    <w:rsid w:val="009D35A0"/>
    <w:rsid w:val="009D7EB7"/>
    <w:rsid w:val="009E048A"/>
    <w:rsid w:val="009E08E9"/>
    <w:rsid w:val="009E3DB9"/>
    <w:rsid w:val="009E6E35"/>
    <w:rsid w:val="009F05CA"/>
    <w:rsid w:val="009F0EDA"/>
    <w:rsid w:val="00A01B7B"/>
    <w:rsid w:val="00A03B96"/>
    <w:rsid w:val="00A05B19"/>
    <w:rsid w:val="00A1134E"/>
    <w:rsid w:val="00A24229"/>
    <w:rsid w:val="00A24E7E"/>
    <w:rsid w:val="00A258C3"/>
    <w:rsid w:val="00A347C0"/>
    <w:rsid w:val="00A36AD6"/>
    <w:rsid w:val="00A461E1"/>
    <w:rsid w:val="00A51431"/>
    <w:rsid w:val="00A539AD"/>
    <w:rsid w:val="00A94063"/>
    <w:rsid w:val="00AA6219"/>
    <w:rsid w:val="00AA74E0"/>
    <w:rsid w:val="00AB703F"/>
    <w:rsid w:val="00AC5479"/>
    <w:rsid w:val="00AC6BB8"/>
    <w:rsid w:val="00AE008F"/>
    <w:rsid w:val="00AE24BD"/>
    <w:rsid w:val="00AE4178"/>
    <w:rsid w:val="00AE60D2"/>
    <w:rsid w:val="00B01FCD"/>
    <w:rsid w:val="00B1776C"/>
    <w:rsid w:val="00B3118E"/>
    <w:rsid w:val="00B52583"/>
    <w:rsid w:val="00B52896"/>
    <w:rsid w:val="00B73BC1"/>
    <w:rsid w:val="00B9138C"/>
    <w:rsid w:val="00B95236"/>
    <w:rsid w:val="00B96BD9"/>
    <w:rsid w:val="00BA1B01"/>
    <w:rsid w:val="00BA2641"/>
    <w:rsid w:val="00BB37AA"/>
    <w:rsid w:val="00BC53A0"/>
    <w:rsid w:val="00BE2CC8"/>
    <w:rsid w:val="00BE62AD"/>
    <w:rsid w:val="00BF121F"/>
    <w:rsid w:val="00BF1F80"/>
    <w:rsid w:val="00BF3A1F"/>
    <w:rsid w:val="00C10026"/>
    <w:rsid w:val="00C166EF"/>
    <w:rsid w:val="00C17EB0"/>
    <w:rsid w:val="00C210D0"/>
    <w:rsid w:val="00C21CAA"/>
    <w:rsid w:val="00C27F5F"/>
    <w:rsid w:val="00C30A0F"/>
    <w:rsid w:val="00C37E61"/>
    <w:rsid w:val="00C70F1B"/>
    <w:rsid w:val="00C71A47"/>
    <w:rsid w:val="00C7464C"/>
    <w:rsid w:val="00C8108E"/>
    <w:rsid w:val="00C85588"/>
    <w:rsid w:val="00CD6755"/>
    <w:rsid w:val="00CD6856"/>
    <w:rsid w:val="00CE0089"/>
    <w:rsid w:val="00CE0369"/>
    <w:rsid w:val="00CE793C"/>
    <w:rsid w:val="00CF193C"/>
    <w:rsid w:val="00D173F1"/>
    <w:rsid w:val="00D27A23"/>
    <w:rsid w:val="00D30E20"/>
    <w:rsid w:val="00D44932"/>
    <w:rsid w:val="00D54F1B"/>
    <w:rsid w:val="00D74CB0"/>
    <w:rsid w:val="00D76B70"/>
    <w:rsid w:val="00D8295D"/>
    <w:rsid w:val="00D9096A"/>
    <w:rsid w:val="00DB4163"/>
    <w:rsid w:val="00DC2A65"/>
    <w:rsid w:val="00DE15F0"/>
    <w:rsid w:val="00DE5663"/>
    <w:rsid w:val="00DE78AA"/>
    <w:rsid w:val="00DF2EBF"/>
    <w:rsid w:val="00E053D0"/>
    <w:rsid w:val="00E15994"/>
    <w:rsid w:val="00E271F1"/>
    <w:rsid w:val="00E3114E"/>
    <w:rsid w:val="00E31A70"/>
    <w:rsid w:val="00E35B02"/>
    <w:rsid w:val="00E66496"/>
    <w:rsid w:val="00E66B35"/>
    <w:rsid w:val="00E66E10"/>
    <w:rsid w:val="00E769F6"/>
    <w:rsid w:val="00E8407C"/>
    <w:rsid w:val="00E84F3C"/>
    <w:rsid w:val="00EA012C"/>
    <w:rsid w:val="00EC0719"/>
    <w:rsid w:val="00EC6A55"/>
    <w:rsid w:val="00ED0288"/>
    <w:rsid w:val="00EE52CB"/>
    <w:rsid w:val="00EF581D"/>
    <w:rsid w:val="00EF7FD8"/>
    <w:rsid w:val="00F04AF0"/>
    <w:rsid w:val="00F06025"/>
    <w:rsid w:val="00F06F59"/>
    <w:rsid w:val="00F17988"/>
    <w:rsid w:val="00F357CB"/>
    <w:rsid w:val="00F469F0"/>
    <w:rsid w:val="00F53273"/>
    <w:rsid w:val="00F60BBB"/>
    <w:rsid w:val="00F755E4"/>
    <w:rsid w:val="00F7639F"/>
    <w:rsid w:val="00F77286"/>
    <w:rsid w:val="00F77D02"/>
    <w:rsid w:val="00FB3A86"/>
    <w:rsid w:val="00FD0E30"/>
    <w:rsid w:val="00FD36C8"/>
    <w:rsid w:val="00FD3C53"/>
    <w:rsid w:val="00FD5A20"/>
    <w:rsid w:val="00FF6E5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6B50E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7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COGSIMA.2018.8423977" TargetMode="External"/><Relationship Id="rId21" Type="http://schemas.openxmlformats.org/officeDocument/2006/relationships/hyperlink" Target="https://doi.org/10.1108/TR-03-2024-0208" TargetMode="External"/><Relationship Id="rId42" Type="http://schemas.openxmlformats.org/officeDocument/2006/relationships/hyperlink" Target="https://us.sagepub.com/en-us/nam/a-primer-on-partial-least-squares-structural-equation-modeling-pls-sem/book244376" TargetMode="External"/><Relationship Id="rId47" Type="http://schemas.openxmlformats.org/officeDocument/2006/relationships/hyperlink" Target="https://doi.org/10.1108/JOCM-09-2023-0382" TargetMode="External"/><Relationship Id="rId63" Type="http://schemas.openxmlformats.org/officeDocument/2006/relationships/hyperlink" Target="https://doi.org/10.1016/j.jik.2025.100701" TargetMode="External"/><Relationship Id="rId68" Type="http://schemas.openxmlformats.org/officeDocument/2006/relationships/hyperlink" Target="https://doi.org/10.1111/puar.12839" TargetMode="External"/><Relationship Id="rId84" Type="http://schemas.openxmlformats.org/officeDocument/2006/relationships/hyperlink" Target="https://doi.org/10.5281/zenodo.3808739" TargetMode="External"/><Relationship Id="rId89" Type="http://schemas.openxmlformats.org/officeDocument/2006/relationships/hyperlink" Target="http://www.pertanika.upm.edu.my/JSSH%20Vol%2026%20(S)%20Aug.%202018/04%20JSSH(S)-0020-2017.pdf" TargetMode="External"/><Relationship Id="rId16" Type="http://schemas.openxmlformats.org/officeDocument/2006/relationships/hyperlink" Target="https://doi.org/10.1080/23322039.2023.2275974" TargetMode="External"/><Relationship Id="rId107" Type="http://schemas.openxmlformats.org/officeDocument/2006/relationships/header" Target="header6.xml"/><Relationship Id="rId11" Type="http://schemas.openxmlformats.org/officeDocument/2006/relationships/footer" Target="footer2.xml"/><Relationship Id="rId32" Type="http://schemas.openxmlformats.org/officeDocument/2006/relationships/hyperlink" Target="https://doi.org/10.1145/3546157.3546179" TargetMode="External"/><Relationship Id="rId37" Type="http://schemas.openxmlformats.org/officeDocument/2006/relationships/hyperlink" Target="https://doi.org/10.47738/jads.v6i1.375" TargetMode="External"/><Relationship Id="rId53" Type="http://schemas.openxmlformats.org/officeDocument/2006/relationships/hyperlink" Target="https://doi.org/10.1007/978-3-031-61163-6_1" TargetMode="External"/><Relationship Id="rId58" Type="http://schemas.openxmlformats.org/officeDocument/2006/relationships/hyperlink" Target="https://doi.org/10.4337/9781035307074.00006" TargetMode="External"/><Relationship Id="rId74" Type="http://schemas.openxmlformats.org/officeDocument/2006/relationships/hyperlink" Target="https://doi.org/10.1080/23311975.2025.2500677" TargetMode="External"/><Relationship Id="rId79" Type="http://schemas.openxmlformats.org/officeDocument/2006/relationships/hyperlink" Target="http://psasir.upm.edu.my/id/eprint/41739" TargetMode="External"/><Relationship Id="rId102" Type="http://schemas.openxmlformats.org/officeDocument/2006/relationships/hyperlink" Target="https://doi.org/10.64534/Commer.2023.084" TargetMode="External"/><Relationship Id="rId5" Type="http://schemas.openxmlformats.org/officeDocument/2006/relationships/webSettings" Target="webSettings.xml"/><Relationship Id="rId90" Type="http://schemas.openxmlformats.org/officeDocument/2006/relationships/hyperlink" Target="https://doi.org/10.26668/businessreview/2023.v8i2.1538" TargetMode="External"/><Relationship Id="rId95" Type="http://schemas.openxmlformats.org/officeDocument/2006/relationships/hyperlink" Target="https://doi.org/10.2224/SBP.9320" TargetMode="External"/><Relationship Id="rId22" Type="http://schemas.openxmlformats.org/officeDocument/2006/relationships/hyperlink" Target="https://doi.org/10.1007/978-3-031-96641-5_49" TargetMode="External"/><Relationship Id="rId27" Type="http://schemas.openxmlformats.org/officeDocument/2006/relationships/hyperlink" Target="https://doi.org/10.4103/jehp.jehp_1682_23" TargetMode="External"/><Relationship Id="rId43" Type="http://schemas.openxmlformats.org/officeDocument/2006/relationships/hyperlink" Target="https://doi.org/10.62754/joe.v3i7.4497" TargetMode="External"/><Relationship Id="rId48" Type="http://schemas.openxmlformats.org/officeDocument/2006/relationships/hyperlink" Target="https://doi.org/10.1017/jmo.2018.50" TargetMode="External"/><Relationship Id="rId64" Type="http://schemas.openxmlformats.org/officeDocument/2006/relationships/hyperlink" Target="https://doi.org/10.1108/ICT-07-2024-0064" TargetMode="External"/><Relationship Id="rId69" Type="http://schemas.openxmlformats.org/officeDocument/2006/relationships/hyperlink" Target="https://doi.org/10.1108/IJIS-04-2019-0042" TargetMode="External"/><Relationship Id="rId80" Type="http://schemas.openxmlformats.org/officeDocument/2006/relationships/hyperlink" Target="https://doi.org/10.1016/j.joitmc.2025.100609" TargetMode="External"/><Relationship Id="rId85" Type="http://schemas.openxmlformats.org/officeDocument/2006/relationships/hyperlink" Target="https://doi.org/10.1177/15480518241296665" TargetMode="External"/><Relationship Id="rId12" Type="http://schemas.openxmlformats.org/officeDocument/2006/relationships/header" Target="header3.xml"/><Relationship Id="rId17" Type="http://schemas.openxmlformats.org/officeDocument/2006/relationships/hyperlink" Target="https://doi.org/10.18576/isl/120232" TargetMode="External"/><Relationship Id="rId33" Type="http://schemas.openxmlformats.org/officeDocument/2006/relationships/hyperlink" Target="https://doi.org/10.55214/25768484.v9i4.6606" TargetMode="External"/><Relationship Id="rId38" Type="http://schemas.openxmlformats.org/officeDocument/2006/relationships/hyperlink" Target="https://doi.org/10.1504/WREMSD.2020.109971" TargetMode="External"/><Relationship Id="rId59" Type="http://schemas.openxmlformats.org/officeDocument/2006/relationships/hyperlink" Target="https://doi.org/10.1109/ICEBEG.2011.5882384" TargetMode="External"/><Relationship Id="rId103" Type="http://schemas.openxmlformats.org/officeDocument/2006/relationships/hyperlink" Target="https://doi.org/10.1007/s11846-023-00717-x" TargetMode="External"/><Relationship Id="rId108" Type="http://schemas.openxmlformats.org/officeDocument/2006/relationships/fontTable" Target="fontTable.xml"/><Relationship Id="rId54" Type="http://schemas.openxmlformats.org/officeDocument/2006/relationships/hyperlink" Target="https://doi.org/10.1108/S1745-354220180000014009" TargetMode="External"/><Relationship Id="rId70" Type="http://schemas.openxmlformats.org/officeDocument/2006/relationships/hyperlink" Target="https://doi.org/10.1016/j.jbusres.2018.04.001" TargetMode="External"/><Relationship Id="rId75" Type="http://schemas.openxmlformats.org/officeDocument/2006/relationships/hyperlink" Target="https://doi.org/10.1002/jsc.70001" TargetMode="External"/><Relationship Id="rId91" Type="http://schemas.openxmlformats.org/officeDocument/2006/relationships/hyperlink" Target="https://doi.org/10.1007/978-981-97-0996-0_49" TargetMode="External"/><Relationship Id="rId96" Type="http://schemas.openxmlformats.org/officeDocument/2006/relationships/hyperlink" Target="https://doi.org/10.1080/07448481.2024.23613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901/mjss.2014.v5n20p648" TargetMode="External"/><Relationship Id="rId23" Type="http://schemas.openxmlformats.org/officeDocument/2006/relationships/hyperlink" Target="https://doi.org/10.3390/soc14110228" TargetMode="External"/><Relationship Id="rId28" Type="http://schemas.openxmlformats.org/officeDocument/2006/relationships/hyperlink" Target="https://doi.org/10.1080/1331677X.2018.1556108" TargetMode="External"/><Relationship Id="rId36" Type="http://schemas.openxmlformats.org/officeDocument/2006/relationships/hyperlink" Target="https://doi.org/10.1109/ICIMTech55957.2022.9915066" TargetMode="External"/><Relationship Id="rId49" Type="http://schemas.openxmlformats.org/officeDocument/2006/relationships/hyperlink" Target="https://doi.org/10.1051/e3sconf/202562204001" TargetMode="External"/><Relationship Id="rId57" Type="http://schemas.openxmlformats.org/officeDocument/2006/relationships/hyperlink" Target="https://doi.org/10.1177/223386590701000210" TargetMode="External"/><Relationship Id="rId106"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016/j.ijnurstu.2007.12.006" TargetMode="External"/><Relationship Id="rId44" Type="http://schemas.openxmlformats.org/officeDocument/2006/relationships/hyperlink" Target="https://doi.org/10.1109/ICIMCIS63449.2024.10957680" TargetMode="External"/><Relationship Id="rId52" Type="http://schemas.openxmlformats.org/officeDocument/2006/relationships/hyperlink" Target="https://doi.org/10.3390/bs15030349" TargetMode="External"/><Relationship Id="rId60" Type="http://schemas.openxmlformats.org/officeDocument/2006/relationships/hyperlink" Target="https://doi.org/10.1142/S0219649224500606" TargetMode="External"/><Relationship Id="rId65" Type="http://schemas.openxmlformats.org/officeDocument/2006/relationships/hyperlink" Target="https://doi.org/10.3233/HSM-190783" TargetMode="External"/><Relationship Id="rId73" Type="http://schemas.openxmlformats.org/officeDocument/2006/relationships/hyperlink" Target="https://doi.org/10.55214/25768484.v8i6.2680" TargetMode="External"/><Relationship Id="rId78" Type="http://schemas.openxmlformats.org/officeDocument/2006/relationships/hyperlink" Target="https://doi.org/10.1007/978-3-658-38227-8_27" TargetMode="External"/><Relationship Id="rId81" Type="http://schemas.openxmlformats.org/officeDocument/2006/relationships/hyperlink" Target="https://doi.org/10.14689/ejer.2015.60.9" TargetMode="External"/><Relationship Id="rId86" Type="http://schemas.openxmlformats.org/officeDocument/2006/relationships/hyperlink" Target="https://doi.org/10.1504/IJIL.2024.140261" TargetMode="External"/><Relationship Id="rId94" Type="http://schemas.openxmlformats.org/officeDocument/2006/relationships/hyperlink" Target="https://doi.org/10.30996/jhbbc.v8i1.12172" TargetMode="External"/><Relationship Id="rId99" Type="http://schemas.openxmlformats.org/officeDocument/2006/relationships/hyperlink" Target="https://doi.org/10.3390/su13031359" TargetMode="External"/><Relationship Id="rId101" Type="http://schemas.openxmlformats.org/officeDocument/2006/relationships/hyperlink" Target="https://doi.org/10.1177/0022022117732721"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23311975.2024.2328742" TargetMode="External"/><Relationship Id="rId39" Type="http://schemas.openxmlformats.org/officeDocument/2006/relationships/hyperlink" Target="https://doi.org/10.1177/08404704231212781" TargetMode="External"/><Relationship Id="rId109" Type="http://schemas.openxmlformats.org/officeDocument/2006/relationships/theme" Target="theme/theme1.xml"/><Relationship Id="rId34" Type="http://schemas.openxmlformats.org/officeDocument/2006/relationships/hyperlink" Target="https://doi.org/10.1186/s13731-024-00448-7" TargetMode="External"/><Relationship Id="rId50" Type="http://schemas.openxmlformats.org/officeDocument/2006/relationships/hyperlink" Target="https://doi.org/10.1155/jonm/2653041" TargetMode="External"/><Relationship Id="rId55" Type="http://schemas.openxmlformats.org/officeDocument/2006/relationships/hyperlink" Target="https://doi.org/10.1088/1742-6596/953/1/012159" TargetMode="External"/><Relationship Id="rId76" Type="http://schemas.openxmlformats.org/officeDocument/2006/relationships/hyperlink" Target="https://doi.org/10.1108/ICT-03-2024-0024" TargetMode="External"/><Relationship Id="rId97" Type="http://schemas.openxmlformats.org/officeDocument/2006/relationships/hyperlink" Target="https://doi.org/10.3390/ejihpe12050035"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doi.org/10.1108/IJPPM-10-2020-0563" TargetMode="External"/><Relationship Id="rId92" Type="http://schemas.openxmlformats.org/officeDocument/2006/relationships/hyperlink" Target="https://doi.org/10.1109/ITIS50118.2020.9321047" TargetMode="External"/><Relationship Id="rId2" Type="http://schemas.openxmlformats.org/officeDocument/2006/relationships/numbering" Target="numbering.xml"/><Relationship Id="rId29" Type="http://schemas.openxmlformats.org/officeDocument/2006/relationships/hyperlink" Target="https://doi.org/10.1111/1467-8500.12603" TargetMode="External"/><Relationship Id="rId24" Type="http://schemas.openxmlformats.org/officeDocument/2006/relationships/hyperlink" Target="https://doi.org/10.1109/ICISCE.2018.00074" TargetMode="External"/><Relationship Id="rId40" Type="http://schemas.openxmlformats.org/officeDocument/2006/relationships/hyperlink" Target="https://doi.org/10.1108/LODJ-03-2021-0116" TargetMode="External"/><Relationship Id="rId45" Type="http://schemas.openxmlformats.org/officeDocument/2006/relationships/hyperlink" Target="https://doi.org/10.47750/QAS/26.204.41" TargetMode="External"/><Relationship Id="rId66" Type="http://schemas.openxmlformats.org/officeDocument/2006/relationships/hyperlink" Target="https://doi.org/10.1145/3312662.3312701" TargetMode="External"/><Relationship Id="rId87" Type="http://schemas.openxmlformats.org/officeDocument/2006/relationships/hyperlink" Target="https://doi.org/10.1027/1866-5888/a000065" TargetMode="External"/><Relationship Id="rId61" Type="http://schemas.openxmlformats.org/officeDocument/2006/relationships/hyperlink" Target="https://doi.org/10.3389/fpsyg.2019.02192" TargetMode="External"/><Relationship Id="rId82" Type="http://schemas.openxmlformats.org/officeDocument/2006/relationships/hyperlink" Target="https://www.abacademies.org/articles/jee-vol21-issue4-2018.pdf" TargetMode="External"/><Relationship Id="rId19" Type="http://schemas.openxmlformats.org/officeDocument/2006/relationships/hyperlink" Target="https://doi.org/10.1016/j.ijis.2023.12.001" TargetMode="External"/><Relationship Id="rId14" Type="http://schemas.openxmlformats.org/officeDocument/2006/relationships/hyperlink" Target="https://doi.org/10.1007/s43069-022-00135-x" TargetMode="External"/><Relationship Id="rId30" Type="http://schemas.openxmlformats.org/officeDocument/2006/relationships/hyperlink" Target="https://doi.org/10.1080/14330237.2021.2002035" TargetMode="External"/><Relationship Id="rId35" Type="http://schemas.openxmlformats.org/officeDocument/2006/relationships/hyperlink" Target="https://doi.org/10.1002/job.1904" TargetMode="External"/><Relationship Id="rId56" Type="http://schemas.openxmlformats.org/officeDocument/2006/relationships/hyperlink" Target="https://doi.org/10.55214/25768484.v8i6.3759" TargetMode="External"/><Relationship Id="rId77" Type="http://schemas.openxmlformats.org/officeDocument/2006/relationships/hyperlink" Target="https://doi.org/10.30880/jtet.2022.14.01.015" TargetMode="External"/><Relationship Id="rId100" Type="http://schemas.openxmlformats.org/officeDocument/2006/relationships/hyperlink" Target="https://doi.org/10.1177/0022022113492889" TargetMode="External"/><Relationship Id="rId105"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3390/su15075928" TargetMode="External"/><Relationship Id="rId72" Type="http://schemas.openxmlformats.org/officeDocument/2006/relationships/hyperlink" Target="https://doi.org/10.24294/jipd.v7i1.2020" TargetMode="External"/><Relationship Id="rId93" Type="http://schemas.openxmlformats.org/officeDocument/2006/relationships/hyperlink" Target="https://doi.org/10.59588/2243-786X" TargetMode="External"/><Relationship Id="rId98" Type="http://schemas.openxmlformats.org/officeDocument/2006/relationships/hyperlink" Target="https://doi.org/10.3390/economies10050103" TargetMode="External"/><Relationship Id="rId3" Type="http://schemas.openxmlformats.org/officeDocument/2006/relationships/styles" Target="styles.xml"/><Relationship Id="rId25" Type="http://schemas.openxmlformats.org/officeDocument/2006/relationships/hyperlink" Target="https://doi.org/10.4018/979-8-3693-9261-4.ch004" TargetMode="External"/><Relationship Id="rId46" Type="http://schemas.openxmlformats.org/officeDocument/2006/relationships/hyperlink" Target="https://doi.org/10.3390/su17051879" TargetMode="External"/><Relationship Id="rId67" Type="http://schemas.openxmlformats.org/officeDocument/2006/relationships/hyperlink" Target="https://doi.org/10.1108/lodj-01-2020-0008" TargetMode="External"/><Relationship Id="rId20" Type="http://schemas.openxmlformats.org/officeDocument/2006/relationships/hyperlink" Target="https://doi.org/10.1109/DASA63652.2024.10836651" TargetMode="External"/><Relationship Id="rId41" Type="http://schemas.openxmlformats.org/officeDocument/2006/relationships/hyperlink" Target="https://doi.org/10.1108/EBR-11-2018-0203" TargetMode="External"/><Relationship Id="rId62" Type="http://schemas.openxmlformats.org/officeDocument/2006/relationships/hyperlink" Target="https://doi.org/10.1016/j.jik.2022.100255" TargetMode="External"/><Relationship Id="rId83" Type="http://schemas.openxmlformats.org/officeDocument/2006/relationships/hyperlink" Target="https://doi.org/10.33403/rigeo.800610" TargetMode="External"/><Relationship Id="rId88" Type="http://schemas.openxmlformats.org/officeDocument/2006/relationships/hyperlink" Target="https://doi.org/10.5267/j.uscm.2023.6.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5C23-7682-4352-910E-D967C9CC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329</TotalTime>
  <Pages>1</Pages>
  <Words>8331</Words>
  <Characters>47491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55711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Ryan Basith Fasih Khan</cp:lastModifiedBy>
  <cp:revision>44</cp:revision>
  <cp:lastPrinted>1999-07-06T11:00:00Z</cp:lastPrinted>
  <dcterms:created xsi:type="dcterms:W3CDTF">2014-10-25T14:34:00Z</dcterms:created>
  <dcterms:modified xsi:type="dcterms:W3CDTF">2025-12-06T17:51:00Z</dcterms:modified>
</cp:coreProperties>
</file>