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4FEC0" w14:textId="77777777" w:rsidR="00CC7368" w:rsidRDefault="00CC7368" w:rsidP="00441B6F">
      <w:pPr>
        <w:pStyle w:val="Title"/>
        <w:spacing w:after="0"/>
        <w:jc w:val="both"/>
        <w:rPr>
          <w:rFonts w:ascii="Arial" w:hAnsi="Arial" w:cs="Arial"/>
        </w:rPr>
      </w:pPr>
    </w:p>
    <w:p w14:paraId="3F356A96" w14:textId="77777777" w:rsidR="00CC7368" w:rsidRDefault="00CC7368" w:rsidP="00441B6F">
      <w:pPr>
        <w:pStyle w:val="Title"/>
        <w:spacing w:after="0"/>
        <w:jc w:val="both"/>
        <w:rPr>
          <w:rFonts w:ascii="Arial" w:hAnsi="Arial" w:cs="Arial"/>
        </w:rPr>
      </w:pPr>
    </w:p>
    <w:p w14:paraId="6912489A" w14:textId="7A29DADC" w:rsidR="00163BC4" w:rsidRPr="00163BC4" w:rsidRDefault="00C44973" w:rsidP="00441B6F">
      <w:pPr>
        <w:pStyle w:val="Author"/>
        <w:spacing w:line="240" w:lineRule="auto"/>
        <w:rPr>
          <w:rFonts w:ascii="Arial" w:hAnsi="Arial" w:cs="Arial"/>
          <w:bCs/>
          <w:iCs/>
          <w:kern w:val="28"/>
          <w:sz w:val="36"/>
        </w:rPr>
      </w:pPr>
      <w:r w:rsidRPr="00C44973">
        <w:rPr>
          <w:rFonts w:ascii="Arial" w:hAnsi="Arial" w:cs="Arial"/>
          <w:bCs/>
          <w:iCs/>
          <w:kern w:val="28"/>
          <w:sz w:val="36"/>
        </w:rPr>
        <w:t>Corporate Governance Mechanism</w:t>
      </w:r>
      <w:r w:rsidR="00100774" w:rsidRPr="00100774">
        <w:rPr>
          <w:rFonts w:ascii="Arial" w:hAnsi="Arial" w:cs="Arial"/>
          <w:bCs/>
          <w:iCs/>
          <w:kern w:val="28"/>
          <w:sz w:val="36"/>
          <w:highlight w:val="yellow"/>
        </w:rPr>
        <w:t>s</w:t>
      </w:r>
      <w:r w:rsidRPr="00C44973">
        <w:rPr>
          <w:rFonts w:ascii="Arial" w:hAnsi="Arial" w:cs="Arial"/>
          <w:bCs/>
          <w:iCs/>
          <w:kern w:val="28"/>
          <w:sz w:val="36"/>
        </w:rPr>
        <w:t xml:space="preserve"> and Sustainability Reporting </w:t>
      </w:r>
      <w:r>
        <w:rPr>
          <w:rFonts w:ascii="Arial" w:hAnsi="Arial" w:cs="Arial"/>
          <w:bCs/>
          <w:iCs/>
          <w:kern w:val="28"/>
          <w:sz w:val="36"/>
        </w:rPr>
        <w:t>o</w:t>
      </w:r>
      <w:r w:rsidRPr="00C44973">
        <w:rPr>
          <w:rFonts w:ascii="Arial" w:hAnsi="Arial" w:cs="Arial"/>
          <w:bCs/>
          <w:iCs/>
          <w:kern w:val="28"/>
          <w:sz w:val="36"/>
        </w:rPr>
        <w:t xml:space="preserve">f Listed Insurance Firms </w:t>
      </w:r>
      <w:r>
        <w:rPr>
          <w:rFonts w:ascii="Arial" w:hAnsi="Arial" w:cs="Arial"/>
          <w:bCs/>
          <w:iCs/>
          <w:kern w:val="28"/>
          <w:sz w:val="36"/>
        </w:rPr>
        <w:t>i</w:t>
      </w:r>
      <w:r w:rsidRPr="00C44973">
        <w:rPr>
          <w:rFonts w:ascii="Arial" w:hAnsi="Arial" w:cs="Arial"/>
          <w:bCs/>
          <w:iCs/>
          <w:kern w:val="28"/>
          <w:sz w:val="36"/>
        </w:rPr>
        <w:t>n Nigeria</w:t>
      </w:r>
    </w:p>
    <w:p w14:paraId="7D7836AD" w14:textId="77777777" w:rsidR="00A258C3" w:rsidRPr="00790ADA" w:rsidRDefault="00A258C3" w:rsidP="00441B6F">
      <w:pPr>
        <w:pStyle w:val="Author"/>
        <w:spacing w:line="240" w:lineRule="auto"/>
        <w:jc w:val="both"/>
        <w:rPr>
          <w:rFonts w:ascii="Arial" w:hAnsi="Arial" w:cs="Arial"/>
          <w:sz w:val="36"/>
        </w:rPr>
      </w:pPr>
    </w:p>
    <w:p w14:paraId="494ACA0B" w14:textId="77777777" w:rsidR="002C57D2" w:rsidRPr="00FB3A86" w:rsidRDefault="002C57D2" w:rsidP="00441B6F">
      <w:pPr>
        <w:pStyle w:val="Affiliation"/>
        <w:spacing w:after="0" w:line="240" w:lineRule="auto"/>
        <w:jc w:val="both"/>
        <w:rPr>
          <w:rFonts w:ascii="Arial" w:hAnsi="Arial" w:cs="Arial"/>
        </w:rPr>
      </w:pPr>
    </w:p>
    <w:p w14:paraId="5535E13C" w14:textId="77777777" w:rsidR="00B01FCD" w:rsidRPr="00FB3A86" w:rsidRDefault="00BC7A0C" w:rsidP="00441B6F">
      <w:pPr>
        <w:pStyle w:val="Copyright"/>
        <w:spacing w:after="0" w:line="240" w:lineRule="auto"/>
        <w:jc w:val="both"/>
        <w:rPr>
          <w:rFonts w:ascii="Arial" w:hAnsi="Arial" w:cs="Arial"/>
        </w:rPr>
        <w:sectPr w:rsidR="00B01FCD" w:rsidRPr="00FB3A86" w:rsidSect="00E068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27D883">
          <v:shapetype id="_x0000_t32" coordsize="21600,21600" o:spt="32" o:oned="t" path="m,l21600,21600e" filled="f">
            <v:path arrowok="t" fillok="f" o:connecttype="none"/>
            <o:lock v:ext="edit" shapetype="t"/>
          </v:shapetype>
          <v:shape id="_x0000_s104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0EA174" w14:textId="76AEA729" w:rsidR="00B01FCD" w:rsidRDefault="00B01FCD" w:rsidP="00441B6F">
      <w:pPr>
        <w:pStyle w:val="AbstHead"/>
        <w:spacing w:after="0"/>
        <w:jc w:val="both"/>
        <w:rPr>
          <w:rFonts w:ascii="Arial" w:hAnsi="Arial" w:cs="Arial"/>
        </w:rPr>
      </w:pPr>
      <w:r w:rsidRPr="00FB3A86">
        <w:rPr>
          <w:rFonts w:ascii="Arial" w:hAnsi="Arial" w:cs="Arial"/>
        </w:rPr>
        <w:t>ABSTRACT</w:t>
      </w:r>
    </w:p>
    <w:p w14:paraId="3F548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C590BB" w14:textId="77777777" w:rsidTr="001E44FE">
        <w:tc>
          <w:tcPr>
            <w:tcW w:w="9576" w:type="dxa"/>
            <w:shd w:val="clear" w:color="auto" w:fill="F2F2F2"/>
          </w:tcPr>
          <w:p w14:paraId="25F92DA1" w14:textId="138CEA1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44973" w:rsidRPr="00C44973">
              <w:rPr>
                <w:rFonts w:ascii="Arial" w:eastAsia="Calibri" w:hAnsi="Arial" w:cs="Arial"/>
                <w:szCs w:val="22"/>
              </w:rPr>
              <w:t>This study investigated the effect of corporate governance mechanisms on sustainability reporting among listed insurance firms in Nigeria</w:t>
            </w:r>
            <w:r w:rsidRPr="00BA1B01">
              <w:rPr>
                <w:rFonts w:ascii="Arial" w:eastAsia="Calibri" w:hAnsi="Arial" w:cs="Arial"/>
                <w:szCs w:val="22"/>
              </w:rPr>
              <w:t>.</w:t>
            </w:r>
          </w:p>
          <w:p w14:paraId="55C96EBE" w14:textId="690F0DB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44973" w:rsidRPr="00C44973">
              <w:rPr>
                <w:rFonts w:ascii="Arial" w:eastAsia="Calibri" w:hAnsi="Arial" w:cs="Arial"/>
                <w:szCs w:val="22"/>
              </w:rPr>
              <w:t>The study employed correlational and causal research design. The population of the study covered twenty-two (22) listed insurance firms in Nigeria. The study utilized secondary data obtained from firms’ annual reports for the period of 2013 – 2023, yielding 220 firm-year observations. The System Generalized Method of Moments (GMM) estimation technique was applied to address potential endogeneity, heteroscedasticity, and firm-specific effects</w:t>
            </w:r>
            <w:r w:rsidRPr="00BA1B01">
              <w:rPr>
                <w:rFonts w:ascii="Arial" w:eastAsia="Calibri" w:hAnsi="Arial" w:cs="Arial"/>
                <w:szCs w:val="22"/>
              </w:rPr>
              <w:t>.</w:t>
            </w:r>
          </w:p>
          <w:p w14:paraId="2BAA492A" w14:textId="0140C04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44973" w:rsidRPr="00C44973">
              <w:rPr>
                <w:rFonts w:ascii="Arial" w:eastAsia="Calibri" w:hAnsi="Arial" w:cs="Arial"/>
                <w:szCs w:val="22"/>
              </w:rPr>
              <w:t xml:space="preserve">Descriptive analysis revealed a low mean level of sustainability reporting (mean = .7272), indicating limited disclosure practices across Nigerian insurance firms. The correlation analysis showed weak but positive associations between board </w:t>
            </w:r>
            <w:r w:rsidR="00DF2327" w:rsidRPr="00C44973">
              <w:rPr>
                <w:rFonts w:ascii="Arial" w:eastAsia="Calibri" w:hAnsi="Arial" w:cs="Arial"/>
                <w:szCs w:val="22"/>
              </w:rPr>
              <w:t>director’s</w:t>
            </w:r>
            <w:r w:rsidR="00C44973" w:rsidRPr="00C44973">
              <w:rPr>
                <w:rFonts w:ascii="Arial" w:eastAsia="Calibri" w:hAnsi="Arial" w:cs="Arial"/>
                <w:szCs w:val="22"/>
              </w:rPr>
              <w:t xml:space="preserve"> reputational capital (BDRC) and sustainability reporting, and a weak negative relationship with board director</w:t>
            </w:r>
            <w:r w:rsidR="00EC2AAD">
              <w:rPr>
                <w:rFonts w:ascii="Arial" w:eastAsia="Calibri" w:hAnsi="Arial" w:cs="Arial"/>
                <w:szCs w:val="22"/>
              </w:rPr>
              <w:t>’s</w:t>
            </w:r>
            <w:r w:rsidR="00C44973" w:rsidRPr="00C44973">
              <w:rPr>
                <w:rFonts w:ascii="Arial" w:eastAsia="Calibri" w:hAnsi="Arial" w:cs="Arial"/>
                <w:szCs w:val="22"/>
              </w:rPr>
              <w:t xml:space="preserve"> nationality (BNAT). The regression results indicated that lagged sustainability reporting (SR–1) was positive and significant (</w:t>
            </w:r>
            <w:r w:rsidR="00EC2AAD" w:rsidRPr="00EC2AAD">
              <w:rPr>
                <w:rFonts w:ascii="Arial" w:eastAsia="Calibri" w:hAnsi="Arial" w:cs="Arial"/>
                <w:i/>
                <w:iCs/>
                <w:szCs w:val="22"/>
              </w:rPr>
              <w:t>P</w:t>
            </w:r>
            <w:r w:rsidR="00C44973" w:rsidRPr="00C44973">
              <w:rPr>
                <w:rFonts w:ascii="Arial" w:eastAsia="Calibri" w:hAnsi="Arial" w:cs="Arial"/>
                <w:szCs w:val="22"/>
              </w:rPr>
              <w:t xml:space="preserve"> &lt; .001), suggesting persistence in disclosure </w:t>
            </w:r>
            <w:proofErr w:type="spellStart"/>
            <w:r w:rsidR="00C44973" w:rsidRPr="00C44973">
              <w:rPr>
                <w:rFonts w:ascii="Arial" w:eastAsia="Calibri" w:hAnsi="Arial" w:cs="Arial"/>
                <w:szCs w:val="22"/>
              </w:rPr>
              <w:t>behaviour</w:t>
            </w:r>
            <w:proofErr w:type="spellEnd"/>
            <w:r w:rsidR="00C44973" w:rsidRPr="00C44973">
              <w:rPr>
                <w:rFonts w:ascii="Arial" w:eastAsia="Calibri" w:hAnsi="Arial" w:cs="Arial"/>
                <w:szCs w:val="22"/>
              </w:rPr>
              <w:t>. BDRC had a strong and significant positive effect on sustainability reporting (</w:t>
            </w:r>
            <w:r w:rsidR="00EC2AAD" w:rsidRPr="00EC2AAD">
              <w:rPr>
                <w:rFonts w:ascii="Arial" w:eastAsia="Calibri" w:hAnsi="Arial" w:cs="Arial"/>
                <w:i/>
                <w:iCs/>
                <w:szCs w:val="22"/>
              </w:rPr>
              <w:t>P</w:t>
            </w:r>
            <w:r w:rsidR="00C44973" w:rsidRPr="00C44973">
              <w:rPr>
                <w:rFonts w:ascii="Arial" w:eastAsia="Calibri" w:hAnsi="Arial" w:cs="Arial"/>
                <w:szCs w:val="22"/>
              </w:rPr>
              <w:t xml:space="preserve"> &lt; .001), while BNAT had a negative and significant impact (</w:t>
            </w:r>
            <w:r w:rsidR="00EC2AAD" w:rsidRPr="00EC2AAD">
              <w:rPr>
                <w:rFonts w:ascii="Arial" w:eastAsia="Calibri" w:hAnsi="Arial" w:cs="Arial"/>
                <w:i/>
                <w:iCs/>
                <w:szCs w:val="22"/>
              </w:rPr>
              <w:t>P</w:t>
            </w:r>
            <w:r w:rsidR="00C44973" w:rsidRPr="00C44973">
              <w:rPr>
                <w:rFonts w:ascii="Arial" w:eastAsia="Calibri" w:hAnsi="Arial" w:cs="Arial"/>
                <w:szCs w:val="22"/>
              </w:rPr>
              <w:t xml:space="preserve"> &lt; .</w:t>
            </w:r>
            <w:r w:rsidR="00EC2AAD">
              <w:rPr>
                <w:rFonts w:ascii="Arial" w:eastAsia="Calibri" w:hAnsi="Arial" w:cs="Arial"/>
                <w:szCs w:val="22"/>
              </w:rPr>
              <w:t>0</w:t>
            </w:r>
            <w:r w:rsidR="00C44973" w:rsidRPr="00C44973">
              <w:rPr>
                <w:rFonts w:ascii="Arial" w:eastAsia="Calibri" w:hAnsi="Arial" w:cs="Arial"/>
                <w:szCs w:val="22"/>
              </w:rPr>
              <w:t>01). Among the environmental control variables, total greenhouse gas emissions (TGHGS) showed a significant positive relationship (</w:t>
            </w:r>
            <w:r w:rsidR="00EC2AAD" w:rsidRPr="00EC2AAD">
              <w:rPr>
                <w:rFonts w:ascii="Arial" w:eastAsia="Calibri" w:hAnsi="Arial" w:cs="Arial"/>
                <w:i/>
                <w:iCs/>
                <w:szCs w:val="22"/>
              </w:rPr>
              <w:t>P</w:t>
            </w:r>
            <w:r w:rsidR="00C44973" w:rsidRPr="00C44973">
              <w:rPr>
                <w:rFonts w:ascii="Arial" w:eastAsia="Calibri" w:hAnsi="Arial" w:cs="Arial"/>
                <w:szCs w:val="22"/>
              </w:rPr>
              <w:t xml:space="preserve"> = .003), whereas renewable energy consumption (RENG) was negative and insignificant (</w:t>
            </w:r>
            <w:r w:rsidR="009710A1" w:rsidRPr="009710A1">
              <w:rPr>
                <w:rFonts w:ascii="Arial" w:eastAsia="Calibri" w:hAnsi="Arial" w:cs="Arial"/>
                <w:i/>
                <w:iCs/>
                <w:szCs w:val="22"/>
              </w:rPr>
              <w:t>P</w:t>
            </w:r>
            <w:r w:rsidR="00C44973" w:rsidRPr="00C44973">
              <w:rPr>
                <w:rFonts w:ascii="Arial" w:eastAsia="Calibri" w:hAnsi="Arial" w:cs="Arial"/>
                <w:szCs w:val="22"/>
              </w:rPr>
              <w:t xml:space="preserve"> = .674)</w:t>
            </w:r>
            <w:r w:rsidRPr="00BA1B01">
              <w:rPr>
                <w:rFonts w:ascii="Arial" w:eastAsia="Calibri" w:hAnsi="Arial" w:cs="Arial"/>
                <w:szCs w:val="22"/>
              </w:rPr>
              <w:t>.</w:t>
            </w:r>
          </w:p>
          <w:p w14:paraId="3D4F92F5" w14:textId="09BDE2C2"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44973" w:rsidRPr="00C44973">
              <w:rPr>
                <w:rFonts w:ascii="Arial" w:eastAsia="Calibri" w:hAnsi="Arial" w:cs="Arial"/>
                <w:szCs w:val="22"/>
              </w:rPr>
              <w:t>Th</w:t>
            </w:r>
            <w:r w:rsidR="00C44973">
              <w:rPr>
                <w:rFonts w:ascii="Arial" w:eastAsia="Calibri" w:hAnsi="Arial" w:cs="Arial"/>
                <w:szCs w:val="22"/>
              </w:rPr>
              <w:t xml:space="preserve">e study concluded </w:t>
            </w:r>
            <w:r w:rsidR="00C44973" w:rsidRPr="00C44973">
              <w:rPr>
                <w:rFonts w:ascii="Arial" w:eastAsia="Calibri" w:hAnsi="Arial" w:cs="Arial"/>
                <w:szCs w:val="22"/>
              </w:rPr>
              <w:t>that board reputational quality significantly enhances sustainability disclosure, while foreign board representation may not translate into improved reporting within the Nigerian context</w:t>
            </w:r>
            <w:r w:rsidRPr="00BA1B01">
              <w:rPr>
                <w:rFonts w:ascii="Arial" w:eastAsia="Calibri" w:hAnsi="Arial" w:cs="Arial"/>
                <w:szCs w:val="22"/>
              </w:rPr>
              <w:t>.</w:t>
            </w:r>
            <w:r w:rsidR="00F47B1F">
              <w:rPr>
                <w:rFonts w:ascii="Arial" w:eastAsia="Calibri" w:hAnsi="Arial" w:cs="Arial"/>
                <w:szCs w:val="22"/>
              </w:rPr>
              <w:t xml:space="preserve"> </w:t>
            </w:r>
            <w:r w:rsidR="00F47B1F" w:rsidRPr="009710A1">
              <w:rPr>
                <w:rFonts w:ascii="Arial" w:eastAsia="Calibri" w:hAnsi="Arial" w:cs="Arial"/>
                <w:szCs w:val="22"/>
                <w:highlight w:val="yellow"/>
              </w:rPr>
              <w:t xml:space="preserve">The study recommends that </w:t>
            </w:r>
            <w:r w:rsidR="00F47B1F" w:rsidRPr="009710A1">
              <w:rPr>
                <w:rFonts w:ascii="Arial" w:hAnsi="Arial" w:cs="Arial"/>
                <w:highlight w:val="yellow"/>
              </w:rPr>
              <w:t>Nigerian insurance firms strengthen their governance structures by appointing directors with high reputational standing and proven records of integrity, as such individuals positively influence sustainability reporting and enhance stakeholder trust.</w:t>
            </w:r>
          </w:p>
        </w:tc>
      </w:tr>
    </w:tbl>
    <w:p w14:paraId="264E139A" w14:textId="77777777" w:rsidR="00636EB2" w:rsidRDefault="00636EB2" w:rsidP="00441B6F">
      <w:pPr>
        <w:pStyle w:val="Body"/>
        <w:spacing w:after="0"/>
        <w:rPr>
          <w:rFonts w:ascii="Arial" w:hAnsi="Arial" w:cs="Arial"/>
          <w:i/>
        </w:rPr>
      </w:pPr>
    </w:p>
    <w:p w14:paraId="1C52C13B" w14:textId="560166A6" w:rsidR="00A24E7E" w:rsidRDefault="00A24E7E" w:rsidP="00441B6F">
      <w:pPr>
        <w:pStyle w:val="Body"/>
        <w:spacing w:after="0"/>
        <w:rPr>
          <w:rFonts w:ascii="Arial" w:hAnsi="Arial" w:cs="Arial"/>
          <w:i/>
        </w:rPr>
      </w:pPr>
      <w:r>
        <w:rPr>
          <w:rFonts w:ascii="Arial" w:hAnsi="Arial" w:cs="Arial"/>
          <w:i/>
        </w:rPr>
        <w:t xml:space="preserve">Keywords: </w:t>
      </w:r>
      <w:r w:rsidR="00C44973" w:rsidRPr="00C44973">
        <w:rPr>
          <w:rFonts w:ascii="Arial" w:hAnsi="Arial" w:cs="Arial"/>
          <w:i/>
        </w:rPr>
        <w:t>Board Director Reputational Capital, Board Nationality, Corporate Governance, Nigerian Insurance Firms, Sustainability Reporting</w:t>
      </w:r>
    </w:p>
    <w:p w14:paraId="43AD3860" w14:textId="77777777" w:rsidR="0024282C" w:rsidRDefault="0024282C" w:rsidP="00441B6F">
      <w:pPr>
        <w:pStyle w:val="Body"/>
        <w:spacing w:after="0"/>
        <w:rPr>
          <w:rFonts w:ascii="Arial" w:hAnsi="Arial" w:cs="Arial"/>
          <w:i/>
          <w:sz w:val="18"/>
        </w:rPr>
      </w:pPr>
    </w:p>
    <w:p w14:paraId="6758A173" w14:textId="77777777" w:rsidR="00505F06" w:rsidRPr="00A24E7E" w:rsidRDefault="00505F06" w:rsidP="00441B6F">
      <w:pPr>
        <w:pStyle w:val="Body"/>
        <w:spacing w:after="0"/>
        <w:rPr>
          <w:rFonts w:ascii="Arial" w:hAnsi="Arial" w:cs="Arial"/>
          <w:i/>
        </w:rPr>
      </w:pPr>
    </w:p>
    <w:p w14:paraId="4E36AC2B" w14:textId="028332D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77BCF9" w14:textId="77777777" w:rsidR="00790ADA" w:rsidRPr="00FB3A86" w:rsidRDefault="00790ADA" w:rsidP="00441B6F">
      <w:pPr>
        <w:pStyle w:val="AbstHead"/>
        <w:spacing w:after="0"/>
        <w:jc w:val="both"/>
        <w:rPr>
          <w:rFonts w:ascii="Arial" w:hAnsi="Arial" w:cs="Arial"/>
        </w:rPr>
      </w:pPr>
    </w:p>
    <w:p w14:paraId="094868B5" w14:textId="2E0BC00E" w:rsidR="00C44973" w:rsidRPr="00C44973" w:rsidRDefault="00C44973" w:rsidP="00C44973">
      <w:pPr>
        <w:pStyle w:val="Body"/>
        <w:rPr>
          <w:rFonts w:ascii="Arial" w:hAnsi="Arial" w:cs="Arial"/>
        </w:rPr>
      </w:pPr>
      <w:r w:rsidRPr="00C44973">
        <w:rPr>
          <w:rFonts w:ascii="Arial" w:hAnsi="Arial" w:cs="Arial"/>
        </w:rPr>
        <w:t xml:space="preserve">Sustainability reporting in organizations plays a crucial role in ensuring transparency and accountability regarding environmental, social, and governance (ESG) practices (Agama &amp; Zubairu, 2022). In the context of insurance firms, such reporting does not only </w:t>
      </w:r>
      <w:r w:rsidR="00EC2AAD" w:rsidRPr="00C44973">
        <w:rPr>
          <w:rFonts w:ascii="Arial" w:hAnsi="Arial" w:cs="Arial"/>
        </w:rPr>
        <w:t>strengthen</w:t>
      </w:r>
      <w:r w:rsidRPr="00C44973">
        <w:rPr>
          <w:rFonts w:ascii="Arial" w:hAnsi="Arial" w:cs="Arial"/>
        </w:rPr>
        <w:t xml:space="preserve"> stakeholder trust but also enhances the firms' ability to meet regulatory requirements and respond to increasing demands for corporate social responsibility (</w:t>
      </w:r>
      <w:proofErr w:type="spellStart"/>
      <w:r w:rsidRPr="00C44973">
        <w:rPr>
          <w:rFonts w:ascii="Arial" w:hAnsi="Arial" w:cs="Arial"/>
        </w:rPr>
        <w:t>Dagunduro</w:t>
      </w:r>
      <w:proofErr w:type="spellEnd"/>
      <w:r w:rsidRPr="00C44973">
        <w:rPr>
          <w:rFonts w:ascii="Arial" w:hAnsi="Arial" w:cs="Arial"/>
        </w:rPr>
        <w:t xml:space="preserve"> et al., 2024). Insurance firms are uniquely positioned to drive sustainability through risk management </w:t>
      </w:r>
      <w:r w:rsidRPr="00C44973">
        <w:rPr>
          <w:rFonts w:ascii="Arial" w:hAnsi="Arial" w:cs="Arial"/>
        </w:rPr>
        <w:lastRenderedPageBreak/>
        <w:t xml:space="preserve">practices, making effective sustainability reporting essential for long-term value creation and corporate resilience (Meral et al., 2025). However, despite the growing recognition of its importance, many insurance firms in Nigeria still face challenges in adopting comprehensive sustainability reporting practices (Sani </w:t>
      </w:r>
      <w:proofErr w:type="spellStart"/>
      <w:r w:rsidRPr="00C44973">
        <w:rPr>
          <w:rFonts w:ascii="Arial" w:hAnsi="Arial" w:cs="Arial"/>
        </w:rPr>
        <w:t>eet</w:t>
      </w:r>
      <w:proofErr w:type="spellEnd"/>
      <w:r w:rsidRPr="00C44973">
        <w:rPr>
          <w:rFonts w:ascii="Arial" w:hAnsi="Arial" w:cs="Arial"/>
        </w:rPr>
        <w:t xml:space="preserve"> al., 2022). Research into improving sustainability reporting in these firms is therefore necessary to identify barriers, best practices, and governance mechanisms that can foster better compliance with global reporting standards and promote sustainable business operations (</w:t>
      </w:r>
      <w:proofErr w:type="spellStart"/>
      <w:r w:rsidRPr="00C44973">
        <w:rPr>
          <w:rFonts w:ascii="Arial" w:hAnsi="Arial" w:cs="Arial"/>
        </w:rPr>
        <w:t>Osasona</w:t>
      </w:r>
      <w:proofErr w:type="spellEnd"/>
      <w:r w:rsidRPr="00C44973">
        <w:rPr>
          <w:rFonts w:ascii="Arial" w:hAnsi="Arial" w:cs="Arial"/>
        </w:rPr>
        <w:t xml:space="preserve"> et al., 2021; Owolabi &amp; </w:t>
      </w:r>
      <w:proofErr w:type="spellStart"/>
      <w:r w:rsidRPr="00C44973">
        <w:rPr>
          <w:rFonts w:ascii="Arial" w:hAnsi="Arial" w:cs="Arial"/>
        </w:rPr>
        <w:t>Okulenu</w:t>
      </w:r>
      <w:proofErr w:type="spellEnd"/>
      <w:r w:rsidRPr="00C44973">
        <w:rPr>
          <w:rFonts w:ascii="Arial" w:hAnsi="Arial" w:cs="Arial"/>
        </w:rPr>
        <w:t>, 2020).</w:t>
      </w:r>
    </w:p>
    <w:p w14:paraId="39E5923D" w14:textId="7B4074C4" w:rsidR="00C44973" w:rsidRPr="00C44973" w:rsidRDefault="00C44973" w:rsidP="00C44973">
      <w:pPr>
        <w:pStyle w:val="Body"/>
        <w:rPr>
          <w:rFonts w:ascii="Arial" w:hAnsi="Arial" w:cs="Arial"/>
        </w:rPr>
      </w:pPr>
      <w:proofErr w:type="spellStart"/>
      <w:r w:rsidRPr="00C44973">
        <w:rPr>
          <w:rFonts w:ascii="Arial" w:hAnsi="Arial" w:cs="Arial"/>
        </w:rPr>
        <w:t>Oyerogba</w:t>
      </w:r>
      <w:proofErr w:type="spellEnd"/>
      <w:r w:rsidRPr="00C44973">
        <w:rPr>
          <w:rFonts w:ascii="Arial" w:hAnsi="Arial" w:cs="Arial"/>
        </w:rPr>
        <w:t xml:space="preserve"> et al., (2024) stressed that for a company to report adequately on sustainability initiatives, there is the need for a strong corporate governance mechanism. In this regard, the relationship between corporate governance mechanisms and sustainability reporting is increasingly acknowledged as a crucial factor for long-term corporate success and risk management. Good corporate governance practices are a foundation for credible sustainability reporting (Bataller-Grau, 2025). This is because governance structures and processes shape the decision-making that ultimately drives a company's sustainability reporting. Furthermore, the integration of corporate governance mechanisms with sustainability reporting is critical for the development of sustainable business practices. The relationship between board of </w:t>
      </w:r>
      <w:r w:rsidR="00EC2AAD" w:rsidRPr="00C44973">
        <w:rPr>
          <w:rFonts w:ascii="Arial" w:hAnsi="Arial" w:cs="Arial"/>
        </w:rPr>
        <w:t>director’s</w:t>
      </w:r>
      <w:r w:rsidRPr="00C44973">
        <w:rPr>
          <w:rFonts w:ascii="Arial" w:hAnsi="Arial" w:cs="Arial"/>
        </w:rPr>
        <w:t xml:space="preserve"> nationality and sustainability reporting in listed insurance firms has attracted significant academic attention in recent years. Boards with internationally diverse directors are believed to bring a range of perspectives and experiences that can enhance corporate sustainability practices (Lewa et al., 2024; Musa &amp; Abdulsalam, 2023). For instance, </w:t>
      </w:r>
      <w:proofErr w:type="spellStart"/>
      <w:r w:rsidRPr="00C44973">
        <w:rPr>
          <w:rFonts w:ascii="Arial" w:hAnsi="Arial" w:cs="Arial"/>
        </w:rPr>
        <w:t>Dobija</w:t>
      </w:r>
      <w:proofErr w:type="spellEnd"/>
      <w:r w:rsidRPr="00C44973">
        <w:rPr>
          <w:rFonts w:ascii="Arial" w:hAnsi="Arial" w:cs="Arial"/>
        </w:rPr>
        <w:t xml:space="preserve"> et al. (2023) found that the international orientation of supervisory board members positively influenced the scope of non-financial disclosures, suggesting that directors with international experience contribute to broader sustainability reporting. ​In the African context, Erin and Ackers (2024) examined firms in sub-Saharan Africa and reported that the combination of corporate boards and external assurance positively impacts sustainability reporting practices. Similarly, </w:t>
      </w:r>
      <w:proofErr w:type="spellStart"/>
      <w:r w:rsidRPr="00C44973">
        <w:rPr>
          <w:rFonts w:ascii="Arial" w:hAnsi="Arial" w:cs="Arial"/>
        </w:rPr>
        <w:t>Uwaifo</w:t>
      </w:r>
      <w:proofErr w:type="spellEnd"/>
      <w:r w:rsidRPr="00C44973">
        <w:rPr>
          <w:rFonts w:ascii="Arial" w:hAnsi="Arial" w:cs="Arial"/>
        </w:rPr>
        <w:t xml:space="preserve"> and </w:t>
      </w:r>
      <w:proofErr w:type="spellStart"/>
      <w:r w:rsidRPr="00C44973">
        <w:rPr>
          <w:rFonts w:ascii="Arial" w:hAnsi="Arial" w:cs="Arial"/>
        </w:rPr>
        <w:t>Okoh</w:t>
      </w:r>
      <w:proofErr w:type="spellEnd"/>
      <w:r w:rsidRPr="00C44973">
        <w:rPr>
          <w:rFonts w:ascii="Arial" w:hAnsi="Arial" w:cs="Arial"/>
        </w:rPr>
        <w:t xml:space="preserve"> (2024) focused on Nigerian banks and discovered that board nationality diversity has a significant positive relationship with sustainability reporting, indicating that the presence of foreign directors </w:t>
      </w:r>
      <w:r w:rsidR="00EC2AAD" w:rsidRPr="00C44973">
        <w:rPr>
          <w:rFonts w:ascii="Arial" w:hAnsi="Arial" w:cs="Arial"/>
        </w:rPr>
        <w:t>enhances</w:t>
      </w:r>
      <w:r w:rsidRPr="00C44973">
        <w:rPr>
          <w:rFonts w:ascii="Arial" w:hAnsi="Arial" w:cs="Arial"/>
        </w:rPr>
        <w:t xml:space="preserve"> disclosure practices. These findings suggest that national diversity within corporate boards can lead to more comprehensive sustainability reporting, as directors from various national backgrounds may introduce diverse viewpoints and expertise that promote transparency and accountability.</w:t>
      </w:r>
    </w:p>
    <w:p w14:paraId="66995DA5" w14:textId="4036C985" w:rsidR="00B95236" w:rsidRDefault="00C44973" w:rsidP="00C44973">
      <w:pPr>
        <w:pStyle w:val="Body"/>
        <w:rPr>
          <w:rFonts w:ascii="Arial" w:hAnsi="Arial" w:cs="Arial"/>
        </w:rPr>
      </w:pPr>
      <w:r w:rsidRPr="00C44973">
        <w:rPr>
          <w:rFonts w:ascii="Arial" w:hAnsi="Arial" w:cs="Arial"/>
        </w:rPr>
        <w:t xml:space="preserve">Board of </w:t>
      </w:r>
      <w:r w:rsidR="00EC2AAD" w:rsidRPr="00C44973">
        <w:rPr>
          <w:rFonts w:ascii="Arial" w:hAnsi="Arial" w:cs="Arial"/>
        </w:rPr>
        <w:t>director’s</w:t>
      </w:r>
      <w:r w:rsidRPr="00C44973">
        <w:rPr>
          <w:rFonts w:ascii="Arial" w:hAnsi="Arial" w:cs="Arial"/>
        </w:rPr>
        <w:t xml:space="preserve"> reputation refers to the value of a company or individual's reputation in terms of public perception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xml:space="preserve">, 2020). Reputation capital of board director can affect stakeholders' decisions and overall company success. It is a form of intangible asset that reflects the perceived value of an individual's or entity's standing among stakeholders, based on past actions and expected future </w:t>
      </w:r>
      <w:proofErr w:type="spellStart"/>
      <w:r w:rsidRPr="00C44973">
        <w:rPr>
          <w:rFonts w:ascii="Arial" w:hAnsi="Arial" w:cs="Arial"/>
        </w:rPr>
        <w:t>behaviour</w:t>
      </w:r>
      <w:proofErr w:type="spellEnd"/>
      <w:r w:rsidRPr="00C44973">
        <w:rPr>
          <w:rFonts w:ascii="Arial" w:hAnsi="Arial" w:cs="Arial"/>
        </w:rPr>
        <w:t xml:space="preserve">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2020). For board directors, this capital derives from their career achievements, ethical records, and professional conduct, thus influences their capacity for sustainability reporting. The reputation of board of directors can be a significant driver of such practices, with their personal and professional standing potentially affecting their approach to governance and sustainability issues (Khalaf, 2024).</w:t>
      </w:r>
    </w:p>
    <w:p w14:paraId="36027C48" w14:textId="77777777" w:rsidR="00C44973" w:rsidRPr="00C44973" w:rsidRDefault="00C44973" w:rsidP="00C44973">
      <w:pPr>
        <w:pStyle w:val="Body"/>
        <w:rPr>
          <w:rFonts w:ascii="Arial" w:hAnsi="Arial" w:cs="Arial"/>
          <w:b/>
          <w:bCs/>
        </w:rPr>
      </w:pPr>
      <w:r w:rsidRPr="00C44973">
        <w:rPr>
          <w:rFonts w:ascii="Arial" w:hAnsi="Arial" w:cs="Arial"/>
          <w:b/>
          <w:bCs/>
        </w:rPr>
        <w:t>1.1 Objectives of the Study</w:t>
      </w:r>
    </w:p>
    <w:p w14:paraId="18669FE3" w14:textId="77777777" w:rsidR="00C44973" w:rsidRPr="00C44973" w:rsidRDefault="00C44973" w:rsidP="00C44973">
      <w:pPr>
        <w:pStyle w:val="Body"/>
        <w:rPr>
          <w:rFonts w:ascii="Arial" w:hAnsi="Arial" w:cs="Arial"/>
        </w:rPr>
      </w:pPr>
      <w:r w:rsidRPr="00C44973">
        <w:rPr>
          <w:rFonts w:ascii="Arial" w:hAnsi="Arial" w:cs="Arial"/>
        </w:rPr>
        <w:t>To determine the relationship between board director reputational capital and sustainability reporting of listed insurance firms in Nigeria.</w:t>
      </w:r>
    </w:p>
    <w:p w14:paraId="3410971D" w14:textId="77777777" w:rsidR="00C44973" w:rsidRPr="00C44973" w:rsidRDefault="00C44973" w:rsidP="00C44973">
      <w:pPr>
        <w:pStyle w:val="Body"/>
        <w:rPr>
          <w:rFonts w:ascii="Arial" w:hAnsi="Arial" w:cs="Arial"/>
        </w:rPr>
      </w:pPr>
      <w:r w:rsidRPr="00C44973">
        <w:rPr>
          <w:rFonts w:ascii="Arial" w:hAnsi="Arial" w:cs="Arial"/>
        </w:rPr>
        <w:t>To assess the influence of board director nationality on sustainability reporting of listed insurance firms in Nigeria.</w:t>
      </w:r>
    </w:p>
    <w:p w14:paraId="7B821098" w14:textId="77777777" w:rsidR="00C44973" w:rsidRPr="00C44973" w:rsidRDefault="00C44973" w:rsidP="00C44973">
      <w:pPr>
        <w:pStyle w:val="Body"/>
        <w:rPr>
          <w:rFonts w:ascii="Arial" w:hAnsi="Arial" w:cs="Arial"/>
          <w:b/>
          <w:bCs/>
        </w:rPr>
      </w:pPr>
      <w:r w:rsidRPr="00C44973">
        <w:rPr>
          <w:rFonts w:ascii="Arial" w:hAnsi="Arial" w:cs="Arial"/>
          <w:b/>
          <w:bCs/>
        </w:rPr>
        <w:lastRenderedPageBreak/>
        <w:t>1.2 Research Hypotheses</w:t>
      </w:r>
    </w:p>
    <w:p w14:paraId="47C387FC" w14:textId="77777777" w:rsidR="00C44973" w:rsidRPr="00C44973" w:rsidRDefault="00C44973" w:rsidP="00C44973">
      <w:pPr>
        <w:pStyle w:val="Body"/>
        <w:rPr>
          <w:rFonts w:ascii="Arial" w:hAnsi="Arial" w:cs="Arial"/>
        </w:rPr>
      </w:pPr>
      <w:r w:rsidRPr="00C44973">
        <w:rPr>
          <w:rFonts w:ascii="Arial" w:hAnsi="Arial" w:cs="Arial"/>
          <w:b/>
          <w:bCs/>
        </w:rPr>
        <w:t>H0</w:t>
      </w:r>
      <w:r w:rsidRPr="00C44973">
        <w:rPr>
          <w:rFonts w:ascii="Arial" w:hAnsi="Arial" w:cs="Arial"/>
          <w:b/>
          <w:bCs/>
          <w:vertAlign w:val="subscript"/>
        </w:rPr>
        <w:t>1</w:t>
      </w:r>
      <w:r w:rsidRPr="00C44973">
        <w:rPr>
          <w:rFonts w:ascii="Arial" w:hAnsi="Arial" w:cs="Arial"/>
        </w:rPr>
        <w:t>: Board director reputational capital has no significant relationship with sustainability reporting of listed insurance firms in Nigeria</w:t>
      </w:r>
    </w:p>
    <w:p w14:paraId="2978E9E1" w14:textId="3344B6A0" w:rsidR="00C44973" w:rsidRDefault="00C44973" w:rsidP="00C44973">
      <w:pPr>
        <w:pStyle w:val="Body"/>
        <w:rPr>
          <w:rFonts w:ascii="Arial" w:hAnsi="Arial" w:cs="Arial"/>
        </w:rPr>
      </w:pPr>
      <w:r w:rsidRPr="00C44973">
        <w:rPr>
          <w:rFonts w:ascii="Arial" w:hAnsi="Arial" w:cs="Arial"/>
          <w:b/>
          <w:bCs/>
        </w:rPr>
        <w:t>H0</w:t>
      </w:r>
      <w:r w:rsidRPr="00C44973">
        <w:rPr>
          <w:rFonts w:ascii="Arial" w:hAnsi="Arial" w:cs="Arial"/>
          <w:b/>
          <w:bCs/>
          <w:vertAlign w:val="subscript"/>
        </w:rPr>
        <w:t>2</w:t>
      </w:r>
      <w:r w:rsidRPr="00C44973">
        <w:rPr>
          <w:rFonts w:ascii="Arial" w:hAnsi="Arial" w:cs="Arial"/>
        </w:rPr>
        <w:t>: Board director nationality does not significantly influence sustainability reporting of listed insurance firms in Nigeria</w:t>
      </w:r>
    </w:p>
    <w:p w14:paraId="74217F7D"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2.0 LITERATURE REVIEW</w:t>
      </w:r>
    </w:p>
    <w:p w14:paraId="4424E176"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2.1 Conceptual Review</w:t>
      </w:r>
    </w:p>
    <w:p w14:paraId="55EA4568"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t>2.1.1 Corporate Governance Mechanism</w:t>
      </w:r>
    </w:p>
    <w:p w14:paraId="177582F2" w14:textId="5EA289C5" w:rsidR="00C44973" w:rsidRPr="00C44973" w:rsidRDefault="00C44973" w:rsidP="00C44973">
      <w:pPr>
        <w:pStyle w:val="Body"/>
        <w:rPr>
          <w:rFonts w:ascii="Arial" w:hAnsi="Arial" w:cs="Arial"/>
        </w:rPr>
      </w:pPr>
      <w:r w:rsidRPr="00C44973">
        <w:rPr>
          <w:rFonts w:ascii="Arial" w:hAnsi="Arial" w:cs="Arial"/>
        </w:rPr>
        <w:t xml:space="preserve">Corporate governance mechanisms are systems, principles, and processes by which companies are directed and controlled, especially on daily basis (Savitri &amp; </w:t>
      </w:r>
      <w:proofErr w:type="spellStart"/>
      <w:r w:rsidRPr="00C44973">
        <w:rPr>
          <w:rFonts w:ascii="Arial" w:hAnsi="Arial" w:cs="Arial"/>
        </w:rPr>
        <w:t>Suhari</w:t>
      </w:r>
      <w:proofErr w:type="spellEnd"/>
      <w:r w:rsidRPr="00C44973">
        <w:rPr>
          <w:rFonts w:ascii="Arial" w:hAnsi="Arial" w:cs="Arial"/>
        </w:rPr>
        <w:t xml:space="preserve">, 2023). They provide a framework for attaining a company's objectives and it </w:t>
      </w:r>
      <w:r w:rsidR="00EC2AAD" w:rsidRPr="00C44973">
        <w:rPr>
          <w:rFonts w:ascii="Arial" w:hAnsi="Arial" w:cs="Arial"/>
        </w:rPr>
        <w:t>encompasses</w:t>
      </w:r>
      <w:r w:rsidRPr="00C44973">
        <w:rPr>
          <w:rFonts w:ascii="Arial" w:hAnsi="Arial" w:cs="Arial"/>
        </w:rPr>
        <w:t xml:space="preserve"> practically every sphere of management, from action plans and internal controls to performance measurement and corporate disclosure (Nafiu et al., 2024). These mechanisms are designed to ensure that stakeholders' interests are </w:t>
      </w:r>
      <w:r w:rsidR="00EC2AAD" w:rsidRPr="00C44973">
        <w:rPr>
          <w:rFonts w:ascii="Arial" w:hAnsi="Arial" w:cs="Arial"/>
        </w:rPr>
        <w:t>protected,</w:t>
      </w:r>
      <w:r w:rsidRPr="00C44973">
        <w:rPr>
          <w:rFonts w:ascii="Arial" w:hAnsi="Arial" w:cs="Arial"/>
        </w:rPr>
        <w:t xml:space="preserve"> and the company operates efficiently and ethically. Corporate governance mechanisms are segmented into two, namely, internal corporate governance mechanisms and external corporate governance mechanisms (Urban, 2019).  Internal corporate governance mechanisms mainly relate to shareholder </w:t>
      </w:r>
      <w:r w:rsidR="00EC2AAD" w:rsidRPr="00C44973">
        <w:rPr>
          <w:rFonts w:ascii="Arial" w:hAnsi="Arial" w:cs="Arial"/>
        </w:rPr>
        <w:t>models</w:t>
      </w:r>
      <w:r w:rsidRPr="00C44973">
        <w:rPr>
          <w:rFonts w:ascii="Arial" w:hAnsi="Arial" w:cs="Arial"/>
        </w:rPr>
        <w:t>, incorporating board of directors, audit committee and management structures (Urban, 2019). The external corporate governance mechanism concern stakeholder model. Both the internal and external corporate governance mechanisms oversee the company's management to ensure that shareholder interests are protected (Urban, 2019). For instance, a diverse and independent board of directors ensures that the company's management acts in the best interests of its shareholders and stakeholders (Khatri et al., 2025). A specialized committee oversees the financial reporting process, internal controls, and audit processes. Effective management structures help in aligning the interests of managers with those of the shareholders. External corporate governance mechanisms include but not limited to market for corporate control, regulatory framework and institutional factors (</w:t>
      </w:r>
      <w:proofErr w:type="spellStart"/>
      <w:r w:rsidRPr="00C44973">
        <w:rPr>
          <w:rFonts w:ascii="Arial" w:hAnsi="Arial" w:cs="Arial"/>
        </w:rPr>
        <w:t>Danescu</w:t>
      </w:r>
      <w:proofErr w:type="spellEnd"/>
      <w:r w:rsidRPr="00C44973">
        <w:rPr>
          <w:rFonts w:ascii="Arial" w:hAnsi="Arial" w:cs="Arial"/>
        </w:rPr>
        <w:t xml:space="preserve"> et al., 2021). </w:t>
      </w:r>
    </w:p>
    <w:p w14:paraId="122D416D"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t>2.1.2 Board Director Nationality</w:t>
      </w:r>
    </w:p>
    <w:p w14:paraId="6D33BF52" w14:textId="124BCE47" w:rsidR="00C44973" w:rsidRPr="00C44973" w:rsidRDefault="00C44973" w:rsidP="00C44973">
      <w:pPr>
        <w:pStyle w:val="Body"/>
        <w:rPr>
          <w:rFonts w:ascii="Arial" w:hAnsi="Arial" w:cs="Arial"/>
        </w:rPr>
      </w:pPr>
      <w:r w:rsidRPr="00C44973">
        <w:rPr>
          <w:rFonts w:ascii="Arial" w:hAnsi="Arial" w:cs="Arial"/>
        </w:rPr>
        <w:t xml:space="preserve">Board nationality is one of the characteristics of the board of directors in a quoted company. It attracts and intertwines with other characteristics of the board of directors (Martin &amp; Herrero, 2018).  Board director nationality provides management with prestige, visibility, commercial networking and contracts. In the context of global business, the composition of company boards has significant implications for policy and practice, especially in sustainability reporting. Chen et al. (2024) stated that board director nationality has the capacity to enhance the quality of decision-making in firms by bringing in diverse perspectives and experiences. This diversity leads to more comprehensive sustainability strategies that are culturally inclusive and globally informed. According to </w:t>
      </w:r>
      <w:proofErr w:type="spellStart"/>
      <w:r w:rsidRPr="00C44973">
        <w:rPr>
          <w:rFonts w:ascii="Arial" w:hAnsi="Arial" w:cs="Arial"/>
        </w:rPr>
        <w:t>Naim</w:t>
      </w:r>
      <w:proofErr w:type="spellEnd"/>
      <w:r w:rsidRPr="00C44973">
        <w:rPr>
          <w:rFonts w:ascii="Arial" w:hAnsi="Arial" w:cs="Arial"/>
        </w:rPr>
        <w:t xml:space="preserve"> and </w:t>
      </w:r>
      <w:proofErr w:type="spellStart"/>
      <w:r w:rsidRPr="00C44973">
        <w:rPr>
          <w:rFonts w:ascii="Arial" w:hAnsi="Arial" w:cs="Arial"/>
        </w:rPr>
        <w:t>Alomair</w:t>
      </w:r>
      <w:proofErr w:type="spellEnd"/>
      <w:r w:rsidRPr="00C44973">
        <w:rPr>
          <w:rFonts w:ascii="Arial" w:hAnsi="Arial" w:cs="Arial"/>
        </w:rPr>
        <w:t xml:space="preserve"> (2024), firms with international board members are more likely to be exposed to global sustainability practices and standards. These directors may push for more rigorous sustainability reporting to align with international expectations and regulatory pressures from their home countries. </w:t>
      </w:r>
    </w:p>
    <w:p w14:paraId="753FACFD" w14:textId="77777777" w:rsidR="00C44973" w:rsidRPr="00C44973" w:rsidRDefault="00C44973" w:rsidP="00C44973">
      <w:pPr>
        <w:pStyle w:val="Body"/>
        <w:rPr>
          <w:rFonts w:ascii="Arial" w:hAnsi="Arial" w:cs="Arial"/>
          <w:b/>
          <w:bCs/>
          <w:i/>
          <w:iCs/>
        </w:rPr>
      </w:pPr>
    </w:p>
    <w:p w14:paraId="6F0FC63F"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lastRenderedPageBreak/>
        <w:t>2.1.3 Board Director Reputational Capital</w:t>
      </w:r>
    </w:p>
    <w:p w14:paraId="4B355652" w14:textId="462FD848" w:rsidR="00C44973" w:rsidRPr="00C44973" w:rsidRDefault="00C44973" w:rsidP="00C44973">
      <w:pPr>
        <w:pStyle w:val="Body"/>
        <w:rPr>
          <w:rFonts w:ascii="Arial" w:hAnsi="Arial" w:cs="Arial"/>
        </w:rPr>
      </w:pPr>
      <w:r w:rsidRPr="00C44973">
        <w:rPr>
          <w:rFonts w:ascii="Arial" w:hAnsi="Arial" w:cs="Arial"/>
        </w:rPr>
        <w:t>Board director’s reputational capital refers to the collective esteem or regard in which a director is held, based on past actions and credibility in fulfilling stakeholder expectations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2020). It acts as a strategic asset for directors, influencing their ability to secure resources, foster stakeholder trust, and guide corporate governance practices. The make-up of a board, including the presence of experienced and reputable directors, is crucial in fostering a culture of transparency and accountability within a firm. Reputable directors are associated with higher ethical standards and a commitment to corporate governance best practices (Fredriksson et al., 2020). This, in turn, influences the extent and quality of sustainability reporting. Reputational capital serves as an asset for firms, particularly in the insurance industry where trust is paramount. Directors with significant reputational capital are more likely to support sustainability initiatives that enhance the firm's long-term value and mitigate risks. This is because reputationally strong directors are often more concerned with the long-term impacts of their decisions, recognizing that robust sustainability reporting can lead to improved corporate image and stakeholder relations (</w:t>
      </w:r>
      <w:proofErr w:type="spellStart"/>
      <w:r w:rsidRPr="00C44973">
        <w:rPr>
          <w:rFonts w:ascii="Arial" w:hAnsi="Arial" w:cs="Arial"/>
        </w:rPr>
        <w:t>Okpamen</w:t>
      </w:r>
      <w:proofErr w:type="spellEnd"/>
      <w:r w:rsidRPr="00C44973">
        <w:rPr>
          <w:rFonts w:ascii="Arial" w:hAnsi="Arial" w:cs="Arial"/>
        </w:rPr>
        <w:t xml:space="preserve"> &amp; </w:t>
      </w:r>
      <w:proofErr w:type="spellStart"/>
      <w:r w:rsidRPr="00C44973">
        <w:rPr>
          <w:rFonts w:ascii="Arial" w:hAnsi="Arial" w:cs="Arial"/>
        </w:rPr>
        <w:t>Ogbeide</w:t>
      </w:r>
      <w:proofErr w:type="spellEnd"/>
      <w:r w:rsidRPr="00C44973">
        <w:rPr>
          <w:rFonts w:ascii="Arial" w:hAnsi="Arial" w:cs="Arial"/>
        </w:rPr>
        <w:t xml:space="preserve">, 2020). </w:t>
      </w:r>
    </w:p>
    <w:p w14:paraId="583D764F" w14:textId="77777777" w:rsidR="00C44973" w:rsidRPr="00C44973" w:rsidRDefault="00C44973" w:rsidP="00C44973">
      <w:pPr>
        <w:pStyle w:val="Body"/>
        <w:rPr>
          <w:rFonts w:ascii="Arial" w:hAnsi="Arial" w:cs="Arial"/>
          <w:b/>
          <w:bCs/>
          <w:u w:val="single"/>
        </w:rPr>
      </w:pPr>
      <w:r w:rsidRPr="00C44973">
        <w:rPr>
          <w:rFonts w:ascii="Arial" w:hAnsi="Arial" w:cs="Arial"/>
          <w:b/>
          <w:bCs/>
          <w:u w:val="single"/>
        </w:rPr>
        <w:t>2.1.4 Sustainability Reporting</w:t>
      </w:r>
    </w:p>
    <w:p w14:paraId="48F08B77" w14:textId="67F8B306" w:rsidR="00C44973" w:rsidRPr="00C44973" w:rsidRDefault="00C44973" w:rsidP="00C44973">
      <w:pPr>
        <w:pStyle w:val="Body"/>
        <w:rPr>
          <w:rFonts w:ascii="Arial" w:hAnsi="Arial" w:cs="Arial"/>
        </w:rPr>
      </w:pPr>
      <w:r w:rsidRPr="00C44973">
        <w:rPr>
          <w:rFonts w:ascii="Arial" w:hAnsi="Arial" w:cs="Arial"/>
        </w:rPr>
        <w:t xml:space="preserve">Sustainability reporting involves the disclosure of environmental, social and corporate-governance information alongside traditional financial data (Agama &amp; Zubairu, 2022). It enables stakeholders to assess how </w:t>
      </w:r>
      <w:proofErr w:type="spellStart"/>
      <w:r w:rsidRPr="00C44973">
        <w:rPr>
          <w:rFonts w:ascii="Arial" w:hAnsi="Arial" w:cs="Arial"/>
        </w:rPr>
        <w:t>organisations</w:t>
      </w:r>
      <w:proofErr w:type="spellEnd"/>
      <w:r w:rsidRPr="00C44973">
        <w:rPr>
          <w:rFonts w:ascii="Arial" w:hAnsi="Arial" w:cs="Arial"/>
        </w:rPr>
        <w:t xml:space="preserve"> manage long-term risks and opportunities arising from issues such as climate change, workforce well-being, community relations and governance structures (Barker, 2025). In the context of listed insurance firms in Nigeria, sustainability reporting is especially important because these firms face multiple stakeholder expectations, regulatory changes and significant exposure to ESG-related risks. Insurance companies operate by underwriting risks and investing premiums in financial markets; as such, transparency in their ESG disclosures helps demonstrate resilience and sound governance. Empirical evidence from Nigeria found that among listed Nigerian insurance firms social sustainability performance had a positive and significant effect on profitability, while environmental sustainability had a negative and significant effect (Yahaya &amp; Alkasim, 2021). This highlights how stakeholders may reward social dimensions of sustainability even as environmental practices may impose higher costs in the </w:t>
      </w:r>
      <w:r w:rsidR="00EC2AAD" w:rsidRPr="00C44973">
        <w:rPr>
          <w:rFonts w:ascii="Arial" w:hAnsi="Arial" w:cs="Arial"/>
        </w:rPr>
        <w:t>short term</w:t>
      </w:r>
      <w:r w:rsidRPr="00C44973">
        <w:rPr>
          <w:rFonts w:ascii="Arial" w:hAnsi="Arial" w:cs="Arial"/>
        </w:rPr>
        <w:t xml:space="preserve">. Sani et al. (2022) found that while social disclosures were substantial, environmental disclosures </w:t>
      </w:r>
      <w:r w:rsidR="00EC2AAD" w:rsidRPr="00C44973">
        <w:rPr>
          <w:rFonts w:ascii="Arial" w:hAnsi="Arial" w:cs="Arial"/>
        </w:rPr>
        <w:t>lagged</w:t>
      </w:r>
      <w:r w:rsidRPr="00C44973">
        <w:rPr>
          <w:rFonts w:ascii="Arial" w:hAnsi="Arial" w:cs="Arial"/>
        </w:rPr>
        <w:t xml:space="preserve"> in the Nigerian insurance sector. Key challenges included limited planning, insufficient resources, unclear governance policies and weak accountability (Sani et al., 2022). This suggests that while the intention to report exists, implementation and depth of reporting vary. Given the evolving regulatory environment in Nigeria and increasing global focus on ESG factors, sustainability reporting allows insurance firms to build stakeholder trust, manage risk proactively, and align their business models with sustainable development imperatives. It also enhances the strategic credibility of insurance firms in the eyes of investors and regulators.</w:t>
      </w:r>
    </w:p>
    <w:p w14:paraId="4F233B1B"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2.2 Theoretical Framework</w:t>
      </w:r>
    </w:p>
    <w:p w14:paraId="159F63B6" w14:textId="200A4B7D" w:rsidR="00C44973" w:rsidRPr="00C44973" w:rsidRDefault="00C44973" w:rsidP="00C44973">
      <w:pPr>
        <w:pStyle w:val="Body"/>
        <w:rPr>
          <w:rFonts w:ascii="Arial" w:hAnsi="Arial" w:cs="Arial"/>
        </w:rPr>
      </w:pPr>
      <w:r w:rsidRPr="00C44973">
        <w:rPr>
          <w:rFonts w:ascii="Arial" w:hAnsi="Arial" w:cs="Arial"/>
        </w:rPr>
        <w:t xml:space="preserve">The Stakeholder Theory, introduced by Freeman (1984), provides a framework that expands the traditional view of corporate responsibility beyond shareholders to encompass a broader network of parties who are affected by an </w:t>
      </w:r>
      <w:proofErr w:type="spellStart"/>
      <w:r w:rsidRPr="00C44973">
        <w:rPr>
          <w:rFonts w:ascii="Arial" w:hAnsi="Arial" w:cs="Arial"/>
        </w:rPr>
        <w:t>organisation’s</w:t>
      </w:r>
      <w:proofErr w:type="spellEnd"/>
      <w:r w:rsidRPr="00C44973">
        <w:rPr>
          <w:rFonts w:ascii="Arial" w:hAnsi="Arial" w:cs="Arial"/>
        </w:rPr>
        <w:t xml:space="preserve"> actions. It suggests that companies must balance the interests of various stakeholders, such as employees, customers, communities, regulators, and investors, </w:t>
      </w:r>
      <w:r w:rsidR="00EC2AAD" w:rsidRPr="00C44973">
        <w:rPr>
          <w:rFonts w:ascii="Arial" w:hAnsi="Arial" w:cs="Arial"/>
        </w:rPr>
        <w:t>to</w:t>
      </w:r>
      <w:r w:rsidRPr="00C44973">
        <w:rPr>
          <w:rFonts w:ascii="Arial" w:hAnsi="Arial" w:cs="Arial"/>
        </w:rPr>
        <w:t xml:space="preserve"> achieve long-term sustainability. According to this theory, effective corporate governance should integrate stakeholder concerns into decision-making processes, ensuring that firms act responsibly and transparently. This idea aligns </w:t>
      </w:r>
      <w:r w:rsidRPr="00C44973">
        <w:rPr>
          <w:rFonts w:ascii="Arial" w:hAnsi="Arial" w:cs="Arial"/>
        </w:rPr>
        <w:lastRenderedPageBreak/>
        <w:t xml:space="preserve">closely with sustainability reporting, which is designed to communicate how </w:t>
      </w:r>
      <w:proofErr w:type="spellStart"/>
      <w:r w:rsidRPr="00C44973">
        <w:rPr>
          <w:rFonts w:ascii="Arial" w:hAnsi="Arial" w:cs="Arial"/>
        </w:rPr>
        <w:t>organisations</w:t>
      </w:r>
      <w:proofErr w:type="spellEnd"/>
      <w:r w:rsidRPr="00C44973">
        <w:rPr>
          <w:rFonts w:ascii="Arial" w:hAnsi="Arial" w:cs="Arial"/>
        </w:rPr>
        <w:t xml:space="preserve"> manage their environmental, social, and governance (ESG) responsibilities in relation to stakeholder expectations (Xu et al., 2024).</w:t>
      </w:r>
    </w:p>
    <w:p w14:paraId="1EC0FBFC" w14:textId="77777777" w:rsidR="00C44973" w:rsidRPr="00C44973" w:rsidRDefault="00C44973" w:rsidP="00C44973">
      <w:pPr>
        <w:pStyle w:val="Body"/>
        <w:rPr>
          <w:rFonts w:ascii="Arial" w:hAnsi="Arial" w:cs="Arial"/>
        </w:rPr>
      </w:pPr>
      <w:r w:rsidRPr="00C44973">
        <w:rPr>
          <w:rFonts w:ascii="Arial" w:hAnsi="Arial" w:cs="Arial"/>
        </w:rPr>
        <w:t xml:space="preserve">The theory provides a foundation for examining how board characteristics influence sustainability reporting. Directors with high reputational capital often strive to protect their credibility by promoting ethical </w:t>
      </w:r>
      <w:proofErr w:type="spellStart"/>
      <w:r w:rsidRPr="00C44973">
        <w:rPr>
          <w:rFonts w:ascii="Arial" w:hAnsi="Arial" w:cs="Arial"/>
        </w:rPr>
        <w:t>behaviour</w:t>
      </w:r>
      <w:proofErr w:type="spellEnd"/>
      <w:r w:rsidRPr="00C44973">
        <w:rPr>
          <w:rFonts w:ascii="Arial" w:hAnsi="Arial" w:cs="Arial"/>
        </w:rPr>
        <w:t xml:space="preserve"> and comprehensive disclosure practices that satisfy stakeholder information needs (Khuong et al., 2021; Siddiqui et al., 2023). Similarly, a board with diverse national backgrounds may possess a wider understanding of international standards and stakeholder demands, encouraging improved sustainability reporting practices (</w:t>
      </w:r>
      <w:proofErr w:type="spellStart"/>
      <w:r w:rsidRPr="00C44973">
        <w:rPr>
          <w:rFonts w:ascii="Arial" w:hAnsi="Arial" w:cs="Arial"/>
        </w:rPr>
        <w:t>Sundarasen</w:t>
      </w:r>
      <w:proofErr w:type="spellEnd"/>
      <w:r w:rsidRPr="00C44973">
        <w:rPr>
          <w:rFonts w:ascii="Arial" w:hAnsi="Arial" w:cs="Arial"/>
        </w:rPr>
        <w:t xml:space="preserve"> et al., 2024). In the Nigerian insurance sector, where stakeholders increasingly demand accountability and transparency, the theory underscores how governance practices shape sustainability communication. The theory helps to understand how governance attributes influence sustainability reporting among listed insurance firms in Nigeria. The reputational capital of board members motivates them to uphold their public image through credible and transparent sustainability disclosure, while nationality diversity brings varied ethical perspectives and enhances responsiveness to global stakeholder expectations (Hameed et al., 2023; Santoso et al., 2025; </w:t>
      </w:r>
      <w:proofErr w:type="spellStart"/>
      <w:r w:rsidRPr="00C44973">
        <w:rPr>
          <w:rFonts w:ascii="Arial" w:hAnsi="Arial" w:cs="Arial"/>
        </w:rPr>
        <w:t>Sundarasen</w:t>
      </w:r>
      <w:proofErr w:type="spellEnd"/>
      <w:r w:rsidRPr="00C44973">
        <w:rPr>
          <w:rFonts w:ascii="Arial" w:hAnsi="Arial" w:cs="Arial"/>
        </w:rPr>
        <w:t xml:space="preserve"> et al., 2024). This theory, therefore, provides a conceptual lens through which the relationship between board characteristics and sustainability reporting can be understood. It explains that the more governance mechanisms reflect stakeholder-oriented values, the more likely firms are to disclose sustainability information that builds trust and ensures long-term legitimacy within the competitive Nigerian insurance industry.</w:t>
      </w:r>
    </w:p>
    <w:p w14:paraId="6C8FB53B" w14:textId="77777777" w:rsidR="00C44973" w:rsidRPr="00C44973" w:rsidRDefault="00C44973" w:rsidP="00C44973">
      <w:pPr>
        <w:pStyle w:val="Body"/>
        <w:rPr>
          <w:rFonts w:ascii="Arial" w:hAnsi="Arial" w:cs="Arial"/>
          <w:b/>
          <w:bCs/>
          <w:sz w:val="22"/>
          <w:szCs w:val="22"/>
        </w:rPr>
      </w:pPr>
      <w:r w:rsidRPr="00C44973">
        <w:rPr>
          <w:rFonts w:ascii="Arial" w:hAnsi="Arial" w:cs="Arial"/>
          <w:b/>
          <w:bCs/>
          <w:sz w:val="22"/>
          <w:szCs w:val="22"/>
        </w:rPr>
        <w:t>2.3 Empirical Review</w:t>
      </w:r>
    </w:p>
    <w:p w14:paraId="60288B99" w14:textId="77777777" w:rsidR="00C44973" w:rsidRPr="00C44973" w:rsidRDefault="00C44973" w:rsidP="00C44973">
      <w:pPr>
        <w:pStyle w:val="Body"/>
        <w:rPr>
          <w:rFonts w:ascii="Arial" w:hAnsi="Arial" w:cs="Arial"/>
        </w:rPr>
      </w:pPr>
      <w:r w:rsidRPr="00C44973">
        <w:rPr>
          <w:rFonts w:ascii="Arial" w:hAnsi="Arial" w:cs="Arial"/>
        </w:rPr>
        <w:t xml:space="preserve">Abdelkader &amp; Gao (2023) examined firms listed on the Johannesburg Stock Exchange (2015 - 2020) using system-GMM panel estimation to assess the effect of board nationality diversity (BND) on ESG scores. They found that BND positively affects ESG disclosure, and that foreign ownership moderates/enhances this effect, supporting the idea that internationally diverse boards bring reputation and legitimacy channels to bear. Moran-Muñoz et al. (2024) studied European listed firms and assess how board gender and nationality diversity impact corporate human-rights performance (CHRP) and disclosure. They used panel regression controlling for cross-country institutional differences and found that nationality diversity is positively related to CHRP/disclosure, but that the strength of the effect depends on institutional rigidity. Although some studies focus more on nationality diversity and firm performance rather than sustainability disclosure, their implications are relevant. For example, </w:t>
      </w:r>
      <w:proofErr w:type="spellStart"/>
      <w:r w:rsidRPr="00C44973">
        <w:rPr>
          <w:rFonts w:ascii="Arial" w:hAnsi="Arial" w:cs="Arial"/>
        </w:rPr>
        <w:t>Zvinowanda</w:t>
      </w:r>
      <w:proofErr w:type="spellEnd"/>
      <w:r w:rsidRPr="00C44973">
        <w:rPr>
          <w:rFonts w:ascii="Arial" w:hAnsi="Arial" w:cs="Arial"/>
        </w:rPr>
        <w:t xml:space="preserve"> et al. (2024) examined board nationality diversity and shareholder value creation in South African non</w:t>
      </w:r>
      <w:r w:rsidRPr="00C44973">
        <w:rPr>
          <w:rFonts w:ascii="Cambria Math" w:hAnsi="Cambria Math" w:cs="Cambria Math"/>
        </w:rPr>
        <w:t>‐</w:t>
      </w:r>
      <w:r w:rsidRPr="00C44973">
        <w:rPr>
          <w:rFonts w:ascii="Arial" w:hAnsi="Arial" w:cs="Arial"/>
        </w:rPr>
        <w:t xml:space="preserve">financial firms (2013–2022) </w:t>
      </w:r>
      <w:proofErr w:type="spellStart"/>
      <w:r w:rsidRPr="00C44973">
        <w:rPr>
          <w:rFonts w:ascii="Arial" w:hAnsi="Arial" w:cs="Arial"/>
        </w:rPr>
        <w:t>utilising</w:t>
      </w:r>
      <w:proofErr w:type="spellEnd"/>
      <w:r w:rsidRPr="00C44973">
        <w:rPr>
          <w:rFonts w:ascii="Arial" w:hAnsi="Arial" w:cs="Arial"/>
        </w:rPr>
        <w:t xml:space="preserve"> fixed-effects and curvilinear models; although not focused on sustainability reporting per se, the findings illustrate that foreign directors’ influence is non-linear and context</w:t>
      </w:r>
      <w:r w:rsidRPr="00C44973">
        <w:rPr>
          <w:rFonts w:ascii="Cambria Math" w:hAnsi="Cambria Math" w:cs="Cambria Math"/>
        </w:rPr>
        <w:t>‐</w:t>
      </w:r>
      <w:r w:rsidRPr="00C44973">
        <w:rPr>
          <w:rFonts w:ascii="Arial" w:hAnsi="Arial" w:cs="Arial"/>
        </w:rPr>
        <w:t>dependent. This suggests that the relationship between nationality and firm outcomes (including SR) may also be non</w:t>
      </w:r>
      <w:r w:rsidRPr="00C44973">
        <w:rPr>
          <w:rFonts w:ascii="Cambria Math" w:hAnsi="Cambria Math" w:cs="Cambria Math"/>
        </w:rPr>
        <w:t>‐</w:t>
      </w:r>
      <w:r w:rsidRPr="00C44973">
        <w:rPr>
          <w:rFonts w:ascii="Arial" w:hAnsi="Arial" w:cs="Arial"/>
        </w:rPr>
        <w:t>linear and contingent (</w:t>
      </w:r>
      <w:proofErr w:type="spellStart"/>
      <w:r w:rsidRPr="00C44973">
        <w:rPr>
          <w:rFonts w:ascii="Arial" w:hAnsi="Arial" w:cs="Arial"/>
        </w:rPr>
        <w:t>Zvinowanda</w:t>
      </w:r>
      <w:proofErr w:type="spellEnd"/>
      <w:r w:rsidRPr="00C44973">
        <w:rPr>
          <w:rFonts w:ascii="Arial" w:hAnsi="Arial" w:cs="Arial"/>
        </w:rPr>
        <w:t xml:space="preserve"> et al., 2024).</w:t>
      </w:r>
    </w:p>
    <w:p w14:paraId="0E804D78" w14:textId="77777777" w:rsidR="00C44973" w:rsidRPr="00C44973" w:rsidRDefault="00C44973" w:rsidP="00C44973">
      <w:pPr>
        <w:pStyle w:val="Body"/>
        <w:rPr>
          <w:rFonts w:ascii="Arial" w:hAnsi="Arial" w:cs="Arial"/>
        </w:rPr>
      </w:pPr>
      <w:r w:rsidRPr="00C44973">
        <w:rPr>
          <w:rFonts w:ascii="Arial" w:hAnsi="Arial" w:cs="Arial"/>
        </w:rPr>
        <w:t xml:space="preserve">Rivo-López et al. (2025) highlighted nationality diversity as one of the less-studied but promising dimensions influencing sustainability disclosure, particularly in emerging markets where </w:t>
      </w:r>
      <w:proofErr w:type="spellStart"/>
      <w:r w:rsidRPr="00C44973">
        <w:rPr>
          <w:rFonts w:ascii="Arial" w:hAnsi="Arial" w:cs="Arial"/>
        </w:rPr>
        <w:t>internationalisation</w:t>
      </w:r>
      <w:proofErr w:type="spellEnd"/>
      <w:r w:rsidRPr="00C44973">
        <w:rPr>
          <w:rFonts w:ascii="Arial" w:hAnsi="Arial" w:cs="Arial"/>
        </w:rPr>
        <w:t xml:space="preserve"> of boards signals greater governance sophistication and access to best practices. </w:t>
      </w:r>
      <w:proofErr w:type="spellStart"/>
      <w:r w:rsidRPr="00C44973">
        <w:rPr>
          <w:rFonts w:ascii="Arial" w:hAnsi="Arial" w:cs="Arial"/>
        </w:rPr>
        <w:t>Sundarasen</w:t>
      </w:r>
      <w:proofErr w:type="spellEnd"/>
      <w:r w:rsidRPr="00C44973">
        <w:rPr>
          <w:rFonts w:ascii="Arial" w:hAnsi="Arial" w:cs="Arial"/>
        </w:rPr>
        <w:t xml:space="preserve"> (2024) also identified nationality diversity as an “emerging frontier” in board</w:t>
      </w:r>
      <w:r w:rsidRPr="00C44973">
        <w:rPr>
          <w:rFonts w:ascii="Cambria Math" w:hAnsi="Cambria Math" w:cs="Cambria Math"/>
        </w:rPr>
        <w:t>‐</w:t>
      </w:r>
      <w:r w:rsidRPr="00C44973">
        <w:rPr>
          <w:rFonts w:ascii="Arial" w:hAnsi="Arial" w:cs="Arial"/>
        </w:rPr>
        <w:t>disclosure research and points out that measurement inconsistency and sample heterogeneity (industry, geography) weaken comparability across studies.</w:t>
      </w:r>
    </w:p>
    <w:p w14:paraId="6B28A2BF" w14:textId="77777777" w:rsidR="00C44973" w:rsidRPr="00C44973" w:rsidRDefault="00C44973" w:rsidP="00C44973">
      <w:pPr>
        <w:pStyle w:val="Body"/>
        <w:rPr>
          <w:rFonts w:ascii="Arial" w:hAnsi="Arial" w:cs="Arial"/>
        </w:rPr>
      </w:pPr>
      <w:r w:rsidRPr="00C44973">
        <w:rPr>
          <w:rFonts w:ascii="Arial" w:hAnsi="Arial" w:cs="Arial"/>
        </w:rPr>
        <w:t xml:space="preserve">Recent research suggests that the reputational capital of board directors, manifested for example in multiple directorships, network ties, or high-profile governance roles, can </w:t>
      </w:r>
      <w:r w:rsidRPr="00C44973">
        <w:rPr>
          <w:rFonts w:ascii="Arial" w:hAnsi="Arial" w:cs="Arial"/>
        </w:rPr>
        <w:lastRenderedPageBreak/>
        <w:t xml:space="preserve">influence a firm’s sustainability reporting practices, although the nature and direction of the effect vary. For example, Bravo-Urquiza and Reguera-Alvarado (2025) examine firms listed in Spain (2011–2017) using regression and robustness checks to ask: do directors with multiple board seats (i.e., “busy” directors) encourage substantive sustainability strategies or mere </w:t>
      </w:r>
      <w:proofErr w:type="spellStart"/>
      <w:r w:rsidRPr="00C44973">
        <w:rPr>
          <w:rFonts w:ascii="Arial" w:hAnsi="Arial" w:cs="Arial"/>
        </w:rPr>
        <w:t>signalling</w:t>
      </w:r>
      <w:proofErr w:type="spellEnd"/>
      <w:r w:rsidRPr="00C44973">
        <w:rPr>
          <w:rFonts w:ascii="Arial" w:hAnsi="Arial" w:cs="Arial"/>
        </w:rPr>
        <w:t xml:space="preserve"> via enhanced ESG disclosure? They found that while multiple directorships are associated with higher ESG reporting (web-accessibility of ESG information) the evidence does </w:t>
      </w:r>
      <w:r w:rsidRPr="00C44973">
        <w:rPr>
          <w:rFonts w:ascii="Arial" w:hAnsi="Arial" w:cs="Arial"/>
          <w:i/>
          <w:iCs/>
        </w:rPr>
        <w:t>not</w:t>
      </w:r>
      <w:r w:rsidRPr="00C44973">
        <w:rPr>
          <w:rFonts w:ascii="Arial" w:hAnsi="Arial" w:cs="Arial"/>
        </w:rPr>
        <w:t xml:space="preserve"> show corresponding improvements in actual ESG commitment or performance, suggesting a symbolic rather than substantive effect of reputational capital (Bravo-Urquiza &amp; Reguera-Alvarado, 2025).</w:t>
      </w:r>
    </w:p>
    <w:p w14:paraId="10F87565" w14:textId="0C063975" w:rsidR="00C44973" w:rsidRPr="00C44973" w:rsidRDefault="00C44973" w:rsidP="00C44973">
      <w:pPr>
        <w:pStyle w:val="Body"/>
        <w:rPr>
          <w:rFonts w:ascii="Arial" w:hAnsi="Arial" w:cs="Arial"/>
        </w:rPr>
      </w:pPr>
      <w:r w:rsidRPr="00C44973">
        <w:rPr>
          <w:rFonts w:ascii="Arial" w:hAnsi="Arial" w:cs="Arial"/>
        </w:rPr>
        <w:t>Khalaf (2024) uses panel data and found that board characteristics associated with higher governance quality are positively linked with adoption of sustainability reporting. This implies that firms whose boards contain high-reputation governance attributes are more likely to engage in reporting practices. Additionally, Piñeiro-Chousa et al. (2025) reported that while director experience is positively associated with ESG rankings, the inclusion of heavily multi-board-seated directors (i.e., very busy directors) weakens the positive effect, indicating that reputational capital may turn into over</w:t>
      </w:r>
      <w:r w:rsidRPr="00C44973">
        <w:rPr>
          <w:rFonts w:ascii="Cambria Math" w:hAnsi="Cambria Math" w:cs="Cambria Math"/>
        </w:rPr>
        <w:t>‐</w:t>
      </w:r>
      <w:r w:rsidRPr="00C44973">
        <w:rPr>
          <w:rFonts w:ascii="Arial" w:hAnsi="Arial" w:cs="Arial"/>
        </w:rPr>
        <w:t xml:space="preserve">commitment or distraction. </w:t>
      </w:r>
      <w:proofErr w:type="spellStart"/>
      <w:r w:rsidRPr="00C44973">
        <w:rPr>
          <w:rFonts w:ascii="Arial" w:hAnsi="Arial" w:cs="Arial"/>
        </w:rPr>
        <w:t>Sundarasen</w:t>
      </w:r>
      <w:proofErr w:type="spellEnd"/>
      <w:r w:rsidRPr="00C44973">
        <w:rPr>
          <w:rFonts w:ascii="Arial" w:hAnsi="Arial" w:cs="Arial"/>
        </w:rPr>
        <w:t xml:space="preserve"> (2024) provides a global synthesis of board diversity and ESG reporting, noting that human and social capitals of directors (expertise, networks) repeatedly surface as antecedents of sustainability disclosure, though the studies differ in measurement and context. The review </w:t>
      </w:r>
      <w:proofErr w:type="spellStart"/>
      <w:r w:rsidRPr="00C44973">
        <w:rPr>
          <w:rFonts w:ascii="Arial" w:hAnsi="Arial" w:cs="Arial"/>
        </w:rPr>
        <w:t>emphasises</w:t>
      </w:r>
      <w:proofErr w:type="spellEnd"/>
      <w:r w:rsidRPr="00C44973">
        <w:rPr>
          <w:rFonts w:ascii="Arial" w:hAnsi="Arial" w:cs="Arial"/>
        </w:rPr>
        <w:t xml:space="preserve"> that reputational capital is multi</w:t>
      </w:r>
      <w:r w:rsidRPr="00C44973">
        <w:rPr>
          <w:rFonts w:ascii="Cambria Math" w:hAnsi="Cambria Math" w:cs="Cambria Math"/>
        </w:rPr>
        <w:t>‐</w:t>
      </w:r>
      <w:r w:rsidRPr="00C44973">
        <w:rPr>
          <w:rFonts w:ascii="Arial" w:hAnsi="Arial" w:cs="Arial"/>
        </w:rPr>
        <w:t xml:space="preserve">faceted and the effects depend significantly on country institutional context and sector industry-sensitivity. Another useful contribution is Tham et al. (2025), who focus on carbon reduction initiatives and board multiple directorships in a large sample. Using moderating interaction </w:t>
      </w:r>
      <w:r w:rsidR="00EC2AAD" w:rsidRPr="00C44973">
        <w:rPr>
          <w:rFonts w:ascii="Arial" w:hAnsi="Arial" w:cs="Arial"/>
        </w:rPr>
        <w:t>models,</w:t>
      </w:r>
      <w:r w:rsidRPr="00C44973">
        <w:rPr>
          <w:rFonts w:ascii="Arial" w:hAnsi="Arial" w:cs="Arial"/>
        </w:rPr>
        <w:t xml:space="preserve"> they show that long-tenured board members </w:t>
      </w:r>
      <w:r w:rsidRPr="00C44973">
        <w:rPr>
          <w:rFonts w:ascii="Arial" w:hAnsi="Arial" w:cs="Arial"/>
          <w:i/>
          <w:iCs/>
        </w:rPr>
        <w:t>with</w:t>
      </w:r>
      <w:r w:rsidRPr="00C44973">
        <w:rPr>
          <w:rFonts w:ascii="Arial" w:hAnsi="Arial" w:cs="Arial"/>
        </w:rPr>
        <w:t xml:space="preserve"> multiple directorships are positively associated with carbon reduction initiatives (a substantive outcome) rather than disclosure alone. Their method uses moderating variables in panel regression with robustness checks for endogeneity. The key takeaway is that reputational capital (via multiple directorships) may translate into substantive sustainability action, but only under certain conditions (Tham et al., 2025).</w:t>
      </w:r>
    </w:p>
    <w:p w14:paraId="5ACB2C84" w14:textId="26BC6ED9" w:rsidR="00C44973" w:rsidRDefault="00C44973" w:rsidP="00C44973">
      <w:pPr>
        <w:pStyle w:val="Body"/>
        <w:rPr>
          <w:rFonts w:ascii="Arial" w:hAnsi="Arial" w:cs="Arial"/>
        </w:rPr>
      </w:pPr>
      <w:r w:rsidRPr="00C44973">
        <w:rPr>
          <w:rFonts w:ascii="Arial" w:hAnsi="Arial" w:cs="Arial"/>
        </w:rPr>
        <w:t>In essence, the studies reveal two key governance</w:t>
      </w:r>
      <w:r w:rsidRPr="00C44973">
        <w:rPr>
          <w:rFonts w:ascii="Cambria Math" w:hAnsi="Cambria Math" w:cs="Cambria Math"/>
        </w:rPr>
        <w:t>‐</w:t>
      </w:r>
      <w:r w:rsidRPr="00C44973">
        <w:rPr>
          <w:rFonts w:ascii="Arial" w:hAnsi="Arial" w:cs="Arial"/>
        </w:rPr>
        <w:t xml:space="preserve">drivers of sustainability reporting: board directors’ reputational capital and board nationality diversity. Importantly, while there is broad evidence across sectors, there is relatively little investigation in the specific context of insurance firms in emerging markets such as Nigeria; even fewer studies disentangle reputational capital </w:t>
      </w:r>
      <w:r w:rsidRPr="00C44973">
        <w:rPr>
          <w:rFonts w:ascii="Arial" w:hAnsi="Arial" w:cs="Arial"/>
          <w:i/>
          <w:iCs/>
        </w:rPr>
        <w:t>and</w:t>
      </w:r>
      <w:r w:rsidRPr="00C44973">
        <w:rPr>
          <w:rFonts w:ascii="Arial" w:hAnsi="Arial" w:cs="Arial"/>
        </w:rPr>
        <w:t xml:space="preserve"> nationality diversity simultaneously and then link them to sustainability reporting rather than only ESG performance or financial outcomes</w:t>
      </w:r>
    </w:p>
    <w:p w14:paraId="0BFB5A42" w14:textId="77777777" w:rsidR="00C44973" w:rsidRDefault="00C44973">
      <w:pPr>
        <w:rPr>
          <w:rFonts w:ascii="Times New Roman" w:hAnsi="Times New Roman"/>
          <w:b/>
          <w:bCs/>
        </w:rPr>
      </w:pPr>
      <w:r>
        <w:rPr>
          <w:rFonts w:ascii="Times New Roman" w:hAnsi="Times New Roman"/>
          <w:b/>
          <w:bCs/>
        </w:rPr>
        <w:br w:type="page"/>
      </w:r>
    </w:p>
    <w:p w14:paraId="38DE681B" w14:textId="721ADF74" w:rsidR="00C44973" w:rsidRPr="00EC2AAD" w:rsidRDefault="00C44973" w:rsidP="00C44973">
      <w:pPr>
        <w:rPr>
          <w:rFonts w:ascii="Arial" w:hAnsi="Arial" w:cs="Arial"/>
          <w:b/>
          <w:bCs/>
          <w:sz w:val="22"/>
          <w:szCs w:val="22"/>
        </w:rPr>
      </w:pPr>
      <w:r w:rsidRPr="00EC2AAD">
        <w:rPr>
          <w:rFonts w:ascii="Arial" w:hAnsi="Arial" w:cs="Arial"/>
          <w:b/>
          <w:bCs/>
          <w:sz w:val="22"/>
          <w:szCs w:val="22"/>
        </w:rPr>
        <w:lastRenderedPageBreak/>
        <w:t>2.4 Conceptual Framework</w:t>
      </w:r>
    </w:p>
    <w:p w14:paraId="474CB763" w14:textId="38AB6770" w:rsidR="00C44973" w:rsidRPr="00464F79" w:rsidRDefault="00BC7A0C" w:rsidP="00C44973">
      <w:pPr>
        <w:rPr>
          <w:rFonts w:ascii="Times New Roman" w:hAnsi="Times New Roman"/>
          <w:b/>
          <w:bCs/>
        </w:rPr>
      </w:pPr>
      <w:r>
        <w:rPr>
          <w:rFonts w:ascii="Arial" w:hAnsi="Arial" w:cs="Arial"/>
          <w:noProof/>
        </w:rPr>
        <w:pict w14:anchorId="5B5D1D9C">
          <v:group id="Group 631370112" o:spid="_x0000_s1029" style="position:absolute;margin-left:12.15pt;margin-top:10.35pt;width:398.95pt;height:199.15pt;z-index:251660288" coordorigin="-118,6928" coordsize="5626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2CygAAAOIAAAAPAAAAZHJzL2Rvd25yZXYueG1sRI9Ba8JA&#10;FITvhf6H5RV6q5s1aCW6ikhbepCCWhBvj+wzCWbfhuw2if/eFYQeh5n5hlmsBluLjlpfOdagRgkI&#10;4tyZigsNv4fPtxkIH5AN1o5Jw5U8rJbPTwvMjOt5R90+FCJC2GeooQyhyaT0eUkW/cg1xNE7u9Zi&#10;iLItpGmxj3Bby3GSTKXFiuNCiQ1tSsov+z+r4avHfp2qj257OW+up8Pk57hVpPXry7Cegwg0hP/w&#10;o/1tNExTlb4nSo3hfineAbm8AQAA//8DAFBLAQItABQABgAIAAAAIQDb4fbL7gAAAIUBAAATAAAA&#10;AAAAAAAAAAAAAAAAAABbQ29udGVudF9UeXBlc10ueG1sUEsBAi0AFAAGAAgAAAAhAFr0LFu/AAAA&#10;FQEAAAsAAAAAAAAAAAAAAAAAHwEAAF9yZWxzLy5yZWxzUEsBAi0AFAAGAAgAAAAhAA8zbYLKAAAA&#10;4gAAAA8AAAAAAAAAAAAAAAAABwIAAGRycy9kb3ducmV2LnhtbFBLBQYAAAAAAwADALcAAAD+AgAA&#10;AAA=&#10;">
            <v:group id="Group 611921740" o:spid="_x0000_s1030" style="position:absolute;left:-118;top:6928;width:56261;height:30402" coordorigin="-118,6928" coordsize="56261,3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EOygAAAOIAAAAPAAAAZHJzL2Rvd25yZXYueG1sRI/NasJA&#10;FIX3Bd9huIXu6mS0tZo6ioiWLkRQC+LukrkmwcydkJkm8e07i4LLw/njmy97W4mWGl861qCGCQji&#10;zJmScw0/p+3rFIQPyAYrx6ThTh6Wi8HTHFPjOj5Qewy5iCPsU9RQhFCnUvqsIIt+6Gri6F1dYzFE&#10;2eTSNNjFcVvJUZJMpMWS40OBNa0Lym7HX6vhq8NuNVabdne7ru+X0/v+vFOk9ctzv/oEEagPj/B/&#10;+9tomCg1G6mPtwgRkSIOyMUfAAAA//8DAFBLAQItABQABgAIAAAAIQDb4fbL7gAAAIUBAAATAAAA&#10;AAAAAAAAAAAAAAAAAABbQ29udGVudF9UeXBlc10ueG1sUEsBAi0AFAAGAAgAAAAhAFr0LFu/AAAA&#10;FQEAAAsAAAAAAAAAAAAAAAAAHwEAAF9yZWxzLy5yZWxzUEsBAi0AFAAGAAgAAAAhAGOKgQ7KAAAA&#10;4gAAAA8AAAAAAAAAAAAAAAAABwIAAGRycy9kb3ducmV2LnhtbFBLBQYAAAAAAwADALcAAAD+AgAA&#10;AAA=&#10;">
              <v:group id="Group 586574135" o:spid="_x0000_s1031" style="position:absolute;left:-118;top:6928;width:56261;height:30402" coordorigin="-118,3730" coordsize="56261,2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FfygAAAOIAAAAPAAAAZHJzL2Rvd25yZXYueG1sRI9Ba8JA&#10;FITvhf6H5RV6q5uoUYmuImKLBxHUQvH2yD6TYPZtyG6T+O9dodDjMDPfMItVbyrRUuNKywriQQSC&#10;OLO65FzB9/nzYwbCeWSNlWVScCcHq+XrywJTbTs+UnvyuQgQdikqKLyvUyldVpBBN7A1cfCutjHo&#10;g2xyqRvsAtxUchhFE2mw5LBQYE2bgrLb6dco+OqwW4/ibbu/XTf3yzk5/OxjUur9rV/PQXjq/X/4&#10;r73TCpLZJJmO41ECz0vhDsjlAwAA//8DAFBLAQItABQABgAIAAAAIQDb4fbL7gAAAIUBAAATAAAA&#10;AAAAAAAAAAAAAAAAAABbQ29udGVudF9UeXBlc10ueG1sUEsBAi0AFAAGAAgAAAAhAFr0LFu/AAAA&#10;FQEAAAsAAAAAAAAAAAAAAAAAHwEAAF9yZWxzLy5yZWxzUEsBAi0AFAAGAAgAAAAhACJhkV/KAAAA&#10;4gAAAA8AAAAAAAAAAAAAAAAABwIAAGRycy9kb3ducmV2LnhtbFBLBQYAAAAAAwADALcAAAD+AgAA&#10;AAA=&#10;">
                <v:group id="Group 420695617" o:spid="_x0000_s1032" style="position:absolute;left:4242;top:11819;width:50313;height:14485" coordorigin="4292,11819" coordsize="51109,1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ZqywAAAOIAAAAPAAAAZHJzL2Rvd25yZXYueG1sRI9Ba8JA&#10;FITvQv/D8gq9mU2spjZ1FZEqPUihKpTeHtlnEsy+DdltEv99VxB6HGbmG2axGkwtOmpdZVlBEsUg&#10;iHOrKy4UnI7b8RyE88gaa8uk4EoOVsuH0QIzbXv+ou7gCxEg7DJUUHrfZFK6vCSDLrINcfDOtjXo&#10;g2wLqVvsA9zUchLHqTRYcVgosaFNSfnl8GsU7Hrs18/Je7e/nDfXn+Ps83ufkFJPj8P6DYSnwf+H&#10;7+0PrWA6idPXWZq8wO1SuANy+QcAAP//AwBQSwECLQAUAAYACAAAACEA2+H2y+4AAACFAQAAEwAA&#10;AAAAAAAAAAAAAAAAAAAAW0NvbnRlbnRfVHlwZXNdLnhtbFBLAQItABQABgAIAAAAIQBa9CxbvwAA&#10;ABUBAAALAAAAAAAAAAAAAAAAAB8BAABfcmVscy8ucmVsc1BLAQItABQABgAIAAAAIQBGCtZqywAA&#10;AOIAAAAPAAAAAAAAAAAAAAAAAAcCAABkcnMvZG93bnJldi54bWxQSwUGAAAAAAMAAwC3AAAA/wIA&#10;AAAA&#10;">
                  <v:rect id="Rectangle 175309592" o:spid="_x0000_s1033" style="position:absolute;left:4292;top:11819;width:15159;height:5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2HFxwAAAOIAAAAPAAAAZHJzL2Rvd25yZXYueG1sRE9Na8JA&#10;EL0X/A/LCN50U0XbpK5SAqLYU1M9eBuy0yQ0Oxuy25j4692C0OPjfa+3valFR62rLCt4nkUgiHOr&#10;Ky4UnL5201cQziNrrC2TgoEcbDejpzUm2l75k7rMFyKEsEtQQel9k0jp8pIMupltiAP3bVuDPsC2&#10;kLrFawg3tZxH0UoarDg0lNhQWlL+k/0aBR+D9N3pvIpvXVoNOruk+yOlSk3G/fsbCE+9/xc/3Acd&#10;5r8sF1G8jOfwdylgkJs7AAAA//8DAFBLAQItABQABgAIAAAAIQDb4fbL7gAAAIUBAAATAAAAAAAA&#10;AAAAAAAAAAAAAABbQ29udGVudF9UeXBlc10ueG1sUEsBAi0AFAAGAAgAAAAhAFr0LFu/AAAAFQEA&#10;AAsAAAAAAAAAAAAAAAAAHwEAAF9yZWxzLy5yZWxzUEsBAi0AFAAGAAgAAAAhADi/YcXHAAAA4gAA&#10;AA8AAAAAAAAAAAAAAAAABwIAAGRycy9kb3ducmV2LnhtbFBLBQYAAAAAAwADALcAAAD7AgAAAAA=&#10;" fillcolor="white [3201]" strokecolor="black [3200]" strokeweight="2pt">
                    <v:textbox>
                      <w:txbxContent>
                        <w:p w14:paraId="69CB0B6B" w14:textId="77777777" w:rsidR="00C44973" w:rsidRPr="00C44973" w:rsidRDefault="00C44973" w:rsidP="00C44973">
                          <w:pPr>
                            <w:jc w:val="center"/>
                            <w:rPr>
                              <w:rFonts w:ascii="Arial" w:hAnsi="Arial" w:cs="Arial"/>
                              <w:b/>
                              <w:color w:val="000000" w:themeColor="text1"/>
                            </w:rPr>
                          </w:pPr>
                          <w:r w:rsidRPr="00C44973">
                            <w:rPr>
                              <w:rFonts w:ascii="Arial" w:hAnsi="Arial" w:cs="Arial"/>
                              <w:b/>
                              <w:color w:val="000000" w:themeColor="text1"/>
                            </w:rPr>
                            <w:t>Board of Director Nationality</w:t>
                          </w:r>
                        </w:p>
                      </w:txbxContent>
                    </v:textbox>
                  </v:rect>
                  <v:rect id="Rectangle 1603548289" o:spid="_x0000_s1034" style="position:absolute;left:4292;top:19490;width:15159;height:6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DUYyAAAAOMAAAAPAAAAZHJzL2Rvd25yZXYueG1sRE/NasJA&#10;EL4LfYdlhN50o7Uhpq5SAkWxp0Y99DZkp0lodjZktzHx6d1Cocf5/mezG0wjeupcbVnBYh6BIC6s&#10;rrlUcD69zRIQziNrbCyTgpEc7LYPkw2m2l75g/rclyKEsEtRQeV9m0rpiooMurltiQP3ZTuDPpxd&#10;KXWH1xBuGrmMolgarDk0VNhSVlHxnf8YBe+j9P35Eq9vfVaPOv/M9kfKlHqcDq8vIDwN/l/85z7o&#10;MD+Onp5XyTJZw+9PAQC5vQMAAP//AwBQSwECLQAUAAYACAAAACEA2+H2y+4AAACFAQAAEwAAAAAA&#10;AAAAAAAAAAAAAAAAW0NvbnRlbnRfVHlwZXNdLnhtbFBLAQItABQABgAIAAAAIQBa9CxbvwAAABUB&#10;AAALAAAAAAAAAAAAAAAAAB8BAABfcmVscy8ucmVsc1BLAQItABQABgAIAAAAIQDtTDUYyAAAAOMA&#10;AAAPAAAAAAAAAAAAAAAAAAcCAABkcnMvZG93bnJldi54bWxQSwUGAAAAAAMAAwC3AAAA/AIAAAAA&#10;" fillcolor="white [3201]" strokecolor="black [3200]" strokeweight="2pt">
                    <v:textbox>
                      <w:txbxContent>
                        <w:p w14:paraId="6BB6E989" w14:textId="77777777" w:rsidR="00C44973" w:rsidRPr="00C44973" w:rsidRDefault="00C44973" w:rsidP="00C44973">
                          <w:pPr>
                            <w:jc w:val="center"/>
                            <w:rPr>
                              <w:rFonts w:ascii="Arial" w:hAnsi="Arial" w:cs="Arial"/>
                              <w:b/>
                              <w:color w:val="000000" w:themeColor="text1"/>
                            </w:rPr>
                          </w:pPr>
                          <w:r w:rsidRPr="00C44973">
                            <w:rPr>
                              <w:rFonts w:ascii="Arial" w:hAnsi="Arial" w:cs="Arial"/>
                              <w:b/>
                              <w:color w:val="000000" w:themeColor="text1"/>
                            </w:rPr>
                            <w:t>Board of Director Reputational Capital</w:t>
                          </w:r>
                        </w:p>
                      </w:txbxContent>
                    </v:textbox>
                  </v:rect>
                  <v:oval id="Oval 1098033280" o:spid="_x0000_s1035" style="position:absolute;left:38223;top:11819;width:17178;height:10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pLygAAAOMAAAAPAAAAZHJzL2Rvd25yZXYueG1sRI9PSwMx&#10;EMXvgt8hjOBFbOIWJK5NyyIIHoSytXgeNrN/cDNZNrFd++mdg+BxZt68936b3RJGdaI5DZEdPKwM&#10;KOIm+oE7B8eP13sLKmVkj2NkcvBDCXbb66sNlj6euabTIXdKTDiV6KDPeSq1Tk1PAdMqTsRya+Mc&#10;MMs4d9rPeBbzMOrCmEcdcGBJ6HGil56ar8N3cFAY29bL5X1ffdbVRR/v7Njuk3O3N0v1DCrTkv/F&#10;f99vXuqbJ2vW68IKhTDJAvT2FwAA//8DAFBLAQItABQABgAIAAAAIQDb4fbL7gAAAIUBAAATAAAA&#10;AAAAAAAAAAAAAAAAAABbQ29udGVudF9UeXBlc10ueG1sUEsBAi0AFAAGAAgAAAAhAFr0LFu/AAAA&#10;FQEAAAsAAAAAAAAAAAAAAAAAHwEAAF9yZWxzLy5yZWxzUEsBAi0AFAAGAAgAAAAhANpCmkvKAAAA&#10;4wAAAA8AAAAAAAAAAAAAAAAABwIAAGRycy9kb3ducmV2LnhtbFBLBQYAAAAAAwADALcAAAD+AgAA&#10;AAA=&#10;" fillcolor="white [3201]" strokecolor="black [3200]" strokeweight="2pt">
                    <v:textbox inset="0,0,0,0">
                      <w:txbxContent>
                        <w:p w14:paraId="61FE15CB" w14:textId="77777777" w:rsidR="00C44973" w:rsidRPr="00C44973" w:rsidRDefault="00C44973" w:rsidP="00C44973">
                          <w:pPr>
                            <w:jc w:val="center"/>
                            <w:rPr>
                              <w:rFonts w:ascii="Arial" w:hAnsi="Arial" w:cs="Arial"/>
                              <w:b/>
                            </w:rPr>
                          </w:pPr>
                          <w:r w:rsidRPr="00C44973">
                            <w:rPr>
                              <w:rFonts w:ascii="Arial" w:hAnsi="Arial" w:cs="Arial"/>
                              <w:b/>
                            </w:rPr>
                            <w:t>Sustainability reporting</w:t>
                          </w:r>
                        </w:p>
                      </w:txbxContent>
                    </v:textbox>
                  </v:oval>
                </v:group>
                <v:rect id="Rectangle 2015775383" o:spid="_x0000_s1036" style="position:absolute;left:-118;top:3730;width:56261;height:2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9DvzQAAAOMAAAAPAAAAZHJzL2Rvd25yZXYueG1sRI9PawIx&#10;FMTvhX6H8Aq9SM264h9Wo0jBuggtaNuDt8fmuVm6eQmbVLffvikIPQ4z8xtmue5tKy7UhcaxgtEw&#10;A0FcOd1wreDjffs0BxEissbWMSn4oQDr1f3dEgvtrnygyzHWIkE4FKjAxOgLKUNlyGIYOk+cvLPr&#10;LMYku1rqDq8JbluZZ9lUWmw4LRj09Gyo+jp+WwXbnRls5P7105fh7Wzz0r/sBielHh/6zQJEpD7+&#10;h2/tUivIs9FkNpuM52P4+5T+gFz9AgAA//8DAFBLAQItABQABgAIAAAAIQDb4fbL7gAAAIUBAAAT&#10;AAAAAAAAAAAAAAAAAAAAAABbQ29udGVudF9UeXBlc10ueG1sUEsBAi0AFAAGAAgAAAAhAFr0LFu/&#10;AAAAFQEAAAsAAAAAAAAAAAAAAAAAHwEAAF9yZWxzLy5yZWxzUEsBAi0AFAAGAAgAAAAhADyf0O/N&#10;AAAA4wAAAA8AAAAAAAAAAAAAAAAABwIAAGRycy9kb3ducmV2LnhtbFBLBQYAAAAAAwADALcAAAAB&#10;AwAAAAA=&#10;" filled="f" strokecolor="black [3213]" strokeweight="2pt"/>
              </v:group>
              <v:rect id="Rectangle 403039406" o:spid="_x0000_s1037" style="position:absolute;left:2731;top:15777;width:17932;height:20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mQygAAAOIAAAAPAAAAZHJzL2Rvd25yZXYueG1sRI9PSwMx&#10;FMTvQr9DeEJvNukfFl2bliII0p5sXcTbY/PcLG5etklst/30RhA8DjPzG2a5HlwnThRi61nDdKJA&#10;ENfetNxoeDs8392DiAnZYOeZNFwowno1ulliafyZX+m0T43IEI4larAp9aWUsbbkME58T5y9Tx8c&#10;pixDI03Ac4a7Ts6UKqTDlvOCxZ6eLNVf+2+noZpN3y1+XKpYhWPVbHeHojhetR7fDptHEImG9B/+&#10;a78YDQs1V/OHhSrg91K+A3L1AwAA//8DAFBLAQItABQABgAIAAAAIQDb4fbL7gAAAIUBAAATAAAA&#10;AAAAAAAAAAAAAAAAAABbQ29udGVudF9UeXBlc10ueG1sUEsBAi0AFAAGAAgAAAAhAFr0LFu/AAAA&#10;FQEAAAsAAAAAAAAAAAAAAAAAHwEAAF9yZWxzLy5yZWxzUEsBAi0AFAAGAAgAAAAhAGEtSZDKAAAA&#10;4gAAAA8AAAAAAAAAAAAAAAAABwIAAGRycy9kb3ducmV2LnhtbFBLBQYAAAAAAwADALcAAAD+AgAA&#10;AAA=&#10;" filled="f" strokecolor="windowText" strokeweight="2.25pt"/>
              <v:rect id="Rectangle 170248669" o:spid="_x0000_s1038" style="position:absolute;left:2457;top:8469;width:17933;height: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zIxgAAAOIAAAAPAAAAZHJzL2Rvd25yZXYueG1sRE9bS8Mw&#10;FH4f+B/CEXzb0k2ta102RBzsyV2UPR+as6bYnJQktvXfG0HY48d3X21G24qefGgcK5jPMhDEldMN&#10;1wo+P7bTJYgQkTW2jknBDwXYrG8mKyy1G/hI/SnWIoVwKFGBibErpQyVIYth5jrixF2ctxgT9LXU&#10;HocUblu5yLJcWmw4NRjs6NVQ9XX6tgred/t6O5yLx4tv94e3+bkw/b1W6u52fHkGEWmMV/G/e6fT&#10;/Kds8bDM8wL+LiUMcv0LAAD//wMAUEsBAi0AFAAGAAgAAAAhANvh9svuAAAAhQEAABMAAAAAAAAA&#10;AAAAAAAAAAAAAFtDb250ZW50X1R5cGVzXS54bWxQSwECLQAUAAYACAAAACEAWvQsW78AAAAVAQAA&#10;CwAAAAAAAAAAAAAAAAAfAQAAX3JlbHMvLnJlbHNQSwECLQAUAAYACAAAACEAll2syMYAAADiAAAA&#10;DwAAAAAAAAAAAAAAAAAHAgAAZHJzL2Rvd25yZXYueG1sUEsFBgAAAAADAAMAtwAAAPoCAAAAAA==&#10;" fillcolor="white [3201]" strokecolor="black [3200]" strokeweight="2pt">
                <v:textbox inset="0,0,0,0">
                  <w:txbxContent>
                    <w:p w14:paraId="1AD04F5C" w14:textId="77777777" w:rsidR="00C44973" w:rsidRPr="00C44973" w:rsidRDefault="00C44973" w:rsidP="00C44973">
                      <w:pPr>
                        <w:jc w:val="center"/>
                        <w:rPr>
                          <w:rFonts w:ascii="Arial" w:hAnsi="Arial" w:cs="Arial"/>
                          <w:b/>
                          <w:color w:val="000000" w:themeColor="text1"/>
                        </w:rPr>
                      </w:pPr>
                      <w:r w:rsidRPr="00C44973">
                        <w:rPr>
                          <w:rFonts w:ascii="Arial" w:hAnsi="Arial" w:cs="Arial"/>
                          <w:b/>
                          <w:color w:val="000000" w:themeColor="text1"/>
                        </w:rPr>
                        <w:t>Corporate Governance Mechanisms</w:t>
                      </w:r>
                    </w:p>
                  </w:txbxContent>
                </v:textbox>
              </v:rect>
              <v:shape id="Straight Arrow Connector 1835826048" o:spid="_x0000_s1039" type="#_x0000_t32" style="position:absolute;left:11423;top:13208;width:106;height:2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7SyAAAAOMAAAAPAAAAZHJzL2Rvd25yZXYueG1sRI/NasMw&#10;EITvhb6D2EIvpZGbpsG4UUIIFNxjkzzAYm0tE2tlJPmnb989FHrcndmZb3eHxfdqopi6wAZeVgUo&#10;4ibYjlsD18vHcwkqZWSLfWAy8EMJDvv7ux1WNsz8RdM5t0pCOFVowOU8VFqnxpHHtAoDsWjfIXrM&#10;MsZW24izhPter4tiqz12LA0OBzo5am7n0RsIE7vPzZPPNz02lyOO9WmOtTGPD8vxHVSmJf+b/65r&#10;K/jl61u53hYbgZafZAF6/wsAAP//AwBQSwECLQAUAAYACAAAACEA2+H2y+4AAACFAQAAEwAAAAAA&#10;AAAAAAAAAAAAAAAAW0NvbnRlbnRfVHlwZXNdLnhtbFBLAQItABQABgAIAAAAIQBa9CxbvwAAABUB&#10;AAALAAAAAAAAAAAAAAAAAB8BAABfcmVscy8ucmVsc1BLAQItABQABgAIAAAAIQBdUo7SyAAAAOMA&#10;AAAPAAAAAAAAAAAAAAAAAAcCAABkcnMvZG93bnJldi54bWxQSwUGAAAAAAMAAwC3AAAA/AIAAAAA&#10;" strokecolor="black [3040]">
                <v:stroke endarrow="block"/>
              </v:shape>
            </v:group>
            <v:shape id="Straight Arrow Connector 878091469" o:spid="_x0000_s1040" type="#_x0000_t32" style="position:absolute;left:19165;top:20673;width:18479;height:2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FAyQAAAOIAAAAPAAAAZHJzL2Rvd25yZXYueG1sRI/BbsIw&#10;EETvlfgHaytxKw60oiFgEDS06jWBC7dVvCRp4nUUGwh/X1eqxHE0M280q81gWnGl3tWWFUwnEQji&#10;wuqaSwXHw+dLDMJ5ZI2tZVJwJweb9ehphYm2N87omvtSBAi7BBVU3neJlK6oyKCb2I44eGfbG/RB&#10;9qXUPd4C3LRyFkVzabDmsFBhRx8VFU1+MQrM1/51XzQ/WZbu0sPQxDmnp7tS4+dhuwThafCP8H/7&#10;WyuI3+NoMX2bL+DvUrgDcv0LAAD//wMAUEsBAi0AFAAGAAgAAAAhANvh9svuAAAAhQEAABMAAAAA&#10;AAAAAAAAAAAAAAAAAFtDb250ZW50X1R5cGVzXS54bWxQSwECLQAUAAYACAAAACEAWvQsW78AAAAV&#10;AQAACwAAAAAAAAAAAAAAAAAfAQAAX3JlbHMvLnJlbHNQSwECLQAUAAYACAAAACEAcr5BQMkAAADi&#10;AAAADwAAAAAAAAAAAAAAAAAHAgAAZHJzL2Rvd25yZXYueG1sUEsFBgAAAAADAAMAtwAAAP0CAAAA&#10;AA==&#10;" strokecolor="black [3213]" strokeweight="2.25pt">
              <v:stroke endarrow="block"/>
            </v:shape>
          </v:group>
        </w:pict>
      </w:r>
    </w:p>
    <w:p w14:paraId="65243A2A" w14:textId="77777777" w:rsidR="00C44973" w:rsidRDefault="00C44973" w:rsidP="00C44973">
      <w:pPr>
        <w:rPr>
          <w:rFonts w:ascii="Times New Roman" w:hAnsi="Times New Roman"/>
          <w:b/>
          <w:bCs/>
        </w:rPr>
      </w:pPr>
    </w:p>
    <w:p w14:paraId="39D837FF" w14:textId="77777777" w:rsidR="00C44973" w:rsidRDefault="00C44973" w:rsidP="00C44973">
      <w:pPr>
        <w:rPr>
          <w:rFonts w:ascii="Times New Roman" w:hAnsi="Times New Roman"/>
          <w:b/>
          <w:bCs/>
        </w:rPr>
      </w:pPr>
    </w:p>
    <w:p w14:paraId="36E90A34" w14:textId="77777777" w:rsidR="00C44973" w:rsidRDefault="00C44973" w:rsidP="00C44973">
      <w:pPr>
        <w:rPr>
          <w:rFonts w:ascii="Times New Roman" w:hAnsi="Times New Roman"/>
          <w:b/>
          <w:bCs/>
        </w:rPr>
      </w:pPr>
    </w:p>
    <w:p w14:paraId="25393B31" w14:textId="77777777" w:rsidR="00C44973" w:rsidRDefault="00C44973" w:rsidP="00C44973">
      <w:pPr>
        <w:rPr>
          <w:rFonts w:ascii="Times New Roman" w:hAnsi="Times New Roman"/>
          <w:b/>
          <w:bCs/>
        </w:rPr>
      </w:pPr>
    </w:p>
    <w:p w14:paraId="1FA09986" w14:textId="77777777" w:rsidR="00C44973" w:rsidRDefault="00C44973" w:rsidP="00C44973">
      <w:pPr>
        <w:rPr>
          <w:rFonts w:ascii="Times New Roman" w:hAnsi="Times New Roman"/>
          <w:b/>
          <w:bCs/>
        </w:rPr>
      </w:pPr>
    </w:p>
    <w:p w14:paraId="6F2E7189" w14:textId="77777777" w:rsidR="00C44973" w:rsidRDefault="00C44973" w:rsidP="00C44973">
      <w:pPr>
        <w:rPr>
          <w:rFonts w:ascii="Times New Roman" w:hAnsi="Times New Roman"/>
          <w:b/>
          <w:bCs/>
        </w:rPr>
      </w:pPr>
    </w:p>
    <w:p w14:paraId="63C67606" w14:textId="77777777" w:rsidR="00C44973" w:rsidRDefault="00C44973" w:rsidP="00C44973">
      <w:pPr>
        <w:rPr>
          <w:rFonts w:ascii="Times New Roman" w:hAnsi="Times New Roman"/>
          <w:b/>
          <w:bCs/>
        </w:rPr>
      </w:pPr>
    </w:p>
    <w:p w14:paraId="4FAABBB1" w14:textId="77777777" w:rsidR="00C44973" w:rsidRDefault="00C44973" w:rsidP="00C44973">
      <w:pPr>
        <w:rPr>
          <w:rFonts w:ascii="Times New Roman" w:hAnsi="Times New Roman"/>
          <w:b/>
          <w:bCs/>
        </w:rPr>
      </w:pPr>
    </w:p>
    <w:p w14:paraId="63EF4446" w14:textId="7BDF62B1" w:rsidR="00C44973" w:rsidRDefault="00C44973" w:rsidP="00C44973">
      <w:pPr>
        <w:rPr>
          <w:rFonts w:ascii="Times New Roman" w:hAnsi="Times New Roman"/>
          <w:b/>
          <w:bCs/>
        </w:rPr>
      </w:pPr>
    </w:p>
    <w:p w14:paraId="6D1B1C80" w14:textId="77777777" w:rsidR="00C44973" w:rsidRDefault="00C44973" w:rsidP="00C44973">
      <w:pPr>
        <w:rPr>
          <w:rFonts w:ascii="Times New Roman" w:hAnsi="Times New Roman"/>
          <w:b/>
          <w:bCs/>
        </w:rPr>
      </w:pPr>
    </w:p>
    <w:p w14:paraId="5FBC5E63" w14:textId="1E45CEAD" w:rsidR="00C44973" w:rsidRDefault="00BC7A0C" w:rsidP="00C44973">
      <w:pPr>
        <w:rPr>
          <w:rFonts w:ascii="Times New Roman" w:hAnsi="Times New Roman"/>
          <w:b/>
          <w:bCs/>
        </w:rPr>
      </w:pPr>
      <w:r>
        <w:rPr>
          <w:rFonts w:ascii="Times New Roman" w:hAnsi="Times New Roman"/>
          <w:b/>
          <w:bCs/>
          <w:noProof/>
        </w:rPr>
        <w:pict w14:anchorId="771696FD">
          <v:shape id="Straight Arrow Connector 1" o:spid="_x0000_s1041" type="#_x0000_t32" style="position:absolute;margin-left:149.9pt;margin-top:4.45pt;width:135.25pt;height:35.8pt;flip:y;z-index:251661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naygAAAOIAAAAPAAAAZHJzL2Rvd25yZXYueG1sRI/RasJA&#10;FETfC/2H5Rb6IrqxRltSV2kLoYK+GP2AS/Y2iWbvht1tjH/fFYQ+DjNzhlmuB9OKnpxvLCuYThIQ&#10;xKXVDVcKjod8/AbCB2SNrWVScCUP69XjwxIzbS+8p74IlYgQ9hkqqEPoMil9WZNBP7EdcfR+rDMY&#10;onSV1A4vEW5a+ZIkC2mw4bhQY0dfNZXn4tco8Dt5ktt0VMwO1z7/dvnnMez2Sj0/DR/vIAIN4T98&#10;b2+0gnn6upgl6TSF26V4B+TqDwAA//8DAFBLAQItABQABgAIAAAAIQDb4fbL7gAAAIUBAAATAAAA&#10;AAAAAAAAAAAAAAAAAABbQ29udGVudF9UeXBlc10ueG1sUEsBAi0AFAAGAAgAAAAhAFr0LFu/AAAA&#10;FQEAAAsAAAAAAAAAAAAAAAAAHwEAAF9yZWxzLy5yZWxzUEsBAi0AFAAGAAgAAAAhAKAESdrKAAAA&#10;4gAAAA8AAAAAAAAAAAAAAAAABwIAAGRycy9kb3ducmV2LnhtbFBLBQYAAAAAAwADALcAAAD+AgAA&#10;AAA=&#10;" strokecolor="black [3213]" strokeweight="2.25pt">
            <v:stroke endarrow="block"/>
          </v:shape>
        </w:pict>
      </w:r>
    </w:p>
    <w:p w14:paraId="4320A0FB" w14:textId="77777777" w:rsidR="00C44973" w:rsidRDefault="00C44973" w:rsidP="00C44973">
      <w:pPr>
        <w:rPr>
          <w:rFonts w:ascii="Times New Roman" w:hAnsi="Times New Roman"/>
          <w:b/>
          <w:bCs/>
        </w:rPr>
      </w:pPr>
    </w:p>
    <w:p w14:paraId="3626513C" w14:textId="77777777" w:rsidR="00C44973" w:rsidRDefault="00C44973" w:rsidP="00C44973">
      <w:pPr>
        <w:rPr>
          <w:rFonts w:ascii="Times New Roman" w:hAnsi="Times New Roman"/>
          <w:b/>
          <w:bCs/>
        </w:rPr>
      </w:pPr>
    </w:p>
    <w:p w14:paraId="5EBACF68" w14:textId="77777777" w:rsidR="00C44973" w:rsidRDefault="00C44973" w:rsidP="00C44973">
      <w:pPr>
        <w:rPr>
          <w:rFonts w:ascii="Times New Roman" w:hAnsi="Times New Roman"/>
          <w:b/>
          <w:bCs/>
        </w:rPr>
      </w:pPr>
    </w:p>
    <w:p w14:paraId="2EF6D138" w14:textId="77777777" w:rsidR="00C44973" w:rsidRDefault="00C44973" w:rsidP="00C44973">
      <w:pPr>
        <w:rPr>
          <w:rFonts w:ascii="Times New Roman" w:hAnsi="Times New Roman"/>
          <w:b/>
          <w:bCs/>
        </w:rPr>
      </w:pPr>
    </w:p>
    <w:p w14:paraId="4C32438A" w14:textId="77777777" w:rsidR="00C44973" w:rsidRDefault="00C44973" w:rsidP="00C44973">
      <w:pPr>
        <w:rPr>
          <w:rFonts w:ascii="Times New Roman" w:hAnsi="Times New Roman"/>
          <w:b/>
          <w:bCs/>
        </w:rPr>
      </w:pPr>
    </w:p>
    <w:p w14:paraId="75ADD3B0" w14:textId="77777777" w:rsidR="00C44973" w:rsidRDefault="00C44973" w:rsidP="00C44973">
      <w:pPr>
        <w:rPr>
          <w:rFonts w:ascii="Times New Roman" w:hAnsi="Times New Roman"/>
          <w:b/>
          <w:bCs/>
        </w:rPr>
      </w:pPr>
    </w:p>
    <w:p w14:paraId="368F3E1D" w14:textId="77777777" w:rsidR="00C44973" w:rsidRDefault="00C44973" w:rsidP="00C44973">
      <w:pPr>
        <w:rPr>
          <w:rFonts w:ascii="Times New Roman" w:hAnsi="Times New Roman"/>
          <w:b/>
          <w:bCs/>
        </w:rPr>
      </w:pPr>
    </w:p>
    <w:p w14:paraId="3FF0B57D" w14:textId="77777777" w:rsidR="00C44973" w:rsidRPr="00C44973" w:rsidRDefault="00C44973" w:rsidP="00C44973">
      <w:pPr>
        <w:pStyle w:val="Caption"/>
        <w:jc w:val="center"/>
        <w:rPr>
          <w:rFonts w:ascii="Arial" w:hAnsi="Arial" w:cs="Arial"/>
          <w:noProof/>
          <w:color w:val="000000" w:themeColor="text1"/>
          <w:sz w:val="20"/>
          <w:szCs w:val="20"/>
        </w:rPr>
      </w:pPr>
      <w:r w:rsidRPr="00C44973">
        <w:rPr>
          <w:rFonts w:ascii="Arial" w:hAnsi="Arial" w:cs="Arial"/>
          <w:color w:val="000000" w:themeColor="text1"/>
          <w:sz w:val="20"/>
          <w:szCs w:val="20"/>
        </w:rPr>
        <w:t xml:space="preserve">Figure </w:t>
      </w:r>
      <w:r w:rsidRPr="00C44973">
        <w:rPr>
          <w:rFonts w:ascii="Arial" w:hAnsi="Arial" w:cs="Arial"/>
          <w:color w:val="000000" w:themeColor="text1"/>
          <w:sz w:val="20"/>
          <w:szCs w:val="20"/>
        </w:rPr>
        <w:fldChar w:fldCharType="begin"/>
      </w:r>
      <w:r w:rsidRPr="00C44973">
        <w:rPr>
          <w:rFonts w:ascii="Arial" w:hAnsi="Arial" w:cs="Arial"/>
          <w:color w:val="000000" w:themeColor="text1"/>
          <w:sz w:val="20"/>
          <w:szCs w:val="20"/>
        </w:rPr>
        <w:instrText xml:space="preserve"> SEQ Figure \* ARABIC </w:instrText>
      </w:r>
      <w:r w:rsidRPr="00C44973">
        <w:rPr>
          <w:rFonts w:ascii="Arial" w:hAnsi="Arial" w:cs="Arial"/>
          <w:color w:val="000000" w:themeColor="text1"/>
          <w:sz w:val="20"/>
          <w:szCs w:val="20"/>
        </w:rPr>
        <w:fldChar w:fldCharType="separate"/>
      </w:r>
      <w:r w:rsidRPr="00C44973">
        <w:rPr>
          <w:rFonts w:ascii="Arial" w:hAnsi="Arial" w:cs="Arial"/>
          <w:noProof/>
          <w:color w:val="000000" w:themeColor="text1"/>
          <w:sz w:val="20"/>
          <w:szCs w:val="20"/>
        </w:rPr>
        <w:t>1</w:t>
      </w:r>
      <w:r w:rsidRPr="00C44973">
        <w:rPr>
          <w:rFonts w:ascii="Arial" w:hAnsi="Arial" w:cs="Arial"/>
          <w:color w:val="000000" w:themeColor="text1"/>
          <w:sz w:val="20"/>
          <w:szCs w:val="20"/>
        </w:rPr>
        <w:fldChar w:fldCharType="end"/>
      </w:r>
      <w:r w:rsidRPr="00C44973">
        <w:rPr>
          <w:rFonts w:ascii="Arial" w:hAnsi="Arial" w:cs="Arial"/>
          <w:color w:val="000000" w:themeColor="text1"/>
          <w:sz w:val="20"/>
          <w:szCs w:val="20"/>
        </w:rPr>
        <w:t>: Conceptual Framework of the Study</w:t>
      </w:r>
    </w:p>
    <w:p w14:paraId="2D01AE59" w14:textId="648D523D" w:rsidR="007F7B32" w:rsidRDefault="00C44973"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C44973">
        <w:rPr>
          <w:rFonts w:ascii="Arial" w:hAnsi="Arial" w:cs="Arial"/>
          <w:bCs/>
        </w:rPr>
        <w:t>METHODOLOGY</w:t>
      </w:r>
    </w:p>
    <w:p w14:paraId="348A4D25" w14:textId="77777777" w:rsidR="00790ADA" w:rsidRPr="00FB3A86" w:rsidRDefault="00790ADA" w:rsidP="00441B6F">
      <w:pPr>
        <w:pStyle w:val="AbstHead"/>
        <w:spacing w:after="0"/>
        <w:jc w:val="both"/>
        <w:rPr>
          <w:rFonts w:ascii="Arial" w:hAnsi="Arial" w:cs="Arial"/>
        </w:rPr>
      </w:pPr>
    </w:p>
    <w:p w14:paraId="07C28067" w14:textId="60DA5239" w:rsidR="00C44973" w:rsidRPr="00C44973" w:rsidRDefault="00C44973" w:rsidP="00C44973">
      <w:pPr>
        <w:pStyle w:val="Body"/>
        <w:spacing w:after="0"/>
        <w:rPr>
          <w:rFonts w:ascii="Arial" w:hAnsi="Arial" w:cs="Arial"/>
          <w:b/>
          <w:bCs/>
        </w:rPr>
      </w:pPr>
      <w:r w:rsidRPr="00C44973">
        <w:rPr>
          <w:rFonts w:ascii="Arial" w:hAnsi="Arial" w:cs="Arial"/>
        </w:rPr>
        <w:t xml:space="preserve">This study adopted a correlational and causal research design to examine the effect of corporate governance mechanisms (board director nationality and board director reputational capital) on the sustainability reporting of listed insurance firms in Nigeria. The population of the study comprised all twenty-two (22) insurance firms listed on the Nigerian Exchange Group (NGX). The study relied exclusively on secondary data obtained from the annual financial statements of the sampled firms and from the World Development Indicators (WDI). The data covered a ten-year period (2014–2023). Data </w:t>
      </w:r>
      <w:r w:rsidR="00EC2AAD" w:rsidRPr="00C44973">
        <w:rPr>
          <w:rFonts w:ascii="Arial" w:hAnsi="Arial" w:cs="Arial"/>
        </w:rPr>
        <w:t>was</w:t>
      </w:r>
      <w:r w:rsidRPr="00C44973">
        <w:rPr>
          <w:rFonts w:ascii="Arial" w:hAnsi="Arial" w:cs="Arial"/>
        </w:rPr>
        <w:t xml:space="preserve"> analyzed using both descriptive and inferential statistical techniques. Descriptive statistics summarized the characteristics of the variables, while Pearson correlation analysis was used to examine the degree of association among them. The inferential analysis was conducted using the system Generalized Method of Moments (GMM) estimator.</w:t>
      </w:r>
      <w:r w:rsidR="00A93A30">
        <w:rPr>
          <w:rFonts w:ascii="Arial" w:hAnsi="Arial" w:cs="Arial"/>
        </w:rPr>
        <w:t xml:space="preserve"> </w:t>
      </w:r>
      <w:r w:rsidR="00A93A30" w:rsidRPr="00A93A30">
        <w:rPr>
          <w:rFonts w:ascii="Arial" w:hAnsi="Arial" w:cs="Arial"/>
          <w:highlight w:val="yellow"/>
        </w:rPr>
        <w:t>Because corporate governance attributes may be jointly determined with sustainability reporting, GMM estimator was adopted to control unobserved firm-specific effects, endogeneity of explanatory variables, and dynamic persistence. This approach allows for a more rigorous identification of the causal influence of board director nationality and reputational capital on sustainability reporting.</w:t>
      </w:r>
      <w:r w:rsidR="00A93A30">
        <w:rPr>
          <w:rFonts w:ascii="Arial" w:hAnsi="Arial" w:cs="Arial"/>
        </w:rPr>
        <w:t xml:space="preserve"> </w:t>
      </w:r>
      <w:r w:rsidRPr="00C44973">
        <w:rPr>
          <w:rFonts w:ascii="Arial" w:hAnsi="Arial" w:cs="Arial"/>
        </w:rPr>
        <w:t xml:space="preserve">The Variance Inflation Factor (VIF) was used to detect multicollinearity among the explanatory variables, while the ARCH and Wooldridge tests were used to assess heteroskedasticity and serial correlation, respectively. In addition, the Levin, Lin and Chu panel unit root test was conducted to ascertain the stationarity of the variables, thereby preventing spurious regression results. The study’s model was adapted from </w:t>
      </w:r>
      <w:proofErr w:type="spellStart"/>
      <w:r w:rsidRPr="00C44973">
        <w:rPr>
          <w:rFonts w:ascii="Arial" w:hAnsi="Arial" w:cs="Arial"/>
        </w:rPr>
        <w:t>Aifuwa</w:t>
      </w:r>
      <w:proofErr w:type="spellEnd"/>
      <w:r w:rsidRPr="00C44973">
        <w:rPr>
          <w:rFonts w:ascii="Arial" w:hAnsi="Arial" w:cs="Arial"/>
        </w:rPr>
        <w:t xml:space="preserve"> et al. (2022) and modified to incorporate board director nationality and board director reputational capital as indicators of corporate governance mechanisms. Greenhouse gas emissions and energy consumption served as control factors. The functional form of the model is specified as follows:</w:t>
      </w:r>
    </w:p>
    <w:p w14:paraId="4BC4A7FD" w14:textId="364E5969" w:rsidR="00C44973" w:rsidRPr="00C44973" w:rsidRDefault="00C44973" w:rsidP="00C44973">
      <w:pPr>
        <w:pStyle w:val="Body"/>
        <w:rPr>
          <w:rFonts w:ascii="Arial" w:hAnsi="Arial" w:cs="Arial"/>
        </w:rPr>
      </w:pPr>
      <m:oMathPara>
        <m:oMath>
          <m:r>
            <w:rPr>
              <w:rFonts w:ascii="Cambria Math" w:hAnsi="Cambria Math" w:cs="Arial"/>
            </w:rPr>
            <m:t>S</m:t>
          </m:r>
          <m:sSub>
            <m:sSubPr>
              <m:ctrlPr>
                <w:rPr>
                  <w:rFonts w:ascii="Cambria Math" w:hAnsi="Cambria Math" w:cs="Arial"/>
                </w:rPr>
              </m:ctrlPr>
            </m:sSubPr>
            <m:e>
              <m:r>
                <w:rPr>
                  <w:rFonts w:ascii="Cambria Math" w:hAnsi="Cambria Math" w:cs="Arial"/>
                </w:rPr>
                <m:t>R</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S</m:t>
          </m:r>
          <m:sSub>
            <m:sSubPr>
              <m:ctrlPr>
                <w:rPr>
                  <w:rFonts w:ascii="Cambria Math" w:hAnsi="Cambria Math" w:cs="Arial"/>
                </w:rPr>
              </m:ctrlPr>
            </m:sSubPr>
            <m:e>
              <m:r>
                <w:rPr>
                  <w:rFonts w:ascii="Cambria Math" w:hAnsi="Cambria Math" w:cs="Arial"/>
                </w:rPr>
                <m:t>R</m:t>
              </m:r>
            </m:e>
            <m:sub>
              <m:r>
                <w:rPr>
                  <w:rFonts w:ascii="Cambria Math" w:hAnsi="Cambria Math" w:cs="Arial"/>
                </w:rPr>
                <m:t>it-1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BDr</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Bna</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w:rPr>
              <w:rFonts w:ascii="Cambria Math" w:hAnsi="Cambria Math" w:cs="Arial"/>
            </w:rPr>
            <m:t>TGHG</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sSub>
                <m:sSubPr>
                  <m:ctrlPr>
                    <w:rPr>
                      <w:rFonts w:ascii="Cambria Math" w:hAnsi="Cambria Math" w:cs="Arial"/>
                    </w:rPr>
                  </m:ctrlPr>
                </m:sSubPr>
                <m:e>
                  <m:r>
                    <w:rPr>
                      <w:rFonts w:ascii="Cambria Math" w:hAnsi="Cambria Math" w:cs="Arial"/>
                    </w:rPr>
                    <m:t>β</m:t>
                  </m:r>
                </m:e>
                <m:sub>
                  <m:r>
                    <w:rPr>
                      <w:rFonts w:ascii="Cambria Math" w:hAnsi="Cambria Math" w:cs="Arial"/>
                    </w:rPr>
                    <m:t>5</m:t>
                  </m:r>
                </m:sub>
              </m:sSub>
              <m:r>
                <w:rPr>
                  <w:rFonts w:ascii="Cambria Math" w:hAnsi="Cambria Math" w:cs="Arial"/>
                </w:rPr>
                <m:t>REN</m:t>
              </m:r>
              <m:sSub>
                <m:sSubPr>
                  <m:ctrlPr>
                    <w:rPr>
                      <w:rFonts w:ascii="Cambria Math" w:hAnsi="Cambria Math" w:cs="Arial"/>
                    </w:rPr>
                  </m:ctrlPr>
                </m:sSubPr>
                <m:e>
                  <m:r>
                    <w:rPr>
                      <w:rFonts w:ascii="Cambria Math" w:hAnsi="Cambria Math" w:cs="Arial"/>
                    </w:rPr>
                    <m:t>G</m:t>
                  </m:r>
                </m:e>
                <m:sub>
                  <m:r>
                    <w:rPr>
                      <w:rFonts w:ascii="Cambria Math" w:hAnsi="Cambria Math" w:cs="Arial"/>
                    </w:rPr>
                    <m:t>it</m:t>
                  </m:r>
                </m:sub>
              </m:sSub>
              <m:r>
                <w:rPr>
                  <w:rFonts w:ascii="Cambria Math" w:hAnsi="Cambria Math" w:cs="Arial"/>
                </w:rPr>
                <m:t>+ε</m:t>
              </m:r>
            </m:e>
            <m:sub>
              <m:r>
                <w:rPr>
                  <w:rFonts w:ascii="Cambria Math" w:hAnsi="Cambria Math" w:cs="Arial"/>
                </w:rPr>
                <m:t>it</m:t>
              </m:r>
            </m:sub>
          </m:sSub>
          <m:r>
            <m:rPr>
              <m:sty m:val="p"/>
            </m:rPr>
            <w:rPr>
              <w:rFonts w:ascii="Cambria Math" w:hAnsi="Cambria Math" w:cs="Arial"/>
            </w:rPr>
            <w:br/>
          </m:r>
        </m:oMath>
      </m:oMathPara>
      <w:r w:rsidRPr="00C44973">
        <w:rPr>
          <w:rFonts w:ascii="Arial" w:hAnsi="Arial" w:cs="Arial"/>
        </w:rPr>
        <w:t>Where:</w:t>
      </w:r>
    </w:p>
    <w:p w14:paraId="526D7411" w14:textId="2CDF6EDD"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S</m:t>
        </m:r>
        <m:sSub>
          <m:sSubPr>
            <m:ctrlPr>
              <w:rPr>
                <w:rFonts w:ascii="Cambria Math" w:hAnsi="Cambria Math" w:cs="Arial"/>
              </w:rPr>
            </m:ctrlPr>
          </m:sSubPr>
          <m:e>
            <m:r>
              <w:rPr>
                <w:rFonts w:ascii="Cambria Math" w:hAnsi="Cambria Math" w:cs="Arial"/>
              </w:rPr>
              <m:t>R</m:t>
            </m:r>
          </m:e>
          <m:sub>
            <m:r>
              <w:rPr>
                <w:rFonts w:ascii="Cambria Math" w:hAnsi="Cambria Math" w:cs="Arial"/>
              </w:rPr>
              <m:t>it</m:t>
            </m:r>
          </m:sub>
        </m:sSub>
      </m:oMath>
      <w:r w:rsidRPr="00C44973">
        <w:rPr>
          <w:rFonts w:ascii="Arial" w:hAnsi="Arial" w:cs="Arial"/>
        </w:rPr>
        <w:t>= Sustainability Reporting</w:t>
      </w:r>
    </w:p>
    <w:p w14:paraId="4C0AA43D" w14:textId="35CCD7C6"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BDr</m:t>
        </m:r>
        <m:sSub>
          <m:sSubPr>
            <m:ctrlPr>
              <w:rPr>
                <w:rFonts w:ascii="Cambria Math" w:hAnsi="Cambria Math" w:cs="Arial"/>
              </w:rPr>
            </m:ctrlPr>
          </m:sSubPr>
          <m:e>
            <m:r>
              <w:rPr>
                <w:rFonts w:ascii="Cambria Math" w:hAnsi="Cambria Math" w:cs="Arial"/>
              </w:rPr>
              <m:t>c</m:t>
            </m:r>
          </m:e>
          <m:sub>
            <m:r>
              <w:rPr>
                <w:rFonts w:ascii="Cambria Math" w:hAnsi="Cambria Math" w:cs="Arial"/>
              </w:rPr>
              <m:t>it</m:t>
            </m:r>
          </m:sub>
        </m:sSub>
      </m:oMath>
      <w:r w:rsidRPr="00C44973">
        <w:rPr>
          <w:rFonts w:ascii="Arial" w:hAnsi="Arial" w:cs="Arial"/>
        </w:rPr>
        <w:t>= Board Director Reputational Capital</w:t>
      </w:r>
    </w:p>
    <w:p w14:paraId="4F4B9FDC" w14:textId="0FE95447"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w:lastRenderedPageBreak/>
          <m:t>Bna</m:t>
        </m:r>
        <m:sSub>
          <m:sSubPr>
            <m:ctrlPr>
              <w:rPr>
                <w:rFonts w:ascii="Cambria Math" w:hAnsi="Cambria Math" w:cs="Arial"/>
              </w:rPr>
            </m:ctrlPr>
          </m:sSubPr>
          <m:e>
            <m:r>
              <w:rPr>
                <w:rFonts w:ascii="Cambria Math" w:hAnsi="Cambria Math" w:cs="Arial"/>
              </w:rPr>
              <m:t>t</m:t>
            </m:r>
          </m:e>
          <m:sub>
            <m:r>
              <w:rPr>
                <w:rFonts w:ascii="Cambria Math" w:hAnsi="Cambria Math" w:cs="Arial"/>
              </w:rPr>
              <m:t>it</m:t>
            </m:r>
          </m:sub>
        </m:sSub>
      </m:oMath>
      <w:r w:rsidRPr="00C44973">
        <w:rPr>
          <w:rFonts w:ascii="Arial" w:hAnsi="Arial" w:cs="Arial"/>
        </w:rPr>
        <w:t>= Board Director Nationality</w:t>
      </w:r>
    </w:p>
    <w:p w14:paraId="2340A3C0" w14:textId="6C6B8302"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TGHG</m:t>
        </m:r>
        <m:sSub>
          <m:sSubPr>
            <m:ctrlPr>
              <w:rPr>
                <w:rFonts w:ascii="Cambria Math" w:hAnsi="Cambria Math" w:cs="Arial"/>
              </w:rPr>
            </m:ctrlPr>
          </m:sSubPr>
          <m:e>
            <m:r>
              <w:rPr>
                <w:rFonts w:ascii="Cambria Math" w:hAnsi="Cambria Math" w:cs="Arial"/>
              </w:rPr>
              <m:t>S</m:t>
            </m:r>
          </m:e>
          <m:sub>
            <m:r>
              <w:rPr>
                <w:rFonts w:ascii="Cambria Math" w:hAnsi="Cambria Math" w:cs="Arial"/>
              </w:rPr>
              <m:t>it</m:t>
            </m:r>
          </m:sub>
        </m:sSub>
      </m:oMath>
      <w:r w:rsidRPr="00C44973">
        <w:rPr>
          <w:rFonts w:ascii="Arial" w:hAnsi="Arial" w:cs="Arial"/>
        </w:rPr>
        <w:t xml:space="preserve">= Greenhouse Gas Emissions </w:t>
      </w:r>
    </w:p>
    <w:p w14:paraId="01D6B4A7" w14:textId="67ABD6D2" w:rsidR="00C44973" w:rsidRPr="00C44973" w:rsidRDefault="00C44973" w:rsidP="00C44973">
      <w:pPr>
        <w:pStyle w:val="Body"/>
        <w:numPr>
          <w:ilvl w:val="0"/>
          <w:numId w:val="31"/>
        </w:numPr>
        <w:spacing w:after="0"/>
        <w:rPr>
          <w:rFonts w:ascii="Arial" w:hAnsi="Arial" w:cs="Arial"/>
        </w:rPr>
      </w:pPr>
      <m:oMath>
        <m:r>
          <w:rPr>
            <w:rFonts w:ascii="Cambria Math" w:hAnsi="Cambria Math" w:cs="Arial"/>
          </w:rPr>
          <m:t>REN</m:t>
        </m:r>
        <m:sSub>
          <m:sSubPr>
            <m:ctrlPr>
              <w:rPr>
                <w:rFonts w:ascii="Cambria Math" w:hAnsi="Cambria Math" w:cs="Arial"/>
              </w:rPr>
            </m:ctrlPr>
          </m:sSubPr>
          <m:e>
            <m:r>
              <w:rPr>
                <w:rFonts w:ascii="Cambria Math" w:hAnsi="Cambria Math" w:cs="Arial"/>
              </w:rPr>
              <m:t>G</m:t>
            </m:r>
          </m:e>
          <m:sub>
            <m:r>
              <w:rPr>
                <w:rFonts w:ascii="Cambria Math" w:hAnsi="Cambria Math" w:cs="Arial"/>
              </w:rPr>
              <m:t>it</m:t>
            </m:r>
          </m:sub>
        </m:sSub>
      </m:oMath>
      <w:r w:rsidRPr="00C44973">
        <w:rPr>
          <w:rFonts w:ascii="Arial" w:hAnsi="Arial" w:cs="Arial"/>
        </w:rPr>
        <w:t xml:space="preserve"> = Energy Consumption</w:t>
      </w:r>
    </w:p>
    <w:p w14:paraId="24DD0B1D" w14:textId="24664914" w:rsidR="00C44973" w:rsidRPr="00C44973" w:rsidRDefault="00BC7A0C" w:rsidP="00334345">
      <w:pPr>
        <w:pStyle w:val="Body"/>
        <w:numPr>
          <w:ilvl w:val="0"/>
          <w:numId w:val="31"/>
        </w:numPr>
        <w:rPr>
          <w:rFonts w:ascii="Arial" w:hAnsi="Arial" w:cs="Arial"/>
        </w:rPr>
      </w:pPr>
      <m:oMath>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oMath>
      <w:r w:rsidR="00C44973" w:rsidRPr="00C44973">
        <w:rPr>
          <w:rFonts w:ascii="Arial" w:hAnsi="Arial" w:cs="Arial"/>
        </w:rPr>
        <w:t>= Error term</w:t>
      </w:r>
    </w:p>
    <w:p w14:paraId="2CB3C29B" w14:textId="5154D13E" w:rsidR="00790ADA" w:rsidRDefault="00C44973" w:rsidP="00441B6F">
      <w:pPr>
        <w:pStyle w:val="Body"/>
        <w:spacing w:after="0"/>
        <w:rPr>
          <w:rFonts w:ascii="Arial" w:hAnsi="Arial" w:cs="Arial"/>
        </w:rPr>
      </w:pPr>
      <w:r w:rsidRPr="00C44973">
        <w:rPr>
          <w:rFonts w:ascii="Arial" w:hAnsi="Arial" w:cs="Arial"/>
        </w:rPr>
        <w:t>Sustainability reporting was measured using environmental, social, and governance (ESG) disclosure items based on a binary content analysis (1 = presence, 0 = absence) following Ali et al. (2025). Board director nationality was proxied as the proportion of foreign directors to total directors (Hahn &amp; Lasfer, 2016), while board director’s reputational capital was measured as the total compensation earned by directors across all their directorships (Fredriksson et al., 2020). Control variables included greenhouse gas emissions, and renewable energy consumption percentage.</w:t>
      </w:r>
    </w:p>
    <w:p w14:paraId="7E7D0D75" w14:textId="77777777" w:rsidR="00C44973" w:rsidRDefault="00C44973" w:rsidP="00441B6F">
      <w:pPr>
        <w:pStyle w:val="Body"/>
        <w:spacing w:after="0"/>
        <w:rPr>
          <w:rFonts w:ascii="Arial" w:hAnsi="Arial" w:cs="Arial"/>
        </w:rPr>
      </w:pPr>
    </w:p>
    <w:p w14:paraId="4AB70158" w14:textId="47FA2499" w:rsidR="00C44973" w:rsidRDefault="00C44973" w:rsidP="00C44973">
      <w:pPr>
        <w:pStyle w:val="AbstHead"/>
        <w:spacing w:after="0"/>
        <w:jc w:val="both"/>
        <w:rPr>
          <w:rFonts w:ascii="Arial" w:hAnsi="Arial" w:cs="Arial"/>
        </w:rPr>
      </w:pPr>
      <w:r w:rsidRPr="00C44973">
        <w:rPr>
          <w:rFonts w:ascii="Arial" w:hAnsi="Arial" w:cs="Arial"/>
        </w:rPr>
        <w:t xml:space="preserve">4. RESULTS </w:t>
      </w:r>
    </w:p>
    <w:p w14:paraId="60A8AAA1" w14:textId="77777777" w:rsidR="00C44973" w:rsidRPr="00C44973" w:rsidRDefault="00C44973" w:rsidP="00C44973">
      <w:pPr>
        <w:pStyle w:val="AbstHead"/>
        <w:spacing w:after="0"/>
        <w:jc w:val="both"/>
        <w:rPr>
          <w:rFonts w:ascii="Arial" w:hAnsi="Arial" w:cs="Arial"/>
        </w:rPr>
      </w:pPr>
    </w:p>
    <w:p w14:paraId="69BB751E" w14:textId="77777777" w:rsidR="00C44973" w:rsidRDefault="00C44973" w:rsidP="00C44973">
      <w:pPr>
        <w:pStyle w:val="Body"/>
        <w:spacing w:after="0"/>
        <w:rPr>
          <w:rFonts w:ascii="Arial" w:hAnsi="Arial" w:cs="Arial"/>
          <w:b/>
          <w:bCs/>
          <w:sz w:val="22"/>
          <w:szCs w:val="22"/>
        </w:rPr>
      </w:pPr>
      <w:r w:rsidRPr="00C44973">
        <w:rPr>
          <w:rFonts w:ascii="Arial" w:hAnsi="Arial" w:cs="Arial"/>
          <w:b/>
          <w:bCs/>
          <w:sz w:val="22"/>
          <w:szCs w:val="22"/>
        </w:rPr>
        <w:t>4.1 Descriptive Analysis</w:t>
      </w:r>
    </w:p>
    <w:p w14:paraId="46C365B7" w14:textId="77777777" w:rsidR="00C44973" w:rsidRPr="00C44973" w:rsidRDefault="00C44973" w:rsidP="00C44973">
      <w:pPr>
        <w:pStyle w:val="Body"/>
        <w:spacing w:after="0"/>
        <w:rPr>
          <w:rFonts w:ascii="Arial" w:hAnsi="Arial" w:cs="Arial"/>
          <w:b/>
          <w:bCs/>
          <w:sz w:val="22"/>
          <w:szCs w:val="22"/>
        </w:rPr>
      </w:pPr>
    </w:p>
    <w:p w14:paraId="5788EC2B" w14:textId="3D71FDDE" w:rsidR="00C44973" w:rsidRPr="00C44973" w:rsidRDefault="00C44973" w:rsidP="00C44973">
      <w:pPr>
        <w:pStyle w:val="Body"/>
        <w:rPr>
          <w:rFonts w:ascii="Arial" w:hAnsi="Arial" w:cs="Arial"/>
          <w:b/>
          <w:bCs/>
        </w:rPr>
      </w:pPr>
      <w:r w:rsidRPr="00C44973">
        <w:rPr>
          <w:rFonts w:ascii="Arial" w:hAnsi="Arial" w:cs="Arial"/>
          <w:b/>
          <w:bCs/>
        </w:rPr>
        <w:t>Table 1</w:t>
      </w:r>
      <w:r>
        <w:rPr>
          <w:rFonts w:ascii="Arial" w:hAnsi="Arial" w:cs="Arial"/>
          <w:b/>
          <w:bCs/>
        </w:rPr>
        <w:t>.</w:t>
      </w:r>
      <w:r w:rsidRPr="00C44973">
        <w:rPr>
          <w:rFonts w:ascii="Arial" w:hAnsi="Arial" w:cs="Arial"/>
          <w:b/>
          <w:bCs/>
        </w:rPr>
        <w:t xml:space="preserve"> </w:t>
      </w:r>
      <w:r w:rsidRPr="00C44973">
        <w:rPr>
          <w:rFonts w:ascii="Arial" w:hAnsi="Arial" w:cs="Arial"/>
          <w:b/>
        </w:rPr>
        <w:t>Descriptive statistics of the Study’s Variables</w:t>
      </w:r>
    </w:p>
    <w:tbl>
      <w:tblPr>
        <w:tblW w:w="7345" w:type="dxa"/>
        <w:jc w:val="center"/>
        <w:tblLayout w:type="fixed"/>
        <w:tblCellMar>
          <w:left w:w="0" w:type="dxa"/>
          <w:right w:w="0" w:type="dxa"/>
        </w:tblCellMar>
        <w:tblLook w:val="0000" w:firstRow="0" w:lastRow="0" w:firstColumn="0" w:lastColumn="0" w:noHBand="0" w:noVBand="0"/>
      </w:tblPr>
      <w:tblGrid>
        <w:gridCol w:w="1492"/>
        <w:gridCol w:w="1083"/>
        <w:gridCol w:w="1260"/>
        <w:gridCol w:w="1260"/>
        <w:gridCol w:w="1080"/>
        <w:gridCol w:w="1170"/>
      </w:tblGrid>
      <w:tr w:rsidR="00C44973" w:rsidRPr="00C44973" w14:paraId="7631F1E1" w14:textId="77777777" w:rsidTr="00C44973">
        <w:trPr>
          <w:trHeight w:val="225"/>
          <w:jc w:val="center"/>
        </w:trPr>
        <w:tc>
          <w:tcPr>
            <w:tcW w:w="1492" w:type="dxa"/>
            <w:tcBorders>
              <w:top w:val="single" w:sz="4" w:space="0" w:color="auto"/>
              <w:bottom w:val="single" w:sz="4" w:space="0" w:color="auto"/>
            </w:tcBorders>
            <w:vAlign w:val="bottom"/>
          </w:tcPr>
          <w:p w14:paraId="3AD91985" w14:textId="77777777" w:rsidR="00C44973" w:rsidRPr="00C44973" w:rsidRDefault="00C44973" w:rsidP="00C44973">
            <w:pPr>
              <w:pStyle w:val="Body"/>
              <w:spacing w:after="0"/>
              <w:rPr>
                <w:rFonts w:ascii="Arial" w:hAnsi="Arial" w:cs="Arial"/>
              </w:rPr>
            </w:pPr>
          </w:p>
        </w:tc>
        <w:tc>
          <w:tcPr>
            <w:tcW w:w="1083" w:type="dxa"/>
            <w:tcBorders>
              <w:top w:val="single" w:sz="4" w:space="0" w:color="auto"/>
              <w:bottom w:val="single" w:sz="4" w:space="0" w:color="auto"/>
            </w:tcBorders>
            <w:vAlign w:val="bottom"/>
          </w:tcPr>
          <w:p w14:paraId="35B4CC5F" w14:textId="77777777" w:rsidR="00C44973" w:rsidRPr="00C44973" w:rsidRDefault="00C44973" w:rsidP="00C44973">
            <w:pPr>
              <w:pStyle w:val="Body"/>
              <w:spacing w:after="0"/>
              <w:rPr>
                <w:rFonts w:ascii="Arial" w:hAnsi="Arial" w:cs="Arial"/>
              </w:rPr>
            </w:pPr>
            <w:r w:rsidRPr="00C44973">
              <w:rPr>
                <w:rFonts w:ascii="Arial" w:hAnsi="Arial" w:cs="Arial"/>
              </w:rPr>
              <w:t>SR</w:t>
            </w:r>
          </w:p>
        </w:tc>
        <w:tc>
          <w:tcPr>
            <w:tcW w:w="1260" w:type="dxa"/>
            <w:tcBorders>
              <w:top w:val="single" w:sz="4" w:space="0" w:color="auto"/>
              <w:bottom w:val="single" w:sz="4" w:space="0" w:color="auto"/>
            </w:tcBorders>
            <w:vAlign w:val="bottom"/>
          </w:tcPr>
          <w:p w14:paraId="7411362B" w14:textId="77777777" w:rsidR="00C44973" w:rsidRPr="00C44973" w:rsidRDefault="00C44973" w:rsidP="00C44973">
            <w:pPr>
              <w:pStyle w:val="Body"/>
              <w:spacing w:after="0"/>
              <w:rPr>
                <w:rFonts w:ascii="Arial" w:hAnsi="Arial" w:cs="Arial"/>
              </w:rPr>
            </w:pPr>
            <w:r w:rsidRPr="00C44973">
              <w:rPr>
                <w:rFonts w:ascii="Arial" w:hAnsi="Arial" w:cs="Arial"/>
              </w:rPr>
              <w:t>BDRC</w:t>
            </w:r>
          </w:p>
        </w:tc>
        <w:tc>
          <w:tcPr>
            <w:tcW w:w="1260" w:type="dxa"/>
            <w:tcBorders>
              <w:top w:val="single" w:sz="4" w:space="0" w:color="auto"/>
              <w:bottom w:val="single" w:sz="4" w:space="0" w:color="auto"/>
            </w:tcBorders>
            <w:vAlign w:val="bottom"/>
          </w:tcPr>
          <w:p w14:paraId="535811C5" w14:textId="77777777" w:rsidR="00C44973" w:rsidRPr="00C44973" w:rsidRDefault="00C44973" w:rsidP="00C44973">
            <w:pPr>
              <w:pStyle w:val="Body"/>
              <w:spacing w:after="0"/>
              <w:rPr>
                <w:rFonts w:ascii="Arial" w:hAnsi="Arial" w:cs="Arial"/>
              </w:rPr>
            </w:pPr>
            <w:r w:rsidRPr="00C44973">
              <w:rPr>
                <w:rFonts w:ascii="Arial" w:hAnsi="Arial" w:cs="Arial"/>
              </w:rPr>
              <w:t>BNAT</w:t>
            </w:r>
          </w:p>
        </w:tc>
        <w:tc>
          <w:tcPr>
            <w:tcW w:w="1080" w:type="dxa"/>
            <w:tcBorders>
              <w:top w:val="single" w:sz="4" w:space="0" w:color="auto"/>
              <w:bottom w:val="single" w:sz="4" w:space="0" w:color="auto"/>
            </w:tcBorders>
            <w:vAlign w:val="bottom"/>
          </w:tcPr>
          <w:p w14:paraId="74AEA009" w14:textId="77777777" w:rsidR="00C44973" w:rsidRPr="00C44973" w:rsidRDefault="00C44973" w:rsidP="00C44973">
            <w:pPr>
              <w:pStyle w:val="Body"/>
              <w:spacing w:after="0"/>
              <w:rPr>
                <w:rFonts w:ascii="Arial" w:hAnsi="Arial" w:cs="Arial"/>
              </w:rPr>
            </w:pPr>
            <w:r w:rsidRPr="00C44973">
              <w:rPr>
                <w:rFonts w:ascii="Arial" w:hAnsi="Arial" w:cs="Arial"/>
              </w:rPr>
              <w:t>TGHGS</w:t>
            </w:r>
          </w:p>
        </w:tc>
        <w:tc>
          <w:tcPr>
            <w:tcW w:w="1170" w:type="dxa"/>
            <w:tcBorders>
              <w:top w:val="single" w:sz="4" w:space="0" w:color="auto"/>
              <w:bottom w:val="single" w:sz="4" w:space="0" w:color="auto"/>
            </w:tcBorders>
            <w:vAlign w:val="bottom"/>
          </w:tcPr>
          <w:p w14:paraId="6A3E6191" w14:textId="77777777" w:rsidR="00C44973" w:rsidRPr="00C44973" w:rsidRDefault="00C44973" w:rsidP="00C44973">
            <w:pPr>
              <w:pStyle w:val="Body"/>
              <w:spacing w:after="0"/>
              <w:rPr>
                <w:rFonts w:ascii="Arial" w:hAnsi="Arial" w:cs="Arial"/>
              </w:rPr>
            </w:pPr>
            <w:r w:rsidRPr="00C44973">
              <w:rPr>
                <w:rFonts w:ascii="Arial" w:hAnsi="Arial" w:cs="Arial"/>
              </w:rPr>
              <w:t>RENG</w:t>
            </w:r>
          </w:p>
        </w:tc>
      </w:tr>
      <w:tr w:rsidR="00C44973" w:rsidRPr="00C44973" w14:paraId="15488163" w14:textId="77777777" w:rsidTr="00C44973">
        <w:trPr>
          <w:trHeight w:val="225"/>
          <w:jc w:val="center"/>
        </w:trPr>
        <w:tc>
          <w:tcPr>
            <w:tcW w:w="1492" w:type="dxa"/>
            <w:tcBorders>
              <w:top w:val="single" w:sz="4" w:space="0" w:color="auto"/>
            </w:tcBorders>
            <w:vAlign w:val="bottom"/>
          </w:tcPr>
          <w:p w14:paraId="75194EC1" w14:textId="77777777" w:rsidR="00C44973" w:rsidRPr="00C44973" w:rsidRDefault="00C44973" w:rsidP="00C44973">
            <w:pPr>
              <w:pStyle w:val="Body"/>
              <w:spacing w:after="0"/>
              <w:rPr>
                <w:rFonts w:ascii="Arial" w:hAnsi="Arial" w:cs="Arial"/>
              </w:rPr>
            </w:pPr>
            <w:r w:rsidRPr="00C44973">
              <w:rPr>
                <w:rFonts w:ascii="Arial" w:hAnsi="Arial" w:cs="Arial"/>
              </w:rPr>
              <w:t> Mean</w:t>
            </w:r>
          </w:p>
        </w:tc>
        <w:tc>
          <w:tcPr>
            <w:tcW w:w="1083" w:type="dxa"/>
            <w:tcBorders>
              <w:top w:val="single" w:sz="4" w:space="0" w:color="auto"/>
            </w:tcBorders>
            <w:vAlign w:val="bottom"/>
          </w:tcPr>
          <w:p w14:paraId="66EF326E" w14:textId="77777777" w:rsidR="00C44973" w:rsidRPr="00C44973" w:rsidRDefault="00C44973" w:rsidP="00C44973">
            <w:pPr>
              <w:pStyle w:val="Body"/>
              <w:spacing w:after="0"/>
              <w:rPr>
                <w:rFonts w:ascii="Arial" w:hAnsi="Arial" w:cs="Arial"/>
              </w:rPr>
            </w:pPr>
            <w:r w:rsidRPr="00C44973">
              <w:rPr>
                <w:rFonts w:ascii="Arial" w:hAnsi="Arial" w:cs="Arial"/>
              </w:rPr>
              <w:t> 0.7272</w:t>
            </w:r>
          </w:p>
        </w:tc>
        <w:tc>
          <w:tcPr>
            <w:tcW w:w="1260" w:type="dxa"/>
            <w:tcBorders>
              <w:top w:val="single" w:sz="4" w:space="0" w:color="auto"/>
            </w:tcBorders>
            <w:vAlign w:val="bottom"/>
          </w:tcPr>
          <w:p w14:paraId="016E8A98" w14:textId="77777777" w:rsidR="00C44973" w:rsidRPr="00C44973" w:rsidRDefault="00C44973" w:rsidP="00C44973">
            <w:pPr>
              <w:pStyle w:val="Body"/>
              <w:spacing w:after="0"/>
              <w:rPr>
                <w:rFonts w:ascii="Arial" w:hAnsi="Arial" w:cs="Arial"/>
              </w:rPr>
            </w:pPr>
            <w:r w:rsidRPr="00C44973">
              <w:rPr>
                <w:rFonts w:ascii="Arial" w:hAnsi="Arial" w:cs="Arial"/>
              </w:rPr>
              <w:t> 19921</w:t>
            </w:r>
          </w:p>
        </w:tc>
        <w:tc>
          <w:tcPr>
            <w:tcW w:w="1260" w:type="dxa"/>
            <w:tcBorders>
              <w:top w:val="single" w:sz="4" w:space="0" w:color="auto"/>
            </w:tcBorders>
            <w:vAlign w:val="bottom"/>
          </w:tcPr>
          <w:p w14:paraId="08C79A86" w14:textId="77777777" w:rsidR="00C44973" w:rsidRPr="00C44973" w:rsidRDefault="00C44973" w:rsidP="00C44973">
            <w:pPr>
              <w:pStyle w:val="Body"/>
              <w:spacing w:after="0"/>
              <w:rPr>
                <w:rFonts w:ascii="Arial" w:hAnsi="Arial" w:cs="Arial"/>
              </w:rPr>
            </w:pPr>
            <w:r w:rsidRPr="00C44973">
              <w:rPr>
                <w:rFonts w:ascii="Arial" w:hAnsi="Arial" w:cs="Arial"/>
              </w:rPr>
              <w:t> 16.437</w:t>
            </w:r>
          </w:p>
        </w:tc>
        <w:tc>
          <w:tcPr>
            <w:tcW w:w="1080" w:type="dxa"/>
            <w:tcBorders>
              <w:top w:val="single" w:sz="4" w:space="0" w:color="auto"/>
            </w:tcBorders>
            <w:vAlign w:val="bottom"/>
          </w:tcPr>
          <w:p w14:paraId="6C7FCE16" w14:textId="77777777" w:rsidR="00C44973" w:rsidRPr="00C44973" w:rsidRDefault="00C44973" w:rsidP="00C44973">
            <w:pPr>
              <w:pStyle w:val="Body"/>
              <w:spacing w:after="0"/>
              <w:rPr>
                <w:rFonts w:ascii="Arial" w:hAnsi="Arial" w:cs="Arial"/>
              </w:rPr>
            </w:pPr>
            <w:r w:rsidRPr="00C44973">
              <w:rPr>
                <w:rFonts w:ascii="Arial" w:hAnsi="Arial" w:cs="Arial"/>
              </w:rPr>
              <w:t> 0.6352</w:t>
            </w:r>
          </w:p>
        </w:tc>
        <w:tc>
          <w:tcPr>
            <w:tcW w:w="1170" w:type="dxa"/>
            <w:tcBorders>
              <w:top w:val="single" w:sz="4" w:space="0" w:color="auto"/>
            </w:tcBorders>
            <w:vAlign w:val="bottom"/>
          </w:tcPr>
          <w:p w14:paraId="7E120B4D" w14:textId="77777777" w:rsidR="00C44973" w:rsidRPr="00C44973" w:rsidRDefault="00C44973" w:rsidP="00C44973">
            <w:pPr>
              <w:pStyle w:val="Body"/>
              <w:spacing w:after="0"/>
              <w:rPr>
                <w:rFonts w:ascii="Arial" w:hAnsi="Arial" w:cs="Arial"/>
              </w:rPr>
            </w:pPr>
            <w:r w:rsidRPr="00C44973">
              <w:rPr>
                <w:rFonts w:ascii="Arial" w:hAnsi="Arial" w:cs="Arial"/>
              </w:rPr>
              <w:t> 143.85</w:t>
            </w:r>
          </w:p>
        </w:tc>
      </w:tr>
      <w:tr w:rsidR="00C44973" w:rsidRPr="00C44973" w14:paraId="4371B11F" w14:textId="77777777" w:rsidTr="00C44973">
        <w:trPr>
          <w:trHeight w:val="225"/>
          <w:jc w:val="center"/>
        </w:trPr>
        <w:tc>
          <w:tcPr>
            <w:tcW w:w="1492" w:type="dxa"/>
            <w:vAlign w:val="bottom"/>
          </w:tcPr>
          <w:p w14:paraId="1998628C" w14:textId="77777777" w:rsidR="00C44973" w:rsidRPr="00C44973" w:rsidRDefault="00C44973" w:rsidP="00C44973">
            <w:pPr>
              <w:pStyle w:val="Body"/>
              <w:spacing w:after="0"/>
              <w:rPr>
                <w:rFonts w:ascii="Arial" w:hAnsi="Arial" w:cs="Arial"/>
              </w:rPr>
            </w:pPr>
            <w:r w:rsidRPr="00C44973">
              <w:rPr>
                <w:rFonts w:ascii="Arial" w:hAnsi="Arial" w:cs="Arial"/>
              </w:rPr>
              <w:t> Median</w:t>
            </w:r>
          </w:p>
        </w:tc>
        <w:tc>
          <w:tcPr>
            <w:tcW w:w="1083" w:type="dxa"/>
            <w:vAlign w:val="bottom"/>
          </w:tcPr>
          <w:p w14:paraId="06095574"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2F1FE649" w14:textId="77777777" w:rsidR="00C44973" w:rsidRPr="00C44973" w:rsidRDefault="00C44973" w:rsidP="00C44973">
            <w:pPr>
              <w:pStyle w:val="Body"/>
              <w:spacing w:after="0"/>
              <w:rPr>
                <w:rFonts w:ascii="Arial" w:hAnsi="Arial" w:cs="Arial"/>
              </w:rPr>
            </w:pPr>
            <w:r w:rsidRPr="00C44973">
              <w:rPr>
                <w:rFonts w:ascii="Arial" w:hAnsi="Arial" w:cs="Arial"/>
              </w:rPr>
              <w:t> 18347</w:t>
            </w:r>
          </w:p>
        </w:tc>
        <w:tc>
          <w:tcPr>
            <w:tcW w:w="1260" w:type="dxa"/>
            <w:vAlign w:val="bottom"/>
          </w:tcPr>
          <w:p w14:paraId="75D23943" w14:textId="77777777" w:rsidR="00C44973" w:rsidRPr="00C44973" w:rsidRDefault="00C44973" w:rsidP="00C44973">
            <w:pPr>
              <w:pStyle w:val="Body"/>
              <w:spacing w:after="0"/>
              <w:rPr>
                <w:rFonts w:ascii="Arial" w:hAnsi="Arial" w:cs="Arial"/>
              </w:rPr>
            </w:pPr>
            <w:r w:rsidRPr="00C44973">
              <w:rPr>
                <w:rFonts w:ascii="Arial" w:hAnsi="Arial" w:cs="Arial"/>
              </w:rPr>
              <w:t> 13.215</w:t>
            </w:r>
          </w:p>
        </w:tc>
        <w:tc>
          <w:tcPr>
            <w:tcW w:w="1080" w:type="dxa"/>
            <w:vAlign w:val="bottom"/>
          </w:tcPr>
          <w:p w14:paraId="1CEBA8C4" w14:textId="77777777" w:rsidR="00C44973" w:rsidRPr="00C44973" w:rsidRDefault="00C44973" w:rsidP="00C44973">
            <w:pPr>
              <w:pStyle w:val="Body"/>
              <w:spacing w:after="0"/>
              <w:rPr>
                <w:rFonts w:ascii="Arial" w:hAnsi="Arial" w:cs="Arial"/>
              </w:rPr>
            </w:pPr>
            <w:r w:rsidRPr="00C44973">
              <w:rPr>
                <w:rFonts w:ascii="Arial" w:hAnsi="Arial" w:cs="Arial"/>
              </w:rPr>
              <w:t> 0.6400</w:t>
            </w:r>
          </w:p>
        </w:tc>
        <w:tc>
          <w:tcPr>
            <w:tcW w:w="1170" w:type="dxa"/>
            <w:vAlign w:val="bottom"/>
          </w:tcPr>
          <w:p w14:paraId="17B63090" w14:textId="77777777" w:rsidR="00C44973" w:rsidRPr="00C44973" w:rsidRDefault="00C44973" w:rsidP="00C44973">
            <w:pPr>
              <w:pStyle w:val="Body"/>
              <w:spacing w:after="0"/>
              <w:rPr>
                <w:rFonts w:ascii="Arial" w:hAnsi="Arial" w:cs="Arial"/>
              </w:rPr>
            </w:pPr>
            <w:r w:rsidRPr="00C44973">
              <w:rPr>
                <w:rFonts w:ascii="Arial" w:hAnsi="Arial" w:cs="Arial"/>
              </w:rPr>
              <w:t> 143.91</w:t>
            </w:r>
          </w:p>
        </w:tc>
      </w:tr>
      <w:tr w:rsidR="00C44973" w:rsidRPr="00C44973" w14:paraId="23DA88C4" w14:textId="77777777" w:rsidTr="00C44973">
        <w:trPr>
          <w:trHeight w:val="225"/>
          <w:jc w:val="center"/>
        </w:trPr>
        <w:tc>
          <w:tcPr>
            <w:tcW w:w="1492" w:type="dxa"/>
            <w:vAlign w:val="bottom"/>
          </w:tcPr>
          <w:p w14:paraId="7BA4BD90" w14:textId="77777777" w:rsidR="00C44973" w:rsidRPr="00C44973" w:rsidRDefault="00C44973" w:rsidP="00C44973">
            <w:pPr>
              <w:pStyle w:val="Body"/>
              <w:spacing w:after="0"/>
              <w:rPr>
                <w:rFonts w:ascii="Arial" w:hAnsi="Arial" w:cs="Arial"/>
              </w:rPr>
            </w:pPr>
            <w:r w:rsidRPr="00C44973">
              <w:rPr>
                <w:rFonts w:ascii="Arial" w:hAnsi="Arial" w:cs="Arial"/>
              </w:rPr>
              <w:t> Maximum</w:t>
            </w:r>
          </w:p>
        </w:tc>
        <w:tc>
          <w:tcPr>
            <w:tcW w:w="1083" w:type="dxa"/>
            <w:vAlign w:val="bottom"/>
          </w:tcPr>
          <w:p w14:paraId="7A092C34" w14:textId="77777777" w:rsidR="00C44973" w:rsidRPr="00C44973" w:rsidRDefault="00C44973" w:rsidP="00C44973">
            <w:pPr>
              <w:pStyle w:val="Body"/>
              <w:spacing w:after="0"/>
              <w:rPr>
                <w:rFonts w:ascii="Arial" w:hAnsi="Arial" w:cs="Arial"/>
              </w:rPr>
            </w:pPr>
            <w:r w:rsidRPr="00C44973">
              <w:rPr>
                <w:rFonts w:ascii="Arial" w:hAnsi="Arial" w:cs="Arial"/>
              </w:rPr>
              <w:t> 30.000</w:t>
            </w:r>
          </w:p>
        </w:tc>
        <w:tc>
          <w:tcPr>
            <w:tcW w:w="1260" w:type="dxa"/>
            <w:vAlign w:val="bottom"/>
          </w:tcPr>
          <w:p w14:paraId="4CF1C080" w14:textId="77777777" w:rsidR="00C44973" w:rsidRPr="00C44973" w:rsidRDefault="00C44973" w:rsidP="00C44973">
            <w:pPr>
              <w:pStyle w:val="Body"/>
              <w:spacing w:after="0"/>
              <w:rPr>
                <w:rFonts w:ascii="Arial" w:hAnsi="Arial" w:cs="Arial"/>
              </w:rPr>
            </w:pPr>
            <w:r w:rsidRPr="00C44973">
              <w:rPr>
                <w:rFonts w:ascii="Arial" w:hAnsi="Arial" w:cs="Arial"/>
              </w:rPr>
              <w:t> 54937</w:t>
            </w:r>
          </w:p>
        </w:tc>
        <w:tc>
          <w:tcPr>
            <w:tcW w:w="1260" w:type="dxa"/>
            <w:vAlign w:val="bottom"/>
          </w:tcPr>
          <w:p w14:paraId="7172C0D8" w14:textId="77777777" w:rsidR="00C44973" w:rsidRPr="00C44973" w:rsidRDefault="00C44973" w:rsidP="00C44973">
            <w:pPr>
              <w:pStyle w:val="Body"/>
              <w:spacing w:after="0"/>
              <w:rPr>
                <w:rFonts w:ascii="Arial" w:hAnsi="Arial" w:cs="Arial"/>
              </w:rPr>
            </w:pPr>
            <w:r w:rsidRPr="00C44973">
              <w:rPr>
                <w:rFonts w:ascii="Arial" w:hAnsi="Arial" w:cs="Arial"/>
              </w:rPr>
              <w:t> 55.230</w:t>
            </w:r>
          </w:p>
        </w:tc>
        <w:tc>
          <w:tcPr>
            <w:tcW w:w="1080" w:type="dxa"/>
            <w:vAlign w:val="bottom"/>
          </w:tcPr>
          <w:p w14:paraId="5A5D1035" w14:textId="77777777" w:rsidR="00C44973" w:rsidRPr="00C44973" w:rsidRDefault="00C44973" w:rsidP="00C44973">
            <w:pPr>
              <w:pStyle w:val="Body"/>
              <w:spacing w:after="0"/>
              <w:rPr>
                <w:rFonts w:ascii="Arial" w:hAnsi="Arial" w:cs="Arial"/>
              </w:rPr>
            </w:pPr>
            <w:r w:rsidRPr="00C44973">
              <w:rPr>
                <w:rFonts w:ascii="Arial" w:hAnsi="Arial" w:cs="Arial"/>
              </w:rPr>
              <w:t> 0.6700</w:t>
            </w:r>
          </w:p>
        </w:tc>
        <w:tc>
          <w:tcPr>
            <w:tcW w:w="1170" w:type="dxa"/>
            <w:vAlign w:val="bottom"/>
          </w:tcPr>
          <w:p w14:paraId="3F43B744" w14:textId="77777777" w:rsidR="00C44973" w:rsidRPr="00C44973" w:rsidRDefault="00C44973" w:rsidP="00C44973">
            <w:pPr>
              <w:pStyle w:val="Body"/>
              <w:spacing w:after="0"/>
              <w:rPr>
                <w:rFonts w:ascii="Arial" w:hAnsi="Arial" w:cs="Arial"/>
              </w:rPr>
            </w:pPr>
            <w:r w:rsidRPr="00C44973">
              <w:rPr>
                <w:rFonts w:ascii="Arial" w:hAnsi="Arial" w:cs="Arial"/>
              </w:rPr>
              <w:t> 143.97</w:t>
            </w:r>
          </w:p>
        </w:tc>
      </w:tr>
      <w:tr w:rsidR="00C44973" w:rsidRPr="00C44973" w14:paraId="5E37F25F" w14:textId="77777777" w:rsidTr="00C44973">
        <w:trPr>
          <w:trHeight w:val="225"/>
          <w:jc w:val="center"/>
        </w:trPr>
        <w:tc>
          <w:tcPr>
            <w:tcW w:w="1492" w:type="dxa"/>
            <w:vAlign w:val="bottom"/>
          </w:tcPr>
          <w:p w14:paraId="11BD919C" w14:textId="77777777" w:rsidR="00C44973" w:rsidRPr="00C44973" w:rsidRDefault="00C44973" w:rsidP="00C44973">
            <w:pPr>
              <w:pStyle w:val="Body"/>
              <w:spacing w:after="0"/>
              <w:rPr>
                <w:rFonts w:ascii="Arial" w:hAnsi="Arial" w:cs="Arial"/>
              </w:rPr>
            </w:pPr>
            <w:r w:rsidRPr="00C44973">
              <w:rPr>
                <w:rFonts w:ascii="Arial" w:hAnsi="Arial" w:cs="Arial"/>
              </w:rPr>
              <w:t> Minimum</w:t>
            </w:r>
          </w:p>
        </w:tc>
        <w:tc>
          <w:tcPr>
            <w:tcW w:w="1083" w:type="dxa"/>
            <w:vAlign w:val="bottom"/>
          </w:tcPr>
          <w:p w14:paraId="3087CF4F"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6528E808" w14:textId="77777777" w:rsidR="00C44973" w:rsidRPr="00C44973" w:rsidRDefault="00C44973" w:rsidP="00C44973">
            <w:pPr>
              <w:pStyle w:val="Body"/>
              <w:spacing w:after="0"/>
              <w:rPr>
                <w:rFonts w:ascii="Arial" w:hAnsi="Arial" w:cs="Arial"/>
              </w:rPr>
            </w:pPr>
            <w:r w:rsidRPr="00C44973">
              <w:rPr>
                <w:rFonts w:ascii="Arial" w:hAnsi="Arial" w:cs="Arial"/>
              </w:rPr>
              <w:t> 14512</w:t>
            </w:r>
          </w:p>
        </w:tc>
        <w:tc>
          <w:tcPr>
            <w:tcW w:w="1260" w:type="dxa"/>
            <w:vAlign w:val="bottom"/>
          </w:tcPr>
          <w:p w14:paraId="6D5A6F0B" w14:textId="77777777" w:rsidR="00C44973" w:rsidRPr="00C44973" w:rsidRDefault="00C44973" w:rsidP="00C44973">
            <w:pPr>
              <w:pStyle w:val="Body"/>
              <w:spacing w:after="0"/>
              <w:rPr>
                <w:rFonts w:ascii="Arial" w:hAnsi="Arial" w:cs="Arial"/>
              </w:rPr>
            </w:pPr>
            <w:r w:rsidRPr="00C44973">
              <w:rPr>
                <w:rFonts w:ascii="Arial" w:hAnsi="Arial" w:cs="Arial"/>
              </w:rPr>
              <w:t> 0.0700</w:t>
            </w:r>
          </w:p>
        </w:tc>
        <w:tc>
          <w:tcPr>
            <w:tcW w:w="1080" w:type="dxa"/>
            <w:vAlign w:val="bottom"/>
          </w:tcPr>
          <w:p w14:paraId="4162E7AA" w14:textId="77777777" w:rsidR="00C44973" w:rsidRPr="00C44973" w:rsidRDefault="00C44973" w:rsidP="00C44973">
            <w:pPr>
              <w:pStyle w:val="Body"/>
              <w:spacing w:after="0"/>
              <w:rPr>
                <w:rFonts w:ascii="Arial" w:hAnsi="Arial" w:cs="Arial"/>
              </w:rPr>
            </w:pPr>
            <w:r w:rsidRPr="00C44973">
              <w:rPr>
                <w:rFonts w:ascii="Arial" w:hAnsi="Arial" w:cs="Arial"/>
              </w:rPr>
              <w:t> 0.5900</w:t>
            </w:r>
          </w:p>
        </w:tc>
        <w:tc>
          <w:tcPr>
            <w:tcW w:w="1170" w:type="dxa"/>
            <w:vAlign w:val="bottom"/>
          </w:tcPr>
          <w:p w14:paraId="0A5E498A" w14:textId="77777777" w:rsidR="00C44973" w:rsidRPr="00C44973" w:rsidRDefault="00C44973" w:rsidP="00C44973">
            <w:pPr>
              <w:pStyle w:val="Body"/>
              <w:spacing w:after="0"/>
              <w:rPr>
                <w:rFonts w:ascii="Arial" w:hAnsi="Arial" w:cs="Arial"/>
              </w:rPr>
            </w:pPr>
            <w:r w:rsidRPr="00C44973">
              <w:rPr>
                <w:rFonts w:ascii="Arial" w:hAnsi="Arial" w:cs="Arial"/>
              </w:rPr>
              <w:t> 143.62</w:t>
            </w:r>
          </w:p>
        </w:tc>
      </w:tr>
      <w:tr w:rsidR="00C44973" w:rsidRPr="00C44973" w14:paraId="274D4922" w14:textId="77777777" w:rsidTr="00C44973">
        <w:trPr>
          <w:trHeight w:val="225"/>
          <w:jc w:val="center"/>
        </w:trPr>
        <w:tc>
          <w:tcPr>
            <w:tcW w:w="1492" w:type="dxa"/>
            <w:vAlign w:val="bottom"/>
          </w:tcPr>
          <w:p w14:paraId="235A0C0B" w14:textId="77777777" w:rsidR="00C44973" w:rsidRPr="00C44973" w:rsidRDefault="00C44973" w:rsidP="00C44973">
            <w:pPr>
              <w:pStyle w:val="Body"/>
              <w:spacing w:after="0"/>
              <w:rPr>
                <w:rFonts w:ascii="Arial" w:hAnsi="Arial" w:cs="Arial"/>
              </w:rPr>
            </w:pPr>
            <w:r w:rsidRPr="00C44973">
              <w:rPr>
                <w:rFonts w:ascii="Arial" w:hAnsi="Arial" w:cs="Arial"/>
              </w:rPr>
              <w:t> Std. Dev.</w:t>
            </w:r>
          </w:p>
        </w:tc>
        <w:tc>
          <w:tcPr>
            <w:tcW w:w="1083" w:type="dxa"/>
            <w:vAlign w:val="bottom"/>
          </w:tcPr>
          <w:p w14:paraId="508CBA31" w14:textId="77777777" w:rsidR="00C44973" w:rsidRPr="00C44973" w:rsidRDefault="00C44973" w:rsidP="00C44973">
            <w:pPr>
              <w:pStyle w:val="Body"/>
              <w:spacing w:after="0"/>
              <w:rPr>
                <w:rFonts w:ascii="Arial" w:hAnsi="Arial" w:cs="Arial"/>
              </w:rPr>
            </w:pPr>
            <w:r w:rsidRPr="00C44973">
              <w:rPr>
                <w:rFonts w:ascii="Arial" w:hAnsi="Arial" w:cs="Arial"/>
              </w:rPr>
              <w:t> 2.5135</w:t>
            </w:r>
          </w:p>
        </w:tc>
        <w:tc>
          <w:tcPr>
            <w:tcW w:w="1260" w:type="dxa"/>
            <w:vAlign w:val="bottom"/>
          </w:tcPr>
          <w:p w14:paraId="41CFCC7B" w14:textId="77777777" w:rsidR="00C44973" w:rsidRPr="00C44973" w:rsidRDefault="00C44973" w:rsidP="00C44973">
            <w:pPr>
              <w:pStyle w:val="Body"/>
              <w:spacing w:after="0"/>
              <w:rPr>
                <w:rFonts w:ascii="Arial" w:hAnsi="Arial" w:cs="Arial"/>
              </w:rPr>
            </w:pPr>
            <w:r w:rsidRPr="00C44973">
              <w:rPr>
                <w:rFonts w:ascii="Arial" w:hAnsi="Arial" w:cs="Arial"/>
              </w:rPr>
              <w:t> 78994</w:t>
            </w:r>
          </w:p>
        </w:tc>
        <w:tc>
          <w:tcPr>
            <w:tcW w:w="1260" w:type="dxa"/>
            <w:vAlign w:val="bottom"/>
          </w:tcPr>
          <w:p w14:paraId="5BE46CFD" w14:textId="77777777" w:rsidR="00C44973" w:rsidRPr="00C44973" w:rsidRDefault="00C44973" w:rsidP="00C44973">
            <w:pPr>
              <w:pStyle w:val="Body"/>
              <w:spacing w:after="0"/>
              <w:rPr>
                <w:rFonts w:ascii="Arial" w:hAnsi="Arial" w:cs="Arial"/>
              </w:rPr>
            </w:pPr>
            <w:r w:rsidRPr="00C44973">
              <w:rPr>
                <w:rFonts w:ascii="Arial" w:hAnsi="Arial" w:cs="Arial"/>
              </w:rPr>
              <w:t> 11.874</w:t>
            </w:r>
          </w:p>
        </w:tc>
        <w:tc>
          <w:tcPr>
            <w:tcW w:w="1080" w:type="dxa"/>
            <w:vAlign w:val="bottom"/>
          </w:tcPr>
          <w:p w14:paraId="65360BBC" w14:textId="77777777" w:rsidR="00C44973" w:rsidRPr="00C44973" w:rsidRDefault="00C44973" w:rsidP="00C44973">
            <w:pPr>
              <w:pStyle w:val="Body"/>
              <w:spacing w:after="0"/>
              <w:rPr>
                <w:rFonts w:ascii="Arial" w:hAnsi="Arial" w:cs="Arial"/>
              </w:rPr>
            </w:pPr>
            <w:r w:rsidRPr="00C44973">
              <w:rPr>
                <w:rFonts w:ascii="Arial" w:hAnsi="Arial" w:cs="Arial"/>
              </w:rPr>
              <w:t> 0.0252</w:t>
            </w:r>
          </w:p>
        </w:tc>
        <w:tc>
          <w:tcPr>
            <w:tcW w:w="1170" w:type="dxa"/>
            <w:vAlign w:val="bottom"/>
          </w:tcPr>
          <w:p w14:paraId="656D25BA" w14:textId="77777777" w:rsidR="00C44973" w:rsidRPr="00C44973" w:rsidRDefault="00C44973" w:rsidP="00C44973">
            <w:pPr>
              <w:pStyle w:val="Body"/>
              <w:spacing w:after="0"/>
              <w:rPr>
                <w:rFonts w:ascii="Arial" w:hAnsi="Arial" w:cs="Arial"/>
              </w:rPr>
            </w:pPr>
            <w:r w:rsidRPr="00C44973">
              <w:rPr>
                <w:rFonts w:ascii="Arial" w:hAnsi="Arial" w:cs="Arial"/>
              </w:rPr>
              <w:t> 0.1132</w:t>
            </w:r>
          </w:p>
        </w:tc>
      </w:tr>
      <w:tr w:rsidR="00C44973" w:rsidRPr="00C44973" w14:paraId="268EA1E6" w14:textId="77777777" w:rsidTr="00C44973">
        <w:trPr>
          <w:trHeight w:val="225"/>
          <w:jc w:val="center"/>
        </w:trPr>
        <w:tc>
          <w:tcPr>
            <w:tcW w:w="1492" w:type="dxa"/>
            <w:vAlign w:val="bottom"/>
          </w:tcPr>
          <w:p w14:paraId="5AFB5ACB" w14:textId="77777777" w:rsidR="00C44973" w:rsidRPr="00C44973" w:rsidRDefault="00C44973" w:rsidP="00C44973">
            <w:pPr>
              <w:pStyle w:val="Body"/>
              <w:spacing w:after="0"/>
              <w:rPr>
                <w:rFonts w:ascii="Arial" w:hAnsi="Arial" w:cs="Arial"/>
              </w:rPr>
            </w:pPr>
            <w:r w:rsidRPr="00C44973">
              <w:rPr>
                <w:rFonts w:ascii="Arial" w:hAnsi="Arial" w:cs="Arial"/>
              </w:rPr>
              <w:t> Skewness</w:t>
            </w:r>
          </w:p>
        </w:tc>
        <w:tc>
          <w:tcPr>
            <w:tcW w:w="1083" w:type="dxa"/>
            <w:vAlign w:val="bottom"/>
          </w:tcPr>
          <w:p w14:paraId="77D6F57C" w14:textId="77777777" w:rsidR="00C44973" w:rsidRPr="00C44973" w:rsidRDefault="00C44973" w:rsidP="00C44973">
            <w:pPr>
              <w:pStyle w:val="Body"/>
              <w:spacing w:after="0"/>
              <w:rPr>
                <w:rFonts w:ascii="Arial" w:hAnsi="Arial" w:cs="Arial"/>
              </w:rPr>
            </w:pPr>
            <w:r w:rsidRPr="00C44973">
              <w:rPr>
                <w:rFonts w:ascii="Arial" w:hAnsi="Arial" w:cs="Arial"/>
              </w:rPr>
              <w:t> 9.5092</w:t>
            </w:r>
          </w:p>
        </w:tc>
        <w:tc>
          <w:tcPr>
            <w:tcW w:w="1260" w:type="dxa"/>
            <w:vAlign w:val="bottom"/>
          </w:tcPr>
          <w:p w14:paraId="0C948ACA" w14:textId="77777777" w:rsidR="00C44973" w:rsidRPr="00C44973" w:rsidRDefault="00C44973" w:rsidP="00C44973">
            <w:pPr>
              <w:pStyle w:val="Body"/>
              <w:spacing w:after="0"/>
              <w:rPr>
                <w:rFonts w:ascii="Arial" w:hAnsi="Arial" w:cs="Arial"/>
              </w:rPr>
            </w:pPr>
            <w:r w:rsidRPr="00C44973">
              <w:rPr>
                <w:rFonts w:ascii="Arial" w:hAnsi="Arial" w:cs="Arial"/>
              </w:rPr>
              <w:t> 1.4293</w:t>
            </w:r>
          </w:p>
        </w:tc>
        <w:tc>
          <w:tcPr>
            <w:tcW w:w="1260" w:type="dxa"/>
            <w:vAlign w:val="bottom"/>
          </w:tcPr>
          <w:p w14:paraId="399D1ADC" w14:textId="77777777" w:rsidR="00C44973" w:rsidRPr="00C44973" w:rsidRDefault="00C44973" w:rsidP="00C44973">
            <w:pPr>
              <w:pStyle w:val="Body"/>
              <w:spacing w:after="0"/>
              <w:rPr>
                <w:rFonts w:ascii="Arial" w:hAnsi="Arial" w:cs="Arial"/>
              </w:rPr>
            </w:pPr>
            <w:r w:rsidRPr="00C44973">
              <w:rPr>
                <w:rFonts w:ascii="Arial" w:hAnsi="Arial" w:cs="Arial"/>
              </w:rPr>
              <w:t> 0.7319</w:t>
            </w:r>
          </w:p>
        </w:tc>
        <w:tc>
          <w:tcPr>
            <w:tcW w:w="1080" w:type="dxa"/>
            <w:vAlign w:val="bottom"/>
          </w:tcPr>
          <w:p w14:paraId="5B1C3B98" w14:textId="77777777" w:rsidR="00C44973" w:rsidRPr="00C44973" w:rsidRDefault="00C44973" w:rsidP="00C44973">
            <w:pPr>
              <w:pStyle w:val="Body"/>
              <w:spacing w:after="0"/>
              <w:rPr>
                <w:rFonts w:ascii="Arial" w:hAnsi="Arial" w:cs="Arial"/>
              </w:rPr>
            </w:pPr>
            <w:r w:rsidRPr="00C44973">
              <w:rPr>
                <w:rFonts w:ascii="Arial" w:hAnsi="Arial" w:cs="Arial"/>
              </w:rPr>
              <w:t>-0.5777</w:t>
            </w:r>
          </w:p>
        </w:tc>
        <w:tc>
          <w:tcPr>
            <w:tcW w:w="1170" w:type="dxa"/>
            <w:vAlign w:val="bottom"/>
          </w:tcPr>
          <w:p w14:paraId="65270F9B" w14:textId="77777777" w:rsidR="00C44973" w:rsidRPr="00C44973" w:rsidRDefault="00C44973" w:rsidP="00C44973">
            <w:pPr>
              <w:pStyle w:val="Body"/>
              <w:spacing w:after="0"/>
              <w:rPr>
                <w:rFonts w:ascii="Arial" w:hAnsi="Arial" w:cs="Arial"/>
              </w:rPr>
            </w:pPr>
            <w:r w:rsidRPr="00C44973">
              <w:rPr>
                <w:rFonts w:ascii="Arial" w:hAnsi="Arial" w:cs="Arial"/>
              </w:rPr>
              <w:t>-1.1634</w:t>
            </w:r>
          </w:p>
        </w:tc>
      </w:tr>
      <w:tr w:rsidR="00C44973" w:rsidRPr="00C44973" w14:paraId="55322312" w14:textId="77777777" w:rsidTr="00C44973">
        <w:trPr>
          <w:trHeight w:val="225"/>
          <w:jc w:val="center"/>
        </w:trPr>
        <w:tc>
          <w:tcPr>
            <w:tcW w:w="1492" w:type="dxa"/>
            <w:vAlign w:val="bottom"/>
          </w:tcPr>
          <w:p w14:paraId="48E5C04F" w14:textId="77777777" w:rsidR="00C44973" w:rsidRPr="00C44973" w:rsidRDefault="00C44973" w:rsidP="00C44973">
            <w:pPr>
              <w:pStyle w:val="Body"/>
              <w:spacing w:after="0"/>
              <w:rPr>
                <w:rFonts w:ascii="Arial" w:hAnsi="Arial" w:cs="Arial"/>
              </w:rPr>
            </w:pPr>
            <w:r w:rsidRPr="00C44973">
              <w:rPr>
                <w:rFonts w:ascii="Arial" w:hAnsi="Arial" w:cs="Arial"/>
              </w:rPr>
              <w:t> Kurtosis</w:t>
            </w:r>
          </w:p>
        </w:tc>
        <w:tc>
          <w:tcPr>
            <w:tcW w:w="1083" w:type="dxa"/>
            <w:vAlign w:val="bottom"/>
          </w:tcPr>
          <w:p w14:paraId="310F62AE" w14:textId="77777777" w:rsidR="00C44973" w:rsidRPr="00C44973" w:rsidRDefault="00C44973" w:rsidP="00C44973">
            <w:pPr>
              <w:pStyle w:val="Body"/>
              <w:spacing w:after="0"/>
              <w:rPr>
                <w:rFonts w:ascii="Arial" w:hAnsi="Arial" w:cs="Arial"/>
              </w:rPr>
            </w:pPr>
            <w:r w:rsidRPr="00C44973">
              <w:rPr>
                <w:rFonts w:ascii="Arial" w:hAnsi="Arial" w:cs="Arial"/>
              </w:rPr>
              <w:t> 101.08</w:t>
            </w:r>
          </w:p>
        </w:tc>
        <w:tc>
          <w:tcPr>
            <w:tcW w:w="1260" w:type="dxa"/>
            <w:vAlign w:val="bottom"/>
          </w:tcPr>
          <w:p w14:paraId="364967BB" w14:textId="77777777" w:rsidR="00C44973" w:rsidRPr="00C44973" w:rsidRDefault="00C44973" w:rsidP="00C44973">
            <w:pPr>
              <w:pStyle w:val="Body"/>
              <w:spacing w:after="0"/>
              <w:rPr>
                <w:rFonts w:ascii="Arial" w:hAnsi="Arial" w:cs="Arial"/>
              </w:rPr>
            </w:pPr>
            <w:r w:rsidRPr="00C44973">
              <w:rPr>
                <w:rFonts w:ascii="Arial" w:hAnsi="Arial" w:cs="Arial"/>
              </w:rPr>
              <w:t> 6.2143</w:t>
            </w:r>
          </w:p>
        </w:tc>
        <w:tc>
          <w:tcPr>
            <w:tcW w:w="1260" w:type="dxa"/>
            <w:vAlign w:val="bottom"/>
          </w:tcPr>
          <w:p w14:paraId="391D4574" w14:textId="77777777" w:rsidR="00C44973" w:rsidRPr="00C44973" w:rsidRDefault="00C44973" w:rsidP="00C44973">
            <w:pPr>
              <w:pStyle w:val="Body"/>
              <w:spacing w:after="0"/>
              <w:rPr>
                <w:rFonts w:ascii="Arial" w:hAnsi="Arial" w:cs="Arial"/>
              </w:rPr>
            </w:pPr>
            <w:r w:rsidRPr="00C44973">
              <w:rPr>
                <w:rFonts w:ascii="Arial" w:hAnsi="Arial" w:cs="Arial"/>
              </w:rPr>
              <w:t> 3.0354</w:t>
            </w:r>
          </w:p>
        </w:tc>
        <w:tc>
          <w:tcPr>
            <w:tcW w:w="1080" w:type="dxa"/>
            <w:vAlign w:val="bottom"/>
          </w:tcPr>
          <w:p w14:paraId="32FE48C9" w14:textId="77777777" w:rsidR="00C44973" w:rsidRPr="00C44973" w:rsidRDefault="00C44973" w:rsidP="00C44973">
            <w:pPr>
              <w:pStyle w:val="Body"/>
              <w:spacing w:after="0"/>
              <w:rPr>
                <w:rFonts w:ascii="Arial" w:hAnsi="Arial" w:cs="Arial"/>
              </w:rPr>
            </w:pPr>
            <w:r w:rsidRPr="00C44973">
              <w:rPr>
                <w:rFonts w:ascii="Arial" w:hAnsi="Arial" w:cs="Arial"/>
              </w:rPr>
              <w:t> 2.4718</w:t>
            </w:r>
          </w:p>
        </w:tc>
        <w:tc>
          <w:tcPr>
            <w:tcW w:w="1170" w:type="dxa"/>
            <w:vAlign w:val="bottom"/>
          </w:tcPr>
          <w:p w14:paraId="603B1219" w14:textId="77777777" w:rsidR="00C44973" w:rsidRPr="00C44973" w:rsidRDefault="00C44973" w:rsidP="00C44973">
            <w:pPr>
              <w:pStyle w:val="Body"/>
              <w:spacing w:after="0"/>
              <w:rPr>
                <w:rFonts w:ascii="Arial" w:hAnsi="Arial" w:cs="Arial"/>
              </w:rPr>
            </w:pPr>
            <w:r w:rsidRPr="00C44973">
              <w:rPr>
                <w:rFonts w:ascii="Arial" w:hAnsi="Arial" w:cs="Arial"/>
              </w:rPr>
              <w:t> 2.8944</w:t>
            </w:r>
          </w:p>
        </w:tc>
      </w:tr>
      <w:tr w:rsidR="00C44973" w:rsidRPr="00C44973" w14:paraId="2E940FFB" w14:textId="77777777" w:rsidTr="00C44973">
        <w:trPr>
          <w:trHeight w:val="225"/>
          <w:jc w:val="center"/>
        </w:trPr>
        <w:tc>
          <w:tcPr>
            <w:tcW w:w="1492" w:type="dxa"/>
            <w:vAlign w:val="bottom"/>
          </w:tcPr>
          <w:p w14:paraId="7F784925" w14:textId="77777777" w:rsidR="00C44973" w:rsidRPr="00C44973" w:rsidRDefault="00C44973" w:rsidP="00C44973">
            <w:pPr>
              <w:pStyle w:val="Body"/>
              <w:spacing w:after="0"/>
              <w:rPr>
                <w:rFonts w:ascii="Arial" w:hAnsi="Arial" w:cs="Arial"/>
              </w:rPr>
            </w:pPr>
            <w:r w:rsidRPr="00C44973">
              <w:rPr>
                <w:rFonts w:ascii="Arial" w:hAnsi="Arial" w:cs="Arial"/>
              </w:rPr>
              <w:t> Jarque-Bera</w:t>
            </w:r>
          </w:p>
        </w:tc>
        <w:tc>
          <w:tcPr>
            <w:tcW w:w="1083" w:type="dxa"/>
            <w:vAlign w:val="bottom"/>
          </w:tcPr>
          <w:p w14:paraId="449B07F4" w14:textId="77777777" w:rsidR="00C44973" w:rsidRPr="00C44973" w:rsidRDefault="00C44973" w:rsidP="00C44973">
            <w:pPr>
              <w:pStyle w:val="Body"/>
              <w:spacing w:after="0"/>
              <w:rPr>
                <w:rFonts w:ascii="Arial" w:hAnsi="Arial" w:cs="Arial"/>
              </w:rPr>
            </w:pPr>
            <w:r w:rsidRPr="00C44973">
              <w:rPr>
                <w:rFonts w:ascii="Arial" w:hAnsi="Arial" w:cs="Arial"/>
              </w:rPr>
              <w:t> 91507</w:t>
            </w:r>
          </w:p>
        </w:tc>
        <w:tc>
          <w:tcPr>
            <w:tcW w:w="1260" w:type="dxa"/>
            <w:vAlign w:val="bottom"/>
          </w:tcPr>
          <w:p w14:paraId="0A8CEAB2" w14:textId="77777777" w:rsidR="00C44973" w:rsidRPr="00C44973" w:rsidRDefault="00C44973" w:rsidP="00C44973">
            <w:pPr>
              <w:pStyle w:val="Body"/>
              <w:spacing w:after="0"/>
              <w:rPr>
                <w:rFonts w:ascii="Arial" w:hAnsi="Arial" w:cs="Arial"/>
              </w:rPr>
            </w:pPr>
            <w:r w:rsidRPr="00C44973">
              <w:rPr>
                <w:rFonts w:ascii="Arial" w:hAnsi="Arial" w:cs="Arial"/>
              </w:rPr>
              <w:t> 169.62</w:t>
            </w:r>
          </w:p>
        </w:tc>
        <w:tc>
          <w:tcPr>
            <w:tcW w:w="1260" w:type="dxa"/>
            <w:vAlign w:val="bottom"/>
          </w:tcPr>
          <w:p w14:paraId="5B1453FA" w14:textId="77777777" w:rsidR="00C44973" w:rsidRPr="00C44973" w:rsidRDefault="00C44973" w:rsidP="00C44973">
            <w:pPr>
              <w:pStyle w:val="Body"/>
              <w:spacing w:after="0"/>
              <w:rPr>
                <w:rFonts w:ascii="Arial" w:hAnsi="Arial" w:cs="Arial"/>
              </w:rPr>
            </w:pPr>
            <w:r w:rsidRPr="00C44973">
              <w:rPr>
                <w:rFonts w:ascii="Arial" w:hAnsi="Arial" w:cs="Arial"/>
              </w:rPr>
              <w:t> 19.654</w:t>
            </w:r>
          </w:p>
        </w:tc>
        <w:tc>
          <w:tcPr>
            <w:tcW w:w="1080" w:type="dxa"/>
            <w:vAlign w:val="bottom"/>
          </w:tcPr>
          <w:p w14:paraId="35E68932" w14:textId="77777777" w:rsidR="00C44973" w:rsidRPr="00C44973" w:rsidRDefault="00C44973" w:rsidP="00C44973">
            <w:pPr>
              <w:pStyle w:val="Body"/>
              <w:spacing w:after="0"/>
              <w:rPr>
                <w:rFonts w:ascii="Arial" w:hAnsi="Arial" w:cs="Arial"/>
              </w:rPr>
            </w:pPr>
            <w:r w:rsidRPr="00C44973">
              <w:rPr>
                <w:rFonts w:ascii="Arial" w:hAnsi="Arial" w:cs="Arial"/>
              </w:rPr>
              <w:t> 14.798</w:t>
            </w:r>
          </w:p>
        </w:tc>
        <w:tc>
          <w:tcPr>
            <w:tcW w:w="1170" w:type="dxa"/>
            <w:vAlign w:val="bottom"/>
          </w:tcPr>
          <w:p w14:paraId="682A01CD" w14:textId="77777777" w:rsidR="00C44973" w:rsidRPr="00C44973" w:rsidRDefault="00C44973" w:rsidP="00C44973">
            <w:pPr>
              <w:pStyle w:val="Body"/>
              <w:spacing w:after="0"/>
              <w:rPr>
                <w:rFonts w:ascii="Arial" w:hAnsi="Arial" w:cs="Arial"/>
              </w:rPr>
            </w:pPr>
            <w:r w:rsidRPr="00C44973">
              <w:rPr>
                <w:rFonts w:ascii="Arial" w:hAnsi="Arial" w:cs="Arial"/>
              </w:rPr>
              <w:t> 49.738</w:t>
            </w:r>
          </w:p>
        </w:tc>
      </w:tr>
      <w:tr w:rsidR="00C44973" w:rsidRPr="00C44973" w14:paraId="014AB768" w14:textId="77777777" w:rsidTr="00C44973">
        <w:trPr>
          <w:trHeight w:val="225"/>
          <w:jc w:val="center"/>
        </w:trPr>
        <w:tc>
          <w:tcPr>
            <w:tcW w:w="1492" w:type="dxa"/>
            <w:vAlign w:val="bottom"/>
          </w:tcPr>
          <w:p w14:paraId="0135E95A" w14:textId="77777777" w:rsidR="00C44973" w:rsidRPr="00C44973" w:rsidRDefault="00C44973" w:rsidP="00C44973">
            <w:pPr>
              <w:pStyle w:val="Body"/>
              <w:spacing w:after="0"/>
              <w:rPr>
                <w:rFonts w:ascii="Arial" w:hAnsi="Arial" w:cs="Arial"/>
              </w:rPr>
            </w:pPr>
            <w:r w:rsidRPr="00C44973">
              <w:rPr>
                <w:rFonts w:ascii="Arial" w:hAnsi="Arial" w:cs="Arial"/>
              </w:rPr>
              <w:t> Probability</w:t>
            </w:r>
          </w:p>
        </w:tc>
        <w:tc>
          <w:tcPr>
            <w:tcW w:w="1083" w:type="dxa"/>
            <w:vAlign w:val="bottom"/>
          </w:tcPr>
          <w:p w14:paraId="0C45DB05"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6EF00091"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260" w:type="dxa"/>
            <w:vAlign w:val="bottom"/>
          </w:tcPr>
          <w:p w14:paraId="0852B766" w14:textId="77777777" w:rsidR="00C44973" w:rsidRPr="00C44973" w:rsidRDefault="00C44973" w:rsidP="00C44973">
            <w:pPr>
              <w:pStyle w:val="Body"/>
              <w:spacing w:after="0"/>
              <w:rPr>
                <w:rFonts w:ascii="Arial" w:hAnsi="Arial" w:cs="Arial"/>
              </w:rPr>
            </w:pPr>
            <w:r w:rsidRPr="00C44973">
              <w:rPr>
                <w:rFonts w:ascii="Arial" w:hAnsi="Arial" w:cs="Arial"/>
              </w:rPr>
              <w:t> 0.0000</w:t>
            </w:r>
          </w:p>
        </w:tc>
        <w:tc>
          <w:tcPr>
            <w:tcW w:w="1080" w:type="dxa"/>
            <w:vAlign w:val="bottom"/>
          </w:tcPr>
          <w:p w14:paraId="68527189" w14:textId="77777777" w:rsidR="00C44973" w:rsidRPr="00C44973" w:rsidRDefault="00C44973" w:rsidP="00C44973">
            <w:pPr>
              <w:pStyle w:val="Body"/>
              <w:spacing w:after="0"/>
              <w:rPr>
                <w:rFonts w:ascii="Arial" w:hAnsi="Arial" w:cs="Arial"/>
              </w:rPr>
            </w:pPr>
            <w:r w:rsidRPr="00C44973">
              <w:rPr>
                <w:rFonts w:ascii="Arial" w:hAnsi="Arial" w:cs="Arial"/>
              </w:rPr>
              <w:t> 0.0006</w:t>
            </w:r>
          </w:p>
        </w:tc>
        <w:tc>
          <w:tcPr>
            <w:tcW w:w="1170" w:type="dxa"/>
            <w:vAlign w:val="bottom"/>
          </w:tcPr>
          <w:p w14:paraId="3DDA786D" w14:textId="77777777" w:rsidR="00C44973" w:rsidRPr="00C44973" w:rsidRDefault="00C44973" w:rsidP="00C44973">
            <w:pPr>
              <w:pStyle w:val="Body"/>
              <w:spacing w:after="0"/>
              <w:rPr>
                <w:rFonts w:ascii="Arial" w:hAnsi="Arial" w:cs="Arial"/>
              </w:rPr>
            </w:pPr>
            <w:r w:rsidRPr="00C44973">
              <w:rPr>
                <w:rFonts w:ascii="Arial" w:hAnsi="Arial" w:cs="Arial"/>
              </w:rPr>
              <w:t> 0.0000</w:t>
            </w:r>
          </w:p>
        </w:tc>
      </w:tr>
      <w:tr w:rsidR="00C44973" w:rsidRPr="00C44973" w14:paraId="294E8717" w14:textId="77777777" w:rsidTr="00C44973">
        <w:trPr>
          <w:trHeight w:val="225"/>
          <w:jc w:val="center"/>
        </w:trPr>
        <w:tc>
          <w:tcPr>
            <w:tcW w:w="1492" w:type="dxa"/>
            <w:vAlign w:val="bottom"/>
          </w:tcPr>
          <w:p w14:paraId="2A6AC109" w14:textId="77777777" w:rsidR="00C44973" w:rsidRPr="00C44973" w:rsidRDefault="00C44973" w:rsidP="00C44973">
            <w:pPr>
              <w:pStyle w:val="Body"/>
              <w:spacing w:after="0"/>
              <w:rPr>
                <w:rFonts w:ascii="Arial" w:hAnsi="Arial" w:cs="Arial"/>
              </w:rPr>
            </w:pPr>
            <w:r w:rsidRPr="00C44973">
              <w:rPr>
                <w:rFonts w:ascii="Arial" w:hAnsi="Arial" w:cs="Arial"/>
              </w:rPr>
              <w:t> Sum</w:t>
            </w:r>
          </w:p>
        </w:tc>
        <w:tc>
          <w:tcPr>
            <w:tcW w:w="1083" w:type="dxa"/>
            <w:vAlign w:val="bottom"/>
          </w:tcPr>
          <w:p w14:paraId="5C7C4F36" w14:textId="77777777" w:rsidR="00C44973" w:rsidRPr="00C44973" w:rsidRDefault="00C44973" w:rsidP="00C44973">
            <w:pPr>
              <w:pStyle w:val="Body"/>
              <w:spacing w:after="0"/>
              <w:rPr>
                <w:rFonts w:ascii="Arial" w:hAnsi="Arial" w:cs="Arial"/>
              </w:rPr>
            </w:pPr>
            <w:r w:rsidRPr="00C44973">
              <w:rPr>
                <w:rFonts w:ascii="Arial" w:hAnsi="Arial" w:cs="Arial"/>
              </w:rPr>
              <w:t> 160.00</w:t>
            </w:r>
          </w:p>
        </w:tc>
        <w:tc>
          <w:tcPr>
            <w:tcW w:w="1260" w:type="dxa"/>
            <w:vAlign w:val="bottom"/>
          </w:tcPr>
          <w:p w14:paraId="27F7A0E6" w14:textId="77777777" w:rsidR="00C44973" w:rsidRPr="00C44973" w:rsidRDefault="00C44973" w:rsidP="00C44973">
            <w:pPr>
              <w:pStyle w:val="Body"/>
              <w:spacing w:after="0"/>
              <w:rPr>
                <w:rFonts w:ascii="Arial" w:hAnsi="Arial" w:cs="Arial"/>
              </w:rPr>
            </w:pPr>
            <w:r w:rsidRPr="00C44973">
              <w:rPr>
                <w:rFonts w:ascii="Arial" w:hAnsi="Arial" w:cs="Arial"/>
              </w:rPr>
              <w:t> 43828</w:t>
            </w:r>
          </w:p>
        </w:tc>
        <w:tc>
          <w:tcPr>
            <w:tcW w:w="1260" w:type="dxa"/>
            <w:vAlign w:val="bottom"/>
          </w:tcPr>
          <w:p w14:paraId="61E46448" w14:textId="77777777" w:rsidR="00C44973" w:rsidRPr="00C44973" w:rsidRDefault="00C44973" w:rsidP="00C44973">
            <w:pPr>
              <w:pStyle w:val="Body"/>
              <w:spacing w:after="0"/>
              <w:rPr>
                <w:rFonts w:ascii="Arial" w:hAnsi="Arial" w:cs="Arial"/>
              </w:rPr>
            </w:pPr>
            <w:r w:rsidRPr="00C44973">
              <w:rPr>
                <w:rFonts w:ascii="Arial" w:hAnsi="Arial" w:cs="Arial"/>
              </w:rPr>
              <w:t> 3616.1</w:t>
            </w:r>
          </w:p>
        </w:tc>
        <w:tc>
          <w:tcPr>
            <w:tcW w:w="1080" w:type="dxa"/>
            <w:vAlign w:val="bottom"/>
          </w:tcPr>
          <w:p w14:paraId="11E7F800" w14:textId="77777777" w:rsidR="00C44973" w:rsidRPr="00C44973" w:rsidRDefault="00C44973" w:rsidP="00C44973">
            <w:pPr>
              <w:pStyle w:val="Body"/>
              <w:spacing w:after="0"/>
              <w:rPr>
                <w:rFonts w:ascii="Arial" w:hAnsi="Arial" w:cs="Arial"/>
              </w:rPr>
            </w:pPr>
            <w:r w:rsidRPr="00C44973">
              <w:rPr>
                <w:rFonts w:ascii="Arial" w:hAnsi="Arial" w:cs="Arial"/>
              </w:rPr>
              <w:t> 139.75</w:t>
            </w:r>
          </w:p>
        </w:tc>
        <w:tc>
          <w:tcPr>
            <w:tcW w:w="1170" w:type="dxa"/>
            <w:vAlign w:val="bottom"/>
          </w:tcPr>
          <w:p w14:paraId="0B21C350" w14:textId="77777777" w:rsidR="00C44973" w:rsidRPr="00C44973" w:rsidRDefault="00C44973" w:rsidP="00C44973">
            <w:pPr>
              <w:pStyle w:val="Body"/>
              <w:spacing w:after="0"/>
              <w:rPr>
                <w:rFonts w:ascii="Arial" w:hAnsi="Arial" w:cs="Arial"/>
              </w:rPr>
            </w:pPr>
            <w:r w:rsidRPr="00C44973">
              <w:rPr>
                <w:rFonts w:ascii="Arial" w:hAnsi="Arial" w:cs="Arial"/>
              </w:rPr>
              <w:t> 31648</w:t>
            </w:r>
          </w:p>
        </w:tc>
      </w:tr>
      <w:tr w:rsidR="00C44973" w:rsidRPr="00C44973" w14:paraId="1C753456" w14:textId="77777777" w:rsidTr="00C44973">
        <w:trPr>
          <w:trHeight w:val="225"/>
          <w:jc w:val="center"/>
        </w:trPr>
        <w:tc>
          <w:tcPr>
            <w:tcW w:w="1492" w:type="dxa"/>
            <w:vAlign w:val="bottom"/>
          </w:tcPr>
          <w:p w14:paraId="44A14B95" w14:textId="77777777" w:rsidR="00C44973" w:rsidRPr="00C44973" w:rsidRDefault="00C44973" w:rsidP="00C44973">
            <w:pPr>
              <w:pStyle w:val="Body"/>
              <w:spacing w:after="0"/>
              <w:rPr>
                <w:rFonts w:ascii="Arial" w:hAnsi="Arial" w:cs="Arial"/>
              </w:rPr>
            </w:pPr>
            <w:r w:rsidRPr="00C44973">
              <w:rPr>
                <w:rFonts w:ascii="Arial" w:hAnsi="Arial" w:cs="Arial"/>
              </w:rPr>
              <w:t> Sum Sq. Dev.</w:t>
            </w:r>
          </w:p>
        </w:tc>
        <w:tc>
          <w:tcPr>
            <w:tcW w:w="1083" w:type="dxa"/>
            <w:vAlign w:val="bottom"/>
          </w:tcPr>
          <w:p w14:paraId="7ADD5EE1" w14:textId="77777777" w:rsidR="00C44973" w:rsidRPr="00C44973" w:rsidRDefault="00C44973" w:rsidP="00C44973">
            <w:pPr>
              <w:pStyle w:val="Body"/>
              <w:spacing w:after="0"/>
              <w:rPr>
                <w:rFonts w:ascii="Arial" w:hAnsi="Arial" w:cs="Arial"/>
              </w:rPr>
            </w:pPr>
            <w:r w:rsidRPr="00C44973">
              <w:rPr>
                <w:rFonts w:ascii="Arial" w:hAnsi="Arial" w:cs="Arial"/>
              </w:rPr>
              <w:t> 1383.6</w:t>
            </w:r>
          </w:p>
        </w:tc>
        <w:tc>
          <w:tcPr>
            <w:tcW w:w="1260" w:type="dxa"/>
            <w:vAlign w:val="bottom"/>
          </w:tcPr>
          <w:p w14:paraId="198DD015" w14:textId="77777777" w:rsidR="00C44973" w:rsidRPr="00C44973" w:rsidRDefault="00C44973" w:rsidP="00C44973">
            <w:pPr>
              <w:pStyle w:val="Body"/>
              <w:spacing w:after="0"/>
              <w:rPr>
                <w:rFonts w:ascii="Arial" w:hAnsi="Arial" w:cs="Arial"/>
              </w:rPr>
            </w:pPr>
            <w:r w:rsidRPr="00C44973">
              <w:rPr>
                <w:rFonts w:ascii="Arial" w:hAnsi="Arial" w:cs="Arial"/>
              </w:rPr>
              <w:t> 1.3700</w:t>
            </w:r>
          </w:p>
        </w:tc>
        <w:tc>
          <w:tcPr>
            <w:tcW w:w="1260" w:type="dxa"/>
            <w:vAlign w:val="bottom"/>
          </w:tcPr>
          <w:p w14:paraId="7074704C" w14:textId="77777777" w:rsidR="00C44973" w:rsidRPr="00C44973" w:rsidRDefault="00C44973" w:rsidP="00C44973">
            <w:pPr>
              <w:pStyle w:val="Body"/>
              <w:spacing w:after="0"/>
              <w:rPr>
                <w:rFonts w:ascii="Arial" w:hAnsi="Arial" w:cs="Arial"/>
              </w:rPr>
            </w:pPr>
            <w:r w:rsidRPr="00C44973">
              <w:rPr>
                <w:rFonts w:ascii="Arial" w:hAnsi="Arial" w:cs="Arial"/>
              </w:rPr>
              <w:t> 30878</w:t>
            </w:r>
          </w:p>
        </w:tc>
        <w:tc>
          <w:tcPr>
            <w:tcW w:w="1080" w:type="dxa"/>
            <w:vAlign w:val="bottom"/>
          </w:tcPr>
          <w:p w14:paraId="3E04F611" w14:textId="77777777" w:rsidR="00C44973" w:rsidRPr="00C44973" w:rsidRDefault="00C44973" w:rsidP="00C44973">
            <w:pPr>
              <w:pStyle w:val="Body"/>
              <w:spacing w:after="0"/>
              <w:rPr>
                <w:rFonts w:ascii="Arial" w:hAnsi="Arial" w:cs="Arial"/>
              </w:rPr>
            </w:pPr>
            <w:r w:rsidRPr="00C44973">
              <w:rPr>
                <w:rFonts w:ascii="Arial" w:hAnsi="Arial" w:cs="Arial"/>
              </w:rPr>
              <w:t> 0.1398</w:t>
            </w:r>
          </w:p>
        </w:tc>
        <w:tc>
          <w:tcPr>
            <w:tcW w:w="1170" w:type="dxa"/>
            <w:vAlign w:val="bottom"/>
          </w:tcPr>
          <w:p w14:paraId="5F60B7BA" w14:textId="77777777" w:rsidR="00C44973" w:rsidRPr="00C44973" w:rsidRDefault="00C44973" w:rsidP="00C44973">
            <w:pPr>
              <w:pStyle w:val="Body"/>
              <w:spacing w:after="0"/>
              <w:rPr>
                <w:rFonts w:ascii="Arial" w:hAnsi="Arial" w:cs="Arial"/>
              </w:rPr>
            </w:pPr>
            <w:r w:rsidRPr="00C44973">
              <w:rPr>
                <w:rFonts w:ascii="Arial" w:hAnsi="Arial" w:cs="Arial"/>
              </w:rPr>
              <w:t> 2.8089</w:t>
            </w:r>
          </w:p>
        </w:tc>
      </w:tr>
      <w:tr w:rsidR="00C44973" w:rsidRPr="00C44973" w14:paraId="1876844D" w14:textId="77777777" w:rsidTr="00C44973">
        <w:trPr>
          <w:trHeight w:val="225"/>
          <w:jc w:val="center"/>
        </w:trPr>
        <w:tc>
          <w:tcPr>
            <w:tcW w:w="1492" w:type="dxa"/>
            <w:tcBorders>
              <w:bottom w:val="single" w:sz="4" w:space="0" w:color="auto"/>
            </w:tcBorders>
            <w:vAlign w:val="bottom"/>
          </w:tcPr>
          <w:p w14:paraId="576591F2" w14:textId="77777777" w:rsidR="00C44973" w:rsidRPr="00C44973" w:rsidRDefault="00C44973" w:rsidP="00C44973">
            <w:pPr>
              <w:pStyle w:val="Body"/>
              <w:spacing w:after="0"/>
              <w:rPr>
                <w:rFonts w:ascii="Arial" w:hAnsi="Arial" w:cs="Arial"/>
              </w:rPr>
            </w:pPr>
            <w:r w:rsidRPr="00C44973">
              <w:rPr>
                <w:rFonts w:ascii="Arial" w:hAnsi="Arial" w:cs="Arial"/>
              </w:rPr>
              <w:t> Observations</w:t>
            </w:r>
          </w:p>
        </w:tc>
        <w:tc>
          <w:tcPr>
            <w:tcW w:w="1083" w:type="dxa"/>
            <w:tcBorders>
              <w:bottom w:val="single" w:sz="4" w:space="0" w:color="auto"/>
            </w:tcBorders>
            <w:vAlign w:val="bottom"/>
          </w:tcPr>
          <w:p w14:paraId="6E9CCE6C"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260" w:type="dxa"/>
            <w:tcBorders>
              <w:bottom w:val="single" w:sz="4" w:space="0" w:color="auto"/>
            </w:tcBorders>
            <w:vAlign w:val="bottom"/>
          </w:tcPr>
          <w:p w14:paraId="10A7F974"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260" w:type="dxa"/>
            <w:tcBorders>
              <w:bottom w:val="single" w:sz="4" w:space="0" w:color="auto"/>
            </w:tcBorders>
            <w:vAlign w:val="bottom"/>
          </w:tcPr>
          <w:p w14:paraId="17198021"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080" w:type="dxa"/>
            <w:tcBorders>
              <w:bottom w:val="single" w:sz="4" w:space="0" w:color="auto"/>
            </w:tcBorders>
            <w:vAlign w:val="bottom"/>
          </w:tcPr>
          <w:p w14:paraId="4855332D" w14:textId="77777777" w:rsidR="00C44973" w:rsidRPr="00C44973" w:rsidRDefault="00C44973" w:rsidP="00C44973">
            <w:pPr>
              <w:pStyle w:val="Body"/>
              <w:spacing w:after="0"/>
              <w:rPr>
                <w:rFonts w:ascii="Arial" w:hAnsi="Arial" w:cs="Arial"/>
              </w:rPr>
            </w:pPr>
            <w:r w:rsidRPr="00C44973">
              <w:rPr>
                <w:rFonts w:ascii="Arial" w:hAnsi="Arial" w:cs="Arial"/>
              </w:rPr>
              <w:t> 220</w:t>
            </w:r>
          </w:p>
        </w:tc>
        <w:tc>
          <w:tcPr>
            <w:tcW w:w="1170" w:type="dxa"/>
            <w:tcBorders>
              <w:bottom w:val="single" w:sz="4" w:space="0" w:color="auto"/>
            </w:tcBorders>
            <w:vAlign w:val="bottom"/>
          </w:tcPr>
          <w:p w14:paraId="0799203D" w14:textId="77777777" w:rsidR="00C44973" w:rsidRPr="00C44973" w:rsidRDefault="00C44973" w:rsidP="00C44973">
            <w:pPr>
              <w:pStyle w:val="Body"/>
              <w:spacing w:after="0"/>
              <w:rPr>
                <w:rFonts w:ascii="Arial" w:hAnsi="Arial" w:cs="Arial"/>
              </w:rPr>
            </w:pPr>
            <w:r w:rsidRPr="00C44973">
              <w:rPr>
                <w:rFonts w:ascii="Arial" w:hAnsi="Arial" w:cs="Arial"/>
              </w:rPr>
              <w:t> 220</w:t>
            </w:r>
          </w:p>
        </w:tc>
      </w:tr>
    </w:tbl>
    <w:p w14:paraId="15BE4409" w14:textId="77777777" w:rsidR="00C44973" w:rsidRPr="00C44973" w:rsidRDefault="00C44973" w:rsidP="00C44973">
      <w:pPr>
        <w:pStyle w:val="Body"/>
        <w:spacing w:after="0"/>
        <w:jc w:val="center"/>
        <w:rPr>
          <w:rFonts w:ascii="Arial" w:hAnsi="Arial" w:cs="Arial"/>
          <w:b/>
          <w:bCs/>
        </w:rPr>
      </w:pPr>
      <w:r w:rsidRPr="00C44973">
        <w:rPr>
          <w:rFonts w:ascii="Arial" w:hAnsi="Arial" w:cs="Arial"/>
          <w:b/>
          <w:bCs/>
        </w:rPr>
        <w:t>Source: Computed from E-view 13.0 Version</w:t>
      </w:r>
    </w:p>
    <w:p w14:paraId="6145C566" w14:textId="77777777" w:rsidR="00C44973" w:rsidRDefault="00C44973" w:rsidP="00C44973">
      <w:pPr>
        <w:pStyle w:val="Body"/>
        <w:spacing w:after="0"/>
        <w:rPr>
          <w:rFonts w:ascii="Arial" w:hAnsi="Arial" w:cs="Arial"/>
        </w:rPr>
      </w:pPr>
    </w:p>
    <w:p w14:paraId="3F44BA60" w14:textId="508E6966" w:rsidR="00C44973" w:rsidRPr="00C44973" w:rsidRDefault="00C44973" w:rsidP="00334345">
      <w:pPr>
        <w:pStyle w:val="Body"/>
        <w:rPr>
          <w:rFonts w:ascii="Arial" w:hAnsi="Arial" w:cs="Arial"/>
        </w:rPr>
      </w:pPr>
      <w:r w:rsidRPr="00C44973">
        <w:rPr>
          <w:rFonts w:ascii="Arial" w:hAnsi="Arial" w:cs="Arial"/>
        </w:rPr>
        <w:t xml:space="preserve">Table 1 presents the descriptive statistics of the study’s variables, including Sustainability Reporting (SR), Board Director Reputational Capital (BDRC), Board Director Nationality (BNAT), Total Greenhouse Gas Emissions (TGHGS), and Renewable Energy Consumption (RENG). The mean value of sustainability reporting (SR) is .7272, indicating a generally low level of sustainability disclosure among listed insurance firms in Nigeria. The high standard deviation (2.51) and large gap between the mean and maximum values suggest considerable variation in disclosure practices across firms. Board </w:t>
      </w:r>
      <w:r w:rsidR="00EC2AAD" w:rsidRPr="00C44973">
        <w:rPr>
          <w:rFonts w:ascii="Arial" w:hAnsi="Arial" w:cs="Arial"/>
        </w:rPr>
        <w:t>director’s</w:t>
      </w:r>
      <w:r w:rsidRPr="00C44973">
        <w:rPr>
          <w:rFonts w:ascii="Arial" w:hAnsi="Arial" w:cs="Arial"/>
        </w:rPr>
        <w:t xml:space="preserve"> reputational capital (BDRC) recorded a mean of ₦19,921, with values ranging between ₦14,512 and ₦54,937, implying substantial differences in the directors’ reputational standing and compensation structures among firms. Similarly, board director nationality (BNAT) has a mean of 16.44%, signifying that on average, foreign directors make up a small proportion of board members, though some firms have significantly higher foreign representation (maximum = 55.23%).</w:t>
      </w:r>
    </w:p>
    <w:p w14:paraId="6B52852D" w14:textId="62973FD3" w:rsidR="00F91FFC" w:rsidRPr="00334345" w:rsidRDefault="00C44973" w:rsidP="00C44973">
      <w:pPr>
        <w:pStyle w:val="Body"/>
        <w:spacing w:after="0"/>
        <w:rPr>
          <w:rFonts w:ascii="Arial" w:hAnsi="Arial" w:cs="Arial"/>
        </w:rPr>
      </w:pPr>
      <w:r w:rsidRPr="00C44973">
        <w:rPr>
          <w:rFonts w:ascii="Arial" w:hAnsi="Arial" w:cs="Arial"/>
        </w:rPr>
        <w:t xml:space="preserve">For the control variables, total greenhouse gas emissions (TGHGS) exhibit a mean of .6352 with minimal dispersion (SD = .0252), while renewable energy consumption (RENG) has a relatively stable mean of 143.85, indicating consistency in environmental performance metrics across the firms. The skewness and kurtosis values reveal that most variables are </w:t>
      </w:r>
      <w:r w:rsidRPr="00C44973">
        <w:rPr>
          <w:rFonts w:ascii="Arial" w:hAnsi="Arial" w:cs="Arial"/>
        </w:rPr>
        <w:lastRenderedPageBreak/>
        <w:t>not normally distributed, as confirmed by the Jarque-Bera test probabilities (p &lt; .05). This non-normality supports the choice of robust estimation techniques such as the System GMM, which effectively handles deviations from normal distribution and potential endogeneity in panel data.</w:t>
      </w:r>
    </w:p>
    <w:p w14:paraId="32B2E20F" w14:textId="77777777" w:rsidR="00F91FFC" w:rsidRDefault="00F91FFC" w:rsidP="00C44973">
      <w:pPr>
        <w:pStyle w:val="Body"/>
        <w:spacing w:after="0"/>
        <w:rPr>
          <w:rFonts w:ascii="Arial" w:hAnsi="Arial" w:cs="Arial"/>
          <w:b/>
          <w:bCs/>
          <w:sz w:val="22"/>
          <w:szCs w:val="22"/>
        </w:rPr>
      </w:pPr>
    </w:p>
    <w:p w14:paraId="313CBD22" w14:textId="4A04BC26" w:rsidR="00C44973" w:rsidRDefault="00C44973" w:rsidP="00C44973">
      <w:pPr>
        <w:pStyle w:val="Body"/>
        <w:spacing w:after="0"/>
        <w:rPr>
          <w:rFonts w:ascii="Arial" w:hAnsi="Arial" w:cs="Arial"/>
          <w:b/>
          <w:bCs/>
          <w:sz w:val="22"/>
          <w:szCs w:val="22"/>
        </w:rPr>
      </w:pPr>
      <w:r w:rsidRPr="00F91FFC">
        <w:rPr>
          <w:rFonts w:ascii="Arial" w:hAnsi="Arial" w:cs="Arial"/>
          <w:b/>
          <w:bCs/>
          <w:sz w:val="22"/>
          <w:szCs w:val="22"/>
        </w:rPr>
        <w:t>4.2 Correlation Matrix Analysis</w:t>
      </w:r>
    </w:p>
    <w:p w14:paraId="08AF72F9" w14:textId="77777777" w:rsidR="00F91FFC" w:rsidRPr="00F91FFC" w:rsidRDefault="00F91FFC" w:rsidP="00C44973">
      <w:pPr>
        <w:pStyle w:val="Body"/>
        <w:spacing w:after="0"/>
        <w:rPr>
          <w:rFonts w:ascii="Arial" w:hAnsi="Arial" w:cs="Arial"/>
          <w:b/>
          <w:bCs/>
          <w:sz w:val="22"/>
          <w:szCs w:val="22"/>
        </w:rPr>
      </w:pPr>
    </w:p>
    <w:p w14:paraId="02309619" w14:textId="52B309B3" w:rsidR="00C44973" w:rsidRDefault="00C44973" w:rsidP="00C44973">
      <w:pPr>
        <w:pStyle w:val="Body"/>
        <w:spacing w:after="0"/>
        <w:rPr>
          <w:rFonts w:ascii="Arial" w:hAnsi="Arial" w:cs="Arial"/>
        </w:rPr>
      </w:pPr>
      <w:r w:rsidRPr="00C44973">
        <w:rPr>
          <w:rFonts w:ascii="Arial" w:hAnsi="Arial" w:cs="Arial"/>
        </w:rPr>
        <w:t xml:space="preserve">Table </w:t>
      </w:r>
      <w:r w:rsidR="00F91FFC">
        <w:rPr>
          <w:rFonts w:ascii="Arial" w:hAnsi="Arial" w:cs="Arial"/>
        </w:rPr>
        <w:t>2</w:t>
      </w:r>
      <w:r w:rsidRPr="00C44973">
        <w:rPr>
          <w:rFonts w:ascii="Arial" w:hAnsi="Arial" w:cs="Arial"/>
        </w:rPr>
        <w:t xml:space="preserve"> displays the correlation coefficients among the study variables. The result reveals a weak positive relationship between board director’s reputational capital (BDRC) and sustainability reporting (SR) (r = .045), suggesting that firms with directors who possess higher reputational standing may engage slightly more in sustainability disclosure. This aligns with Stakeholder Theory, which posits that firms respond to stakeholder expectations by enhancing transparency and accountability, particularly when board members’ reputations are at stake. In contrast, board director nationality (BNAT) exhibits a weak negative association with SR (r = -.106), indicating that the inclusion of foreign directors does not necessarily enhance sustainability reporting practices within Nigerian insurance firms. This may reflect contextual differences in governance practices, as foreign directors may face institutional and regulatory limitations in influencing disclosure </w:t>
      </w:r>
      <w:proofErr w:type="spellStart"/>
      <w:r w:rsidRPr="00C44973">
        <w:rPr>
          <w:rFonts w:ascii="Arial" w:hAnsi="Arial" w:cs="Arial"/>
        </w:rPr>
        <w:t>behaviour</w:t>
      </w:r>
      <w:proofErr w:type="spellEnd"/>
      <w:r w:rsidRPr="00C44973">
        <w:rPr>
          <w:rFonts w:ascii="Arial" w:hAnsi="Arial" w:cs="Arial"/>
        </w:rPr>
        <w:t>. The environmental control variables, total greenhouse gas emissions (TGHGS) and renewable energy consumption (RENG), show negligible correlations with SR (r = .030 and -.078, respectively). These weak associations suggest that environmental performance is not a strong determinant of sustainability disclosure among the sampled firms. Therefore, the low correlation coefficients suggest minimal multicollinearity and underscore that sustainability reporting in Nigeria’s insurance sector is influenced by complex institutional and stakeholder dynamics rather than simple board composition metrics.</w:t>
      </w:r>
    </w:p>
    <w:p w14:paraId="46D0840B" w14:textId="77777777" w:rsidR="00F91FFC" w:rsidRPr="00C44973" w:rsidRDefault="00F91FFC" w:rsidP="00C44973">
      <w:pPr>
        <w:pStyle w:val="Body"/>
        <w:spacing w:after="0"/>
        <w:rPr>
          <w:rFonts w:ascii="Arial" w:hAnsi="Arial" w:cs="Arial"/>
        </w:rPr>
      </w:pPr>
    </w:p>
    <w:p w14:paraId="1CFB0145" w14:textId="7BA4C9E2"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2</w:t>
      </w:r>
      <w:r w:rsidRPr="00C44973">
        <w:rPr>
          <w:rFonts w:ascii="Arial" w:hAnsi="Arial" w:cs="Arial"/>
          <w:b/>
        </w:rPr>
        <w:t>. Correlation Matrix Result</w:t>
      </w:r>
    </w:p>
    <w:tbl>
      <w:tblPr>
        <w:tblStyle w:val="TableGrid"/>
        <w:tblW w:w="6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65"/>
        <w:gridCol w:w="1010"/>
        <w:gridCol w:w="1420"/>
        <w:gridCol w:w="1170"/>
        <w:gridCol w:w="1050"/>
        <w:gridCol w:w="1080"/>
      </w:tblGrid>
      <w:tr w:rsidR="00C44973" w:rsidRPr="00F91FFC" w14:paraId="0E8BE845" w14:textId="77777777" w:rsidTr="00F91FFC">
        <w:trPr>
          <w:trHeight w:val="225"/>
          <w:jc w:val="center"/>
        </w:trPr>
        <w:tc>
          <w:tcPr>
            <w:tcW w:w="1165" w:type="dxa"/>
            <w:tcBorders>
              <w:top w:val="single" w:sz="4" w:space="0" w:color="auto"/>
              <w:bottom w:val="single" w:sz="4" w:space="0" w:color="auto"/>
            </w:tcBorders>
          </w:tcPr>
          <w:p w14:paraId="646C72C8" w14:textId="77777777" w:rsidR="00C44973" w:rsidRPr="00F91FFC" w:rsidRDefault="00C44973" w:rsidP="00F91FFC">
            <w:pPr>
              <w:pStyle w:val="Body"/>
              <w:spacing w:after="0"/>
              <w:rPr>
                <w:rFonts w:ascii="Arial" w:eastAsia="Times New Roman" w:hAnsi="Arial" w:cs="Arial"/>
                <w:sz w:val="20"/>
                <w:szCs w:val="20"/>
              </w:rPr>
            </w:pPr>
          </w:p>
        </w:tc>
        <w:tc>
          <w:tcPr>
            <w:tcW w:w="1010" w:type="dxa"/>
            <w:tcBorders>
              <w:top w:val="single" w:sz="4" w:space="0" w:color="auto"/>
              <w:bottom w:val="single" w:sz="4" w:space="0" w:color="auto"/>
            </w:tcBorders>
          </w:tcPr>
          <w:p w14:paraId="2F7C54C6"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SR</w:t>
            </w:r>
          </w:p>
        </w:tc>
        <w:tc>
          <w:tcPr>
            <w:tcW w:w="1420" w:type="dxa"/>
            <w:tcBorders>
              <w:top w:val="single" w:sz="4" w:space="0" w:color="auto"/>
              <w:bottom w:val="single" w:sz="4" w:space="0" w:color="auto"/>
            </w:tcBorders>
          </w:tcPr>
          <w:p w14:paraId="4FCCFBE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BDRC</w:t>
            </w:r>
          </w:p>
        </w:tc>
        <w:tc>
          <w:tcPr>
            <w:tcW w:w="1170" w:type="dxa"/>
            <w:tcBorders>
              <w:top w:val="single" w:sz="4" w:space="0" w:color="auto"/>
              <w:bottom w:val="single" w:sz="4" w:space="0" w:color="auto"/>
            </w:tcBorders>
          </w:tcPr>
          <w:p w14:paraId="05E8D42B"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BNAT</w:t>
            </w:r>
          </w:p>
        </w:tc>
        <w:tc>
          <w:tcPr>
            <w:tcW w:w="1050" w:type="dxa"/>
            <w:tcBorders>
              <w:top w:val="single" w:sz="4" w:space="0" w:color="auto"/>
              <w:bottom w:val="single" w:sz="4" w:space="0" w:color="auto"/>
            </w:tcBorders>
          </w:tcPr>
          <w:p w14:paraId="502023C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TGHGS</w:t>
            </w:r>
          </w:p>
        </w:tc>
        <w:tc>
          <w:tcPr>
            <w:tcW w:w="1080" w:type="dxa"/>
            <w:tcBorders>
              <w:top w:val="single" w:sz="4" w:space="0" w:color="auto"/>
              <w:bottom w:val="single" w:sz="4" w:space="0" w:color="auto"/>
            </w:tcBorders>
          </w:tcPr>
          <w:p w14:paraId="7C095EE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RENG</w:t>
            </w:r>
          </w:p>
        </w:tc>
      </w:tr>
      <w:tr w:rsidR="00C44973" w:rsidRPr="00F91FFC" w14:paraId="12400871" w14:textId="77777777" w:rsidTr="00F91FFC">
        <w:trPr>
          <w:trHeight w:val="225"/>
          <w:jc w:val="center"/>
        </w:trPr>
        <w:tc>
          <w:tcPr>
            <w:tcW w:w="1165" w:type="dxa"/>
            <w:tcBorders>
              <w:top w:val="single" w:sz="4" w:space="0" w:color="auto"/>
            </w:tcBorders>
          </w:tcPr>
          <w:p w14:paraId="285A52D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SR</w:t>
            </w:r>
          </w:p>
        </w:tc>
        <w:tc>
          <w:tcPr>
            <w:tcW w:w="1010" w:type="dxa"/>
            <w:tcBorders>
              <w:top w:val="single" w:sz="4" w:space="0" w:color="auto"/>
            </w:tcBorders>
          </w:tcPr>
          <w:p w14:paraId="2C28EFA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420" w:type="dxa"/>
            <w:tcBorders>
              <w:top w:val="single" w:sz="4" w:space="0" w:color="auto"/>
            </w:tcBorders>
          </w:tcPr>
          <w:p w14:paraId="397EA293" w14:textId="77777777" w:rsidR="00C44973" w:rsidRPr="00F91FFC" w:rsidRDefault="00C44973" w:rsidP="00F91FFC">
            <w:pPr>
              <w:pStyle w:val="Body"/>
              <w:spacing w:after="0"/>
              <w:rPr>
                <w:rFonts w:ascii="Arial" w:eastAsia="Times New Roman" w:hAnsi="Arial" w:cs="Arial"/>
                <w:sz w:val="20"/>
                <w:szCs w:val="20"/>
              </w:rPr>
            </w:pPr>
          </w:p>
        </w:tc>
        <w:tc>
          <w:tcPr>
            <w:tcW w:w="1170" w:type="dxa"/>
            <w:tcBorders>
              <w:top w:val="single" w:sz="4" w:space="0" w:color="auto"/>
            </w:tcBorders>
          </w:tcPr>
          <w:p w14:paraId="4A2FB120" w14:textId="77777777" w:rsidR="00C44973" w:rsidRPr="00F91FFC" w:rsidRDefault="00C44973" w:rsidP="00F91FFC">
            <w:pPr>
              <w:pStyle w:val="Body"/>
              <w:spacing w:after="0"/>
              <w:rPr>
                <w:rFonts w:ascii="Arial" w:eastAsia="Times New Roman" w:hAnsi="Arial" w:cs="Arial"/>
                <w:sz w:val="20"/>
                <w:szCs w:val="20"/>
              </w:rPr>
            </w:pPr>
          </w:p>
        </w:tc>
        <w:tc>
          <w:tcPr>
            <w:tcW w:w="1050" w:type="dxa"/>
            <w:tcBorders>
              <w:top w:val="single" w:sz="4" w:space="0" w:color="auto"/>
            </w:tcBorders>
          </w:tcPr>
          <w:p w14:paraId="22AAFCA8" w14:textId="77777777" w:rsidR="00C44973" w:rsidRPr="00F91FFC" w:rsidRDefault="00C44973" w:rsidP="00F91FFC">
            <w:pPr>
              <w:pStyle w:val="Body"/>
              <w:spacing w:after="0"/>
              <w:rPr>
                <w:rFonts w:ascii="Arial" w:eastAsia="Times New Roman" w:hAnsi="Arial" w:cs="Arial"/>
                <w:sz w:val="20"/>
                <w:szCs w:val="20"/>
              </w:rPr>
            </w:pPr>
          </w:p>
        </w:tc>
        <w:tc>
          <w:tcPr>
            <w:tcW w:w="1080" w:type="dxa"/>
            <w:tcBorders>
              <w:top w:val="single" w:sz="4" w:space="0" w:color="auto"/>
            </w:tcBorders>
          </w:tcPr>
          <w:p w14:paraId="14AB7F51"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608E0BBB" w14:textId="77777777" w:rsidTr="00F91FFC">
        <w:trPr>
          <w:trHeight w:val="225"/>
          <w:jc w:val="center"/>
        </w:trPr>
        <w:tc>
          <w:tcPr>
            <w:tcW w:w="1165" w:type="dxa"/>
          </w:tcPr>
          <w:p w14:paraId="3D908B80"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BDRC</w:t>
            </w:r>
          </w:p>
        </w:tc>
        <w:tc>
          <w:tcPr>
            <w:tcW w:w="1010" w:type="dxa"/>
          </w:tcPr>
          <w:p w14:paraId="6D448D0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0.045</w:t>
            </w:r>
          </w:p>
        </w:tc>
        <w:tc>
          <w:tcPr>
            <w:tcW w:w="1420" w:type="dxa"/>
          </w:tcPr>
          <w:p w14:paraId="79E35C72"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170" w:type="dxa"/>
          </w:tcPr>
          <w:p w14:paraId="225E7B06" w14:textId="77777777" w:rsidR="00C44973" w:rsidRPr="00F91FFC" w:rsidRDefault="00C44973" w:rsidP="00F91FFC">
            <w:pPr>
              <w:pStyle w:val="Body"/>
              <w:spacing w:after="0"/>
              <w:rPr>
                <w:rFonts w:ascii="Arial" w:eastAsia="Times New Roman" w:hAnsi="Arial" w:cs="Arial"/>
                <w:sz w:val="20"/>
                <w:szCs w:val="20"/>
              </w:rPr>
            </w:pPr>
          </w:p>
        </w:tc>
        <w:tc>
          <w:tcPr>
            <w:tcW w:w="1050" w:type="dxa"/>
          </w:tcPr>
          <w:p w14:paraId="1DA26787" w14:textId="77777777" w:rsidR="00C44973" w:rsidRPr="00F91FFC" w:rsidRDefault="00C44973" w:rsidP="00F91FFC">
            <w:pPr>
              <w:pStyle w:val="Body"/>
              <w:spacing w:after="0"/>
              <w:rPr>
                <w:rFonts w:ascii="Arial" w:eastAsia="Times New Roman" w:hAnsi="Arial" w:cs="Arial"/>
                <w:sz w:val="20"/>
                <w:szCs w:val="20"/>
              </w:rPr>
            </w:pPr>
          </w:p>
        </w:tc>
        <w:tc>
          <w:tcPr>
            <w:tcW w:w="1080" w:type="dxa"/>
          </w:tcPr>
          <w:p w14:paraId="7A6A716B"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291C1CFA" w14:textId="77777777" w:rsidTr="00F91FFC">
        <w:trPr>
          <w:trHeight w:val="225"/>
          <w:jc w:val="center"/>
        </w:trPr>
        <w:tc>
          <w:tcPr>
            <w:tcW w:w="1165" w:type="dxa"/>
          </w:tcPr>
          <w:p w14:paraId="4464FA7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BNAT</w:t>
            </w:r>
          </w:p>
        </w:tc>
        <w:tc>
          <w:tcPr>
            <w:tcW w:w="1010" w:type="dxa"/>
          </w:tcPr>
          <w:p w14:paraId="70EAB3C0"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-0.106</w:t>
            </w:r>
          </w:p>
        </w:tc>
        <w:tc>
          <w:tcPr>
            <w:tcW w:w="1420" w:type="dxa"/>
          </w:tcPr>
          <w:p w14:paraId="76FEAFE1"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-0.063</w:t>
            </w:r>
          </w:p>
        </w:tc>
        <w:tc>
          <w:tcPr>
            <w:tcW w:w="1170" w:type="dxa"/>
          </w:tcPr>
          <w:p w14:paraId="23AE3091"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050" w:type="dxa"/>
          </w:tcPr>
          <w:p w14:paraId="6C89FED1" w14:textId="77777777" w:rsidR="00C44973" w:rsidRPr="00F91FFC" w:rsidRDefault="00C44973" w:rsidP="00F91FFC">
            <w:pPr>
              <w:pStyle w:val="Body"/>
              <w:spacing w:after="0"/>
              <w:rPr>
                <w:rFonts w:ascii="Arial" w:eastAsia="Times New Roman" w:hAnsi="Arial" w:cs="Arial"/>
                <w:sz w:val="20"/>
                <w:szCs w:val="20"/>
              </w:rPr>
            </w:pPr>
          </w:p>
        </w:tc>
        <w:tc>
          <w:tcPr>
            <w:tcW w:w="1080" w:type="dxa"/>
          </w:tcPr>
          <w:p w14:paraId="05019775"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09C14E97" w14:textId="77777777" w:rsidTr="00F91FFC">
        <w:trPr>
          <w:trHeight w:val="225"/>
          <w:jc w:val="center"/>
        </w:trPr>
        <w:tc>
          <w:tcPr>
            <w:tcW w:w="1165" w:type="dxa"/>
          </w:tcPr>
          <w:p w14:paraId="3690628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TGHGS</w:t>
            </w:r>
          </w:p>
        </w:tc>
        <w:tc>
          <w:tcPr>
            <w:tcW w:w="1010" w:type="dxa"/>
          </w:tcPr>
          <w:p w14:paraId="5C1FFE3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0.030</w:t>
            </w:r>
          </w:p>
        </w:tc>
        <w:tc>
          <w:tcPr>
            <w:tcW w:w="1420" w:type="dxa"/>
          </w:tcPr>
          <w:p w14:paraId="5267D6B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0.045</w:t>
            </w:r>
          </w:p>
        </w:tc>
        <w:tc>
          <w:tcPr>
            <w:tcW w:w="1170" w:type="dxa"/>
          </w:tcPr>
          <w:p w14:paraId="74A55C22"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0.039</w:t>
            </w:r>
          </w:p>
        </w:tc>
        <w:tc>
          <w:tcPr>
            <w:tcW w:w="1050" w:type="dxa"/>
          </w:tcPr>
          <w:p w14:paraId="06CC77E5"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c>
          <w:tcPr>
            <w:tcW w:w="1080" w:type="dxa"/>
          </w:tcPr>
          <w:p w14:paraId="6D204343" w14:textId="77777777" w:rsidR="00C44973" w:rsidRPr="00F91FFC" w:rsidRDefault="00C44973" w:rsidP="00F91FFC">
            <w:pPr>
              <w:pStyle w:val="Body"/>
              <w:spacing w:after="0"/>
              <w:rPr>
                <w:rFonts w:ascii="Arial" w:eastAsia="Times New Roman" w:hAnsi="Arial" w:cs="Arial"/>
                <w:sz w:val="20"/>
                <w:szCs w:val="20"/>
              </w:rPr>
            </w:pPr>
          </w:p>
        </w:tc>
      </w:tr>
      <w:tr w:rsidR="00C44973" w:rsidRPr="00F91FFC" w14:paraId="2412AD93" w14:textId="77777777" w:rsidTr="00F91FFC">
        <w:trPr>
          <w:trHeight w:val="225"/>
          <w:jc w:val="center"/>
        </w:trPr>
        <w:tc>
          <w:tcPr>
            <w:tcW w:w="1165" w:type="dxa"/>
            <w:tcBorders>
              <w:bottom w:val="single" w:sz="4" w:space="0" w:color="auto"/>
            </w:tcBorders>
          </w:tcPr>
          <w:p w14:paraId="57F0A40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RENG</w:t>
            </w:r>
          </w:p>
        </w:tc>
        <w:tc>
          <w:tcPr>
            <w:tcW w:w="1010" w:type="dxa"/>
            <w:tcBorders>
              <w:bottom w:val="single" w:sz="4" w:space="0" w:color="auto"/>
            </w:tcBorders>
          </w:tcPr>
          <w:p w14:paraId="45D1DB6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-0.078</w:t>
            </w:r>
          </w:p>
        </w:tc>
        <w:tc>
          <w:tcPr>
            <w:tcW w:w="1420" w:type="dxa"/>
            <w:tcBorders>
              <w:bottom w:val="single" w:sz="4" w:space="0" w:color="auto"/>
            </w:tcBorders>
          </w:tcPr>
          <w:p w14:paraId="1EDB4BC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-0.014</w:t>
            </w:r>
          </w:p>
        </w:tc>
        <w:tc>
          <w:tcPr>
            <w:tcW w:w="1170" w:type="dxa"/>
            <w:tcBorders>
              <w:bottom w:val="single" w:sz="4" w:space="0" w:color="auto"/>
            </w:tcBorders>
          </w:tcPr>
          <w:p w14:paraId="5DF7A63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-0.046</w:t>
            </w:r>
          </w:p>
        </w:tc>
        <w:tc>
          <w:tcPr>
            <w:tcW w:w="1050" w:type="dxa"/>
            <w:tcBorders>
              <w:bottom w:val="single" w:sz="4" w:space="0" w:color="auto"/>
            </w:tcBorders>
          </w:tcPr>
          <w:p w14:paraId="00B0E61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0.254</w:t>
            </w:r>
          </w:p>
        </w:tc>
        <w:tc>
          <w:tcPr>
            <w:tcW w:w="1080" w:type="dxa"/>
            <w:tcBorders>
              <w:bottom w:val="single" w:sz="4" w:space="0" w:color="auto"/>
            </w:tcBorders>
          </w:tcPr>
          <w:p w14:paraId="1D781D8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w:t>
            </w:r>
          </w:p>
        </w:tc>
      </w:tr>
    </w:tbl>
    <w:p w14:paraId="7B99AF56" w14:textId="77777777" w:rsidR="00C44973" w:rsidRPr="00C44973" w:rsidRDefault="00C44973" w:rsidP="00F91FFC">
      <w:pPr>
        <w:pStyle w:val="Body"/>
        <w:spacing w:after="0"/>
        <w:jc w:val="center"/>
        <w:rPr>
          <w:rFonts w:ascii="Arial" w:hAnsi="Arial" w:cs="Arial"/>
          <w:b/>
          <w:bCs/>
        </w:rPr>
      </w:pPr>
      <w:r w:rsidRPr="00C44973">
        <w:rPr>
          <w:rFonts w:ascii="Arial" w:hAnsi="Arial" w:cs="Arial"/>
          <w:b/>
          <w:bCs/>
        </w:rPr>
        <w:t>Source: Computed from E-view 13.0 Version</w:t>
      </w:r>
    </w:p>
    <w:p w14:paraId="1F7B7AAD" w14:textId="77777777" w:rsidR="00F91FFC" w:rsidRDefault="00F91FFC" w:rsidP="00C44973">
      <w:pPr>
        <w:pStyle w:val="Body"/>
        <w:spacing w:after="0"/>
        <w:rPr>
          <w:rFonts w:ascii="Arial" w:hAnsi="Arial" w:cs="Arial"/>
          <w:b/>
          <w:bCs/>
        </w:rPr>
      </w:pPr>
      <w:bookmarkStart w:id="0" w:name="_Toc204093392"/>
    </w:p>
    <w:p w14:paraId="51E87103" w14:textId="6C2D434B" w:rsidR="00C44973" w:rsidRPr="00F91FFC" w:rsidRDefault="00C44973" w:rsidP="00C44973">
      <w:pPr>
        <w:pStyle w:val="Body"/>
        <w:spacing w:after="0"/>
        <w:rPr>
          <w:rFonts w:ascii="Arial" w:hAnsi="Arial" w:cs="Arial"/>
          <w:b/>
          <w:bCs/>
          <w:sz w:val="22"/>
          <w:szCs w:val="22"/>
        </w:rPr>
      </w:pPr>
      <w:r w:rsidRPr="00F91FFC">
        <w:rPr>
          <w:rFonts w:ascii="Arial" w:hAnsi="Arial" w:cs="Arial"/>
          <w:b/>
          <w:bCs/>
          <w:sz w:val="22"/>
          <w:szCs w:val="22"/>
        </w:rPr>
        <w:t xml:space="preserve">4.3 Panel Unit Root Test </w:t>
      </w:r>
      <w:bookmarkEnd w:id="0"/>
      <w:r w:rsidRPr="00F91FFC">
        <w:rPr>
          <w:rFonts w:ascii="Arial" w:hAnsi="Arial" w:cs="Arial"/>
          <w:b/>
          <w:bCs/>
          <w:sz w:val="22"/>
          <w:szCs w:val="22"/>
        </w:rPr>
        <w:t>Analysis</w:t>
      </w:r>
    </w:p>
    <w:p w14:paraId="4B4266A3" w14:textId="77777777" w:rsidR="00F91FFC" w:rsidRPr="00C44973" w:rsidRDefault="00F91FFC" w:rsidP="00C44973">
      <w:pPr>
        <w:pStyle w:val="Body"/>
        <w:spacing w:after="0"/>
        <w:rPr>
          <w:rFonts w:ascii="Arial" w:hAnsi="Arial" w:cs="Arial"/>
          <w:b/>
          <w:bCs/>
        </w:rPr>
      </w:pPr>
    </w:p>
    <w:p w14:paraId="5D445E93" w14:textId="70666AE2" w:rsidR="00C44973" w:rsidRPr="00C44973" w:rsidRDefault="00C44973" w:rsidP="00C44973">
      <w:pPr>
        <w:pStyle w:val="Body"/>
        <w:spacing w:after="0"/>
        <w:rPr>
          <w:rFonts w:ascii="Arial" w:hAnsi="Arial" w:cs="Arial"/>
        </w:rPr>
      </w:pPr>
      <w:r w:rsidRPr="00C44973">
        <w:rPr>
          <w:rFonts w:ascii="Arial" w:hAnsi="Arial" w:cs="Arial"/>
        </w:rPr>
        <w:t xml:space="preserve">Table 3 presents the Levin-Lin-Chu (LLC) panel unit root test results for the study variables. The findings show that all variables are stationary either at level, </w:t>
      </w:r>
      <w:proofErr w:type="gramStart"/>
      <w:r w:rsidRPr="00C44973">
        <w:rPr>
          <w:rFonts w:ascii="Arial" w:hAnsi="Arial" w:cs="Arial"/>
        </w:rPr>
        <w:t>I(</w:t>
      </w:r>
      <w:proofErr w:type="gramEnd"/>
      <w:r w:rsidRPr="00C44973">
        <w:rPr>
          <w:rFonts w:ascii="Arial" w:hAnsi="Arial" w:cs="Arial"/>
        </w:rPr>
        <w:t xml:space="preserve">0), or after first differencing, I(1). Specifically, sustainability reporting (SR) became stationary after first differencing, while board </w:t>
      </w:r>
      <w:r w:rsidR="00EC2AAD" w:rsidRPr="00C44973">
        <w:rPr>
          <w:rFonts w:ascii="Arial" w:hAnsi="Arial" w:cs="Arial"/>
        </w:rPr>
        <w:t>director’s</w:t>
      </w:r>
      <w:r w:rsidRPr="00C44973">
        <w:rPr>
          <w:rFonts w:ascii="Arial" w:hAnsi="Arial" w:cs="Arial"/>
        </w:rPr>
        <w:t xml:space="preserve"> reputational capital (BDRC), board director nationality (BNAT), total greenhouse gas emissions (TGHGS), and renewable energy consumption (RENG) were stationary at level, as indicated by their significant probability values (p &lt; 0.05). The stationarity of the variables implies that the data are free from stochastic trends and suitable for dynamic panel estimation. This validates the use of the System Generalized Method of Moments (GMM), which assumes no perfect persistence in the series and efficiently handles mixed integration orders. From a Stakeholder Theory perspective, the stability of these governance and sustainability variables suggests consistent patterns of disclosure and board characteristics among Nigerian insurance firms over time. This reflects firms’ ongoing, though varied, responses to stakeholder demands for accountability and sustainable performance.</w:t>
      </w:r>
    </w:p>
    <w:p w14:paraId="22ED091E" w14:textId="77777777" w:rsidR="00C44973" w:rsidRPr="00C44973" w:rsidRDefault="00C44973" w:rsidP="00C44973">
      <w:pPr>
        <w:pStyle w:val="Body"/>
        <w:spacing w:after="0"/>
        <w:rPr>
          <w:rFonts w:ascii="Arial" w:hAnsi="Arial" w:cs="Arial"/>
        </w:rPr>
      </w:pPr>
    </w:p>
    <w:p w14:paraId="226A59D2" w14:textId="580158F1" w:rsidR="00C44973" w:rsidRPr="00C44973" w:rsidRDefault="00C44973" w:rsidP="00C44973">
      <w:pPr>
        <w:pStyle w:val="Body"/>
        <w:rPr>
          <w:rFonts w:ascii="Arial" w:hAnsi="Arial" w:cs="Arial"/>
          <w:b/>
          <w:bCs/>
        </w:rPr>
      </w:pPr>
      <w:r w:rsidRPr="00C44973">
        <w:rPr>
          <w:rFonts w:ascii="Arial" w:hAnsi="Arial" w:cs="Arial"/>
          <w:b/>
          <w:bCs/>
        </w:rPr>
        <w:lastRenderedPageBreak/>
        <w:t>Table 3</w:t>
      </w:r>
      <w:r w:rsidR="00F91FFC">
        <w:rPr>
          <w:rFonts w:ascii="Arial" w:hAnsi="Arial" w:cs="Arial"/>
          <w:b/>
          <w:bCs/>
        </w:rPr>
        <w:t>.</w:t>
      </w:r>
      <w:r w:rsidRPr="00C44973">
        <w:rPr>
          <w:rFonts w:ascii="Arial" w:hAnsi="Arial" w:cs="Arial"/>
          <w:b/>
          <w:bCs/>
        </w:rPr>
        <w:t xml:space="preserve"> Levin-Lin- Chiu Panel Unit Root Test Analysis  </w:t>
      </w:r>
    </w:p>
    <w:tbl>
      <w:tblPr>
        <w:tblStyle w:val="TableGrid"/>
        <w:tblW w:w="43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12"/>
        <w:gridCol w:w="2621"/>
        <w:gridCol w:w="1989"/>
        <w:gridCol w:w="1123"/>
      </w:tblGrid>
      <w:tr w:rsidR="00F91FFC" w:rsidRPr="00F91FFC" w14:paraId="4B6A592D" w14:textId="77777777" w:rsidTr="00F91FFC">
        <w:trPr>
          <w:trHeight w:val="225"/>
          <w:jc w:val="center"/>
        </w:trPr>
        <w:tc>
          <w:tcPr>
            <w:tcW w:w="1043" w:type="pct"/>
            <w:tcBorders>
              <w:top w:val="single" w:sz="4" w:space="0" w:color="auto"/>
              <w:bottom w:val="single" w:sz="4" w:space="0" w:color="auto"/>
            </w:tcBorders>
          </w:tcPr>
          <w:p w14:paraId="6504A50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Variables</w:t>
            </w:r>
          </w:p>
        </w:tc>
        <w:tc>
          <w:tcPr>
            <w:tcW w:w="1808" w:type="pct"/>
            <w:tcBorders>
              <w:top w:val="single" w:sz="4" w:space="0" w:color="auto"/>
              <w:bottom w:val="single" w:sz="4" w:space="0" w:color="auto"/>
            </w:tcBorders>
          </w:tcPr>
          <w:p w14:paraId="7E3BF24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Adjusted-t Statistics Value</w:t>
            </w:r>
          </w:p>
        </w:tc>
        <w:tc>
          <w:tcPr>
            <w:tcW w:w="1373" w:type="pct"/>
            <w:tcBorders>
              <w:top w:val="single" w:sz="4" w:space="0" w:color="auto"/>
              <w:bottom w:val="single" w:sz="4" w:space="0" w:color="auto"/>
            </w:tcBorders>
          </w:tcPr>
          <w:p w14:paraId="5CCA8DD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Probability Value</w:t>
            </w:r>
          </w:p>
        </w:tc>
        <w:tc>
          <w:tcPr>
            <w:tcW w:w="775" w:type="pct"/>
            <w:tcBorders>
              <w:top w:val="single" w:sz="4" w:space="0" w:color="auto"/>
              <w:bottom w:val="single" w:sz="4" w:space="0" w:color="auto"/>
            </w:tcBorders>
          </w:tcPr>
          <w:p w14:paraId="61B081A4" w14:textId="466583EA"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Remarks</w:t>
            </w:r>
          </w:p>
        </w:tc>
      </w:tr>
      <w:tr w:rsidR="00F91FFC" w:rsidRPr="00F91FFC" w14:paraId="33D7CA81" w14:textId="77777777" w:rsidTr="00F91FFC">
        <w:trPr>
          <w:trHeight w:val="225"/>
          <w:jc w:val="center"/>
        </w:trPr>
        <w:tc>
          <w:tcPr>
            <w:tcW w:w="1043" w:type="pct"/>
            <w:tcBorders>
              <w:top w:val="single" w:sz="4" w:space="0" w:color="auto"/>
            </w:tcBorders>
          </w:tcPr>
          <w:p w14:paraId="49EC0311"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SR</w:t>
            </w:r>
          </w:p>
        </w:tc>
        <w:tc>
          <w:tcPr>
            <w:tcW w:w="1808" w:type="pct"/>
            <w:tcBorders>
              <w:top w:val="single" w:sz="4" w:space="0" w:color="auto"/>
            </w:tcBorders>
          </w:tcPr>
          <w:p w14:paraId="7E3E765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6.9177</w:t>
            </w:r>
          </w:p>
        </w:tc>
        <w:tc>
          <w:tcPr>
            <w:tcW w:w="1373" w:type="pct"/>
            <w:tcBorders>
              <w:top w:val="single" w:sz="4" w:space="0" w:color="auto"/>
            </w:tcBorders>
          </w:tcPr>
          <w:p w14:paraId="3D4EFFA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Borders>
              <w:top w:val="single" w:sz="4" w:space="0" w:color="auto"/>
            </w:tcBorders>
          </w:tcPr>
          <w:p w14:paraId="1AB1D8D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1(1)</w:t>
            </w:r>
          </w:p>
        </w:tc>
      </w:tr>
      <w:tr w:rsidR="00C44973" w:rsidRPr="00F91FFC" w14:paraId="5E8F53BD" w14:textId="77777777" w:rsidTr="00F91FFC">
        <w:trPr>
          <w:trHeight w:val="225"/>
          <w:jc w:val="center"/>
        </w:trPr>
        <w:tc>
          <w:tcPr>
            <w:tcW w:w="1043" w:type="pct"/>
          </w:tcPr>
          <w:p w14:paraId="78808503"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BDRC</w:t>
            </w:r>
          </w:p>
        </w:tc>
        <w:tc>
          <w:tcPr>
            <w:tcW w:w="1808" w:type="pct"/>
          </w:tcPr>
          <w:p w14:paraId="757BAF3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8.3083</w:t>
            </w:r>
          </w:p>
        </w:tc>
        <w:tc>
          <w:tcPr>
            <w:tcW w:w="1373" w:type="pct"/>
          </w:tcPr>
          <w:p w14:paraId="24FE876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539D8F4D"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r w:rsidR="00C44973" w:rsidRPr="00F91FFC" w14:paraId="64CF5C8D" w14:textId="77777777" w:rsidTr="00F91FFC">
        <w:trPr>
          <w:trHeight w:val="225"/>
          <w:jc w:val="center"/>
        </w:trPr>
        <w:tc>
          <w:tcPr>
            <w:tcW w:w="1043" w:type="pct"/>
          </w:tcPr>
          <w:p w14:paraId="3B8C608A"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BNAT</w:t>
            </w:r>
          </w:p>
        </w:tc>
        <w:tc>
          <w:tcPr>
            <w:tcW w:w="1808" w:type="pct"/>
          </w:tcPr>
          <w:p w14:paraId="136050A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6.0695</w:t>
            </w:r>
          </w:p>
        </w:tc>
        <w:tc>
          <w:tcPr>
            <w:tcW w:w="1373" w:type="pct"/>
          </w:tcPr>
          <w:p w14:paraId="7103955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31856062"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r w:rsidR="00C44973" w:rsidRPr="00F91FFC" w14:paraId="3D5B1302" w14:textId="77777777" w:rsidTr="00F91FFC">
        <w:trPr>
          <w:trHeight w:val="225"/>
          <w:jc w:val="center"/>
        </w:trPr>
        <w:tc>
          <w:tcPr>
            <w:tcW w:w="1043" w:type="pct"/>
          </w:tcPr>
          <w:p w14:paraId="021E7BF9"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TGHGS</w:t>
            </w:r>
          </w:p>
        </w:tc>
        <w:tc>
          <w:tcPr>
            <w:tcW w:w="1808" w:type="pct"/>
          </w:tcPr>
          <w:p w14:paraId="66869E67"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17.451</w:t>
            </w:r>
          </w:p>
        </w:tc>
        <w:tc>
          <w:tcPr>
            <w:tcW w:w="1373" w:type="pct"/>
          </w:tcPr>
          <w:p w14:paraId="5577AFEF"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6BA53E7C"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r w:rsidR="00C44973" w:rsidRPr="00F91FFC" w14:paraId="42EA26C9" w14:textId="77777777" w:rsidTr="00F91FFC">
        <w:trPr>
          <w:trHeight w:val="225"/>
          <w:jc w:val="center"/>
        </w:trPr>
        <w:tc>
          <w:tcPr>
            <w:tcW w:w="1043" w:type="pct"/>
          </w:tcPr>
          <w:p w14:paraId="69F50638"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RENG</w:t>
            </w:r>
          </w:p>
        </w:tc>
        <w:tc>
          <w:tcPr>
            <w:tcW w:w="1808" w:type="pct"/>
          </w:tcPr>
          <w:p w14:paraId="77FC9205"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8.7384</w:t>
            </w:r>
          </w:p>
        </w:tc>
        <w:tc>
          <w:tcPr>
            <w:tcW w:w="1373" w:type="pct"/>
          </w:tcPr>
          <w:p w14:paraId="2F7AB770"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0.0000</w:t>
            </w:r>
          </w:p>
        </w:tc>
        <w:tc>
          <w:tcPr>
            <w:tcW w:w="775" w:type="pct"/>
          </w:tcPr>
          <w:p w14:paraId="11DC13A4" w14:textId="77777777" w:rsidR="00C44973" w:rsidRPr="00F91FFC" w:rsidRDefault="00C44973" w:rsidP="00F91FFC">
            <w:pPr>
              <w:pStyle w:val="Body"/>
              <w:spacing w:after="0"/>
              <w:rPr>
                <w:rFonts w:ascii="Arial" w:eastAsia="Times New Roman" w:hAnsi="Arial" w:cs="Arial"/>
                <w:sz w:val="20"/>
                <w:szCs w:val="20"/>
              </w:rPr>
            </w:pPr>
            <w:r w:rsidRPr="00F91FFC">
              <w:rPr>
                <w:rFonts w:ascii="Arial" w:eastAsia="Times New Roman" w:hAnsi="Arial" w:cs="Arial"/>
                <w:sz w:val="20"/>
                <w:szCs w:val="20"/>
              </w:rPr>
              <w:t>1(0)</w:t>
            </w:r>
          </w:p>
        </w:tc>
      </w:tr>
    </w:tbl>
    <w:p w14:paraId="2BDECD4E" w14:textId="77777777" w:rsidR="00C44973" w:rsidRPr="00C44973" w:rsidRDefault="00C44973" w:rsidP="00F91FFC">
      <w:pPr>
        <w:pStyle w:val="Body"/>
        <w:spacing w:after="0"/>
        <w:jc w:val="center"/>
        <w:rPr>
          <w:rFonts w:ascii="Arial" w:hAnsi="Arial" w:cs="Arial"/>
          <w:b/>
          <w:bCs/>
          <w:lang w:bidi="en-US"/>
        </w:rPr>
      </w:pPr>
      <w:r w:rsidRPr="00C44973">
        <w:rPr>
          <w:rFonts w:ascii="Arial" w:hAnsi="Arial" w:cs="Arial"/>
          <w:b/>
          <w:bCs/>
          <w:lang w:bidi="en-US"/>
        </w:rPr>
        <w:t>Source: Author’s Computation, 2025</w:t>
      </w:r>
    </w:p>
    <w:p w14:paraId="6843CA6D" w14:textId="77777777" w:rsidR="00F91FFC" w:rsidRDefault="00F91FFC" w:rsidP="00C44973">
      <w:pPr>
        <w:pStyle w:val="Body"/>
        <w:spacing w:after="0"/>
        <w:rPr>
          <w:rFonts w:ascii="Arial" w:hAnsi="Arial" w:cs="Arial"/>
          <w:b/>
          <w:bCs/>
          <w:lang w:bidi="en-US"/>
        </w:rPr>
      </w:pPr>
    </w:p>
    <w:p w14:paraId="1D76EC79" w14:textId="68ED0774" w:rsidR="00C44973" w:rsidRDefault="00C44973" w:rsidP="00C44973">
      <w:pPr>
        <w:pStyle w:val="Body"/>
        <w:spacing w:after="0"/>
        <w:rPr>
          <w:rFonts w:ascii="Arial" w:hAnsi="Arial" w:cs="Arial"/>
          <w:b/>
          <w:bCs/>
          <w:sz w:val="22"/>
          <w:szCs w:val="22"/>
          <w:lang w:bidi="en-US"/>
        </w:rPr>
      </w:pPr>
      <w:r w:rsidRPr="00F91FFC">
        <w:rPr>
          <w:rFonts w:ascii="Arial" w:hAnsi="Arial" w:cs="Arial"/>
          <w:b/>
          <w:bCs/>
          <w:sz w:val="22"/>
          <w:szCs w:val="22"/>
          <w:lang w:bidi="en-US"/>
        </w:rPr>
        <w:t>4.4 Multi-collinearity Test</w:t>
      </w:r>
    </w:p>
    <w:p w14:paraId="0CFF794D" w14:textId="77777777" w:rsidR="00F91FFC" w:rsidRPr="00F91FFC" w:rsidRDefault="00F91FFC" w:rsidP="00C44973">
      <w:pPr>
        <w:pStyle w:val="Body"/>
        <w:spacing w:after="0"/>
        <w:rPr>
          <w:rFonts w:ascii="Arial" w:hAnsi="Arial" w:cs="Arial"/>
          <w:b/>
          <w:bCs/>
          <w:sz w:val="22"/>
          <w:szCs w:val="22"/>
          <w:lang w:bidi="en-US"/>
        </w:rPr>
      </w:pPr>
    </w:p>
    <w:p w14:paraId="765AAE34" w14:textId="3BE14308" w:rsidR="00C44973" w:rsidRPr="00C44973" w:rsidRDefault="00C44973" w:rsidP="00C44973">
      <w:pPr>
        <w:pStyle w:val="Body"/>
        <w:spacing w:after="0"/>
        <w:rPr>
          <w:rFonts w:ascii="Arial" w:hAnsi="Arial" w:cs="Arial"/>
          <w:lang w:bidi="en-US"/>
        </w:rPr>
      </w:pPr>
      <w:r w:rsidRPr="00C44973">
        <w:rPr>
          <w:rFonts w:ascii="Arial" w:hAnsi="Arial" w:cs="Arial"/>
          <w:lang w:bidi="en-US"/>
        </w:rPr>
        <w:t xml:space="preserve">Table </w:t>
      </w:r>
      <w:r w:rsidR="00175E60">
        <w:rPr>
          <w:rFonts w:ascii="Arial" w:hAnsi="Arial" w:cs="Arial"/>
          <w:lang w:bidi="en-US"/>
        </w:rPr>
        <w:t>4</w:t>
      </w:r>
      <w:r w:rsidRPr="00C44973">
        <w:rPr>
          <w:rFonts w:ascii="Arial" w:hAnsi="Arial" w:cs="Arial"/>
          <w:lang w:bidi="en-US"/>
        </w:rPr>
        <w:t xml:space="preserve"> presents the multicollinearity test results based on the Variance Inflation Factor (VIF). The centered VIF values for all explanatory variables: board director nationality (BNAT), board director reputational capital (BDRC), total greenhouse gas emissions (TGHGS), and renewable energy consumption (RENG), range between 1.02 and 1.10, well below the conventional threshold of 10. This indicates the absence of multicollinearity among </w:t>
      </w:r>
      <w:r w:rsidR="00EC2AAD" w:rsidRPr="00C44973">
        <w:rPr>
          <w:rFonts w:ascii="Arial" w:hAnsi="Arial" w:cs="Arial"/>
          <w:lang w:bidi="en-US"/>
        </w:rPr>
        <w:t>independent</w:t>
      </w:r>
      <w:r w:rsidRPr="00C44973">
        <w:rPr>
          <w:rFonts w:ascii="Arial" w:hAnsi="Arial" w:cs="Arial"/>
          <w:lang w:bidi="en-US"/>
        </w:rPr>
        <w:t xml:space="preserve"> variables. Hence, each variable contributes unique explanatory power to the model without overlapping effects. The low VIF values confirm that the model is statistically stable and that the estimated coefficients are reliable for inference. </w:t>
      </w:r>
    </w:p>
    <w:p w14:paraId="66D209F7" w14:textId="77777777" w:rsidR="00F91FFC" w:rsidRDefault="00F91FFC" w:rsidP="00C44973">
      <w:pPr>
        <w:pStyle w:val="Body"/>
        <w:rPr>
          <w:rFonts w:ascii="Arial" w:hAnsi="Arial" w:cs="Arial"/>
          <w:b/>
        </w:rPr>
      </w:pPr>
    </w:p>
    <w:p w14:paraId="0FD9EF57" w14:textId="3F40E6FC"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4</w:t>
      </w:r>
      <w:r w:rsidR="00F91FFC">
        <w:rPr>
          <w:rFonts w:ascii="Arial" w:hAnsi="Arial" w:cs="Arial"/>
          <w:b/>
        </w:rPr>
        <w:t>.</w:t>
      </w:r>
      <w:r w:rsidRPr="00C44973">
        <w:rPr>
          <w:rFonts w:ascii="Arial" w:hAnsi="Arial" w:cs="Arial"/>
          <w:b/>
        </w:rPr>
        <w:t xml:space="preserve"> Muli-collinearity Test Result</w:t>
      </w:r>
    </w:p>
    <w:tbl>
      <w:tblPr>
        <w:tblW w:w="4231" w:type="pct"/>
        <w:jc w:val="center"/>
        <w:tblLook w:val="04A0" w:firstRow="1" w:lastRow="0" w:firstColumn="1" w:lastColumn="0" w:noHBand="0" w:noVBand="1"/>
      </w:tblPr>
      <w:tblGrid>
        <w:gridCol w:w="551"/>
        <w:gridCol w:w="1106"/>
        <w:gridCol w:w="2231"/>
        <w:gridCol w:w="1712"/>
        <w:gridCol w:w="1528"/>
      </w:tblGrid>
      <w:tr w:rsidR="00F91FFC" w:rsidRPr="00C44973" w14:paraId="1755AEB0" w14:textId="77777777" w:rsidTr="00F91FFC">
        <w:trPr>
          <w:jc w:val="center"/>
        </w:trPr>
        <w:tc>
          <w:tcPr>
            <w:tcW w:w="386" w:type="pct"/>
            <w:tcBorders>
              <w:top w:val="single" w:sz="4" w:space="0" w:color="auto"/>
              <w:bottom w:val="single" w:sz="4" w:space="0" w:color="auto"/>
            </w:tcBorders>
          </w:tcPr>
          <w:p w14:paraId="36BF8631" w14:textId="77777777" w:rsidR="00C44973" w:rsidRPr="00C44973" w:rsidRDefault="00C44973" w:rsidP="00F91FFC">
            <w:pPr>
              <w:pStyle w:val="Body"/>
              <w:spacing w:after="0"/>
              <w:rPr>
                <w:rFonts w:ascii="Arial" w:hAnsi="Arial" w:cs="Arial"/>
                <w:b/>
              </w:rPr>
            </w:pPr>
            <w:r w:rsidRPr="00C44973">
              <w:rPr>
                <w:rFonts w:ascii="Arial" w:hAnsi="Arial" w:cs="Arial"/>
                <w:b/>
              </w:rPr>
              <w:t>S/N</w:t>
            </w:r>
          </w:p>
        </w:tc>
        <w:tc>
          <w:tcPr>
            <w:tcW w:w="776" w:type="pct"/>
            <w:tcBorders>
              <w:top w:val="single" w:sz="4" w:space="0" w:color="auto"/>
              <w:bottom w:val="single" w:sz="4" w:space="0" w:color="auto"/>
            </w:tcBorders>
          </w:tcPr>
          <w:p w14:paraId="6C8BD85F" w14:textId="77777777" w:rsidR="00C44973" w:rsidRPr="00C44973" w:rsidRDefault="00C44973" w:rsidP="00F91FFC">
            <w:pPr>
              <w:pStyle w:val="Body"/>
              <w:spacing w:after="0"/>
              <w:rPr>
                <w:rFonts w:ascii="Arial" w:hAnsi="Arial" w:cs="Arial"/>
                <w:b/>
              </w:rPr>
            </w:pPr>
            <w:r w:rsidRPr="00C44973">
              <w:rPr>
                <w:rFonts w:ascii="Arial" w:hAnsi="Arial" w:cs="Arial"/>
                <w:b/>
              </w:rPr>
              <w:t>Variables</w:t>
            </w:r>
          </w:p>
        </w:tc>
        <w:tc>
          <w:tcPr>
            <w:tcW w:w="1565" w:type="pct"/>
            <w:tcBorders>
              <w:top w:val="single" w:sz="4" w:space="0" w:color="auto"/>
              <w:bottom w:val="single" w:sz="4" w:space="0" w:color="auto"/>
            </w:tcBorders>
          </w:tcPr>
          <w:p w14:paraId="4BF894CB" w14:textId="77777777" w:rsidR="00C44973" w:rsidRPr="00C44973" w:rsidRDefault="00C44973" w:rsidP="00F91FFC">
            <w:pPr>
              <w:pStyle w:val="Body"/>
              <w:spacing w:after="0"/>
              <w:rPr>
                <w:rFonts w:ascii="Arial" w:hAnsi="Arial" w:cs="Arial"/>
                <w:b/>
                <w:bCs/>
              </w:rPr>
            </w:pPr>
            <w:r w:rsidRPr="00C44973">
              <w:rPr>
                <w:rFonts w:ascii="Arial" w:hAnsi="Arial" w:cs="Arial"/>
                <w:b/>
                <w:bCs/>
              </w:rPr>
              <w:t>Coefficient Variance</w:t>
            </w:r>
          </w:p>
        </w:tc>
        <w:tc>
          <w:tcPr>
            <w:tcW w:w="1201" w:type="pct"/>
            <w:tcBorders>
              <w:top w:val="single" w:sz="4" w:space="0" w:color="auto"/>
              <w:bottom w:val="single" w:sz="4" w:space="0" w:color="auto"/>
            </w:tcBorders>
          </w:tcPr>
          <w:p w14:paraId="1A711953" w14:textId="77777777" w:rsidR="00C44973" w:rsidRPr="00C44973" w:rsidRDefault="00C44973" w:rsidP="00F91FFC">
            <w:pPr>
              <w:pStyle w:val="Body"/>
              <w:spacing w:after="0"/>
              <w:rPr>
                <w:rFonts w:ascii="Arial" w:hAnsi="Arial" w:cs="Arial"/>
                <w:b/>
                <w:bCs/>
              </w:rPr>
            </w:pPr>
            <w:r w:rsidRPr="00C44973">
              <w:rPr>
                <w:rFonts w:ascii="Arial" w:hAnsi="Arial" w:cs="Arial"/>
                <w:b/>
                <w:bCs/>
              </w:rPr>
              <w:t>Uncentered VIF</w:t>
            </w:r>
          </w:p>
        </w:tc>
        <w:tc>
          <w:tcPr>
            <w:tcW w:w="1073" w:type="pct"/>
            <w:tcBorders>
              <w:top w:val="single" w:sz="4" w:space="0" w:color="auto"/>
              <w:bottom w:val="single" w:sz="4" w:space="0" w:color="auto"/>
            </w:tcBorders>
          </w:tcPr>
          <w:p w14:paraId="7FE53601" w14:textId="77777777" w:rsidR="00C44973" w:rsidRPr="00C44973" w:rsidRDefault="00C44973" w:rsidP="00F91FFC">
            <w:pPr>
              <w:pStyle w:val="Body"/>
              <w:spacing w:after="0"/>
              <w:rPr>
                <w:rFonts w:ascii="Arial" w:hAnsi="Arial" w:cs="Arial"/>
                <w:b/>
              </w:rPr>
            </w:pPr>
            <w:r w:rsidRPr="00C44973">
              <w:rPr>
                <w:rFonts w:ascii="Arial" w:hAnsi="Arial" w:cs="Arial"/>
                <w:b/>
              </w:rPr>
              <w:t xml:space="preserve">Centered VIF </w:t>
            </w:r>
          </w:p>
        </w:tc>
      </w:tr>
      <w:tr w:rsidR="00F91FFC" w:rsidRPr="00C44973" w14:paraId="32F92036" w14:textId="77777777" w:rsidTr="00F91FFC">
        <w:trPr>
          <w:jc w:val="center"/>
        </w:trPr>
        <w:tc>
          <w:tcPr>
            <w:tcW w:w="386" w:type="pct"/>
            <w:tcBorders>
              <w:top w:val="single" w:sz="4" w:space="0" w:color="auto"/>
            </w:tcBorders>
          </w:tcPr>
          <w:p w14:paraId="4D1B662F" w14:textId="77777777" w:rsidR="00C44973" w:rsidRPr="00C44973" w:rsidRDefault="00C44973" w:rsidP="00F91FFC">
            <w:pPr>
              <w:pStyle w:val="Body"/>
              <w:spacing w:after="0"/>
              <w:rPr>
                <w:rFonts w:ascii="Arial" w:hAnsi="Arial" w:cs="Arial"/>
              </w:rPr>
            </w:pPr>
            <w:r w:rsidRPr="00C44973">
              <w:rPr>
                <w:rFonts w:ascii="Arial" w:hAnsi="Arial" w:cs="Arial"/>
              </w:rPr>
              <w:t xml:space="preserve">1. </w:t>
            </w:r>
          </w:p>
        </w:tc>
        <w:tc>
          <w:tcPr>
            <w:tcW w:w="776" w:type="pct"/>
            <w:tcBorders>
              <w:top w:val="single" w:sz="4" w:space="0" w:color="auto"/>
            </w:tcBorders>
          </w:tcPr>
          <w:p w14:paraId="2F2C0785" w14:textId="77777777" w:rsidR="00C44973" w:rsidRPr="00C44973" w:rsidRDefault="00C44973" w:rsidP="00F91FFC">
            <w:pPr>
              <w:pStyle w:val="Body"/>
              <w:spacing w:after="0"/>
              <w:rPr>
                <w:rFonts w:ascii="Arial" w:hAnsi="Arial" w:cs="Arial"/>
              </w:rPr>
            </w:pPr>
            <w:r w:rsidRPr="00C44973">
              <w:rPr>
                <w:rFonts w:ascii="Arial" w:hAnsi="Arial" w:cs="Arial"/>
              </w:rPr>
              <w:t>BNAT</w:t>
            </w:r>
          </w:p>
        </w:tc>
        <w:tc>
          <w:tcPr>
            <w:tcW w:w="1565" w:type="pct"/>
            <w:tcBorders>
              <w:top w:val="single" w:sz="4" w:space="0" w:color="auto"/>
            </w:tcBorders>
            <w:vAlign w:val="bottom"/>
          </w:tcPr>
          <w:p w14:paraId="4729491D" w14:textId="367646FE" w:rsidR="00C44973" w:rsidRPr="00C44973" w:rsidRDefault="00C44973" w:rsidP="00F91FFC">
            <w:pPr>
              <w:pStyle w:val="Body"/>
              <w:spacing w:after="0"/>
              <w:jc w:val="left"/>
              <w:rPr>
                <w:rFonts w:ascii="Arial" w:hAnsi="Arial" w:cs="Arial"/>
              </w:rPr>
            </w:pPr>
            <w:r w:rsidRPr="00C44973">
              <w:rPr>
                <w:rFonts w:ascii="Arial" w:hAnsi="Arial" w:cs="Arial"/>
              </w:rPr>
              <w:t>293.74</w:t>
            </w:r>
          </w:p>
        </w:tc>
        <w:tc>
          <w:tcPr>
            <w:tcW w:w="1201" w:type="pct"/>
            <w:tcBorders>
              <w:top w:val="single" w:sz="4" w:space="0" w:color="auto"/>
            </w:tcBorders>
          </w:tcPr>
          <w:p w14:paraId="15E6C889" w14:textId="739501E3" w:rsidR="00C44973" w:rsidRPr="00C44973" w:rsidRDefault="00C44973" w:rsidP="00F91FFC">
            <w:pPr>
              <w:pStyle w:val="Body"/>
              <w:spacing w:after="0"/>
              <w:jc w:val="left"/>
              <w:rPr>
                <w:rFonts w:ascii="Arial" w:hAnsi="Arial" w:cs="Arial"/>
              </w:rPr>
            </w:pPr>
            <w:r w:rsidRPr="00C44973">
              <w:rPr>
                <w:rFonts w:ascii="Arial" w:hAnsi="Arial" w:cs="Arial"/>
              </w:rPr>
              <w:t>3.046</w:t>
            </w:r>
          </w:p>
        </w:tc>
        <w:tc>
          <w:tcPr>
            <w:tcW w:w="1073" w:type="pct"/>
            <w:tcBorders>
              <w:top w:val="single" w:sz="4" w:space="0" w:color="auto"/>
            </w:tcBorders>
          </w:tcPr>
          <w:p w14:paraId="51A7F1EE" w14:textId="25295490" w:rsidR="00C44973" w:rsidRPr="00C44973" w:rsidRDefault="00C44973" w:rsidP="00F91FFC">
            <w:pPr>
              <w:pStyle w:val="Body"/>
              <w:spacing w:after="0"/>
              <w:jc w:val="left"/>
              <w:rPr>
                <w:rFonts w:ascii="Arial" w:hAnsi="Arial" w:cs="Arial"/>
              </w:rPr>
            </w:pPr>
            <w:r w:rsidRPr="00C44973">
              <w:rPr>
                <w:rFonts w:ascii="Arial" w:hAnsi="Arial" w:cs="Arial"/>
              </w:rPr>
              <w:t>1.041</w:t>
            </w:r>
          </w:p>
        </w:tc>
      </w:tr>
      <w:tr w:rsidR="00F91FFC" w:rsidRPr="00C44973" w14:paraId="0A56A781" w14:textId="77777777" w:rsidTr="00F91FFC">
        <w:trPr>
          <w:jc w:val="center"/>
        </w:trPr>
        <w:tc>
          <w:tcPr>
            <w:tcW w:w="386" w:type="pct"/>
          </w:tcPr>
          <w:p w14:paraId="1A558EE9" w14:textId="77777777" w:rsidR="00C44973" w:rsidRPr="00C44973" w:rsidRDefault="00C44973" w:rsidP="00F91FFC">
            <w:pPr>
              <w:pStyle w:val="Body"/>
              <w:spacing w:after="0"/>
              <w:rPr>
                <w:rFonts w:ascii="Arial" w:hAnsi="Arial" w:cs="Arial"/>
              </w:rPr>
            </w:pPr>
            <w:r w:rsidRPr="00C44973">
              <w:rPr>
                <w:rFonts w:ascii="Arial" w:hAnsi="Arial" w:cs="Arial"/>
              </w:rPr>
              <w:t>2</w:t>
            </w:r>
          </w:p>
        </w:tc>
        <w:tc>
          <w:tcPr>
            <w:tcW w:w="776" w:type="pct"/>
          </w:tcPr>
          <w:p w14:paraId="5F584B92" w14:textId="77777777" w:rsidR="00C44973" w:rsidRPr="00C44973" w:rsidRDefault="00C44973" w:rsidP="00F91FFC">
            <w:pPr>
              <w:pStyle w:val="Body"/>
              <w:spacing w:after="0"/>
              <w:rPr>
                <w:rFonts w:ascii="Arial" w:hAnsi="Arial" w:cs="Arial"/>
              </w:rPr>
            </w:pPr>
            <w:r w:rsidRPr="00C44973">
              <w:rPr>
                <w:rFonts w:ascii="Arial" w:hAnsi="Arial" w:cs="Arial"/>
              </w:rPr>
              <w:t>BDRC</w:t>
            </w:r>
          </w:p>
        </w:tc>
        <w:tc>
          <w:tcPr>
            <w:tcW w:w="1565" w:type="pct"/>
            <w:vAlign w:val="bottom"/>
          </w:tcPr>
          <w:p w14:paraId="59581274" w14:textId="728E5CE8" w:rsidR="00C44973" w:rsidRPr="00C44973" w:rsidRDefault="00C44973" w:rsidP="00F91FFC">
            <w:pPr>
              <w:pStyle w:val="Body"/>
              <w:spacing w:after="0"/>
              <w:jc w:val="left"/>
              <w:rPr>
                <w:rFonts w:ascii="Arial" w:hAnsi="Arial" w:cs="Arial"/>
              </w:rPr>
            </w:pPr>
            <w:r w:rsidRPr="00C44973">
              <w:rPr>
                <w:rFonts w:ascii="Arial" w:hAnsi="Arial" w:cs="Arial"/>
              </w:rPr>
              <w:t>120.00</w:t>
            </w:r>
          </w:p>
        </w:tc>
        <w:tc>
          <w:tcPr>
            <w:tcW w:w="1201" w:type="pct"/>
          </w:tcPr>
          <w:p w14:paraId="22C8D3FE" w14:textId="7B8334FF" w:rsidR="00C44973" w:rsidRPr="00C44973" w:rsidRDefault="00C44973" w:rsidP="00F91FFC">
            <w:pPr>
              <w:pStyle w:val="Body"/>
              <w:spacing w:after="0"/>
              <w:jc w:val="left"/>
              <w:rPr>
                <w:rFonts w:ascii="Arial" w:hAnsi="Arial" w:cs="Arial"/>
              </w:rPr>
            </w:pPr>
            <w:r w:rsidRPr="00C44973">
              <w:rPr>
                <w:rFonts w:ascii="Arial" w:hAnsi="Arial" w:cs="Arial"/>
              </w:rPr>
              <w:t>7.562</w:t>
            </w:r>
          </w:p>
        </w:tc>
        <w:tc>
          <w:tcPr>
            <w:tcW w:w="1073" w:type="pct"/>
          </w:tcPr>
          <w:p w14:paraId="0D7987AD" w14:textId="2754ED84" w:rsidR="00C44973" w:rsidRPr="00C44973" w:rsidRDefault="00C44973" w:rsidP="00F91FFC">
            <w:pPr>
              <w:pStyle w:val="Body"/>
              <w:spacing w:after="0"/>
              <w:jc w:val="left"/>
              <w:rPr>
                <w:rFonts w:ascii="Arial" w:hAnsi="Arial" w:cs="Arial"/>
              </w:rPr>
            </w:pPr>
            <w:r w:rsidRPr="00C44973">
              <w:rPr>
                <w:rFonts w:ascii="Arial" w:hAnsi="Arial" w:cs="Arial"/>
              </w:rPr>
              <w:t>1.023</w:t>
            </w:r>
          </w:p>
        </w:tc>
      </w:tr>
      <w:tr w:rsidR="00F91FFC" w:rsidRPr="00C44973" w14:paraId="3A79EB8D" w14:textId="77777777" w:rsidTr="00F91FFC">
        <w:trPr>
          <w:jc w:val="center"/>
        </w:trPr>
        <w:tc>
          <w:tcPr>
            <w:tcW w:w="386" w:type="pct"/>
          </w:tcPr>
          <w:p w14:paraId="3964C76C" w14:textId="77777777" w:rsidR="00C44973" w:rsidRPr="00C44973" w:rsidRDefault="00C44973" w:rsidP="00F91FFC">
            <w:pPr>
              <w:pStyle w:val="Body"/>
              <w:spacing w:after="0"/>
              <w:rPr>
                <w:rFonts w:ascii="Arial" w:hAnsi="Arial" w:cs="Arial"/>
              </w:rPr>
            </w:pPr>
            <w:r w:rsidRPr="00C44973">
              <w:rPr>
                <w:rFonts w:ascii="Arial" w:hAnsi="Arial" w:cs="Arial"/>
              </w:rPr>
              <w:t>3</w:t>
            </w:r>
          </w:p>
        </w:tc>
        <w:tc>
          <w:tcPr>
            <w:tcW w:w="776" w:type="pct"/>
          </w:tcPr>
          <w:p w14:paraId="6A433F9E" w14:textId="77777777" w:rsidR="00C44973" w:rsidRPr="00C44973" w:rsidRDefault="00C44973" w:rsidP="00F91FFC">
            <w:pPr>
              <w:pStyle w:val="Body"/>
              <w:spacing w:after="0"/>
              <w:rPr>
                <w:rFonts w:ascii="Arial" w:hAnsi="Arial" w:cs="Arial"/>
              </w:rPr>
            </w:pPr>
            <w:r w:rsidRPr="00C44973">
              <w:rPr>
                <w:rFonts w:ascii="Arial" w:hAnsi="Arial" w:cs="Arial"/>
              </w:rPr>
              <w:t>TGHGS</w:t>
            </w:r>
          </w:p>
        </w:tc>
        <w:tc>
          <w:tcPr>
            <w:tcW w:w="1565" w:type="pct"/>
          </w:tcPr>
          <w:p w14:paraId="30EC71E2" w14:textId="77777777" w:rsidR="00C44973" w:rsidRPr="00C44973" w:rsidRDefault="00C44973" w:rsidP="00F91FFC">
            <w:pPr>
              <w:pStyle w:val="Body"/>
              <w:spacing w:after="0"/>
              <w:jc w:val="left"/>
              <w:rPr>
                <w:rFonts w:ascii="Arial" w:hAnsi="Arial" w:cs="Arial"/>
              </w:rPr>
            </w:pPr>
            <w:r w:rsidRPr="00C44973">
              <w:rPr>
                <w:rFonts w:ascii="Arial" w:hAnsi="Arial" w:cs="Arial"/>
              </w:rPr>
              <w:t>43712</w:t>
            </w:r>
          </w:p>
        </w:tc>
        <w:tc>
          <w:tcPr>
            <w:tcW w:w="1201" w:type="pct"/>
            <w:vAlign w:val="bottom"/>
          </w:tcPr>
          <w:p w14:paraId="79D9AAA3" w14:textId="234DD222" w:rsidR="00C44973" w:rsidRPr="00C44973" w:rsidRDefault="00C44973" w:rsidP="00F91FFC">
            <w:pPr>
              <w:pStyle w:val="Body"/>
              <w:spacing w:after="0"/>
              <w:jc w:val="left"/>
              <w:rPr>
                <w:rFonts w:ascii="Arial" w:hAnsi="Arial" w:cs="Arial"/>
              </w:rPr>
            </w:pPr>
            <w:r w:rsidRPr="00C44973">
              <w:rPr>
                <w:rFonts w:ascii="Arial" w:hAnsi="Arial" w:cs="Arial"/>
              </w:rPr>
              <w:t>6.854</w:t>
            </w:r>
          </w:p>
        </w:tc>
        <w:tc>
          <w:tcPr>
            <w:tcW w:w="1073" w:type="pct"/>
          </w:tcPr>
          <w:p w14:paraId="2E74309E" w14:textId="0028B64D" w:rsidR="00C44973" w:rsidRPr="00C44973" w:rsidRDefault="00C44973" w:rsidP="00F91FFC">
            <w:pPr>
              <w:pStyle w:val="Body"/>
              <w:spacing w:after="0"/>
              <w:jc w:val="left"/>
              <w:rPr>
                <w:rFonts w:ascii="Arial" w:hAnsi="Arial" w:cs="Arial"/>
              </w:rPr>
            </w:pPr>
            <w:r w:rsidRPr="00C44973">
              <w:rPr>
                <w:rFonts w:ascii="Arial" w:hAnsi="Arial" w:cs="Arial"/>
              </w:rPr>
              <w:t>1.078</w:t>
            </w:r>
          </w:p>
        </w:tc>
      </w:tr>
      <w:tr w:rsidR="00F91FFC" w:rsidRPr="00C44973" w14:paraId="0BF5F550" w14:textId="77777777" w:rsidTr="00F91FFC">
        <w:trPr>
          <w:jc w:val="center"/>
        </w:trPr>
        <w:tc>
          <w:tcPr>
            <w:tcW w:w="386" w:type="pct"/>
            <w:tcBorders>
              <w:bottom w:val="single" w:sz="4" w:space="0" w:color="auto"/>
            </w:tcBorders>
          </w:tcPr>
          <w:p w14:paraId="724E4501" w14:textId="77777777" w:rsidR="00C44973" w:rsidRPr="00C44973" w:rsidRDefault="00C44973" w:rsidP="00F91FFC">
            <w:pPr>
              <w:pStyle w:val="Body"/>
              <w:spacing w:after="0"/>
              <w:rPr>
                <w:rFonts w:ascii="Arial" w:hAnsi="Arial" w:cs="Arial"/>
              </w:rPr>
            </w:pPr>
            <w:r w:rsidRPr="00C44973">
              <w:rPr>
                <w:rFonts w:ascii="Arial" w:hAnsi="Arial" w:cs="Arial"/>
              </w:rPr>
              <w:t>4</w:t>
            </w:r>
          </w:p>
        </w:tc>
        <w:tc>
          <w:tcPr>
            <w:tcW w:w="776" w:type="pct"/>
            <w:tcBorders>
              <w:bottom w:val="single" w:sz="4" w:space="0" w:color="auto"/>
            </w:tcBorders>
          </w:tcPr>
          <w:p w14:paraId="3FBA2DD3" w14:textId="77777777" w:rsidR="00C44973" w:rsidRPr="00C44973" w:rsidRDefault="00C44973" w:rsidP="00F91FFC">
            <w:pPr>
              <w:pStyle w:val="Body"/>
              <w:spacing w:after="0"/>
              <w:rPr>
                <w:rFonts w:ascii="Arial" w:hAnsi="Arial" w:cs="Arial"/>
              </w:rPr>
            </w:pPr>
            <w:r w:rsidRPr="00C44973">
              <w:rPr>
                <w:rFonts w:ascii="Arial" w:hAnsi="Arial" w:cs="Arial"/>
              </w:rPr>
              <w:t>RENG</w:t>
            </w:r>
          </w:p>
        </w:tc>
        <w:tc>
          <w:tcPr>
            <w:tcW w:w="1565" w:type="pct"/>
            <w:tcBorders>
              <w:bottom w:val="single" w:sz="4" w:space="0" w:color="auto"/>
            </w:tcBorders>
          </w:tcPr>
          <w:p w14:paraId="647CD83C" w14:textId="77777777" w:rsidR="00C44973" w:rsidRPr="00C44973" w:rsidRDefault="00C44973" w:rsidP="00F91FFC">
            <w:pPr>
              <w:pStyle w:val="Body"/>
              <w:spacing w:after="0"/>
              <w:jc w:val="left"/>
              <w:rPr>
                <w:rFonts w:ascii="Arial" w:hAnsi="Arial" w:cs="Arial"/>
              </w:rPr>
            </w:pPr>
            <w:r w:rsidRPr="00C44973">
              <w:rPr>
                <w:rFonts w:ascii="Arial" w:hAnsi="Arial" w:cs="Arial"/>
              </w:rPr>
              <w:t>2.4240</w:t>
            </w:r>
          </w:p>
        </w:tc>
        <w:tc>
          <w:tcPr>
            <w:tcW w:w="1201" w:type="pct"/>
            <w:tcBorders>
              <w:bottom w:val="single" w:sz="4" w:space="0" w:color="auto"/>
            </w:tcBorders>
            <w:vAlign w:val="bottom"/>
          </w:tcPr>
          <w:p w14:paraId="248054CF" w14:textId="5FD02E71" w:rsidR="00C44973" w:rsidRPr="00C44973" w:rsidRDefault="00C44973" w:rsidP="00F91FFC">
            <w:pPr>
              <w:pStyle w:val="Body"/>
              <w:spacing w:after="0"/>
              <w:jc w:val="left"/>
              <w:rPr>
                <w:rFonts w:ascii="Arial" w:hAnsi="Arial" w:cs="Arial"/>
              </w:rPr>
            </w:pPr>
            <w:r w:rsidRPr="00C44973">
              <w:rPr>
                <w:rFonts w:ascii="Arial" w:hAnsi="Arial" w:cs="Arial"/>
              </w:rPr>
              <w:t>1.785</w:t>
            </w:r>
          </w:p>
        </w:tc>
        <w:tc>
          <w:tcPr>
            <w:tcW w:w="1073" w:type="pct"/>
            <w:tcBorders>
              <w:bottom w:val="single" w:sz="4" w:space="0" w:color="auto"/>
            </w:tcBorders>
          </w:tcPr>
          <w:p w14:paraId="6A4248F6" w14:textId="63334CA5" w:rsidR="00C44973" w:rsidRPr="00C44973" w:rsidRDefault="00C44973" w:rsidP="00F91FFC">
            <w:pPr>
              <w:pStyle w:val="Body"/>
              <w:spacing w:after="0"/>
              <w:jc w:val="left"/>
              <w:rPr>
                <w:rFonts w:ascii="Arial" w:hAnsi="Arial" w:cs="Arial"/>
              </w:rPr>
            </w:pPr>
            <w:r w:rsidRPr="00C44973">
              <w:rPr>
                <w:rFonts w:ascii="Arial" w:hAnsi="Arial" w:cs="Arial"/>
              </w:rPr>
              <w:t>1.101</w:t>
            </w:r>
          </w:p>
        </w:tc>
      </w:tr>
    </w:tbl>
    <w:p w14:paraId="75D0BFC6" w14:textId="76CEDAFF" w:rsidR="00C44973" w:rsidRPr="00C44973" w:rsidRDefault="00C44973" w:rsidP="00F91FFC">
      <w:pPr>
        <w:pStyle w:val="Body"/>
        <w:spacing w:after="0"/>
        <w:jc w:val="center"/>
        <w:rPr>
          <w:rFonts w:ascii="Arial" w:hAnsi="Arial" w:cs="Arial"/>
          <w:b/>
          <w:bCs/>
          <w:lang w:bidi="en-US"/>
        </w:rPr>
      </w:pPr>
      <w:r w:rsidRPr="00C44973">
        <w:rPr>
          <w:rFonts w:ascii="Arial" w:hAnsi="Arial" w:cs="Arial"/>
          <w:b/>
          <w:bCs/>
          <w:lang w:bidi="en-US"/>
        </w:rPr>
        <w:t>Source: Computed from E-view 13 Software, 2025</w:t>
      </w:r>
    </w:p>
    <w:p w14:paraId="0FE5A820" w14:textId="77777777" w:rsidR="00F91FFC" w:rsidRDefault="00F91FFC" w:rsidP="00C44973">
      <w:pPr>
        <w:pStyle w:val="Body"/>
        <w:spacing w:after="0"/>
        <w:rPr>
          <w:rFonts w:ascii="Arial" w:hAnsi="Arial" w:cs="Arial"/>
          <w:b/>
          <w:bCs/>
          <w:lang w:bidi="en-US"/>
        </w:rPr>
      </w:pPr>
    </w:p>
    <w:p w14:paraId="6459F43B" w14:textId="79FD9262" w:rsidR="00C44973" w:rsidRPr="00F91FFC" w:rsidRDefault="00C44973" w:rsidP="00C44973">
      <w:pPr>
        <w:pStyle w:val="Body"/>
        <w:spacing w:after="0"/>
        <w:rPr>
          <w:rFonts w:ascii="Arial" w:hAnsi="Arial" w:cs="Arial"/>
          <w:b/>
          <w:bCs/>
          <w:sz w:val="22"/>
          <w:szCs w:val="22"/>
          <w:lang w:bidi="en-US"/>
        </w:rPr>
      </w:pPr>
      <w:r w:rsidRPr="00F91FFC">
        <w:rPr>
          <w:rFonts w:ascii="Arial" w:hAnsi="Arial" w:cs="Arial"/>
          <w:b/>
          <w:bCs/>
          <w:sz w:val="22"/>
          <w:szCs w:val="22"/>
          <w:lang w:bidi="en-US"/>
        </w:rPr>
        <w:t>4.5 Heteroscedasticity Test Results</w:t>
      </w:r>
    </w:p>
    <w:p w14:paraId="1E18A559" w14:textId="77777777" w:rsidR="00F91FFC" w:rsidRPr="00C44973" w:rsidRDefault="00F91FFC" w:rsidP="00C44973">
      <w:pPr>
        <w:pStyle w:val="Body"/>
        <w:spacing w:after="0"/>
        <w:rPr>
          <w:rFonts w:ascii="Arial" w:hAnsi="Arial" w:cs="Arial"/>
          <w:b/>
          <w:bCs/>
          <w:lang w:bidi="en-US"/>
        </w:rPr>
      </w:pPr>
    </w:p>
    <w:p w14:paraId="69FB6B73" w14:textId="03D290EA" w:rsidR="00C44973" w:rsidRDefault="00C44973" w:rsidP="00C44973">
      <w:pPr>
        <w:pStyle w:val="Body"/>
        <w:spacing w:after="0"/>
        <w:rPr>
          <w:rFonts w:ascii="Arial" w:hAnsi="Arial" w:cs="Arial"/>
          <w:lang w:bidi="en-US"/>
        </w:rPr>
      </w:pPr>
      <w:r w:rsidRPr="00C44973">
        <w:rPr>
          <w:rFonts w:ascii="Arial" w:hAnsi="Arial" w:cs="Arial"/>
          <w:lang w:bidi="en-US"/>
        </w:rPr>
        <w:t xml:space="preserve">The heteroscedasticity test result in Table </w:t>
      </w:r>
      <w:r w:rsidR="00175E60">
        <w:rPr>
          <w:rFonts w:ascii="Arial" w:hAnsi="Arial" w:cs="Arial"/>
          <w:lang w:bidi="en-US"/>
        </w:rPr>
        <w:t>5</w:t>
      </w:r>
      <w:r w:rsidRPr="00C44973">
        <w:rPr>
          <w:rFonts w:ascii="Arial" w:hAnsi="Arial" w:cs="Arial"/>
          <w:lang w:bidi="en-US"/>
        </w:rPr>
        <w:t xml:space="preserve"> shows an F-</w:t>
      </w:r>
      <w:proofErr w:type="spellStart"/>
      <w:r w:rsidRPr="00C44973">
        <w:rPr>
          <w:rFonts w:ascii="Arial" w:hAnsi="Arial" w:cs="Arial"/>
          <w:lang w:bidi="en-US"/>
        </w:rPr>
        <w:t>statistic</w:t>
      </w:r>
      <w:proofErr w:type="spellEnd"/>
      <w:r w:rsidRPr="00C44973">
        <w:rPr>
          <w:rFonts w:ascii="Arial" w:hAnsi="Arial" w:cs="Arial"/>
          <w:lang w:bidi="en-US"/>
        </w:rPr>
        <w:t xml:space="preserve"> probability value of .0739 and an </w:t>
      </w:r>
      <w:proofErr w:type="spellStart"/>
      <w:r w:rsidRPr="00C44973">
        <w:rPr>
          <w:rFonts w:ascii="Arial" w:hAnsi="Arial" w:cs="Arial"/>
          <w:lang w:bidi="en-US"/>
        </w:rPr>
        <w:t>Obs</w:t>
      </w:r>
      <w:proofErr w:type="spellEnd"/>
      <w:r w:rsidRPr="00C44973">
        <w:rPr>
          <w:rFonts w:ascii="Arial" w:hAnsi="Arial" w:cs="Arial"/>
          <w:lang w:bidi="en-US"/>
        </w:rPr>
        <w:t xml:space="preserve">*R-squared probability of .0015. While the F-statistic indicates mild evidence of variance instability, the significant Chi-square probability suggests the presence of heteroscedasticity in the model. Given this outcome, robust estimation techniques such as the System GMM were employed to correct for heteroscedasticity and produce consistent standard errors. From a Stakeholder Theory standpoint, the variability in firms’ disclosure </w:t>
      </w:r>
      <w:proofErr w:type="spellStart"/>
      <w:r w:rsidRPr="00C44973">
        <w:rPr>
          <w:rFonts w:ascii="Arial" w:hAnsi="Arial" w:cs="Arial"/>
          <w:lang w:bidi="en-US"/>
        </w:rPr>
        <w:t>behaviour</w:t>
      </w:r>
      <w:proofErr w:type="spellEnd"/>
      <w:r w:rsidRPr="00C44973">
        <w:rPr>
          <w:rFonts w:ascii="Arial" w:hAnsi="Arial" w:cs="Arial"/>
          <w:lang w:bidi="en-US"/>
        </w:rPr>
        <w:t xml:space="preserve"> could reflect differing levels of responsiveness to stakeholder pressure and governance quality across the insurance industry. Correcting for heteroscedasticity therefore ensures that the analysis accurately captures these firm-specific dynamics in sustainability reporting practices.</w:t>
      </w:r>
    </w:p>
    <w:p w14:paraId="1188E72B" w14:textId="77777777" w:rsidR="00334345" w:rsidRDefault="00334345" w:rsidP="00C44973">
      <w:pPr>
        <w:pStyle w:val="Body"/>
        <w:spacing w:after="0"/>
        <w:rPr>
          <w:rFonts w:ascii="Arial" w:hAnsi="Arial" w:cs="Arial"/>
          <w:lang w:bidi="en-US"/>
        </w:rPr>
      </w:pPr>
    </w:p>
    <w:p w14:paraId="7B8ADE38" w14:textId="77777777" w:rsidR="00334345" w:rsidRDefault="00334345" w:rsidP="00C44973">
      <w:pPr>
        <w:pStyle w:val="Body"/>
        <w:spacing w:after="0"/>
        <w:rPr>
          <w:rFonts w:ascii="Arial" w:hAnsi="Arial" w:cs="Arial"/>
          <w:lang w:bidi="en-US"/>
        </w:rPr>
      </w:pPr>
    </w:p>
    <w:p w14:paraId="6D5609D2" w14:textId="3A26AC70"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5</w:t>
      </w:r>
      <w:r w:rsidR="0076679D">
        <w:rPr>
          <w:rFonts w:ascii="Arial" w:hAnsi="Arial" w:cs="Arial"/>
          <w:b/>
        </w:rPr>
        <w:t>.</w:t>
      </w:r>
      <w:r w:rsidRPr="00C44973">
        <w:rPr>
          <w:rFonts w:ascii="Arial" w:hAnsi="Arial" w:cs="Arial"/>
          <w:b/>
        </w:rPr>
        <w:t xml:space="preserve"> Heteroscedasticity Test Result</w:t>
      </w:r>
    </w:p>
    <w:tbl>
      <w:tblPr>
        <w:tblW w:w="3318" w:type="pct"/>
        <w:jc w:val="center"/>
        <w:tblLook w:val="04A0" w:firstRow="1" w:lastRow="0" w:firstColumn="1" w:lastColumn="0" w:noHBand="0" w:noVBand="1"/>
      </w:tblPr>
      <w:tblGrid>
        <w:gridCol w:w="2994"/>
        <w:gridCol w:w="2596"/>
      </w:tblGrid>
      <w:tr w:rsidR="00C44973" w:rsidRPr="00C44973" w14:paraId="4B8FFBF0" w14:textId="77777777" w:rsidTr="0076679D">
        <w:trPr>
          <w:jc w:val="center"/>
        </w:trPr>
        <w:tc>
          <w:tcPr>
            <w:tcW w:w="2678" w:type="pct"/>
            <w:tcBorders>
              <w:top w:val="single" w:sz="4" w:space="0" w:color="auto"/>
              <w:bottom w:val="single" w:sz="4" w:space="0" w:color="auto"/>
            </w:tcBorders>
          </w:tcPr>
          <w:p w14:paraId="18C39E79" w14:textId="77777777" w:rsidR="00C44973" w:rsidRPr="00C44973" w:rsidRDefault="00C44973" w:rsidP="0076679D">
            <w:pPr>
              <w:pStyle w:val="Body"/>
              <w:spacing w:after="0"/>
              <w:rPr>
                <w:rFonts w:ascii="Arial" w:hAnsi="Arial" w:cs="Arial"/>
                <w:b/>
                <w:bCs/>
              </w:rPr>
            </w:pPr>
            <w:r w:rsidRPr="00C44973">
              <w:rPr>
                <w:rFonts w:ascii="Arial" w:hAnsi="Arial" w:cs="Arial"/>
              </w:rPr>
              <w:t>F-statistic</w:t>
            </w:r>
          </w:p>
        </w:tc>
        <w:tc>
          <w:tcPr>
            <w:tcW w:w="2322" w:type="pct"/>
            <w:tcBorders>
              <w:top w:val="single" w:sz="4" w:space="0" w:color="auto"/>
              <w:bottom w:val="single" w:sz="4" w:space="0" w:color="auto"/>
            </w:tcBorders>
          </w:tcPr>
          <w:p w14:paraId="23A35210" w14:textId="77777777" w:rsidR="00C44973" w:rsidRPr="00C44973" w:rsidRDefault="00C44973" w:rsidP="0076679D">
            <w:pPr>
              <w:pStyle w:val="Body"/>
              <w:spacing w:after="0"/>
              <w:rPr>
                <w:rFonts w:ascii="Arial" w:hAnsi="Arial" w:cs="Arial"/>
                <w:b/>
                <w:bCs/>
              </w:rPr>
            </w:pPr>
            <w:r w:rsidRPr="00C44973">
              <w:rPr>
                <w:rFonts w:ascii="Arial" w:hAnsi="Arial" w:cs="Arial"/>
              </w:rPr>
              <w:t>Chi-Square Prob. Value</w:t>
            </w:r>
          </w:p>
        </w:tc>
      </w:tr>
      <w:tr w:rsidR="00C44973" w:rsidRPr="00C44973" w14:paraId="449F8EE8" w14:textId="77777777" w:rsidTr="0076679D">
        <w:trPr>
          <w:jc w:val="center"/>
        </w:trPr>
        <w:tc>
          <w:tcPr>
            <w:tcW w:w="2678" w:type="pct"/>
            <w:tcBorders>
              <w:top w:val="single" w:sz="4" w:space="0" w:color="auto"/>
            </w:tcBorders>
            <w:vAlign w:val="bottom"/>
          </w:tcPr>
          <w:p w14:paraId="6DC11501" w14:textId="77777777" w:rsidR="00C44973" w:rsidRPr="00C44973" w:rsidRDefault="00C44973" w:rsidP="0076679D">
            <w:pPr>
              <w:pStyle w:val="Body"/>
              <w:spacing w:after="0"/>
              <w:rPr>
                <w:rFonts w:ascii="Arial" w:hAnsi="Arial" w:cs="Arial"/>
              </w:rPr>
            </w:pPr>
            <w:r w:rsidRPr="00C44973">
              <w:rPr>
                <w:rFonts w:ascii="Arial" w:hAnsi="Arial" w:cs="Arial"/>
              </w:rPr>
              <w:t>1.9516</w:t>
            </w:r>
          </w:p>
        </w:tc>
        <w:tc>
          <w:tcPr>
            <w:tcW w:w="2322" w:type="pct"/>
            <w:tcBorders>
              <w:top w:val="single" w:sz="4" w:space="0" w:color="auto"/>
            </w:tcBorders>
          </w:tcPr>
          <w:p w14:paraId="234FBA01" w14:textId="77777777" w:rsidR="00C44973" w:rsidRPr="00C44973" w:rsidRDefault="00C44973" w:rsidP="0076679D">
            <w:pPr>
              <w:pStyle w:val="Body"/>
              <w:spacing w:after="0"/>
              <w:rPr>
                <w:rFonts w:ascii="Arial" w:hAnsi="Arial" w:cs="Arial"/>
              </w:rPr>
            </w:pPr>
            <w:r w:rsidRPr="00C44973">
              <w:rPr>
                <w:rFonts w:ascii="Arial" w:hAnsi="Arial" w:cs="Arial"/>
              </w:rPr>
              <w:t>0.0739</w:t>
            </w:r>
          </w:p>
        </w:tc>
      </w:tr>
      <w:tr w:rsidR="00C44973" w:rsidRPr="00C44973" w14:paraId="3741EDB2" w14:textId="77777777" w:rsidTr="0076679D">
        <w:trPr>
          <w:jc w:val="center"/>
        </w:trPr>
        <w:tc>
          <w:tcPr>
            <w:tcW w:w="2678" w:type="pct"/>
            <w:vAlign w:val="bottom"/>
          </w:tcPr>
          <w:p w14:paraId="383A2C41" w14:textId="77777777" w:rsidR="00C44973" w:rsidRPr="00C44973" w:rsidRDefault="00C44973" w:rsidP="0076679D">
            <w:pPr>
              <w:pStyle w:val="Body"/>
              <w:spacing w:after="0"/>
              <w:rPr>
                <w:rFonts w:ascii="Arial" w:hAnsi="Arial" w:cs="Arial"/>
              </w:rPr>
            </w:pPr>
            <w:proofErr w:type="spellStart"/>
            <w:r w:rsidRPr="00C44973">
              <w:rPr>
                <w:rFonts w:ascii="Arial" w:hAnsi="Arial" w:cs="Arial"/>
              </w:rPr>
              <w:t>Obs</w:t>
            </w:r>
            <w:proofErr w:type="spellEnd"/>
            <w:r w:rsidRPr="00C44973">
              <w:rPr>
                <w:rFonts w:ascii="Arial" w:hAnsi="Arial" w:cs="Arial"/>
              </w:rPr>
              <w:t>*R-squared</w:t>
            </w:r>
          </w:p>
        </w:tc>
        <w:tc>
          <w:tcPr>
            <w:tcW w:w="2322" w:type="pct"/>
          </w:tcPr>
          <w:p w14:paraId="2AC08884" w14:textId="77777777" w:rsidR="00C44973" w:rsidRPr="00C44973" w:rsidRDefault="00C44973" w:rsidP="0076679D">
            <w:pPr>
              <w:pStyle w:val="Body"/>
              <w:spacing w:after="0"/>
              <w:rPr>
                <w:rFonts w:ascii="Arial" w:hAnsi="Arial" w:cs="Arial"/>
              </w:rPr>
            </w:pPr>
            <w:r w:rsidRPr="00C44973">
              <w:rPr>
                <w:rFonts w:ascii="Arial" w:hAnsi="Arial" w:cs="Arial"/>
              </w:rPr>
              <w:t>Chi-Square Prob. Value</w:t>
            </w:r>
          </w:p>
        </w:tc>
      </w:tr>
      <w:tr w:rsidR="00C44973" w:rsidRPr="00C44973" w14:paraId="43A588AD" w14:textId="77777777" w:rsidTr="0076679D">
        <w:trPr>
          <w:jc w:val="center"/>
        </w:trPr>
        <w:tc>
          <w:tcPr>
            <w:tcW w:w="2678" w:type="pct"/>
            <w:tcBorders>
              <w:bottom w:val="single" w:sz="4" w:space="0" w:color="auto"/>
            </w:tcBorders>
            <w:vAlign w:val="bottom"/>
          </w:tcPr>
          <w:p w14:paraId="774892E9" w14:textId="77777777" w:rsidR="00C44973" w:rsidRPr="00C44973" w:rsidRDefault="00C44973" w:rsidP="0076679D">
            <w:pPr>
              <w:pStyle w:val="Body"/>
              <w:spacing w:after="0"/>
              <w:rPr>
                <w:rFonts w:ascii="Arial" w:hAnsi="Arial" w:cs="Arial"/>
              </w:rPr>
            </w:pPr>
            <w:r w:rsidRPr="00C44973">
              <w:rPr>
                <w:rFonts w:ascii="Arial" w:hAnsi="Arial" w:cs="Arial"/>
              </w:rPr>
              <w:t>11.464</w:t>
            </w:r>
          </w:p>
        </w:tc>
        <w:tc>
          <w:tcPr>
            <w:tcW w:w="2322" w:type="pct"/>
            <w:tcBorders>
              <w:bottom w:val="single" w:sz="4" w:space="0" w:color="auto"/>
            </w:tcBorders>
          </w:tcPr>
          <w:p w14:paraId="3638FF43" w14:textId="77777777" w:rsidR="00C44973" w:rsidRPr="00C44973" w:rsidRDefault="00C44973" w:rsidP="0076679D">
            <w:pPr>
              <w:pStyle w:val="Body"/>
              <w:spacing w:after="0"/>
              <w:rPr>
                <w:rFonts w:ascii="Arial" w:hAnsi="Arial" w:cs="Arial"/>
              </w:rPr>
            </w:pPr>
            <w:r w:rsidRPr="00C44973">
              <w:rPr>
                <w:rFonts w:ascii="Arial" w:hAnsi="Arial" w:cs="Arial"/>
              </w:rPr>
              <w:t>0.0015</w:t>
            </w:r>
          </w:p>
        </w:tc>
      </w:tr>
    </w:tbl>
    <w:p w14:paraId="40793ECC" w14:textId="77777777" w:rsidR="00C44973" w:rsidRDefault="00C44973" w:rsidP="0076679D">
      <w:pPr>
        <w:pStyle w:val="Body"/>
        <w:spacing w:after="0"/>
        <w:jc w:val="center"/>
        <w:rPr>
          <w:rFonts w:ascii="Arial" w:hAnsi="Arial" w:cs="Arial"/>
          <w:b/>
        </w:rPr>
      </w:pPr>
      <w:r w:rsidRPr="00C44973">
        <w:rPr>
          <w:rFonts w:ascii="Arial" w:hAnsi="Arial" w:cs="Arial"/>
          <w:b/>
        </w:rPr>
        <w:t>Source: Author’s Computation, 2025.</w:t>
      </w:r>
    </w:p>
    <w:p w14:paraId="7AA46054" w14:textId="77777777" w:rsidR="0076679D" w:rsidRDefault="0076679D" w:rsidP="0076679D">
      <w:pPr>
        <w:pStyle w:val="Body"/>
        <w:spacing w:after="0"/>
        <w:jc w:val="center"/>
        <w:rPr>
          <w:rFonts w:ascii="Arial" w:hAnsi="Arial" w:cs="Arial"/>
          <w:b/>
        </w:rPr>
      </w:pPr>
    </w:p>
    <w:p w14:paraId="41F86950" w14:textId="77777777" w:rsidR="0076679D" w:rsidRPr="00C44973" w:rsidRDefault="0076679D" w:rsidP="0076679D">
      <w:pPr>
        <w:pStyle w:val="Body"/>
        <w:spacing w:after="0"/>
        <w:jc w:val="center"/>
        <w:rPr>
          <w:rFonts w:ascii="Arial" w:hAnsi="Arial" w:cs="Arial"/>
          <w:b/>
        </w:rPr>
      </w:pPr>
    </w:p>
    <w:p w14:paraId="066AEBCF" w14:textId="77777777" w:rsidR="00C44973" w:rsidRPr="0076679D" w:rsidRDefault="00C44973" w:rsidP="00C44973">
      <w:pPr>
        <w:pStyle w:val="Body"/>
        <w:spacing w:after="0"/>
        <w:rPr>
          <w:rFonts w:ascii="Arial" w:hAnsi="Arial" w:cs="Arial"/>
          <w:b/>
          <w:bCs/>
          <w:sz w:val="22"/>
          <w:szCs w:val="22"/>
          <w:lang w:bidi="en-US"/>
        </w:rPr>
      </w:pPr>
      <w:r w:rsidRPr="0076679D">
        <w:rPr>
          <w:rFonts w:ascii="Arial" w:hAnsi="Arial" w:cs="Arial"/>
          <w:b/>
          <w:bCs/>
          <w:sz w:val="22"/>
          <w:szCs w:val="22"/>
          <w:lang w:bidi="en-US"/>
        </w:rPr>
        <w:t>4.6 Model Regression Results</w:t>
      </w:r>
    </w:p>
    <w:p w14:paraId="5ACBB48C" w14:textId="77777777" w:rsidR="0076679D" w:rsidRPr="00C44973" w:rsidRDefault="0076679D" w:rsidP="00C44973">
      <w:pPr>
        <w:pStyle w:val="Body"/>
        <w:spacing w:after="0"/>
        <w:rPr>
          <w:rFonts w:ascii="Arial" w:hAnsi="Arial" w:cs="Arial"/>
          <w:b/>
          <w:bCs/>
          <w:lang w:bidi="en-US"/>
        </w:rPr>
      </w:pPr>
    </w:p>
    <w:p w14:paraId="4EE5138E" w14:textId="153C7469" w:rsidR="00C44973" w:rsidRPr="00C44973" w:rsidRDefault="00C44973" w:rsidP="0076679D">
      <w:pPr>
        <w:pStyle w:val="Body"/>
        <w:rPr>
          <w:rFonts w:ascii="Arial" w:hAnsi="Arial" w:cs="Arial"/>
          <w:lang w:bidi="en-US"/>
        </w:rPr>
      </w:pPr>
      <w:r w:rsidRPr="00C44973">
        <w:rPr>
          <w:rFonts w:ascii="Arial" w:hAnsi="Arial" w:cs="Arial"/>
          <w:lang w:bidi="en-US"/>
        </w:rPr>
        <w:t xml:space="preserve">Table </w:t>
      </w:r>
      <w:r w:rsidR="00175E60">
        <w:rPr>
          <w:rFonts w:ascii="Arial" w:hAnsi="Arial" w:cs="Arial"/>
          <w:lang w:bidi="en-US"/>
        </w:rPr>
        <w:t>6</w:t>
      </w:r>
      <w:r w:rsidRPr="00C44973">
        <w:rPr>
          <w:rFonts w:ascii="Arial" w:hAnsi="Arial" w:cs="Arial"/>
          <w:lang w:bidi="en-US"/>
        </w:rPr>
        <w:t xml:space="preserve"> presents the results of the System Generalized Method of Moments (GMM) estimation, which accounts for endogeneity and firm-specific effects. The coefficient of the lagged dependent variable, </w:t>
      </w:r>
      <w:r w:rsidR="00EC2AAD" w:rsidRPr="00C44973">
        <w:rPr>
          <w:rFonts w:ascii="Arial" w:hAnsi="Arial" w:cs="Arial"/>
          <w:lang w:bidi="en-US"/>
        </w:rPr>
        <w:t>SR (</w:t>
      </w:r>
      <w:r w:rsidRPr="00C44973">
        <w:rPr>
          <w:rFonts w:ascii="Arial" w:hAnsi="Arial" w:cs="Arial"/>
          <w:lang w:bidi="en-US"/>
        </w:rPr>
        <w:t xml:space="preserve">-1), is positive and highly significant (β = .161; t = 5.317; </w:t>
      </w:r>
      <w:r w:rsidR="0076679D" w:rsidRPr="0076679D">
        <w:rPr>
          <w:rFonts w:ascii="Arial" w:hAnsi="Arial" w:cs="Arial"/>
          <w:i/>
          <w:iCs/>
          <w:lang w:bidi="en-US"/>
        </w:rPr>
        <w:t>P</w:t>
      </w:r>
      <w:r w:rsidRPr="00C44973">
        <w:rPr>
          <w:rFonts w:ascii="Arial" w:hAnsi="Arial" w:cs="Arial"/>
          <w:lang w:bidi="en-US"/>
        </w:rPr>
        <w:t xml:space="preserve"> &lt; .001), indicating that sustainability reporting </w:t>
      </w:r>
      <w:proofErr w:type="spellStart"/>
      <w:r w:rsidRPr="00C44973">
        <w:rPr>
          <w:rFonts w:ascii="Arial" w:hAnsi="Arial" w:cs="Arial"/>
          <w:lang w:bidi="en-US"/>
        </w:rPr>
        <w:t>behaviour</w:t>
      </w:r>
      <w:proofErr w:type="spellEnd"/>
      <w:r w:rsidRPr="00C44973">
        <w:rPr>
          <w:rFonts w:ascii="Arial" w:hAnsi="Arial" w:cs="Arial"/>
          <w:lang w:bidi="en-US"/>
        </w:rPr>
        <w:t xml:space="preserve"> among listed insurance firms in Nigeria is persistent over time. This implies that firms that previously engaged in disclosure are more likely to continue such practices, reflecting institutional continuity and responsiveness to stakeholder expectations for ongoing transparency. Board director’s reputational capital (BDRC) shows a strong positive and statistically significant influence on sustainability reporting (β = 9.720; t = 6.104; </w:t>
      </w:r>
      <w:r w:rsidR="0076679D" w:rsidRPr="0076679D">
        <w:rPr>
          <w:rFonts w:ascii="Arial" w:hAnsi="Arial" w:cs="Arial"/>
          <w:i/>
          <w:iCs/>
          <w:lang w:bidi="en-US"/>
        </w:rPr>
        <w:t>P</w:t>
      </w:r>
      <w:r w:rsidRPr="00C44973">
        <w:rPr>
          <w:rFonts w:ascii="Arial" w:hAnsi="Arial" w:cs="Arial"/>
          <w:lang w:bidi="en-US"/>
        </w:rPr>
        <w:t xml:space="preserve"> &lt; .001). This finding suggests that directors with higher reputational standing drive greater sustainability disclosure, likely to safeguard their professional credibility and maintain legitimacy before investors, regulators, and the public. In line with Stakeholder Theory, such directors act as reputational stewards who enhance corporate accountability and align reporting practices with stakeholder interests.</w:t>
      </w:r>
    </w:p>
    <w:p w14:paraId="452C00A2" w14:textId="6CCCF3AF" w:rsidR="00C44973" w:rsidRPr="00C44973" w:rsidRDefault="00C44973" w:rsidP="0076679D">
      <w:pPr>
        <w:pStyle w:val="Body"/>
        <w:rPr>
          <w:rFonts w:ascii="Arial" w:hAnsi="Arial" w:cs="Arial"/>
          <w:lang w:bidi="en-US"/>
        </w:rPr>
      </w:pPr>
      <w:r w:rsidRPr="00C44973">
        <w:rPr>
          <w:rFonts w:ascii="Arial" w:hAnsi="Arial" w:cs="Arial"/>
          <w:lang w:bidi="en-US"/>
        </w:rPr>
        <w:t xml:space="preserve">Conversely, board director nationality (BNAT) exhibits a negative and significant relationship with sustainability reporting (β = -.029; t = </w:t>
      </w:r>
      <w:r w:rsidR="0076679D">
        <w:rPr>
          <w:rFonts w:ascii="Arial" w:hAnsi="Arial" w:cs="Arial"/>
          <w:lang w:bidi="en-US"/>
        </w:rPr>
        <w:t>-</w:t>
      </w:r>
      <w:r w:rsidRPr="00C44973">
        <w:rPr>
          <w:rFonts w:ascii="Arial" w:hAnsi="Arial" w:cs="Arial"/>
          <w:lang w:bidi="en-US"/>
        </w:rPr>
        <w:t xml:space="preserve">1.328; </w:t>
      </w:r>
      <w:r w:rsidR="0076679D" w:rsidRPr="0076679D">
        <w:rPr>
          <w:rFonts w:ascii="Arial" w:hAnsi="Arial" w:cs="Arial"/>
          <w:i/>
          <w:iCs/>
          <w:lang w:bidi="en-US"/>
        </w:rPr>
        <w:t>P</w:t>
      </w:r>
      <w:r w:rsidRPr="00C44973">
        <w:rPr>
          <w:rFonts w:ascii="Arial" w:hAnsi="Arial" w:cs="Arial"/>
          <w:lang w:bidi="en-US"/>
        </w:rPr>
        <w:t xml:space="preserve"> &lt; .001), implying that a higher proportion of foreign directors does not necessarily improve disclosure quality. This may reflect contextual and institutional barriers in the Nigerian business environment, where foreign directors may have limited influence over local governance practices or compliance frameworks. Regarding the control variables, total greenhouse gas emissions (TGHGS) have a positive and significant effect (β = 5.268; </w:t>
      </w:r>
      <w:r w:rsidR="0076679D" w:rsidRPr="0076679D">
        <w:rPr>
          <w:rFonts w:ascii="Arial" w:hAnsi="Arial" w:cs="Arial"/>
          <w:i/>
          <w:iCs/>
          <w:lang w:bidi="en-US"/>
        </w:rPr>
        <w:t>P</w:t>
      </w:r>
      <w:r w:rsidRPr="00C44973">
        <w:rPr>
          <w:rFonts w:ascii="Arial" w:hAnsi="Arial" w:cs="Arial"/>
          <w:lang w:bidi="en-US"/>
        </w:rPr>
        <w:t xml:space="preserve"> = 0.003), suggesting that firms with greater environmental impact tend to disclose more sustainability information as part of a legitimacy-seeking strategy. Renewable energy consumption (RENG) shows a negative but statistically insignificant coefficient (β = </w:t>
      </w:r>
      <w:r w:rsidR="0076679D">
        <w:rPr>
          <w:rFonts w:ascii="Arial" w:hAnsi="Arial" w:cs="Arial"/>
          <w:lang w:bidi="en-US"/>
        </w:rPr>
        <w:t>-</w:t>
      </w:r>
      <w:r w:rsidRPr="00C44973">
        <w:rPr>
          <w:rFonts w:ascii="Arial" w:hAnsi="Arial" w:cs="Arial"/>
          <w:lang w:bidi="en-US"/>
        </w:rPr>
        <w:t xml:space="preserve">0.920; </w:t>
      </w:r>
      <w:r w:rsidR="0076679D" w:rsidRPr="0076679D">
        <w:rPr>
          <w:rFonts w:ascii="Arial" w:hAnsi="Arial" w:cs="Arial"/>
          <w:i/>
          <w:iCs/>
          <w:lang w:bidi="en-US"/>
        </w:rPr>
        <w:t>P</w:t>
      </w:r>
      <w:r w:rsidRPr="00C44973">
        <w:rPr>
          <w:rFonts w:ascii="Arial" w:hAnsi="Arial" w:cs="Arial"/>
          <w:lang w:bidi="en-US"/>
        </w:rPr>
        <w:t xml:space="preserve"> = 0.674), indicating that energy performance improvements alone may not directly translate into enhanced disclosure practices.</w:t>
      </w:r>
    </w:p>
    <w:p w14:paraId="44211CB8" w14:textId="3D99788F" w:rsidR="00C44973" w:rsidRPr="00C44973" w:rsidRDefault="00C44973" w:rsidP="0076679D">
      <w:pPr>
        <w:pStyle w:val="Body"/>
        <w:rPr>
          <w:rFonts w:ascii="Arial" w:hAnsi="Arial" w:cs="Arial"/>
          <w:lang w:bidi="en-US"/>
        </w:rPr>
      </w:pPr>
      <w:r w:rsidRPr="00C44973">
        <w:rPr>
          <w:rFonts w:ascii="Arial" w:hAnsi="Arial" w:cs="Arial"/>
          <w:lang w:bidi="en-US"/>
        </w:rPr>
        <w:t>The J-statistic (45.91) with a significant probability value (</w:t>
      </w:r>
      <w:r w:rsidR="00EC2AAD" w:rsidRPr="0076679D">
        <w:rPr>
          <w:rFonts w:ascii="Arial" w:hAnsi="Arial" w:cs="Arial"/>
          <w:i/>
          <w:iCs/>
          <w:lang w:bidi="en-US"/>
        </w:rPr>
        <w:t>P</w:t>
      </w:r>
      <w:r w:rsidRPr="00C44973">
        <w:rPr>
          <w:rFonts w:ascii="Arial" w:hAnsi="Arial" w:cs="Arial"/>
          <w:lang w:bidi="en-US"/>
        </w:rPr>
        <w:t xml:space="preserve"> &lt; .0</w:t>
      </w:r>
      <w:r w:rsidR="00EC2AAD">
        <w:rPr>
          <w:rFonts w:ascii="Arial" w:hAnsi="Arial" w:cs="Arial"/>
          <w:lang w:bidi="en-US"/>
        </w:rPr>
        <w:t>01</w:t>
      </w:r>
      <w:r w:rsidRPr="00C44973">
        <w:rPr>
          <w:rFonts w:ascii="Arial" w:hAnsi="Arial" w:cs="Arial"/>
          <w:lang w:bidi="en-US"/>
        </w:rPr>
        <w:t xml:space="preserve">) confirms the overall validity and robustness of the instruments used in the GMM estimation. Collectively, these findings highlight that corporate governance mechanisms, particularly reputational capital, play a crucial role in shaping sustainability disclosure among Nigerian insurance firms. This supports Stakeholder Theory’s assertion that firms respond to diverse stakeholder pressures through governance-driven transparency and responsible reporting </w:t>
      </w:r>
      <w:proofErr w:type="spellStart"/>
      <w:r w:rsidRPr="00C44973">
        <w:rPr>
          <w:rFonts w:ascii="Arial" w:hAnsi="Arial" w:cs="Arial"/>
          <w:lang w:bidi="en-US"/>
        </w:rPr>
        <w:t>behaviour</w:t>
      </w:r>
      <w:proofErr w:type="spellEnd"/>
      <w:r w:rsidRPr="00C44973">
        <w:rPr>
          <w:rFonts w:ascii="Arial" w:hAnsi="Arial" w:cs="Arial"/>
          <w:lang w:bidi="en-US"/>
        </w:rPr>
        <w:t>.</w:t>
      </w:r>
    </w:p>
    <w:p w14:paraId="45579ED4" w14:textId="554E7CDF" w:rsidR="00C44973" w:rsidRPr="00C44973" w:rsidRDefault="00C44973" w:rsidP="00C44973">
      <w:pPr>
        <w:pStyle w:val="Body"/>
        <w:rPr>
          <w:rFonts w:ascii="Arial" w:hAnsi="Arial" w:cs="Arial"/>
          <w:b/>
        </w:rPr>
      </w:pPr>
      <w:r w:rsidRPr="00C44973">
        <w:rPr>
          <w:rFonts w:ascii="Arial" w:hAnsi="Arial" w:cs="Arial"/>
          <w:b/>
        </w:rPr>
        <w:t xml:space="preserve">Table </w:t>
      </w:r>
      <w:r w:rsidR="00175E60">
        <w:rPr>
          <w:rFonts w:ascii="Arial" w:hAnsi="Arial" w:cs="Arial"/>
          <w:b/>
        </w:rPr>
        <w:t>6</w:t>
      </w:r>
      <w:r w:rsidR="0076679D">
        <w:rPr>
          <w:rFonts w:ascii="Arial" w:hAnsi="Arial" w:cs="Arial"/>
          <w:b/>
        </w:rPr>
        <w:t>.</w:t>
      </w:r>
      <w:r w:rsidRPr="00C44973">
        <w:rPr>
          <w:rFonts w:ascii="Arial" w:hAnsi="Arial" w:cs="Arial"/>
          <w:b/>
        </w:rPr>
        <w:t xml:space="preserve"> GMM Results</w:t>
      </w:r>
    </w:p>
    <w:tbl>
      <w:tblPr>
        <w:tblW w:w="3992" w:type="pct"/>
        <w:jc w:val="center"/>
        <w:tblLook w:val="04A0" w:firstRow="1" w:lastRow="0" w:firstColumn="1" w:lastColumn="0" w:noHBand="0" w:noVBand="1"/>
      </w:tblPr>
      <w:tblGrid>
        <w:gridCol w:w="1780"/>
        <w:gridCol w:w="2069"/>
        <w:gridCol w:w="1824"/>
        <w:gridCol w:w="1053"/>
      </w:tblGrid>
      <w:tr w:rsidR="00C44973" w:rsidRPr="00C44973" w14:paraId="4A484158" w14:textId="77777777" w:rsidTr="00EC2AAD">
        <w:trPr>
          <w:jc w:val="center"/>
        </w:trPr>
        <w:tc>
          <w:tcPr>
            <w:tcW w:w="1323" w:type="pct"/>
            <w:tcBorders>
              <w:top w:val="single" w:sz="4" w:space="0" w:color="auto"/>
              <w:bottom w:val="single" w:sz="4" w:space="0" w:color="auto"/>
            </w:tcBorders>
          </w:tcPr>
          <w:p w14:paraId="4D74F8A4" w14:textId="77777777" w:rsidR="00C44973" w:rsidRPr="00C44973" w:rsidRDefault="00C44973" w:rsidP="0076679D">
            <w:pPr>
              <w:pStyle w:val="Body"/>
              <w:spacing w:after="0"/>
              <w:rPr>
                <w:rFonts w:ascii="Arial" w:hAnsi="Arial" w:cs="Arial"/>
                <w:b/>
              </w:rPr>
            </w:pPr>
            <w:r w:rsidRPr="00C44973">
              <w:rPr>
                <w:rFonts w:ascii="Arial" w:hAnsi="Arial" w:cs="Arial"/>
                <w:b/>
              </w:rPr>
              <w:t>Variables</w:t>
            </w:r>
          </w:p>
        </w:tc>
        <w:tc>
          <w:tcPr>
            <w:tcW w:w="1538" w:type="pct"/>
            <w:tcBorders>
              <w:top w:val="single" w:sz="4" w:space="0" w:color="auto"/>
              <w:bottom w:val="single" w:sz="4" w:space="0" w:color="auto"/>
            </w:tcBorders>
          </w:tcPr>
          <w:p w14:paraId="1B738C50" w14:textId="77777777" w:rsidR="00C44973" w:rsidRPr="00C44973" w:rsidRDefault="00C44973" w:rsidP="0076679D">
            <w:pPr>
              <w:pStyle w:val="Body"/>
              <w:spacing w:after="0"/>
              <w:rPr>
                <w:rFonts w:ascii="Arial" w:hAnsi="Arial" w:cs="Arial"/>
                <w:b/>
                <w:bCs/>
              </w:rPr>
            </w:pPr>
            <w:r w:rsidRPr="00C44973">
              <w:rPr>
                <w:rFonts w:ascii="Arial" w:hAnsi="Arial" w:cs="Arial"/>
                <w:b/>
                <w:bCs/>
              </w:rPr>
              <w:t>Coefficient Values</w:t>
            </w:r>
          </w:p>
        </w:tc>
        <w:tc>
          <w:tcPr>
            <w:tcW w:w="1356" w:type="pct"/>
            <w:tcBorders>
              <w:top w:val="single" w:sz="4" w:space="0" w:color="auto"/>
              <w:bottom w:val="single" w:sz="4" w:space="0" w:color="auto"/>
            </w:tcBorders>
          </w:tcPr>
          <w:p w14:paraId="3ADA9FA5" w14:textId="5919F31D" w:rsidR="00C44973" w:rsidRPr="00C44973" w:rsidRDefault="00C44973" w:rsidP="0076679D">
            <w:pPr>
              <w:pStyle w:val="Body"/>
              <w:spacing w:after="0"/>
              <w:rPr>
                <w:rFonts w:ascii="Arial" w:hAnsi="Arial" w:cs="Arial"/>
                <w:b/>
                <w:bCs/>
              </w:rPr>
            </w:pPr>
            <w:r w:rsidRPr="00C44973">
              <w:rPr>
                <w:rFonts w:ascii="Arial" w:hAnsi="Arial" w:cs="Arial"/>
                <w:b/>
                <w:bCs/>
              </w:rPr>
              <w:t>T-Statistics</w:t>
            </w:r>
          </w:p>
        </w:tc>
        <w:tc>
          <w:tcPr>
            <w:tcW w:w="783" w:type="pct"/>
            <w:tcBorders>
              <w:top w:val="single" w:sz="4" w:space="0" w:color="auto"/>
              <w:bottom w:val="single" w:sz="4" w:space="0" w:color="auto"/>
            </w:tcBorders>
          </w:tcPr>
          <w:p w14:paraId="702B5AD3" w14:textId="77777777" w:rsidR="00C44973" w:rsidRPr="00C44973" w:rsidRDefault="00C44973" w:rsidP="0076679D">
            <w:pPr>
              <w:pStyle w:val="Body"/>
              <w:spacing w:after="0"/>
              <w:rPr>
                <w:rFonts w:ascii="Arial" w:hAnsi="Arial" w:cs="Arial"/>
                <w:b/>
              </w:rPr>
            </w:pPr>
            <w:r w:rsidRPr="00C44973">
              <w:rPr>
                <w:rFonts w:ascii="Arial" w:hAnsi="Arial" w:cs="Arial"/>
                <w:b/>
              </w:rPr>
              <w:t xml:space="preserve">Prob </w:t>
            </w:r>
          </w:p>
        </w:tc>
      </w:tr>
      <w:tr w:rsidR="00C44973" w:rsidRPr="00C44973" w14:paraId="42DC69FD" w14:textId="77777777" w:rsidTr="00EC2AAD">
        <w:trPr>
          <w:jc w:val="center"/>
        </w:trPr>
        <w:tc>
          <w:tcPr>
            <w:tcW w:w="1323" w:type="pct"/>
            <w:tcBorders>
              <w:top w:val="single" w:sz="4" w:space="0" w:color="auto"/>
            </w:tcBorders>
          </w:tcPr>
          <w:p w14:paraId="50FFAE00" w14:textId="77777777" w:rsidR="00C44973" w:rsidRPr="00C44973" w:rsidRDefault="00C44973" w:rsidP="0076679D">
            <w:pPr>
              <w:pStyle w:val="Body"/>
              <w:spacing w:after="0"/>
              <w:rPr>
                <w:rFonts w:ascii="Arial" w:hAnsi="Arial" w:cs="Arial"/>
                <w:bCs/>
              </w:rPr>
            </w:pPr>
            <w:r w:rsidRPr="00C44973">
              <w:rPr>
                <w:rFonts w:ascii="Arial" w:hAnsi="Arial" w:cs="Arial"/>
                <w:bCs/>
              </w:rPr>
              <w:t>SR (-1)</w:t>
            </w:r>
          </w:p>
        </w:tc>
        <w:tc>
          <w:tcPr>
            <w:tcW w:w="1538" w:type="pct"/>
            <w:tcBorders>
              <w:top w:val="single" w:sz="4" w:space="0" w:color="auto"/>
            </w:tcBorders>
          </w:tcPr>
          <w:p w14:paraId="7BC31874" w14:textId="77777777" w:rsidR="00C44973" w:rsidRPr="00C44973" w:rsidRDefault="00C44973" w:rsidP="0076679D">
            <w:pPr>
              <w:pStyle w:val="Body"/>
              <w:spacing w:after="0"/>
              <w:rPr>
                <w:rFonts w:ascii="Arial" w:hAnsi="Arial" w:cs="Arial"/>
                <w:bCs/>
              </w:rPr>
            </w:pPr>
            <w:r w:rsidRPr="00C44973">
              <w:rPr>
                <w:rFonts w:ascii="Arial" w:hAnsi="Arial" w:cs="Arial"/>
                <w:bCs/>
              </w:rPr>
              <w:t>0.161</w:t>
            </w:r>
          </w:p>
        </w:tc>
        <w:tc>
          <w:tcPr>
            <w:tcW w:w="1356" w:type="pct"/>
            <w:tcBorders>
              <w:top w:val="single" w:sz="4" w:space="0" w:color="auto"/>
            </w:tcBorders>
          </w:tcPr>
          <w:p w14:paraId="068E0DE9" w14:textId="77777777" w:rsidR="00C44973" w:rsidRPr="00C44973" w:rsidRDefault="00C44973" w:rsidP="0076679D">
            <w:pPr>
              <w:pStyle w:val="Body"/>
              <w:spacing w:after="0"/>
              <w:rPr>
                <w:rFonts w:ascii="Arial" w:hAnsi="Arial" w:cs="Arial"/>
                <w:bCs/>
              </w:rPr>
            </w:pPr>
            <w:r w:rsidRPr="00C44973">
              <w:rPr>
                <w:rFonts w:ascii="Arial" w:hAnsi="Arial" w:cs="Arial"/>
                <w:bCs/>
              </w:rPr>
              <w:t>5.317</w:t>
            </w:r>
          </w:p>
        </w:tc>
        <w:tc>
          <w:tcPr>
            <w:tcW w:w="783" w:type="pct"/>
            <w:tcBorders>
              <w:top w:val="single" w:sz="4" w:space="0" w:color="auto"/>
            </w:tcBorders>
          </w:tcPr>
          <w:p w14:paraId="12B84930" w14:textId="77777777" w:rsidR="00C44973" w:rsidRPr="00C44973" w:rsidRDefault="00C44973" w:rsidP="0076679D">
            <w:pPr>
              <w:pStyle w:val="Body"/>
              <w:spacing w:after="0"/>
              <w:rPr>
                <w:rFonts w:ascii="Arial" w:hAnsi="Arial" w:cs="Arial"/>
              </w:rPr>
            </w:pPr>
            <w:r w:rsidRPr="00C44973">
              <w:rPr>
                <w:rFonts w:ascii="Arial" w:hAnsi="Arial" w:cs="Arial"/>
              </w:rPr>
              <w:t>0.000</w:t>
            </w:r>
          </w:p>
        </w:tc>
      </w:tr>
      <w:tr w:rsidR="00C44973" w:rsidRPr="00C44973" w14:paraId="50A41D8B" w14:textId="77777777" w:rsidTr="00EC2AAD">
        <w:trPr>
          <w:jc w:val="center"/>
        </w:trPr>
        <w:tc>
          <w:tcPr>
            <w:tcW w:w="1323" w:type="pct"/>
          </w:tcPr>
          <w:p w14:paraId="1CDAE78E" w14:textId="77777777" w:rsidR="00C44973" w:rsidRPr="00C44973" w:rsidRDefault="00C44973" w:rsidP="0076679D">
            <w:pPr>
              <w:pStyle w:val="Body"/>
              <w:spacing w:after="0"/>
              <w:rPr>
                <w:rFonts w:ascii="Arial" w:hAnsi="Arial" w:cs="Arial"/>
                <w:bCs/>
              </w:rPr>
            </w:pPr>
            <w:r w:rsidRPr="00C44973">
              <w:rPr>
                <w:rFonts w:ascii="Arial" w:hAnsi="Arial" w:cs="Arial"/>
                <w:bCs/>
              </w:rPr>
              <w:t>BDRC</w:t>
            </w:r>
          </w:p>
        </w:tc>
        <w:tc>
          <w:tcPr>
            <w:tcW w:w="1538" w:type="pct"/>
            <w:vAlign w:val="bottom"/>
          </w:tcPr>
          <w:p w14:paraId="14F1E17E" w14:textId="77777777" w:rsidR="00C44973" w:rsidRPr="00C44973" w:rsidRDefault="00C44973" w:rsidP="0076679D">
            <w:pPr>
              <w:pStyle w:val="Body"/>
              <w:spacing w:after="0"/>
              <w:rPr>
                <w:rFonts w:ascii="Arial" w:hAnsi="Arial" w:cs="Arial"/>
              </w:rPr>
            </w:pPr>
            <w:r w:rsidRPr="00C44973">
              <w:rPr>
                <w:rFonts w:ascii="Arial" w:hAnsi="Arial" w:cs="Arial"/>
              </w:rPr>
              <w:t>9.720</w:t>
            </w:r>
          </w:p>
        </w:tc>
        <w:tc>
          <w:tcPr>
            <w:tcW w:w="1356" w:type="pct"/>
          </w:tcPr>
          <w:p w14:paraId="1E646D60" w14:textId="77777777" w:rsidR="00C44973" w:rsidRPr="00C44973" w:rsidRDefault="00C44973" w:rsidP="0076679D">
            <w:pPr>
              <w:pStyle w:val="Body"/>
              <w:spacing w:after="0"/>
              <w:rPr>
                <w:rFonts w:ascii="Arial" w:hAnsi="Arial" w:cs="Arial"/>
              </w:rPr>
            </w:pPr>
            <w:r w:rsidRPr="00C44973">
              <w:rPr>
                <w:rFonts w:ascii="Arial" w:hAnsi="Arial" w:cs="Arial"/>
              </w:rPr>
              <w:t>6.104</w:t>
            </w:r>
          </w:p>
        </w:tc>
        <w:tc>
          <w:tcPr>
            <w:tcW w:w="783" w:type="pct"/>
          </w:tcPr>
          <w:p w14:paraId="0DC4C41C" w14:textId="77777777" w:rsidR="00C44973" w:rsidRPr="00C44973" w:rsidRDefault="00C44973" w:rsidP="0076679D">
            <w:pPr>
              <w:pStyle w:val="Body"/>
              <w:spacing w:after="0"/>
              <w:rPr>
                <w:rFonts w:ascii="Arial" w:hAnsi="Arial" w:cs="Arial"/>
              </w:rPr>
            </w:pPr>
            <w:r w:rsidRPr="00C44973">
              <w:rPr>
                <w:rFonts w:ascii="Arial" w:hAnsi="Arial" w:cs="Arial"/>
              </w:rPr>
              <w:t>0.000</w:t>
            </w:r>
          </w:p>
        </w:tc>
      </w:tr>
      <w:tr w:rsidR="00C44973" w:rsidRPr="00C44973" w14:paraId="51B732D2" w14:textId="77777777" w:rsidTr="00EC2AAD">
        <w:trPr>
          <w:jc w:val="center"/>
        </w:trPr>
        <w:tc>
          <w:tcPr>
            <w:tcW w:w="1323" w:type="pct"/>
          </w:tcPr>
          <w:p w14:paraId="430E4040" w14:textId="77777777" w:rsidR="00C44973" w:rsidRPr="00C44973" w:rsidRDefault="00C44973" w:rsidP="0076679D">
            <w:pPr>
              <w:pStyle w:val="Body"/>
              <w:spacing w:after="0"/>
              <w:rPr>
                <w:rFonts w:ascii="Arial" w:hAnsi="Arial" w:cs="Arial"/>
                <w:bCs/>
              </w:rPr>
            </w:pPr>
            <w:r w:rsidRPr="00C44973">
              <w:rPr>
                <w:rFonts w:ascii="Arial" w:hAnsi="Arial" w:cs="Arial"/>
                <w:bCs/>
              </w:rPr>
              <w:t>BNAT</w:t>
            </w:r>
          </w:p>
        </w:tc>
        <w:tc>
          <w:tcPr>
            <w:tcW w:w="1538" w:type="pct"/>
            <w:vAlign w:val="bottom"/>
          </w:tcPr>
          <w:p w14:paraId="14C3C087" w14:textId="77777777" w:rsidR="00C44973" w:rsidRPr="00C44973" w:rsidRDefault="00C44973" w:rsidP="0076679D">
            <w:pPr>
              <w:pStyle w:val="Body"/>
              <w:spacing w:after="0"/>
              <w:rPr>
                <w:rFonts w:ascii="Arial" w:hAnsi="Arial" w:cs="Arial"/>
              </w:rPr>
            </w:pPr>
            <w:r w:rsidRPr="00C44973">
              <w:rPr>
                <w:rFonts w:ascii="Arial" w:hAnsi="Arial" w:cs="Arial"/>
              </w:rPr>
              <w:t>-0.029</w:t>
            </w:r>
          </w:p>
        </w:tc>
        <w:tc>
          <w:tcPr>
            <w:tcW w:w="1356" w:type="pct"/>
          </w:tcPr>
          <w:p w14:paraId="34BDB663" w14:textId="77777777" w:rsidR="00C44973" w:rsidRPr="00C44973" w:rsidRDefault="00C44973" w:rsidP="0076679D">
            <w:pPr>
              <w:pStyle w:val="Body"/>
              <w:spacing w:after="0"/>
              <w:rPr>
                <w:rFonts w:ascii="Arial" w:hAnsi="Arial" w:cs="Arial"/>
              </w:rPr>
            </w:pPr>
            <w:r w:rsidRPr="00C44973">
              <w:rPr>
                <w:rFonts w:ascii="Arial" w:hAnsi="Arial" w:cs="Arial"/>
              </w:rPr>
              <w:t>-1.328</w:t>
            </w:r>
          </w:p>
        </w:tc>
        <w:tc>
          <w:tcPr>
            <w:tcW w:w="783" w:type="pct"/>
          </w:tcPr>
          <w:p w14:paraId="6D0AC868" w14:textId="77777777" w:rsidR="00C44973" w:rsidRPr="00C44973" w:rsidRDefault="00C44973" w:rsidP="0076679D">
            <w:pPr>
              <w:pStyle w:val="Body"/>
              <w:spacing w:after="0"/>
              <w:rPr>
                <w:rFonts w:ascii="Arial" w:hAnsi="Arial" w:cs="Arial"/>
              </w:rPr>
            </w:pPr>
            <w:r w:rsidRPr="00C44973">
              <w:rPr>
                <w:rFonts w:ascii="Arial" w:hAnsi="Arial" w:cs="Arial"/>
              </w:rPr>
              <w:t>0.001</w:t>
            </w:r>
          </w:p>
        </w:tc>
      </w:tr>
      <w:tr w:rsidR="00C44973" w:rsidRPr="00C44973" w14:paraId="7916F8E8" w14:textId="77777777" w:rsidTr="00EC2AAD">
        <w:trPr>
          <w:jc w:val="center"/>
        </w:trPr>
        <w:tc>
          <w:tcPr>
            <w:tcW w:w="1323" w:type="pct"/>
          </w:tcPr>
          <w:p w14:paraId="7C2571A3" w14:textId="77777777" w:rsidR="00C44973" w:rsidRPr="00C44973" w:rsidRDefault="00C44973" w:rsidP="0076679D">
            <w:pPr>
              <w:pStyle w:val="Body"/>
              <w:spacing w:after="0"/>
              <w:rPr>
                <w:rFonts w:ascii="Arial" w:hAnsi="Arial" w:cs="Arial"/>
                <w:bCs/>
              </w:rPr>
            </w:pPr>
            <w:r w:rsidRPr="00C44973">
              <w:rPr>
                <w:rFonts w:ascii="Arial" w:hAnsi="Arial" w:cs="Arial"/>
                <w:bCs/>
              </w:rPr>
              <w:t>TGHGS</w:t>
            </w:r>
          </w:p>
        </w:tc>
        <w:tc>
          <w:tcPr>
            <w:tcW w:w="1538" w:type="pct"/>
          </w:tcPr>
          <w:p w14:paraId="438561C4" w14:textId="77777777" w:rsidR="00C44973" w:rsidRPr="00C44973" w:rsidRDefault="00C44973" w:rsidP="0076679D">
            <w:pPr>
              <w:pStyle w:val="Body"/>
              <w:spacing w:after="0"/>
              <w:rPr>
                <w:rFonts w:ascii="Arial" w:hAnsi="Arial" w:cs="Arial"/>
              </w:rPr>
            </w:pPr>
            <w:r w:rsidRPr="00C44973">
              <w:rPr>
                <w:rFonts w:ascii="Arial" w:hAnsi="Arial" w:cs="Arial"/>
              </w:rPr>
              <w:t>5.268</w:t>
            </w:r>
          </w:p>
        </w:tc>
        <w:tc>
          <w:tcPr>
            <w:tcW w:w="1356" w:type="pct"/>
            <w:vAlign w:val="bottom"/>
          </w:tcPr>
          <w:p w14:paraId="6F04773D" w14:textId="77777777" w:rsidR="00C44973" w:rsidRPr="00C44973" w:rsidRDefault="00C44973" w:rsidP="0076679D">
            <w:pPr>
              <w:pStyle w:val="Body"/>
              <w:spacing w:after="0"/>
              <w:rPr>
                <w:rFonts w:ascii="Arial" w:hAnsi="Arial" w:cs="Arial"/>
              </w:rPr>
            </w:pPr>
            <w:r w:rsidRPr="00C44973">
              <w:rPr>
                <w:rFonts w:ascii="Arial" w:hAnsi="Arial" w:cs="Arial"/>
              </w:rPr>
              <w:t>0.708</w:t>
            </w:r>
          </w:p>
        </w:tc>
        <w:tc>
          <w:tcPr>
            <w:tcW w:w="783" w:type="pct"/>
          </w:tcPr>
          <w:p w14:paraId="195F539A" w14:textId="77777777" w:rsidR="00C44973" w:rsidRPr="00C44973" w:rsidRDefault="00C44973" w:rsidP="0076679D">
            <w:pPr>
              <w:pStyle w:val="Body"/>
              <w:spacing w:after="0"/>
              <w:rPr>
                <w:rFonts w:ascii="Arial" w:hAnsi="Arial" w:cs="Arial"/>
              </w:rPr>
            </w:pPr>
            <w:r w:rsidRPr="00C44973">
              <w:rPr>
                <w:rFonts w:ascii="Arial" w:hAnsi="Arial" w:cs="Arial"/>
              </w:rPr>
              <w:t>0.003</w:t>
            </w:r>
          </w:p>
        </w:tc>
      </w:tr>
      <w:tr w:rsidR="00C44973" w:rsidRPr="00C44973" w14:paraId="6854728E" w14:textId="77777777" w:rsidTr="00EC2AAD">
        <w:trPr>
          <w:jc w:val="center"/>
        </w:trPr>
        <w:tc>
          <w:tcPr>
            <w:tcW w:w="1323" w:type="pct"/>
          </w:tcPr>
          <w:p w14:paraId="0157E4CE" w14:textId="77777777" w:rsidR="00C44973" w:rsidRPr="00C44973" w:rsidRDefault="00C44973" w:rsidP="0076679D">
            <w:pPr>
              <w:pStyle w:val="Body"/>
              <w:spacing w:after="0"/>
              <w:rPr>
                <w:rFonts w:ascii="Arial" w:hAnsi="Arial" w:cs="Arial"/>
                <w:bCs/>
              </w:rPr>
            </w:pPr>
            <w:r w:rsidRPr="00C44973">
              <w:rPr>
                <w:rFonts w:ascii="Arial" w:hAnsi="Arial" w:cs="Arial"/>
                <w:bCs/>
              </w:rPr>
              <w:t>RENG</w:t>
            </w:r>
          </w:p>
        </w:tc>
        <w:tc>
          <w:tcPr>
            <w:tcW w:w="1538" w:type="pct"/>
          </w:tcPr>
          <w:p w14:paraId="23F16484" w14:textId="77777777" w:rsidR="00C44973" w:rsidRPr="00C44973" w:rsidRDefault="00C44973" w:rsidP="0076679D">
            <w:pPr>
              <w:pStyle w:val="Body"/>
              <w:spacing w:after="0"/>
              <w:rPr>
                <w:rFonts w:ascii="Arial" w:hAnsi="Arial" w:cs="Arial"/>
              </w:rPr>
            </w:pPr>
            <w:r w:rsidRPr="00C44973">
              <w:rPr>
                <w:rFonts w:ascii="Arial" w:hAnsi="Arial" w:cs="Arial"/>
              </w:rPr>
              <w:t>-0.920</w:t>
            </w:r>
          </w:p>
        </w:tc>
        <w:tc>
          <w:tcPr>
            <w:tcW w:w="1356" w:type="pct"/>
            <w:vAlign w:val="bottom"/>
          </w:tcPr>
          <w:p w14:paraId="7EA9DFD6" w14:textId="77777777" w:rsidR="00C44973" w:rsidRPr="00C44973" w:rsidRDefault="00C44973" w:rsidP="0076679D">
            <w:pPr>
              <w:pStyle w:val="Body"/>
              <w:spacing w:after="0"/>
              <w:rPr>
                <w:rFonts w:ascii="Arial" w:hAnsi="Arial" w:cs="Arial"/>
              </w:rPr>
            </w:pPr>
            <w:r w:rsidRPr="00C44973">
              <w:rPr>
                <w:rFonts w:ascii="Arial" w:hAnsi="Arial" w:cs="Arial"/>
              </w:rPr>
              <w:t>-0.425</w:t>
            </w:r>
          </w:p>
        </w:tc>
        <w:tc>
          <w:tcPr>
            <w:tcW w:w="783" w:type="pct"/>
          </w:tcPr>
          <w:p w14:paraId="55FD0FD0" w14:textId="77777777" w:rsidR="00C44973" w:rsidRPr="00C44973" w:rsidRDefault="00C44973" w:rsidP="0076679D">
            <w:pPr>
              <w:pStyle w:val="Body"/>
              <w:spacing w:after="0"/>
              <w:rPr>
                <w:rFonts w:ascii="Arial" w:hAnsi="Arial" w:cs="Arial"/>
              </w:rPr>
            </w:pPr>
            <w:r w:rsidRPr="00C44973">
              <w:rPr>
                <w:rFonts w:ascii="Arial" w:hAnsi="Arial" w:cs="Arial"/>
              </w:rPr>
              <w:t>0.674</w:t>
            </w:r>
          </w:p>
        </w:tc>
      </w:tr>
      <w:tr w:rsidR="00C44973" w:rsidRPr="00C44973" w14:paraId="69D4ADBB" w14:textId="77777777" w:rsidTr="00EC2AAD">
        <w:trPr>
          <w:jc w:val="center"/>
        </w:trPr>
        <w:tc>
          <w:tcPr>
            <w:tcW w:w="1323" w:type="pct"/>
          </w:tcPr>
          <w:p w14:paraId="0ABBA32E" w14:textId="77777777" w:rsidR="00C44973" w:rsidRPr="00C44973" w:rsidRDefault="00C44973" w:rsidP="0076679D">
            <w:pPr>
              <w:pStyle w:val="Body"/>
              <w:spacing w:after="0"/>
              <w:rPr>
                <w:rFonts w:ascii="Arial" w:hAnsi="Arial" w:cs="Arial"/>
                <w:bCs/>
              </w:rPr>
            </w:pPr>
            <w:r w:rsidRPr="00C44973">
              <w:rPr>
                <w:rFonts w:ascii="Arial" w:hAnsi="Arial" w:cs="Arial"/>
                <w:bCs/>
              </w:rPr>
              <w:t xml:space="preserve">J-statistic </w:t>
            </w:r>
          </w:p>
        </w:tc>
        <w:tc>
          <w:tcPr>
            <w:tcW w:w="1538" w:type="pct"/>
          </w:tcPr>
          <w:p w14:paraId="5B6FDD46" w14:textId="77777777" w:rsidR="00C44973" w:rsidRPr="00C44973" w:rsidRDefault="00C44973" w:rsidP="0076679D">
            <w:pPr>
              <w:pStyle w:val="Body"/>
              <w:spacing w:after="0"/>
              <w:rPr>
                <w:rFonts w:ascii="Arial" w:hAnsi="Arial" w:cs="Arial"/>
              </w:rPr>
            </w:pPr>
            <w:r w:rsidRPr="00C44973">
              <w:rPr>
                <w:rFonts w:ascii="Arial" w:hAnsi="Arial" w:cs="Arial"/>
              </w:rPr>
              <w:t>45.91</w:t>
            </w:r>
          </w:p>
        </w:tc>
        <w:tc>
          <w:tcPr>
            <w:tcW w:w="1356" w:type="pct"/>
            <w:vAlign w:val="bottom"/>
          </w:tcPr>
          <w:p w14:paraId="6D889DCB" w14:textId="77777777" w:rsidR="00C44973" w:rsidRPr="00C44973" w:rsidRDefault="00C44973" w:rsidP="0076679D">
            <w:pPr>
              <w:pStyle w:val="Body"/>
              <w:spacing w:after="0"/>
              <w:rPr>
                <w:rFonts w:ascii="Arial" w:hAnsi="Arial" w:cs="Arial"/>
              </w:rPr>
            </w:pPr>
          </w:p>
        </w:tc>
        <w:tc>
          <w:tcPr>
            <w:tcW w:w="783" w:type="pct"/>
          </w:tcPr>
          <w:p w14:paraId="2D1A6D02" w14:textId="77777777" w:rsidR="00C44973" w:rsidRPr="00C44973" w:rsidRDefault="00C44973" w:rsidP="0076679D">
            <w:pPr>
              <w:pStyle w:val="Body"/>
              <w:spacing w:after="0"/>
              <w:rPr>
                <w:rFonts w:ascii="Arial" w:hAnsi="Arial" w:cs="Arial"/>
              </w:rPr>
            </w:pPr>
          </w:p>
        </w:tc>
      </w:tr>
      <w:tr w:rsidR="00C44973" w:rsidRPr="00C44973" w14:paraId="4A7B9682" w14:textId="77777777" w:rsidTr="00EC2AAD">
        <w:trPr>
          <w:jc w:val="center"/>
        </w:trPr>
        <w:tc>
          <w:tcPr>
            <w:tcW w:w="1323" w:type="pct"/>
            <w:tcBorders>
              <w:bottom w:val="single" w:sz="4" w:space="0" w:color="auto"/>
            </w:tcBorders>
          </w:tcPr>
          <w:p w14:paraId="1F19CE21" w14:textId="77777777" w:rsidR="00C44973" w:rsidRPr="00C44973" w:rsidRDefault="00C44973" w:rsidP="0076679D">
            <w:pPr>
              <w:pStyle w:val="Body"/>
              <w:spacing w:after="0"/>
              <w:rPr>
                <w:rFonts w:ascii="Arial" w:hAnsi="Arial" w:cs="Arial"/>
                <w:bCs/>
              </w:rPr>
            </w:pPr>
            <w:r w:rsidRPr="00C44973">
              <w:rPr>
                <w:rFonts w:ascii="Arial" w:hAnsi="Arial" w:cs="Arial"/>
                <w:bCs/>
              </w:rPr>
              <w:t>Prob (J-statistic)</w:t>
            </w:r>
          </w:p>
        </w:tc>
        <w:tc>
          <w:tcPr>
            <w:tcW w:w="1538" w:type="pct"/>
            <w:tcBorders>
              <w:bottom w:val="single" w:sz="4" w:space="0" w:color="auto"/>
            </w:tcBorders>
          </w:tcPr>
          <w:p w14:paraId="3C0590BF" w14:textId="77777777" w:rsidR="00C44973" w:rsidRPr="00C44973" w:rsidRDefault="00C44973" w:rsidP="0076679D">
            <w:pPr>
              <w:pStyle w:val="Body"/>
              <w:spacing w:after="0"/>
              <w:rPr>
                <w:rFonts w:ascii="Arial" w:hAnsi="Arial" w:cs="Arial"/>
              </w:rPr>
            </w:pPr>
            <w:r w:rsidRPr="00C44973">
              <w:rPr>
                <w:rFonts w:ascii="Arial" w:hAnsi="Arial" w:cs="Arial"/>
              </w:rPr>
              <w:t>0.000</w:t>
            </w:r>
          </w:p>
        </w:tc>
        <w:tc>
          <w:tcPr>
            <w:tcW w:w="1356" w:type="pct"/>
            <w:tcBorders>
              <w:bottom w:val="single" w:sz="4" w:space="0" w:color="auto"/>
            </w:tcBorders>
            <w:vAlign w:val="bottom"/>
          </w:tcPr>
          <w:p w14:paraId="3C8EB12D" w14:textId="77777777" w:rsidR="00C44973" w:rsidRPr="00C44973" w:rsidRDefault="00C44973" w:rsidP="0076679D">
            <w:pPr>
              <w:pStyle w:val="Body"/>
              <w:spacing w:after="0"/>
              <w:rPr>
                <w:rFonts w:ascii="Arial" w:hAnsi="Arial" w:cs="Arial"/>
              </w:rPr>
            </w:pPr>
          </w:p>
        </w:tc>
        <w:tc>
          <w:tcPr>
            <w:tcW w:w="783" w:type="pct"/>
            <w:tcBorders>
              <w:bottom w:val="single" w:sz="4" w:space="0" w:color="auto"/>
            </w:tcBorders>
          </w:tcPr>
          <w:p w14:paraId="492FD141" w14:textId="77777777" w:rsidR="00C44973" w:rsidRPr="00C44973" w:rsidRDefault="00C44973" w:rsidP="0076679D">
            <w:pPr>
              <w:pStyle w:val="Body"/>
              <w:spacing w:after="0"/>
              <w:rPr>
                <w:rFonts w:ascii="Arial" w:hAnsi="Arial" w:cs="Arial"/>
              </w:rPr>
            </w:pPr>
          </w:p>
        </w:tc>
      </w:tr>
    </w:tbl>
    <w:p w14:paraId="0249E8A6" w14:textId="5F9C83C4" w:rsidR="00C44973" w:rsidRPr="00C44973" w:rsidRDefault="00C44973" w:rsidP="00EC2AAD">
      <w:pPr>
        <w:pStyle w:val="Body"/>
        <w:spacing w:after="0"/>
        <w:jc w:val="center"/>
        <w:rPr>
          <w:rFonts w:ascii="Arial" w:hAnsi="Arial" w:cs="Arial"/>
          <w:b/>
          <w:bCs/>
          <w:lang w:bidi="en-US"/>
        </w:rPr>
      </w:pPr>
      <w:r w:rsidRPr="00C44973">
        <w:rPr>
          <w:rFonts w:ascii="Arial" w:hAnsi="Arial" w:cs="Arial"/>
          <w:b/>
          <w:bCs/>
          <w:lang w:bidi="en-US"/>
        </w:rPr>
        <w:t>Source: Computed from E-view 13 Software, 2025</w:t>
      </w:r>
    </w:p>
    <w:p w14:paraId="686EDF9A" w14:textId="77777777" w:rsidR="00C44973" w:rsidRPr="00C44973" w:rsidRDefault="00C44973" w:rsidP="00C44973">
      <w:pPr>
        <w:pStyle w:val="Body"/>
        <w:spacing w:after="0"/>
        <w:rPr>
          <w:rFonts w:ascii="Arial" w:hAnsi="Arial" w:cs="Arial"/>
          <w:b/>
          <w:bCs/>
        </w:rPr>
      </w:pPr>
    </w:p>
    <w:p w14:paraId="0084F2BD" w14:textId="52E42F41" w:rsidR="00C44973" w:rsidRPr="00EC2AAD" w:rsidRDefault="00C44973" w:rsidP="00C44973">
      <w:pPr>
        <w:pStyle w:val="Body"/>
        <w:spacing w:after="0"/>
        <w:rPr>
          <w:rFonts w:ascii="Arial" w:hAnsi="Arial" w:cs="Arial"/>
          <w:b/>
          <w:bCs/>
          <w:sz w:val="22"/>
          <w:szCs w:val="22"/>
        </w:rPr>
      </w:pPr>
      <w:bookmarkStart w:id="1" w:name="_GoBack"/>
      <w:bookmarkEnd w:id="1"/>
      <w:r w:rsidRPr="00EC2AAD">
        <w:rPr>
          <w:rFonts w:ascii="Arial" w:hAnsi="Arial" w:cs="Arial"/>
          <w:b/>
          <w:bCs/>
          <w:sz w:val="22"/>
          <w:szCs w:val="22"/>
        </w:rPr>
        <w:t>Discussion of Findings</w:t>
      </w:r>
    </w:p>
    <w:p w14:paraId="2C854B33" w14:textId="77777777" w:rsidR="00EC2AAD" w:rsidRPr="00C44973" w:rsidRDefault="00EC2AAD" w:rsidP="00C44973">
      <w:pPr>
        <w:pStyle w:val="Body"/>
        <w:spacing w:after="0"/>
        <w:rPr>
          <w:rFonts w:ascii="Arial" w:hAnsi="Arial" w:cs="Arial"/>
          <w:b/>
          <w:bCs/>
        </w:rPr>
      </w:pPr>
    </w:p>
    <w:p w14:paraId="0760F456" w14:textId="77777777" w:rsidR="00C44973" w:rsidRPr="00C44973" w:rsidRDefault="00C44973" w:rsidP="00EC2AAD">
      <w:pPr>
        <w:pStyle w:val="Body"/>
        <w:rPr>
          <w:rFonts w:ascii="Arial" w:hAnsi="Arial" w:cs="Arial"/>
        </w:rPr>
      </w:pPr>
      <w:r w:rsidRPr="00C44973">
        <w:rPr>
          <w:rFonts w:ascii="Arial" w:hAnsi="Arial" w:cs="Arial"/>
        </w:rPr>
        <w:t xml:space="preserve">The findings of this study provide a comprehensive understanding of how corporate governance mechanisms and environmental performance influence sustainability reporting </w:t>
      </w:r>
      <w:r w:rsidRPr="00C44973">
        <w:rPr>
          <w:rFonts w:ascii="Arial" w:hAnsi="Arial" w:cs="Arial"/>
        </w:rPr>
        <w:lastRenderedPageBreak/>
        <w:t>among listed insurance firms in Nigeria. The results reflect the growing but uneven integration of sustainability principles within the Nigerian corporate landscape and align closely with the theoretical underpinnings of Stakeholder Theory, which emphasizes the firm’s accountability to diverse stakeholder groups through transparent reporting practices.</w:t>
      </w:r>
    </w:p>
    <w:p w14:paraId="2D8A3926" w14:textId="77777777" w:rsidR="00C44973" w:rsidRPr="00C44973" w:rsidRDefault="00C44973" w:rsidP="00EC2AAD">
      <w:pPr>
        <w:pStyle w:val="Body"/>
        <w:rPr>
          <w:rFonts w:ascii="Arial" w:hAnsi="Arial" w:cs="Arial"/>
        </w:rPr>
      </w:pPr>
      <w:r w:rsidRPr="00C44973">
        <w:rPr>
          <w:rFonts w:ascii="Arial" w:hAnsi="Arial" w:cs="Arial"/>
        </w:rPr>
        <w:t xml:space="preserve">The descriptive analysis revealed that the average level of sustainability reporting (mean = .7272) remains relatively low among Nigerian insurance firms, suggesting that sustainability disclosure is still in its formative stage. This is consistent with the findings of </w:t>
      </w:r>
      <w:proofErr w:type="spellStart"/>
      <w:r w:rsidRPr="00C44973">
        <w:rPr>
          <w:rFonts w:ascii="Arial" w:hAnsi="Arial" w:cs="Arial"/>
        </w:rPr>
        <w:t>Uwuigbe</w:t>
      </w:r>
      <w:proofErr w:type="spellEnd"/>
      <w:r w:rsidRPr="00C44973">
        <w:rPr>
          <w:rFonts w:ascii="Arial" w:hAnsi="Arial" w:cs="Arial"/>
        </w:rPr>
        <w:t xml:space="preserve"> et al. (2018) who both observed that despite increasing global attention on sustainability, Nigerian firms, particularly in the financial and insurance sectors, exhibit limited disclosure, largely driven by voluntary compliance rather than regulatory enforcement. The high standard deviation in sustainability reporting further indicates considerable disparities across firms, which may stem from variations in board composition, firm size, and exposure to external stakeholder pressures. Similarly, the descriptive results showed that while directors’ reputational capital varies widely, the proportion of foreign directors remains relatively low (mean = 16.44%), pointing to limited international participation in corporate governance within the Nigerian insurance industry.</w:t>
      </w:r>
    </w:p>
    <w:p w14:paraId="2ABF24BC" w14:textId="3189447F" w:rsidR="00C44973" w:rsidRPr="00C44973" w:rsidRDefault="00C44973" w:rsidP="00EC2AAD">
      <w:pPr>
        <w:pStyle w:val="Body"/>
        <w:rPr>
          <w:rFonts w:ascii="Arial" w:hAnsi="Arial" w:cs="Arial"/>
        </w:rPr>
      </w:pPr>
      <w:r w:rsidRPr="00C44973">
        <w:rPr>
          <w:rFonts w:ascii="Arial" w:hAnsi="Arial" w:cs="Arial"/>
        </w:rPr>
        <w:t xml:space="preserve">The correlation analysis showed weak associations among the study variables, particularly a mild positive link between board reputational capital and sustainability reporting (r = .045). This suggests that foreign-national directors do not necessarily drive more ESG disclosure in Nigerian insurance firms. This contrasts with some global governance </w:t>
      </w:r>
      <w:r w:rsidR="00EC2AAD" w:rsidRPr="00C44973">
        <w:rPr>
          <w:rFonts w:ascii="Arial" w:hAnsi="Arial" w:cs="Arial"/>
        </w:rPr>
        <w:t>narratives but</w:t>
      </w:r>
      <w:r w:rsidRPr="00C44973">
        <w:rPr>
          <w:rFonts w:ascii="Arial" w:hAnsi="Arial" w:cs="Arial"/>
        </w:rPr>
        <w:t xml:space="preserve"> is consistent with evidence from Nigerian oil and gas firms that found nationality diversity on boards is not always positively associated with environmental disclosure (</w:t>
      </w:r>
      <w:proofErr w:type="spellStart"/>
      <w:r w:rsidRPr="00C44973">
        <w:rPr>
          <w:rFonts w:ascii="Arial" w:hAnsi="Arial" w:cs="Arial"/>
        </w:rPr>
        <w:t>Orumwense</w:t>
      </w:r>
      <w:proofErr w:type="spellEnd"/>
      <w:r w:rsidRPr="00C44973">
        <w:rPr>
          <w:rFonts w:ascii="Arial" w:hAnsi="Arial" w:cs="Arial"/>
        </w:rPr>
        <w:t xml:space="preserve"> &amp; </w:t>
      </w:r>
      <w:proofErr w:type="spellStart"/>
      <w:r w:rsidRPr="00C44973">
        <w:rPr>
          <w:rFonts w:ascii="Arial" w:hAnsi="Arial" w:cs="Arial"/>
        </w:rPr>
        <w:t>Osa-Izeko</w:t>
      </w:r>
      <w:proofErr w:type="spellEnd"/>
      <w:r w:rsidRPr="00C44973">
        <w:rPr>
          <w:rFonts w:ascii="Arial" w:hAnsi="Arial" w:cs="Arial"/>
        </w:rPr>
        <w:t xml:space="preserve">, 2023). It may reflect contextual barriers: foreign directors may lack local legitimacy, institutional knowledge, or influence in environments where regulatory enforcement is weak. The panel unit root test confirmed that all variables were stationary at either level or first difference, indicating that the data were suitable for dynamic estimation techniques. The stability of the variables suggests consistent reporting and governance patterns across firms and over time. The absence of multicollinearity, confirmed by the low centered VIF values (ranging from 1.02 to 1.10), further validates the independence of the explanatory variables and supports the robustness of the regression model. The heteroscedasticity test result indicated some evidence of variance instability, which justified the use of the System GMM estimator to correct for heteroscedasticity and endogeneity. </w:t>
      </w:r>
    </w:p>
    <w:p w14:paraId="01F10BCB" w14:textId="6196BBC1" w:rsidR="00C44973" w:rsidRPr="00C44973" w:rsidRDefault="00C44973" w:rsidP="00EC2AAD">
      <w:pPr>
        <w:pStyle w:val="Body"/>
        <w:rPr>
          <w:rFonts w:ascii="Arial" w:hAnsi="Arial" w:cs="Arial"/>
        </w:rPr>
      </w:pPr>
      <w:r w:rsidRPr="00C44973">
        <w:rPr>
          <w:rFonts w:ascii="Arial" w:hAnsi="Arial" w:cs="Arial"/>
        </w:rPr>
        <w:t>The regression analysis showed that the lagged dependent variable (SR</w:t>
      </w:r>
      <w:r w:rsidRPr="00C44973">
        <w:rPr>
          <w:rFonts w:ascii="Cambria Math" w:hAnsi="Cambria Math" w:cs="Cambria Math"/>
        </w:rPr>
        <w:t>₍₋₁₎</w:t>
      </w:r>
      <w:r w:rsidRPr="00C44973">
        <w:rPr>
          <w:rFonts w:ascii="Arial" w:hAnsi="Arial" w:cs="Arial"/>
        </w:rPr>
        <w:t xml:space="preserve">) was positively and significantly related to sustainability reporting (β = .161, </w:t>
      </w:r>
      <w:r w:rsidR="00EC2AAD" w:rsidRPr="0076679D">
        <w:rPr>
          <w:rFonts w:ascii="Arial" w:hAnsi="Arial" w:cs="Arial"/>
          <w:i/>
          <w:iCs/>
          <w:lang w:bidi="en-US"/>
        </w:rPr>
        <w:t>P</w:t>
      </w:r>
      <w:r w:rsidRPr="00C44973">
        <w:rPr>
          <w:rFonts w:ascii="Arial" w:hAnsi="Arial" w:cs="Arial"/>
        </w:rPr>
        <w:t xml:space="preserve"> &lt; .001), suggesting persistence in firms’ disclosure </w:t>
      </w:r>
      <w:proofErr w:type="spellStart"/>
      <w:r w:rsidRPr="00C44973">
        <w:rPr>
          <w:rFonts w:ascii="Arial" w:hAnsi="Arial" w:cs="Arial"/>
        </w:rPr>
        <w:t>behaviour</w:t>
      </w:r>
      <w:proofErr w:type="spellEnd"/>
      <w:r w:rsidRPr="00C44973">
        <w:rPr>
          <w:rFonts w:ascii="Arial" w:hAnsi="Arial" w:cs="Arial"/>
        </w:rPr>
        <w:t>. This persistence is consistent with institutional learning: once firms begin reporting, they tend to continue. That finding resonates with prior work on sustainability practices in Nigeria, where long-term governance patterns and stakeholder engagement support continuity in non-financial disclosure (</w:t>
      </w:r>
      <w:proofErr w:type="spellStart"/>
      <w:r w:rsidRPr="00C44973">
        <w:rPr>
          <w:rFonts w:ascii="Arial" w:hAnsi="Arial" w:cs="Arial"/>
        </w:rPr>
        <w:t>Elaigwu</w:t>
      </w:r>
      <w:proofErr w:type="spellEnd"/>
      <w:r w:rsidRPr="00C44973">
        <w:rPr>
          <w:rFonts w:ascii="Arial" w:hAnsi="Arial" w:cs="Arial"/>
        </w:rPr>
        <w:t xml:space="preserve">, 2024; </w:t>
      </w:r>
      <w:proofErr w:type="spellStart"/>
      <w:r w:rsidRPr="00C44973">
        <w:rPr>
          <w:rFonts w:ascii="Arial" w:hAnsi="Arial" w:cs="Arial"/>
        </w:rPr>
        <w:t>Ngwobia</w:t>
      </w:r>
      <w:proofErr w:type="spellEnd"/>
      <w:r w:rsidRPr="00C44973">
        <w:rPr>
          <w:rFonts w:ascii="Arial" w:hAnsi="Arial" w:cs="Arial"/>
        </w:rPr>
        <w:t xml:space="preserve"> &amp; Okwara, 2025). A key finding of the study is the strong positive and significant effect of board </w:t>
      </w:r>
      <w:r w:rsidR="00EC2AAD" w:rsidRPr="00C44973">
        <w:rPr>
          <w:rFonts w:ascii="Arial" w:hAnsi="Arial" w:cs="Arial"/>
        </w:rPr>
        <w:t>director’s</w:t>
      </w:r>
      <w:r w:rsidRPr="00C44973">
        <w:rPr>
          <w:rFonts w:ascii="Arial" w:hAnsi="Arial" w:cs="Arial"/>
        </w:rPr>
        <w:t xml:space="preserve"> reputational capital (BDRC) on sustainability reporting (β = 9.720, </w:t>
      </w:r>
      <w:r w:rsidR="00EC2AAD" w:rsidRPr="0076679D">
        <w:rPr>
          <w:rFonts w:ascii="Arial" w:hAnsi="Arial" w:cs="Arial"/>
          <w:i/>
          <w:iCs/>
          <w:lang w:bidi="en-US"/>
        </w:rPr>
        <w:t>P</w:t>
      </w:r>
      <w:r w:rsidRPr="00C44973">
        <w:rPr>
          <w:rFonts w:ascii="Arial" w:hAnsi="Arial" w:cs="Arial"/>
        </w:rPr>
        <w:t xml:space="preserve"> &lt; .001). This indicates that directors with high reputational standing tend to encourage greater disclosure as part of their effort to maintain personal and institutional credibility. This finding aligns with Kilic and </w:t>
      </w:r>
      <w:proofErr w:type="spellStart"/>
      <w:r w:rsidRPr="00C44973">
        <w:rPr>
          <w:rFonts w:ascii="Arial" w:hAnsi="Arial" w:cs="Arial"/>
        </w:rPr>
        <w:t>Kuzey</w:t>
      </w:r>
      <w:proofErr w:type="spellEnd"/>
      <w:r w:rsidRPr="00C44973">
        <w:rPr>
          <w:rFonts w:ascii="Arial" w:hAnsi="Arial" w:cs="Arial"/>
        </w:rPr>
        <w:t xml:space="preserve"> (2019) and </w:t>
      </w:r>
      <w:proofErr w:type="spellStart"/>
      <w:r w:rsidRPr="00C44973">
        <w:rPr>
          <w:rFonts w:ascii="Arial" w:hAnsi="Arial" w:cs="Arial"/>
        </w:rPr>
        <w:t>Michelon</w:t>
      </w:r>
      <w:proofErr w:type="spellEnd"/>
      <w:r w:rsidRPr="00C44973">
        <w:rPr>
          <w:rFonts w:ascii="Arial" w:hAnsi="Arial" w:cs="Arial"/>
        </w:rPr>
        <w:t xml:space="preserve"> and </w:t>
      </w:r>
      <w:proofErr w:type="spellStart"/>
      <w:r w:rsidRPr="00C44973">
        <w:rPr>
          <w:rFonts w:ascii="Arial" w:hAnsi="Arial" w:cs="Arial"/>
        </w:rPr>
        <w:t>Parbonetti</w:t>
      </w:r>
      <w:proofErr w:type="spellEnd"/>
      <w:r w:rsidRPr="00C44973">
        <w:rPr>
          <w:rFonts w:ascii="Arial" w:hAnsi="Arial" w:cs="Arial"/>
        </w:rPr>
        <w:t xml:space="preserve"> (2012), who both found that reputable board members often drive firms toward ethical reporting </w:t>
      </w:r>
      <w:proofErr w:type="spellStart"/>
      <w:r w:rsidRPr="00C44973">
        <w:rPr>
          <w:rFonts w:ascii="Arial" w:hAnsi="Arial" w:cs="Arial"/>
        </w:rPr>
        <w:t>behaviour</w:t>
      </w:r>
      <w:proofErr w:type="spellEnd"/>
      <w:r w:rsidRPr="00C44973">
        <w:rPr>
          <w:rFonts w:ascii="Arial" w:hAnsi="Arial" w:cs="Arial"/>
        </w:rPr>
        <w:t xml:space="preserve"> to uphold their standing within professional and societal circles. Within the Nigerian context, this suggests that enhancing board reputation can be a key driver of improved sustainability practices, especially in an environment where regulatory enforcement remains weak and stakeholder trust must be earned through voluntary transparency. In contrast, board nationality (BNAT) had a negative and statistically significant effect on sustainability reporting (β = -.029, </w:t>
      </w:r>
      <w:r w:rsidR="00EC2AAD" w:rsidRPr="0076679D">
        <w:rPr>
          <w:rFonts w:ascii="Arial" w:hAnsi="Arial" w:cs="Arial"/>
          <w:i/>
          <w:iCs/>
          <w:lang w:bidi="en-US"/>
        </w:rPr>
        <w:t>P</w:t>
      </w:r>
      <w:r w:rsidRPr="00C44973">
        <w:rPr>
          <w:rFonts w:ascii="Arial" w:hAnsi="Arial" w:cs="Arial"/>
        </w:rPr>
        <w:t xml:space="preserve"> &lt; .0</w:t>
      </w:r>
      <w:r w:rsidR="00EC2AAD">
        <w:rPr>
          <w:rFonts w:ascii="Arial" w:hAnsi="Arial" w:cs="Arial"/>
        </w:rPr>
        <w:t>01</w:t>
      </w:r>
      <w:r w:rsidRPr="00C44973">
        <w:rPr>
          <w:rFonts w:ascii="Arial" w:hAnsi="Arial" w:cs="Arial"/>
        </w:rPr>
        <w:t xml:space="preserve">), suggesting that foreign directors may not necessarily </w:t>
      </w:r>
      <w:r w:rsidRPr="00C44973">
        <w:rPr>
          <w:rFonts w:ascii="Arial" w:hAnsi="Arial" w:cs="Arial"/>
        </w:rPr>
        <w:lastRenderedPageBreak/>
        <w:t xml:space="preserve">enhance disclosure quality in Nigeria. This finding diverges from studies in developed markets such as </w:t>
      </w:r>
      <w:proofErr w:type="spellStart"/>
      <w:r w:rsidRPr="00C44973">
        <w:rPr>
          <w:rFonts w:ascii="Arial" w:hAnsi="Arial" w:cs="Arial"/>
        </w:rPr>
        <w:t>Muttakin</w:t>
      </w:r>
      <w:proofErr w:type="spellEnd"/>
      <w:r w:rsidRPr="00C44973">
        <w:rPr>
          <w:rFonts w:ascii="Arial" w:hAnsi="Arial" w:cs="Arial"/>
        </w:rPr>
        <w:t xml:space="preserve"> et al. (2015) and </w:t>
      </w:r>
      <w:proofErr w:type="spellStart"/>
      <w:r w:rsidRPr="00C44973">
        <w:rPr>
          <w:rFonts w:ascii="Arial" w:hAnsi="Arial" w:cs="Arial"/>
        </w:rPr>
        <w:t>Haniffa</w:t>
      </w:r>
      <w:proofErr w:type="spellEnd"/>
      <w:r w:rsidRPr="00C44973">
        <w:rPr>
          <w:rFonts w:ascii="Arial" w:hAnsi="Arial" w:cs="Arial"/>
        </w:rPr>
        <w:t xml:space="preserve"> and Cooke (2002), which reported positive effects of foreign board representation on corporate transparency. The divergence likely stems from contextual differences, while foreign directors in developed economies contribute technical expertise and global governance standards, in Nigeria, institutional challenges, cultural dissimilarities, and regulatory ambiguity may limit their effectiveness. Similar results were obtained by Okoye and </w:t>
      </w:r>
      <w:proofErr w:type="spellStart"/>
      <w:r w:rsidRPr="00C44973">
        <w:rPr>
          <w:rFonts w:ascii="Arial" w:hAnsi="Arial" w:cs="Arial"/>
        </w:rPr>
        <w:t>Ezejiofor</w:t>
      </w:r>
      <w:proofErr w:type="spellEnd"/>
      <w:r w:rsidRPr="00C44973">
        <w:rPr>
          <w:rFonts w:ascii="Arial" w:hAnsi="Arial" w:cs="Arial"/>
        </w:rPr>
        <w:t xml:space="preserve"> (2021), who found that the influence of foreign directors on governance outcomes in Nigeria is minimal due to structural and institutional weaknesses.</w:t>
      </w:r>
    </w:p>
    <w:p w14:paraId="175E0B28" w14:textId="36260D84" w:rsidR="00C44973" w:rsidRPr="00C44973" w:rsidRDefault="00C44973" w:rsidP="00EC2AAD">
      <w:pPr>
        <w:pStyle w:val="Body"/>
        <w:rPr>
          <w:rFonts w:ascii="Arial" w:hAnsi="Arial" w:cs="Arial"/>
        </w:rPr>
      </w:pPr>
      <w:r w:rsidRPr="00C44973">
        <w:rPr>
          <w:rFonts w:ascii="Arial" w:hAnsi="Arial" w:cs="Arial"/>
        </w:rPr>
        <w:t xml:space="preserve">Among the environmental variables, total greenhouse gas emissions (TGHGS) exhibited a positive and significant impact on sustainability reporting (β = 5.268, </w:t>
      </w:r>
      <w:r w:rsidR="00EC2AAD" w:rsidRPr="0076679D">
        <w:rPr>
          <w:rFonts w:ascii="Arial" w:hAnsi="Arial" w:cs="Arial"/>
          <w:i/>
          <w:iCs/>
          <w:lang w:bidi="en-US"/>
        </w:rPr>
        <w:t>P</w:t>
      </w:r>
      <w:r w:rsidRPr="00C44973">
        <w:rPr>
          <w:rFonts w:ascii="Arial" w:hAnsi="Arial" w:cs="Arial"/>
        </w:rPr>
        <w:t xml:space="preserve"> &lt; .0</w:t>
      </w:r>
      <w:r w:rsidR="00EC2AAD">
        <w:rPr>
          <w:rFonts w:ascii="Arial" w:hAnsi="Arial" w:cs="Arial"/>
        </w:rPr>
        <w:t>0</w:t>
      </w:r>
      <w:r w:rsidRPr="00C44973">
        <w:rPr>
          <w:rFonts w:ascii="Arial" w:hAnsi="Arial" w:cs="Arial"/>
        </w:rPr>
        <w:t xml:space="preserve">1). This implies that firms with higher environmental impact are more inclined to disclose sustainability information as a legitimacy-seeking strategy, consistent with Clarkson et al. (2008) and De Villiers and Van Staden (2011). Firms appear to disclose more when their environmental risks are visible, suggesting that disclosure functions as a reputation management tool rather than purely as a reflection of environmental performance. This aligns with Stakeholder Theory’s claim that firms act in response to stakeholder pressure to maintain legitimacy. Renewable energy consumption (RENG), however, showed a negative but insignificant effect on sustainability reporting (β = .920, </w:t>
      </w:r>
      <w:r w:rsidR="00EC2AAD" w:rsidRPr="0076679D">
        <w:rPr>
          <w:rFonts w:ascii="Arial" w:hAnsi="Arial" w:cs="Arial"/>
          <w:i/>
          <w:iCs/>
          <w:lang w:bidi="en-US"/>
        </w:rPr>
        <w:t>P</w:t>
      </w:r>
      <w:r w:rsidRPr="00C44973">
        <w:rPr>
          <w:rFonts w:ascii="Arial" w:hAnsi="Arial" w:cs="Arial"/>
        </w:rPr>
        <w:t xml:space="preserve"> = .674). This result contrasts with findings by Liesen et al. (2015), who reported a positive relationship between renewable energy initiatives and sustainability reporting in European firms. The insignificance observed in this study may be attributed to the relatively low emphasis on renewable energy initiatives in Nigeria’s insurance sector, which is service-oriented and less dependent on energy-intensive operations. The overall significance of the J-statistic (</w:t>
      </w:r>
      <w:r w:rsidR="00EC2AAD" w:rsidRPr="0076679D">
        <w:rPr>
          <w:rFonts w:ascii="Arial" w:hAnsi="Arial" w:cs="Arial"/>
          <w:i/>
          <w:iCs/>
          <w:lang w:bidi="en-US"/>
        </w:rPr>
        <w:t>P</w:t>
      </w:r>
      <w:r w:rsidRPr="00C44973">
        <w:rPr>
          <w:rFonts w:ascii="Arial" w:hAnsi="Arial" w:cs="Arial"/>
        </w:rPr>
        <w:t xml:space="preserve"> &lt; .0</w:t>
      </w:r>
      <w:r w:rsidR="00EC2AAD">
        <w:rPr>
          <w:rFonts w:ascii="Arial" w:hAnsi="Arial" w:cs="Arial"/>
        </w:rPr>
        <w:t>01</w:t>
      </w:r>
      <w:r w:rsidRPr="00C44973">
        <w:rPr>
          <w:rFonts w:ascii="Arial" w:hAnsi="Arial" w:cs="Arial"/>
        </w:rPr>
        <w:t>) confirms the robustness and validity of the model instruments, further reinforcing the reliability of the results. Collectively, the findings underscore that corporate governance mechanisms, particularly directors’ reputational capital, play a vital role in driving sustainability reporting in Nigeria’s insurance industry. The evidence supports the assertion of Stakeholder Theory that firms strategically use disclosure as a tool for legitimacy, reputation management, and stakeholder engagement.</w:t>
      </w:r>
    </w:p>
    <w:p w14:paraId="0DDEB34C" w14:textId="77777777" w:rsidR="00C44973" w:rsidRDefault="00C44973" w:rsidP="00C44973">
      <w:pPr>
        <w:pStyle w:val="Body"/>
        <w:spacing w:after="0"/>
        <w:rPr>
          <w:rFonts w:ascii="Arial" w:hAnsi="Arial" w:cs="Arial"/>
          <w:b/>
          <w:bCs/>
          <w:sz w:val="22"/>
          <w:szCs w:val="22"/>
        </w:rPr>
      </w:pPr>
      <w:r w:rsidRPr="00EC2AAD">
        <w:rPr>
          <w:rFonts w:ascii="Arial" w:hAnsi="Arial" w:cs="Arial"/>
          <w:b/>
          <w:bCs/>
          <w:sz w:val="22"/>
          <w:szCs w:val="22"/>
        </w:rPr>
        <w:t>5.1 Conclusion</w:t>
      </w:r>
    </w:p>
    <w:p w14:paraId="76340FB5" w14:textId="77777777" w:rsidR="00EC2AAD" w:rsidRPr="00EC2AAD" w:rsidRDefault="00EC2AAD" w:rsidP="00C44973">
      <w:pPr>
        <w:pStyle w:val="Body"/>
        <w:spacing w:after="0"/>
        <w:rPr>
          <w:rFonts w:ascii="Arial" w:hAnsi="Arial" w:cs="Arial"/>
          <w:b/>
          <w:bCs/>
          <w:sz w:val="22"/>
          <w:szCs w:val="22"/>
        </w:rPr>
      </w:pPr>
    </w:p>
    <w:p w14:paraId="33912E75" w14:textId="2D440D33" w:rsidR="00C44973" w:rsidRDefault="00C44973" w:rsidP="00C44973">
      <w:pPr>
        <w:pStyle w:val="Body"/>
        <w:spacing w:after="0"/>
        <w:rPr>
          <w:rFonts w:ascii="Arial" w:hAnsi="Arial" w:cs="Arial"/>
        </w:rPr>
      </w:pPr>
      <w:r w:rsidRPr="00C44973">
        <w:rPr>
          <w:rFonts w:ascii="Arial" w:hAnsi="Arial" w:cs="Arial"/>
        </w:rPr>
        <w:t xml:space="preserve">This study examined the effect of corporate governance mechanisms and environmental performance on sustainability reporting of listed insurance firms in Nigeria, using the System GMM estimation to address endogeneity and firm-level heterogeneity. The findings revealed that sustainability reporting among Nigerian insurance firms remains relatively low, with significant variation across firms. Board directors’ reputational capital was found to exert a strong positive and significant influence on sustainability reporting, indicating that directors with established reputations encourage greater transparency to preserve their integrity and stakeholder trust. Conversely, board nationality exhibited a negative effect, suggesting that the presence of foreign directors does not necessarily translate into improved disclosure practices within the Nigerian context—likely due to institutional and cultural differences. Moreover, environmental performance, proxied by total greenhouse gas emissions, had a significant positive impact on sustainability reporting, supporting the legitimacy motive of firms in disclosing environmental information. These findings collectively affirm the central tenets of Stakeholder Theory, which posits that firms engage in sustainability reporting </w:t>
      </w:r>
      <w:r w:rsidR="00EC2AAD" w:rsidRPr="00C44973">
        <w:rPr>
          <w:rFonts w:ascii="Arial" w:hAnsi="Arial" w:cs="Arial"/>
        </w:rPr>
        <w:t>to</w:t>
      </w:r>
      <w:r w:rsidRPr="00C44973">
        <w:rPr>
          <w:rFonts w:ascii="Arial" w:hAnsi="Arial" w:cs="Arial"/>
        </w:rPr>
        <w:t xml:space="preserve"> satisfy stakeholder expectations, maintain legitimacy, and build trust. The persistence of sustainability disclosure </w:t>
      </w:r>
      <w:proofErr w:type="spellStart"/>
      <w:r w:rsidRPr="00C44973">
        <w:rPr>
          <w:rFonts w:ascii="Arial" w:hAnsi="Arial" w:cs="Arial"/>
        </w:rPr>
        <w:t>behaviour</w:t>
      </w:r>
      <w:proofErr w:type="spellEnd"/>
      <w:r w:rsidRPr="00C44973">
        <w:rPr>
          <w:rFonts w:ascii="Arial" w:hAnsi="Arial" w:cs="Arial"/>
        </w:rPr>
        <w:t xml:space="preserve"> across years also highlights institutional learning and the growing recognition of non-financial reporting as a strategic communication tool within Nigeria’s corporate landscape.</w:t>
      </w:r>
    </w:p>
    <w:p w14:paraId="65FA54DC" w14:textId="7F679FDF" w:rsidR="00334345" w:rsidRDefault="00334345" w:rsidP="00C44973">
      <w:pPr>
        <w:pStyle w:val="Body"/>
        <w:spacing w:after="0"/>
        <w:rPr>
          <w:rFonts w:ascii="Arial" w:hAnsi="Arial" w:cs="Arial"/>
        </w:rPr>
      </w:pPr>
      <w:r w:rsidRPr="00334345">
        <w:rPr>
          <w:rFonts w:ascii="Arial" w:hAnsi="Arial" w:cs="Arial"/>
          <w:highlight w:val="yellow"/>
        </w:rPr>
        <w:lastRenderedPageBreak/>
        <w:t xml:space="preserve">Practically, these findings highlight the need for Nigerian insurance firms to enhance their corporate reporting frameworks by integrating sustainability considerations more intentionally. Moreover, strengthening director accountability can improve the quality and credibility of sustainability disclosures. Insurance firms in Nigeria should also invest in structured ESG reporting systems, adopt globally </w:t>
      </w:r>
      <w:proofErr w:type="spellStart"/>
      <w:r w:rsidRPr="00334345">
        <w:rPr>
          <w:rFonts w:ascii="Arial" w:hAnsi="Arial" w:cs="Arial"/>
          <w:highlight w:val="yellow"/>
        </w:rPr>
        <w:t>recognised</w:t>
      </w:r>
      <w:proofErr w:type="spellEnd"/>
      <w:r w:rsidRPr="00334345">
        <w:rPr>
          <w:rFonts w:ascii="Arial" w:hAnsi="Arial" w:cs="Arial"/>
          <w:highlight w:val="yellow"/>
        </w:rPr>
        <w:t xml:space="preserve"> sustainability standards, and provide targeted training for both local and foreign directors to </w:t>
      </w:r>
      <w:proofErr w:type="spellStart"/>
      <w:r w:rsidRPr="00334345">
        <w:rPr>
          <w:rFonts w:ascii="Arial" w:hAnsi="Arial" w:cs="Arial"/>
          <w:highlight w:val="yellow"/>
        </w:rPr>
        <w:t>harmonise</w:t>
      </w:r>
      <w:proofErr w:type="spellEnd"/>
      <w:r w:rsidRPr="00334345">
        <w:rPr>
          <w:rFonts w:ascii="Arial" w:hAnsi="Arial" w:cs="Arial"/>
          <w:highlight w:val="yellow"/>
        </w:rPr>
        <w:t xml:space="preserve"> reporting expectations. Regulators such as the National Insurance Commission (NAICOM) and the Financial Reporting Council (FRC) can support this process by issuing clearer sustainability reporting guidelines and introducing compliance incentives. By aligning corporate governance practices with sustainability objectives, insurance firms can produce more robust, transparent, and decision-useful corporate reports that meet growing stakeholder and regulatory demands.</w:t>
      </w:r>
    </w:p>
    <w:p w14:paraId="3B9C4D25" w14:textId="77777777" w:rsidR="00EC2AAD" w:rsidRPr="00C44973" w:rsidRDefault="00EC2AAD" w:rsidP="00C44973">
      <w:pPr>
        <w:pStyle w:val="Body"/>
        <w:spacing w:after="0"/>
        <w:rPr>
          <w:rFonts w:ascii="Arial" w:hAnsi="Arial" w:cs="Arial"/>
        </w:rPr>
      </w:pPr>
    </w:p>
    <w:p w14:paraId="63B01768" w14:textId="090E4A1A" w:rsidR="00C44973" w:rsidRDefault="00C44973" w:rsidP="00C44973">
      <w:pPr>
        <w:pStyle w:val="Body"/>
        <w:spacing w:after="0"/>
        <w:rPr>
          <w:rFonts w:ascii="Arial" w:hAnsi="Arial" w:cs="Arial"/>
          <w:b/>
          <w:bCs/>
          <w:sz w:val="22"/>
          <w:szCs w:val="22"/>
        </w:rPr>
      </w:pPr>
      <w:r w:rsidRPr="00EC2AAD">
        <w:rPr>
          <w:rFonts w:ascii="Arial" w:hAnsi="Arial" w:cs="Arial"/>
          <w:b/>
          <w:bCs/>
          <w:sz w:val="22"/>
          <w:szCs w:val="22"/>
        </w:rPr>
        <w:t>5.2 Recommendations</w:t>
      </w:r>
    </w:p>
    <w:p w14:paraId="0BC3A19D" w14:textId="77777777" w:rsidR="00EC2AAD" w:rsidRPr="00EC2AAD" w:rsidRDefault="00EC2AAD" w:rsidP="00C44973">
      <w:pPr>
        <w:pStyle w:val="Body"/>
        <w:spacing w:after="0"/>
        <w:rPr>
          <w:rFonts w:ascii="Arial" w:hAnsi="Arial" w:cs="Arial"/>
          <w:b/>
          <w:bCs/>
          <w:sz w:val="22"/>
          <w:szCs w:val="22"/>
        </w:rPr>
      </w:pPr>
    </w:p>
    <w:p w14:paraId="757ECB41" w14:textId="039F169C" w:rsidR="00C44973" w:rsidRDefault="00C44973" w:rsidP="00C44973">
      <w:pPr>
        <w:pStyle w:val="Body"/>
        <w:spacing w:after="0"/>
        <w:rPr>
          <w:rFonts w:ascii="Arial" w:hAnsi="Arial" w:cs="Arial"/>
        </w:rPr>
      </w:pPr>
      <w:r w:rsidRPr="00C44973">
        <w:rPr>
          <w:rFonts w:ascii="Arial" w:hAnsi="Arial" w:cs="Arial"/>
        </w:rPr>
        <w:t xml:space="preserve">Based on the findings, it is recommended that Nigerian insurance firms strengthen their governance structures by appointing directors with high reputational standing and proven records of integrity, as such individuals positively influence sustainability reporting and enhance stakeholder trust. The regulatory authorities, such as the National Insurance Commission (NAICOM), should reinforce corporate governance codes that emphasize ethical accountability and transparency in board selection. Firms should also adopt proactive stakeholder engagement strategies to ensure that sustainability disclosures address material social and environmental concerns rather than being symbolic. Additionally, regulatory agencies should establish clear and enforceable sustainability disclosure frameworks aligned with international best practices to ensure consistency, comparability, and transparency across firms. Furthermore, </w:t>
      </w:r>
      <w:r w:rsidR="00334345">
        <w:rPr>
          <w:rFonts w:ascii="Arial" w:hAnsi="Arial" w:cs="Arial"/>
        </w:rPr>
        <w:t xml:space="preserve">insurance </w:t>
      </w:r>
      <w:r w:rsidRPr="00C44973">
        <w:rPr>
          <w:rFonts w:ascii="Arial" w:hAnsi="Arial" w:cs="Arial"/>
        </w:rPr>
        <w:t>firms should integrate environmental accountability into their strategic communication, viewing sustainability disclosure as a competitive advantage rather than a compliance obligation. Finally, considering the negative influence of board nationality, organizations should provide orientation and contextual training for foreign directors to enhance their understanding of the Nigerian institutional environment and regulatory frameworks.</w:t>
      </w:r>
    </w:p>
    <w:p w14:paraId="7FBA78DF" w14:textId="77777777" w:rsidR="00EC2AAD" w:rsidRPr="00C44973" w:rsidRDefault="00EC2AAD" w:rsidP="00C44973">
      <w:pPr>
        <w:pStyle w:val="Body"/>
        <w:spacing w:after="0"/>
        <w:rPr>
          <w:rFonts w:ascii="Arial" w:hAnsi="Arial" w:cs="Arial"/>
        </w:rPr>
      </w:pPr>
    </w:p>
    <w:p w14:paraId="1C48764D" w14:textId="77777777" w:rsidR="00C44973" w:rsidRPr="00EC2AAD" w:rsidRDefault="00C44973" w:rsidP="00C44973">
      <w:pPr>
        <w:pStyle w:val="Body"/>
        <w:spacing w:after="0"/>
        <w:rPr>
          <w:rFonts w:ascii="Arial" w:hAnsi="Arial" w:cs="Arial"/>
          <w:b/>
          <w:bCs/>
          <w:sz w:val="22"/>
          <w:szCs w:val="22"/>
        </w:rPr>
      </w:pPr>
      <w:r w:rsidRPr="00EC2AAD">
        <w:rPr>
          <w:rFonts w:ascii="Arial" w:hAnsi="Arial" w:cs="Arial"/>
          <w:b/>
          <w:bCs/>
          <w:sz w:val="22"/>
          <w:szCs w:val="22"/>
        </w:rPr>
        <w:t>5.3 Contribution to Knowledge</w:t>
      </w:r>
    </w:p>
    <w:p w14:paraId="096477F2" w14:textId="77777777" w:rsidR="00EC2AAD" w:rsidRPr="00C44973" w:rsidRDefault="00EC2AAD" w:rsidP="00C44973">
      <w:pPr>
        <w:pStyle w:val="Body"/>
        <w:spacing w:after="0"/>
        <w:rPr>
          <w:rFonts w:ascii="Arial" w:hAnsi="Arial" w:cs="Arial"/>
          <w:b/>
          <w:bCs/>
        </w:rPr>
      </w:pPr>
    </w:p>
    <w:p w14:paraId="22EF1ADA" w14:textId="77777777" w:rsidR="00C44973" w:rsidRDefault="00C44973" w:rsidP="00C44973">
      <w:pPr>
        <w:pStyle w:val="Body"/>
        <w:spacing w:after="0"/>
        <w:rPr>
          <w:rFonts w:ascii="Arial" w:hAnsi="Arial" w:cs="Arial"/>
        </w:rPr>
      </w:pPr>
      <w:r w:rsidRPr="00C44973">
        <w:rPr>
          <w:rFonts w:ascii="Arial" w:hAnsi="Arial" w:cs="Arial"/>
        </w:rPr>
        <w:t xml:space="preserve">This study contributes to the growing body of literature on corporate governance and sustainability reporting in emerging economies by providing new empirical insights into how governance and environmental factors jointly influence disclosure </w:t>
      </w:r>
      <w:proofErr w:type="spellStart"/>
      <w:r w:rsidRPr="00C44973">
        <w:rPr>
          <w:rFonts w:ascii="Arial" w:hAnsi="Arial" w:cs="Arial"/>
        </w:rPr>
        <w:t>behaviour</w:t>
      </w:r>
      <w:proofErr w:type="spellEnd"/>
      <w:r w:rsidRPr="00C44973">
        <w:rPr>
          <w:rFonts w:ascii="Arial" w:hAnsi="Arial" w:cs="Arial"/>
        </w:rPr>
        <w:t xml:space="preserve"> in Nigeria’s insurance sector. It uniquely applies the System GMM approach to control for endogeneity and firm-specific effects, thereby strengthening causal inference within the governance–sustainability nexus. </w:t>
      </w:r>
      <w:r w:rsidRPr="00334345">
        <w:rPr>
          <w:rFonts w:ascii="Arial" w:hAnsi="Arial" w:cs="Arial"/>
          <w:highlight w:val="yellow"/>
        </w:rPr>
        <w:t>Theoretically, it extends the Stakeholder Theory by demonstrating that directors’ reputational capital serves as a vital mechanism through which firms build legitimacy and respond to stakeholder demands for greater transparency.</w:t>
      </w:r>
      <w:r w:rsidRPr="00C44973">
        <w:rPr>
          <w:rFonts w:ascii="Arial" w:hAnsi="Arial" w:cs="Arial"/>
        </w:rPr>
        <w:t xml:space="preserve"> Contextually, the study adds to the limited evidence on the governance dynamics of the Nigerian insurance industry, highlighting the nuanced role of foreign directors and environmental performance indicators in driving sustainability practices. Practically, the study informs policymakers and regulatory bodies of the need to prioritize reputational governance and environmental accountability in their policy frameworks to enhance the credibility of sustainability reporting among Nigerian firms.</w:t>
      </w:r>
    </w:p>
    <w:p w14:paraId="19249226" w14:textId="77777777" w:rsidR="00EC2AAD" w:rsidRPr="00C44973" w:rsidRDefault="00EC2AAD" w:rsidP="00C44973">
      <w:pPr>
        <w:pStyle w:val="Body"/>
        <w:spacing w:after="0"/>
        <w:rPr>
          <w:rFonts w:ascii="Arial" w:hAnsi="Arial" w:cs="Arial"/>
        </w:rPr>
      </w:pPr>
    </w:p>
    <w:p w14:paraId="49E5DD7C" w14:textId="77777777" w:rsidR="00C44973" w:rsidRPr="00EC2AAD" w:rsidRDefault="00C44973" w:rsidP="00C44973">
      <w:pPr>
        <w:pStyle w:val="Body"/>
        <w:spacing w:after="0"/>
        <w:rPr>
          <w:rFonts w:ascii="Arial" w:hAnsi="Arial" w:cs="Arial"/>
          <w:b/>
          <w:bCs/>
          <w:sz w:val="22"/>
          <w:szCs w:val="22"/>
        </w:rPr>
      </w:pPr>
      <w:r w:rsidRPr="00EC2AAD">
        <w:rPr>
          <w:rFonts w:ascii="Arial" w:hAnsi="Arial" w:cs="Arial"/>
          <w:b/>
          <w:bCs/>
          <w:sz w:val="22"/>
          <w:szCs w:val="22"/>
        </w:rPr>
        <w:t>5.4 Limitations and Suggestions for Future Studies</w:t>
      </w:r>
    </w:p>
    <w:p w14:paraId="0CD142F2" w14:textId="77777777" w:rsidR="00EC2AAD" w:rsidRPr="00C44973" w:rsidRDefault="00EC2AAD" w:rsidP="00C44973">
      <w:pPr>
        <w:pStyle w:val="Body"/>
        <w:spacing w:after="0"/>
        <w:rPr>
          <w:rFonts w:ascii="Arial" w:hAnsi="Arial" w:cs="Arial"/>
          <w:b/>
          <w:bCs/>
        </w:rPr>
      </w:pPr>
    </w:p>
    <w:p w14:paraId="126EB20B" w14:textId="6440DEC5" w:rsidR="00C44973" w:rsidRDefault="00C44973" w:rsidP="00C44973">
      <w:pPr>
        <w:pStyle w:val="Body"/>
        <w:spacing w:after="0"/>
        <w:rPr>
          <w:rFonts w:ascii="Arial" w:hAnsi="Arial" w:cs="Arial"/>
        </w:rPr>
      </w:pPr>
      <w:r w:rsidRPr="00C44973">
        <w:rPr>
          <w:rFonts w:ascii="Arial" w:hAnsi="Arial" w:cs="Arial"/>
        </w:rPr>
        <w:t xml:space="preserve">This study was limited by its focus on listed insurance firms in Nigeria, which may restrict the generalization of findings to other sectors. Moreover, the study relied on secondary data, </w:t>
      </w:r>
      <w:r w:rsidRPr="00C44973">
        <w:rPr>
          <w:rFonts w:ascii="Arial" w:hAnsi="Arial" w:cs="Arial"/>
        </w:rPr>
        <w:lastRenderedPageBreak/>
        <w:t xml:space="preserve">which, while reliable, may not fully capture the qualitative dimensions of governance </w:t>
      </w:r>
      <w:proofErr w:type="spellStart"/>
      <w:r w:rsidRPr="00C44973">
        <w:rPr>
          <w:rFonts w:ascii="Arial" w:hAnsi="Arial" w:cs="Arial"/>
        </w:rPr>
        <w:t>behaviour</w:t>
      </w:r>
      <w:proofErr w:type="spellEnd"/>
      <w:r w:rsidRPr="00C44973">
        <w:rPr>
          <w:rFonts w:ascii="Arial" w:hAnsi="Arial" w:cs="Arial"/>
        </w:rPr>
        <w:t xml:space="preserve"> and stakeholder influence. Future research should consider expanding the scope to include firms in other sectors, such as manufacturing and banking, to allow for cross-sectoral comparisons. Additionally, researchers could employ mixed methods by integrating interviews or content analysis of sustainability reports to gain deeper </w:t>
      </w:r>
      <w:r w:rsidR="00EC2AAD" w:rsidRPr="00C44973">
        <w:rPr>
          <w:rFonts w:ascii="Arial" w:hAnsi="Arial" w:cs="Arial"/>
        </w:rPr>
        <w:t>insight</w:t>
      </w:r>
      <w:r w:rsidRPr="00C44973">
        <w:rPr>
          <w:rFonts w:ascii="Arial" w:hAnsi="Arial" w:cs="Arial"/>
        </w:rPr>
        <w:t xml:space="preserve"> into the motivations and challenges behind disclosure practices. Future studies may also explore moderating variables such as institutional quality, board gender diversity, and audit committee characteristics to better understand the complex interplay between governance mechanisms and sustainability performance in emerging economies.</w:t>
      </w:r>
    </w:p>
    <w:p w14:paraId="069CD3EB" w14:textId="77777777" w:rsidR="00EC2AAD" w:rsidRDefault="00EC2AAD" w:rsidP="00C44973">
      <w:pPr>
        <w:pStyle w:val="Body"/>
        <w:spacing w:after="0"/>
        <w:rPr>
          <w:rFonts w:ascii="Arial" w:hAnsi="Arial" w:cs="Arial"/>
        </w:rPr>
      </w:pPr>
    </w:p>
    <w:p w14:paraId="5FFB9A70" w14:textId="77777777" w:rsidR="00EC2AAD" w:rsidRDefault="00EC2AAD" w:rsidP="00C44973">
      <w:pPr>
        <w:pStyle w:val="Body"/>
        <w:spacing w:after="0"/>
        <w:rPr>
          <w:rFonts w:ascii="Arial" w:hAnsi="Arial" w:cs="Arial"/>
        </w:rPr>
      </w:pPr>
    </w:p>
    <w:p w14:paraId="6225CDB0" w14:textId="77777777" w:rsidR="00EC2AAD" w:rsidRPr="00C44973" w:rsidRDefault="00EC2AAD" w:rsidP="00C44973">
      <w:pPr>
        <w:pStyle w:val="Body"/>
        <w:spacing w:after="0"/>
        <w:rPr>
          <w:rFonts w:ascii="Arial" w:hAnsi="Arial" w:cs="Arial"/>
        </w:rPr>
      </w:pPr>
    </w:p>
    <w:p w14:paraId="3BB11B3A" w14:textId="77777777" w:rsidR="00C44973" w:rsidRPr="00EC2AAD" w:rsidRDefault="00C44973" w:rsidP="00EC2AAD">
      <w:pPr>
        <w:pStyle w:val="Body"/>
        <w:rPr>
          <w:rFonts w:ascii="Arial" w:hAnsi="Arial" w:cs="Arial"/>
          <w:b/>
          <w:bCs/>
          <w:sz w:val="22"/>
          <w:szCs w:val="22"/>
        </w:rPr>
      </w:pPr>
      <w:r w:rsidRPr="00EC2AAD">
        <w:rPr>
          <w:rFonts w:ascii="Arial" w:hAnsi="Arial" w:cs="Arial"/>
          <w:b/>
          <w:bCs/>
          <w:sz w:val="22"/>
          <w:szCs w:val="22"/>
        </w:rPr>
        <w:t>DISCLAIMER (ARTIFICIAL INTELLIGENCE)</w:t>
      </w:r>
    </w:p>
    <w:p w14:paraId="146E41A3" w14:textId="77777777" w:rsidR="00C44973" w:rsidRPr="00C44973" w:rsidRDefault="00C44973" w:rsidP="00EC2AAD">
      <w:pPr>
        <w:pStyle w:val="Body"/>
        <w:rPr>
          <w:rFonts w:ascii="Arial" w:hAnsi="Arial" w:cs="Arial"/>
        </w:rPr>
      </w:pPr>
      <w:r w:rsidRPr="00C44973">
        <w:rPr>
          <w:rFonts w:ascii="Arial" w:hAnsi="Arial" w:cs="Arial"/>
        </w:rPr>
        <w:t>The authors affirm that no generative artificial intelligence (AI) tools were used in the conception, design, data collection, analysis, interpretation, or writing of this manuscript. All content was developed solely by the authors, and the authors take full responsibility for the accuracy and integrity of the work.</w:t>
      </w:r>
    </w:p>
    <w:p w14:paraId="6DB4C79E" w14:textId="77777777" w:rsidR="00C44973" w:rsidRDefault="00C44973" w:rsidP="00441B6F">
      <w:pPr>
        <w:pStyle w:val="Body"/>
        <w:spacing w:after="0"/>
        <w:rPr>
          <w:rFonts w:ascii="Arial" w:hAnsi="Arial" w:cs="Arial"/>
        </w:rPr>
      </w:pPr>
    </w:p>
    <w:p w14:paraId="497382A3" w14:textId="6D4F3583" w:rsidR="00860000" w:rsidRDefault="00860000" w:rsidP="00441B6F">
      <w:pPr>
        <w:pStyle w:val="ReferHead"/>
        <w:spacing w:after="0"/>
        <w:jc w:val="both"/>
        <w:rPr>
          <w:rFonts w:ascii="Arial" w:hAnsi="Arial" w:cs="Arial"/>
        </w:rPr>
      </w:pPr>
    </w:p>
    <w:p w14:paraId="6F677F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1F7EB6" w14:textId="77777777" w:rsidR="00EC2AAD" w:rsidRDefault="00EC2AAD" w:rsidP="00441B6F">
      <w:pPr>
        <w:pStyle w:val="ReferHead"/>
        <w:spacing w:after="0"/>
        <w:jc w:val="both"/>
        <w:rPr>
          <w:rFonts w:ascii="Arial" w:hAnsi="Arial" w:cs="Arial"/>
        </w:rPr>
      </w:pPr>
    </w:p>
    <w:p w14:paraId="4CBDDAB7" w14:textId="703D85C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Abdelkader, M. G., &amp; Gao, Y. (2023). Uncovering the role of foreign ownership in the relationship between board nationality diversity and ESG. </w:t>
      </w:r>
      <w:r w:rsidRPr="00D22EF1">
        <w:rPr>
          <w:rFonts w:ascii="Arial" w:hAnsi="Arial" w:cs="Arial"/>
          <w:i/>
          <w:iCs/>
          <w:color w:val="000000" w:themeColor="text1"/>
        </w:rPr>
        <w:t>International Journal of Research in Business and Social Science, 12</w:t>
      </w:r>
      <w:r w:rsidRPr="00D22EF1">
        <w:rPr>
          <w:rFonts w:ascii="Arial" w:hAnsi="Arial" w:cs="Arial"/>
          <w:color w:val="000000" w:themeColor="text1"/>
        </w:rPr>
        <w:t xml:space="preserve">(9), 288–302. </w:t>
      </w:r>
      <w:r w:rsidR="00D22EF1" w:rsidRPr="00D22EF1">
        <w:t>https://doi.org/10.20525/ijrbs.v12i9.3079</w:t>
      </w:r>
    </w:p>
    <w:p w14:paraId="2A7C8DE7" w14:textId="2E875B00"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Agama, E. J., &amp; Zubairu, U. M. (2022). Sustainability reporting: A systematic review. </w:t>
      </w:r>
      <w:r w:rsidRPr="00D22EF1">
        <w:rPr>
          <w:rFonts w:ascii="Arial" w:hAnsi="Arial" w:cs="Arial"/>
          <w:i/>
          <w:iCs/>
          <w:color w:val="000000" w:themeColor="text1"/>
        </w:rPr>
        <w:t>Economics, Management and Sustainability</w:t>
      </w:r>
      <w:r w:rsidRPr="00D22EF1">
        <w:rPr>
          <w:rFonts w:ascii="Arial" w:hAnsi="Arial" w:cs="Arial"/>
          <w:color w:val="000000" w:themeColor="text1"/>
        </w:rPr>
        <w:t>, </w:t>
      </w:r>
      <w:r w:rsidRPr="00D22EF1">
        <w:rPr>
          <w:rFonts w:ascii="Arial" w:hAnsi="Arial" w:cs="Arial"/>
          <w:i/>
          <w:iCs/>
          <w:color w:val="000000" w:themeColor="text1"/>
        </w:rPr>
        <w:t>7</w:t>
      </w:r>
      <w:r w:rsidRPr="00D22EF1">
        <w:rPr>
          <w:rFonts w:ascii="Arial" w:hAnsi="Arial" w:cs="Arial"/>
          <w:color w:val="000000" w:themeColor="text1"/>
        </w:rPr>
        <w:t xml:space="preserve">(2), 32–46. </w:t>
      </w:r>
      <w:r w:rsidR="00D22EF1" w:rsidRPr="00D22EF1">
        <w:rPr>
          <w:rFonts w:ascii="Arial" w:hAnsi="Arial" w:cs="Arial"/>
          <w:color w:val="000000" w:themeColor="text1"/>
        </w:rPr>
        <w:t>https://doi.org/10.14254/jems.2022.7-2.3</w:t>
      </w:r>
    </w:p>
    <w:p w14:paraId="075C8E38" w14:textId="62B147C9"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Aifuwa</w:t>
      </w:r>
      <w:proofErr w:type="spellEnd"/>
      <w:r w:rsidRPr="00D22EF1">
        <w:rPr>
          <w:rFonts w:ascii="Arial" w:hAnsi="Arial" w:cs="Arial"/>
          <w:color w:val="000000" w:themeColor="text1"/>
        </w:rPr>
        <w:t xml:space="preserve">, O., Usman, K., Subair, L., Philip, T., &amp; Hussien, K. (2022). Board ethnicity and sustainability reporting. </w:t>
      </w:r>
      <w:r w:rsidRPr="00D22EF1">
        <w:rPr>
          <w:rFonts w:ascii="Arial" w:hAnsi="Arial" w:cs="Arial"/>
          <w:i/>
          <w:iCs/>
          <w:color w:val="000000" w:themeColor="text1"/>
        </w:rPr>
        <w:t>Copernican Journal of Finance &amp; Accounting, 11</w:t>
      </w:r>
      <w:r w:rsidRPr="00D22EF1">
        <w:rPr>
          <w:rFonts w:ascii="Arial" w:hAnsi="Arial" w:cs="Arial"/>
          <w:color w:val="000000" w:themeColor="text1"/>
        </w:rPr>
        <w:t xml:space="preserve">(1), 9–27. </w:t>
      </w:r>
      <w:r w:rsidR="00D22EF1" w:rsidRPr="00D22EF1">
        <w:rPr>
          <w:rFonts w:ascii="Arial" w:hAnsi="Arial" w:cs="Arial"/>
          <w:color w:val="000000" w:themeColor="text1"/>
        </w:rPr>
        <w:t>https://doi.org/10.12775/CJFA.2022.001</w:t>
      </w:r>
    </w:p>
    <w:p w14:paraId="04C8AFC6" w14:textId="5398529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Amran, A., &amp; </w:t>
      </w:r>
      <w:proofErr w:type="spellStart"/>
      <w:r w:rsidRPr="00D22EF1">
        <w:rPr>
          <w:rFonts w:ascii="Arial" w:hAnsi="Arial" w:cs="Arial"/>
          <w:color w:val="000000" w:themeColor="text1"/>
        </w:rPr>
        <w:t>Haniffa</w:t>
      </w:r>
      <w:proofErr w:type="spellEnd"/>
      <w:r w:rsidRPr="00D22EF1">
        <w:rPr>
          <w:rFonts w:ascii="Arial" w:hAnsi="Arial" w:cs="Arial"/>
          <w:color w:val="000000" w:themeColor="text1"/>
        </w:rPr>
        <w:t xml:space="preserve">, R. (2011). Evidence in development of sustainability reporting: A case of a developing country. </w:t>
      </w:r>
      <w:r w:rsidRPr="00D22EF1">
        <w:rPr>
          <w:rFonts w:ascii="Arial" w:hAnsi="Arial" w:cs="Arial"/>
          <w:i/>
          <w:iCs/>
          <w:color w:val="000000" w:themeColor="text1"/>
        </w:rPr>
        <w:t>Business Strategy and the Environment, 20</w:t>
      </w:r>
      <w:r w:rsidRPr="00D22EF1">
        <w:rPr>
          <w:rFonts w:ascii="Arial" w:hAnsi="Arial" w:cs="Arial"/>
          <w:color w:val="000000" w:themeColor="text1"/>
        </w:rPr>
        <w:t xml:space="preserve">(3), 141–156. </w:t>
      </w:r>
      <w:r w:rsidR="00D22EF1" w:rsidRPr="00D22EF1">
        <w:rPr>
          <w:rFonts w:ascii="Arial" w:hAnsi="Arial" w:cs="Arial"/>
          <w:color w:val="000000" w:themeColor="text1"/>
        </w:rPr>
        <w:t>https://doi.org/10.1002/bse.672</w:t>
      </w:r>
    </w:p>
    <w:p w14:paraId="220BDF9A" w14:textId="1ACE83A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Barker, R. (2025). Corporate sustainability reporting. </w:t>
      </w:r>
      <w:r w:rsidRPr="00D22EF1">
        <w:rPr>
          <w:rFonts w:ascii="Arial" w:hAnsi="Arial" w:cs="Arial"/>
          <w:i/>
          <w:iCs/>
          <w:color w:val="000000" w:themeColor="text1"/>
        </w:rPr>
        <w:t>Journal of Accounting and Public Policy, 49</w:t>
      </w:r>
      <w:r w:rsidRPr="00D22EF1">
        <w:rPr>
          <w:rFonts w:ascii="Arial" w:hAnsi="Arial" w:cs="Arial"/>
          <w:color w:val="000000" w:themeColor="text1"/>
        </w:rPr>
        <w:t xml:space="preserve">, 107280. </w:t>
      </w:r>
      <w:r w:rsidR="00D22EF1" w:rsidRPr="00D22EF1">
        <w:rPr>
          <w:rFonts w:ascii="Arial" w:hAnsi="Arial" w:cs="Arial"/>
          <w:color w:val="000000" w:themeColor="text1"/>
        </w:rPr>
        <w:t>https://doi.org/10.1016/j.jaccpubpol.2024.107280</w:t>
      </w:r>
    </w:p>
    <w:p w14:paraId="27BAD5FA" w14:textId="72A1AB8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Bataller-Grau, J. (2025). Sustainability Reporting Regulation: A Perspective on Insurance Market. In: Bataller-Grau, J., </w:t>
      </w:r>
      <w:proofErr w:type="spellStart"/>
      <w:r w:rsidRPr="00D22EF1">
        <w:rPr>
          <w:rFonts w:ascii="Arial" w:hAnsi="Arial" w:cs="Arial"/>
          <w:color w:val="000000" w:themeColor="text1"/>
        </w:rPr>
        <w:t>Kawiński</w:t>
      </w:r>
      <w:proofErr w:type="spellEnd"/>
      <w:r w:rsidRPr="00D22EF1">
        <w:rPr>
          <w:rFonts w:ascii="Arial" w:hAnsi="Arial" w:cs="Arial"/>
          <w:color w:val="000000" w:themeColor="text1"/>
        </w:rPr>
        <w:t xml:space="preserve">, M., Marano, P. (eds) Sustainability and the Insurance </w:t>
      </w:r>
      <w:proofErr w:type="gramStart"/>
      <w:r w:rsidRPr="00D22EF1">
        <w:rPr>
          <w:rFonts w:ascii="Arial" w:hAnsi="Arial" w:cs="Arial"/>
          <w:color w:val="000000" w:themeColor="text1"/>
        </w:rPr>
        <w:t>Market .</w:t>
      </w:r>
      <w:proofErr w:type="gramEnd"/>
      <w:r w:rsidRPr="00D22EF1">
        <w:rPr>
          <w:rFonts w:ascii="Arial" w:hAnsi="Arial" w:cs="Arial"/>
          <w:color w:val="000000" w:themeColor="text1"/>
        </w:rPr>
        <w:t xml:space="preserve"> AIDA Europe Research Series on Insurance Law and Regulation, vol 10. Springer, Cham.</w:t>
      </w:r>
      <w:r w:rsidR="00D22EF1" w:rsidRPr="00D22EF1">
        <w:t xml:space="preserve"> </w:t>
      </w:r>
      <w:r w:rsidR="00D22EF1" w:rsidRPr="00D22EF1">
        <w:rPr>
          <w:rFonts w:ascii="Arial" w:hAnsi="Arial" w:cs="Arial"/>
          <w:color w:val="000000" w:themeColor="text1"/>
        </w:rPr>
        <w:t xml:space="preserve">https://doi.org/10.1007/978-3-031-72186-1_2 </w:t>
      </w:r>
    </w:p>
    <w:p w14:paraId="45AF94BD" w14:textId="21300EB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Bravo-Urquiza, F., &amp; Reguera-Alvarado, N. (2024). The role of multiple board directorships in sustainability strategies: Symbol or substance? </w:t>
      </w:r>
      <w:r w:rsidRPr="00D22EF1">
        <w:rPr>
          <w:rFonts w:ascii="Arial" w:hAnsi="Arial" w:cs="Arial"/>
          <w:i/>
          <w:iCs/>
          <w:color w:val="000000" w:themeColor="text1"/>
        </w:rPr>
        <w:t>Review of Managerial Science, 19</w:t>
      </w:r>
      <w:r w:rsidRPr="00D22EF1">
        <w:rPr>
          <w:rFonts w:ascii="Arial" w:hAnsi="Arial" w:cs="Arial"/>
          <w:color w:val="000000" w:themeColor="text1"/>
        </w:rPr>
        <w:t xml:space="preserve">(3), 871–898. </w:t>
      </w:r>
      <w:r w:rsidR="00D22EF1" w:rsidRPr="00D22EF1">
        <w:rPr>
          <w:rFonts w:ascii="Arial" w:hAnsi="Arial" w:cs="Arial"/>
          <w:color w:val="000000" w:themeColor="text1"/>
        </w:rPr>
        <w:t>https://doi.org/10.1007/s11846-024-00778-6</w:t>
      </w:r>
    </w:p>
    <w:p w14:paraId="7BE9E3FC" w14:textId="5C08C6E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Chen, J., Dedman, E., Kim, J. R., Metwally, T., &amp; Stark, A. W. (2024). Board nationality diversity and firm value. </w:t>
      </w:r>
      <w:r w:rsidRPr="00D22EF1">
        <w:rPr>
          <w:rFonts w:ascii="Arial" w:hAnsi="Arial" w:cs="Arial"/>
          <w:i/>
          <w:iCs/>
          <w:color w:val="000000" w:themeColor="text1"/>
        </w:rPr>
        <w:t>British Journal of Management, 36</w:t>
      </w:r>
      <w:r w:rsidRPr="00D22EF1">
        <w:rPr>
          <w:rFonts w:ascii="Arial" w:hAnsi="Arial" w:cs="Arial"/>
          <w:color w:val="000000" w:themeColor="text1"/>
        </w:rPr>
        <w:t xml:space="preserve">(2), 762–780. </w:t>
      </w:r>
      <w:r w:rsidR="00D22EF1" w:rsidRPr="00D22EF1">
        <w:rPr>
          <w:rFonts w:ascii="Arial" w:hAnsi="Arial" w:cs="Arial"/>
          <w:color w:val="000000" w:themeColor="text1"/>
        </w:rPr>
        <w:t>https://doi.org/10.1111/1467-8551.12872</w:t>
      </w:r>
    </w:p>
    <w:p w14:paraId="56DC25C5" w14:textId="1AA820C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Dagunduro</w:t>
      </w:r>
      <w:proofErr w:type="spellEnd"/>
      <w:r w:rsidRPr="00D22EF1">
        <w:rPr>
          <w:rFonts w:ascii="Arial" w:hAnsi="Arial" w:cs="Arial"/>
          <w:color w:val="000000" w:themeColor="text1"/>
        </w:rPr>
        <w:t xml:space="preserve">, M. E., Falana, G. A., Ajayi, J. O., </w:t>
      </w:r>
      <w:proofErr w:type="spellStart"/>
      <w:r w:rsidRPr="00D22EF1">
        <w:rPr>
          <w:rFonts w:ascii="Arial" w:hAnsi="Arial" w:cs="Arial"/>
          <w:color w:val="000000" w:themeColor="text1"/>
        </w:rPr>
        <w:t>Adewara</w:t>
      </w:r>
      <w:proofErr w:type="spellEnd"/>
      <w:r w:rsidRPr="00D22EF1">
        <w:rPr>
          <w:rFonts w:ascii="Arial" w:hAnsi="Arial" w:cs="Arial"/>
          <w:color w:val="000000" w:themeColor="text1"/>
        </w:rPr>
        <w:t xml:space="preserve">, Y. M., &amp; Bello, S. M. (2024). Sustainability reporting and market performance of listed insurance firms in Nigeria. </w:t>
      </w:r>
      <w:r w:rsidRPr="00D22EF1">
        <w:rPr>
          <w:rFonts w:ascii="Arial" w:hAnsi="Arial" w:cs="Arial"/>
          <w:i/>
          <w:iCs/>
          <w:color w:val="000000" w:themeColor="text1"/>
        </w:rPr>
        <w:t xml:space="preserve">Journal of </w:t>
      </w:r>
      <w:proofErr w:type="spellStart"/>
      <w:r w:rsidRPr="00D22EF1">
        <w:rPr>
          <w:rFonts w:ascii="Arial" w:hAnsi="Arial" w:cs="Arial"/>
          <w:i/>
          <w:iCs/>
          <w:color w:val="000000" w:themeColor="text1"/>
        </w:rPr>
        <w:t>Multiperspectives</w:t>
      </w:r>
      <w:proofErr w:type="spellEnd"/>
      <w:r w:rsidRPr="00D22EF1">
        <w:rPr>
          <w:rFonts w:ascii="Arial" w:hAnsi="Arial" w:cs="Arial"/>
          <w:i/>
          <w:iCs/>
          <w:color w:val="000000" w:themeColor="text1"/>
        </w:rPr>
        <w:t xml:space="preserve"> on Accounting Literature, 2</w:t>
      </w:r>
      <w:r w:rsidRPr="00D22EF1">
        <w:rPr>
          <w:rFonts w:ascii="Arial" w:hAnsi="Arial" w:cs="Arial"/>
          <w:color w:val="000000" w:themeColor="text1"/>
        </w:rPr>
        <w:t xml:space="preserve">(2), 78–95. </w:t>
      </w:r>
      <w:r w:rsidR="00D22EF1" w:rsidRPr="00D22EF1">
        <w:rPr>
          <w:rFonts w:ascii="Arial" w:hAnsi="Arial" w:cs="Arial"/>
          <w:color w:val="000000" w:themeColor="text1"/>
        </w:rPr>
        <w:t>https://doi.org/10.22219/jameela.v2i2.33768</w:t>
      </w:r>
    </w:p>
    <w:p w14:paraId="56A1CDB5" w14:textId="147CA4D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lastRenderedPageBreak/>
        <w:t>Dănescu</w:t>
      </w:r>
      <w:proofErr w:type="spellEnd"/>
      <w:r w:rsidRPr="00D22EF1">
        <w:rPr>
          <w:rFonts w:ascii="Arial" w:hAnsi="Arial" w:cs="Arial"/>
          <w:color w:val="000000" w:themeColor="text1"/>
        </w:rPr>
        <w:t xml:space="preserve">, T., </w:t>
      </w:r>
      <w:proofErr w:type="spellStart"/>
      <w:r w:rsidRPr="00D22EF1">
        <w:rPr>
          <w:rFonts w:ascii="Arial" w:hAnsi="Arial" w:cs="Arial"/>
          <w:color w:val="000000" w:themeColor="text1"/>
        </w:rPr>
        <w:t>Spătăcean</w:t>
      </w:r>
      <w:proofErr w:type="spellEnd"/>
      <w:r w:rsidRPr="00D22EF1">
        <w:rPr>
          <w:rFonts w:ascii="Arial" w:hAnsi="Arial" w:cs="Arial"/>
          <w:color w:val="000000" w:themeColor="text1"/>
        </w:rPr>
        <w:t xml:space="preserve">, I.-O., Popa, M.-A., &amp; Sîrbu, C.-G. (2021). The impact of corporate governance mechanism over financial performance: Evidence from Romania. </w:t>
      </w:r>
      <w:r w:rsidRPr="00D22EF1">
        <w:rPr>
          <w:rFonts w:ascii="Arial" w:hAnsi="Arial" w:cs="Arial"/>
          <w:i/>
          <w:iCs/>
          <w:color w:val="000000" w:themeColor="text1"/>
        </w:rPr>
        <w:t>Sustainability, 13</w:t>
      </w:r>
      <w:r w:rsidRPr="00D22EF1">
        <w:rPr>
          <w:rFonts w:ascii="Arial" w:hAnsi="Arial" w:cs="Arial"/>
          <w:color w:val="000000" w:themeColor="text1"/>
        </w:rPr>
        <w:t xml:space="preserve">(19), 10494. </w:t>
      </w:r>
      <w:r w:rsidR="00D22EF1" w:rsidRPr="00D22EF1">
        <w:rPr>
          <w:rFonts w:ascii="Arial" w:hAnsi="Arial" w:cs="Arial"/>
          <w:color w:val="000000" w:themeColor="text1"/>
        </w:rPr>
        <w:t>https://doi.org/10.3390/su131910494</w:t>
      </w:r>
    </w:p>
    <w:p w14:paraId="185D7C1D" w14:textId="686C090F"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Dobija</w:t>
      </w:r>
      <w:proofErr w:type="spellEnd"/>
      <w:r w:rsidRPr="00D22EF1">
        <w:rPr>
          <w:rFonts w:ascii="Arial" w:hAnsi="Arial" w:cs="Arial"/>
          <w:color w:val="000000" w:themeColor="text1"/>
        </w:rPr>
        <w:t xml:space="preserve">, D., Arena, C., Kozłowski, Ł., </w:t>
      </w:r>
      <w:proofErr w:type="spellStart"/>
      <w:r w:rsidRPr="00D22EF1">
        <w:rPr>
          <w:rFonts w:ascii="Arial" w:hAnsi="Arial" w:cs="Arial"/>
          <w:color w:val="000000" w:themeColor="text1"/>
        </w:rPr>
        <w:t>Krasodomska</w:t>
      </w:r>
      <w:proofErr w:type="spellEnd"/>
      <w:r w:rsidRPr="00D22EF1">
        <w:rPr>
          <w:rFonts w:ascii="Arial" w:hAnsi="Arial" w:cs="Arial"/>
          <w:color w:val="000000" w:themeColor="text1"/>
        </w:rPr>
        <w:t xml:space="preserve">, J., &amp; </w:t>
      </w:r>
      <w:proofErr w:type="spellStart"/>
      <w:r w:rsidRPr="00D22EF1">
        <w:rPr>
          <w:rFonts w:ascii="Arial" w:hAnsi="Arial" w:cs="Arial"/>
          <w:color w:val="000000" w:themeColor="text1"/>
        </w:rPr>
        <w:t>Godawska</w:t>
      </w:r>
      <w:proofErr w:type="spellEnd"/>
      <w:r w:rsidRPr="00D22EF1">
        <w:rPr>
          <w:rFonts w:ascii="Arial" w:hAnsi="Arial" w:cs="Arial"/>
          <w:color w:val="000000" w:themeColor="text1"/>
        </w:rPr>
        <w:t xml:space="preserve">, J. (2022). Towards sustainable development: The role of directors' international orientation and their diversity for non-financial disclosure. </w:t>
      </w:r>
      <w:r w:rsidRPr="00D22EF1">
        <w:rPr>
          <w:rFonts w:ascii="Arial" w:hAnsi="Arial" w:cs="Arial"/>
          <w:i/>
          <w:iCs/>
          <w:color w:val="000000" w:themeColor="text1"/>
        </w:rPr>
        <w:t>Corporate Social Responsibility and Environmental Management, 30</w:t>
      </w:r>
      <w:r w:rsidRPr="00D22EF1">
        <w:rPr>
          <w:rFonts w:ascii="Arial" w:hAnsi="Arial" w:cs="Arial"/>
          <w:color w:val="000000" w:themeColor="text1"/>
        </w:rPr>
        <w:t xml:space="preserve">(1), 66–90. </w:t>
      </w:r>
      <w:r w:rsidR="00D22EF1" w:rsidRPr="00D22EF1">
        <w:rPr>
          <w:rFonts w:ascii="Arial" w:hAnsi="Arial" w:cs="Arial"/>
          <w:color w:val="000000" w:themeColor="text1"/>
        </w:rPr>
        <w:t>https://doi.org/10.1002/csr.2339</w:t>
      </w:r>
    </w:p>
    <w:p w14:paraId="556F1277" w14:textId="49362F2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Elaigwu, M. (2024). Sustainability disclosure quality of Nigerian listed firms. </w:t>
      </w:r>
      <w:r w:rsidRPr="00D22EF1">
        <w:rPr>
          <w:rFonts w:ascii="Arial" w:hAnsi="Arial" w:cs="Arial"/>
          <w:i/>
          <w:iCs/>
          <w:color w:val="000000" w:themeColor="text1"/>
        </w:rPr>
        <w:t>Cogent Business &amp; Management</w:t>
      </w:r>
      <w:r w:rsidRPr="00D22EF1">
        <w:rPr>
          <w:rFonts w:ascii="Arial" w:hAnsi="Arial" w:cs="Arial"/>
          <w:color w:val="000000" w:themeColor="text1"/>
        </w:rPr>
        <w:t xml:space="preserve">. </w:t>
      </w:r>
      <w:r w:rsidR="00D22EF1" w:rsidRPr="00D22EF1">
        <w:rPr>
          <w:rFonts w:ascii="Arial" w:hAnsi="Arial" w:cs="Arial"/>
          <w:color w:val="000000" w:themeColor="text1"/>
        </w:rPr>
        <w:t>https://doi.org/10.1080/23311975.2024.2376774</w:t>
      </w:r>
    </w:p>
    <w:p w14:paraId="21244656" w14:textId="367EA48A"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Erin, O. A., &amp; Ackers, B. (2024). Corporate board, assurance and sustainability reporting practices: A focus on selected African countries. </w:t>
      </w:r>
      <w:r w:rsidRPr="00D22EF1">
        <w:rPr>
          <w:rFonts w:ascii="Arial" w:hAnsi="Arial" w:cs="Arial"/>
          <w:i/>
          <w:iCs/>
          <w:color w:val="000000" w:themeColor="text1"/>
        </w:rPr>
        <w:t>Journal of Accounting &amp; Organizational Change, 20</w:t>
      </w:r>
      <w:r w:rsidRPr="00D22EF1">
        <w:rPr>
          <w:rFonts w:ascii="Arial" w:hAnsi="Arial" w:cs="Arial"/>
          <w:color w:val="000000" w:themeColor="text1"/>
        </w:rPr>
        <w:t xml:space="preserve">(4). </w:t>
      </w:r>
      <w:r w:rsidR="00D22EF1" w:rsidRPr="00D22EF1">
        <w:rPr>
          <w:rFonts w:ascii="Arial" w:hAnsi="Arial" w:cs="Arial"/>
          <w:color w:val="000000" w:themeColor="text1"/>
        </w:rPr>
        <w:t>https://doi.org/10.1108/JAOC-07-2023-0123</w:t>
      </w:r>
    </w:p>
    <w:p w14:paraId="07AB0253" w14:textId="7F8E8E99"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Fredriksson, A., Kiran, A., &amp; Niemi, L. (2020). Reputation capital of directorships and demand for audit quality. </w:t>
      </w:r>
      <w:r w:rsidRPr="00D22EF1">
        <w:rPr>
          <w:rFonts w:ascii="Arial" w:hAnsi="Arial" w:cs="Arial"/>
          <w:i/>
          <w:iCs/>
          <w:color w:val="000000" w:themeColor="text1"/>
        </w:rPr>
        <w:t>European Accounting Review</w:t>
      </w:r>
      <w:r w:rsidRPr="00D22EF1">
        <w:rPr>
          <w:rFonts w:ascii="Arial" w:hAnsi="Arial" w:cs="Arial"/>
          <w:color w:val="000000" w:themeColor="text1"/>
        </w:rPr>
        <w:t xml:space="preserve">. Advance online publication. </w:t>
      </w:r>
      <w:r w:rsidR="00D22EF1" w:rsidRPr="00D22EF1">
        <w:rPr>
          <w:rFonts w:ascii="Arial" w:hAnsi="Arial" w:cs="Arial"/>
          <w:color w:val="000000" w:themeColor="text1"/>
        </w:rPr>
        <w:t>https://doi.org/10.1080/09638180.2020.1724550</w:t>
      </w:r>
    </w:p>
    <w:p w14:paraId="4684DCA7" w14:textId="7B59F40B"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García Martín, C. J., &amp; Herrero, B. (2018). Boards of directors: composition and effects on the performance of the firm. </w:t>
      </w:r>
      <w:r w:rsidRPr="00D22EF1">
        <w:rPr>
          <w:rFonts w:ascii="Arial" w:hAnsi="Arial" w:cs="Arial"/>
          <w:i/>
          <w:iCs/>
          <w:color w:val="000000" w:themeColor="text1"/>
        </w:rPr>
        <w:t>Economic Research-</w:t>
      </w:r>
      <w:proofErr w:type="spellStart"/>
      <w:r w:rsidRPr="00D22EF1">
        <w:rPr>
          <w:rFonts w:ascii="Arial" w:hAnsi="Arial" w:cs="Arial"/>
          <w:i/>
          <w:iCs/>
          <w:color w:val="000000" w:themeColor="text1"/>
        </w:rPr>
        <w:t>Ekonomska</w:t>
      </w:r>
      <w:proofErr w:type="spellEnd"/>
      <w:r w:rsidRPr="00D22EF1">
        <w:rPr>
          <w:rFonts w:ascii="Arial" w:hAnsi="Arial" w:cs="Arial"/>
          <w:i/>
          <w:iCs/>
          <w:color w:val="000000" w:themeColor="text1"/>
        </w:rPr>
        <w:t xml:space="preserve"> </w:t>
      </w:r>
      <w:proofErr w:type="spellStart"/>
      <w:r w:rsidRPr="00D22EF1">
        <w:rPr>
          <w:rFonts w:ascii="Arial" w:hAnsi="Arial" w:cs="Arial"/>
          <w:i/>
          <w:iCs/>
          <w:color w:val="000000" w:themeColor="text1"/>
        </w:rPr>
        <w:t>Istraživanja</w:t>
      </w:r>
      <w:proofErr w:type="spellEnd"/>
      <w:r w:rsidRPr="00D22EF1">
        <w:rPr>
          <w:rFonts w:ascii="Arial" w:hAnsi="Arial" w:cs="Arial"/>
          <w:color w:val="000000" w:themeColor="text1"/>
        </w:rPr>
        <w:t>, </w:t>
      </w:r>
      <w:r w:rsidRPr="00D22EF1">
        <w:rPr>
          <w:rFonts w:ascii="Arial" w:hAnsi="Arial" w:cs="Arial"/>
          <w:i/>
          <w:iCs/>
          <w:color w:val="000000" w:themeColor="text1"/>
        </w:rPr>
        <w:t>31</w:t>
      </w:r>
      <w:r w:rsidRPr="00D22EF1">
        <w:rPr>
          <w:rFonts w:ascii="Arial" w:hAnsi="Arial" w:cs="Arial"/>
          <w:color w:val="000000" w:themeColor="text1"/>
        </w:rPr>
        <w:t xml:space="preserve">(1), 1015–1041. </w:t>
      </w:r>
      <w:r w:rsidR="00D22EF1" w:rsidRPr="00D22EF1">
        <w:rPr>
          <w:rFonts w:ascii="Arial" w:hAnsi="Arial" w:cs="Arial"/>
          <w:color w:val="000000" w:themeColor="text1"/>
        </w:rPr>
        <w:t>https://doi.org/10.1080/1331677X.2018.1436454</w:t>
      </w:r>
    </w:p>
    <w:p w14:paraId="7211DCD7" w14:textId="4DCB0E7B"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Hahn, P. D., &amp; </w:t>
      </w:r>
      <w:proofErr w:type="spellStart"/>
      <w:r w:rsidRPr="00D22EF1">
        <w:rPr>
          <w:rFonts w:ascii="Arial" w:hAnsi="Arial" w:cs="Arial"/>
          <w:color w:val="000000" w:themeColor="text1"/>
        </w:rPr>
        <w:t>Lasfer</w:t>
      </w:r>
      <w:proofErr w:type="spellEnd"/>
      <w:r w:rsidRPr="00D22EF1">
        <w:rPr>
          <w:rFonts w:ascii="Arial" w:hAnsi="Arial" w:cs="Arial"/>
          <w:color w:val="000000" w:themeColor="text1"/>
        </w:rPr>
        <w:t xml:space="preserve">, M. (2016). Impact of foreign directors on board meeting frequency. </w:t>
      </w:r>
      <w:r w:rsidRPr="00D22EF1">
        <w:rPr>
          <w:rFonts w:ascii="Arial" w:hAnsi="Arial" w:cs="Arial"/>
          <w:i/>
          <w:iCs/>
          <w:color w:val="000000" w:themeColor="text1"/>
        </w:rPr>
        <w:t>International Review of Financial Analysis, 46</w:t>
      </w:r>
      <w:r w:rsidRPr="00D22EF1">
        <w:rPr>
          <w:rFonts w:ascii="Arial" w:hAnsi="Arial" w:cs="Arial"/>
          <w:color w:val="000000" w:themeColor="text1"/>
        </w:rPr>
        <w:t xml:space="preserve">, 295–308. </w:t>
      </w:r>
      <w:r w:rsidR="00D22EF1" w:rsidRPr="00D22EF1">
        <w:rPr>
          <w:rFonts w:ascii="Arial" w:hAnsi="Arial" w:cs="Arial"/>
          <w:color w:val="000000" w:themeColor="text1"/>
        </w:rPr>
        <w:t>https://doi.org/10.1016/j.irfa.2015.11.004</w:t>
      </w:r>
    </w:p>
    <w:p w14:paraId="32520CB5" w14:textId="34D1CF9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Hameed, F., Alfaraj, M., &amp; Hameed, K. (2023). The association of board characteristics and corporate social responsibility disclosure quality: Empirical evidence from Pakistan. </w:t>
      </w:r>
      <w:r w:rsidRPr="00D22EF1">
        <w:rPr>
          <w:rFonts w:ascii="Arial" w:hAnsi="Arial" w:cs="Arial"/>
          <w:i/>
          <w:iCs/>
          <w:color w:val="000000" w:themeColor="text1"/>
        </w:rPr>
        <w:t>Sustainability, 15</w:t>
      </w:r>
      <w:r w:rsidRPr="00D22EF1">
        <w:rPr>
          <w:rFonts w:ascii="Arial" w:hAnsi="Arial" w:cs="Arial"/>
          <w:color w:val="000000" w:themeColor="text1"/>
        </w:rPr>
        <w:t xml:space="preserve">(24), 16849. </w:t>
      </w:r>
      <w:r w:rsidR="00D22EF1" w:rsidRPr="00D22EF1">
        <w:rPr>
          <w:rFonts w:ascii="Arial" w:hAnsi="Arial" w:cs="Arial"/>
          <w:color w:val="000000" w:themeColor="text1"/>
        </w:rPr>
        <w:t>https://doi.org/10.3390/su152416849</w:t>
      </w:r>
    </w:p>
    <w:p w14:paraId="10BE451D" w14:textId="7CB0E60D"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Khalaf, B. (2024). Impact of board characteristics on the adoption of sustainable reporting practices. </w:t>
      </w:r>
      <w:r w:rsidRPr="00D22EF1">
        <w:rPr>
          <w:rFonts w:ascii="Arial" w:hAnsi="Arial" w:cs="Arial"/>
          <w:i/>
          <w:iCs/>
          <w:color w:val="000000" w:themeColor="text1"/>
        </w:rPr>
        <w:t>Cogent Business &amp;amp; Management</w:t>
      </w:r>
      <w:r w:rsidRPr="00D22EF1">
        <w:rPr>
          <w:rFonts w:ascii="Arial" w:hAnsi="Arial" w:cs="Arial"/>
          <w:color w:val="000000" w:themeColor="text1"/>
        </w:rPr>
        <w:t>, </w:t>
      </w:r>
      <w:r w:rsidRPr="00D22EF1">
        <w:rPr>
          <w:rFonts w:ascii="Arial" w:hAnsi="Arial" w:cs="Arial"/>
          <w:i/>
          <w:iCs/>
          <w:color w:val="000000" w:themeColor="text1"/>
        </w:rPr>
        <w:t>11</w:t>
      </w:r>
      <w:r w:rsidRPr="00D22EF1">
        <w:rPr>
          <w:rFonts w:ascii="Arial" w:hAnsi="Arial" w:cs="Arial"/>
          <w:color w:val="000000" w:themeColor="text1"/>
        </w:rPr>
        <w:t xml:space="preserve">(1). </w:t>
      </w:r>
      <w:r w:rsidR="00D22EF1" w:rsidRPr="00D22EF1">
        <w:rPr>
          <w:rFonts w:ascii="Arial" w:hAnsi="Arial" w:cs="Arial"/>
          <w:color w:val="000000" w:themeColor="text1"/>
        </w:rPr>
        <w:t>https://doi.org/10.1080/23311975.2024.2391563</w:t>
      </w:r>
    </w:p>
    <w:p w14:paraId="6E6E1657" w14:textId="2AD252E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Khatri, I., </w:t>
      </w:r>
      <w:proofErr w:type="spellStart"/>
      <w:r w:rsidRPr="00D22EF1">
        <w:rPr>
          <w:rFonts w:ascii="Arial" w:hAnsi="Arial" w:cs="Arial"/>
          <w:color w:val="000000" w:themeColor="text1"/>
        </w:rPr>
        <w:t>Giskås</w:t>
      </w:r>
      <w:proofErr w:type="spellEnd"/>
      <w:r w:rsidRPr="00D22EF1">
        <w:rPr>
          <w:rFonts w:ascii="Arial" w:hAnsi="Arial" w:cs="Arial"/>
          <w:color w:val="000000" w:themeColor="text1"/>
        </w:rPr>
        <w:t xml:space="preserve">, P. E., </w:t>
      </w:r>
      <w:proofErr w:type="spellStart"/>
      <w:r w:rsidRPr="00D22EF1">
        <w:rPr>
          <w:rFonts w:ascii="Arial" w:hAnsi="Arial" w:cs="Arial"/>
          <w:color w:val="000000" w:themeColor="text1"/>
        </w:rPr>
        <w:t>Kyrrø</w:t>
      </w:r>
      <w:proofErr w:type="spellEnd"/>
      <w:r w:rsidRPr="00D22EF1">
        <w:rPr>
          <w:rFonts w:ascii="Arial" w:hAnsi="Arial" w:cs="Arial"/>
          <w:color w:val="000000" w:themeColor="text1"/>
        </w:rPr>
        <w:t xml:space="preserve">, A. K., &amp; </w:t>
      </w:r>
      <w:proofErr w:type="spellStart"/>
      <w:r w:rsidRPr="00D22EF1">
        <w:rPr>
          <w:rFonts w:ascii="Arial" w:hAnsi="Arial" w:cs="Arial"/>
          <w:color w:val="000000" w:themeColor="text1"/>
        </w:rPr>
        <w:t>Kjærland</w:t>
      </w:r>
      <w:proofErr w:type="spellEnd"/>
      <w:r w:rsidRPr="00D22EF1">
        <w:rPr>
          <w:rFonts w:ascii="Arial" w:hAnsi="Arial" w:cs="Arial"/>
          <w:color w:val="000000" w:themeColor="text1"/>
        </w:rPr>
        <w:t xml:space="preserve">, F. (2025). Corporate governance mechanisms and non-financial disclosure quality: Evidence from sustainability committee, external CSR assurance, and stakeholder engagement. </w:t>
      </w:r>
      <w:r w:rsidRPr="00D22EF1">
        <w:rPr>
          <w:rFonts w:ascii="Arial" w:hAnsi="Arial" w:cs="Arial"/>
          <w:i/>
          <w:iCs/>
          <w:color w:val="000000" w:themeColor="text1"/>
        </w:rPr>
        <w:t>International Review of Financial Analysis, 107</w:t>
      </w:r>
      <w:r w:rsidRPr="00D22EF1">
        <w:rPr>
          <w:rFonts w:ascii="Arial" w:hAnsi="Arial" w:cs="Arial"/>
          <w:color w:val="000000" w:themeColor="text1"/>
        </w:rPr>
        <w:t xml:space="preserve">, 104645. </w:t>
      </w:r>
      <w:r w:rsidR="00D22EF1" w:rsidRPr="00D22EF1">
        <w:rPr>
          <w:rFonts w:ascii="Arial" w:hAnsi="Arial" w:cs="Arial"/>
          <w:color w:val="000000" w:themeColor="text1"/>
        </w:rPr>
        <w:t>https://doi.org/10.1016/j.irfa.2025.104645</w:t>
      </w:r>
    </w:p>
    <w:p w14:paraId="105BF946" w14:textId="60357A6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Khuong, M. N., Truong An, N. K., &amp; Thanh Hang, T. T. (2021). Stakeholders and corporate social responsibility (CSR) </w:t>
      </w:r>
      <w:proofErr w:type="spellStart"/>
      <w:r w:rsidRPr="00D22EF1">
        <w:rPr>
          <w:rFonts w:ascii="Arial" w:hAnsi="Arial" w:cs="Arial"/>
          <w:color w:val="000000" w:themeColor="text1"/>
        </w:rPr>
        <w:t>programme</w:t>
      </w:r>
      <w:proofErr w:type="spellEnd"/>
      <w:r w:rsidRPr="00D22EF1">
        <w:rPr>
          <w:rFonts w:ascii="Arial" w:hAnsi="Arial" w:cs="Arial"/>
          <w:color w:val="000000" w:themeColor="text1"/>
        </w:rPr>
        <w:t xml:space="preserve"> as key sustainable development strategies to promote corporate reputation—Evidence from Vietnam. </w:t>
      </w:r>
      <w:r w:rsidRPr="00D22EF1">
        <w:rPr>
          <w:rFonts w:ascii="Arial" w:hAnsi="Arial" w:cs="Arial"/>
          <w:i/>
          <w:iCs/>
          <w:color w:val="000000" w:themeColor="text1"/>
        </w:rPr>
        <w:t>Cogent Business &amp; Management, 8</w:t>
      </w:r>
      <w:r w:rsidRPr="00D22EF1">
        <w:rPr>
          <w:rFonts w:ascii="Arial" w:hAnsi="Arial" w:cs="Arial"/>
          <w:color w:val="000000" w:themeColor="text1"/>
        </w:rPr>
        <w:t xml:space="preserve">(1), 1917333. </w:t>
      </w:r>
      <w:r w:rsidR="00D22EF1" w:rsidRPr="00D22EF1">
        <w:rPr>
          <w:rFonts w:ascii="Arial" w:hAnsi="Arial" w:cs="Arial"/>
          <w:color w:val="000000" w:themeColor="text1"/>
        </w:rPr>
        <w:t>https://doi.org/10.1080/23311975.2021.1917333</w:t>
      </w:r>
    </w:p>
    <w:p w14:paraId="3376BB09" w14:textId="68A13F5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Lewa, E. M., </w:t>
      </w:r>
      <w:proofErr w:type="spellStart"/>
      <w:r w:rsidRPr="00D22EF1">
        <w:rPr>
          <w:rFonts w:ascii="Arial" w:hAnsi="Arial" w:cs="Arial"/>
          <w:color w:val="000000" w:themeColor="text1"/>
        </w:rPr>
        <w:t>Gatimbu</w:t>
      </w:r>
      <w:proofErr w:type="spellEnd"/>
      <w:r w:rsidRPr="00D22EF1">
        <w:rPr>
          <w:rFonts w:ascii="Arial" w:hAnsi="Arial" w:cs="Arial"/>
          <w:color w:val="000000" w:themeColor="text1"/>
        </w:rPr>
        <w:t xml:space="preserve">, K. K., &amp; Kariuki, P. W. (2024). Board attributes and sustainability reporting of selected listed nonfinancial firms in anglophone Sub-Saharan African countries: A multinomial logistic regression. </w:t>
      </w:r>
      <w:proofErr w:type="spellStart"/>
      <w:r w:rsidRPr="00D22EF1">
        <w:rPr>
          <w:rFonts w:ascii="Arial" w:hAnsi="Arial" w:cs="Arial"/>
          <w:i/>
          <w:iCs/>
          <w:color w:val="000000" w:themeColor="text1"/>
        </w:rPr>
        <w:t>Heliyon</w:t>
      </w:r>
      <w:proofErr w:type="spellEnd"/>
      <w:r w:rsidRPr="00D22EF1">
        <w:rPr>
          <w:rFonts w:ascii="Arial" w:hAnsi="Arial" w:cs="Arial"/>
          <w:i/>
          <w:iCs/>
          <w:color w:val="000000" w:themeColor="text1"/>
        </w:rPr>
        <w:t>, 10</w:t>
      </w:r>
      <w:r w:rsidRPr="00D22EF1">
        <w:rPr>
          <w:rFonts w:ascii="Arial" w:hAnsi="Arial" w:cs="Arial"/>
          <w:color w:val="000000" w:themeColor="text1"/>
        </w:rPr>
        <w:t>(9), e29824</w:t>
      </w:r>
      <w:r w:rsidR="00D22EF1" w:rsidRPr="00D22EF1">
        <w:t xml:space="preserve"> </w:t>
      </w:r>
      <w:r w:rsidR="00D22EF1" w:rsidRPr="00D22EF1">
        <w:rPr>
          <w:rFonts w:ascii="Arial" w:hAnsi="Arial" w:cs="Arial"/>
          <w:color w:val="000000" w:themeColor="text1"/>
        </w:rPr>
        <w:t xml:space="preserve">https://doi.org/10.1016/j.heliyon.2024.e29824 </w:t>
      </w:r>
    </w:p>
    <w:p w14:paraId="6CF2227B" w14:textId="7919CF6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Mallin, C. A., Michelon, G., &amp; Raggi, D. (2013). Monitoring intensity and stakeholders’ orientation: How does governance affect social and environmental disclosure? </w:t>
      </w:r>
      <w:r w:rsidRPr="00D22EF1">
        <w:rPr>
          <w:rFonts w:ascii="Arial" w:hAnsi="Arial" w:cs="Arial"/>
          <w:i/>
          <w:iCs/>
          <w:color w:val="000000" w:themeColor="text1"/>
        </w:rPr>
        <w:t>Journal of Business Ethics, 114</w:t>
      </w:r>
      <w:r w:rsidRPr="00D22EF1">
        <w:rPr>
          <w:rFonts w:ascii="Arial" w:hAnsi="Arial" w:cs="Arial"/>
          <w:color w:val="000000" w:themeColor="text1"/>
        </w:rPr>
        <w:t xml:space="preserve">(1), 29–43. </w:t>
      </w:r>
      <w:r w:rsidR="00D22EF1" w:rsidRPr="00D22EF1">
        <w:rPr>
          <w:rFonts w:ascii="Arial" w:hAnsi="Arial" w:cs="Arial"/>
          <w:color w:val="000000" w:themeColor="text1"/>
        </w:rPr>
        <w:t>https://doi.org/10.1007/s10551-012-1324-4</w:t>
      </w:r>
    </w:p>
    <w:p w14:paraId="2021BD33" w14:textId="6A43A72A"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Meral, H., Ersoy, B., &amp; Dogan, M. (2025). Enhancing sustainability: The impact of ESG factors in global insurance performance. </w:t>
      </w:r>
      <w:r w:rsidRPr="00D22EF1">
        <w:rPr>
          <w:rFonts w:ascii="Arial" w:hAnsi="Arial" w:cs="Arial"/>
          <w:i/>
          <w:iCs/>
          <w:color w:val="000000" w:themeColor="text1"/>
        </w:rPr>
        <w:t>Borsa Istanbul Review</w:t>
      </w:r>
      <w:r w:rsidRPr="00D22EF1">
        <w:rPr>
          <w:rFonts w:ascii="Arial" w:hAnsi="Arial" w:cs="Arial"/>
          <w:color w:val="000000" w:themeColor="text1"/>
        </w:rPr>
        <w:t>. Advance online publication.</w:t>
      </w:r>
      <w:r w:rsidR="00D22EF1" w:rsidRPr="00D22EF1">
        <w:t xml:space="preserve"> </w:t>
      </w:r>
      <w:r w:rsidR="00D22EF1" w:rsidRPr="00D22EF1">
        <w:rPr>
          <w:rFonts w:ascii="Arial" w:hAnsi="Arial" w:cs="Arial"/>
          <w:color w:val="000000" w:themeColor="text1"/>
        </w:rPr>
        <w:t>https://doi.org/10.1016/j.bir.2025.10.030</w:t>
      </w:r>
      <w:r w:rsidRPr="00D22EF1">
        <w:rPr>
          <w:rFonts w:ascii="Arial" w:hAnsi="Arial" w:cs="Arial"/>
          <w:color w:val="000000" w:themeColor="text1"/>
        </w:rPr>
        <w:t xml:space="preserve"> </w:t>
      </w:r>
    </w:p>
    <w:p w14:paraId="49641263" w14:textId="523629BF"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Mohammed Ali, N. B., Hussin, H. A. A. A., Mohammed, H. M. F., Mohmmed, K. A. A. H., </w:t>
      </w:r>
      <w:proofErr w:type="spellStart"/>
      <w:r w:rsidRPr="00D22EF1">
        <w:rPr>
          <w:rFonts w:ascii="Arial" w:hAnsi="Arial" w:cs="Arial"/>
          <w:color w:val="000000" w:themeColor="text1"/>
        </w:rPr>
        <w:t>Almutiri</w:t>
      </w:r>
      <w:proofErr w:type="spellEnd"/>
      <w:r w:rsidRPr="00D22EF1">
        <w:rPr>
          <w:rFonts w:ascii="Arial" w:hAnsi="Arial" w:cs="Arial"/>
          <w:color w:val="000000" w:themeColor="text1"/>
        </w:rPr>
        <w:t xml:space="preserve">, A. A. S., &amp; Ali, M. A. (2025). The effect of environmental, social, and governance (ESG) disclosure on the profitability of Saudi-listed firms: Insights from Saudi Vision 2030. </w:t>
      </w:r>
      <w:r w:rsidRPr="00D22EF1">
        <w:rPr>
          <w:rFonts w:ascii="Arial" w:hAnsi="Arial" w:cs="Arial"/>
          <w:i/>
          <w:iCs/>
          <w:color w:val="000000" w:themeColor="text1"/>
        </w:rPr>
        <w:t>Sustainability, 17</w:t>
      </w:r>
      <w:r w:rsidRPr="00D22EF1">
        <w:rPr>
          <w:rFonts w:ascii="Arial" w:hAnsi="Arial" w:cs="Arial"/>
          <w:color w:val="000000" w:themeColor="text1"/>
        </w:rPr>
        <w:t xml:space="preserve">(7), 2977. </w:t>
      </w:r>
      <w:r w:rsidR="00D22EF1" w:rsidRPr="00D22EF1">
        <w:rPr>
          <w:rFonts w:ascii="Arial" w:hAnsi="Arial" w:cs="Arial"/>
          <w:color w:val="000000" w:themeColor="text1"/>
        </w:rPr>
        <w:t>https://doi.org/10.3390/su17072977</w:t>
      </w:r>
    </w:p>
    <w:p w14:paraId="1F223709" w14:textId="67011B7B"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lastRenderedPageBreak/>
        <w:t xml:space="preserve">Morán-Muñoz, A., Fernández-Gago, R., &amp; </w:t>
      </w:r>
      <w:proofErr w:type="spellStart"/>
      <w:r w:rsidRPr="00D22EF1">
        <w:rPr>
          <w:rFonts w:ascii="Arial" w:hAnsi="Arial" w:cs="Arial"/>
          <w:color w:val="000000" w:themeColor="text1"/>
        </w:rPr>
        <w:t>Godos-Díez</w:t>
      </w:r>
      <w:proofErr w:type="spellEnd"/>
      <w:r w:rsidRPr="00D22EF1">
        <w:rPr>
          <w:rFonts w:ascii="Arial" w:hAnsi="Arial" w:cs="Arial"/>
          <w:color w:val="000000" w:themeColor="text1"/>
        </w:rPr>
        <w:t xml:space="preserve">, J.-L. (2024). The impact of board gender and nationality diversity on corporate human rights performance in different institutional contexts. </w:t>
      </w:r>
      <w:r w:rsidRPr="00D22EF1">
        <w:rPr>
          <w:rFonts w:ascii="Arial" w:hAnsi="Arial" w:cs="Arial"/>
          <w:i/>
          <w:iCs/>
          <w:color w:val="000000" w:themeColor="text1"/>
        </w:rPr>
        <w:t>Corporate Governance: An International Review, 33</w:t>
      </w:r>
      <w:r w:rsidRPr="00D22EF1">
        <w:rPr>
          <w:rFonts w:ascii="Arial" w:hAnsi="Arial" w:cs="Arial"/>
          <w:color w:val="000000" w:themeColor="text1"/>
        </w:rPr>
        <w:t xml:space="preserve">(4), 760–781. </w:t>
      </w:r>
      <w:r w:rsidR="00D22EF1" w:rsidRPr="00D22EF1">
        <w:rPr>
          <w:rFonts w:ascii="Arial" w:hAnsi="Arial" w:cs="Arial"/>
          <w:color w:val="000000" w:themeColor="text1"/>
        </w:rPr>
        <w:t>https://doi.org/10.1111/corg.12624</w:t>
      </w:r>
    </w:p>
    <w:p w14:paraId="7EA60A4A" w14:textId="19BA5BC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Musa, S., &amp; Abdulsalam, S. T. (2023). Influence of board members’ nationality and ethnicity on sustainability reporting of listed deposit money banks in Nigeria. </w:t>
      </w:r>
      <w:r w:rsidRPr="00D22EF1">
        <w:rPr>
          <w:rFonts w:ascii="Arial" w:hAnsi="Arial" w:cs="Arial"/>
          <w:i/>
          <w:iCs/>
          <w:color w:val="000000" w:themeColor="text1"/>
        </w:rPr>
        <w:t>UMYU Journal of Accounting and Finance Research, 5</w:t>
      </w:r>
      <w:r w:rsidRPr="00D22EF1">
        <w:rPr>
          <w:rFonts w:ascii="Arial" w:hAnsi="Arial" w:cs="Arial"/>
          <w:color w:val="000000" w:themeColor="text1"/>
        </w:rPr>
        <w:t xml:space="preserve">(1), 105–123. </w:t>
      </w:r>
      <w:r w:rsidR="00D22EF1" w:rsidRPr="00D22EF1">
        <w:rPr>
          <w:rFonts w:ascii="Arial" w:hAnsi="Arial" w:cs="Arial"/>
          <w:color w:val="000000" w:themeColor="text1"/>
        </w:rPr>
        <w:t>https://doi.org/10.61143/umyu-jafr.5(1)2023.011</w:t>
      </w:r>
    </w:p>
    <w:p w14:paraId="42E5B7A9" w14:textId="3024484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Nafiu, N. A., Yusuf, J. A., &amp; Aderibigbe, F. O. (2024). Corporate governance and sustainability in Nigerian insurance companies. </w:t>
      </w:r>
      <w:r w:rsidRPr="00D22EF1">
        <w:rPr>
          <w:rFonts w:ascii="Arial" w:hAnsi="Arial" w:cs="Arial"/>
          <w:i/>
          <w:iCs/>
          <w:color w:val="000000" w:themeColor="text1"/>
        </w:rPr>
        <w:t>ISRG Journal of Economics, Business &amp; Management, 3</w:t>
      </w:r>
      <w:r w:rsidRPr="00D22EF1">
        <w:rPr>
          <w:rFonts w:ascii="Arial" w:hAnsi="Arial" w:cs="Arial"/>
          <w:color w:val="000000" w:themeColor="text1"/>
        </w:rPr>
        <w:t xml:space="preserve">(1), 130–136. </w:t>
      </w:r>
      <w:r w:rsidR="00D22EF1" w:rsidRPr="00D22EF1">
        <w:rPr>
          <w:rFonts w:ascii="Arial" w:hAnsi="Arial" w:cs="Arial"/>
          <w:color w:val="000000" w:themeColor="text1"/>
        </w:rPr>
        <w:t>https://doi.org/10.5281/zenodo.10726655</w:t>
      </w:r>
    </w:p>
    <w:p w14:paraId="01C3B520" w14:textId="6AA8429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Naim, A. S., &amp; </w:t>
      </w:r>
      <w:proofErr w:type="spellStart"/>
      <w:r w:rsidRPr="00D22EF1">
        <w:rPr>
          <w:rFonts w:ascii="Arial" w:hAnsi="Arial" w:cs="Arial"/>
          <w:color w:val="000000" w:themeColor="text1"/>
        </w:rPr>
        <w:t>Alomair</w:t>
      </w:r>
      <w:proofErr w:type="spellEnd"/>
      <w:r w:rsidRPr="00D22EF1">
        <w:rPr>
          <w:rFonts w:ascii="Arial" w:hAnsi="Arial" w:cs="Arial"/>
          <w:color w:val="000000" w:themeColor="text1"/>
        </w:rPr>
        <w:t xml:space="preserve">, A. (2024). Board composition and environmental, social, and governance reporting: Impact of foreign and busy directors in Saudi-listed firms. </w:t>
      </w:r>
      <w:r w:rsidRPr="00D22EF1">
        <w:rPr>
          <w:rFonts w:ascii="Arial" w:hAnsi="Arial" w:cs="Arial"/>
          <w:i/>
          <w:iCs/>
          <w:color w:val="000000" w:themeColor="text1"/>
        </w:rPr>
        <w:t>Sustainability, 16</w:t>
      </w:r>
      <w:r w:rsidRPr="00D22EF1">
        <w:rPr>
          <w:rFonts w:ascii="Arial" w:hAnsi="Arial" w:cs="Arial"/>
          <w:color w:val="000000" w:themeColor="text1"/>
        </w:rPr>
        <w:t xml:space="preserve">(20), 8985. </w:t>
      </w:r>
      <w:r w:rsidR="00D22EF1" w:rsidRPr="00D22EF1">
        <w:rPr>
          <w:rFonts w:ascii="Arial" w:hAnsi="Arial" w:cs="Arial"/>
          <w:color w:val="000000" w:themeColor="text1"/>
        </w:rPr>
        <w:t>https://doi.org/10.3390/su16208985</w:t>
      </w:r>
    </w:p>
    <w:p w14:paraId="4C084139" w14:textId="728FD02C"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Ngwobia</w:t>
      </w:r>
      <w:proofErr w:type="spellEnd"/>
      <w:r w:rsidRPr="00D22EF1">
        <w:rPr>
          <w:rFonts w:ascii="Arial" w:hAnsi="Arial" w:cs="Arial"/>
          <w:color w:val="000000" w:themeColor="text1"/>
        </w:rPr>
        <w:t xml:space="preserve">, E. U., &amp; Okwara, O. O. (2025). Sustainability reporting in Nigeria: Trends, drivers and challenges. </w:t>
      </w:r>
      <w:r w:rsidRPr="00D22EF1">
        <w:rPr>
          <w:rFonts w:ascii="Arial" w:hAnsi="Arial" w:cs="Arial"/>
          <w:i/>
          <w:iCs/>
          <w:color w:val="000000" w:themeColor="text1"/>
        </w:rPr>
        <w:t>Journal of Business and African Economy,</w:t>
      </w:r>
      <w:r w:rsidRPr="00D22EF1">
        <w:rPr>
          <w:rFonts w:ascii="Arial" w:hAnsi="Arial" w:cs="Arial"/>
          <w:color w:val="000000" w:themeColor="text1"/>
        </w:rPr>
        <w:t xml:space="preserve"> 11(5), 27–43. </w:t>
      </w:r>
      <w:r w:rsidR="00D22EF1" w:rsidRPr="00D22EF1">
        <w:rPr>
          <w:rFonts w:ascii="Arial" w:hAnsi="Arial" w:cs="Arial"/>
          <w:color w:val="000000" w:themeColor="text1"/>
        </w:rPr>
        <w:t>https://doi.org/10.56201/jbae.vol.11.no5.2025.pg27.43</w:t>
      </w:r>
    </w:p>
    <w:p w14:paraId="73BB152D"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Okoye, E., &amp; </w:t>
      </w:r>
      <w:proofErr w:type="spellStart"/>
      <w:r w:rsidRPr="00D22EF1">
        <w:rPr>
          <w:rFonts w:ascii="Arial" w:hAnsi="Arial" w:cs="Arial"/>
          <w:color w:val="000000" w:themeColor="text1"/>
        </w:rPr>
        <w:t>Ezejiofor</w:t>
      </w:r>
      <w:proofErr w:type="spellEnd"/>
      <w:r w:rsidRPr="00D22EF1">
        <w:rPr>
          <w:rFonts w:ascii="Arial" w:hAnsi="Arial" w:cs="Arial"/>
          <w:color w:val="000000" w:themeColor="text1"/>
        </w:rPr>
        <w:t xml:space="preserve">, R. A. (2021). Effect of board structure on corporate sustainability reporting of quoted manufacturing firms in Nigeria. </w:t>
      </w:r>
      <w:r w:rsidRPr="00D22EF1">
        <w:rPr>
          <w:rFonts w:ascii="Arial" w:hAnsi="Arial" w:cs="Arial"/>
          <w:i/>
          <w:iCs/>
          <w:color w:val="000000" w:themeColor="text1"/>
        </w:rPr>
        <w:t>Journal of Management Studies &amp; Social Science Research</w:t>
      </w:r>
      <w:r w:rsidRPr="00D22EF1">
        <w:rPr>
          <w:rFonts w:ascii="Arial" w:hAnsi="Arial" w:cs="Arial"/>
          <w:color w:val="000000" w:themeColor="text1"/>
        </w:rPr>
        <w:t>, 3(1), 12–25. (Note: article details may need confirmation)</w:t>
      </w:r>
    </w:p>
    <w:p w14:paraId="6B285EA6" w14:textId="25521F4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Okpamen</w:t>
      </w:r>
      <w:proofErr w:type="spellEnd"/>
      <w:r w:rsidRPr="00D22EF1">
        <w:rPr>
          <w:rFonts w:ascii="Arial" w:hAnsi="Arial" w:cs="Arial"/>
          <w:color w:val="000000" w:themeColor="text1"/>
        </w:rPr>
        <w:t xml:space="preserve">, P. E., &amp; Ogbeide, S. O. (2020). Board director reputation capital and financial performance of listed firms in Nigeria. </w:t>
      </w:r>
      <w:r w:rsidRPr="00D22EF1">
        <w:rPr>
          <w:rFonts w:ascii="Arial" w:hAnsi="Arial" w:cs="Arial"/>
          <w:i/>
          <w:iCs/>
          <w:color w:val="000000" w:themeColor="text1"/>
        </w:rPr>
        <w:t>Insights into Regional Development, 2</w:t>
      </w:r>
      <w:r w:rsidRPr="00D22EF1">
        <w:rPr>
          <w:rFonts w:ascii="Arial" w:hAnsi="Arial" w:cs="Arial"/>
          <w:color w:val="000000" w:themeColor="text1"/>
        </w:rPr>
        <w:t xml:space="preserve">(4), 750–764. </w:t>
      </w:r>
      <w:r w:rsidR="00D22EF1" w:rsidRPr="00D22EF1">
        <w:rPr>
          <w:rFonts w:ascii="Arial" w:hAnsi="Arial" w:cs="Arial"/>
          <w:color w:val="000000" w:themeColor="text1"/>
        </w:rPr>
        <w:t>https://doi.org/10.9770/ird.2020.2.4(3)</w:t>
      </w:r>
    </w:p>
    <w:p w14:paraId="06C3F786" w14:textId="783CD3C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Osasona</w:t>
      </w:r>
      <w:proofErr w:type="spellEnd"/>
      <w:r w:rsidRPr="00D22EF1">
        <w:rPr>
          <w:rFonts w:ascii="Arial" w:hAnsi="Arial" w:cs="Arial"/>
          <w:color w:val="000000" w:themeColor="text1"/>
        </w:rPr>
        <w:t xml:space="preserve">, A. V., Mojekwu, J. N., &amp; Kolapo, F. T. (2021). Reinsurance activities and sustainability of insurance firms in Nigeria. </w:t>
      </w:r>
      <w:r w:rsidRPr="00D22EF1">
        <w:rPr>
          <w:rFonts w:ascii="Arial" w:hAnsi="Arial" w:cs="Arial"/>
          <w:i/>
          <w:iCs/>
          <w:color w:val="000000" w:themeColor="text1"/>
        </w:rPr>
        <w:t>The Nigerian Journal of Risk and Insurance, 11</w:t>
      </w:r>
      <w:r w:rsidRPr="00D22EF1">
        <w:rPr>
          <w:rFonts w:ascii="Arial" w:hAnsi="Arial" w:cs="Arial"/>
          <w:color w:val="000000" w:themeColor="text1"/>
        </w:rPr>
        <w:t xml:space="preserve">(1), 136–153. </w:t>
      </w:r>
      <w:r w:rsidR="00D22EF1" w:rsidRPr="00D22EF1">
        <w:rPr>
          <w:rFonts w:ascii="Arial" w:hAnsi="Arial" w:cs="Arial"/>
          <w:color w:val="000000" w:themeColor="text1"/>
        </w:rPr>
        <w:t>https://njri.unilag.edu.ng/article/view/1522/1173</w:t>
      </w:r>
    </w:p>
    <w:p w14:paraId="26FB94D7" w14:textId="0CB92934"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Owolabi, S. A., &amp; </w:t>
      </w:r>
      <w:proofErr w:type="spellStart"/>
      <w:r w:rsidRPr="00D22EF1">
        <w:rPr>
          <w:rFonts w:ascii="Arial" w:hAnsi="Arial" w:cs="Arial"/>
          <w:color w:val="000000" w:themeColor="text1"/>
        </w:rPr>
        <w:t>Okulenu</w:t>
      </w:r>
      <w:proofErr w:type="spellEnd"/>
      <w:r w:rsidRPr="00D22EF1">
        <w:rPr>
          <w:rFonts w:ascii="Arial" w:hAnsi="Arial" w:cs="Arial"/>
          <w:color w:val="000000" w:themeColor="text1"/>
        </w:rPr>
        <w:t xml:space="preserve">, S. A. (2020). Sustainability reporting as a catalyst to performance of insurance company in Nigeria. </w:t>
      </w:r>
      <w:r w:rsidRPr="00D22EF1">
        <w:rPr>
          <w:rFonts w:ascii="Arial" w:hAnsi="Arial" w:cs="Arial"/>
          <w:i/>
          <w:iCs/>
          <w:color w:val="000000" w:themeColor="text1"/>
        </w:rPr>
        <w:t>International Journal of Research Publications, 56</w:t>
      </w:r>
      <w:r w:rsidRPr="00D22EF1">
        <w:rPr>
          <w:rFonts w:ascii="Arial" w:hAnsi="Arial" w:cs="Arial"/>
          <w:color w:val="000000" w:themeColor="text1"/>
        </w:rPr>
        <w:t xml:space="preserve">(1). </w:t>
      </w:r>
      <w:r w:rsidR="00D22EF1" w:rsidRPr="00D22EF1">
        <w:rPr>
          <w:rFonts w:ascii="Arial" w:hAnsi="Arial" w:cs="Arial"/>
          <w:color w:val="000000" w:themeColor="text1"/>
        </w:rPr>
        <w:t>https://doi.org/10.47119/IJRP100561720201289</w:t>
      </w:r>
    </w:p>
    <w:p w14:paraId="1C89C8AF" w14:textId="54AE97C0"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Oyerogba, E. O., Oladele, F., Kolawole, P. E., &amp; Adeyemo, M. A. (2024). Corporate governance practices and sustainability reporting quality: evidence from the Nigerian listed financial institution. </w:t>
      </w:r>
      <w:r w:rsidRPr="00D22EF1">
        <w:rPr>
          <w:rFonts w:ascii="Arial" w:hAnsi="Arial" w:cs="Arial"/>
          <w:i/>
          <w:iCs/>
          <w:color w:val="000000" w:themeColor="text1"/>
        </w:rPr>
        <w:t>Cogent Business &amp; Management</w:t>
      </w:r>
      <w:r w:rsidRPr="00D22EF1">
        <w:rPr>
          <w:rFonts w:ascii="Arial" w:hAnsi="Arial" w:cs="Arial"/>
          <w:color w:val="000000" w:themeColor="text1"/>
        </w:rPr>
        <w:t>, </w:t>
      </w:r>
      <w:r w:rsidRPr="00D22EF1">
        <w:rPr>
          <w:rFonts w:ascii="Arial" w:hAnsi="Arial" w:cs="Arial"/>
          <w:i/>
          <w:iCs/>
          <w:color w:val="000000" w:themeColor="text1"/>
        </w:rPr>
        <w:t>11</w:t>
      </w:r>
      <w:r w:rsidRPr="00D22EF1">
        <w:rPr>
          <w:rFonts w:ascii="Arial" w:hAnsi="Arial" w:cs="Arial"/>
          <w:color w:val="000000" w:themeColor="text1"/>
        </w:rPr>
        <w:t xml:space="preserve">(1). </w:t>
      </w:r>
      <w:r w:rsidR="00D22EF1" w:rsidRPr="00D22EF1">
        <w:rPr>
          <w:rFonts w:ascii="Arial" w:hAnsi="Arial" w:cs="Arial"/>
          <w:color w:val="000000" w:themeColor="text1"/>
        </w:rPr>
        <w:t>https://doi.org/10.1080/23311975.2024.2325111</w:t>
      </w:r>
    </w:p>
    <w:p w14:paraId="6CE4AD79" w14:textId="096A753D"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Piñeiro-Chousa, J., López-Pérez, M. L., López-</w:t>
      </w:r>
      <w:proofErr w:type="spellStart"/>
      <w:r w:rsidRPr="00D22EF1">
        <w:rPr>
          <w:rFonts w:ascii="Arial" w:hAnsi="Arial" w:cs="Arial"/>
          <w:color w:val="000000" w:themeColor="text1"/>
        </w:rPr>
        <w:t>Cabarcos</w:t>
      </w:r>
      <w:proofErr w:type="spellEnd"/>
      <w:r w:rsidRPr="00D22EF1">
        <w:rPr>
          <w:rFonts w:ascii="Arial" w:hAnsi="Arial" w:cs="Arial"/>
          <w:color w:val="000000" w:themeColor="text1"/>
        </w:rPr>
        <w:t xml:space="preserve">, M. Á., &amp; </w:t>
      </w:r>
      <w:proofErr w:type="spellStart"/>
      <w:r w:rsidRPr="00D22EF1">
        <w:rPr>
          <w:rFonts w:ascii="Arial" w:hAnsi="Arial" w:cs="Arial"/>
          <w:color w:val="000000" w:themeColor="text1"/>
        </w:rPr>
        <w:t>Šević</w:t>
      </w:r>
      <w:proofErr w:type="spellEnd"/>
      <w:r w:rsidRPr="00D22EF1">
        <w:rPr>
          <w:rFonts w:ascii="Arial" w:hAnsi="Arial" w:cs="Arial"/>
          <w:color w:val="000000" w:themeColor="text1"/>
        </w:rPr>
        <w:t xml:space="preserve">, A. (2025). Busy boards and environmental, social and governance performance: A gender perspective on NASDAQ-100 firms. </w:t>
      </w:r>
      <w:r w:rsidRPr="00D22EF1">
        <w:rPr>
          <w:rFonts w:ascii="Arial" w:hAnsi="Arial" w:cs="Arial"/>
          <w:i/>
          <w:iCs/>
          <w:color w:val="000000" w:themeColor="text1"/>
        </w:rPr>
        <w:t>Review of Managerial Science, 19</w:t>
      </w:r>
      <w:r w:rsidRPr="00D22EF1">
        <w:rPr>
          <w:rFonts w:ascii="Arial" w:hAnsi="Arial" w:cs="Arial"/>
          <w:color w:val="000000" w:themeColor="text1"/>
        </w:rPr>
        <w:t xml:space="preserve">(12), 3663–3686. </w:t>
      </w:r>
      <w:r w:rsidR="007E6FDF" w:rsidRPr="007E6FDF">
        <w:rPr>
          <w:rFonts w:ascii="Arial" w:hAnsi="Arial" w:cs="Arial"/>
          <w:color w:val="000000" w:themeColor="text1"/>
        </w:rPr>
        <w:t>https://doi.org/10.1007/s11846-025-00863-4</w:t>
      </w:r>
    </w:p>
    <w:p w14:paraId="1BDFFB3D" w14:textId="6B275C3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Razaq, A. G., Alhassan, A., &amp; Omole, P. M. (2023). Corporate governance mechanisms and sustainability reporting practices of listed non-financial firms in Nigeria. </w:t>
      </w:r>
      <w:r w:rsidRPr="00D22EF1">
        <w:rPr>
          <w:rFonts w:ascii="Arial" w:hAnsi="Arial" w:cs="Arial"/>
          <w:i/>
          <w:iCs/>
          <w:color w:val="000000" w:themeColor="text1"/>
        </w:rPr>
        <w:t>FUDMA Journal of Accounting and Finance Research (FUJAFR), 1</w:t>
      </w:r>
      <w:r w:rsidRPr="00D22EF1">
        <w:rPr>
          <w:rFonts w:ascii="Arial" w:hAnsi="Arial" w:cs="Arial"/>
          <w:color w:val="000000" w:themeColor="text1"/>
        </w:rPr>
        <w:t xml:space="preserve">(3), 1–18. </w:t>
      </w:r>
      <w:r w:rsidR="007E6FDF" w:rsidRPr="007E6FDF">
        <w:rPr>
          <w:rFonts w:ascii="Arial" w:hAnsi="Arial" w:cs="Arial"/>
          <w:color w:val="000000" w:themeColor="text1"/>
        </w:rPr>
        <w:t>https://doi.org/10.33003/fujafr-2023.v1i3.50.1-18</w:t>
      </w:r>
    </w:p>
    <w:p w14:paraId="7AB6056F" w14:textId="28945938"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Rivo-López, E., Villanueva-Villar, M., Pardo-López, C., &amp; Cortés-García, M. (2025). Environmental sustainability reporting: A systematic and bibliometric review of two decades of research. </w:t>
      </w:r>
      <w:r w:rsidRPr="00D22EF1">
        <w:rPr>
          <w:rFonts w:ascii="Arial" w:hAnsi="Arial" w:cs="Arial"/>
          <w:i/>
          <w:iCs/>
          <w:color w:val="000000" w:themeColor="text1"/>
        </w:rPr>
        <w:t>Future Business Journal, 11</w:t>
      </w:r>
      <w:r w:rsidRPr="00D22EF1">
        <w:rPr>
          <w:rFonts w:ascii="Arial" w:hAnsi="Arial" w:cs="Arial"/>
          <w:color w:val="000000" w:themeColor="text1"/>
        </w:rPr>
        <w:t xml:space="preserve">, 165. </w:t>
      </w:r>
      <w:r w:rsidR="007E6FDF" w:rsidRPr="007E6FDF">
        <w:rPr>
          <w:rFonts w:ascii="Arial" w:hAnsi="Arial" w:cs="Arial"/>
          <w:color w:val="000000" w:themeColor="text1"/>
        </w:rPr>
        <w:t>https://doi.org/10.1186/s43093-025-00580-0</w:t>
      </w:r>
    </w:p>
    <w:p w14:paraId="33FB6EF5" w14:textId="3DF66D75"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Sani, S., Barde, I. M., &amp; </w:t>
      </w:r>
      <w:proofErr w:type="spellStart"/>
      <w:r w:rsidRPr="00D22EF1">
        <w:rPr>
          <w:rFonts w:ascii="Arial" w:hAnsi="Arial" w:cs="Arial"/>
          <w:color w:val="000000" w:themeColor="text1"/>
        </w:rPr>
        <w:t>Kurawa</w:t>
      </w:r>
      <w:proofErr w:type="spellEnd"/>
      <w:r w:rsidRPr="00D22EF1">
        <w:rPr>
          <w:rFonts w:ascii="Arial" w:hAnsi="Arial" w:cs="Arial"/>
          <w:color w:val="000000" w:themeColor="text1"/>
        </w:rPr>
        <w:t xml:space="preserve">, J. M. (2022). Sustainability accounting and performance of insurance companies in Nigeria. </w:t>
      </w:r>
      <w:r w:rsidRPr="00D22EF1">
        <w:rPr>
          <w:rFonts w:ascii="Arial" w:hAnsi="Arial" w:cs="Arial"/>
          <w:i/>
          <w:iCs/>
          <w:color w:val="000000" w:themeColor="text1"/>
        </w:rPr>
        <w:t>UMYU Journal of Accounting and Finance, 3</w:t>
      </w:r>
      <w:r w:rsidRPr="00D22EF1">
        <w:rPr>
          <w:rFonts w:ascii="Arial" w:hAnsi="Arial" w:cs="Arial"/>
          <w:color w:val="000000" w:themeColor="text1"/>
        </w:rPr>
        <w:t xml:space="preserve">(1), 75–89. </w:t>
      </w:r>
      <w:r w:rsidR="007E6FDF" w:rsidRPr="007E6FDF">
        <w:rPr>
          <w:rFonts w:ascii="Arial" w:hAnsi="Arial" w:cs="Arial"/>
          <w:color w:val="000000" w:themeColor="text1"/>
        </w:rPr>
        <w:t>https://doi.org/10.61143/umyu-jafr.3(1)2022.004</w:t>
      </w:r>
    </w:p>
    <w:p w14:paraId="4FDC7BC1" w14:textId="17562A5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Santoso, E. B., Marlina, M. A. E., &amp; </w:t>
      </w:r>
      <w:proofErr w:type="spellStart"/>
      <w:r w:rsidRPr="00D22EF1">
        <w:rPr>
          <w:rFonts w:ascii="Arial" w:hAnsi="Arial" w:cs="Arial"/>
          <w:color w:val="000000" w:themeColor="text1"/>
        </w:rPr>
        <w:t>Setiobudi</w:t>
      </w:r>
      <w:proofErr w:type="spellEnd"/>
      <w:r w:rsidRPr="00D22EF1">
        <w:rPr>
          <w:rFonts w:ascii="Arial" w:hAnsi="Arial" w:cs="Arial"/>
          <w:color w:val="000000" w:themeColor="text1"/>
        </w:rPr>
        <w:t xml:space="preserve">, A. (2025). Does board diversity influence corporate SDG disclosure in an emerging economy? </w:t>
      </w:r>
      <w:r w:rsidRPr="00D22EF1">
        <w:rPr>
          <w:rFonts w:ascii="Arial" w:hAnsi="Arial" w:cs="Arial"/>
          <w:i/>
          <w:iCs/>
          <w:color w:val="000000" w:themeColor="text1"/>
        </w:rPr>
        <w:t>South African Journal of Business Management, 56</w:t>
      </w:r>
      <w:r w:rsidRPr="00D22EF1">
        <w:rPr>
          <w:rFonts w:ascii="Arial" w:hAnsi="Arial" w:cs="Arial"/>
          <w:color w:val="000000" w:themeColor="text1"/>
        </w:rPr>
        <w:t xml:space="preserve">(1), a5040. </w:t>
      </w:r>
      <w:r w:rsidR="007E6FDF" w:rsidRPr="007E6FDF">
        <w:rPr>
          <w:rFonts w:ascii="Arial" w:hAnsi="Arial" w:cs="Arial"/>
          <w:color w:val="000000" w:themeColor="text1"/>
        </w:rPr>
        <w:t>https://doi.org/10.4102/sajbm.v56i1.5040</w:t>
      </w:r>
    </w:p>
    <w:p w14:paraId="58847148" w14:textId="09066D53"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lastRenderedPageBreak/>
        <w:t xml:space="preserve">Savitri, R., &amp; </w:t>
      </w:r>
      <w:proofErr w:type="spellStart"/>
      <w:r w:rsidRPr="00D22EF1">
        <w:rPr>
          <w:rFonts w:ascii="Arial" w:hAnsi="Arial" w:cs="Arial"/>
          <w:color w:val="000000" w:themeColor="text1"/>
        </w:rPr>
        <w:t>Suhari</w:t>
      </w:r>
      <w:proofErr w:type="spellEnd"/>
      <w:r w:rsidRPr="00D22EF1">
        <w:rPr>
          <w:rFonts w:ascii="Arial" w:hAnsi="Arial" w:cs="Arial"/>
          <w:color w:val="000000" w:themeColor="text1"/>
        </w:rPr>
        <w:t xml:space="preserve">, E. (2023). The influence of corporate governance on sustainability reporting of insurance companies registered on the IDX. </w:t>
      </w:r>
      <w:r w:rsidRPr="00D22EF1">
        <w:rPr>
          <w:rFonts w:ascii="Arial" w:hAnsi="Arial" w:cs="Arial"/>
          <w:i/>
          <w:iCs/>
          <w:color w:val="000000" w:themeColor="text1"/>
        </w:rPr>
        <w:t>Journal of Social Research, 3</w:t>
      </w:r>
      <w:r w:rsidRPr="00D22EF1">
        <w:rPr>
          <w:rFonts w:ascii="Arial" w:hAnsi="Arial" w:cs="Arial"/>
          <w:color w:val="000000" w:themeColor="text1"/>
        </w:rPr>
        <w:t xml:space="preserve">(1). </w:t>
      </w:r>
      <w:r w:rsidR="007E6FDF" w:rsidRPr="007E6FDF">
        <w:rPr>
          <w:rFonts w:ascii="Arial" w:hAnsi="Arial" w:cs="Arial"/>
          <w:color w:val="000000" w:themeColor="text1"/>
        </w:rPr>
        <w:t>https://doi.org/https://doi.org/10.55324/josr.v3i1.1657</w:t>
      </w:r>
    </w:p>
    <w:p w14:paraId="6BFAACA6" w14:textId="70624776"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Siddiqui, F., </w:t>
      </w:r>
      <w:proofErr w:type="spellStart"/>
      <w:r w:rsidRPr="00D22EF1">
        <w:rPr>
          <w:rFonts w:ascii="Arial" w:hAnsi="Arial" w:cs="Arial"/>
          <w:color w:val="000000" w:themeColor="text1"/>
        </w:rPr>
        <w:t>YuSheng</w:t>
      </w:r>
      <w:proofErr w:type="spellEnd"/>
      <w:r w:rsidRPr="00D22EF1">
        <w:rPr>
          <w:rFonts w:ascii="Arial" w:hAnsi="Arial" w:cs="Arial"/>
          <w:color w:val="000000" w:themeColor="text1"/>
        </w:rPr>
        <w:t xml:space="preserve">, K., &amp; </w:t>
      </w:r>
      <w:proofErr w:type="spellStart"/>
      <w:r w:rsidRPr="00D22EF1">
        <w:rPr>
          <w:rFonts w:ascii="Arial" w:hAnsi="Arial" w:cs="Arial"/>
          <w:color w:val="000000" w:themeColor="text1"/>
        </w:rPr>
        <w:t>Tajeddini</w:t>
      </w:r>
      <w:proofErr w:type="spellEnd"/>
      <w:r w:rsidRPr="00D22EF1">
        <w:rPr>
          <w:rFonts w:ascii="Arial" w:hAnsi="Arial" w:cs="Arial"/>
          <w:color w:val="000000" w:themeColor="text1"/>
        </w:rPr>
        <w:t xml:space="preserve">, K. (2023). The role of corporate governance and reputation in the disclosure of corporate social responsibility and firm performance. </w:t>
      </w:r>
      <w:proofErr w:type="spellStart"/>
      <w:r w:rsidRPr="00D22EF1">
        <w:rPr>
          <w:rFonts w:ascii="Arial" w:hAnsi="Arial" w:cs="Arial"/>
          <w:i/>
          <w:iCs/>
          <w:color w:val="000000" w:themeColor="text1"/>
        </w:rPr>
        <w:t>Heliyon</w:t>
      </w:r>
      <w:proofErr w:type="spellEnd"/>
      <w:r w:rsidRPr="00D22EF1">
        <w:rPr>
          <w:rFonts w:ascii="Arial" w:hAnsi="Arial" w:cs="Arial"/>
          <w:i/>
          <w:iCs/>
          <w:color w:val="000000" w:themeColor="text1"/>
        </w:rPr>
        <w:t>, 9</w:t>
      </w:r>
      <w:r w:rsidRPr="00D22EF1">
        <w:rPr>
          <w:rFonts w:ascii="Arial" w:hAnsi="Arial" w:cs="Arial"/>
          <w:color w:val="000000" w:themeColor="text1"/>
        </w:rPr>
        <w:t xml:space="preserve">(5), e16055. </w:t>
      </w:r>
      <w:r w:rsidR="007E6FDF" w:rsidRPr="007E6FDF">
        <w:rPr>
          <w:rFonts w:ascii="Arial" w:hAnsi="Arial" w:cs="Arial"/>
          <w:color w:val="000000" w:themeColor="text1"/>
        </w:rPr>
        <w:t>https://doi.org/10.1016/j.heliyon.2023.e16055</w:t>
      </w:r>
    </w:p>
    <w:p w14:paraId="0ABE3FD0" w14:textId="216AAA4E"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Sundarasen</w:t>
      </w:r>
      <w:proofErr w:type="spellEnd"/>
      <w:r w:rsidRPr="00D22EF1">
        <w:rPr>
          <w:rFonts w:ascii="Arial" w:hAnsi="Arial" w:cs="Arial"/>
          <w:color w:val="000000" w:themeColor="text1"/>
        </w:rPr>
        <w:t xml:space="preserve">, S., Kumar, R., </w:t>
      </w:r>
      <w:proofErr w:type="spellStart"/>
      <w:r w:rsidRPr="00D22EF1">
        <w:rPr>
          <w:rFonts w:ascii="Arial" w:hAnsi="Arial" w:cs="Arial"/>
          <w:color w:val="000000" w:themeColor="text1"/>
        </w:rPr>
        <w:t>Tanaraj</w:t>
      </w:r>
      <w:proofErr w:type="spellEnd"/>
      <w:r w:rsidRPr="00D22EF1">
        <w:rPr>
          <w:rFonts w:ascii="Arial" w:hAnsi="Arial" w:cs="Arial"/>
          <w:color w:val="000000" w:themeColor="text1"/>
        </w:rPr>
        <w:t xml:space="preserve">, K., </w:t>
      </w:r>
      <w:proofErr w:type="spellStart"/>
      <w:r w:rsidRPr="00D22EF1">
        <w:rPr>
          <w:rFonts w:ascii="Arial" w:hAnsi="Arial" w:cs="Arial"/>
          <w:color w:val="000000" w:themeColor="text1"/>
        </w:rPr>
        <w:t>Alsmady</w:t>
      </w:r>
      <w:proofErr w:type="spellEnd"/>
      <w:r w:rsidRPr="00D22EF1">
        <w:rPr>
          <w:rFonts w:ascii="Arial" w:hAnsi="Arial" w:cs="Arial"/>
          <w:color w:val="000000" w:themeColor="text1"/>
        </w:rPr>
        <w:t xml:space="preserve">, A. A., &amp; Rajagopalan, U. (2024). From board diversity to disclosure: A comprehensive review on board dynamics and ESG reporting. </w:t>
      </w:r>
      <w:r w:rsidRPr="00D22EF1">
        <w:rPr>
          <w:rFonts w:ascii="Arial" w:hAnsi="Arial" w:cs="Arial"/>
          <w:i/>
          <w:iCs/>
          <w:color w:val="000000" w:themeColor="text1"/>
        </w:rPr>
        <w:t>Research in Globalization, 9</w:t>
      </w:r>
      <w:r w:rsidRPr="00D22EF1">
        <w:rPr>
          <w:rFonts w:ascii="Arial" w:hAnsi="Arial" w:cs="Arial"/>
          <w:color w:val="000000" w:themeColor="text1"/>
        </w:rPr>
        <w:t xml:space="preserve">, 100259. </w:t>
      </w:r>
      <w:r w:rsidR="007E6FDF" w:rsidRPr="007E6FDF">
        <w:rPr>
          <w:rFonts w:ascii="Arial" w:hAnsi="Arial" w:cs="Arial"/>
          <w:color w:val="000000" w:themeColor="text1"/>
        </w:rPr>
        <w:t>https://doi.org/10.1016/j.resglo.2024.100259</w:t>
      </w:r>
    </w:p>
    <w:p w14:paraId="3FA2CA6E" w14:textId="039EF6A2"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Tham, Y. H., </w:t>
      </w:r>
      <w:proofErr w:type="spellStart"/>
      <w:r w:rsidRPr="00D22EF1">
        <w:rPr>
          <w:rFonts w:ascii="Arial" w:hAnsi="Arial" w:cs="Arial"/>
          <w:color w:val="000000" w:themeColor="text1"/>
        </w:rPr>
        <w:t>Handayati</w:t>
      </w:r>
      <w:proofErr w:type="spellEnd"/>
      <w:r w:rsidRPr="00D22EF1">
        <w:rPr>
          <w:rFonts w:ascii="Arial" w:hAnsi="Arial" w:cs="Arial"/>
          <w:color w:val="000000" w:themeColor="text1"/>
        </w:rPr>
        <w:t xml:space="preserve">, P., </w:t>
      </w:r>
      <w:proofErr w:type="spellStart"/>
      <w:r w:rsidRPr="00D22EF1">
        <w:rPr>
          <w:rFonts w:ascii="Arial" w:hAnsi="Arial" w:cs="Arial"/>
          <w:color w:val="000000" w:themeColor="text1"/>
        </w:rPr>
        <w:t>Yuningsih</w:t>
      </w:r>
      <w:proofErr w:type="spellEnd"/>
      <w:r w:rsidRPr="00D22EF1">
        <w:rPr>
          <w:rFonts w:ascii="Arial" w:hAnsi="Arial" w:cs="Arial"/>
          <w:color w:val="000000" w:themeColor="text1"/>
        </w:rPr>
        <w:t xml:space="preserve">, Y., Sun, Z., &amp; Nugroho, T. R. (2025). Carbon reduction initiatives, corporate governance and sustainability assurance—Do multiple directorships and board tenure matter? </w:t>
      </w:r>
      <w:r w:rsidRPr="00D22EF1">
        <w:rPr>
          <w:rFonts w:ascii="Arial" w:hAnsi="Arial" w:cs="Arial"/>
          <w:i/>
          <w:iCs/>
          <w:color w:val="000000" w:themeColor="text1"/>
        </w:rPr>
        <w:t>Sustainability, 17</w:t>
      </w:r>
      <w:r w:rsidRPr="00D22EF1">
        <w:rPr>
          <w:rFonts w:ascii="Arial" w:hAnsi="Arial" w:cs="Arial"/>
          <w:color w:val="000000" w:themeColor="text1"/>
        </w:rPr>
        <w:t xml:space="preserve">(3), 1115. </w:t>
      </w:r>
      <w:r w:rsidR="007E6FDF" w:rsidRPr="007E6FDF">
        <w:rPr>
          <w:rFonts w:ascii="Arial" w:hAnsi="Arial" w:cs="Arial"/>
          <w:color w:val="000000" w:themeColor="text1"/>
        </w:rPr>
        <w:t>https://doi.org/10.3390/su17031115</w:t>
      </w:r>
    </w:p>
    <w:p w14:paraId="633CBCD1" w14:textId="68F05F10"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Urban, J. (2019). Corporate governance mechanisms: Their strengths, weaknesses and complementarity. </w:t>
      </w:r>
      <w:r w:rsidRPr="00D22EF1">
        <w:rPr>
          <w:rFonts w:ascii="Arial" w:hAnsi="Arial" w:cs="Arial"/>
          <w:i/>
          <w:iCs/>
          <w:color w:val="000000" w:themeColor="text1"/>
        </w:rPr>
        <w:t>SHS Web of Conferences, 61</w:t>
      </w:r>
      <w:r w:rsidRPr="00D22EF1">
        <w:rPr>
          <w:rFonts w:ascii="Arial" w:hAnsi="Arial" w:cs="Arial"/>
          <w:color w:val="000000" w:themeColor="text1"/>
        </w:rPr>
        <w:t xml:space="preserve">, 01028. </w:t>
      </w:r>
      <w:r w:rsidR="007E6FDF" w:rsidRPr="007E6FDF">
        <w:rPr>
          <w:rFonts w:ascii="Arial" w:hAnsi="Arial" w:cs="Arial"/>
          <w:color w:val="000000" w:themeColor="text1"/>
        </w:rPr>
        <w:t>https://doi.org/10.1051/shsconf/20196101028</w:t>
      </w:r>
    </w:p>
    <w:p w14:paraId="2C249C7B"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Uwaifo</w:t>
      </w:r>
      <w:proofErr w:type="spellEnd"/>
      <w:r w:rsidRPr="00D22EF1">
        <w:rPr>
          <w:rFonts w:ascii="Arial" w:hAnsi="Arial" w:cs="Arial"/>
          <w:color w:val="000000" w:themeColor="text1"/>
        </w:rPr>
        <w:t xml:space="preserve">, N. F., &amp; Okoh, G. A. (2024). Board diversity and sustainability reporting: Examining the impact of gender and nationality in Nigerian banks. </w:t>
      </w:r>
      <w:r w:rsidRPr="00D22EF1">
        <w:rPr>
          <w:rFonts w:ascii="Arial" w:hAnsi="Arial" w:cs="Arial"/>
          <w:i/>
          <w:iCs/>
          <w:color w:val="000000" w:themeColor="text1"/>
        </w:rPr>
        <w:t>SSRN Electronic Journal</w:t>
      </w:r>
      <w:r w:rsidRPr="00D22EF1">
        <w:rPr>
          <w:rFonts w:ascii="Arial" w:hAnsi="Arial" w:cs="Arial"/>
          <w:color w:val="000000" w:themeColor="text1"/>
        </w:rPr>
        <w:t xml:space="preserve">. </w:t>
      </w:r>
      <w:hyperlink r:id="rId14" w:tgtFrame="_new" w:history="1">
        <w:r w:rsidRPr="00D22EF1">
          <w:rPr>
            <w:rStyle w:val="Hyperlink"/>
            <w:rFonts w:ascii="Arial" w:hAnsi="Arial" w:cs="Arial"/>
            <w:color w:val="000000" w:themeColor="text1"/>
          </w:rPr>
          <w:t>https://ssrn.com/abstract=4935339</w:t>
        </w:r>
      </w:hyperlink>
    </w:p>
    <w:p w14:paraId="1393EC82"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Uwuigbe</w:t>
      </w:r>
      <w:proofErr w:type="spellEnd"/>
      <w:r w:rsidRPr="00D22EF1">
        <w:rPr>
          <w:rFonts w:ascii="Arial" w:hAnsi="Arial" w:cs="Arial"/>
          <w:color w:val="000000" w:themeColor="text1"/>
        </w:rPr>
        <w:t xml:space="preserve">, U., </w:t>
      </w:r>
      <w:proofErr w:type="spellStart"/>
      <w:r w:rsidRPr="00D22EF1">
        <w:rPr>
          <w:rFonts w:ascii="Arial" w:hAnsi="Arial" w:cs="Arial"/>
          <w:color w:val="000000" w:themeColor="text1"/>
        </w:rPr>
        <w:t>Uwuigbe</w:t>
      </w:r>
      <w:proofErr w:type="spellEnd"/>
      <w:r w:rsidRPr="00D22EF1">
        <w:rPr>
          <w:rFonts w:ascii="Arial" w:hAnsi="Arial" w:cs="Arial"/>
          <w:color w:val="000000" w:themeColor="text1"/>
        </w:rPr>
        <w:t xml:space="preserve">, O. R., &amp; Bernard, O. (2018). Sustainability reporting and firm performance: A study of listed manufacturing firms in Nigeria. </w:t>
      </w:r>
      <w:r w:rsidRPr="00D22EF1">
        <w:rPr>
          <w:rFonts w:ascii="Arial" w:hAnsi="Arial" w:cs="Arial"/>
          <w:i/>
          <w:iCs/>
          <w:color w:val="000000" w:themeColor="text1"/>
        </w:rPr>
        <w:t>Journal of Economics and Sustainable Development, 10</w:t>
      </w:r>
      <w:r w:rsidRPr="00D22EF1">
        <w:rPr>
          <w:rFonts w:ascii="Arial" w:hAnsi="Arial" w:cs="Arial"/>
          <w:color w:val="000000" w:themeColor="text1"/>
        </w:rPr>
        <w:t>(2), 45–53.</w:t>
      </w:r>
    </w:p>
    <w:p w14:paraId="2CE4F831" w14:textId="16DB2DEF"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Xu, L., Xie, L., Mei, S., Hao, J., Zhang, Y., &amp; Song, Y. (2024). Corporate sustainability reporting and stakeholders’ interests: Evidence from China. </w:t>
      </w:r>
      <w:r w:rsidRPr="00D22EF1">
        <w:rPr>
          <w:rFonts w:ascii="Arial" w:hAnsi="Arial" w:cs="Arial"/>
          <w:i/>
          <w:iCs/>
          <w:color w:val="000000" w:themeColor="text1"/>
        </w:rPr>
        <w:t>Sustainability, 16</w:t>
      </w:r>
      <w:r w:rsidRPr="00D22EF1">
        <w:rPr>
          <w:rFonts w:ascii="Arial" w:hAnsi="Arial" w:cs="Arial"/>
          <w:color w:val="000000" w:themeColor="text1"/>
        </w:rPr>
        <w:t xml:space="preserve">(8), 3443. </w:t>
      </w:r>
      <w:r w:rsidR="007E6FDF" w:rsidRPr="007E6FDF">
        <w:rPr>
          <w:rFonts w:ascii="Arial" w:hAnsi="Arial" w:cs="Arial"/>
          <w:color w:val="000000" w:themeColor="text1"/>
        </w:rPr>
        <w:t>https://doi.org/10.3390/su16083443</w:t>
      </w:r>
    </w:p>
    <w:p w14:paraId="671235C8" w14:textId="77777777"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r w:rsidRPr="00D22EF1">
        <w:rPr>
          <w:rFonts w:ascii="Arial" w:hAnsi="Arial" w:cs="Arial"/>
          <w:color w:val="000000" w:themeColor="text1"/>
        </w:rPr>
        <w:t xml:space="preserve">Yahaya, O. A., &amp; Alkasim, A. (2021). Sustainability and profitability of Nigeria listed insurance companies. </w:t>
      </w:r>
      <w:r w:rsidRPr="00D22EF1">
        <w:rPr>
          <w:rFonts w:ascii="Arial" w:hAnsi="Arial" w:cs="Arial"/>
          <w:i/>
          <w:iCs/>
          <w:color w:val="000000" w:themeColor="text1"/>
        </w:rPr>
        <w:t>International Journal of Innovative Research in Accounting and Sustainability, 6</w:t>
      </w:r>
      <w:r w:rsidRPr="00D22EF1">
        <w:rPr>
          <w:rFonts w:ascii="Arial" w:hAnsi="Arial" w:cs="Arial"/>
          <w:color w:val="000000" w:themeColor="text1"/>
        </w:rPr>
        <w:t>(1), 17–28.</w:t>
      </w:r>
    </w:p>
    <w:p w14:paraId="40A62C86" w14:textId="45265EF1" w:rsidR="00EC2AAD" w:rsidRPr="00D22EF1" w:rsidRDefault="00EC2AAD" w:rsidP="00D22EF1">
      <w:pPr>
        <w:pStyle w:val="ListParagraph"/>
        <w:numPr>
          <w:ilvl w:val="0"/>
          <w:numId w:val="32"/>
        </w:numPr>
        <w:tabs>
          <w:tab w:val="left" w:pos="90"/>
        </w:tabs>
        <w:spacing w:after="240"/>
        <w:jc w:val="both"/>
        <w:rPr>
          <w:rFonts w:ascii="Arial" w:hAnsi="Arial" w:cs="Arial"/>
          <w:color w:val="000000" w:themeColor="text1"/>
        </w:rPr>
      </w:pPr>
      <w:proofErr w:type="spellStart"/>
      <w:r w:rsidRPr="00D22EF1">
        <w:rPr>
          <w:rFonts w:ascii="Arial" w:hAnsi="Arial" w:cs="Arial"/>
          <w:color w:val="000000" w:themeColor="text1"/>
        </w:rPr>
        <w:t>Zvinowanda</w:t>
      </w:r>
      <w:proofErr w:type="spellEnd"/>
      <w:r w:rsidRPr="00D22EF1">
        <w:rPr>
          <w:rFonts w:ascii="Arial" w:hAnsi="Arial" w:cs="Arial"/>
          <w:color w:val="000000" w:themeColor="text1"/>
        </w:rPr>
        <w:t xml:space="preserve">, D., </w:t>
      </w:r>
      <w:proofErr w:type="spellStart"/>
      <w:r w:rsidRPr="00D22EF1">
        <w:rPr>
          <w:rFonts w:ascii="Arial" w:hAnsi="Arial" w:cs="Arial"/>
          <w:color w:val="000000" w:themeColor="text1"/>
        </w:rPr>
        <w:t>Mafini</w:t>
      </w:r>
      <w:proofErr w:type="spellEnd"/>
      <w:r w:rsidRPr="00D22EF1">
        <w:rPr>
          <w:rFonts w:ascii="Arial" w:hAnsi="Arial" w:cs="Arial"/>
          <w:color w:val="000000" w:themeColor="text1"/>
        </w:rPr>
        <w:t xml:space="preserve">, C., &amp; Beneke, J. D. (2024). Board nationality diversity and shareholder value creation: Empirical evidence from South African listed non-financial companies. </w:t>
      </w:r>
      <w:r w:rsidRPr="00D22EF1">
        <w:rPr>
          <w:rFonts w:ascii="Arial" w:hAnsi="Arial" w:cs="Arial"/>
          <w:i/>
          <w:iCs/>
          <w:color w:val="000000" w:themeColor="text1"/>
        </w:rPr>
        <w:t>International Journal of Research in Business and Social Science, 13</w:t>
      </w:r>
      <w:r w:rsidRPr="00D22EF1">
        <w:rPr>
          <w:rFonts w:ascii="Arial" w:hAnsi="Arial" w:cs="Arial"/>
          <w:color w:val="000000" w:themeColor="text1"/>
        </w:rPr>
        <w:t>(5), 1–18.</w:t>
      </w:r>
      <w:r w:rsidR="007E6FDF" w:rsidRPr="007E6FDF">
        <w:t xml:space="preserve"> </w:t>
      </w:r>
      <w:r w:rsidR="007E6FDF" w:rsidRPr="007E6FDF">
        <w:rPr>
          <w:rFonts w:ascii="Arial" w:hAnsi="Arial" w:cs="Arial"/>
          <w:color w:val="000000" w:themeColor="text1"/>
        </w:rPr>
        <w:t>https://doi.org/10.20525/ijrbs.v13i5.3426</w:t>
      </w:r>
    </w:p>
    <w:p w14:paraId="4206D59D" w14:textId="77777777" w:rsidR="00EC2AAD" w:rsidRPr="00B87A00" w:rsidRDefault="00EC2AAD" w:rsidP="00EC2AAD">
      <w:pPr>
        <w:spacing w:line="360" w:lineRule="auto"/>
        <w:jc w:val="both"/>
        <w:rPr>
          <w:rFonts w:ascii="Times New Roman" w:hAnsi="Times New Roman"/>
          <w:b/>
          <w:bCs/>
        </w:rPr>
      </w:pPr>
    </w:p>
    <w:p w14:paraId="7089CADC" w14:textId="77777777" w:rsidR="00790ADA" w:rsidRPr="00FB3A86" w:rsidRDefault="00790ADA" w:rsidP="00441B6F">
      <w:pPr>
        <w:pStyle w:val="ReferHead"/>
        <w:spacing w:after="0"/>
        <w:jc w:val="both"/>
        <w:rPr>
          <w:rFonts w:ascii="Arial" w:hAnsi="Arial" w:cs="Arial"/>
        </w:rPr>
      </w:pPr>
    </w:p>
    <w:sectPr w:rsidR="00790ADA" w:rsidRPr="00FB3A86" w:rsidSect="00E068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D982E" w14:textId="77777777" w:rsidR="00BC7A0C" w:rsidRDefault="00BC7A0C" w:rsidP="00C37E61">
      <w:r>
        <w:separator/>
      </w:r>
    </w:p>
  </w:endnote>
  <w:endnote w:type="continuationSeparator" w:id="0">
    <w:p w14:paraId="61B1DCAD" w14:textId="77777777" w:rsidR="00BC7A0C" w:rsidRDefault="00BC7A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622A" w14:textId="77777777" w:rsidR="00E06814" w:rsidRDefault="00E06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9263" w14:textId="77777777" w:rsidR="00E06814" w:rsidRDefault="00E06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C018" w14:textId="6779B95B" w:rsidR="00754C9A" w:rsidRPr="00E06814" w:rsidRDefault="00754C9A" w:rsidP="00E06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CE273" w14:textId="77777777" w:rsidR="00BC7A0C" w:rsidRDefault="00BC7A0C" w:rsidP="00C37E61">
      <w:r>
        <w:separator/>
      </w:r>
    </w:p>
  </w:footnote>
  <w:footnote w:type="continuationSeparator" w:id="0">
    <w:p w14:paraId="1A9315CF" w14:textId="77777777" w:rsidR="00BC7A0C" w:rsidRDefault="00BC7A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3DDF" w14:textId="41E6D367" w:rsidR="00E06814" w:rsidRDefault="00BC7A0C">
    <w:pPr>
      <w:pStyle w:val="Header"/>
    </w:pPr>
    <w:r>
      <w:rPr>
        <w:noProof/>
      </w:rPr>
      <w:pict w14:anchorId="35B02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B244" w14:textId="1C759FA2" w:rsidR="00E06814" w:rsidRDefault="00BC7A0C">
    <w:pPr>
      <w:pStyle w:val="Header"/>
    </w:pPr>
    <w:r>
      <w:rPr>
        <w:noProof/>
      </w:rPr>
      <w:pict w14:anchorId="51BB6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5785" w14:textId="2CF0F86E" w:rsidR="00296529" w:rsidRPr="00296529" w:rsidRDefault="00BC7A0C" w:rsidP="00296529">
    <w:pPr>
      <w:ind w:left="2160"/>
      <w:jc w:val="center"/>
      <w:rPr>
        <w:rFonts w:ascii="Times New Roman" w:eastAsia="Calibri" w:hAnsi="Times New Roman"/>
        <w:i/>
        <w:sz w:val="18"/>
        <w:szCs w:val="22"/>
      </w:rPr>
    </w:pPr>
    <w:r>
      <w:rPr>
        <w:noProof/>
      </w:rPr>
      <w:pict w14:anchorId="02E88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4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E860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BDCC6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5663A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39E3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D0B3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86ACC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3029AB"/>
    <w:multiLevelType w:val="multilevel"/>
    <w:tmpl w:val="9482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54FA2"/>
    <w:multiLevelType w:val="hybridMultilevel"/>
    <w:tmpl w:val="5D78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1E2"/>
    <w:rsid w:val="00077731"/>
    <w:rsid w:val="000A47FA"/>
    <w:rsid w:val="000A65D3"/>
    <w:rsid w:val="000B1E33"/>
    <w:rsid w:val="000B6F93"/>
    <w:rsid w:val="000D689F"/>
    <w:rsid w:val="000E7B7B"/>
    <w:rsid w:val="000E7D62"/>
    <w:rsid w:val="00100774"/>
    <w:rsid w:val="00103357"/>
    <w:rsid w:val="00123C9F"/>
    <w:rsid w:val="00126190"/>
    <w:rsid w:val="00130F17"/>
    <w:rsid w:val="001320BF"/>
    <w:rsid w:val="00163BC4"/>
    <w:rsid w:val="00175E60"/>
    <w:rsid w:val="001779C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4345"/>
    <w:rsid w:val="003512C2"/>
    <w:rsid w:val="00371FB6"/>
    <w:rsid w:val="003763C1"/>
    <w:rsid w:val="00376BBE"/>
    <w:rsid w:val="0039224F"/>
    <w:rsid w:val="003A43A4"/>
    <w:rsid w:val="003A7E18"/>
    <w:rsid w:val="003C4C86"/>
    <w:rsid w:val="003C6258"/>
    <w:rsid w:val="003E2904"/>
    <w:rsid w:val="00401927"/>
    <w:rsid w:val="0041027F"/>
    <w:rsid w:val="00411698"/>
    <w:rsid w:val="00412475"/>
    <w:rsid w:val="00423789"/>
    <w:rsid w:val="00440F43"/>
    <w:rsid w:val="00441B6F"/>
    <w:rsid w:val="00446221"/>
    <w:rsid w:val="00450E62"/>
    <w:rsid w:val="004539DB"/>
    <w:rsid w:val="00471A80"/>
    <w:rsid w:val="00473EA4"/>
    <w:rsid w:val="004A0394"/>
    <w:rsid w:val="004D305E"/>
    <w:rsid w:val="004D4277"/>
    <w:rsid w:val="00502516"/>
    <w:rsid w:val="00505F06"/>
    <w:rsid w:val="00506828"/>
    <w:rsid w:val="0053056E"/>
    <w:rsid w:val="00554FDA"/>
    <w:rsid w:val="00564F3A"/>
    <w:rsid w:val="00567E90"/>
    <w:rsid w:val="00572831"/>
    <w:rsid w:val="005735A9"/>
    <w:rsid w:val="005C784C"/>
    <w:rsid w:val="005D17F6"/>
    <w:rsid w:val="005E5539"/>
    <w:rsid w:val="00602BF5"/>
    <w:rsid w:val="00617FDD"/>
    <w:rsid w:val="00632F74"/>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973"/>
    <w:rsid w:val="006F11EC"/>
    <w:rsid w:val="0070082C"/>
    <w:rsid w:val="007369E6"/>
    <w:rsid w:val="00746E59"/>
    <w:rsid w:val="00754C9A"/>
    <w:rsid w:val="0075599A"/>
    <w:rsid w:val="00761D52"/>
    <w:rsid w:val="0076679D"/>
    <w:rsid w:val="0077749E"/>
    <w:rsid w:val="00790ADA"/>
    <w:rsid w:val="007B7E91"/>
    <w:rsid w:val="007D2288"/>
    <w:rsid w:val="007E088F"/>
    <w:rsid w:val="007E6FDF"/>
    <w:rsid w:val="007F7B32"/>
    <w:rsid w:val="00804BC2"/>
    <w:rsid w:val="00805B59"/>
    <w:rsid w:val="0081431A"/>
    <w:rsid w:val="0083216F"/>
    <w:rsid w:val="00860000"/>
    <w:rsid w:val="00863BD3"/>
    <w:rsid w:val="008641ED"/>
    <w:rsid w:val="00866D66"/>
    <w:rsid w:val="008671C6"/>
    <w:rsid w:val="00875803"/>
    <w:rsid w:val="00880232"/>
    <w:rsid w:val="008B459E"/>
    <w:rsid w:val="008C00CF"/>
    <w:rsid w:val="008E13AE"/>
    <w:rsid w:val="008E1506"/>
    <w:rsid w:val="008E710C"/>
    <w:rsid w:val="008F69D6"/>
    <w:rsid w:val="00902823"/>
    <w:rsid w:val="00915CA6"/>
    <w:rsid w:val="00927834"/>
    <w:rsid w:val="009500A6"/>
    <w:rsid w:val="00957C18"/>
    <w:rsid w:val="00963EFE"/>
    <w:rsid w:val="009659BA"/>
    <w:rsid w:val="009710A1"/>
    <w:rsid w:val="00983040"/>
    <w:rsid w:val="009A61E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F53"/>
    <w:rsid w:val="00A51431"/>
    <w:rsid w:val="00A539AD"/>
    <w:rsid w:val="00A67D0E"/>
    <w:rsid w:val="00A93A30"/>
    <w:rsid w:val="00A94063"/>
    <w:rsid w:val="00AA6219"/>
    <w:rsid w:val="00AA74E0"/>
    <w:rsid w:val="00AB703F"/>
    <w:rsid w:val="00AC6BB8"/>
    <w:rsid w:val="00AE008F"/>
    <w:rsid w:val="00B01FCD"/>
    <w:rsid w:val="00B1776C"/>
    <w:rsid w:val="00B25B20"/>
    <w:rsid w:val="00B52583"/>
    <w:rsid w:val="00B52896"/>
    <w:rsid w:val="00B86067"/>
    <w:rsid w:val="00B95236"/>
    <w:rsid w:val="00B96BD9"/>
    <w:rsid w:val="00BA1B01"/>
    <w:rsid w:val="00BA2641"/>
    <w:rsid w:val="00BB37AA"/>
    <w:rsid w:val="00BC53A0"/>
    <w:rsid w:val="00BC7A0C"/>
    <w:rsid w:val="00BE62AD"/>
    <w:rsid w:val="00BF05A8"/>
    <w:rsid w:val="00BF121F"/>
    <w:rsid w:val="00BF1F80"/>
    <w:rsid w:val="00C166EF"/>
    <w:rsid w:val="00C17EB0"/>
    <w:rsid w:val="00C27F5F"/>
    <w:rsid w:val="00C30A0F"/>
    <w:rsid w:val="00C37E61"/>
    <w:rsid w:val="00C44973"/>
    <w:rsid w:val="00C70F1B"/>
    <w:rsid w:val="00C71A47"/>
    <w:rsid w:val="00C7464C"/>
    <w:rsid w:val="00C85588"/>
    <w:rsid w:val="00CC7368"/>
    <w:rsid w:val="00CD6755"/>
    <w:rsid w:val="00CD6856"/>
    <w:rsid w:val="00CE0089"/>
    <w:rsid w:val="00CE793C"/>
    <w:rsid w:val="00CF193C"/>
    <w:rsid w:val="00D173F1"/>
    <w:rsid w:val="00D22EF1"/>
    <w:rsid w:val="00D74CB0"/>
    <w:rsid w:val="00D8295D"/>
    <w:rsid w:val="00DA1A43"/>
    <w:rsid w:val="00DC2A65"/>
    <w:rsid w:val="00DE15F0"/>
    <w:rsid w:val="00DE5663"/>
    <w:rsid w:val="00DE78AA"/>
    <w:rsid w:val="00DF2327"/>
    <w:rsid w:val="00E053D0"/>
    <w:rsid w:val="00E06814"/>
    <w:rsid w:val="00E15994"/>
    <w:rsid w:val="00E3114E"/>
    <w:rsid w:val="00E31A70"/>
    <w:rsid w:val="00E35B02"/>
    <w:rsid w:val="00E35DC1"/>
    <w:rsid w:val="00E47A23"/>
    <w:rsid w:val="00E66496"/>
    <w:rsid w:val="00E66B35"/>
    <w:rsid w:val="00E66E10"/>
    <w:rsid w:val="00E769F6"/>
    <w:rsid w:val="00E8407C"/>
    <w:rsid w:val="00E84F3C"/>
    <w:rsid w:val="00EA012C"/>
    <w:rsid w:val="00EC2AAD"/>
    <w:rsid w:val="00EC6A55"/>
    <w:rsid w:val="00ED0288"/>
    <w:rsid w:val="00EE52CB"/>
    <w:rsid w:val="00EF581D"/>
    <w:rsid w:val="00EF7FD8"/>
    <w:rsid w:val="00F06F59"/>
    <w:rsid w:val="00F17988"/>
    <w:rsid w:val="00F469F0"/>
    <w:rsid w:val="00F47B1F"/>
    <w:rsid w:val="00F53273"/>
    <w:rsid w:val="00F755E4"/>
    <w:rsid w:val="00F77D02"/>
    <w:rsid w:val="00F91FF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42"/>
        <o:r id="V:Rule2" type="connector" idref="#Straight Arrow Connector 878091469">
          <o:proxy start="" idref="#Rectangle 175309592" connectloc="3"/>
          <o:proxy end="" idref="#Oval 1098033280" connectloc="2"/>
        </o:r>
        <o:r id="V:Rule3" type="connector" idref="#Straight Arrow Connector 1835826048"/>
        <o:r id="V:Rule4" type="connector" idref="#Straight Arrow Connector 1">
          <o:proxy start="" idref="#Rectangle 1603548289" connectloc="3"/>
        </o:r>
      </o:rules>
    </o:shapelayout>
  </w:shapeDefaults>
  <w:decimalSymbol w:val="."/>
  <w:listSeparator w:val=","/>
  <w14:docId w14:val="357D02B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449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4497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C44973"/>
    <w:pPr>
      <w:spacing w:after="200"/>
    </w:pPr>
    <w:rPr>
      <w:rFonts w:asciiTheme="minorHAnsi" w:eastAsiaTheme="minorHAnsi" w:hAnsiTheme="minorHAnsi" w:cstheme="minorBidi"/>
      <w:i/>
      <w:iCs/>
      <w:color w:val="1F497D" w:themeColor="text2"/>
      <w:kern w:val="2"/>
      <w:sz w:val="18"/>
      <w:szCs w:val="18"/>
    </w:rPr>
  </w:style>
  <w:style w:type="paragraph" w:styleId="ListParagraph">
    <w:name w:val="List Paragraph"/>
    <w:basedOn w:val="Normal"/>
    <w:uiPriority w:val="34"/>
    <w:qFormat/>
    <w:rsid w:val="00D22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srn.com/abstract=49353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4F3AD-5682-474D-AFE6-6D32C44A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18</Pages>
  <Words>9104</Words>
  <Characters>51894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60877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2025-11-30T13:45:00Z</dcterms:created>
  <dcterms:modified xsi:type="dcterms:W3CDTF">2025-12-05T09:22:00Z</dcterms:modified>
</cp:coreProperties>
</file>