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6D3665D" w14:textId="77777777" w:rsidR="00754C9A" w:rsidRDefault="00754C9A" w:rsidP="00441B6F">
      <w:pPr>
        <w:pStyle w:val="Title"/>
        <w:spacing w:after="0"/>
        <w:jc w:val="both"/>
        <w:rPr>
          <w:rFonts w:ascii="Arial" w:hAnsi="Arial" w:cs="Arial"/>
        </w:rPr>
      </w:pPr>
    </w:p>
    <w:p w14:paraId="6775B5AC" w14:textId="6594F097" w:rsidR="00D408E2" w:rsidRPr="00790ADA" w:rsidRDefault="00852248" w:rsidP="00D408E2">
      <w:pPr>
        <w:pStyle w:val="Author"/>
        <w:spacing w:line="240" w:lineRule="auto"/>
        <w:rPr>
          <w:rFonts w:ascii="Arial" w:hAnsi="Arial" w:cs="Arial"/>
          <w:sz w:val="36"/>
        </w:rPr>
      </w:pPr>
      <w:r w:rsidRPr="00852248">
        <w:rPr>
          <w:rFonts w:ascii="Arial" w:hAnsi="Arial" w:cs="Arial"/>
          <w:bCs/>
          <w:iCs/>
          <w:kern w:val="28"/>
          <w:sz w:val="36"/>
        </w:rPr>
        <w:t>Human Capital, Connectivity and FDI Inflows in the Philippines: A Two-Stage Least Squares Analysis</w:t>
      </w:r>
    </w:p>
    <w:p w14:paraId="78F87BB5" w14:textId="77777777" w:rsidR="008851A0" w:rsidRPr="00FB3A86" w:rsidRDefault="008851A0" w:rsidP="0090708B">
      <w:pPr>
        <w:pStyle w:val="Affiliation"/>
        <w:spacing w:after="0" w:line="240" w:lineRule="auto"/>
        <w:rPr>
          <w:rFonts w:ascii="Arial" w:hAnsi="Arial" w:cs="Arial"/>
        </w:rPr>
      </w:pPr>
    </w:p>
    <w:p w14:paraId="5D9BF0D3" w14:textId="4CB600C4" w:rsidR="00B01FCD" w:rsidRPr="00FB3A86" w:rsidRDefault="00A1723F" w:rsidP="00441B6F">
      <w:pPr>
        <w:pStyle w:val="Copyright"/>
        <w:spacing w:after="0" w:line="240" w:lineRule="auto"/>
        <w:jc w:val="both"/>
        <w:rPr>
          <w:rFonts w:ascii="Arial" w:hAnsi="Arial" w:cs="Arial"/>
        </w:rPr>
        <w:sectPr w:rsidR="00B01FCD" w:rsidRPr="00FB3A86" w:rsidSect="00EE273D">
          <w:headerReference w:type="even" r:id="rId8"/>
          <w:headerReference w:type="default" r:id="rId9"/>
          <w:footerReference w:type="even" r:id="rId10"/>
          <w:footerReference w:type="default" r:id="rId11"/>
          <w:headerReference w:type="first" r:id="rId12"/>
          <w:footerReference w:type="first" r:id="rId13"/>
          <w:pgSz w:w="12240" w:h="15840" w:code="1"/>
          <w:pgMar w:top="1440" w:right="2016" w:bottom="1980" w:left="2016" w:header="720" w:footer="1296" w:gutter="0"/>
          <w:cols w:space="720"/>
          <w:docGrid w:linePitch="272"/>
        </w:sectPr>
      </w:pPr>
      <w:r>
        <w:rPr>
          <w:rFonts w:ascii="Arial" w:hAnsi="Arial" w:cs="Arial"/>
          <w:noProof/>
        </w:rPr>
        <mc:AlternateContent>
          <mc:Choice Requires="wps">
            <w:drawing>
              <wp:inline distT="0" distB="0" distL="0" distR="0" wp14:anchorId="08DCADF3" wp14:editId="75B222D8">
                <wp:extent cx="5303520" cy="635"/>
                <wp:effectExtent l="13335" t="13335" r="17145" b="15240"/>
                <wp:docPr id="1843950294"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03520"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inline>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type w14:anchorId="1E38B218" id="_x0000_t32" coordsize="21600,21600" o:spt="32" o:oned="t" path="m,l21600,21600e" filled="f">
                <v:path arrowok="t" fillok="f" o:connecttype="none"/>
                <o:lock v:ext="edit" shapetype="t"/>
              </v:shapetype>
              <v:shape id="AutoShape 2" o:spid="_x0000_s1026" type="#_x0000_t32" style="width:417.6pt;height:.05pt;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" strokeweight="1.5pt">
                <w10:anchorlock/>
              </v:shape>
            </w:pict>
          </mc:Fallback>
        </mc:AlternateContent>
      </w:r>
    </w:p>
    <w:p w14:paraId="4634DEBC" w14:textId="05FDBD2A" w:rsidR="00790ADA" w:rsidRPr="00FB3A86" w:rsidRDefault="008851A0" w:rsidP="00441B6F">
      <w:pPr>
        <w:pStyle w:val="AbstHead"/>
        <w:spacing w:after="0"/>
        <w:jc w:val="both"/>
        <w:rPr>
          <w:rFonts w:ascii="Arial" w:hAnsi="Arial" w:cs="Arial"/>
        </w:rPr>
      </w:pPr>
      <w:r>
        <w:rPr>
          <w:rFonts w:ascii="Arial" w:hAnsi="Arial" w:cs="Arial"/>
        </w:rPr>
        <w:t>AbsTract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9350"/>
      </w:tblGrid>
      <w:tr w:rsidR="00296529" w:rsidRPr="001E44FE" w14:paraId="6BCC572F" w14:textId="77777777" w:rsidTr="001E44FE">
        <w:tc>
          <w:tcPr>
            <w:tcW w:w="9576" w:type="dxa"/>
            <w:shd w:val="clear" w:color="auto" w:fill="F2F2F2"/>
          </w:tcPr>
          <w:p w14:paraId="6FF70086" w14:textId="77777777" w:rsidR="0090708B" w:rsidRDefault="0090708B" w:rsidP="0090708B">
            <w:pPr>
              <w:pStyle w:val="Body"/>
              <w:spacing w:after="0"/>
              <w:rPr>
                <w:rFonts w:ascii="Arial" w:eastAsia="Calibri" w:hAnsi="Arial" w:cs="Arial"/>
                <w:szCs w:val="22"/>
              </w:rPr>
            </w:pPr>
            <w:r w:rsidRPr="0090708B">
              <w:rPr>
                <w:rFonts w:ascii="Arial" w:eastAsia="Calibri" w:hAnsi="Arial" w:cs="Arial"/>
                <w:b/>
                <w:bCs/>
                <w:szCs w:val="22"/>
              </w:rPr>
              <w:t>Aims</w:t>
            </w:r>
            <w:r w:rsidRPr="0090708B">
              <w:rPr>
                <w:rFonts w:ascii="Arial" w:eastAsia="Calibri" w:hAnsi="Arial" w:cs="Arial"/>
                <w:szCs w:val="22"/>
              </w:rPr>
              <w:t>:</w:t>
            </w:r>
            <w:r>
              <w:rPr>
                <w:rFonts w:ascii="Arial" w:eastAsia="Calibri" w:hAnsi="Arial" w:cs="Arial"/>
                <w:szCs w:val="22"/>
              </w:rPr>
              <w:t xml:space="preserve"> </w:t>
            </w:r>
            <w:r w:rsidRPr="0090708B">
              <w:rPr>
                <w:rFonts w:ascii="Arial" w:eastAsia="Calibri" w:hAnsi="Arial" w:cs="Arial"/>
                <w:szCs w:val="22"/>
              </w:rPr>
              <w:t>To examine the influence of local road infrastructure and educational attainment on Foreign Direct Investment (FDI) inflows in the Philippines. Specifically, the study aims to assess how human capital and connectivity interact to attract foreign investment, while addressing endogeneity and simultaneity bias among the variables through a Two-Stage Least Squares (2SLS) regression approach.</w:t>
            </w:r>
          </w:p>
          <w:p w14:paraId="2B935C25" w14:textId="2108F6F6" w:rsidR="0090708B" w:rsidRPr="0090708B" w:rsidRDefault="0090708B" w:rsidP="0090708B">
            <w:pPr>
              <w:pStyle w:val="Body"/>
              <w:spacing w:after="0"/>
              <w:rPr>
                <w:rFonts w:ascii="Arial" w:eastAsia="Calibri" w:hAnsi="Arial" w:cs="Arial"/>
                <w:szCs w:val="22"/>
              </w:rPr>
            </w:pPr>
            <w:r w:rsidRPr="0090708B">
              <w:rPr>
                <w:rFonts w:ascii="Arial" w:eastAsia="Calibri" w:hAnsi="Arial" w:cs="Arial"/>
                <w:b/>
                <w:bCs/>
                <w:szCs w:val="22"/>
              </w:rPr>
              <w:t>Study Design</w:t>
            </w:r>
            <w:r w:rsidRPr="0090708B">
              <w:rPr>
                <w:rFonts w:ascii="Arial" w:eastAsia="Calibri" w:hAnsi="Arial" w:cs="Arial"/>
                <w:szCs w:val="22"/>
              </w:rPr>
              <w:t>:</w:t>
            </w:r>
            <w:r>
              <w:rPr>
                <w:rFonts w:ascii="Arial" w:eastAsia="Calibri" w:hAnsi="Arial" w:cs="Arial"/>
                <w:szCs w:val="22"/>
              </w:rPr>
              <w:t xml:space="preserve"> </w:t>
            </w:r>
            <w:r w:rsidRPr="0090708B">
              <w:rPr>
                <w:rFonts w:ascii="Arial" w:eastAsia="Calibri" w:hAnsi="Arial" w:cs="Arial"/>
                <w:szCs w:val="22"/>
              </w:rPr>
              <w:t>A quantitative econometric study utilizing the Two-Stage Least Squares (2SLS) regression model to establish causal relationships among education, infrastructure, and FDI.</w:t>
            </w:r>
          </w:p>
          <w:p w14:paraId="6D2DB188" w14:textId="24EAEDBE" w:rsidR="0090708B" w:rsidRPr="0090708B" w:rsidRDefault="0090708B" w:rsidP="0090708B">
            <w:pPr>
              <w:pStyle w:val="Body"/>
              <w:spacing w:after="0"/>
              <w:rPr>
                <w:rFonts w:ascii="Arial" w:eastAsia="Calibri" w:hAnsi="Arial" w:cs="Arial"/>
                <w:szCs w:val="22"/>
              </w:rPr>
            </w:pPr>
            <w:r w:rsidRPr="0090708B">
              <w:rPr>
                <w:rFonts w:ascii="Arial" w:eastAsia="Calibri" w:hAnsi="Arial" w:cs="Arial"/>
                <w:b/>
                <w:bCs/>
                <w:szCs w:val="22"/>
              </w:rPr>
              <w:t>Place and Duration of Study</w:t>
            </w:r>
            <w:r w:rsidRPr="0090708B">
              <w:rPr>
                <w:rFonts w:ascii="Arial" w:eastAsia="Calibri" w:hAnsi="Arial" w:cs="Arial"/>
                <w:szCs w:val="22"/>
              </w:rPr>
              <w:t>:</w:t>
            </w:r>
            <w:r>
              <w:rPr>
                <w:rFonts w:ascii="Arial" w:eastAsia="Calibri" w:hAnsi="Arial" w:cs="Arial"/>
                <w:szCs w:val="22"/>
              </w:rPr>
              <w:t xml:space="preserve"> </w:t>
            </w:r>
            <w:r w:rsidRPr="0090708B">
              <w:rPr>
                <w:rFonts w:ascii="Arial" w:eastAsia="Calibri" w:hAnsi="Arial" w:cs="Arial"/>
                <w:szCs w:val="22"/>
              </w:rPr>
              <w:t>Conducted in the Philippines using national and regional macroeconomic data derived from the Philippine Statistics Authority (PSA), Department of Public Works and Highways (DPWH), and World Bank databases covering multiple fiscal years.</w:t>
            </w:r>
          </w:p>
          <w:p w14:paraId="25D243E2" w14:textId="7758E68F" w:rsidR="0090708B" w:rsidRPr="0090708B" w:rsidRDefault="0090708B" w:rsidP="0090708B">
            <w:pPr>
              <w:pStyle w:val="Body"/>
              <w:spacing w:after="0"/>
              <w:rPr>
                <w:rFonts w:ascii="Arial" w:eastAsia="Calibri" w:hAnsi="Arial" w:cs="Arial"/>
                <w:szCs w:val="22"/>
              </w:rPr>
            </w:pPr>
            <w:r w:rsidRPr="0090708B">
              <w:rPr>
                <w:rFonts w:ascii="Arial" w:eastAsia="Calibri" w:hAnsi="Arial" w:cs="Arial"/>
                <w:b/>
                <w:bCs/>
                <w:szCs w:val="22"/>
              </w:rPr>
              <w:t>Methodology</w:t>
            </w:r>
            <w:r w:rsidRPr="0090708B">
              <w:rPr>
                <w:rFonts w:ascii="Arial" w:eastAsia="Calibri" w:hAnsi="Arial" w:cs="Arial"/>
                <w:szCs w:val="22"/>
              </w:rPr>
              <w:t>:</w:t>
            </w:r>
            <w:r>
              <w:rPr>
                <w:rFonts w:ascii="Arial" w:eastAsia="Calibri" w:hAnsi="Arial" w:cs="Arial"/>
                <w:szCs w:val="22"/>
              </w:rPr>
              <w:t xml:space="preserve"> </w:t>
            </w:r>
            <w:r w:rsidRPr="0090708B">
              <w:rPr>
                <w:rFonts w:ascii="Arial" w:eastAsia="Calibri" w:hAnsi="Arial" w:cs="Arial"/>
                <w:szCs w:val="22"/>
              </w:rPr>
              <w:t>The study employed a 2SLS regression technique to estimate the effects of educational attainment (proxy for human capital) and local road infrastructure (proxy for connectivity) on FDI inflows. The first stage modeled educational attainment as a function of FDI and regional GDP, while the second stage regressed FDI on the predicted values of education and road infrastructure. Statistical analyses included t-tests, p-values, and R² measures to determine significance and model fit.</w:t>
            </w:r>
          </w:p>
          <w:p w14:paraId="5259FD55" w14:textId="4110F942" w:rsidR="0090708B" w:rsidRPr="0090708B" w:rsidRDefault="0090708B" w:rsidP="0090708B">
            <w:pPr>
              <w:pStyle w:val="Body"/>
              <w:spacing w:after="0"/>
              <w:rPr>
                <w:rFonts w:ascii="Arial" w:eastAsia="Calibri" w:hAnsi="Arial" w:cs="Arial"/>
                <w:szCs w:val="22"/>
              </w:rPr>
            </w:pPr>
            <w:r w:rsidRPr="0090708B">
              <w:rPr>
                <w:rFonts w:ascii="Arial" w:eastAsia="Calibri" w:hAnsi="Arial" w:cs="Arial"/>
                <w:b/>
                <w:bCs/>
                <w:szCs w:val="22"/>
              </w:rPr>
              <w:t>Results</w:t>
            </w:r>
            <w:r w:rsidRPr="0090708B">
              <w:rPr>
                <w:rFonts w:ascii="Arial" w:eastAsia="Calibri" w:hAnsi="Arial" w:cs="Arial"/>
                <w:szCs w:val="22"/>
              </w:rPr>
              <w:t>:</w:t>
            </w:r>
            <w:r>
              <w:rPr>
                <w:rFonts w:ascii="Arial" w:eastAsia="Calibri" w:hAnsi="Arial" w:cs="Arial"/>
                <w:szCs w:val="22"/>
              </w:rPr>
              <w:t xml:space="preserve"> </w:t>
            </w:r>
            <w:r w:rsidRPr="0090708B">
              <w:rPr>
                <w:rFonts w:ascii="Arial" w:eastAsia="Calibri" w:hAnsi="Arial" w:cs="Arial"/>
                <w:szCs w:val="22"/>
              </w:rPr>
              <w:t>Findings revealed that educational attainment has a strong, positive, and statistically significant effect on FDI (p &lt; 0.001), indicating that a more educated workforce enhances the country’s attractiveness to foreign investors. Local road infrastructure also demonstrated a positive relationship with FDI (p &lt; 0.05), emphasizing the importance of connectivity in facilitating trade and investment. The model explained 40.20% of the variation in FDI (R² = 0.4020) in the OLS regression and 74.77% in the second-stage 2SLS model, confirming robustness. Prob &gt; F values (0.000) further indicated high overall significance.</w:t>
            </w:r>
          </w:p>
          <w:p w14:paraId="784435AE" w14:textId="2A70A2E8" w:rsidR="00505F06" w:rsidRPr="00BA1B01" w:rsidRDefault="0090708B" w:rsidP="0090708B">
            <w:pPr>
              <w:pStyle w:val="Body"/>
              <w:spacing w:after="0"/>
              <w:rPr>
                <w:rFonts w:ascii="Arial" w:eastAsia="Calibri" w:hAnsi="Arial" w:cs="Arial"/>
                <w:szCs w:val="22"/>
              </w:rPr>
            </w:pPr>
            <w:r w:rsidRPr="0090708B">
              <w:rPr>
                <w:rFonts w:ascii="Arial" w:eastAsia="Calibri" w:hAnsi="Arial" w:cs="Arial"/>
                <w:b/>
                <w:bCs/>
                <w:szCs w:val="22"/>
              </w:rPr>
              <w:t>Conclusion</w:t>
            </w:r>
            <w:r w:rsidRPr="0090708B">
              <w:rPr>
                <w:rFonts w:ascii="Arial" w:eastAsia="Calibri" w:hAnsi="Arial" w:cs="Arial"/>
                <w:szCs w:val="22"/>
              </w:rPr>
              <w:t>:</w:t>
            </w:r>
            <w:r>
              <w:rPr>
                <w:rFonts w:ascii="Arial" w:eastAsia="Calibri" w:hAnsi="Arial" w:cs="Arial"/>
                <w:szCs w:val="22"/>
              </w:rPr>
              <w:t xml:space="preserve"> </w:t>
            </w:r>
            <w:r w:rsidRPr="0090708B">
              <w:rPr>
                <w:rFonts w:ascii="Arial" w:eastAsia="Calibri" w:hAnsi="Arial" w:cs="Arial"/>
                <w:szCs w:val="22"/>
              </w:rPr>
              <w:t>Educational attainment and infrastructure quality are critical determinants of FDI inflows in the Philippines. A skilled labor force and efficient transport networks collectively strengthen the country’s investment climate. Policymakers are urged to prioritize education reform, vocational training, and regional road development to sustain inclusive economic growth. The study validates the 2SLS approach as a reliable framework for examining causal relationships in FDI determinants and recommends expanding future research to include political stability, digital infrastructure, and innovation capacity.</w:t>
            </w:r>
          </w:p>
        </w:tc>
      </w:tr>
    </w:tbl>
    <w:p w14:paraId="19399366" w14:textId="77777777" w:rsidR="00636EB2" w:rsidRDefault="00636EB2" w:rsidP="00441B6F">
      <w:pPr>
        <w:pStyle w:val="Body"/>
        <w:spacing w:after="0"/>
        <w:rPr>
          <w:rFonts w:ascii="Arial" w:hAnsi="Arial" w:cs="Arial"/>
          <w:i/>
        </w:rPr>
      </w:pPr>
    </w:p>
    <w:p w14:paraId="5B1003AE" w14:textId="49495DC7" w:rsidR="00B52896" w:rsidRPr="0090708B" w:rsidRDefault="00A24E7E" w:rsidP="0090708B">
      <w:pPr>
        <w:pStyle w:val="Body"/>
        <w:spacing w:after="0"/>
        <w:rPr>
          <w:rFonts w:ascii="Arial" w:hAnsi="Arial" w:cs="Arial"/>
          <w:i/>
        </w:rPr>
      </w:pPr>
      <w:r w:rsidRPr="0090708B">
        <w:rPr>
          <w:rFonts w:ascii="Arial" w:hAnsi="Arial" w:cs="Arial"/>
          <w:b/>
          <w:bCs/>
          <w:i/>
        </w:rPr>
        <w:t>Keywords</w:t>
      </w:r>
      <w:r>
        <w:rPr>
          <w:rFonts w:ascii="Arial" w:hAnsi="Arial" w:cs="Arial"/>
          <w:i/>
        </w:rPr>
        <w:t xml:space="preserve">: </w:t>
      </w:r>
      <w:r w:rsidR="0090708B" w:rsidRPr="0090708B">
        <w:rPr>
          <w:rFonts w:ascii="Arial" w:hAnsi="Arial" w:cs="Arial"/>
          <w:i/>
        </w:rPr>
        <w:t>Foreign Direct Investment, Education, Infrastructure, Local Roads, Economic Growth, Two-Stage Least Squares, Philippines</w:t>
      </w:r>
    </w:p>
    <w:p w14:paraId="106A113E" w14:textId="77777777" w:rsidR="0024282C" w:rsidRDefault="0024282C" w:rsidP="00441B6F">
      <w:pPr>
        <w:pStyle w:val="Body"/>
        <w:spacing w:after="0"/>
        <w:rPr>
          <w:rFonts w:ascii="Arial" w:hAnsi="Arial" w:cs="Arial"/>
          <w:i/>
          <w:sz w:val="18"/>
        </w:rPr>
      </w:pPr>
    </w:p>
    <w:p w14:paraId="502421A2" w14:textId="77777777" w:rsidR="00505F06" w:rsidRPr="00A24E7E" w:rsidRDefault="00505F06" w:rsidP="00441B6F">
      <w:pPr>
        <w:pStyle w:val="Body"/>
        <w:spacing w:after="0"/>
        <w:rPr>
          <w:rFonts w:ascii="Arial" w:hAnsi="Arial" w:cs="Arial"/>
          <w:i/>
        </w:rPr>
      </w:pPr>
    </w:p>
    <w:p w14:paraId="152B20D7" w14:textId="72C88AC6" w:rsidR="007F7B32" w:rsidRDefault="00902823" w:rsidP="00441B6F">
      <w:pPr>
        <w:pStyle w:val="AbstHead"/>
        <w:spacing w:after="0"/>
        <w:jc w:val="both"/>
        <w:rPr>
          <w:rFonts w:ascii="Arial" w:hAnsi="Arial" w:cs="Arial"/>
        </w:rPr>
      </w:pPr>
      <w:r>
        <w:rPr>
          <w:rFonts w:ascii="Arial" w:hAnsi="Arial" w:cs="Arial"/>
        </w:rPr>
        <w:t xml:space="preserve">1. </w:t>
      </w:r>
      <w:r w:rsidR="00B01FCD" w:rsidRPr="00FB3A86">
        <w:rPr>
          <w:rFonts w:ascii="Arial" w:hAnsi="Arial" w:cs="Arial"/>
        </w:rPr>
        <w:t>INTRODUCTION</w:t>
      </w:r>
      <w:r w:rsidR="007F7B32">
        <w:rPr>
          <w:rFonts w:ascii="Arial" w:hAnsi="Arial" w:cs="Arial"/>
        </w:rPr>
        <w:t xml:space="preserve"> </w:t>
      </w:r>
    </w:p>
    <w:p w14:paraId="32979B8B" w14:textId="77777777" w:rsidR="00790ADA" w:rsidRPr="00FB3A86" w:rsidRDefault="00790ADA" w:rsidP="00441B6F">
      <w:pPr>
        <w:pStyle w:val="AbstHead"/>
        <w:spacing w:after="0"/>
        <w:jc w:val="both"/>
        <w:rPr>
          <w:rFonts w:ascii="Arial" w:hAnsi="Arial" w:cs="Arial"/>
        </w:rPr>
      </w:pPr>
    </w:p>
    <w:p w14:paraId="01A8A8AF" w14:textId="037F3CA1" w:rsidR="00086B6F" w:rsidRPr="00086B6F" w:rsidRDefault="00086B6F" w:rsidP="00086B6F">
      <w:pPr>
        <w:pStyle w:val="Body"/>
        <w:rPr>
          <w:rFonts w:ascii="Arial" w:hAnsi="Arial" w:cs="Arial"/>
        </w:rPr>
      </w:pPr>
      <w:r w:rsidRPr="00086B6F">
        <w:rPr>
          <w:rFonts w:ascii="Arial" w:hAnsi="Arial" w:cs="Arial"/>
        </w:rPr>
        <w:t xml:space="preserve">Foreign Direct Investment (FDI) serves as one of the most important catalysts for economic growth, particularly in developing economies striving to accelerate industrialization and expand global competitiveness. It </w:t>
      </w:r>
      <w:r w:rsidR="004F72E9">
        <w:rPr>
          <w:rFonts w:ascii="Arial" w:hAnsi="Arial" w:cs="Arial"/>
        </w:rPr>
        <w:t>supplements domestic capital and facilitates</w:t>
      </w:r>
      <w:r w:rsidRPr="00086B6F">
        <w:rPr>
          <w:rFonts w:ascii="Arial" w:hAnsi="Arial" w:cs="Arial"/>
        </w:rPr>
        <w:t xml:space="preserve"> the transfer of technology, managerial expertise, and innovation from developed to developing nations. FDI inflows generate employment, enhance productivity, and strengthen integration into global trade networks—elements that are crucial for sustaining economic transformation in emerging markets like the Philippines.</w:t>
      </w:r>
      <w:r w:rsidR="00033871">
        <w:rPr>
          <w:rFonts w:ascii="Arial" w:hAnsi="Arial" w:cs="Arial"/>
        </w:rPr>
        <w:t xml:space="preserve"> </w:t>
      </w:r>
      <w:r w:rsidRPr="00086B6F">
        <w:rPr>
          <w:rFonts w:ascii="Arial" w:hAnsi="Arial" w:cs="Arial"/>
        </w:rPr>
        <w:t xml:space="preserve">In the global context, FDI is considered a key driver of globalization and a strategic tool for promoting economic cooperation. According to the World Bank (2022), developing countries received approximately 45% of total global FDI inflows, underscoring the increasing importance of policy reforms that create favorable investment climates. </w:t>
      </w:r>
      <w:r w:rsidR="004F72E9" w:rsidRPr="00086B6F">
        <w:rPr>
          <w:rFonts w:ascii="Arial" w:hAnsi="Arial" w:cs="Arial"/>
        </w:rPr>
        <w:t xml:space="preserve">Inflows </w:t>
      </w:r>
      <w:r w:rsidRPr="00086B6F">
        <w:rPr>
          <w:rFonts w:ascii="Arial" w:hAnsi="Arial" w:cs="Arial"/>
        </w:rPr>
        <w:lastRenderedPageBreak/>
        <w:t>help economies overcome capital deficiencies and facilitate technological diffusion, which ultimately raise productivity and living standards.</w:t>
      </w:r>
    </w:p>
    <w:p w14:paraId="69675ECC" w14:textId="5F6A4BAC" w:rsidR="00086B6F" w:rsidRPr="00086B6F" w:rsidRDefault="00086B6F" w:rsidP="00086B6F">
      <w:pPr>
        <w:pStyle w:val="Body"/>
        <w:rPr>
          <w:rFonts w:ascii="Arial" w:hAnsi="Arial" w:cs="Arial"/>
        </w:rPr>
      </w:pPr>
      <w:r w:rsidRPr="00086B6F">
        <w:rPr>
          <w:rFonts w:ascii="Arial" w:hAnsi="Arial" w:cs="Arial"/>
        </w:rPr>
        <w:t xml:space="preserve">The Philippines, in particular, has positioned itself as an investment destination in Southeast Asia, yet its FDI inflows have historically </w:t>
      </w:r>
      <w:r w:rsidR="004F72E9" w:rsidRPr="00086B6F">
        <w:rPr>
          <w:rFonts w:ascii="Arial" w:hAnsi="Arial" w:cs="Arial"/>
        </w:rPr>
        <w:t>lagged</w:t>
      </w:r>
      <w:r w:rsidRPr="00086B6F">
        <w:rPr>
          <w:rFonts w:ascii="Arial" w:hAnsi="Arial" w:cs="Arial"/>
        </w:rPr>
        <w:t xml:space="preserve"> neighboring economies such as Vietnam, Malaysia, and Indonesia. </w:t>
      </w:r>
      <w:r w:rsidR="004F72E9">
        <w:rPr>
          <w:rFonts w:ascii="Arial" w:hAnsi="Arial" w:cs="Arial"/>
        </w:rPr>
        <w:t>Infrastructure bottlenecks, governance issues, and skills mismatch in the labor force are among the factors contributing to the discrepancy.</w:t>
      </w:r>
      <w:r w:rsidRPr="00086B6F">
        <w:rPr>
          <w:rFonts w:ascii="Arial" w:hAnsi="Arial" w:cs="Arial"/>
        </w:rPr>
        <w:t xml:space="preserve"> While macroeconomic stability and market potential are key determinants of FDI, the effectiveness of physical infrastructure—particularly local roads and transport networks—and the quality of human capital—represented by educational attainment—remain central to attracting sustained investments.</w:t>
      </w:r>
      <w:r w:rsidR="00033871">
        <w:rPr>
          <w:rFonts w:ascii="Arial" w:hAnsi="Arial" w:cs="Arial"/>
        </w:rPr>
        <w:t xml:space="preserve"> </w:t>
      </w:r>
      <w:r w:rsidRPr="00086B6F">
        <w:rPr>
          <w:rFonts w:ascii="Arial" w:hAnsi="Arial" w:cs="Arial"/>
        </w:rPr>
        <w:t xml:space="preserve">Infrastructure and education play complementary roles in shaping investment decisions. </w:t>
      </w:r>
      <w:r w:rsidR="004F72E9">
        <w:rPr>
          <w:rFonts w:ascii="Arial" w:hAnsi="Arial" w:cs="Arial"/>
        </w:rPr>
        <w:t>Excellent</w:t>
      </w:r>
      <w:r w:rsidRPr="00086B6F">
        <w:rPr>
          <w:rFonts w:ascii="Arial" w:hAnsi="Arial" w:cs="Arial"/>
        </w:rPr>
        <w:t xml:space="preserve"> road networks reduce logistical costs, enhance accessibility, and integrate regional economies, making investment operations more efficient. Meanwhile, higher levels of educational attainment signal to investors that the host country possesses a skilled and adaptable </w:t>
      </w:r>
      <w:r w:rsidR="004F72E9">
        <w:rPr>
          <w:rFonts w:ascii="Arial" w:hAnsi="Arial" w:cs="Arial"/>
        </w:rPr>
        <w:t>workforce capable</w:t>
      </w:r>
      <w:r w:rsidRPr="00086B6F">
        <w:rPr>
          <w:rFonts w:ascii="Arial" w:hAnsi="Arial" w:cs="Arial"/>
        </w:rPr>
        <w:t xml:space="preserve"> of supporting advanced technologies and managerial functions. These two structural factors—physical infrastructure and human capital—thus jointly influence the country’s capacity to attract and retain FDI.</w:t>
      </w:r>
    </w:p>
    <w:p w14:paraId="202F27AF" w14:textId="3DACB0F8" w:rsidR="00790ADA" w:rsidRPr="00086B6F" w:rsidRDefault="00086B6F" w:rsidP="00086B6F">
      <w:pPr>
        <w:pStyle w:val="Body"/>
        <w:spacing w:after="0"/>
        <w:rPr>
          <w:rFonts w:ascii="Arial" w:hAnsi="Arial" w:cs="Arial"/>
        </w:rPr>
      </w:pPr>
      <w:r w:rsidRPr="00086B6F">
        <w:rPr>
          <w:rFonts w:ascii="Arial" w:hAnsi="Arial" w:cs="Arial"/>
        </w:rPr>
        <w:t>Given this context, the present study aims to investigate the relationship between local road infrastructure and educational attainment and their combined effect on Foreign Direct Investment inflows in the Philippines using the Two-Stage Least Squares (2SLS) regression model. By employing 2SLS, the study addresses possible endogeneity and simultaneity bias among variables, providing a more reliable estimate of their causal interactions. The results of this study are expected to contribute empirical insights that can inform policy formulation on education, infrastructure development, and investment promotion—all of which are vital for achieving inclusive and sustainable economic growth.</w:t>
      </w:r>
    </w:p>
    <w:p w14:paraId="5131DB4F" w14:textId="77777777" w:rsidR="00086B6F" w:rsidRPr="00086B6F" w:rsidRDefault="00086B6F" w:rsidP="00086B6F">
      <w:pPr>
        <w:pStyle w:val="Body"/>
        <w:spacing w:after="0"/>
        <w:rPr>
          <w:rFonts w:ascii="Arial" w:hAnsi="Arial" w:cs="Arial"/>
        </w:rPr>
      </w:pPr>
    </w:p>
    <w:p w14:paraId="41D5B99C" w14:textId="23390A9E" w:rsidR="00086B6F" w:rsidRPr="00086B6F" w:rsidRDefault="00086B6F" w:rsidP="00852248">
      <w:pPr>
        <w:pStyle w:val="Body"/>
        <w:rPr>
          <w:rFonts w:ascii="Arial" w:hAnsi="Arial" w:cs="Arial"/>
        </w:rPr>
      </w:pPr>
      <w:r w:rsidRPr="00086B6F">
        <w:rPr>
          <w:rFonts w:ascii="Arial" w:hAnsi="Arial" w:cs="Arial"/>
        </w:rPr>
        <w:t>The study of FDI determinants has been grounded in several key theoretical frameworks. The Neoclassical Growth Theory (Solow, 1956) posits that capital accumulation, technological progress, and labor productivity are major drivers of long-term growth. FDI facilitates these mechanisms by transferring capital and technology from capital-rich to capital-scarce economies. Similarly, Dunning’s (1993) Eclectic Paradigm, also known as the OLI Framework—Ownership, Location, and Internalization advantages—explains FDI as a function of firm-specific assets, location attractiveness, and transaction cost efficiency. Among these, “location advantages” are heavily influenced by infrastructure quality and labor skills, which determine an economy’s appeal to multinational investors</w:t>
      </w:r>
      <w:r>
        <w:rPr>
          <w:rFonts w:ascii="Arial" w:hAnsi="Arial" w:cs="Arial"/>
        </w:rPr>
        <w:t xml:space="preserve">. </w:t>
      </w:r>
      <w:r w:rsidRPr="00086B6F">
        <w:rPr>
          <w:rFonts w:ascii="Arial" w:hAnsi="Arial" w:cs="Arial"/>
        </w:rPr>
        <w:t>Another relevant framework is Endogenous Growth Theory (Romer, 1990; Lucas, 1988), which emphasizes human capital as an engine of growth. FDI not only provides capital inflows but also enhances the host country’s productivity through knowledge spillovers and human capital development. Thus, education and training systems are integral to absorbing and utilizing foreign technologies effectively.</w:t>
      </w:r>
    </w:p>
    <w:p w14:paraId="449C372F" w14:textId="663F3DF7" w:rsidR="00852248" w:rsidRPr="00852248" w:rsidRDefault="00852248" w:rsidP="00852248">
      <w:pPr>
        <w:pStyle w:val="Body"/>
        <w:rPr>
          <w:rFonts w:ascii="Arial" w:hAnsi="Arial" w:cs="Arial"/>
        </w:rPr>
      </w:pPr>
      <w:r w:rsidRPr="00852248">
        <w:rPr>
          <w:rFonts w:ascii="Arial" w:hAnsi="Arial" w:cs="Arial"/>
        </w:rPr>
        <w:t xml:space="preserve">Infrastructure remains a central determinant of foreign direct investment (FDI), as it directly influences the cost and efficiency of business operations. Well-developed transport networks—especially local and regional roads—lower logistics costs, reduce travel time, and improve market accessibility. </w:t>
      </w:r>
      <w:proofErr w:type="spellStart"/>
      <w:r w:rsidRPr="00852248">
        <w:rPr>
          <w:rFonts w:ascii="Arial" w:hAnsi="Arial" w:cs="Arial"/>
        </w:rPr>
        <w:t>Asiedu</w:t>
      </w:r>
      <w:proofErr w:type="spellEnd"/>
      <w:r w:rsidRPr="00852248">
        <w:rPr>
          <w:rFonts w:ascii="Arial" w:hAnsi="Arial" w:cs="Arial"/>
        </w:rPr>
        <w:t xml:space="preserve"> (2002) emphasizes that efficient transportation and communication infrastructure significantly enhances a country’s ability to attract FDI, as investors prefer environments where operational bottlenecks are minimized. In the Philippines, persistent infrastructure deficiencies such as road congestion, uneven regional connectivity, and inadequate maintenance have long constrained investment expansion. The National Economic and Development Authority (NEDA) and the Department of Public Works and Highways (DPWH) have repeatedly identified stronger regional road systems as essential for enabling interprovincial trade and stimulating industrial development.</w:t>
      </w:r>
    </w:p>
    <w:p w14:paraId="21084B3E" w14:textId="5E5919BA" w:rsidR="00852248" w:rsidRPr="00852248" w:rsidRDefault="00852248" w:rsidP="00852248">
      <w:pPr>
        <w:pStyle w:val="Body"/>
        <w:rPr>
          <w:rFonts w:ascii="Arial" w:hAnsi="Arial" w:cs="Arial"/>
        </w:rPr>
      </w:pPr>
      <w:r w:rsidRPr="00852248">
        <w:rPr>
          <w:rFonts w:ascii="Arial" w:hAnsi="Arial" w:cs="Arial"/>
        </w:rPr>
        <w:t xml:space="preserve">The government’s initiative is a continuation of these priorities, focusing on expressway expansion, inter-island connectivity, and strategic logistics corridors to reduce travel time and strengthen supply chain efficiency. Empirical evidence aligns with these policy directions. Calderón and </w:t>
      </w:r>
      <w:proofErr w:type="spellStart"/>
      <w:r w:rsidRPr="00852248">
        <w:rPr>
          <w:rFonts w:ascii="Arial" w:hAnsi="Arial" w:cs="Arial"/>
        </w:rPr>
        <w:t>Servén</w:t>
      </w:r>
      <w:proofErr w:type="spellEnd"/>
      <w:r w:rsidRPr="00852248">
        <w:rPr>
          <w:rFonts w:ascii="Arial" w:hAnsi="Arial" w:cs="Arial"/>
        </w:rPr>
        <w:t xml:space="preserve"> (2010) demonstrate that infrastructure quality significantly boosts productivity and private-sector investment across developing regions. Consistent with this, </w:t>
      </w:r>
      <w:proofErr w:type="spellStart"/>
      <w:r w:rsidRPr="00852248">
        <w:rPr>
          <w:rFonts w:ascii="Arial" w:hAnsi="Arial" w:cs="Arial"/>
        </w:rPr>
        <w:t>Ndikumana</w:t>
      </w:r>
      <w:proofErr w:type="spellEnd"/>
      <w:r w:rsidRPr="00852248">
        <w:rPr>
          <w:rFonts w:ascii="Arial" w:hAnsi="Arial" w:cs="Arial"/>
        </w:rPr>
        <w:t xml:space="preserve"> (2000) finds that transport infrastructure investment creates a favorable climate for both domestic and foreign investment, reinforcing the argument that infrastructure remains a prerequisite for long-term economic competitiveness.</w:t>
      </w:r>
    </w:p>
    <w:p w14:paraId="3D1DF274" w14:textId="644B6566" w:rsidR="00852248" w:rsidRPr="00852248" w:rsidRDefault="00852248" w:rsidP="00852248">
      <w:pPr>
        <w:pStyle w:val="Body"/>
        <w:rPr>
          <w:rFonts w:ascii="Arial" w:hAnsi="Arial" w:cs="Arial"/>
        </w:rPr>
      </w:pPr>
      <w:r w:rsidRPr="00852248">
        <w:rPr>
          <w:rFonts w:ascii="Arial" w:hAnsi="Arial" w:cs="Arial"/>
        </w:rPr>
        <w:lastRenderedPageBreak/>
        <w:t xml:space="preserve">Human capital plays an equally crucial role in attracting FDI, as a skilled and adaptable labor force enhances a country’s capacity to absorb advanced technologies, sustain productivity gains, and support innovation. </w:t>
      </w:r>
      <w:proofErr w:type="spellStart"/>
      <w:r w:rsidRPr="00852248">
        <w:rPr>
          <w:rFonts w:ascii="Arial" w:hAnsi="Arial" w:cs="Arial"/>
        </w:rPr>
        <w:t>Noorbakhsh</w:t>
      </w:r>
      <w:proofErr w:type="spellEnd"/>
      <w:r w:rsidRPr="00852248">
        <w:rPr>
          <w:rFonts w:ascii="Arial" w:hAnsi="Arial" w:cs="Arial"/>
        </w:rPr>
        <w:t xml:space="preserve">, </w:t>
      </w:r>
      <w:proofErr w:type="spellStart"/>
      <w:r w:rsidRPr="00852248">
        <w:rPr>
          <w:rFonts w:ascii="Arial" w:hAnsi="Arial" w:cs="Arial"/>
        </w:rPr>
        <w:t>Paloni</w:t>
      </w:r>
      <w:proofErr w:type="spellEnd"/>
      <w:r w:rsidRPr="00852248">
        <w:rPr>
          <w:rFonts w:ascii="Arial" w:hAnsi="Arial" w:cs="Arial"/>
        </w:rPr>
        <w:t>, and Youssef (2001) identify human capital as a major determinant of FDI inflows in developing economies, noting that multinational corporations favor host countries with robust educational systems and higher literacy rates. In the Philippines, efforts by the Commission on Higher Education (CHED) and the Department of Education (DepEd) aim to align academic programs with shifting labor market needs. Yet challenges such as skills mismatches, uneven education quality, and regional disparities persist.</w:t>
      </w:r>
    </w:p>
    <w:p w14:paraId="15B2DBAA" w14:textId="64786270" w:rsidR="00852248" w:rsidRPr="00852248" w:rsidRDefault="00852248" w:rsidP="00852248">
      <w:pPr>
        <w:pStyle w:val="Body"/>
        <w:rPr>
          <w:rFonts w:ascii="Arial" w:hAnsi="Arial" w:cs="Arial"/>
        </w:rPr>
      </w:pPr>
      <w:r w:rsidRPr="00852248">
        <w:rPr>
          <w:rFonts w:ascii="Arial" w:hAnsi="Arial" w:cs="Arial"/>
        </w:rPr>
        <w:t xml:space="preserve">Recent studies further underscore the strategic role of human capital in investment attraction. </w:t>
      </w:r>
      <w:proofErr w:type="spellStart"/>
      <w:r w:rsidRPr="00852248">
        <w:rPr>
          <w:rFonts w:ascii="Arial" w:hAnsi="Arial" w:cs="Arial"/>
        </w:rPr>
        <w:t>Thangavelu</w:t>
      </w:r>
      <w:proofErr w:type="spellEnd"/>
      <w:r w:rsidRPr="00852248">
        <w:rPr>
          <w:rFonts w:ascii="Arial" w:hAnsi="Arial" w:cs="Arial"/>
        </w:rPr>
        <w:t xml:space="preserve"> and </w:t>
      </w:r>
      <w:proofErr w:type="spellStart"/>
      <w:r w:rsidRPr="00852248">
        <w:rPr>
          <w:rFonts w:ascii="Arial" w:hAnsi="Arial" w:cs="Arial"/>
        </w:rPr>
        <w:t>Narjoko</w:t>
      </w:r>
      <w:proofErr w:type="spellEnd"/>
      <w:r w:rsidRPr="00852248">
        <w:rPr>
          <w:rFonts w:ascii="Arial" w:hAnsi="Arial" w:cs="Arial"/>
        </w:rPr>
        <w:t xml:space="preserve"> (2014) show that skilled labor and human capital formation significantly influence FDI inflows into ASEAN economies, particularly when complemented by free trade agreements (FTAs) that liberalize market access. Their findings highlight that education and training systems are critical in preparing economies to fully utilize opportunities created by regional integration. In the Philippine context, regions with higher educational attainment tend to attract greater investment, particularly in manufacturing and services, as supported by</w:t>
      </w:r>
      <w:r w:rsidR="0089334D">
        <w:rPr>
          <w:rFonts w:ascii="Arial" w:hAnsi="Arial" w:cs="Arial"/>
        </w:rPr>
        <w:t xml:space="preserve"> </w:t>
      </w:r>
      <w:r w:rsidR="0089334D" w:rsidRPr="0089334D">
        <w:rPr>
          <w:rFonts w:ascii="Arial" w:hAnsi="Arial" w:cs="Arial"/>
        </w:rPr>
        <w:t xml:space="preserve">Le </w:t>
      </w:r>
      <w:r w:rsidRPr="00852248">
        <w:rPr>
          <w:rFonts w:ascii="Arial" w:hAnsi="Arial" w:cs="Arial"/>
        </w:rPr>
        <w:t>(20</w:t>
      </w:r>
      <w:r w:rsidR="0089334D">
        <w:rPr>
          <w:rFonts w:ascii="Arial" w:hAnsi="Arial" w:cs="Arial"/>
        </w:rPr>
        <w:t>05</w:t>
      </w:r>
      <w:r w:rsidRPr="00852248">
        <w:rPr>
          <w:rFonts w:ascii="Arial" w:hAnsi="Arial" w:cs="Arial"/>
        </w:rPr>
        <w:t>)</w:t>
      </w:r>
      <w:r w:rsidR="0089334D">
        <w:rPr>
          <w:rFonts w:ascii="Arial" w:hAnsi="Arial" w:cs="Arial"/>
        </w:rPr>
        <w:t>.</w:t>
      </w:r>
    </w:p>
    <w:p w14:paraId="1D3AB5E9" w14:textId="64AA417D" w:rsidR="00852248" w:rsidRPr="00852248" w:rsidRDefault="00852248" w:rsidP="00852248">
      <w:pPr>
        <w:pStyle w:val="Body"/>
        <w:rPr>
          <w:rFonts w:ascii="Arial" w:hAnsi="Arial" w:cs="Arial"/>
        </w:rPr>
      </w:pPr>
      <w:r w:rsidRPr="00852248">
        <w:rPr>
          <w:rFonts w:ascii="Arial" w:hAnsi="Arial" w:cs="Arial"/>
        </w:rPr>
        <w:t xml:space="preserve">Moreover, human capital interacts with broader macroeconomic and environmental conditions. </w:t>
      </w:r>
      <w:proofErr w:type="spellStart"/>
      <w:r w:rsidRPr="00852248">
        <w:rPr>
          <w:rFonts w:ascii="Arial" w:hAnsi="Arial" w:cs="Arial"/>
        </w:rPr>
        <w:t>Abdouli</w:t>
      </w:r>
      <w:proofErr w:type="spellEnd"/>
      <w:r w:rsidRPr="00852248">
        <w:rPr>
          <w:rFonts w:ascii="Arial" w:hAnsi="Arial" w:cs="Arial"/>
        </w:rPr>
        <w:t xml:space="preserve"> and </w:t>
      </w:r>
      <w:proofErr w:type="spellStart"/>
      <w:r w:rsidRPr="00852248">
        <w:rPr>
          <w:rFonts w:ascii="Arial" w:hAnsi="Arial" w:cs="Arial"/>
        </w:rPr>
        <w:t>Omri</w:t>
      </w:r>
      <w:proofErr w:type="spellEnd"/>
      <w:r w:rsidRPr="00852248">
        <w:rPr>
          <w:rFonts w:ascii="Arial" w:hAnsi="Arial" w:cs="Arial"/>
        </w:rPr>
        <w:t xml:space="preserve"> (2021) demonstrate that in Mediterranean economies, human capital enhances the positive effects of FDI on economic growth while reducing negative environmental externalities. This suggests that investment in education does not merely increase labor productivity but also promotes sustainable development, making host economies more resilient and attractive to high-value FDI. For the Philippines—where environmental vulnerability and resource constraints are pressing concerns—such evidence underscores the importance of integrating human capital development with sustainable investment strategies.</w:t>
      </w:r>
    </w:p>
    <w:p w14:paraId="3B7FDE73" w14:textId="70616D47" w:rsidR="00086B6F" w:rsidRDefault="00852248" w:rsidP="00852248">
      <w:pPr>
        <w:pStyle w:val="Body"/>
        <w:spacing w:after="0"/>
        <w:rPr>
          <w:rFonts w:ascii="Arial" w:hAnsi="Arial" w:cs="Arial"/>
        </w:rPr>
      </w:pPr>
      <w:r w:rsidRPr="00852248">
        <w:rPr>
          <w:rFonts w:ascii="Arial" w:hAnsi="Arial" w:cs="Arial"/>
        </w:rPr>
        <w:t>Importantly, the interplay between infrastructure and human capital creates a dual advantage for investors. Regions hosting higher education institutions often coincide with areas that possess superior road systems and logistics infrastructure, reinforcing their competitiveness. This complementarity indicates that both physical and human capital are essential drivers of investment flows—a perspective increasingly supported by contemporary research in international business and development economics.</w:t>
      </w:r>
    </w:p>
    <w:p w14:paraId="07DB5768" w14:textId="77777777" w:rsidR="00852248" w:rsidRPr="00FB3A86" w:rsidRDefault="00852248" w:rsidP="00852248">
      <w:pPr>
        <w:pStyle w:val="Body"/>
        <w:spacing w:after="0"/>
        <w:rPr>
          <w:rFonts w:ascii="Arial" w:hAnsi="Arial" w:cs="Arial"/>
        </w:rPr>
      </w:pPr>
    </w:p>
    <w:p w14:paraId="4C1218F3" w14:textId="358C7B2B" w:rsidR="007F7B32" w:rsidRDefault="00902823" w:rsidP="00441B6F">
      <w:pPr>
        <w:pStyle w:val="AbstHead"/>
        <w:spacing w:after="0"/>
        <w:jc w:val="both"/>
        <w:rPr>
          <w:rFonts w:ascii="Arial" w:hAnsi="Arial" w:cs="Arial"/>
        </w:rPr>
      </w:pPr>
      <w:r>
        <w:rPr>
          <w:rFonts w:ascii="Arial" w:hAnsi="Arial" w:cs="Arial"/>
        </w:rPr>
        <w:t>2. material and method</w:t>
      </w:r>
      <w:r w:rsidR="00000F8F">
        <w:rPr>
          <w:rFonts w:ascii="Arial" w:hAnsi="Arial" w:cs="Arial"/>
        </w:rPr>
        <w:t xml:space="preserve">s </w:t>
      </w:r>
    </w:p>
    <w:p w14:paraId="6D53FAD7" w14:textId="77777777" w:rsidR="00790ADA" w:rsidRPr="00FB3A86" w:rsidRDefault="00790ADA" w:rsidP="00441B6F">
      <w:pPr>
        <w:pStyle w:val="AbstHead"/>
        <w:spacing w:after="0"/>
        <w:jc w:val="both"/>
        <w:rPr>
          <w:rFonts w:ascii="Arial" w:hAnsi="Arial" w:cs="Arial"/>
        </w:rPr>
      </w:pPr>
    </w:p>
    <w:p w14:paraId="77A5B939" w14:textId="0CACA537" w:rsidR="00852248" w:rsidRPr="00852248" w:rsidRDefault="00852248" w:rsidP="00852248">
      <w:pPr>
        <w:pStyle w:val="Body"/>
        <w:rPr>
          <w:rFonts w:ascii="Arial" w:hAnsi="Arial" w:cs="Arial"/>
        </w:rPr>
      </w:pPr>
      <w:r w:rsidRPr="00852248">
        <w:rPr>
          <w:rFonts w:ascii="Arial" w:hAnsi="Arial" w:cs="Arial"/>
        </w:rPr>
        <w:t xml:space="preserve">This study adopts a quantitative econometric design to examine how human capital, physical connectivity, and macroeconomic indicators influence foreign direct investment (FDI) inflows in the Philippines. The choice of methodology is grounded in gaps identified in the literature, where many previous studies relied heavily on simple correlations or Ordinary Least Squares (OLS) models without adequately addressing issues of endogeneity, simultaneity, and omitted variable bias in FDI determinants. </w:t>
      </w:r>
      <w:r w:rsidR="004F72E9">
        <w:rPr>
          <w:rFonts w:ascii="Arial" w:hAnsi="Arial" w:cs="Arial"/>
        </w:rPr>
        <w:t>FDI may simultaneously influence variables like human capital and infrastructure, leading an OLS framework to produce biased and inconsistent estimates.</w:t>
      </w:r>
      <w:r w:rsidRPr="00852248">
        <w:rPr>
          <w:rFonts w:ascii="Arial" w:hAnsi="Arial" w:cs="Arial"/>
        </w:rPr>
        <w:t xml:space="preserve"> To address this limitation, the study employs a Two-Stage Least Squares (2SLS) instrumental-variable approach, which enables a more credible estimation of causal effects by separating the exogenous variation in the explanatory variables from their endogenous interactions with FDI. This method aligns with contemporary empirical practices in international economics and reflects the need for more rigorous causal inference in FDI research, as highlighted in recent studies.</w:t>
      </w:r>
    </w:p>
    <w:p w14:paraId="72DC65E0" w14:textId="13A77F9E" w:rsidR="00852248" w:rsidRPr="00852248" w:rsidRDefault="00852248" w:rsidP="00852248">
      <w:pPr>
        <w:pStyle w:val="Body"/>
        <w:rPr>
          <w:rFonts w:ascii="Arial" w:hAnsi="Arial" w:cs="Arial"/>
        </w:rPr>
      </w:pPr>
      <w:r w:rsidRPr="00852248">
        <w:rPr>
          <w:rFonts w:ascii="Arial" w:hAnsi="Arial" w:cs="Arial"/>
        </w:rPr>
        <w:t xml:space="preserve">The empirical model specifies FDI as a function of human capital, connectivity, GDP, and trade openness. Human capital encompasses educational attainment and skill levels, while connectivity includes indicators of transport networks and inter-island logistics essential to the Philippine archipelagic context. GDP accounts for market size, and trade openness captures the country’s integration with global markets. Given the potential endogeneity of human capital and connectivity, the first-stage regression uses valid instrumental variables such as historical public expenditure on education, lagged infrastructure investments, demographic structures, and geographic characteristics that influence connectivity but remain exogenous to FDI. These instruments meet both </w:t>
      </w:r>
      <w:r w:rsidR="004F72E9">
        <w:rPr>
          <w:rFonts w:ascii="Arial" w:hAnsi="Arial" w:cs="Arial"/>
        </w:rPr>
        <w:t>the relevance</w:t>
      </w:r>
      <w:r w:rsidRPr="00852248">
        <w:rPr>
          <w:rFonts w:ascii="Arial" w:hAnsi="Arial" w:cs="Arial"/>
        </w:rPr>
        <w:t xml:space="preserve"> (significant correlation with the endogenous variables) and exogeneity (independence from the FDI error term) criteria required for 2SLS estimation.</w:t>
      </w:r>
    </w:p>
    <w:p w14:paraId="20E8CADD" w14:textId="4E7B4047" w:rsidR="00852248" w:rsidRPr="00852248" w:rsidRDefault="00852248" w:rsidP="00852248">
      <w:pPr>
        <w:pStyle w:val="Body"/>
        <w:rPr>
          <w:rFonts w:ascii="Arial" w:hAnsi="Arial" w:cs="Arial"/>
        </w:rPr>
      </w:pPr>
      <w:r w:rsidRPr="00852248">
        <w:rPr>
          <w:rFonts w:ascii="Arial" w:hAnsi="Arial" w:cs="Arial"/>
        </w:rPr>
        <w:lastRenderedPageBreak/>
        <w:t xml:space="preserve">The study utilizes annual time-series data sourced from the Philippine Statistics Authority (PSA), </w:t>
      </w:r>
      <w:proofErr w:type="spellStart"/>
      <w:r w:rsidRPr="00852248">
        <w:rPr>
          <w:rFonts w:ascii="Arial" w:hAnsi="Arial" w:cs="Arial"/>
        </w:rPr>
        <w:t>Bangko</w:t>
      </w:r>
      <w:proofErr w:type="spellEnd"/>
      <w:r w:rsidRPr="00852248">
        <w:rPr>
          <w:rFonts w:ascii="Arial" w:hAnsi="Arial" w:cs="Arial"/>
        </w:rPr>
        <w:t xml:space="preserve"> </w:t>
      </w:r>
      <w:proofErr w:type="spellStart"/>
      <w:r w:rsidRPr="00852248">
        <w:rPr>
          <w:rFonts w:ascii="Arial" w:hAnsi="Arial" w:cs="Arial"/>
        </w:rPr>
        <w:t>Sentral</w:t>
      </w:r>
      <w:proofErr w:type="spellEnd"/>
      <w:r w:rsidRPr="00852248">
        <w:rPr>
          <w:rFonts w:ascii="Arial" w:hAnsi="Arial" w:cs="Arial"/>
        </w:rPr>
        <w:t xml:space="preserve"> ng </w:t>
      </w:r>
      <w:proofErr w:type="spellStart"/>
      <w:r w:rsidRPr="00852248">
        <w:rPr>
          <w:rFonts w:ascii="Arial" w:hAnsi="Arial" w:cs="Arial"/>
        </w:rPr>
        <w:t>Pilipinas</w:t>
      </w:r>
      <w:proofErr w:type="spellEnd"/>
      <w:r w:rsidRPr="00852248">
        <w:rPr>
          <w:rFonts w:ascii="Arial" w:hAnsi="Arial" w:cs="Arial"/>
        </w:rPr>
        <w:t xml:space="preserve"> (BSP), World Bank World Development Indicators, and the National Economic and Development Authority (NEDA). These data sources offer comprehensive coverage of macroeconomic and structural indicators relevant to the research. The methodological framework addresses three major gaps in existing literature: the limited empirical evidence linking regional connectivity to FDI inflows; the insufficient examination of human capital as a causal rather than correlational determinant of FDI; and the absence of endogeneity-corrected estimation approaches, such as 2SLS or instrumental variable models, in previous Philippine-focused FDI studies.</w:t>
      </w:r>
    </w:p>
    <w:p w14:paraId="69351654" w14:textId="1DBB3E7A" w:rsidR="00852248" w:rsidRDefault="00852248" w:rsidP="00852248">
      <w:pPr>
        <w:pStyle w:val="Body"/>
        <w:spacing w:after="0"/>
        <w:rPr>
          <w:rFonts w:ascii="Arial" w:hAnsi="Arial" w:cs="Arial"/>
        </w:rPr>
      </w:pPr>
      <w:r w:rsidRPr="00852248">
        <w:rPr>
          <w:rFonts w:ascii="Arial" w:hAnsi="Arial" w:cs="Arial"/>
        </w:rPr>
        <w:t>To ensure the robustness and validity of the results, several diagnostic tests are conducted, including instrument relevance tests, the Hansen J-test for over-identification, Durbin-Wu-Hausman tests to confirm the presence of endogeneity, and multicollinearity diagnostics using Variance Inflation Factors (VIFs). These tests ensure that the estimation strategy is statistically sound and that the instruments used in the 2SLS model are appropriate. The study relies exclusively on publicly available data and therefore does not involve human participants, ensuring compliance with ethical standards. All analyses are conducted using statistical software such as Stata or R, facilitating transparency, replicability, and scientific rigor.</w:t>
      </w:r>
    </w:p>
    <w:p w14:paraId="72DEE68B" w14:textId="77777777" w:rsidR="0020395E" w:rsidRDefault="0020395E" w:rsidP="0020395E">
      <w:pPr>
        <w:rPr>
          <w:rFonts w:ascii="Arial" w:hAnsi="Arial" w:cs="Arial"/>
        </w:rPr>
      </w:pPr>
    </w:p>
    <w:p w14:paraId="54E5B3C7" w14:textId="77777777" w:rsidR="0020395E" w:rsidRDefault="0020395E" w:rsidP="0020395E">
      <w:pPr>
        <w:rPr>
          <w:rFonts w:ascii="Arial" w:hAnsi="Arial" w:cs="Arial"/>
        </w:rPr>
      </w:pPr>
    </w:p>
    <w:p w14:paraId="31161D87" w14:textId="6C3F567C" w:rsidR="00086B6F" w:rsidRPr="0020395E" w:rsidRDefault="00086B6F" w:rsidP="0020395E">
      <w:pPr>
        <w:rPr>
          <w:rFonts w:ascii="Arial" w:hAnsi="Arial" w:cs="Arial"/>
        </w:rPr>
      </w:pPr>
      <w:r w:rsidRPr="00086B6F">
        <w:rPr>
          <w:rFonts w:ascii="Arial" w:hAnsi="Arial" w:cs="Arial"/>
          <w:b/>
          <w:bCs/>
        </w:rPr>
        <w:t>2.1 Model Specification</w:t>
      </w:r>
    </w:p>
    <w:p w14:paraId="3877A2D4" w14:textId="08931D94" w:rsidR="00086B6F" w:rsidRPr="00086B6F" w:rsidRDefault="00086B6F" w:rsidP="00086B6F">
      <w:pPr>
        <w:jc w:val="both"/>
        <w:rPr>
          <w:rFonts w:ascii="Arial" w:hAnsi="Arial" w:cs="Arial"/>
        </w:rPr>
      </w:pPr>
      <w:r w:rsidRPr="00086B6F">
        <w:rPr>
          <w:rFonts w:ascii="Arial" w:hAnsi="Arial" w:cs="Arial"/>
        </w:rPr>
        <w:t>The general model is specified as follows:</w:t>
      </w:r>
    </w:p>
    <w:p w14:paraId="55B5F5D4" w14:textId="77777777" w:rsidR="00086B6F" w:rsidRDefault="00086B6F" w:rsidP="00086B6F">
      <w:pPr>
        <w:jc w:val="both"/>
        <w:rPr>
          <w:rFonts w:ascii="Times New Roman" w:hAnsi="Times New Roman"/>
        </w:rPr>
      </w:pPr>
    </w:p>
    <w:p w14:paraId="60AE703C" w14:textId="77777777" w:rsidR="00086B6F" w:rsidRPr="00086B6F" w:rsidRDefault="00086B6F" w:rsidP="00086B6F">
      <w:pPr>
        <w:jc w:val="both"/>
        <w:rPr>
          <w:rFonts w:ascii="Arial" w:hAnsi="Arial" w:cs="Arial"/>
        </w:rPr>
      </w:pPr>
      <m:oMathPara>
        <m:oMath>
          <m:r>
            <m:rPr>
              <m:sty m:val="bi"/>
            </m:rPr>
            <w:rPr>
              <w:rFonts w:ascii="Cambria Math" w:hAnsi="Cambria Math" w:cs="Arial"/>
            </w:rPr>
            <m:t>FDI=β</m:t>
          </m:r>
          <m:r>
            <m:rPr>
              <m:sty m:val="bi"/>
            </m:rPr>
            <w:rPr>
              <w:rFonts w:ascii="Cambria Math" w:hAnsi="Cambria Math" w:cs="Arial"/>
            </w:rPr>
            <m:t>0​+β</m:t>
          </m:r>
          <m:r>
            <m:rPr>
              <m:sty m:val="bi"/>
            </m:rPr>
            <w:rPr>
              <w:rFonts w:ascii="Cambria Math" w:hAnsi="Cambria Math" w:cs="Arial"/>
            </w:rPr>
            <m:t>1​(HE)+β</m:t>
          </m:r>
          <m:r>
            <m:rPr>
              <m:sty m:val="bi"/>
            </m:rPr>
            <w:rPr>
              <w:rFonts w:ascii="Cambria Math" w:hAnsi="Cambria Math" w:cs="Arial"/>
            </w:rPr>
            <m:t>2​(LR)+ϵ</m:t>
          </m:r>
        </m:oMath>
      </m:oMathPara>
    </w:p>
    <w:p w14:paraId="1F14AA1B" w14:textId="77777777" w:rsidR="00086B6F" w:rsidRPr="00086B6F" w:rsidRDefault="00086B6F" w:rsidP="00086B6F">
      <w:pPr>
        <w:jc w:val="both"/>
        <w:rPr>
          <w:rFonts w:ascii="Arial" w:hAnsi="Arial" w:cs="Arial"/>
        </w:rPr>
      </w:pPr>
      <w:r w:rsidRPr="00086B6F">
        <w:rPr>
          <w:rFonts w:ascii="Arial" w:hAnsi="Arial" w:cs="Arial"/>
        </w:rPr>
        <w:t>Where:</w:t>
      </w:r>
    </w:p>
    <w:p w14:paraId="76CE8E65" w14:textId="77777777" w:rsidR="00086B6F" w:rsidRPr="00086B6F" w:rsidRDefault="00086B6F" w:rsidP="00086B6F">
      <w:pPr>
        <w:numPr>
          <w:ilvl w:val="0"/>
          <w:numId w:val="31"/>
        </w:numPr>
        <w:spacing w:line="259" w:lineRule="auto"/>
        <w:contextualSpacing/>
        <w:jc w:val="both"/>
        <w:rPr>
          <w:rFonts w:ascii="Arial" w:hAnsi="Arial" w:cs="Arial"/>
        </w:rPr>
      </w:pPr>
      <w:r w:rsidRPr="00086B6F">
        <w:rPr>
          <w:rFonts w:ascii="Arial" w:hAnsi="Arial" w:cs="Arial"/>
        </w:rPr>
        <w:t>FDI = Foreign Direct Investment</w:t>
      </w:r>
    </w:p>
    <w:p w14:paraId="6D39A88F" w14:textId="77777777" w:rsidR="00086B6F" w:rsidRPr="00086B6F" w:rsidRDefault="00086B6F" w:rsidP="00086B6F">
      <w:pPr>
        <w:numPr>
          <w:ilvl w:val="0"/>
          <w:numId w:val="31"/>
        </w:numPr>
        <w:spacing w:line="259" w:lineRule="auto"/>
        <w:contextualSpacing/>
        <w:jc w:val="both"/>
        <w:rPr>
          <w:rFonts w:ascii="Arial" w:hAnsi="Arial" w:cs="Arial"/>
        </w:rPr>
      </w:pPr>
      <w:r w:rsidRPr="00086B6F">
        <w:rPr>
          <w:rFonts w:ascii="Arial" w:hAnsi="Arial" w:cs="Arial"/>
        </w:rPr>
        <w:t>HE = Educational Attainment (proxy for human capital)</w:t>
      </w:r>
    </w:p>
    <w:p w14:paraId="58045721" w14:textId="77777777" w:rsidR="00086B6F" w:rsidRPr="00086B6F" w:rsidRDefault="00086B6F" w:rsidP="00086B6F">
      <w:pPr>
        <w:numPr>
          <w:ilvl w:val="0"/>
          <w:numId w:val="31"/>
        </w:numPr>
        <w:spacing w:line="259" w:lineRule="auto"/>
        <w:contextualSpacing/>
        <w:jc w:val="both"/>
        <w:rPr>
          <w:rFonts w:ascii="Arial" w:hAnsi="Arial" w:cs="Arial"/>
        </w:rPr>
      </w:pPr>
      <w:r w:rsidRPr="00086B6F">
        <w:rPr>
          <w:rFonts w:ascii="Arial" w:hAnsi="Arial" w:cs="Arial"/>
        </w:rPr>
        <w:t>LR = Local Roads (proxy for infrastructure quality)</w:t>
      </w:r>
    </w:p>
    <w:p w14:paraId="398F7D75" w14:textId="77777777" w:rsidR="00086B6F" w:rsidRPr="00086B6F" w:rsidRDefault="00086B6F" w:rsidP="00086B6F">
      <w:pPr>
        <w:numPr>
          <w:ilvl w:val="0"/>
          <w:numId w:val="31"/>
        </w:numPr>
        <w:spacing w:line="259" w:lineRule="auto"/>
        <w:contextualSpacing/>
        <w:jc w:val="both"/>
        <w:rPr>
          <w:rFonts w:ascii="Arial" w:hAnsi="Arial" w:cs="Arial"/>
        </w:rPr>
      </w:pPr>
      <w:r w:rsidRPr="00086B6F">
        <w:rPr>
          <w:rFonts w:ascii="Arial" w:hAnsi="Arial" w:cs="Arial"/>
        </w:rPr>
        <w:t>ε = Error term</w:t>
      </w:r>
    </w:p>
    <w:p w14:paraId="50CCBDA1" w14:textId="77777777" w:rsidR="00086B6F" w:rsidRPr="00086B6F" w:rsidRDefault="00086B6F" w:rsidP="00086B6F">
      <w:pPr>
        <w:jc w:val="both"/>
        <w:rPr>
          <w:rFonts w:ascii="Arial" w:hAnsi="Arial" w:cs="Arial"/>
        </w:rPr>
      </w:pPr>
      <w:r w:rsidRPr="00635861">
        <w:rPr>
          <w:rFonts w:ascii="Times New Roman" w:hAnsi="Times New Roman"/>
        </w:rPr>
        <w:t xml:space="preserve">To account for potential endogeneity, the Two-Stage Least Squares (2SLS) model was used with the </w:t>
      </w:r>
      <w:r w:rsidRPr="00086B6F">
        <w:rPr>
          <w:rFonts w:ascii="Arial" w:hAnsi="Arial" w:cs="Arial"/>
        </w:rPr>
        <w:t>following stages:</w:t>
      </w:r>
    </w:p>
    <w:p w14:paraId="79E016E6" w14:textId="77777777" w:rsidR="00086B6F" w:rsidRPr="00086B6F" w:rsidRDefault="00086B6F" w:rsidP="00086B6F">
      <w:pPr>
        <w:jc w:val="both"/>
        <w:rPr>
          <w:rFonts w:ascii="Arial" w:hAnsi="Arial" w:cs="Arial"/>
        </w:rPr>
      </w:pPr>
    </w:p>
    <w:p w14:paraId="6552817B" w14:textId="77777777" w:rsidR="00086B6F" w:rsidRPr="00086B6F" w:rsidRDefault="00086B6F" w:rsidP="00086B6F">
      <w:pPr>
        <w:jc w:val="both"/>
        <w:rPr>
          <w:rFonts w:ascii="Arial" w:hAnsi="Arial" w:cs="Arial"/>
        </w:rPr>
      </w:pPr>
    </w:p>
    <w:p w14:paraId="5993B84E" w14:textId="77777777" w:rsidR="00086B6F" w:rsidRPr="00086B6F" w:rsidRDefault="00086B6F" w:rsidP="00086B6F">
      <w:pPr>
        <w:jc w:val="both"/>
        <w:rPr>
          <w:rFonts w:ascii="Arial" w:hAnsi="Arial" w:cs="Arial"/>
          <w:b/>
          <w:bCs/>
        </w:rPr>
      </w:pPr>
      <w:r w:rsidRPr="00086B6F">
        <w:rPr>
          <w:rFonts w:ascii="Arial" w:hAnsi="Arial" w:cs="Arial"/>
          <w:b/>
          <w:bCs/>
        </w:rPr>
        <w:t>First Stage:</w:t>
      </w:r>
    </w:p>
    <w:p w14:paraId="13127AFB" w14:textId="77777777" w:rsidR="00086B6F" w:rsidRPr="00086B6F" w:rsidRDefault="00086B6F" w:rsidP="00086B6F">
      <w:pPr>
        <w:jc w:val="both"/>
        <w:rPr>
          <w:rFonts w:ascii="Arial" w:eastAsiaTheme="minorEastAsia" w:hAnsi="Arial" w:cs="Arial"/>
          <w:b/>
        </w:rPr>
      </w:pPr>
      <m:oMathPara>
        <m:oMath>
          <m:r>
            <m:rPr>
              <m:sty m:val="bi"/>
            </m:rPr>
            <w:rPr>
              <w:rFonts w:ascii="Cambria Math" w:hAnsi="Cambria Math" w:cs="Arial"/>
            </w:rPr>
            <m:t>HEhat​=α</m:t>
          </m:r>
          <m:r>
            <m:rPr>
              <m:sty m:val="bi"/>
            </m:rPr>
            <w:rPr>
              <w:rFonts w:ascii="Cambria Math" w:hAnsi="Cambria Math" w:cs="Arial"/>
            </w:rPr>
            <m:t>0​+α</m:t>
          </m:r>
          <m:r>
            <m:rPr>
              <m:sty m:val="bi"/>
            </m:rPr>
            <w:rPr>
              <w:rFonts w:ascii="Cambria Math" w:hAnsi="Cambria Math" w:cs="Arial"/>
            </w:rPr>
            <m:t>1​(FDI)+α</m:t>
          </m:r>
          <m:r>
            <m:rPr>
              <m:sty m:val="bi"/>
            </m:rPr>
            <w:rPr>
              <w:rFonts w:ascii="Cambria Math" w:hAnsi="Cambria Math" w:cs="Arial"/>
            </w:rPr>
            <m:t>2​(GRDP)+μ</m:t>
          </m:r>
        </m:oMath>
      </m:oMathPara>
    </w:p>
    <w:p w14:paraId="31E79A0B" w14:textId="77777777" w:rsidR="00086B6F" w:rsidRPr="00086B6F" w:rsidRDefault="00086B6F" w:rsidP="00086B6F">
      <w:pPr>
        <w:jc w:val="both"/>
        <w:rPr>
          <w:rFonts w:ascii="Arial" w:eastAsiaTheme="minorEastAsia" w:hAnsi="Arial" w:cs="Arial"/>
          <w:b/>
        </w:rPr>
      </w:pPr>
    </w:p>
    <w:p w14:paraId="0CC04A57" w14:textId="77777777" w:rsidR="00086B6F" w:rsidRPr="00086B6F" w:rsidRDefault="00086B6F" w:rsidP="00086B6F">
      <w:pPr>
        <w:jc w:val="both"/>
        <w:rPr>
          <w:rFonts w:ascii="Arial" w:eastAsiaTheme="minorEastAsia" w:hAnsi="Arial" w:cs="Arial"/>
          <w:b/>
          <w:bCs/>
        </w:rPr>
      </w:pPr>
    </w:p>
    <w:p w14:paraId="47049F36" w14:textId="77777777" w:rsidR="00086B6F" w:rsidRPr="00086B6F" w:rsidRDefault="00086B6F" w:rsidP="00086B6F">
      <w:pPr>
        <w:jc w:val="both"/>
        <w:rPr>
          <w:rFonts w:ascii="Arial" w:eastAsiaTheme="minorEastAsia" w:hAnsi="Arial" w:cs="Arial"/>
          <w:b/>
          <w:bCs/>
        </w:rPr>
      </w:pPr>
      <w:r w:rsidRPr="00086B6F">
        <w:rPr>
          <w:rFonts w:ascii="Arial" w:eastAsiaTheme="minorEastAsia" w:hAnsi="Arial" w:cs="Arial"/>
          <w:b/>
          <w:bCs/>
        </w:rPr>
        <w:t>Second Stage:</w:t>
      </w:r>
    </w:p>
    <w:p w14:paraId="175CC505" w14:textId="77777777" w:rsidR="00086B6F" w:rsidRPr="00086B6F" w:rsidRDefault="00086B6F" w:rsidP="00086B6F">
      <w:pPr>
        <w:jc w:val="center"/>
        <w:rPr>
          <w:rFonts w:ascii="Arial" w:hAnsi="Arial" w:cs="Arial"/>
          <w:b/>
          <w:bCs/>
        </w:rPr>
      </w:pPr>
      <m:oMathPara>
        <m:oMath>
          <m:r>
            <m:rPr>
              <m:sty m:val="bi"/>
            </m:rPr>
            <w:rPr>
              <w:rFonts w:ascii="Cambria Math" w:hAnsi="Cambria Math" w:cs="Arial"/>
            </w:rPr>
            <m:t>GRDP=γ</m:t>
          </m:r>
          <m:r>
            <m:rPr>
              <m:sty m:val="bi"/>
            </m:rPr>
            <w:rPr>
              <w:rFonts w:ascii="Cambria Math" w:hAnsi="Cambria Math" w:cs="Arial"/>
            </w:rPr>
            <m:t>0​+γ</m:t>
          </m:r>
          <m:r>
            <m:rPr>
              <m:sty m:val="bi"/>
            </m:rPr>
            <w:rPr>
              <w:rFonts w:ascii="Cambria Math" w:hAnsi="Cambria Math" w:cs="Arial"/>
            </w:rPr>
            <m:t>1​(HEhat​)+γ</m:t>
          </m:r>
          <m:r>
            <m:rPr>
              <m:sty m:val="bi"/>
            </m:rPr>
            <w:rPr>
              <w:rFonts w:ascii="Cambria Math" w:hAnsi="Cambria Math" w:cs="Arial"/>
            </w:rPr>
            <m:t>2​(FDI)+υ</m:t>
          </m:r>
        </m:oMath>
      </m:oMathPara>
    </w:p>
    <w:p w14:paraId="6E513483" w14:textId="77777777" w:rsidR="00086B6F" w:rsidRPr="00086B6F" w:rsidRDefault="00086B6F" w:rsidP="00086B6F">
      <w:pPr>
        <w:rPr>
          <w:rFonts w:ascii="Arial" w:hAnsi="Arial" w:cs="Arial"/>
        </w:rPr>
      </w:pPr>
    </w:p>
    <w:p w14:paraId="63F00A26" w14:textId="2435073F" w:rsidR="00086B6F" w:rsidRPr="00086B6F" w:rsidRDefault="00086B6F" w:rsidP="00086B6F">
      <w:pPr>
        <w:jc w:val="both"/>
        <w:rPr>
          <w:rFonts w:ascii="Arial" w:hAnsi="Arial" w:cs="Arial"/>
          <w:b/>
          <w:bCs/>
        </w:rPr>
      </w:pPr>
      <w:r w:rsidRPr="00086B6F">
        <w:rPr>
          <w:rFonts w:ascii="Arial" w:hAnsi="Arial" w:cs="Arial"/>
          <w:b/>
          <w:bCs/>
        </w:rPr>
        <w:t>2.2 Data and Sources</w:t>
      </w:r>
    </w:p>
    <w:p w14:paraId="3531FC5D" w14:textId="77777777" w:rsidR="00086B6F" w:rsidRPr="00086B6F" w:rsidRDefault="00086B6F" w:rsidP="00086B6F">
      <w:pPr>
        <w:jc w:val="both"/>
        <w:rPr>
          <w:rFonts w:ascii="Arial" w:hAnsi="Arial" w:cs="Arial"/>
          <w:b/>
          <w:bCs/>
        </w:rPr>
      </w:pPr>
    </w:p>
    <w:p w14:paraId="0AC247B9" w14:textId="77777777" w:rsidR="00086B6F" w:rsidRPr="00086B6F" w:rsidRDefault="00086B6F" w:rsidP="00086B6F">
      <w:pPr>
        <w:jc w:val="both"/>
        <w:rPr>
          <w:rFonts w:ascii="Arial" w:hAnsi="Arial" w:cs="Arial"/>
        </w:rPr>
      </w:pPr>
      <w:r w:rsidRPr="00086B6F">
        <w:rPr>
          <w:rFonts w:ascii="Arial" w:hAnsi="Arial" w:cs="Arial"/>
        </w:rPr>
        <w:t>The study utilized secondary data obtained from the Philippine Statistics Authority (PSA), Department of Public Works and Highways (DPWH), and World Bank databases covering multiple fiscal years. The data set includes indicators for FDI inflows, local road length, educational attainment rates, and regional Gross Domestic Product (GRDP).</w:t>
      </w:r>
    </w:p>
    <w:p w14:paraId="4D8E47AD" w14:textId="77777777" w:rsidR="00790ADA" w:rsidRPr="00FB3A86" w:rsidRDefault="00790ADA" w:rsidP="00441B6F">
      <w:pPr>
        <w:pStyle w:val="Body"/>
        <w:spacing w:after="0"/>
        <w:rPr>
          <w:rFonts w:ascii="Arial" w:hAnsi="Arial" w:cs="Arial"/>
        </w:rPr>
      </w:pPr>
    </w:p>
    <w:p w14:paraId="666084A6" w14:textId="57071572" w:rsidR="00902823" w:rsidRDefault="00000F8F" w:rsidP="00441B6F">
      <w:pPr>
        <w:pStyle w:val="Head1"/>
        <w:spacing w:after="0"/>
        <w:jc w:val="both"/>
        <w:rPr>
          <w:rFonts w:ascii="Arial" w:hAnsi="Arial" w:cs="Arial"/>
        </w:rPr>
      </w:pPr>
      <w:r>
        <w:rPr>
          <w:rFonts w:ascii="Arial" w:hAnsi="Arial" w:cs="Arial"/>
        </w:rPr>
        <w:t>3</w:t>
      </w:r>
      <w:r w:rsidR="00902823">
        <w:rPr>
          <w:rFonts w:ascii="Arial" w:hAnsi="Arial" w:cs="Arial"/>
        </w:rPr>
        <w:t xml:space="preserve">. </w:t>
      </w:r>
      <w:r w:rsidR="004F72E9">
        <w:rPr>
          <w:rFonts w:ascii="Arial" w:hAnsi="Arial" w:cs="Arial"/>
        </w:rPr>
        <w:t>Results</w:t>
      </w:r>
      <w:r>
        <w:rPr>
          <w:rFonts w:ascii="Arial" w:hAnsi="Arial" w:cs="Arial"/>
        </w:rPr>
        <w:t xml:space="preserve"> and </w:t>
      </w:r>
      <w:r w:rsidR="004F72E9">
        <w:rPr>
          <w:rFonts w:ascii="Arial" w:hAnsi="Arial" w:cs="Arial"/>
        </w:rPr>
        <w:t>Discussion</w:t>
      </w:r>
    </w:p>
    <w:p w14:paraId="1FCDB51D" w14:textId="77777777" w:rsidR="00790ADA" w:rsidRPr="00FB3A86" w:rsidRDefault="00790ADA" w:rsidP="00441B6F">
      <w:pPr>
        <w:pStyle w:val="Head1"/>
        <w:spacing w:after="0"/>
        <w:jc w:val="both"/>
        <w:rPr>
          <w:rFonts w:ascii="Arial" w:hAnsi="Arial" w:cs="Arial"/>
        </w:rPr>
      </w:pPr>
    </w:p>
    <w:p w14:paraId="51DC9983" w14:textId="77777777" w:rsidR="00532BAB" w:rsidRPr="00532BAB" w:rsidRDefault="00532BAB" w:rsidP="00532BAB">
      <w:pPr>
        <w:pStyle w:val="Body"/>
        <w:rPr>
          <w:rFonts w:ascii="Arial" w:hAnsi="Arial" w:cs="Arial"/>
        </w:rPr>
      </w:pPr>
      <w:r w:rsidRPr="00532BAB">
        <w:rPr>
          <w:rFonts w:ascii="Arial" w:hAnsi="Arial" w:cs="Arial"/>
        </w:rPr>
        <w:t>Foreign direct investment (FDI) plays a pivotal role in enabling developing economies to overcome structural constraints and accelerate economic development. As a major channel for technology transfer, managerial know-how, and long-term capital, FDI serves not only as an external financing mechanism but also as a catalyst for industrial upgrading and productivity growth. By facilitating the movement of capital from wealthier nations to capital-scarce economies, FDI strengthens trade connectivity and enables deeper integration into global value chains. Countries with consistent and substantial FDI inflows often experience improvements in competitiveness, export diversification, and innovation capabilities, underscoring its importance in driving sustained economic performance.</w:t>
      </w:r>
    </w:p>
    <w:p w14:paraId="16FA118E" w14:textId="77777777" w:rsidR="00532BAB" w:rsidRPr="00532BAB" w:rsidRDefault="00532BAB" w:rsidP="00532BAB">
      <w:pPr>
        <w:pStyle w:val="Body"/>
        <w:rPr>
          <w:rFonts w:ascii="Arial" w:hAnsi="Arial" w:cs="Arial"/>
        </w:rPr>
      </w:pPr>
    </w:p>
    <w:p w14:paraId="2AA74CBA" w14:textId="12803BB2" w:rsidR="00086B6F" w:rsidRDefault="00532BAB" w:rsidP="00532BAB">
      <w:pPr>
        <w:pStyle w:val="Body"/>
        <w:spacing w:after="0"/>
        <w:rPr>
          <w:rFonts w:ascii="Arial" w:hAnsi="Arial" w:cs="Arial"/>
        </w:rPr>
      </w:pPr>
      <w:r w:rsidRPr="00532BAB">
        <w:rPr>
          <w:rFonts w:ascii="Arial" w:hAnsi="Arial" w:cs="Arial"/>
        </w:rPr>
        <w:t xml:space="preserve">In the context of Southeast Asia, countries such as Singapore, Malaysia, and Vietnam have aggressively pursued FDI-led growth strategies by enhancing infrastructure, reducing administrative barriers, and investing heavily in human capital. The Philippines, despite its potential, continues to lag behind its regional counterparts in attracting large-scale and high-value investments. This makes the identification of key FDI determinants all the more crucial. Macroeconomic variables such as market size, political stability, infrastructure readiness, labor quality, and regulatory efficiency play fundamental roles in shaping investment decisions. The empirical literature likewise highlights similar determinants across developing regions. For instance, </w:t>
      </w:r>
      <w:proofErr w:type="spellStart"/>
      <w:r w:rsidRPr="00532BAB">
        <w:rPr>
          <w:rFonts w:ascii="Arial" w:hAnsi="Arial" w:cs="Arial"/>
        </w:rPr>
        <w:t>Abdouli</w:t>
      </w:r>
      <w:proofErr w:type="spellEnd"/>
      <w:r w:rsidRPr="00532BAB">
        <w:rPr>
          <w:rFonts w:ascii="Arial" w:hAnsi="Arial" w:cs="Arial"/>
        </w:rPr>
        <w:t xml:space="preserve"> and </w:t>
      </w:r>
      <w:proofErr w:type="spellStart"/>
      <w:r w:rsidRPr="00532BAB">
        <w:rPr>
          <w:rFonts w:ascii="Arial" w:hAnsi="Arial" w:cs="Arial"/>
        </w:rPr>
        <w:t>Omri</w:t>
      </w:r>
      <w:proofErr w:type="spellEnd"/>
      <w:r w:rsidRPr="00532BAB">
        <w:rPr>
          <w:rFonts w:ascii="Arial" w:hAnsi="Arial" w:cs="Arial"/>
        </w:rPr>
        <w:t xml:space="preserve"> (2021) demonstrate that human capital significantly amplifies the positive effects of FDI on economic growth, while </w:t>
      </w:r>
      <w:proofErr w:type="spellStart"/>
      <w:r w:rsidRPr="00532BAB">
        <w:rPr>
          <w:rFonts w:ascii="Arial" w:hAnsi="Arial" w:cs="Arial"/>
        </w:rPr>
        <w:t>Thangavelu</w:t>
      </w:r>
      <w:proofErr w:type="spellEnd"/>
      <w:r w:rsidRPr="00532BAB">
        <w:rPr>
          <w:rFonts w:ascii="Arial" w:hAnsi="Arial" w:cs="Arial"/>
        </w:rPr>
        <w:t xml:space="preserve"> and </w:t>
      </w:r>
      <w:proofErr w:type="spellStart"/>
      <w:r w:rsidRPr="00532BAB">
        <w:rPr>
          <w:rFonts w:ascii="Arial" w:hAnsi="Arial" w:cs="Arial"/>
        </w:rPr>
        <w:t>Narjoko</w:t>
      </w:r>
      <w:proofErr w:type="spellEnd"/>
      <w:r w:rsidRPr="00532BAB">
        <w:rPr>
          <w:rFonts w:ascii="Arial" w:hAnsi="Arial" w:cs="Arial"/>
        </w:rPr>
        <w:t xml:space="preserve"> (2014) emphasize that skilled labor is increasingly central to investment attractiveness within ASEAN economies, especially in the presence of free trade agreements.</w:t>
      </w:r>
    </w:p>
    <w:p w14:paraId="0A0830CB" w14:textId="77777777" w:rsidR="00532BAB" w:rsidRDefault="00532BAB" w:rsidP="00532BAB">
      <w:pPr>
        <w:pStyle w:val="Body"/>
        <w:spacing w:after="0"/>
        <w:rPr>
          <w:rFonts w:ascii="Arial" w:hAnsi="Arial" w:cs="Arial"/>
        </w:rPr>
      </w:pPr>
    </w:p>
    <w:p w14:paraId="3AE03247" w14:textId="6672F7C1" w:rsidR="00863BD3" w:rsidRDefault="009500A6" w:rsidP="00441B6F">
      <w:pPr>
        <w:tabs>
          <w:tab w:val="left" w:pos="1080"/>
        </w:tabs>
        <w:jc w:val="both"/>
        <w:rPr>
          <w:rFonts w:ascii="Arial" w:hAnsi="Arial"/>
          <w:b/>
        </w:rPr>
      </w:pPr>
      <w:r>
        <w:rPr>
          <w:rFonts w:ascii="Arial" w:hAnsi="Arial"/>
          <w:b/>
        </w:rPr>
        <w:t>Table 1.</w:t>
      </w:r>
      <w:r w:rsidR="00863BD3" w:rsidRPr="00DC3180">
        <w:rPr>
          <w:rFonts w:ascii="Arial" w:hAnsi="Arial"/>
          <w:b/>
        </w:rPr>
        <w:tab/>
      </w:r>
      <w:r w:rsidR="00086B6F" w:rsidRPr="00086B6F">
        <w:rPr>
          <w:rFonts w:ascii="Arial" w:hAnsi="Arial"/>
          <w:b/>
        </w:rPr>
        <w:t>Ordinary Least Square Regression</w:t>
      </w:r>
    </w:p>
    <w:p w14:paraId="1D349042" w14:textId="77777777" w:rsidR="00863BD3" w:rsidRDefault="00863BD3" w:rsidP="00441B6F">
      <w:pPr>
        <w:pStyle w:val="BodyText3"/>
        <w:tabs>
          <w:tab w:val="left" w:pos="1080"/>
        </w:tabs>
        <w:spacing w:after="0"/>
        <w:ind w:left="1080" w:hanging="1080"/>
        <w:jc w:val="both"/>
        <w:rPr>
          <w:rFonts w:ascii="Arial" w:hAnsi="Arial"/>
          <w:b/>
          <w:sz w:val="20"/>
          <w:szCs w:val="20"/>
        </w:rPr>
      </w:pPr>
    </w:p>
    <w:tbl>
      <w:tblPr>
        <w:tblStyle w:val="TableGrid"/>
        <w:tblW w:w="0" w:type="auto"/>
        <w:jc w:val="center"/>
        <w:tblLook w:val="04A0" w:firstRow="1" w:lastRow="0" w:firstColumn="1" w:lastColumn="0" w:noHBand="0" w:noVBand="1"/>
      </w:tblPr>
      <w:tblGrid>
        <w:gridCol w:w="7479"/>
      </w:tblGrid>
      <w:tr w:rsidR="00086B6F" w14:paraId="755CA4EF" w14:textId="77777777" w:rsidTr="00BA5790">
        <w:trPr>
          <w:jc w:val="center"/>
        </w:trPr>
        <w:tc>
          <w:tcPr>
            <w:tcW w:w="7479" w:type="dxa"/>
          </w:tcPr>
          <w:p w14:paraId="15D8A02F" w14:textId="77777777" w:rsidR="00086B6F" w:rsidRPr="006904D2" w:rsidRDefault="00086B6F" w:rsidP="00BA5790">
            <w:pPr>
              <w:contextualSpacing/>
              <w:jc w:val="center"/>
              <w:rPr>
                <w:rFonts w:ascii="Times New Roman" w:hAnsi="Times New Roman"/>
              </w:rPr>
            </w:pPr>
            <w:r>
              <w:rPr>
                <w:rFonts w:ascii="Times New Roman" w:hAnsi="Times New Roman"/>
                <w:i/>
                <w:iCs/>
              </w:rPr>
              <w:t>FDI</w:t>
            </w:r>
            <w:r w:rsidRPr="006904D2">
              <w:rPr>
                <w:rFonts w:ascii="Times New Roman" w:hAnsi="Times New Roman"/>
              </w:rPr>
              <w:t xml:space="preserve">   =         </w:t>
            </w:r>
            <w:r w:rsidRPr="00760A8E">
              <w:rPr>
                <w:rFonts w:ascii="Times New Roman" w:hAnsi="Times New Roman"/>
              </w:rPr>
              <w:t>-6351.083</w:t>
            </w:r>
            <w:r w:rsidRPr="006904D2">
              <w:rPr>
                <w:rFonts w:ascii="Times New Roman" w:hAnsi="Times New Roman"/>
              </w:rPr>
              <w:t xml:space="preserve">        + .</w:t>
            </w:r>
            <w:r>
              <w:rPr>
                <w:rFonts w:ascii="Times New Roman" w:hAnsi="Times New Roman"/>
              </w:rPr>
              <w:t>6297244</w:t>
            </w:r>
            <w:r>
              <w:rPr>
                <w:rFonts w:ascii="Times New Roman" w:hAnsi="Times New Roman"/>
                <w:i/>
                <w:iCs/>
              </w:rPr>
              <w:t>HE</w:t>
            </w:r>
            <w:r w:rsidRPr="006904D2">
              <w:rPr>
                <w:rFonts w:ascii="Times New Roman" w:hAnsi="Times New Roman"/>
                <w:i/>
                <w:iCs/>
              </w:rPr>
              <w:t xml:space="preserve"> </w:t>
            </w:r>
            <w:r>
              <w:rPr>
                <w:rFonts w:ascii="Times New Roman" w:hAnsi="Times New Roman"/>
              </w:rPr>
              <w:t xml:space="preserve">       + </w:t>
            </w:r>
            <w:r w:rsidRPr="007F1812">
              <w:rPr>
                <w:rFonts w:ascii="Times New Roman" w:hAnsi="Times New Roman"/>
              </w:rPr>
              <w:t>.0000476</w:t>
            </w:r>
            <w:r>
              <w:rPr>
                <w:rFonts w:ascii="Times New Roman" w:hAnsi="Times New Roman"/>
                <w:i/>
                <w:iCs/>
              </w:rPr>
              <w:t>LR</w:t>
            </w:r>
          </w:p>
          <w:p w14:paraId="3285D616" w14:textId="77777777" w:rsidR="00086B6F" w:rsidRDefault="00086B6F" w:rsidP="00BA5790">
            <w:pPr>
              <w:contextualSpacing/>
              <w:rPr>
                <w:rFonts w:ascii="Times New Roman" w:hAnsi="Times New Roman"/>
              </w:rPr>
            </w:pPr>
            <w:r>
              <w:rPr>
                <w:rFonts w:ascii="Times New Roman" w:hAnsi="Times New Roman"/>
              </w:rPr>
              <w:t xml:space="preserve">            </w:t>
            </w:r>
            <w:r w:rsidRPr="006904D2">
              <w:rPr>
                <w:rFonts w:ascii="Times New Roman" w:hAnsi="Times New Roman"/>
              </w:rPr>
              <w:t>T- stat</w:t>
            </w:r>
            <w:r>
              <w:rPr>
                <w:rFonts w:ascii="Times New Roman" w:hAnsi="Times New Roman"/>
              </w:rPr>
              <w:t xml:space="preserve">s               </w:t>
            </w:r>
            <w:proofErr w:type="gramStart"/>
            <w:r>
              <w:rPr>
                <w:rFonts w:ascii="Times New Roman" w:hAnsi="Times New Roman"/>
              </w:rPr>
              <w:t xml:space="preserve">   (</w:t>
            </w:r>
            <w:proofErr w:type="gramEnd"/>
            <w:r>
              <w:rPr>
                <w:rFonts w:ascii="Times New Roman" w:hAnsi="Times New Roman"/>
              </w:rPr>
              <w:t>-1.33)                (6.53)                    (1.17</w:t>
            </w:r>
            <w:r w:rsidRPr="006904D2">
              <w:rPr>
                <w:rFonts w:ascii="Times New Roman" w:hAnsi="Times New Roman"/>
              </w:rPr>
              <w:t>)</w:t>
            </w:r>
            <w:r>
              <w:rPr>
                <w:rFonts w:ascii="Times New Roman" w:hAnsi="Times New Roman"/>
              </w:rPr>
              <w:t xml:space="preserve">  </w:t>
            </w:r>
          </w:p>
          <w:p w14:paraId="5372C782" w14:textId="77777777" w:rsidR="00086B6F" w:rsidRPr="007F1812" w:rsidRDefault="00086B6F" w:rsidP="00BA5790">
            <w:pPr>
              <w:contextualSpacing/>
              <w:rPr>
                <w:rFonts w:ascii="Times New Roman" w:hAnsi="Times New Roman"/>
              </w:rPr>
            </w:pPr>
            <w:r>
              <w:rPr>
                <w:rFonts w:ascii="Times New Roman" w:hAnsi="Times New Roman"/>
              </w:rPr>
              <w:t xml:space="preserve">            </w:t>
            </w:r>
            <w:r w:rsidRPr="006904D2">
              <w:rPr>
                <w:rFonts w:ascii="Times New Roman" w:hAnsi="Times New Roman"/>
              </w:rPr>
              <w:t>P – values</w:t>
            </w:r>
            <w:r>
              <w:rPr>
                <w:rFonts w:ascii="Times New Roman" w:hAnsi="Times New Roman"/>
              </w:rPr>
              <w:t xml:space="preserve">          </w:t>
            </w:r>
            <w:proofErr w:type="gramStart"/>
            <w:r>
              <w:rPr>
                <w:rFonts w:ascii="Times New Roman" w:hAnsi="Times New Roman"/>
              </w:rPr>
              <w:t xml:space="preserve">   (</w:t>
            </w:r>
            <w:proofErr w:type="gramEnd"/>
            <w:r>
              <w:rPr>
                <w:rFonts w:ascii="Times New Roman" w:hAnsi="Times New Roman"/>
              </w:rPr>
              <w:t>0.189)              (0.0.000)                  (0.0248</w:t>
            </w:r>
            <w:r w:rsidRPr="006904D2">
              <w:rPr>
                <w:rFonts w:ascii="Times New Roman" w:hAnsi="Times New Roman"/>
              </w:rPr>
              <w:t>)</w:t>
            </w:r>
          </w:p>
        </w:tc>
      </w:tr>
      <w:tr w:rsidR="00086B6F" w14:paraId="1F4AAA31" w14:textId="77777777" w:rsidTr="00BA5790">
        <w:trPr>
          <w:jc w:val="center"/>
        </w:trPr>
        <w:tc>
          <w:tcPr>
            <w:tcW w:w="7479" w:type="dxa"/>
          </w:tcPr>
          <w:p w14:paraId="7E305570" w14:textId="77777777" w:rsidR="00086B6F" w:rsidRPr="006C1F94" w:rsidRDefault="00086B6F" w:rsidP="00BA5790">
            <w:pPr>
              <w:contextualSpacing/>
              <w:jc w:val="center"/>
              <w:rPr>
                <w:rFonts w:ascii="Times New Roman" w:hAnsi="Times New Roman"/>
              </w:rPr>
            </w:pPr>
            <w:r w:rsidRPr="006C1F94">
              <w:rPr>
                <w:rFonts w:ascii="Times New Roman" w:hAnsi="Times New Roman"/>
              </w:rPr>
              <w:t xml:space="preserve">R- </w:t>
            </w:r>
            <w:r>
              <w:rPr>
                <w:rFonts w:ascii="Times New Roman" w:hAnsi="Times New Roman"/>
              </w:rPr>
              <w:t>Squared = 0.4020</w:t>
            </w:r>
            <w:r w:rsidRPr="006C1F94">
              <w:rPr>
                <w:rFonts w:ascii="Times New Roman" w:hAnsi="Times New Roman"/>
              </w:rPr>
              <w:t xml:space="preserve">  </w:t>
            </w:r>
            <w:r>
              <w:rPr>
                <w:rFonts w:ascii="Times New Roman" w:hAnsi="Times New Roman"/>
              </w:rPr>
              <w:t xml:space="preserve">   Adjusted R- Squared = 0.3836</w:t>
            </w:r>
            <w:r w:rsidRPr="006C1F94">
              <w:rPr>
                <w:rFonts w:ascii="Times New Roman" w:hAnsi="Times New Roman"/>
              </w:rPr>
              <w:t xml:space="preserve">        Prob &gt;F = 0.0000</w:t>
            </w:r>
            <w:r>
              <w:rPr>
                <w:rFonts w:ascii="Times New Roman" w:hAnsi="Times New Roman"/>
              </w:rPr>
              <w:t xml:space="preserve">            </w:t>
            </w:r>
          </w:p>
        </w:tc>
      </w:tr>
    </w:tbl>
    <w:p w14:paraId="39984335" w14:textId="77777777" w:rsidR="00086B6F" w:rsidRDefault="00086B6F" w:rsidP="00852248">
      <w:pPr>
        <w:pStyle w:val="BodyText3"/>
        <w:tabs>
          <w:tab w:val="left" w:pos="1080"/>
        </w:tabs>
        <w:spacing w:after="0"/>
        <w:jc w:val="both"/>
        <w:rPr>
          <w:rFonts w:ascii="Arial" w:hAnsi="Arial"/>
          <w:b/>
          <w:sz w:val="20"/>
          <w:szCs w:val="20"/>
        </w:rPr>
      </w:pPr>
    </w:p>
    <w:p w14:paraId="272B0D67" w14:textId="60E87754" w:rsidR="00E053D0" w:rsidRDefault="008C0A33" w:rsidP="00441B6F">
      <w:pPr>
        <w:pStyle w:val="Body"/>
        <w:spacing w:after="0"/>
        <w:rPr>
          <w:rFonts w:ascii="Arial" w:hAnsi="Arial" w:cs="Arial"/>
        </w:rPr>
      </w:pPr>
      <w:r w:rsidRPr="008C0A33">
        <w:rPr>
          <w:rFonts w:ascii="Arial" w:hAnsi="Arial" w:cs="Arial"/>
        </w:rPr>
        <w:t>The results indicate that a one-unit increase in educational attainment is associated with a 0.62972 percent increase in FDI inflows. Similarly, a one-unit increase in local road infrastructure corresponds to a 0.00047 increase in FDI. The p-value for educational attainment (0.000) confirms a statistically significant relationship with FDI. The model’s R-squared value of 0.4020 suggests that 40.20 percent of the variation in FDI inflows is explained by changes in educational attainment and local road development. Furthermore, the Prob &gt; F value of 0.000, which is less than the 0.05 threshold, indicates that the overall model is statistically significant—demonstrating a meaningful relationship between FDI and the variables higher education and local roads.</w:t>
      </w:r>
    </w:p>
    <w:p w14:paraId="3C5AF112" w14:textId="77777777" w:rsidR="008C0A33" w:rsidRDefault="008C0A33" w:rsidP="00441B6F">
      <w:pPr>
        <w:pStyle w:val="Body"/>
        <w:spacing w:after="0"/>
        <w:rPr>
          <w:rFonts w:ascii="Arial" w:hAnsi="Arial" w:cs="Arial"/>
        </w:rPr>
      </w:pPr>
    </w:p>
    <w:p w14:paraId="39ADE2A3" w14:textId="1DDEB14A" w:rsidR="00790ADA" w:rsidRDefault="00086B6F" w:rsidP="00441B6F">
      <w:pPr>
        <w:pStyle w:val="Body"/>
        <w:spacing w:after="0"/>
        <w:rPr>
          <w:rFonts w:ascii="Arial" w:hAnsi="Arial" w:cs="Arial"/>
          <w:b/>
          <w:bCs/>
        </w:rPr>
      </w:pPr>
      <w:r w:rsidRPr="00086B6F">
        <w:rPr>
          <w:rFonts w:ascii="Arial" w:hAnsi="Arial" w:cs="Arial"/>
          <w:b/>
          <w:bCs/>
        </w:rPr>
        <w:t>Table</w:t>
      </w:r>
      <w:r w:rsidR="0089334D">
        <w:rPr>
          <w:rFonts w:ascii="Arial" w:hAnsi="Arial" w:cs="Arial"/>
          <w:b/>
          <w:bCs/>
        </w:rPr>
        <w:t xml:space="preserve"> </w:t>
      </w:r>
      <w:r w:rsidRPr="00086B6F">
        <w:rPr>
          <w:rFonts w:ascii="Arial" w:hAnsi="Arial" w:cs="Arial"/>
          <w:b/>
          <w:bCs/>
        </w:rPr>
        <w:t>2: First Stage Least Square Regression</w:t>
      </w:r>
    </w:p>
    <w:p w14:paraId="5BB61B7A" w14:textId="77777777" w:rsidR="00086B6F" w:rsidRDefault="00086B6F" w:rsidP="00441B6F">
      <w:pPr>
        <w:pStyle w:val="Body"/>
        <w:spacing w:after="0"/>
        <w:rPr>
          <w:rFonts w:ascii="Arial" w:hAnsi="Arial" w:cs="Arial"/>
          <w:b/>
          <w:bCs/>
        </w:rPr>
      </w:pPr>
    </w:p>
    <w:tbl>
      <w:tblPr>
        <w:tblStyle w:val="TableGrid"/>
        <w:tblW w:w="0" w:type="auto"/>
        <w:jc w:val="center"/>
        <w:tblLook w:val="04A0" w:firstRow="1" w:lastRow="0" w:firstColumn="1" w:lastColumn="0" w:noHBand="0" w:noVBand="1"/>
      </w:tblPr>
      <w:tblGrid>
        <w:gridCol w:w="7479"/>
      </w:tblGrid>
      <w:tr w:rsidR="00086B6F" w14:paraId="42A8C547" w14:textId="77777777" w:rsidTr="00BA5790">
        <w:trPr>
          <w:trHeight w:val="692"/>
          <w:jc w:val="center"/>
        </w:trPr>
        <w:tc>
          <w:tcPr>
            <w:tcW w:w="7479" w:type="dxa"/>
          </w:tcPr>
          <w:p w14:paraId="0B030010" w14:textId="77777777" w:rsidR="00086B6F" w:rsidRPr="00086B6F" w:rsidRDefault="00086B6F" w:rsidP="00BA5790">
            <w:pPr>
              <w:contextualSpacing/>
              <w:jc w:val="center"/>
              <w:rPr>
                <w:rFonts w:ascii="Arial" w:hAnsi="Arial" w:cs="Arial"/>
              </w:rPr>
            </w:pPr>
            <w:proofErr w:type="spellStart"/>
            <w:r w:rsidRPr="00086B6F">
              <w:rPr>
                <w:rFonts w:ascii="Arial" w:hAnsi="Arial" w:cs="Arial"/>
                <w:i/>
                <w:iCs/>
              </w:rPr>
              <w:t>HEhat</w:t>
            </w:r>
            <w:proofErr w:type="spellEnd"/>
            <w:r w:rsidRPr="00086B6F">
              <w:rPr>
                <w:rFonts w:ascii="Arial" w:hAnsi="Arial" w:cs="Arial"/>
              </w:rPr>
              <w:t xml:space="preserve">   =        </w:t>
            </w:r>
            <w:proofErr w:type="gramStart"/>
            <w:r w:rsidRPr="00086B6F">
              <w:rPr>
                <w:rFonts w:ascii="Arial" w:hAnsi="Arial" w:cs="Arial"/>
              </w:rPr>
              <w:t>23721.7  +</w:t>
            </w:r>
            <w:proofErr w:type="gramEnd"/>
            <w:r w:rsidRPr="00086B6F">
              <w:rPr>
                <w:rFonts w:ascii="Arial" w:hAnsi="Arial" w:cs="Arial"/>
              </w:rPr>
              <w:t xml:space="preserve"> .2.1996</w:t>
            </w:r>
            <w:r w:rsidRPr="00086B6F">
              <w:rPr>
                <w:rFonts w:ascii="Arial" w:hAnsi="Arial" w:cs="Arial"/>
                <w:i/>
                <w:iCs/>
              </w:rPr>
              <w:t xml:space="preserve">FDI </w:t>
            </w:r>
            <w:r w:rsidRPr="00086B6F">
              <w:rPr>
                <w:rFonts w:ascii="Arial" w:hAnsi="Arial" w:cs="Arial"/>
              </w:rPr>
              <w:t xml:space="preserve">       + .8637</w:t>
            </w:r>
            <w:r w:rsidRPr="00086B6F">
              <w:rPr>
                <w:rFonts w:ascii="Arial" w:hAnsi="Arial" w:cs="Arial"/>
                <w:i/>
                <w:iCs/>
              </w:rPr>
              <w:t>GRDP</w:t>
            </w:r>
          </w:p>
          <w:p w14:paraId="0D26261B" w14:textId="77777777" w:rsidR="00086B6F" w:rsidRPr="00086B6F" w:rsidRDefault="00086B6F" w:rsidP="00BA5790">
            <w:pPr>
              <w:contextualSpacing/>
              <w:rPr>
                <w:rFonts w:ascii="Arial" w:hAnsi="Arial" w:cs="Arial"/>
              </w:rPr>
            </w:pPr>
            <w:r w:rsidRPr="00086B6F">
              <w:rPr>
                <w:rFonts w:ascii="Arial" w:hAnsi="Arial" w:cs="Arial"/>
              </w:rPr>
              <w:t xml:space="preserve">            T- stats               </w:t>
            </w:r>
            <w:proofErr w:type="gramStart"/>
            <w:r w:rsidRPr="00086B6F">
              <w:rPr>
                <w:rFonts w:ascii="Arial" w:hAnsi="Arial" w:cs="Arial"/>
              </w:rPr>
              <w:t xml:space="preserve">   (</w:t>
            </w:r>
            <w:proofErr w:type="gramEnd"/>
            <w:r w:rsidRPr="00086B6F">
              <w:rPr>
                <w:rFonts w:ascii="Arial" w:hAnsi="Arial" w:cs="Arial"/>
              </w:rPr>
              <w:t xml:space="preserve">1.04)                (2.17)                    (20.29)  </w:t>
            </w:r>
          </w:p>
          <w:p w14:paraId="0B908772" w14:textId="77777777" w:rsidR="00086B6F" w:rsidRPr="00086B6F" w:rsidRDefault="00086B6F" w:rsidP="00BA5790">
            <w:pPr>
              <w:contextualSpacing/>
              <w:rPr>
                <w:rFonts w:ascii="Arial" w:hAnsi="Arial" w:cs="Arial"/>
              </w:rPr>
            </w:pPr>
            <w:r w:rsidRPr="00086B6F">
              <w:rPr>
                <w:rFonts w:ascii="Arial" w:hAnsi="Arial" w:cs="Arial"/>
              </w:rPr>
              <w:t xml:space="preserve">            P – values          </w:t>
            </w:r>
            <w:proofErr w:type="gramStart"/>
            <w:r w:rsidRPr="00086B6F">
              <w:rPr>
                <w:rFonts w:ascii="Arial" w:hAnsi="Arial" w:cs="Arial"/>
              </w:rPr>
              <w:t xml:space="preserve">   (</w:t>
            </w:r>
            <w:proofErr w:type="gramEnd"/>
            <w:r w:rsidRPr="00086B6F">
              <w:rPr>
                <w:rFonts w:ascii="Arial" w:hAnsi="Arial" w:cs="Arial"/>
              </w:rPr>
              <w:t>0.303)              (0.034)                  (0.000)</w:t>
            </w:r>
          </w:p>
        </w:tc>
      </w:tr>
      <w:tr w:rsidR="00086B6F" w14:paraId="5C4B9635" w14:textId="77777777" w:rsidTr="00BA5790">
        <w:trPr>
          <w:jc w:val="center"/>
        </w:trPr>
        <w:tc>
          <w:tcPr>
            <w:tcW w:w="7479" w:type="dxa"/>
          </w:tcPr>
          <w:p w14:paraId="5FA51CB8" w14:textId="77777777" w:rsidR="00086B6F" w:rsidRPr="00086B6F" w:rsidRDefault="00086B6F" w:rsidP="00BA5790">
            <w:pPr>
              <w:contextualSpacing/>
              <w:jc w:val="center"/>
              <w:rPr>
                <w:rFonts w:ascii="Arial" w:hAnsi="Arial" w:cs="Arial"/>
              </w:rPr>
            </w:pPr>
            <w:r w:rsidRPr="00086B6F">
              <w:rPr>
                <w:rFonts w:ascii="Arial" w:hAnsi="Arial" w:cs="Arial"/>
              </w:rPr>
              <w:t xml:space="preserve">R- Squared = 0.9311     F-stats = 438.92        Prob &gt;F = 0.0000            </w:t>
            </w:r>
          </w:p>
        </w:tc>
      </w:tr>
    </w:tbl>
    <w:p w14:paraId="185C0D5F" w14:textId="77777777" w:rsidR="00086B6F" w:rsidRPr="00086B6F" w:rsidRDefault="00086B6F" w:rsidP="00441B6F">
      <w:pPr>
        <w:pStyle w:val="Body"/>
        <w:spacing w:after="0"/>
        <w:rPr>
          <w:rFonts w:ascii="Arial" w:hAnsi="Arial" w:cs="Arial"/>
          <w:b/>
          <w:bCs/>
        </w:rPr>
      </w:pPr>
    </w:p>
    <w:p w14:paraId="6FE0342E" w14:textId="4B5A47A9" w:rsidR="00086B6F" w:rsidRDefault="008C0A33" w:rsidP="00441B6F">
      <w:pPr>
        <w:pStyle w:val="Body"/>
        <w:spacing w:after="0"/>
        <w:rPr>
          <w:rFonts w:ascii="Arial" w:hAnsi="Arial" w:cs="Arial"/>
        </w:rPr>
      </w:pPr>
      <w:r w:rsidRPr="008C0A33">
        <w:rPr>
          <w:rFonts w:ascii="Arial" w:hAnsi="Arial" w:cs="Arial"/>
        </w:rPr>
        <w:t>For the first-stage regression analysis, the results indicate that the model exhibits a strong overall fit. The R-squared value of 0.9311 suggests that 93.11% of the variation in Foreign Direct Investment (FDI) is explained by changes in Regional Gross Domestic Product (GRDP). Additionally, the F-statistic of 438.92 demonstrates that the model and its included variables are jointly significant. The Prob &gt; F value of 0.000 further confirms this, indicating a highly significant statistical relationship among the variables in the first-stage regression.</w:t>
      </w:r>
    </w:p>
    <w:p w14:paraId="6CC95DA3" w14:textId="77777777" w:rsidR="008C0A33" w:rsidRDefault="008C0A33" w:rsidP="00441B6F">
      <w:pPr>
        <w:pStyle w:val="Body"/>
        <w:spacing w:after="0"/>
        <w:rPr>
          <w:rFonts w:ascii="Arial" w:hAnsi="Arial" w:cs="Arial"/>
        </w:rPr>
      </w:pPr>
    </w:p>
    <w:p w14:paraId="69DB57F9" w14:textId="77777777" w:rsidR="00086B6F" w:rsidRDefault="00086B6F" w:rsidP="00086B6F">
      <w:pPr>
        <w:contextualSpacing/>
        <w:rPr>
          <w:rFonts w:ascii="Arial" w:hAnsi="Arial" w:cs="Arial"/>
          <w:b/>
          <w:bCs/>
        </w:rPr>
      </w:pPr>
      <w:bookmarkStart w:id="0" w:name="_GoBack"/>
      <w:r w:rsidRPr="00086B6F">
        <w:rPr>
          <w:rFonts w:ascii="Arial" w:hAnsi="Arial" w:cs="Arial"/>
          <w:b/>
          <w:bCs/>
        </w:rPr>
        <w:t>Table</w:t>
      </w:r>
      <w:bookmarkEnd w:id="0"/>
      <w:r w:rsidRPr="00086B6F">
        <w:rPr>
          <w:rFonts w:ascii="Arial" w:hAnsi="Arial" w:cs="Arial"/>
          <w:b/>
          <w:bCs/>
        </w:rPr>
        <w:t>3: Second Stage Least Square Regression</w:t>
      </w:r>
    </w:p>
    <w:p w14:paraId="341390BF" w14:textId="77777777" w:rsidR="00086B6F" w:rsidRPr="00086B6F" w:rsidRDefault="00086B6F" w:rsidP="00086B6F">
      <w:pPr>
        <w:contextualSpacing/>
        <w:rPr>
          <w:rFonts w:ascii="Arial" w:hAnsi="Arial" w:cs="Arial"/>
          <w:b/>
          <w:bCs/>
        </w:rPr>
      </w:pPr>
    </w:p>
    <w:tbl>
      <w:tblPr>
        <w:tblStyle w:val="TableGrid"/>
        <w:tblW w:w="0" w:type="auto"/>
        <w:jc w:val="center"/>
        <w:tblLook w:val="04A0" w:firstRow="1" w:lastRow="0" w:firstColumn="1" w:lastColumn="0" w:noHBand="0" w:noVBand="1"/>
      </w:tblPr>
      <w:tblGrid>
        <w:gridCol w:w="7479"/>
      </w:tblGrid>
      <w:tr w:rsidR="00086B6F" w:rsidRPr="00086B6F" w14:paraId="6B7C1413" w14:textId="77777777" w:rsidTr="00BA5790">
        <w:trPr>
          <w:trHeight w:val="692"/>
          <w:jc w:val="center"/>
        </w:trPr>
        <w:tc>
          <w:tcPr>
            <w:tcW w:w="7479" w:type="dxa"/>
          </w:tcPr>
          <w:p w14:paraId="1ECACA78" w14:textId="77777777" w:rsidR="00086B6F" w:rsidRPr="00086B6F" w:rsidRDefault="00086B6F" w:rsidP="00BA5790">
            <w:pPr>
              <w:contextualSpacing/>
              <w:rPr>
                <w:rFonts w:ascii="Arial" w:hAnsi="Arial" w:cs="Arial"/>
                <w:sz w:val="20"/>
                <w:szCs w:val="20"/>
              </w:rPr>
            </w:pPr>
            <w:r w:rsidRPr="00086B6F">
              <w:rPr>
                <w:rFonts w:ascii="Arial" w:hAnsi="Arial" w:cs="Arial"/>
                <w:i/>
                <w:iCs/>
                <w:sz w:val="20"/>
                <w:szCs w:val="20"/>
              </w:rPr>
              <w:t xml:space="preserve">            GRDP</w:t>
            </w:r>
            <w:r w:rsidRPr="00086B6F">
              <w:rPr>
                <w:rFonts w:ascii="Arial" w:hAnsi="Arial" w:cs="Arial"/>
                <w:sz w:val="20"/>
                <w:szCs w:val="20"/>
              </w:rPr>
              <w:t xml:space="preserve">   =        -17661.</w:t>
            </w:r>
            <w:proofErr w:type="gramStart"/>
            <w:r w:rsidRPr="00086B6F">
              <w:rPr>
                <w:rFonts w:ascii="Arial" w:hAnsi="Arial" w:cs="Arial"/>
                <w:sz w:val="20"/>
                <w:szCs w:val="20"/>
              </w:rPr>
              <w:t>05  +</w:t>
            </w:r>
            <w:proofErr w:type="gramEnd"/>
            <w:r w:rsidRPr="00086B6F">
              <w:rPr>
                <w:rFonts w:ascii="Arial" w:hAnsi="Arial" w:cs="Arial"/>
                <w:sz w:val="20"/>
                <w:szCs w:val="20"/>
              </w:rPr>
              <w:t xml:space="preserve"> 12.21182</w:t>
            </w:r>
            <w:r w:rsidRPr="00086B6F">
              <w:rPr>
                <w:rFonts w:ascii="Arial" w:hAnsi="Arial" w:cs="Arial"/>
                <w:i/>
                <w:sz w:val="20"/>
                <w:szCs w:val="20"/>
              </w:rPr>
              <w:t xml:space="preserve">HE </w:t>
            </w:r>
            <w:r w:rsidRPr="00086B6F">
              <w:rPr>
                <w:rFonts w:ascii="Arial" w:hAnsi="Arial" w:cs="Arial"/>
                <w:sz w:val="20"/>
                <w:szCs w:val="20"/>
              </w:rPr>
              <w:t>+ 15.90938</w:t>
            </w:r>
            <w:r w:rsidRPr="00086B6F">
              <w:rPr>
                <w:rFonts w:ascii="Arial" w:hAnsi="Arial" w:cs="Arial"/>
                <w:i/>
                <w:sz w:val="20"/>
                <w:szCs w:val="20"/>
              </w:rPr>
              <w:t>FDI</w:t>
            </w:r>
          </w:p>
          <w:p w14:paraId="64C61D5B" w14:textId="77777777" w:rsidR="00086B6F" w:rsidRPr="00086B6F" w:rsidRDefault="00086B6F" w:rsidP="00BA5790">
            <w:pPr>
              <w:contextualSpacing/>
              <w:rPr>
                <w:rFonts w:ascii="Arial" w:hAnsi="Arial" w:cs="Arial"/>
                <w:sz w:val="20"/>
                <w:szCs w:val="20"/>
              </w:rPr>
            </w:pPr>
            <w:r w:rsidRPr="00086B6F">
              <w:rPr>
                <w:rFonts w:ascii="Arial" w:hAnsi="Arial" w:cs="Arial"/>
                <w:sz w:val="20"/>
                <w:szCs w:val="20"/>
              </w:rPr>
              <w:t xml:space="preserve">            Z- stats               </w:t>
            </w:r>
            <w:proofErr w:type="gramStart"/>
            <w:r w:rsidRPr="00086B6F">
              <w:rPr>
                <w:rFonts w:ascii="Arial" w:hAnsi="Arial" w:cs="Arial"/>
                <w:sz w:val="20"/>
                <w:szCs w:val="20"/>
              </w:rPr>
              <w:t xml:space="preserve">   (</w:t>
            </w:r>
            <w:proofErr w:type="gramEnd"/>
            <w:r w:rsidRPr="00086B6F">
              <w:rPr>
                <w:rFonts w:ascii="Arial" w:hAnsi="Arial" w:cs="Arial"/>
                <w:sz w:val="20"/>
                <w:szCs w:val="20"/>
              </w:rPr>
              <w:t xml:space="preserve">-2.76)                (1.56)            (1.22)  </w:t>
            </w:r>
          </w:p>
          <w:p w14:paraId="1F611C01" w14:textId="77777777" w:rsidR="00086B6F" w:rsidRPr="00086B6F" w:rsidRDefault="00086B6F" w:rsidP="00BA5790">
            <w:pPr>
              <w:contextualSpacing/>
              <w:rPr>
                <w:rFonts w:ascii="Arial" w:hAnsi="Arial" w:cs="Arial"/>
                <w:sz w:val="20"/>
                <w:szCs w:val="20"/>
              </w:rPr>
            </w:pPr>
            <w:r w:rsidRPr="00086B6F">
              <w:rPr>
                <w:rFonts w:ascii="Arial" w:hAnsi="Arial" w:cs="Arial"/>
                <w:sz w:val="20"/>
                <w:szCs w:val="20"/>
              </w:rPr>
              <w:t xml:space="preserve">            P – values          </w:t>
            </w:r>
            <w:proofErr w:type="gramStart"/>
            <w:r w:rsidRPr="00086B6F">
              <w:rPr>
                <w:rFonts w:ascii="Arial" w:hAnsi="Arial" w:cs="Arial"/>
                <w:sz w:val="20"/>
                <w:szCs w:val="20"/>
              </w:rPr>
              <w:t xml:space="preserve">   (</w:t>
            </w:r>
            <w:proofErr w:type="gramEnd"/>
            <w:r w:rsidRPr="00086B6F">
              <w:rPr>
                <w:rFonts w:ascii="Arial" w:hAnsi="Arial" w:cs="Arial"/>
                <w:sz w:val="20"/>
                <w:szCs w:val="20"/>
              </w:rPr>
              <w:t>0.006)              (0.119)              (0.221)</w:t>
            </w:r>
          </w:p>
        </w:tc>
      </w:tr>
      <w:tr w:rsidR="00086B6F" w:rsidRPr="00086B6F" w14:paraId="2B01D754" w14:textId="77777777" w:rsidTr="00BA5790">
        <w:trPr>
          <w:jc w:val="center"/>
        </w:trPr>
        <w:tc>
          <w:tcPr>
            <w:tcW w:w="7479" w:type="dxa"/>
          </w:tcPr>
          <w:p w14:paraId="121B0235" w14:textId="027E0045" w:rsidR="00086B6F" w:rsidRPr="00086B6F" w:rsidRDefault="00086B6F" w:rsidP="00BA5790">
            <w:pPr>
              <w:contextualSpacing/>
              <w:jc w:val="center"/>
              <w:rPr>
                <w:rFonts w:ascii="Arial" w:hAnsi="Arial" w:cs="Arial"/>
                <w:sz w:val="20"/>
                <w:szCs w:val="20"/>
              </w:rPr>
            </w:pPr>
            <w:r w:rsidRPr="00086B6F">
              <w:rPr>
                <w:rFonts w:ascii="Arial" w:hAnsi="Arial" w:cs="Arial"/>
                <w:sz w:val="20"/>
                <w:szCs w:val="20"/>
              </w:rPr>
              <w:t xml:space="preserve">R- Squared = 0.7477    F-stats = 247.22        Prob &gt;F = 0.0000 </w:t>
            </w:r>
          </w:p>
          <w:p w14:paraId="313074E9" w14:textId="34A9F8F5" w:rsidR="00086B6F" w:rsidRPr="00086B6F" w:rsidRDefault="00086B6F" w:rsidP="00086B6F">
            <w:pPr>
              <w:contextualSpacing/>
              <w:rPr>
                <w:rFonts w:ascii="Arial" w:hAnsi="Arial" w:cs="Arial"/>
                <w:sz w:val="20"/>
                <w:szCs w:val="20"/>
              </w:rPr>
            </w:pPr>
            <w:r>
              <w:rPr>
                <w:rFonts w:ascii="Arial" w:hAnsi="Arial" w:cs="Arial"/>
                <w:sz w:val="20"/>
                <w:szCs w:val="20"/>
              </w:rPr>
              <w:t xml:space="preserve">                      </w:t>
            </w:r>
            <w:r w:rsidRPr="00086B6F">
              <w:rPr>
                <w:rFonts w:ascii="Arial" w:hAnsi="Arial" w:cs="Arial"/>
                <w:sz w:val="20"/>
                <w:szCs w:val="20"/>
              </w:rPr>
              <w:t xml:space="preserve">Instrumented: </w:t>
            </w:r>
            <w:proofErr w:type="gramStart"/>
            <w:r w:rsidRPr="00086B6F">
              <w:rPr>
                <w:rFonts w:ascii="Arial" w:hAnsi="Arial" w:cs="Arial"/>
                <w:i/>
                <w:sz w:val="20"/>
                <w:szCs w:val="20"/>
              </w:rPr>
              <w:t>FDI</w:t>
            </w:r>
            <w:r w:rsidRPr="00086B6F">
              <w:rPr>
                <w:rFonts w:ascii="Arial" w:hAnsi="Arial" w:cs="Arial"/>
                <w:sz w:val="20"/>
                <w:szCs w:val="20"/>
              </w:rPr>
              <w:t xml:space="preserve">;   </w:t>
            </w:r>
            <w:proofErr w:type="gramEnd"/>
            <w:r w:rsidRPr="00086B6F">
              <w:rPr>
                <w:rFonts w:ascii="Arial" w:hAnsi="Arial" w:cs="Arial"/>
                <w:sz w:val="20"/>
                <w:szCs w:val="20"/>
              </w:rPr>
              <w:t xml:space="preserve">      Instruments: </w:t>
            </w:r>
            <w:r w:rsidRPr="00086B6F">
              <w:rPr>
                <w:rFonts w:ascii="Arial" w:hAnsi="Arial" w:cs="Arial"/>
                <w:i/>
                <w:sz w:val="20"/>
                <w:szCs w:val="20"/>
              </w:rPr>
              <w:t>HE, LR</w:t>
            </w:r>
          </w:p>
        </w:tc>
      </w:tr>
    </w:tbl>
    <w:p w14:paraId="656A1884" w14:textId="77777777" w:rsidR="00086B6F" w:rsidRDefault="00086B6F" w:rsidP="00441B6F">
      <w:pPr>
        <w:pStyle w:val="Body"/>
        <w:spacing w:after="0"/>
        <w:rPr>
          <w:rFonts w:ascii="Arial" w:hAnsi="Arial" w:cs="Arial"/>
        </w:rPr>
      </w:pPr>
    </w:p>
    <w:p w14:paraId="04DD5839" w14:textId="439F374A" w:rsidR="00086B6F" w:rsidRDefault="00235DB8" w:rsidP="00441B6F">
      <w:pPr>
        <w:pStyle w:val="Body"/>
        <w:spacing w:after="0"/>
        <w:rPr>
          <w:rFonts w:ascii="Arial" w:hAnsi="Arial" w:cs="Arial"/>
        </w:rPr>
      </w:pPr>
      <w:r w:rsidRPr="00235DB8">
        <w:rPr>
          <w:rFonts w:ascii="Arial" w:hAnsi="Arial" w:cs="Arial"/>
        </w:rPr>
        <w:t xml:space="preserve">For the second-stage regression analysis, the results indicate that the model also demonstrates a strong fit. The R-squared value of 0.7477 shows that 74.77% of the variation in Foreign Direct Investment (FDI) is explained by the predictors in the model. Additionally, the F-statistic of 247.22 confirms that the model and </w:t>
      </w:r>
      <w:r w:rsidRPr="00235DB8">
        <w:rPr>
          <w:rFonts w:ascii="Arial" w:hAnsi="Arial" w:cs="Arial"/>
        </w:rPr>
        <w:lastRenderedPageBreak/>
        <w:t>its variables are jointly significant. The Prob &gt; F value of 0.000 further indicates a highly significant statistical relationship among the variables in the second-stage regression.</w:t>
      </w:r>
    </w:p>
    <w:p w14:paraId="0C84526B" w14:textId="77777777" w:rsidR="00532BAB" w:rsidRDefault="00532BAB" w:rsidP="00441B6F">
      <w:pPr>
        <w:pStyle w:val="Body"/>
        <w:spacing w:after="0"/>
        <w:rPr>
          <w:rFonts w:ascii="Arial" w:hAnsi="Arial" w:cs="Arial"/>
        </w:rPr>
      </w:pPr>
    </w:p>
    <w:p w14:paraId="6C8B7F0B" w14:textId="06A6D8E1" w:rsidR="00532BAB" w:rsidRPr="00532BAB" w:rsidRDefault="00532BAB" w:rsidP="00532BAB">
      <w:pPr>
        <w:pStyle w:val="Body"/>
        <w:rPr>
          <w:rFonts w:ascii="Arial" w:hAnsi="Arial" w:cs="Arial"/>
        </w:rPr>
      </w:pPr>
      <w:r w:rsidRPr="00532BAB">
        <w:rPr>
          <w:rFonts w:ascii="Arial" w:hAnsi="Arial" w:cs="Arial"/>
        </w:rPr>
        <w:t xml:space="preserve">The results of this study confirm these theoretical expectations. Regression analyses reveal that both educational attainment and local road infrastructure exert significant influence on FDI inflows. Regions with higher levels of human capital consistently attract more investment, suggesting that foreign firms prioritize locations where skilled labor is available to operate advanced technologies and support efficiency-driven production. The magnitude and significance of these findings align with earlier studies—such as </w:t>
      </w:r>
      <w:proofErr w:type="spellStart"/>
      <w:r w:rsidRPr="00532BAB">
        <w:rPr>
          <w:rFonts w:ascii="Arial" w:hAnsi="Arial" w:cs="Arial"/>
        </w:rPr>
        <w:t>Noorbakhsh</w:t>
      </w:r>
      <w:proofErr w:type="spellEnd"/>
      <w:r w:rsidRPr="00532BAB">
        <w:rPr>
          <w:rFonts w:ascii="Arial" w:hAnsi="Arial" w:cs="Arial"/>
        </w:rPr>
        <w:t xml:space="preserve"> et al. (2001)—which argue that education is among the strongest predictors of FDI to developing countries. Furthermore, improvements in transportation networks, as indicated by local road density, contribute positively to FDI by reducing logistical bottlenecks and lowering transaction costs. This is consistent with </w:t>
      </w:r>
      <w:proofErr w:type="spellStart"/>
      <w:r w:rsidRPr="00532BAB">
        <w:rPr>
          <w:rFonts w:ascii="Arial" w:hAnsi="Arial" w:cs="Arial"/>
        </w:rPr>
        <w:t>Servén</w:t>
      </w:r>
      <w:proofErr w:type="spellEnd"/>
      <w:r w:rsidRPr="00532BAB">
        <w:rPr>
          <w:rFonts w:ascii="Arial" w:hAnsi="Arial" w:cs="Arial"/>
        </w:rPr>
        <w:t xml:space="preserve"> (2010) and </w:t>
      </w:r>
      <w:proofErr w:type="spellStart"/>
      <w:r w:rsidRPr="00532BAB">
        <w:rPr>
          <w:rFonts w:ascii="Arial" w:hAnsi="Arial" w:cs="Arial"/>
        </w:rPr>
        <w:t>Ndikumana</w:t>
      </w:r>
      <w:proofErr w:type="spellEnd"/>
      <w:r w:rsidRPr="00532BAB">
        <w:rPr>
          <w:rFonts w:ascii="Arial" w:hAnsi="Arial" w:cs="Arial"/>
        </w:rPr>
        <w:t xml:space="preserve"> (2000), who both highlight that physical infrastructure supports trade competitiveness and encourages capital inflows.</w:t>
      </w:r>
    </w:p>
    <w:p w14:paraId="13405C1C" w14:textId="49DADD25" w:rsidR="00532BAB" w:rsidRPr="00532BAB" w:rsidRDefault="00532BAB" w:rsidP="00532BAB">
      <w:pPr>
        <w:pStyle w:val="Body"/>
        <w:rPr>
          <w:rFonts w:ascii="Arial" w:hAnsi="Arial" w:cs="Arial"/>
        </w:rPr>
      </w:pPr>
      <w:r w:rsidRPr="00532BAB">
        <w:rPr>
          <w:rFonts w:ascii="Arial" w:hAnsi="Arial" w:cs="Arial"/>
        </w:rPr>
        <w:t>Additionally, the strong R-squared values observed in both the first-stage and second-stage regression models indicate that the explanatory variables—human capital and local road infrastructure—account for a substantial portion of the variation in regional FDI inflows. This suggests that these factors are not only statistically significant but also economically meaningful. The consistent significance of the models' F-statistics further implies that investments in education and road infrastructure have measurable and systematic impacts on FDI attraction across Philippine regions.</w:t>
      </w:r>
    </w:p>
    <w:p w14:paraId="363CD02E" w14:textId="6C62B120" w:rsidR="00532BAB" w:rsidRPr="00532BAB" w:rsidRDefault="00532BAB" w:rsidP="00532BAB">
      <w:pPr>
        <w:pStyle w:val="Body"/>
        <w:rPr>
          <w:rFonts w:ascii="Arial" w:hAnsi="Arial" w:cs="Arial"/>
        </w:rPr>
      </w:pPr>
      <w:r w:rsidRPr="00532BAB">
        <w:rPr>
          <w:rFonts w:ascii="Arial" w:hAnsi="Arial" w:cs="Arial"/>
        </w:rPr>
        <w:t>Beyond statistical significance, the findings reveal important policy implications. Regions with higher levels of educational attainment and more developed road networks tend to attract a greater share of investment, reinforcing the need for balanced regional development. Provinces outside Metro Manila and CALABARZON often struggle with limited infrastructure and lower human capital, resulting in a disproportionate concentration of FDI in already developed areas. This uneven distribution points to the importance of targeted interventions such as rural infrastructure development, localized skills training programs, and regional investment incentives to foster a more inclusive investment environment.</w:t>
      </w:r>
    </w:p>
    <w:p w14:paraId="69656713" w14:textId="560B32C0" w:rsidR="00532BAB" w:rsidRDefault="00532BAB" w:rsidP="00532BAB">
      <w:pPr>
        <w:pStyle w:val="Body"/>
        <w:spacing w:after="0"/>
        <w:rPr>
          <w:rFonts w:ascii="Arial" w:hAnsi="Arial" w:cs="Arial"/>
        </w:rPr>
      </w:pPr>
      <w:r w:rsidRPr="00532BAB">
        <w:rPr>
          <w:rFonts w:ascii="Arial" w:hAnsi="Arial" w:cs="Arial"/>
        </w:rPr>
        <w:t>Overall, the results highlight the need for a coordinated national strategy that integrates human capital development and infrastructure expansion. These findings reassert that FDI attraction is not solely dependent on macroeconomic stability, but equally on the enabling conditions that reduce business costs and expand the supply of skilled labor. Strengthening these foundations is imperative for the Philippines to enhance its competitiveness within the ASEAN investment landscape and to ensure sustainable, geographically inclusive growth.</w:t>
      </w:r>
    </w:p>
    <w:p w14:paraId="2A380AFD" w14:textId="77777777" w:rsidR="00235DB8" w:rsidRPr="00FB3A86" w:rsidRDefault="00235DB8" w:rsidP="00441B6F">
      <w:pPr>
        <w:pStyle w:val="Body"/>
        <w:spacing w:after="0"/>
        <w:rPr>
          <w:rFonts w:ascii="Arial" w:hAnsi="Arial" w:cs="Arial"/>
        </w:rPr>
      </w:pPr>
    </w:p>
    <w:p w14:paraId="5EDC6639" w14:textId="77777777" w:rsidR="00B01FCD" w:rsidRDefault="00000F8F" w:rsidP="00441B6F">
      <w:pPr>
        <w:pStyle w:val="ConcHead"/>
        <w:spacing w:after="0"/>
        <w:jc w:val="both"/>
        <w:rPr>
          <w:rFonts w:ascii="Arial" w:hAnsi="Arial" w:cs="Arial"/>
        </w:rPr>
      </w:pPr>
      <w:r>
        <w:rPr>
          <w:rFonts w:ascii="Arial" w:hAnsi="Arial" w:cs="Arial"/>
        </w:rPr>
        <w:t xml:space="preserve">4. </w:t>
      </w:r>
      <w:r w:rsidR="00B01FCD" w:rsidRPr="00FB3A86">
        <w:rPr>
          <w:rFonts w:ascii="Arial" w:hAnsi="Arial" w:cs="Arial"/>
        </w:rPr>
        <w:t>Conclusion</w:t>
      </w:r>
    </w:p>
    <w:p w14:paraId="484A7ED6" w14:textId="77777777" w:rsidR="00790ADA" w:rsidRPr="00FB3A86" w:rsidRDefault="00790ADA" w:rsidP="00441B6F">
      <w:pPr>
        <w:pStyle w:val="ConcHead"/>
        <w:spacing w:after="0"/>
        <w:jc w:val="both"/>
        <w:rPr>
          <w:rFonts w:ascii="Arial" w:hAnsi="Arial" w:cs="Arial"/>
        </w:rPr>
      </w:pPr>
    </w:p>
    <w:p w14:paraId="1FF466D5" w14:textId="77777777" w:rsidR="00086B6F" w:rsidRPr="00086B6F" w:rsidRDefault="00086B6F" w:rsidP="00086B6F">
      <w:pPr>
        <w:pStyle w:val="Body"/>
        <w:rPr>
          <w:rFonts w:ascii="Arial" w:hAnsi="Arial" w:cs="Arial"/>
        </w:rPr>
      </w:pPr>
      <w:r w:rsidRPr="00086B6F">
        <w:rPr>
          <w:rFonts w:ascii="Arial" w:hAnsi="Arial" w:cs="Arial"/>
        </w:rPr>
        <w:t>The findings confirm that educational attainment and infrastructure development are critical drivers of FDI inflows in the Philippines. Regions with better-educated populations and well-developed road networks tend to attract more investors. The significance of education highlights the importance of human capital development as a magnet for foreign investors who value skilled labor. Similarly, local road development enhances accessibility, reduces transaction costs, and improves logistical efficiency, all of which strengthen the investment climate.</w:t>
      </w:r>
    </w:p>
    <w:p w14:paraId="7E19B611" w14:textId="77777777" w:rsidR="00086B6F" w:rsidRPr="00086B6F" w:rsidRDefault="00086B6F" w:rsidP="00086B6F">
      <w:pPr>
        <w:pStyle w:val="Body"/>
        <w:rPr>
          <w:rFonts w:ascii="Arial" w:hAnsi="Arial" w:cs="Arial"/>
        </w:rPr>
      </w:pPr>
      <w:r w:rsidRPr="00086B6F">
        <w:rPr>
          <w:rFonts w:ascii="Arial" w:hAnsi="Arial" w:cs="Arial"/>
        </w:rPr>
        <w:t>The results validate the Two-Stage Least Squares model as an appropriate econometric approach to account for endogeneity between variables. With an R² of 0.7477 in the second-stage regression, the model demonstrates that a substantial proportion of economic growth variation can be explained by FDI, education, and infrastructure quality. This study thus reinforces the notion that sustainable development requires simultaneous progress in human capital and physical infrastructure.</w:t>
      </w:r>
    </w:p>
    <w:p w14:paraId="3B6AAF53" w14:textId="77777777" w:rsidR="00086B6F" w:rsidRPr="00086B6F" w:rsidRDefault="00086B6F" w:rsidP="00086B6F">
      <w:pPr>
        <w:pStyle w:val="Body"/>
        <w:rPr>
          <w:rFonts w:ascii="Arial" w:hAnsi="Arial" w:cs="Arial"/>
        </w:rPr>
      </w:pPr>
      <w:r w:rsidRPr="00086B6F">
        <w:rPr>
          <w:rFonts w:ascii="Arial" w:hAnsi="Arial" w:cs="Arial"/>
        </w:rPr>
        <w:t>Strengthen Education Policy and Skill Development: The government should prioritize investments in higher education, technical training, and vocational programs aligned with industry needs. Enhancing workforce competency will make the Philippines more attractive to high-value foreign investors.</w:t>
      </w:r>
    </w:p>
    <w:p w14:paraId="06D4D474" w14:textId="06E7C10E" w:rsidR="00086B6F" w:rsidRPr="00086B6F" w:rsidRDefault="00086B6F" w:rsidP="00086B6F">
      <w:pPr>
        <w:pStyle w:val="Body"/>
        <w:rPr>
          <w:rFonts w:ascii="Arial" w:hAnsi="Arial" w:cs="Arial"/>
        </w:rPr>
      </w:pPr>
      <w:r w:rsidRPr="00086B6F">
        <w:rPr>
          <w:rFonts w:ascii="Arial" w:hAnsi="Arial" w:cs="Arial"/>
        </w:rPr>
        <w:lastRenderedPageBreak/>
        <w:t>Accelerate Infrastructure Development:</w:t>
      </w:r>
      <w:r w:rsidR="00033871">
        <w:rPr>
          <w:rFonts w:ascii="Arial" w:hAnsi="Arial" w:cs="Arial"/>
        </w:rPr>
        <w:t xml:space="preserve"> </w:t>
      </w:r>
      <w:r w:rsidRPr="00086B6F">
        <w:rPr>
          <w:rFonts w:ascii="Arial" w:hAnsi="Arial" w:cs="Arial"/>
        </w:rPr>
        <w:t>Infrastructure projects, especially rural and inter-regional road connectivity, must be expanded to facilitate trade, logistics, and mobility. The implementation of the “Build Better More” program should be monitored for efficiency and regional inclusivity.</w:t>
      </w:r>
    </w:p>
    <w:p w14:paraId="2DE71CB1" w14:textId="19F91B4E" w:rsidR="00086B6F" w:rsidRPr="00086B6F" w:rsidRDefault="00086B6F" w:rsidP="00086B6F">
      <w:pPr>
        <w:pStyle w:val="Body"/>
        <w:rPr>
          <w:rFonts w:ascii="Arial" w:hAnsi="Arial" w:cs="Arial"/>
        </w:rPr>
      </w:pPr>
      <w:r w:rsidRPr="00086B6F">
        <w:rPr>
          <w:rFonts w:ascii="Arial" w:hAnsi="Arial" w:cs="Arial"/>
        </w:rPr>
        <w:t xml:space="preserve">Promote Balanced Regional Development: Policymakers should focus on decentralizing investment opportunities by improving infrastructure and education in less-developed regions to avoid concentration of FDI in major urban centers like Metro Manila and </w:t>
      </w:r>
      <w:r w:rsidR="00AE1813">
        <w:rPr>
          <w:rFonts w:ascii="Arial" w:hAnsi="Arial" w:cs="Arial"/>
        </w:rPr>
        <w:t xml:space="preserve">provinces of Cavite, Laguna, Batangas, Rizal and Quezon also known as </w:t>
      </w:r>
      <w:r w:rsidRPr="00086B6F">
        <w:rPr>
          <w:rFonts w:ascii="Arial" w:hAnsi="Arial" w:cs="Arial"/>
        </w:rPr>
        <w:t>CALABARZON.</w:t>
      </w:r>
    </w:p>
    <w:p w14:paraId="16446EC5" w14:textId="77777777" w:rsidR="00086B6F" w:rsidRPr="00086B6F" w:rsidRDefault="00086B6F" w:rsidP="00086B6F">
      <w:pPr>
        <w:pStyle w:val="Body"/>
        <w:rPr>
          <w:rFonts w:ascii="Arial" w:hAnsi="Arial" w:cs="Arial"/>
        </w:rPr>
      </w:pPr>
      <w:r w:rsidRPr="00086B6F">
        <w:rPr>
          <w:rFonts w:ascii="Arial" w:hAnsi="Arial" w:cs="Arial"/>
        </w:rPr>
        <w:t>Enhance Investment Promotion and Governance: Simplifying bureaucratic procedures, ensuring regulatory transparency, and reducing corruption will improve investor confidence. Establishing regional investment promotion agencies can help attract localized FDI aligned with regional strengths.</w:t>
      </w:r>
    </w:p>
    <w:p w14:paraId="6669AEDD" w14:textId="5A5A4572" w:rsidR="00790ADA" w:rsidRDefault="00086B6F" w:rsidP="00086B6F">
      <w:pPr>
        <w:pStyle w:val="Body"/>
        <w:spacing w:after="0"/>
        <w:rPr>
          <w:rFonts w:ascii="Arial" w:hAnsi="Arial" w:cs="Arial"/>
        </w:rPr>
      </w:pPr>
      <w:r w:rsidRPr="00086B6F">
        <w:rPr>
          <w:rFonts w:ascii="Arial" w:hAnsi="Arial" w:cs="Arial"/>
        </w:rPr>
        <w:t>Future Research Directions: Future studies may incorporate additional variables such as political stability, internet connectivity, and innovation indices to better capture the complexity of FDI determinants. A panel data approach across multiple years could also yield more dynamic insights into causal relationships.</w:t>
      </w:r>
    </w:p>
    <w:p w14:paraId="2DCD9EFC" w14:textId="77777777" w:rsidR="00086B6F" w:rsidRPr="00FB3A86" w:rsidRDefault="00086B6F" w:rsidP="00086B6F">
      <w:pPr>
        <w:pStyle w:val="Body"/>
        <w:spacing w:after="0"/>
        <w:rPr>
          <w:rFonts w:ascii="Arial" w:hAnsi="Arial" w:cs="Arial"/>
        </w:rPr>
      </w:pPr>
    </w:p>
    <w:p w14:paraId="7EBC4BE1" w14:textId="77777777" w:rsidR="000872BF" w:rsidRDefault="000872BF" w:rsidP="00441B6F">
      <w:pPr>
        <w:pStyle w:val="ReferHead"/>
        <w:spacing w:after="0"/>
        <w:jc w:val="both"/>
        <w:rPr>
          <w:rFonts w:ascii="Arial" w:hAnsi="Arial" w:cs="Arial"/>
          <w:b w:val="0"/>
          <w:caps w:val="0"/>
          <w:sz w:val="20"/>
        </w:rPr>
      </w:pPr>
    </w:p>
    <w:p w14:paraId="0FD99C68" w14:textId="77777777" w:rsidR="000872BF" w:rsidRDefault="000872BF" w:rsidP="00441B6F">
      <w:pPr>
        <w:pStyle w:val="ReferHead"/>
        <w:spacing w:after="0"/>
        <w:jc w:val="both"/>
        <w:rPr>
          <w:rFonts w:ascii="Arial" w:hAnsi="Arial" w:cs="Arial"/>
          <w:b w:val="0"/>
          <w:caps w:val="0"/>
          <w:sz w:val="20"/>
        </w:rPr>
      </w:pPr>
    </w:p>
    <w:p w14:paraId="5FD93DFA" w14:textId="77777777" w:rsidR="000872BF" w:rsidRDefault="000872BF" w:rsidP="000872BF">
      <w:pPr>
        <w:pStyle w:val="DefAcrHead"/>
        <w:spacing w:after="0"/>
        <w:jc w:val="both"/>
        <w:rPr>
          <w:rFonts w:ascii="Arial" w:hAnsi="Arial" w:cs="Arial"/>
        </w:rPr>
      </w:pPr>
      <w:r w:rsidRPr="00FB3A86">
        <w:rPr>
          <w:rFonts w:ascii="Arial" w:hAnsi="Arial" w:cs="Arial"/>
        </w:rPr>
        <w:t>Definitions, Acronyms, Abbreviations</w:t>
      </w:r>
    </w:p>
    <w:p w14:paraId="2C2B9921" w14:textId="77777777" w:rsidR="000872BF" w:rsidRDefault="000872BF" w:rsidP="000872BF">
      <w:pPr>
        <w:pStyle w:val="Body"/>
        <w:rPr>
          <w:rFonts w:ascii="Arial" w:hAnsi="Arial" w:cs="Arial"/>
          <w:b/>
          <w:bCs/>
        </w:rPr>
      </w:pPr>
    </w:p>
    <w:p w14:paraId="1F9E63C0" w14:textId="77777777" w:rsidR="000872BF" w:rsidRPr="00A62540" w:rsidRDefault="000872BF" w:rsidP="000872BF">
      <w:pPr>
        <w:pStyle w:val="Body"/>
        <w:rPr>
          <w:rFonts w:ascii="Arial" w:hAnsi="Arial" w:cs="Arial"/>
        </w:rPr>
      </w:pPr>
      <w:r w:rsidRPr="00A62540">
        <w:rPr>
          <w:rFonts w:ascii="Arial" w:hAnsi="Arial" w:cs="Arial"/>
          <w:b/>
          <w:bCs/>
        </w:rPr>
        <w:t>Foreign Direct Investment (FDI):</w:t>
      </w:r>
      <w:r>
        <w:rPr>
          <w:rFonts w:ascii="Arial" w:hAnsi="Arial" w:cs="Arial"/>
        </w:rPr>
        <w:t xml:space="preserve"> </w:t>
      </w:r>
      <w:r w:rsidRPr="00A62540">
        <w:rPr>
          <w:rFonts w:ascii="Arial" w:hAnsi="Arial" w:cs="Arial"/>
        </w:rPr>
        <w:t>Refers to long-term investment by a foreign entity into the business or assets of another country, typically by acquiring ownership or control of a company or productive enterprise. FDI contributes to technology transfer, job creation, and capital inflow that promote economic growth.</w:t>
      </w:r>
    </w:p>
    <w:p w14:paraId="1A6591A5" w14:textId="779A131D" w:rsidR="000872BF" w:rsidRPr="00A62540" w:rsidRDefault="000872BF" w:rsidP="000872BF">
      <w:pPr>
        <w:pStyle w:val="Body"/>
        <w:rPr>
          <w:rFonts w:ascii="Arial" w:hAnsi="Arial" w:cs="Arial"/>
        </w:rPr>
      </w:pPr>
      <w:r w:rsidRPr="00A62540">
        <w:rPr>
          <w:rFonts w:ascii="Arial" w:hAnsi="Arial" w:cs="Arial"/>
          <w:b/>
          <w:bCs/>
        </w:rPr>
        <w:t>Educational Attainment (HE):</w:t>
      </w:r>
      <w:r w:rsidR="00852248">
        <w:rPr>
          <w:rFonts w:ascii="Arial" w:hAnsi="Arial" w:cs="Arial"/>
          <w:b/>
          <w:bCs/>
        </w:rPr>
        <w:t xml:space="preserve"> </w:t>
      </w:r>
      <w:r w:rsidRPr="00A62540">
        <w:rPr>
          <w:rFonts w:ascii="Arial" w:hAnsi="Arial" w:cs="Arial"/>
        </w:rPr>
        <w:t>A measure of the average level of education completed by a population, serving as a proxy for human capital. In this study, it represents the availability of a skilled workforce capable of supporting foreign and domestic investments.</w:t>
      </w:r>
    </w:p>
    <w:p w14:paraId="6F46F7A5" w14:textId="21320CEA" w:rsidR="000872BF" w:rsidRPr="00A62540" w:rsidRDefault="000872BF" w:rsidP="000872BF">
      <w:pPr>
        <w:pStyle w:val="Body"/>
        <w:rPr>
          <w:rFonts w:ascii="Arial" w:hAnsi="Arial" w:cs="Arial"/>
        </w:rPr>
      </w:pPr>
      <w:r w:rsidRPr="00A62540">
        <w:rPr>
          <w:rFonts w:ascii="Arial" w:hAnsi="Arial" w:cs="Arial"/>
          <w:b/>
          <w:bCs/>
        </w:rPr>
        <w:t>Local Road Infrastructure (LR</w:t>
      </w:r>
      <w:r w:rsidRPr="00A62540">
        <w:rPr>
          <w:rFonts w:ascii="Arial" w:hAnsi="Arial" w:cs="Arial"/>
        </w:rPr>
        <w:t>):</w:t>
      </w:r>
      <w:r w:rsidR="00852248">
        <w:rPr>
          <w:rFonts w:ascii="Arial" w:hAnsi="Arial" w:cs="Arial"/>
        </w:rPr>
        <w:t xml:space="preserve"> </w:t>
      </w:r>
      <w:r w:rsidRPr="00A62540">
        <w:rPr>
          <w:rFonts w:ascii="Arial" w:hAnsi="Arial" w:cs="Arial"/>
        </w:rPr>
        <w:t>Refers to the extent and quality of road networks that connect local and regional economies. It serves as a proxy for physical infrastructure and connectivity, influencing logistics efficiency and investment accessibility.</w:t>
      </w:r>
    </w:p>
    <w:p w14:paraId="1097772C" w14:textId="4CCBE233" w:rsidR="000872BF" w:rsidRPr="00A62540" w:rsidRDefault="000872BF" w:rsidP="000872BF">
      <w:pPr>
        <w:pStyle w:val="Body"/>
        <w:rPr>
          <w:rFonts w:ascii="Arial" w:hAnsi="Arial" w:cs="Arial"/>
          <w:b/>
          <w:bCs/>
        </w:rPr>
      </w:pPr>
      <w:r w:rsidRPr="00A62540">
        <w:rPr>
          <w:rFonts w:ascii="Arial" w:hAnsi="Arial" w:cs="Arial"/>
          <w:b/>
          <w:bCs/>
        </w:rPr>
        <w:t>Gross Regional Domestic Product (GRDP):</w:t>
      </w:r>
      <w:r w:rsidR="008510DB">
        <w:rPr>
          <w:rFonts w:ascii="Arial" w:hAnsi="Arial" w:cs="Arial"/>
          <w:b/>
          <w:bCs/>
        </w:rPr>
        <w:t xml:space="preserve"> </w:t>
      </w:r>
      <w:r w:rsidRPr="00A62540">
        <w:rPr>
          <w:rFonts w:ascii="Arial" w:hAnsi="Arial" w:cs="Arial"/>
        </w:rPr>
        <w:t>The total monetary value of goods and services produced within a specific region over a given period, serving as an indicator of regional economic performance.</w:t>
      </w:r>
    </w:p>
    <w:p w14:paraId="1DC37AC6" w14:textId="76B3F35D" w:rsidR="000872BF" w:rsidRPr="00A62540" w:rsidRDefault="000872BF" w:rsidP="000872BF">
      <w:pPr>
        <w:pStyle w:val="Body"/>
        <w:rPr>
          <w:rFonts w:ascii="Arial" w:hAnsi="Arial" w:cs="Arial"/>
        </w:rPr>
      </w:pPr>
      <w:r w:rsidRPr="00A62540">
        <w:rPr>
          <w:rFonts w:ascii="Arial" w:hAnsi="Arial" w:cs="Arial"/>
          <w:b/>
          <w:bCs/>
        </w:rPr>
        <w:t>Endogeneity</w:t>
      </w:r>
      <w:r w:rsidRPr="00A62540">
        <w:rPr>
          <w:rFonts w:ascii="Arial" w:hAnsi="Arial" w:cs="Arial"/>
        </w:rPr>
        <w:t>:</w:t>
      </w:r>
      <w:r w:rsidR="008510DB">
        <w:rPr>
          <w:rFonts w:ascii="Arial" w:hAnsi="Arial" w:cs="Arial"/>
        </w:rPr>
        <w:t xml:space="preserve"> </w:t>
      </w:r>
      <w:r w:rsidRPr="00A62540">
        <w:rPr>
          <w:rFonts w:ascii="Arial" w:hAnsi="Arial" w:cs="Arial"/>
        </w:rPr>
        <w:t>A condition in econometric modeling where an explanatory variable is correlated with the error term, potentially biasing the regression results. It often arises from omitted variables, measurement errors, or reverse causality.</w:t>
      </w:r>
    </w:p>
    <w:p w14:paraId="6F49C2B6" w14:textId="708C2DF4" w:rsidR="000872BF" w:rsidRPr="00A62540" w:rsidRDefault="000872BF" w:rsidP="000872BF">
      <w:pPr>
        <w:pStyle w:val="Body"/>
        <w:rPr>
          <w:rFonts w:ascii="Arial" w:hAnsi="Arial" w:cs="Arial"/>
          <w:b/>
          <w:bCs/>
        </w:rPr>
      </w:pPr>
      <w:r w:rsidRPr="00A62540">
        <w:rPr>
          <w:rFonts w:ascii="Arial" w:hAnsi="Arial" w:cs="Arial"/>
          <w:b/>
          <w:bCs/>
        </w:rPr>
        <w:t>Two-Stage Least Squares (2SLS):</w:t>
      </w:r>
      <w:r w:rsidR="008510DB">
        <w:rPr>
          <w:rFonts w:ascii="Arial" w:hAnsi="Arial" w:cs="Arial"/>
          <w:b/>
          <w:bCs/>
        </w:rPr>
        <w:t xml:space="preserve"> </w:t>
      </w:r>
      <w:r w:rsidRPr="00A62540">
        <w:rPr>
          <w:rFonts w:ascii="Arial" w:hAnsi="Arial" w:cs="Arial"/>
        </w:rPr>
        <w:t>An econometric estimation technique used to address endogeneity by employing instrumental variables in two regression stages—first predicting the endogenous variable, and then using the predicted values in the main regression model.</w:t>
      </w:r>
    </w:p>
    <w:p w14:paraId="7BBFB693" w14:textId="44B1A268" w:rsidR="000872BF" w:rsidRPr="00A62540" w:rsidRDefault="000872BF" w:rsidP="000872BF">
      <w:pPr>
        <w:pStyle w:val="Body"/>
        <w:rPr>
          <w:rFonts w:ascii="Arial" w:hAnsi="Arial" w:cs="Arial"/>
        </w:rPr>
      </w:pPr>
      <w:r w:rsidRPr="00A62540">
        <w:rPr>
          <w:rFonts w:ascii="Arial" w:hAnsi="Arial" w:cs="Arial"/>
          <w:b/>
          <w:bCs/>
        </w:rPr>
        <w:t>Human Capital</w:t>
      </w:r>
      <w:r w:rsidRPr="00A62540">
        <w:rPr>
          <w:rFonts w:ascii="Arial" w:hAnsi="Arial" w:cs="Arial"/>
        </w:rPr>
        <w:t>:</w:t>
      </w:r>
      <w:r w:rsidR="008510DB">
        <w:rPr>
          <w:rFonts w:ascii="Arial" w:hAnsi="Arial" w:cs="Arial"/>
        </w:rPr>
        <w:t xml:space="preserve"> </w:t>
      </w:r>
      <w:r w:rsidRPr="00A62540">
        <w:rPr>
          <w:rFonts w:ascii="Arial" w:hAnsi="Arial" w:cs="Arial"/>
        </w:rPr>
        <w:t>The collective skills, knowledge, and abilities possessed by individuals that enhance their productivity and economic value. It is considered a key determinant of economic growth and foreign investment attraction.</w:t>
      </w:r>
    </w:p>
    <w:p w14:paraId="04CC2C5A" w14:textId="6DB04E7D" w:rsidR="000872BF" w:rsidRPr="00A62540" w:rsidRDefault="000872BF" w:rsidP="000872BF">
      <w:pPr>
        <w:pStyle w:val="Body"/>
        <w:rPr>
          <w:rFonts w:ascii="Arial" w:hAnsi="Arial" w:cs="Arial"/>
        </w:rPr>
      </w:pPr>
      <w:r w:rsidRPr="00A62540">
        <w:rPr>
          <w:rFonts w:ascii="Arial" w:hAnsi="Arial" w:cs="Arial"/>
          <w:b/>
          <w:bCs/>
        </w:rPr>
        <w:t>Infrastructure Development</w:t>
      </w:r>
      <w:r w:rsidRPr="00A62540">
        <w:rPr>
          <w:rFonts w:ascii="Arial" w:hAnsi="Arial" w:cs="Arial"/>
        </w:rPr>
        <w:t>:</w:t>
      </w:r>
      <w:r w:rsidR="008510DB">
        <w:rPr>
          <w:rFonts w:ascii="Arial" w:hAnsi="Arial" w:cs="Arial"/>
        </w:rPr>
        <w:t xml:space="preserve"> </w:t>
      </w:r>
      <w:r w:rsidRPr="00A62540">
        <w:rPr>
          <w:rFonts w:ascii="Arial" w:hAnsi="Arial" w:cs="Arial"/>
        </w:rPr>
        <w:t>The process of constructing and improving physical systems such as transportation, communication, and utilities that facilitate production and trade.</w:t>
      </w:r>
    </w:p>
    <w:p w14:paraId="32B3ECFC" w14:textId="18264341" w:rsidR="00852248" w:rsidRPr="00532BAB" w:rsidRDefault="000872BF" w:rsidP="00532BAB">
      <w:pPr>
        <w:pStyle w:val="Body"/>
        <w:rPr>
          <w:rFonts w:ascii="Arial" w:hAnsi="Arial" w:cs="Arial"/>
        </w:rPr>
      </w:pPr>
      <w:r w:rsidRPr="00A62540">
        <w:rPr>
          <w:rFonts w:ascii="Arial" w:hAnsi="Arial" w:cs="Arial"/>
          <w:b/>
          <w:bCs/>
        </w:rPr>
        <w:t>Instrumental Variable (IV):</w:t>
      </w:r>
      <w:r w:rsidR="008510DB">
        <w:rPr>
          <w:rFonts w:ascii="Arial" w:hAnsi="Arial" w:cs="Arial"/>
          <w:b/>
          <w:bCs/>
        </w:rPr>
        <w:t xml:space="preserve"> </w:t>
      </w:r>
      <w:r w:rsidRPr="00A62540">
        <w:rPr>
          <w:rFonts w:ascii="Arial" w:hAnsi="Arial" w:cs="Arial"/>
        </w:rPr>
        <w:t>A variable used in regression analysis to account for endogeneity by serving as a proxy for an endogenous regressor that is correlated with the explanatory variable but not with the error term</w:t>
      </w:r>
      <w:r>
        <w:rPr>
          <w:rFonts w:ascii="Arial" w:hAnsi="Arial" w:cs="Arial"/>
        </w:rPr>
        <w:t>.</w:t>
      </w:r>
      <w:r w:rsidR="00852248">
        <w:rPr>
          <w:rFonts w:ascii="Arial" w:hAnsi="Arial" w:cs="Arial"/>
          <w:b/>
          <w:bCs/>
        </w:rPr>
        <w:br w:type="page"/>
      </w:r>
    </w:p>
    <w:p w14:paraId="2C4A9C9B" w14:textId="585AE945" w:rsidR="000872BF" w:rsidRDefault="000872BF" w:rsidP="000872BF">
      <w:pPr>
        <w:pStyle w:val="Body"/>
        <w:rPr>
          <w:rFonts w:ascii="Arial" w:hAnsi="Arial" w:cs="Arial"/>
          <w:b/>
          <w:bCs/>
        </w:rPr>
      </w:pPr>
      <w:r w:rsidRPr="00DA6A8E">
        <w:rPr>
          <w:rFonts w:ascii="Arial" w:hAnsi="Arial" w:cs="Arial"/>
          <w:b/>
          <w:bCs/>
        </w:rPr>
        <w:lastRenderedPageBreak/>
        <w:t>Acronyms and Abbreviations</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42"/>
        <w:gridCol w:w="6156"/>
      </w:tblGrid>
      <w:tr w:rsidR="000872BF" w:rsidRPr="00DA6A8E" w14:paraId="1EE6F674" w14:textId="77777777" w:rsidTr="00AD3133">
        <w:trPr>
          <w:tblHeader/>
          <w:tblCellSpacing w:w="15" w:type="dxa"/>
        </w:trPr>
        <w:tc>
          <w:tcPr>
            <w:tcW w:w="0" w:type="auto"/>
            <w:vAlign w:val="center"/>
            <w:hideMark/>
          </w:tcPr>
          <w:p w14:paraId="4566ABC4" w14:textId="77777777" w:rsidR="000872BF" w:rsidRPr="00DA6A8E" w:rsidRDefault="000872BF" w:rsidP="00AD3133">
            <w:pPr>
              <w:pStyle w:val="Body"/>
              <w:spacing w:after="0"/>
              <w:rPr>
                <w:rFonts w:ascii="Arial" w:hAnsi="Arial" w:cs="Arial"/>
                <w:b/>
                <w:bCs/>
                <w:lang w:val="en-PH"/>
              </w:rPr>
            </w:pPr>
            <w:r w:rsidRPr="00DA6A8E">
              <w:rPr>
                <w:rFonts w:ascii="Arial" w:hAnsi="Arial" w:cs="Arial"/>
                <w:b/>
                <w:bCs/>
                <w:lang w:val="en-PH"/>
              </w:rPr>
              <w:t>Acronym</w:t>
            </w:r>
          </w:p>
        </w:tc>
        <w:tc>
          <w:tcPr>
            <w:tcW w:w="0" w:type="auto"/>
            <w:vAlign w:val="center"/>
            <w:hideMark/>
          </w:tcPr>
          <w:p w14:paraId="0ED866A8" w14:textId="77777777" w:rsidR="000872BF" w:rsidRPr="00DA6A8E" w:rsidRDefault="000872BF" w:rsidP="00AD3133">
            <w:pPr>
              <w:pStyle w:val="Body"/>
              <w:spacing w:after="0"/>
              <w:rPr>
                <w:rFonts w:ascii="Arial" w:hAnsi="Arial" w:cs="Arial"/>
                <w:b/>
                <w:bCs/>
                <w:lang w:val="en-PH"/>
              </w:rPr>
            </w:pPr>
            <w:r w:rsidRPr="00DA6A8E">
              <w:rPr>
                <w:rFonts w:ascii="Arial" w:hAnsi="Arial" w:cs="Arial"/>
                <w:b/>
                <w:bCs/>
                <w:lang w:val="en-PH"/>
              </w:rPr>
              <w:t>Meaning</w:t>
            </w:r>
          </w:p>
        </w:tc>
      </w:tr>
      <w:tr w:rsidR="000872BF" w:rsidRPr="00DA6A8E" w14:paraId="65C4A9A1" w14:textId="77777777" w:rsidTr="00AD3133">
        <w:trPr>
          <w:tblCellSpacing w:w="15" w:type="dxa"/>
        </w:trPr>
        <w:tc>
          <w:tcPr>
            <w:tcW w:w="0" w:type="auto"/>
            <w:vAlign w:val="center"/>
            <w:hideMark/>
          </w:tcPr>
          <w:p w14:paraId="1D897531" w14:textId="77777777" w:rsidR="000872BF" w:rsidRPr="00DA6A8E" w:rsidRDefault="000872BF" w:rsidP="00AD3133">
            <w:pPr>
              <w:pStyle w:val="Body"/>
              <w:spacing w:after="0"/>
              <w:rPr>
                <w:rFonts w:ascii="Arial" w:hAnsi="Arial" w:cs="Arial"/>
                <w:lang w:val="en-PH"/>
              </w:rPr>
            </w:pPr>
            <w:r w:rsidRPr="00DA6A8E">
              <w:rPr>
                <w:rFonts w:ascii="Arial" w:hAnsi="Arial" w:cs="Arial"/>
                <w:b/>
                <w:bCs/>
                <w:lang w:val="en-PH"/>
              </w:rPr>
              <w:t>2SLS</w:t>
            </w:r>
          </w:p>
        </w:tc>
        <w:tc>
          <w:tcPr>
            <w:tcW w:w="0" w:type="auto"/>
            <w:vAlign w:val="center"/>
            <w:hideMark/>
          </w:tcPr>
          <w:p w14:paraId="3D61A35B" w14:textId="77777777" w:rsidR="000872BF" w:rsidRPr="00DA6A8E" w:rsidRDefault="000872BF" w:rsidP="00AD3133">
            <w:pPr>
              <w:pStyle w:val="Body"/>
              <w:spacing w:after="0"/>
              <w:rPr>
                <w:rFonts w:ascii="Arial" w:hAnsi="Arial" w:cs="Arial"/>
                <w:lang w:val="en-PH"/>
              </w:rPr>
            </w:pPr>
            <w:r w:rsidRPr="00DA6A8E">
              <w:rPr>
                <w:rFonts w:ascii="Arial" w:hAnsi="Arial" w:cs="Arial"/>
                <w:lang w:val="en-PH"/>
              </w:rPr>
              <w:t>Two-Stage Least Squares</w:t>
            </w:r>
          </w:p>
        </w:tc>
      </w:tr>
      <w:tr w:rsidR="000872BF" w:rsidRPr="00DA6A8E" w14:paraId="4A4B8350" w14:textId="77777777" w:rsidTr="00AD3133">
        <w:trPr>
          <w:tblCellSpacing w:w="15" w:type="dxa"/>
        </w:trPr>
        <w:tc>
          <w:tcPr>
            <w:tcW w:w="0" w:type="auto"/>
            <w:vAlign w:val="center"/>
            <w:hideMark/>
          </w:tcPr>
          <w:p w14:paraId="44AC81F2" w14:textId="77777777" w:rsidR="000872BF" w:rsidRPr="00DA6A8E" w:rsidRDefault="000872BF" w:rsidP="00AD3133">
            <w:pPr>
              <w:pStyle w:val="Body"/>
              <w:spacing w:after="0"/>
              <w:rPr>
                <w:rFonts w:ascii="Arial" w:hAnsi="Arial" w:cs="Arial"/>
                <w:lang w:val="en-PH"/>
              </w:rPr>
            </w:pPr>
            <w:r w:rsidRPr="00DA6A8E">
              <w:rPr>
                <w:rFonts w:ascii="Arial" w:hAnsi="Arial" w:cs="Arial"/>
                <w:b/>
                <w:bCs/>
                <w:lang w:val="en-PH"/>
              </w:rPr>
              <w:t>ADB</w:t>
            </w:r>
          </w:p>
        </w:tc>
        <w:tc>
          <w:tcPr>
            <w:tcW w:w="0" w:type="auto"/>
            <w:vAlign w:val="center"/>
            <w:hideMark/>
          </w:tcPr>
          <w:p w14:paraId="2901EF71" w14:textId="77777777" w:rsidR="000872BF" w:rsidRPr="00DA6A8E" w:rsidRDefault="000872BF" w:rsidP="00AD3133">
            <w:pPr>
              <w:pStyle w:val="Body"/>
              <w:spacing w:after="0"/>
              <w:rPr>
                <w:rFonts w:ascii="Arial" w:hAnsi="Arial" w:cs="Arial"/>
                <w:lang w:val="en-PH"/>
              </w:rPr>
            </w:pPr>
            <w:r w:rsidRPr="00DA6A8E">
              <w:rPr>
                <w:rFonts w:ascii="Arial" w:hAnsi="Arial" w:cs="Arial"/>
                <w:lang w:val="en-PH"/>
              </w:rPr>
              <w:t>Asian Development Bank</w:t>
            </w:r>
          </w:p>
        </w:tc>
      </w:tr>
      <w:tr w:rsidR="000872BF" w:rsidRPr="00DA6A8E" w14:paraId="4E96A48C" w14:textId="77777777" w:rsidTr="00AD3133">
        <w:trPr>
          <w:tblCellSpacing w:w="15" w:type="dxa"/>
        </w:trPr>
        <w:tc>
          <w:tcPr>
            <w:tcW w:w="0" w:type="auto"/>
            <w:vAlign w:val="center"/>
            <w:hideMark/>
          </w:tcPr>
          <w:p w14:paraId="4DF975EB" w14:textId="77777777" w:rsidR="000872BF" w:rsidRPr="00DA6A8E" w:rsidRDefault="000872BF" w:rsidP="00AD3133">
            <w:pPr>
              <w:pStyle w:val="Body"/>
              <w:spacing w:after="0"/>
              <w:rPr>
                <w:rFonts w:ascii="Arial" w:hAnsi="Arial" w:cs="Arial"/>
                <w:lang w:val="en-PH"/>
              </w:rPr>
            </w:pPr>
            <w:r w:rsidRPr="00DA6A8E">
              <w:rPr>
                <w:rFonts w:ascii="Arial" w:hAnsi="Arial" w:cs="Arial"/>
                <w:b/>
                <w:bCs/>
                <w:lang w:val="en-PH"/>
              </w:rPr>
              <w:t>ASEAN</w:t>
            </w:r>
          </w:p>
        </w:tc>
        <w:tc>
          <w:tcPr>
            <w:tcW w:w="0" w:type="auto"/>
            <w:vAlign w:val="center"/>
            <w:hideMark/>
          </w:tcPr>
          <w:p w14:paraId="762D9AC0" w14:textId="77777777" w:rsidR="000872BF" w:rsidRPr="00DA6A8E" w:rsidRDefault="000872BF" w:rsidP="00AD3133">
            <w:pPr>
              <w:pStyle w:val="Body"/>
              <w:spacing w:after="0"/>
              <w:rPr>
                <w:rFonts w:ascii="Arial" w:hAnsi="Arial" w:cs="Arial"/>
                <w:lang w:val="en-PH"/>
              </w:rPr>
            </w:pPr>
            <w:r w:rsidRPr="00DA6A8E">
              <w:rPr>
                <w:rFonts w:ascii="Arial" w:hAnsi="Arial" w:cs="Arial"/>
                <w:lang w:val="en-PH"/>
              </w:rPr>
              <w:t>Association of Southeast Asian Nations</w:t>
            </w:r>
          </w:p>
        </w:tc>
      </w:tr>
      <w:tr w:rsidR="000872BF" w:rsidRPr="00DA6A8E" w14:paraId="56BC4ED9" w14:textId="77777777" w:rsidTr="00AD3133">
        <w:trPr>
          <w:tblCellSpacing w:w="15" w:type="dxa"/>
        </w:trPr>
        <w:tc>
          <w:tcPr>
            <w:tcW w:w="0" w:type="auto"/>
            <w:vAlign w:val="center"/>
            <w:hideMark/>
          </w:tcPr>
          <w:p w14:paraId="04335ED0" w14:textId="77777777" w:rsidR="000872BF" w:rsidRPr="00DA6A8E" w:rsidRDefault="000872BF" w:rsidP="00AD3133">
            <w:pPr>
              <w:pStyle w:val="Body"/>
              <w:spacing w:after="0"/>
              <w:rPr>
                <w:rFonts w:ascii="Arial" w:hAnsi="Arial" w:cs="Arial"/>
                <w:lang w:val="en-PH"/>
              </w:rPr>
            </w:pPr>
            <w:r w:rsidRPr="00DA6A8E">
              <w:rPr>
                <w:rFonts w:ascii="Arial" w:hAnsi="Arial" w:cs="Arial"/>
                <w:b/>
                <w:bCs/>
                <w:lang w:val="en-PH"/>
              </w:rPr>
              <w:t>CHED</w:t>
            </w:r>
          </w:p>
        </w:tc>
        <w:tc>
          <w:tcPr>
            <w:tcW w:w="0" w:type="auto"/>
            <w:vAlign w:val="center"/>
            <w:hideMark/>
          </w:tcPr>
          <w:p w14:paraId="41C8FDC5" w14:textId="77777777" w:rsidR="000872BF" w:rsidRPr="00DA6A8E" w:rsidRDefault="000872BF" w:rsidP="00AD3133">
            <w:pPr>
              <w:pStyle w:val="Body"/>
              <w:spacing w:after="0"/>
              <w:rPr>
                <w:rFonts w:ascii="Arial" w:hAnsi="Arial" w:cs="Arial"/>
                <w:lang w:val="en-PH"/>
              </w:rPr>
            </w:pPr>
            <w:r w:rsidRPr="00DA6A8E">
              <w:rPr>
                <w:rFonts w:ascii="Arial" w:hAnsi="Arial" w:cs="Arial"/>
                <w:lang w:val="en-PH"/>
              </w:rPr>
              <w:t>Commission on Higher Education</w:t>
            </w:r>
          </w:p>
        </w:tc>
      </w:tr>
      <w:tr w:rsidR="000872BF" w:rsidRPr="00DA6A8E" w14:paraId="49C6D712" w14:textId="77777777" w:rsidTr="00AD3133">
        <w:trPr>
          <w:tblCellSpacing w:w="15" w:type="dxa"/>
        </w:trPr>
        <w:tc>
          <w:tcPr>
            <w:tcW w:w="0" w:type="auto"/>
            <w:vAlign w:val="center"/>
            <w:hideMark/>
          </w:tcPr>
          <w:p w14:paraId="1129C456" w14:textId="77777777" w:rsidR="000872BF" w:rsidRPr="00DA6A8E" w:rsidRDefault="000872BF" w:rsidP="00AD3133">
            <w:pPr>
              <w:pStyle w:val="Body"/>
              <w:spacing w:after="0"/>
              <w:rPr>
                <w:rFonts w:ascii="Arial" w:hAnsi="Arial" w:cs="Arial"/>
                <w:lang w:val="en-PH"/>
              </w:rPr>
            </w:pPr>
            <w:r w:rsidRPr="00DA6A8E">
              <w:rPr>
                <w:rFonts w:ascii="Arial" w:hAnsi="Arial" w:cs="Arial"/>
                <w:b/>
                <w:bCs/>
                <w:lang w:val="en-PH"/>
              </w:rPr>
              <w:t>DepEd</w:t>
            </w:r>
          </w:p>
        </w:tc>
        <w:tc>
          <w:tcPr>
            <w:tcW w:w="0" w:type="auto"/>
            <w:vAlign w:val="center"/>
            <w:hideMark/>
          </w:tcPr>
          <w:p w14:paraId="0A5DC121" w14:textId="77777777" w:rsidR="000872BF" w:rsidRPr="00DA6A8E" w:rsidRDefault="000872BF" w:rsidP="00AD3133">
            <w:pPr>
              <w:pStyle w:val="Body"/>
              <w:spacing w:after="0"/>
              <w:rPr>
                <w:rFonts w:ascii="Arial" w:hAnsi="Arial" w:cs="Arial"/>
                <w:lang w:val="en-PH"/>
              </w:rPr>
            </w:pPr>
            <w:r w:rsidRPr="00DA6A8E">
              <w:rPr>
                <w:rFonts w:ascii="Arial" w:hAnsi="Arial" w:cs="Arial"/>
                <w:lang w:val="en-PH"/>
              </w:rPr>
              <w:t>Department of Education</w:t>
            </w:r>
          </w:p>
        </w:tc>
      </w:tr>
      <w:tr w:rsidR="000872BF" w:rsidRPr="00DA6A8E" w14:paraId="760B27AF" w14:textId="77777777" w:rsidTr="00AD3133">
        <w:trPr>
          <w:tblCellSpacing w:w="15" w:type="dxa"/>
        </w:trPr>
        <w:tc>
          <w:tcPr>
            <w:tcW w:w="0" w:type="auto"/>
            <w:vAlign w:val="center"/>
            <w:hideMark/>
          </w:tcPr>
          <w:p w14:paraId="6C359D56" w14:textId="77777777" w:rsidR="000872BF" w:rsidRPr="00DA6A8E" w:rsidRDefault="000872BF" w:rsidP="00AD3133">
            <w:pPr>
              <w:pStyle w:val="Body"/>
              <w:spacing w:after="0"/>
              <w:rPr>
                <w:rFonts w:ascii="Arial" w:hAnsi="Arial" w:cs="Arial"/>
                <w:lang w:val="en-PH"/>
              </w:rPr>
            </w:pPr>
            <w:r w:rsidRPr="00DA6A8E">
              <w:rPr>
                <w:rFonts w:ascii="Arial" w:hAnsi="Arial" w:cs="Arial"/>
                <w:b/>
                <w:bCs/>
                <w:lang w:val="en-PH"/>
              </w:rPr>
              <w:t>DPWH</w:t>
            </w:r>
          </w:p>
        </w:tc>
        <w:tc>
          <w:tcPr>
            <w:tcW w:w="0" w:type="auto"/>
            <w:vAlign w:val="center"/>
            <w:hideMark/>
          </w:tcPr>
          <w:p w14:paraId="5FE1D73D" w14:textId="77777777" w:rsidR="000872BF" w:rsidRPr="00DA6A8E" w:rsidRDefault="000872BF" w:rsidP="00AD3133">
            <w:pPr>
              <w:pStyle w:val="Body"/>
              <w:spacing w:after="0"/>
              <w:rPr>
                <w:rFonts w:ascii="Arial" w:hAnsi="Arial" w:cs="Arial"/>
                <w:lang w:val="en-PH"/>
              </w:rPr>
            </w:pPr>
            <w:r w:rsidRPr="00DA6A8E">
              <w:rPr>
                <w:rFonts w:ascii="Arial" w:hAnsi="Arial" w:cs="Arial"/>
                <w:lang w:val="en-PH"/>
              </w:rPr>
              <w:t>Department of Public Works and Highways</w:t>
            </w:r>
          </w:p>
        </w:tc>
      </w:tr>
      <w:tr w:rsidR="000872BF" w:rsidRPr="00DA6A8E" w14:paraId="715FE015" w14:textId="77777777" w:rsidTr="00AD3133">
        <w:trPr>
          <w:tblCellSpacing w:w="15" w:type="dxa"/>
        </w:trPr>
        <w:tc>
          <w:tcPr>
            <w:tcW w:w="0" w:type="auto"/>
            <w:vAlign w:val="center"/>
            <w:hideMark/>
          </w:tcPr>
          <w:p w14:paraId="24FE4D53" w14:textId="77777777" w:rsidR="000872BF" w:rsidRPr="00DA6A8E" w:rsidRDefault="000872BF" w:rsidP="00AD3133">
            <w:pPr>
              <w:pStyle w:val="Body"/>
              <w:spacing w:after="0"/>
              <w:rPr>
                <w:rFonts w:ascii="Arial" w:hAnsi="Arial" w:cs="Arial"/>
                <w:lang w:val="en-PH"/>
              </w:rPr>
            </w:pPr>
            <w:r w:rsidRPr="00DA6A8E">
              <w:rPr>
                <w:rFonts w:ascii="Arial" w:hAnsi="Arial" w:cs="Arial"/>
                <w:b/>
                <w:bCs/>
                <w:lang w:val="en-PH"/>
              </w:rPr>
              <w:t>FDI</w:t>
            </w:r>
          </w:p>
        </w:tc>
        <w:tc>
          <w:tcPr>
            <w:tcW w:w="0" w:type="auto"/>
            <w:vAlign w:val="center"/>
            <w:hideMark/>
          </w:tcPr>
          <w:p w14:paraId="4AE94098" w14:textId="77777777" w:rsidR="000872BF" w:rsidRPr="00DA6A8E" w:rsidRDefault="000872BF" w:rsidP="00AD3133">
            <w:pPr>
              <w:pStyle w:val="Body"/>
              <w:spacing w:after="0"/>
              <w:rPr>
                <w:rFonts w:ascii="Arial" w:hAnsi="Arial" w:cs="Arial"/>
                <w:lang w:val="en-PH"/>
              </w:rPr>
            </w:pPr>
            <w:r w:rsidRPr="00DA6A8E">
              <w:rPr>
                <w:rFonts w:ascii="Arial" w:hAnsi="Arial" w:cs="Arial"/>
                <w:lang w:val="en-PH"/>
              </w:rPr>
              <w:t>Foreign Direct Investment</w:t>
            </w:r>
          </w:p>
        </w:tc>
      </w:tr>
      <w:tr w:rsidR="000872BF" w:rsidRPr="00DA6A8E" w14:paraId="7D602620" w14:textId="77777777" w:rsidTr="00AD3133">
        <w:trPr>
          <w:tblCellSpacing w:w="15" w:type="dxa"/>
        </w:trPr>
        <w:tc>
          <w:tcPr>
            <w:tcW w:w="0" w:type="auto"/>
            <w:vAlign w:val="center"/>
            <w:hideMark/>
          </w:tcPr>
          <w:p w14:paraId="06246FCE" w14:textId="77777777" w:rsidR="000872BF" w:rsidRPr="00DA6A8E" w:rsidRDefault="000872BF" w:rsidP="00AD3133">
            <w:pPr>
              <w:pStyle w:val="Body"/>
              <w:spacing w:after="0"/>
              <w:rPr>
                <w:rFonts w:ascii="Arial" w:hAnsi="Arial" w:cs="Arial"/>
                <w:lang w:val="en-PH"/>
              </w:rPr>
            </w:pPr>
            <w:r w:rsidRPr="00DA6A8E">
              <w:rPr>
                <w:rFonts w:ascii="Arial" w:hAnsi="Arial" w:cs="Arial"/>
                <w:b/>
                <w:bCs/>
                <w:lang w:val="en-PH"/>
              </w:rPr>
              <w:t>GDP</w:t>
            </w:r>
          </w:p>
        </w:tc>
        <w:tc>
          <w:tcPr>
            <w:tcW w:w="0" w:type="auto"/>
            <w:vAlign w:val="center"/>
            <w:hideMark/>
          </w:tcPr>
          <w:p w14:paraId="3EE1F426" w14:textId="77777777" w:rsidR="000872BF" w:rsidRPr="00DA6A8E" w:rsidRDefault="000872BF" w:rsidP="00AD3133">
            <w:pPr>
              <w:pStyle w:val="Body"/>
              <w:spacing w:after="0"/>
              <w:rPr>
                <w:rFonts w:ascii="Arial" w:hAnsi="Arial" w:cs="Arial"/>
                <w:lang w:val="en-PH"/>
              </w:rPr>
            </w:pPr>
            <w:r w:rsidRPr="00DA6A8E">
              <w:rPr>
                <w:rFonts w:ascii="Arial" w:hAnsi="Arial" w:cs="Arial"/>
                <w:lang w:val="en-PH"/>
              </w:rPr>
              <w:t>Gross Domestic Product</w:t>
            </w:r>
          </w:p>
        </w:tc>
      </w:tr>
      <w:tr w:rsidR="000872BF" w:rsidRPr="00DA6A8E" w14:paraId="4C6D2804" w14:textId="77777777" w:rsidTr="00AD3133">
        <w:trPr>
          <w:tblCellSpacing w:w="15" w:type="dxa"/>
        </w:trPr>
        <w:tc>
          <w:tcPr>
            <w:tcW w:w="0" w:type="auto"/>
            <w:vAlign w:val="center"/>
            <w:hideMark/>
          </w:tcPr>
          <w:p w14:paraId="6CA38F09" w14:textId="77777777" w:rsidR="000872BF" w:rsidRPr="00DA6A8E" w:rsidRDefault="000872BF" w:rsidP="00AD3133">
            <w:pPr>
              <w:pStyle w:val="Body"/>
              <w:spacing w:after="0"/>
              <w:rPr>
                <w:rFonts w:ascii="Arial" w:hAnsi="Arial" w:cs="Arial"/>
                <w:lang w:val="en-PH"/>
              </w:rPr>
            </w:pPr>
            <w:r w:rsidRPr="00DA6A8E">
              <w:rPr>
                <w:rFonts w:ascii="Arial" w:hAnsi="Arial" w:cs="Arial"/>
                <w:b/>
                <w:bCs/>
                <w:lang w:val="en-PH"/>
              </w:rPr>
              <w:t>GRDP</w:t>
            </w:r>
          </w:p>
        </w:tc>
        <w:tc>
          <w:tcPr>
            <w:tcW w:w="0" w:type="auto"/>
            <w:vAlign w:val="center"/>
            <w:hideMark/>
          </w:tcPr>
          <w:p w14:paraId="59B33E62" w14:textId="77777777" w:rsidR="000872BF" w:rsidRPr="00DA6A8E" w:rsidRDefault="000872BF" w:rsidP="00AD3133">
            <w:pPr>
              <w:pStyle w:val="Body"/>
              <w:spacing w:after="0"/>
              <w:rPr>
                <w:rFonts w:ascii="Arial" w:hAnsi="Arial" w:cs="Arial"/>
                <w:lang w:val="en-PH"/>
              </w:rPr>
            </w:pPr>
            <w:r w:rsidRPr="00DA6A8E">
              <w:rPr>
                <w:rFonts w:ascii="Arial" w:hAnsi="Arial" w:cs="Arial"/>
                <w:lang w:val="en-PH"/>
              </w:rPr>
              <w:t>Gross Regional Domestic Product</w:t>
            </w:r>
          </w:p>
        </w:tc>
      </w:tr>
      <w:tr w:rsidR="000872BF" w:rsidRPr="00DA6A8E" w14:paraId="48489350" w14:textId="77777777" w:rsidTr="00AD3133">
        <w:trPr>
          <w:tblCellSpacing w:w="15" w:type="dxa"/>
        </w:trPr>
        <w:tc>
          <w:tcPr>
            <w:tcW w:w="0" w:type="auto"/>
            <w:vAlign w:val="center"/>
            <w:hideMark/>
          </w:tcPr>
          <w:p w14:paraId="12A5094F" w14:textId="77777777" w:rsidR="000872BF" w:rsidRPr="00DA6A8E" w:rsidRDefault="000872BF" w:rsidP="00AD3133">
            <w:pPr>
              <w:pStyle w:val="Body"/>
              <w:spacing w:after="0"/>
              <w:rPr>
                <w:rFonts w:ascii="Arial" w:hAnsi="Arial" w:cs="Arial"/>
                <w:lang w:val="en-PH"/>
              </w:rPr>
            </w:pPr>
            <w:r w:rsidRPr="00DA6A8E">
              <w:rPr>
                <w:rFonts w:ascii="Arial" w:hAnsi="Arial" w:cs="Arial"/>
                <w:b/>
                <w:bCs/>
                <w:lang w:val="en-PH"/>
              </w:rPr>
              <w:t>HE</w:t>
            </w:r>
          </w:p>
        </w:tc>
        <w:tc>
          <w:tcPr>
            <w:tcW w:w="0" w:type="auto"/>
            <w:vAlign w:val="center"/>
            <w:hideMark/>
          </w:tcPr>
          <w:p w14:paraId="6062C5BB" w14:textId="77777777" w:rsidR="000872BF" w:rsidRPr="00DA6A8E" w:rsidRDefault="000872BF" w:rsidP="00AD3133">
            <w:pPr>
              <w:pStyle w:val="Body"/>
              <w:spacing w:after="0"/>
              <w:rPr>
                <w:rFonts w:ascii="Arial" w:hAnsi="Arial" w:cs="Arial"/>
                <w:lang w:val="en-PH"/>
              </w:rPr>
            </w:pPr>
            <w:r w:rsidRPr="00DA6A8E">
              <w:rPr>
                <w:rFonts w:ascii="Arial" w:hAnsi="Arial" w:cs="Arial"/>
                <w:lang w:val="en-PH"/>
              </w:rPr>
              <w:t>Human Education / Educational Attainment (proxy for human capital)</w:t>
            </w:r>
          </w:p>
        </w:tc>
      </w:tr>
      <w:tr w:rsidR="000872BF" w:rsidRPr="00DA6A8E" w14:paraId="03508CF2" w14:textId="77777777" w:rsidTr="00AD3133">
        <w:trPr>
          <w:tblCellSpacing w:w="15" w:type="dxa"/>
        </w:trPr>
        <w:tc>
          <w:tcPr>
            <w:tcW w:w="0" w:type="auto"/>
            <w:vAlign w:val="center"/>
            <w:hideMark/>
          </w:tcPr>
          <w:p w14:paraId="234851FC" w14:textId="77777777" w:rsidR="000872BF" w:rsidRPr="00DA6A8E" w:rsidRDefault="000872BF" w:rsidP="00AD3133">
            <w:pPr>
              <w:pStyle w:val="Body"/>
              <w:spacing w:after="0"/>
              <w:rPr>
                <w:rFonts w:ascii="Arial" w:hAnsi="Arial" w:cs="Arial"/>
                <w:lang w:val="en-PH"/>
              </w:rPr>
            </w:pPr>
            <w:r w:rsidRPr="00DA6A8E">
              <w:rPr>
                <w:rFonts w:ascii="Arial" w:hAnsi="Arial" w:cs="Arial"/>
                <w:b/>
                <w:bCs/>
                <w:lang w:val="en-PH"/>
              </w:rPr>
              <w:t>IV</w:t>
            </w:r>
          </w:p>
        </w:tc>
        <w:tc>
          <w:tcPr>
            <w:tcW w:w="0" w:type="auto"/>
            <w:vAlign w:val="center"/>
            <w:hideMark/>
          </w:tcPr>
          <w:p w14:paraId="287DF5EF" w14:textId="77777777" w:rsidR="000872BF" w:rsidRPr="00DA6A8E" w:rsidRDefault="000872BF" w:rsidP="00AD3133">
            <w:pPr>
              <w:pStyle w:val="Body"/>
              <w:spacing w:after="0"/>
              <w:rPr>
                <w:rFonts w:ascii="Arial" w:hAnsi="Arial" w:cs="Arial"/>
                <w:lang w:val="en-PH"/>
              </w:rPr>
            </w:pPr>
            <w:r w:rsidRPr="00DA6A8E">
              <w:rPr>
                <w:rFonts w:ascii="Arial" w:hAnsi="Arial" w:cs="Arial"/>
                <w:lang w:val="en-PH"/>
              </w:rPr>
              <w:t>Instrumental Variable</w:t>
            </w:r>
          </w:p>
        </w:tc>
      </w:tr>
      <w:tr w:rsidR="000872BF" w:rsidRPr="00DA6A8E" w14:paraId="19C309CB" w14:textId="77777777" w:rsidTr="00AD3133">
        <w:trPr>
          <w:tblCellSpacing w:w="15" w:type="dxa"/>
        </w:trPr>
        <w:tc>
          <w:tcPr>
            <w:tcW w:w="0" w:type="auto"/>
            <w:vAlign w:val="center"/>
            <w:hideMark/>
          </w:tcPr>
          <w:p w14:paraId="443BDF74" w14:textId="77777777" w:rsidR="000872BF" w:rsidRPr="00DA6A8E" w:rsidRDefault="000872BF" w:rsidP="00AD3133">
            <w:pPr>
              <w:pStyle w:val="Body"/>
              <w:spacing w:after="0"/>
              <w:rPr>
                <w:rFonts w:ascii="Arial" w:hAnsi="Arial" w:cs="Arial"/>
                <w:lang w:val="en-PH"/>
              </w:rPr>
            </w:pPr>
            <w:r w:rsidRPr="00DA6A8E">
              <w:rPr>
                <w:rFonts w:ascii="Arial" w:hAnsi="Arial" w:cs="Arial"/>
                <w:b/>
                <w:bCs/>
                <w:lang w:val="en-PH"/>
              </w:rPr>
              <w:t>LR</w:t>
            </w:r>
          </w:p>
        </w:tc>
        <w:tc>
          <w:tcPr>
            <w:tcW w:w="0" w:type="auto"/>
            <w:vAlign w:val="center"/>
            <w:hideMark/>
          </w:tcPr>
          <w:p w14:paraId="47F8402E" w14:textId="77777777" w:rsidR="000872BF" w:rsidRPr="00DA6A8E" w:rsidRDefault="000872BF" w:rsidP="00AD3133">
            <w:pPr>
              <w:pStyle w:val="Body"/>
              <w:spacing w:after="0"/>
              <w:rPr>
                <w:rFonts w:ascii="Arial" w:hAnsi="Arial" w:cs="Arial"/>
                <w:lang w:val="en-PH"/>
              </w:rPr>
            </w:pPr>
            <w:r w:rsidRPr="00DA6A8E">
              <w:rPr>
                <w:rFonts w:ascii="Arial" w:hAnsi="Arial" w:cs="Arial"/>
                <w:lang w:val="en-PH"/>
              </w:rPr>
              <w:t>Local Roads (proxy for infrastructure quality)</w:t>
            </w:r>
          </w:p>
        </w:tc>
      </w:tr>
      <w:tr w:rsidR="000872BF" w:rsidRPr="00DA6A8E" w14:paraId="06C85AC6" w14:textId="77777777" w:rsidTr="00AD3133">
        <w:trPr>
          <w:tblCellSpacing w:w="15" w:type="dxa"/>
        </w:trPr>
        <w:tc>
          <w:tcPr>
            <w:tcW w:w="0" w:type="auto"/>
            <w:vAlign w:val="center"/>
            <w:hideMark/>
          </w:tcPr>
          <w:p w14:paraId="6A5B657E" w14:textId="77777777" w:rsidR="000872BF" w:rsidRPr="00DA6A8E" w:rsidRDefault="000872BF" w:rsidP="00AD3133">
            <w:pPr>
              <w:pStyle w:val="Body"/>
              <w:spacing w:after="0"/>
              <w:rPr>
                <w:rFonts w:ascii="Arial" w:hAnsi="Arial" w:cs="Arial"/>
                <w:lang w:val="en-PH"/>
              </w:rPr>
            </w:pPr>
            <w:r w:rsidRPr="00DA6A8E">
              <w:rPr>
                <w:rFonts w:ascii="Arial" w:hAnsi="Arial" w:cs="Arial"/>
                <w:b/>
                <w:bCs/>
                <w:lang w:val="en-PH"/>
              </w:rPr>
              <w:t>NEDA</w:t>
            </w:r>
          </w:p>
        </w:tc>
        <w:tc>
          <w:tcPr>
            <w:tcW w:w="0" w:type="auto"/>
            <w:vAlign w:val="center"/>
            <w:hideMark/>
          </w:tcPr>
          <w:p w14:paraId="4F518E2E" w14:textId="77777777" w:rsidR="000872BF" w:rsidRPr="00DA6A8E" w:rsidRDefault="000872BF" w:rsidP="00AD3133">
            <w:pPr>
              <w:pStyle w:val="Body"/>
              <w:spacing w:after="0"/>
              <w:rPr>
                <w:rFonts w:ascii="Arial" w:hAnsi="Arial" w:cs="Arial"/>
                <w:lang w:val="en-PH"/>
              </w:rPr>
            </w:pPr>
            <w:r w:rsidRPr="00DA6A8E">
              <w:rPr>
                <w:rFonts w:ascii="Arial" w:hAnsi="Arial" w:cs="Arial"/>
                <w:lang w:val="en-PH"/>
              </w:rPr>
              <w:t>National Economic and Development Authority</w:t>
            </w:r>
          </w:p>
        </w:tc>
      </w:tr>
      <w:tr w:rsidR="000872BF" w:rsidRPr="00DA6A8E" w14:paraId="581A0B2F" w14:textId="77777777" w:rsidTr="00AD3133">
        <w:trPr>
          <w:tblCellSpacing w:w="15" w:type="dxa"/>
        </w:trPr>
        <w:tc>
          <w:tcPr>
            <w:tcW w:w="0" w:type="auto"/>
            <w:vAlign w:val="center"/>
            <w:hideMark/>
          </w:tcPr>
          <w:p w14:paraId="4F4F0C29" w14:textId="77777777" w:rsidR="000872BF" w:rsidRPr="00DA6A8E" w:rsidRDefault="000872BF" w:rsidP="00AD3133">
            <w:pPr>
              <w:pStyle w:val="Body"/>
              <w:spacing w:after="0"/>
              <w:rPr>
                <w:rFonts w:ascii="Arial" w:hAnsi="Arial" w:cs="Arial"/>
                <w:lang w:val="en-PH"/>
              </w:rPr>
            </w:pPr>
            <w:r w:rsidRPr="00DA6A8E">
              <w:rPr>
                <w:rFonts w:ascii="Arial" w:hAnsi="Arial" w:cs="Arial"/>
                <w:b/>
                <w:bCs/>
                <w:lang w:val="en-PH"/>
              </w:rPr>
              <w:t>OLS</w:t>
            </w:r>
          </w:p>
        </w:tc>
        <w:tc>
          <w:tcPr>
            <w:tcW w:w="0" w:type="auto"/>
            <w:vAlign w:val="center"/>
            <w:hideMark/>
          </w:tcPr>
          <w:p w14:paraId="26925D82" w14:textId="77777777" w:rsidR="000872BF" w:rsidRPr="00DA6A8E" w:rsidRDefault="000872BF" w:rsidP="00AD3133">
            <w:pPr>
              <w:pStyle w:val="Body"/>
              <w:spacing w:after="0"/>
              <w:rPr>
                <w:rFonts w:ascii="Arial" w:hAnsi="Arial" w:cs="Arial"/>
                <w:lang w:val="en-PH"/>
              </w:rPr>
            </w:pPr>
            <w:r w:rsidRPr="00DA6A8E">
              <w:rPr>
                <w:rFonts w:ascii="Arial" w:hAnsi="Arial" w:cs="Arial"/>
                <w:lang w:val="en-PH"/>
              </w:rPr>
              <w:t>Ordinary Least Squares</w:t>
            </w:r>
          </w:p>
        </w:tc>
      </w:tr>
      <w:tr w:rsidR="000872BF" w:rsidRPr="00DA6A8E" w14:paraId="4B1126E9" w14:textId="77777777" w:rsidTr="00AD3133">
        <w:trPr>
          <w:tblCellSpacing w:w="15" w:type="dxa"/>
        </w:trPr>
        <w:tc>
          <w:tcPr>
            <w:tcW w:w="0" w:type="auto"/>
            <w:vAlign w:val="center"/>
            <w:hideMark/>
          </w:tcPr>
          <w:p w14:paraId="7A2BE46F" w14:textId="77777777" w:rsidR="000872BF" w:rsidRPr="00DA6A8E" w:rsidRDefault="000872BF" w:rsidP="00AD3133">
            <w:pPr>
              <w:pStyle w:val="Body"/>
              <w:spacing w:after="0"/>
              <w:rPr>
                <w:rFonts w:ascii="Arial" w:hAnsi="Arial" w:cs="Arial"/>
                <w:lang w:val="en-PH"/>
              </w:rPr>
            </w:pPr>
            <w:r w:rsidRPr="00DA6A8E">
              <w:rPr>
                <w:rFonts w:ascii="Arial" w:hAnsi="Arial" w:cs="Arial"/>
                <w:b/>
                <w:bCs/>
                <w:lang w:val="en-PH"/>
              </w:rPr>
              <w:t>PIDS</w:t>
            </w:r>
          </w:p>
        </w:tc>
        <w:tc>
          <w:tcPr>
            <w:tcW w:w="0" w:type="auto"/>
            <w:vAlign w:val="center"/>
            <w:hideMark/>
          </w:tcPr>
          <w:p w14:paraId="00E778C7" w14:textId="77777777" w:rsidR="000872BF" w:rsidRPr="00DA6A8E" w:rsidRDefault="000872BF" w:rsidP="00AD3133">
            <w:pPr>
              <w:pStyle w:val="Body"/>
              <w:spacing w:after="0"/>
              <w:rPr>
                <w:rFonts w:ascii="Arial" w:hAnsi="Arial" w:cs="Arial"/>
                <w:lang w:val="en-PH"/>
              </w:rPr>
            </w:pPr>
            <w:r w:rsidRPr="00DA6A8E">
              <w:rPr>
                <w:rFonts w:ascii="Arial" w:hAnsi="Arial" w:cs="Arial"/>
                <w:lang w:val="en-PH"/>
              </w:rPr>
              <w:t>Philippine Institute for Development Studies</w:t>
            </w:r>
          </w:p>
        </w:tc>
      </w:tr>
      <w:tr w:rsidR="000872BF" w:rsidRPr="00DA6A8E" w14:paraId="0639BD67" w14:textId="77777777" w:rsidTr="00AD3133">
        <w:trPr>
          <w:tblCellSpacing w:w="15" w:type="dxa"/>
        </w:trPr>
        <w:tc>
          <w:tcPr>
            <w:tcW w:w="0" w:type="auto"/>
            <w:vAlign w:val="center"/>
            <w:hideMark/>
          </w:tcPr>
          <w:p w14:paraId="6C0E9076" w14:textId="77777777" w:rsidR="000872BF" w:rsidRPr="00DA6A8E" w:rsidRDefault="000872BF" w:rsidP="00AD3133">
            <w:pPr>
              <w:pStyle w:val="Body"/>
              <w:spacing w:after="0"/>
              <w:rPr>
                <w:rFonts w:ascii="Arial" w:hAnsi="Arial" w:cs="Arial"/>
                <w:lang w:val="en-PH"/>
              </w:rPr>
            </w:pPr>
            <w:r w:rsidRPr="00DA6A8E">
              <w:rPr>
                <w:rFonts w:ascii="Arial" w:hAnsi="Arial" w:cs="Arial"/>
                <w:b/>
                <w:bCs/>
                <w:lang w:val="en-PH"/>
              </w:rPr>
              <w:t>PSA</w:t>
            </w:r>
          </w:p>
        </w:tc>
        <w:tc>
          <w:tcPr>
            <w:tcW w:w="0" w:type="auto"/>
            <w:vAlign w:val="center"/>
            <w:hideMark/>
          </w:tcPr>
          <w:p w14:paraId="05C8DFAE" w14:textId="77777777" w:rsidR="000872BF" w:rsidRPr="00DA6A8E" w:rsidRDefault="000872BF" w:rsidP="00AD3133">
            <w:pPr>
              <w:pStyle w:val="Body"/>
              <w:spacing w:after="0"/>
              <w:rPr>
                <w:rFonts w:ascii="Arial" w:hAnsi="Arial" w:cs="Arial"/>
                <w:lang w:val="en-PH"/>
              </w:rPr>
            </w:pPr>
            <w:r w:rsidRPr="00DA6A8E">
              <w:rPr>
                <w:rFonts w:ascii="Arial" w:hAnsi="Arial" w:cs="Arial"/>
                <w:lang w:val="en-PH"/>
              </w:rPr>
              <w:t>Philippine Statistics Authority</w:t>
            </w:r>
          </w:p>
        </w:tc>
      </w:tr>
      <w:tr w:rsidR="000872BF" w:rsidRPr="00DA6A8E" w14:paraId="7A0C4ADB" w14:textId="77777777" w:rsidTr="00AD3133">
        <w:trPr>
          <w:tblCellSpacing w:w="15" w:type="dxa"/>
        </w:trPr>
        <w:tc>
          <w:tcPr>
            <w:tcW w:w="0" w:type="auto"/>
            <w:vAlign w:val="center"/>
            <w:hideMark/>
          </w:tcPr>
          <w:p w14:paraId="7023CBD1" w14:textId="77777777" w:rsidR="000872BF" w:rsidRPr="00DA6A8E" w:rsidRDefault="000872BF" w:rsidP="00AD3133">
            <w:pPr>
              <w:pStyle w:val="Body"/>
              <w:spacing w:after="0"/>
              <w:rPr>
                <w:rFonts w:ascii="Arial" w:hAnsi="Arial" w:cs="Arial"/>
                <w:lang w:val="en-PH"/>
              </w:rPr>
            </w:pPr>
            <w:r w:rsidRPr="00DA6A8E">
              <w:rPr>
                <w:rFonts w:ascii="Arial" w:hAnsi="Arial" w:cs="Arial"/>
                <w:b/>
                <w:bCs/>
                <w:lang w:val="en-PH"/>
              </w:rPr>
              <w:t>R²</w:t>
            </w:r>
          </w:p>
        </w:tc>
        <w:tc>
          <w:tcPr>
            <w:tcW w:w="0" w:type="auto"/>
            <w:vAlign w:val="center"/>
            <w:hideMark/>
          </w:tcPr>
          <w:p w14:paraId="284F01FF" w14:textId="77777777" w:rsidR="000872BF" w:rsidRPr="00DA6A8E" w:rsidRDefault="000872BF" w:rsidP="00AD3133">
            <w:pPr>
              <w:pStyle w:val="Body"/>
              <w:spacing w:after="0"/>
              <w:rPr>
                <w:rFonts w:ascii="Arial" w:hAnsi="Arial" w:cs="Arial"/>
                <w:lang w:val="en-PH"/>
              </w:rPr>
            </w:pPr>
            <w:r w:rsidRPr="00DA6A8E">
              <w:rPr>
                <w:rFonts w:ascii="Arial" w:hAnsi="Arial" w:cs="Arial"/>
                <w:lang w:val="en-PH"/>
              </w:rPr>
              <w:t>Coefficient of Determination</w:t>
            </w:r>
          </w:p>
        </w:tc>
      </w:tr>
      <w:tr w:rsidR="000872BF" w:rsidRPr="00DA6A8E" w14:paraId="6DC7F14D" w14:textId="77777777" w:rsidTr="00AD3133">
        <w:trPr>
          <w:tblCellSpacing w:w="15" w:type="dxa"/>
        </w:trPr>
        <w:tc>
          <w:tcPr>
            <w:tcW w:w="0" w:type="auto"/>
            <w:vAlign w:val="center"/>
            <w:hideMark/>
          </w:tcPr>
          <w:p w14:paraId="44A0AEBE" w14:textId="77777777" w:rsidR="000872BF" w:rsidRPr="00DA6A8E" w:rsidRDefault="000872BF" w:rsidP="00AD3133">
            <w:pPr>
              <w:pStyle w:val="Body"/>
              <w:spacing w:after="0"/>
              <w:rPr>
                <w:rFonts w:ascii="Arial" w:hAnsi="Arial" w:cs="Arial"/>
                <w:lang w:val="en-PH"/>
              </w:rPr>
            </w:pPr>
            <w:r w:rsidRPr="00DA6A8E">
              <w:rPr>
                <w:rFonts w:ascii="Arial" w:hAnsi="Arial" w:cs="Arial"/>
                <w:b/>
                <w:bCs/>
                <w:lang w:val="en-PH"/>
              </w:rPr>
              <w:t>SEZ</w:t>
            </w:r>
          </w:p>
        </w:tc>
        <w:tc>
          <w:tcPr>
            <w:tcW w:w="0" w:type="auto"/>
            <w:vAlign w:val="center"/>
            <w:hideMark/>
          </w:tcPr>
          <w:p w14:paraId="635C7A2D" w14:textId="77777777" w:rsidR="000872BF" w:rsidRPr="00DA6A8E" w:rsidRDefault="000872BF" w:rsidP="00AD3133">
            <w:pPr>
              <w:pStyle w:val="Body"/>
              <w:spacing w:after="0"/>
              <w:rPr>
                <w:rFonts w:ascii="Arial" w:hAnsi="Arial" w:cs="Arial"/>
                <w:lang w:val="en-PH"/>
              </w:rPr>
            </w:pPr>
            <w:r w:rsidRPr="00DA6A8E">
              <w:rPr>
                <w:rFonts w:ascii="Arial" w:hAnsi="Arial" w:cs="Arial"/>
                <w:lang w:val="en-PH"/>
              </w:rPr>
              <w:t>Special Economic Zone</w:t>
            </w:r>
          </w:p>
        </w:tc>
      </w:tr>
      <w:tr w:rsidR="000872BF" w:rsidRPr="00DA6A8E" w14:paraId="28EEF1AC" w14:textId="77777777" w:rsidTr="00AD3133">
        <w:trPr>
          <w:tblCellSpacing w:w="15" w:type="dxa"/>
        </w:trPr>
        <w:tc>
          <w:tcPr>
            <w:tcW w:w="0" w:type="auto"/>
            <w:vAlign w:val="center"/>
            <w:hideMark/>
          </w:tcPr>
          <w:p w14:paraId="2A8118D3" w14:textId="77777777" w:rsidR="000872BF" w:rsidRPr="00DA6A8E" w:rsidRDefault="000872BF" w:rsidP="00AD3133">
            <w:pPr>
              <w:pStyle w:val="Body"/>
              <w:spacing w:after="0"/>
              <w:rPr>
                <w:rFonts w:ascii="Arial" w:hAnsi="Arial" w:cs="Arial"/>
                <w:lang w:val="en-PH"/>
              </w:rPr>
            </w:pPr>
            <w:r w:rsidRPr="00DA6A8E">
              <w:rPr>
                <w:rFonts w:ascii="Arial" w:hAnsi="Arial" w:cs="Arial"/>
                <w:b/>
                <w:bCs/>
                <w:lang w:val="en-PH"/>
              </w:rPr>
              <w:t>UNCTAD</w:t>
            </w:r>
          </w:p>
        </w:tc>
        <w:tc>
          <w:tcPr>
            <w:tcW w:w="0" w:type="auto"/>
            <w:vAlign w:val="center"/>
            <w:hideMark/>
          </w:tcPr>
          <w:p w14:paraId="35A22840" w14:textId="77777777" w:rsidR="000872BF" w:rsidRPr="00DA6A8E" w:rsidRDefault="000872BF" w:rsidP="00AD3133">
            <w:pPr>
              <w:pStyle w:val="Body"/>
              <w:spacing w:after="0"/>
              <w:rPr>
                <w:rFonts w:ascii="Arial" w:hAnsi="Arial" w:cs="Arial"/>
                <w:lang w:val="en-PH"/>
              </w:rPr>
            </w:pPr>
            <w:r w:rsidRPr="00DA6A8E">
              <w:rPr>
                <w:rFonts w:ascii="Arial" w:hAnsi="Arial" w:cs="Arial"/>
                <w:lang w:val="en-PH"/>
              </w:rPr>
              <w:t>United Nations Conference on Trade and Development</w:t>
            </w:r>
          </w:p>
        </w:tc>
      </w:tr>
      <w:tr w:rsidR="000872BF" w:rsidRPr="00DA6A8E" w14:paraId="70E40D1F" w14:textId="77777777" w:rsidTr="00AD3133">
        <w:trPr>
          <w:tblCellSpacing w:w="15" w:type="dxa"/>
        </w:trPr>
        <w:tc>
          <w:tcPr>
            <w:tcW w:w="0" w:type="auto"/>
            <w:vAlign w:val="center"/>
            <w:hideMark/>
          </w:tcPr>
          <w:p w14:paraId="71BA25D4" w14:textId="77777777" w:rsidR="000872BF" w:rsidRPr="00DA6A8E" w:rsidRDefault="000872BF" w:rsidP="00AD3133">
            <w:pPr>
              <w:pStyle w:val="Body"/>
              <w:spacing w:after="0"/>
              <w:rPr>
                <w:rFonts w:ascii="Arial" w:hAnsi="Arial" w:cs="Arial"/>
                <w:lang w:val="en-PH"/>
              </w:rPr>
            </w:pPr>
            <w:r w:rsidRPr="00DA6A8E">
              <w:rPr>
                <w:rFonts w:ascii="Arial" w:hAnsi="Arial" w:cs="Arial"/>
                <w:b/>
                <w:bCs/>
                <w:lang w:val="en-PH"/>
              </w:rPr>
              <w:t>WB</w:t>
            </w:r>
          </w:p>
        </w:tc>
        <w:tc>
          <w:tcPr>
            <w:tcW w:w="0" w:type="auto"/>
            <w:vAlign w:val="center"/>
            <w:hideMark/>
          </w:tcPr>
          <w:p w14:paraId="0D4A27C3" w14:textId="77777777" w:rsidR="000872BF" w:rsidRPr="00DA6A8E" w:rsidRDefault="000872BF" w:rsidP="00AD3133">
            <w:pPr>
              <w:pStyle w:val="Body"/>
              <w:spacing w:after="0"/>
              <w:rPr>
                <w:rFonts w:ascii="Arial" w:hAnsi="Arial" w:cs="Arial"/>
                <w:lang w:val="en-PH"/>
              </w:rPr>
            </w:pPr>
            <w:r w:rsidRPr="00DA6A8E">
              <w:rPr>
                <w:rFonts w:ascii="Arial" w:hAnsi="Arial" w:cs="Arial"/>
                <w:lang w:val="en-PH"/>
              </w:rPr>
              <w:t>World Bank</w:t>
            </w:r>
          </w:p>
        </w:tc>
      </w:tr>
    </w:tbl>
    <w:p w14:paraId="104AC9CB" w14:textId="77777777" w:rsidR="00AE1813" w:rsidRDefault="00AE1813" w:rsidP="00F159AC">
      <w:pPr>
        <w:rPr>
          <w:b/>
          <w:bCs/>
        </w:rPr>
      </w:pPr>
    </w:p>
    <w:p w14:paraId="7D781ACF" w14:textId="36C32E5B" w:rsidR="00F159AC" w:rsidRPr="00AE1813" w:rsidRDefault="00F159AC" w:rsidP="00F159AC">
      <w:pPr>
        <w:rPr>
          <w:b/>
          <w:bCs/>
        </w:rPr>
      </w:pPr>
      <w:r w:rsidRPr="00AE1813">
        <w:rPr>
          <w:b/>
          <w:bCs/>
        </w:rPr>
        <w:t>Disclaimer (Artificial intelligence)</w:t>
      </w:r>
    </w:p>
    <w:p w14:paraId="673EB68D" w14:textId="77777777" w:rsidR="00AE1813" w:rsidRDefault="00AE1813" w:rsidP="00AE1813"/>
    <w:p w14:paraId="77D861AF" w14:textId="209AA1D2" w:rsidR="000872BF" w:rsidRPr="00AE1813" w:rsidRDefault="00F159AC" w:rsidP="00AE1813">
      <w:r w:rsidRPr="00AE1813">
        <w:t>Author(s) hereby declare that NO generative AI technologies such as Large Language Models (</w:t>
      </w:r>
      <w:proofErr w:type="spellStart"/>
      <w:r w:rsidRPr="00AE1813">
        <w:t>ChatGPT</w:t>
      </w:r>
      <w:proofErr w:type="spellEnd"/>
      <w:r w:rsidRPr="00AE1813">
        <w:t xml:space="preserve">, COPILOT, etc.) and text-to-image generators have been used during the writing or editing of this manuscript. </w:t>
      </w:r>
    </w:p>
    <w:p w14:paraId="4CCE83C8" w14:textId="77777777" w:rsidR="000872BF" w:rsidRPr="00AC739A" w:rsidRDefault="000872BF" w:rsidP="00441B6F">
      <w:pPr>
        <w:pStyle w:val="ReferHead"/>
        <w:spacing w:after="0"/>
        <w:jc w:val="both"/>
        <w:rPr>
          <w:rFonts w:ascii="Arial" w:hAnsi="Arial" w:cs="Arial"/>
          <w:b w:val="0"/>
          <w:caps w:val="0"/>
          <w:sz w:val="20"/>
        </w:rPr>
      </w:pPr>
    </w:p>
    <w:p w14:paraId="4CBA3E68" w14:textId="77777777" w:rsidR="00860000" w:rsidRDefault="00860000" w:rsidP="00441B6F">
      <w:pPr>
        <w:pStyle w:val="ReferHead"/>
        <w:spacing w:after="0"/>
        <w:jc w:val="both"/>
        <w:rPr>
          <w:rFonts w:ascii="Arial" w:hAnsi="Arial" w:cs="Arial"/>
        </w:rPr>
      </w:pPr>
    </w:p>
    <w:p w14:paraId="1FF906DB" w14:textId="77777777" w:rsidR="00B01FCD" w:rsidRDefault="00B01FCD" w:rsidP="00441B6F">
      <w:pPr>
        <w:pStyle w:val="ReferHead"/>
        <w:spacing w:after="0"/>
        <w:jc w:val="both"/>
        <w:rPr>
          <w:rFonts w:ascii="Arial" w:hAnsi="Arial" w:cs="Arial"/>
        </w:rPr>
      </w:pPr>
      <w:r w:rsidRPr="00FB3A86">
        <w:rPr>
          <w:rFonts w:ascii="Arial" w:hAnsi="Arial" w:cs="Arial"/>
        </w:rPr>
        <w:t>References</w:t>
      </w:r>
    </w:p>
    <w:p w14:paraId="5716038E" w14:textId="42DEFF7A" w:rsidR="003F4494" w:rsidRPr="003F4494" w:rsidRDefault="003F4494" w:rsidP="0089334D">
      <w:pPr>
        <w:pStyle w:val="Body"/>
        <w:numPr>
          <w:ilvl w:val="0"/>
          <w:numId w:val="32"/>
        </w:numPr>
        <w:rPr>
          <w:lang w:val="en-PH"/>
        </w:rPr>
      </w:pPr>
      <w:proofErr w:type="spellStart"/>
      <w:r w:rsidRPr="003F4494">
        <w:rPr>
          <w:lang w:val="en-PH"/>
        </w:rPr>
        <w:t>Asiedu</w:t>
      </w:r>
      <w:proofErr w:type="spellEnd"/>
      <w:r w:rsidRPr="003F4494">
        <w:rPr>
          <w:lang w:val="en-PH"/>
        </w:rPr>
        <w:t xml:space="preserve">, E. (2002). On the determinants of foreign direct investment to developing countries: Is Africa different? World Development, 30(1), 107–119. </w:t>
      </w:r>
      <w:hyperlink r:id="rId14" w:history="1">
        <w:r w:rsidRPr="00C51124">
          <w:rPr>
            <w:rStyle w:val="Hyperlink"/>
            <w:lang w:val="en-PH"/>
          </w:rPr>
          <w:t>https://doi.org/10.1016/S0305-750X(01)00100-0</w:t>
        </w:r>
      </w:hyperlink>
      <w:r>
        <w:rPr>
          <w:lang w:val="en-PH"/>
        </w:rPr>
        <w:t xml:space="preserve"> </w:t>
      </w:r>
    </w:p>
    <w:p w14:paraId="67C57E4A" w14:textId="75A61386" w:rsidR="003F4494" w:rsidRPr="003F4494" w:rsidRDefault="003F4494" w:rsidP="0089334D">
      <w:pPr>
        <w:pStyle w:val="Body"/>
        <w:numPr>
          <w:ilvl w:val="0"/>
          <w:numId w:val="32"/>
        </w:numPr>
        <w:rPr>
          <w:lang w:val="en-PH"/>
        </w:rPr>
      </w:pPr>
      <w:proofErr w:type="spellStart"/>
      <w:r w:rsidRPr="003F4494">
        <w:rPr>
          <w:lang w:val="en-PH"/>
        </w:rPr>
        <w:t>Abdouli</w:t>
      </w:r>
      <w:proofErr w:type="spellEnd"/>
      <w:r w:rsidRPr="003F4494">
        <w:rPr>
          <w:lang w:val="en-PH"/>
        </w:rPr>
        <w:t xml:space="preserve">, M., &amp; </w:t>
      </w:r>
      <w:proofErr w:type="spellStart"/>
      <w:r w:rsidRPr="003F4494">
        <w:rPr>
          <w:lang w:val="en-PH"/>
        </w:rPr>
        <w:t>Omri</w:t>
      </w:r>
      <w:proofErr w:type="spellEnd"/>
      <w:r w:rsidRPr="003F4494">
        <w:rPr>
          <w:lang w:val="en-PH"/>
        </w:rPr>
        <w:t xml:space="preserve">, A. (2021). Exploring the nexus among FDI inflows, environmental quality, human capital, and economic growth in the Mediterranean region. Journal of the Knowledge Economy, 12(2), 788–810. </w:t>
      </w:r>
      <w:hyperlink r:id="rId15" w:history="1">
        <w:r w:rsidRPr="00C51124">
          <w:rPr>
            <w:rStyle w:val="Hyperlink"/>
            <w:lang w:val="en-PH"/>
          </w:rPr>
          <w:t>https://doi.org/10.1007/s13132-020-00641-5</w:t>
        </w:r>
      </w:hyperlink>
      <w:r>
        <w:rPr>
          <w:lang w:val="en-PH"/>
        </w:rPr>
        <w:t xml:space="preserve"> </w:t>
      </w:r>
    </w:p>
    <w:p w14:paraId="4DFD7870" w14:textId="265B0FD7" w:rsidR="003F4494" w:rsidRPr="003F4494" w:rsidRDefault="003F4494" w:rsidP="0089334D">
      <w:pPr>
        <w:pStyle w:val="Body"/>
        <w:numPr>
          <w:ilvl w:val="0"/>
          <w:numId w:val="32"/>
        </w:numPr>
        <w:rPr>
          <w:lang w:val="en-PH"/>
        </w:rPr>
      </w:pPr>
      <w:r w:rsidRPr="003F4494">
        <w:rPr>
          <w:lang w:val="en-PH"/>
        </w:rPr>
        <w:t>Dunning, J. H. (1993). Multinational enterprises and the global economy. Addison-Wesley.</w:t>
      </w:r>
      <w:r w:rsidR="0089334D" w:rsidRPr="0089334D">
        <w:t xml:space="preserve"> </w:t>
      </w:r>
      <w:hyperlink r:id="rId16" w:history="1">
        <w:r w:rsidR="0089334D" w:rsidRPr="006A1E15">
          <w:rPr>
            <w:rStyle w:val="Hyperlink"/>
            <w:lang w:val="en-PH"/>
          </w:rPr>
          <w:t>https://dipiufabc.wordpress.com/wp-content/uploads/2015/06/dunning_multinational-enterprises-and-global-economy.pdf</w:t>
        </w:r>
      </w:hyperlink>
      <w:r w:rsidR="0089334D">
        <w:rPr>
          <w:lang w:val="en-PH"/>
        </w:rPr>
        <w:t xml:space="preserve"> </w:t>
      </w:r>
    </w:p>
    <w:p w14:paraId="616CF705" w14:textId="599210A5" w:rsidR="003F4494" w:rsidRPr="003F4494" w:rsidRDefault="003F4494" w:rsidP="0089334D">
      <w:pPr>
        <w:pStyle w:val="Body"/>
        <w:numPr>
          <w:ilvl w:val="0"/>
          <w:numId w:val="32"/>
        </w:numPr>
        <w:rPr>
          <w:lang w:val="en-PH"/>
        </w:rPr>
      </w:pPr>
      <w:r w:rsidRPr="003F4494">
        <w:rPr>
          <w:lang w:val="en-PH"/>
        </w:rPr>
        <w:t xml:space="preserve">Lucas, R. E. (1988). On the mechanics of economic development. Journal of Monetary Economics, 22(1), 3–42. </w:t>
      </w:r>
      <w:hyperlink r:id="rId17" w:history="1">
        <w:r w:rsidRPr="00C51124">
          <w:rPr>
            <w:rStyle w:val="Hyperlink"/>
            <w:lang w:val="en-PH"/>
          </w:rPr>
          <w:t>https://doi.org/10.1016/0304-3932(88)90168-7</w:t>
        </w:r>
      </w:hyperlink>
      <w:r>
        <w:rPr>
          <w:lang w:val="en-PH"/>
        </w:rPr>
        <w:t xml:space="preserve"> </w:t>
      </w:r>
    </w:p>
    <w:p w14:paraId="2EC3B68C" w14:textId="2B3D0DB3" w:rsidR="003F4494" w:rsidRPr="003F4494" w:rsidRDefault="003F4494" w:rsidP="0089334D">
      <w:pPr>
        <w:pStyle w:val="Body"/>
        <w:numPr>
          <w:ilvl w:val="0"/>
          <w:numId w:val="32"/>
        </w:numPr>
        <w:rPr>
          <w:lang w:val="en-PH"/>
        </w:rPr>
      </w:pPr>
      <w:proofErr w:type="spellStart"/>
      <w:r w:rsidRPr="003F4494">
        <w:rPr>
          <w:lang w:val="en-PH"/>
        </w:rPr>
        <w:t>Ndikumana</w:t>
      </w:r>
      <w:proofErr w:type="spellEnd"/>
      <w:r w:rsidRPr="003F4494">
        <w:rPr>
          <w:lang w:val="en-PH"/>
        </w:rPr>
        <w:t xml:space="preserve">, L. (2000). Financial determinants of domestic investment in Sub-Saharan Africa: Evidence from panel data. World Development, 28(2), 381–400. </w:t>
      </w:r>
      <w:hyperlink r:id="rId18" w:history="1">
        <w:r w:rsidRPr="00C51124">
          <w:rPr>
            <w:rStyle w:val="Hyperlink"/>
            <w:lang w:val="en-PH"/>
          </w:rPr>
          <w:t>https://doi.org/10.1016/S0305-750X(99)00129-1</w:t>
        </w:r>
      </w:hyperlink>
      <w:r>
        <w:rPr>
          <w:lang w:val="en-PH"/>
        </w:rPr>
        <w:t xml:space="preserve"> </w:t>
      </w:r>
    </w:p>
    <w:p w14:paraId="7A5095F0" w14:textId="467679EA" w:rsidR="003F4494" w:rsidRPr="003F4494" w:rsidRDefault="003F4494" w:rsidP="0089334D">
      <w:pPr>
        <w:pStyle w:val="Body"/>
        <w:numPr>
          <w:ilvl w:val="0"/>
          <w:numId w:val="32"/>
        </w:numPr>
        <w:rPr>
          <w:lang w:val="en-PH"/>
        </w:rPr>
      </w:pPr>
      <w:proofErr w:type="spellStart"/>
      <w:r w:rsidRPr="003F4494">
        <w:rPr>
          <w:lang w:val="en-PH"/>
        </w:rPr>
        <w:lastRenderedPageBreak/>
        <w:t>Noorbakhsh</w:t>
      </w:r>
      <w:proofErr w:type="spellEnd"/>
      <w:r w:rsidRPr="003F4494">
        <w:rPr>
          <w:lang w:val="en-PH"/>
        </w:rPr>
        <w:t xml:space="preserve">, F., </w:t>
      </w:r>
      <w:proofErr w:type="spellStart"/>
      <w:r w:rsidRPr="003F4494">
        <w:rPr>
          <w:lang w:val="en-PH"/>
        </w:rPr>
        <w:t>Paloni</w:t>
      </w:r>
      <w:proofErr w:type="spellEnd"/>
      <w:r w:rsidRPr="003F4494">
        <w:rPr>
          <w:lang w:val="en-PH"/>
        </w:rPr>
        <w:t xml:space="preserve">, A., &amp; Youssef, A. (2001). Human capital and FDI inflows to developing countries: New empirical evidence. World Development, 29(9), 1593–1610. </w:t>
      </w:r>
      <w:hyperlink r:id="rId19" w:history="1">
        <w:r w:rsidRPr="00C51124">
          <w:rPr>
            <w:rStyle w:val="Hyperlink"/>
            <w:lang w:val="en-PH"/>
          </w:rPr>
          <w:t>https://doi.org/10.1016/S0305-750X(01)00054-7</w:t>
        </w:r>
      </w:hyperlink>
      <w:r>
        <w:rPr>
          <w:lang w:val="en-PH"/>
        </w:rPr>
        <w:t xml:space="preserve"> </w:t>
      </w:r>
    </w:p>
    <w:p w14:paraId="72DB45D0" w14:textId="051F8040" w:rsidR="003F4494" w:rsidRPr="003F4494" w:rsidRDefault="0089334D" w:rsidP="0089334D">
      <w:pPr>
        <w:pStyle w:val="Body"/>
        <w:numPr>
          <w:ilvl w:val="0"/>
          <w:numId w:val="32"/>
        </w:numPr>
        <w:rPr>
          <w:lang w:val="en-PH"/>
        </w:rPr>
      </w:pPr>
      <w:r w:rsidRPr="0089334D">
        <w:rPr>
          <w:lang w:val="en-PH"/>
        </w:rPr>
        <w:t>Le, A. L. T. (2005). Human resource development and poverty in the Philippines (No. 2005-17). PIDS Discussion Paper Series.</w:t>
      </w:r>
      <w:r w:rsidRPr="0089334D">
        <w:t xml:space="preserve"> </w:t>
      </w:r>
      <w:hyperlink r:id="rId20" w:history="1">
        <w:r w:rsidRPr="006A1E15">
          <w:rPr>
            <w:rStyle w:val="Hyperlink"/>
            <w:lang w:val="en-PH"/>
          </w:rPr>
          <w:t>https://hdl.handle.net/10419/127898</w:t>
        </w:r>
      </w:hyperlink>
      <w:r>
        <w:rPr>
          <w:lang w:val="en-PH"/>
        </w:rPr>
        <w:t xml:space="preserve"> </w:t>
      </w:r>
    </w:p>
    <w:p w14:paraId="136FEB64" w14:textId="3D8997B5" w:rsidR="003F4494" w:rsidRPr="003F4494" w:rsidRDefault="003F4494" w:rsidP="0089334D">
      <w:pPr>
        <w:pStyle w:val="Body"/>
        <w:numPr>
          <w:ilvl w:val="0"/>
          <w:numId w:val="32"/>
        </w:numPr>
        <w:rPr>
          <w:lang w:val="en-PH"/>
        </w:rPr>
      </w:pPr>
      <w:r w:rsidRPr="003F4494">
        <w:rPr>
          <w:lang w:val="en-PH"/>
        </w:rPr>
        <w:t xml:space="preserve">Romer, P. M. (1990). Endogenous technological change. Journal of Political Economy, 98(5, Part 2), S71–S102. </w:t>
      </w:r>
      <w:hyperlink r:id="rId21" w:history="1">
        <w:r w:rsidRPr="00C51124">
          <w:rPr>
            <w:rStyle w:val="Hyperlink"/>
            <w:lang w:val="en-PH"/>
          </w:rPr>
          <w:t>https://doi.org/10.1086/261725</w:t>
        </w:r>
      </w:hyperlink>
      <w:r>
        <w:rPr>
          <w:lang w:val="en-PH"/>
        </w:rPr>
        <w:t xml:space="preserve"> </w:t>
      </w:r>
    </w:p>
    <w:p w14:paraId="4B0E09ED" w14:textId="44F45BDB" w:rsidR="003F4494" w:rsidRPr="003F4494" w:rsidRDefault="003F4494" w:rsidP="0089334D">
      <w:pPr>
        <w:pStyle w:val="Body"/>
        <w:numPr>
          <w:ilvl w:val="0"/>
          <w:numId w:val="32"/>
        </w:numPr>
        <w:rPr>
          <w:lang w:val="en-PH"/>
        </w:rPr>
      </w:pPr>
      <w:proofErr w:type="spellStart"/>
      <w:r w:rsidRPr="003F4494">
        <w:rPr>
          <w:lang w:val="en-PH"/>
        </w:rPr>
        <w:t>Servén</w:t>
      </w:r>
      <w:proofErr w:type="spellEnd"/>
      <w:r w:rsidRPr="003F4494">
        <w:rPr>
          <w:lang w:val="en-PH"/>
        </w:rPr>
        <w:t xml:space="preserve">, L. (2010). Infrastructure and economic development in Sub-Saharan Africa. Journal of African Economies, 19(1), i13–i87. </w:t>
      </w:r>
      <w:hyperlink r:id="rId22" w:history="1">
        <w:r w:rsidRPr="00C51124">
          <w:rPr>
            <w:rStyle w:val="Hyperlink"/>
            <w:lang w:val="en-PH"/>
          </w:rPr>
          <w:t>https://doi.org/10.1093/jae/ejp022</w:t>
        </w:r>
      </w:hyperlink>
      <w:r>
        <w:rPr>
          <w:lang w:val="en-PH"/>
        </w:rPr>
        <w:t xml:space="preserve"> </w:t>
      </w:r>
    </w:p>
    <w:p w14:paraId="2CA7B270" w14:textId="74DD34B2" w:rsidR="003F4494" w:rsidRPr="003F4494" w:rsidRDefault="003F4494" w:rsidP="0089334D">
      <w:pPr>
        <w:pStyle w:val="Body"/>
        <w:numPr>
          <w:ilvl w:val="0"/>
          <w:numId w:val="32"/>
        </w:numPr>
        <w:rPr>
          <w:lang w:val="en-PH"/>
        </w:rPr>
      </w:pPr>
      <w:r w:rsidRPr="003F4494">
        <w:rPr>
          <w:lang w:val="en-PH"/>
        </w:rPr>
        <w:t xml:space="preserve">Solow, R. M. (1956). A contribution to the theory of economic growth. Quarterly Journal of Economics, 70(1), 65–94. </w:t>
      </w:r>
      <w:hyperlink r:id="rId23" w:history="1">
        <w:r w:rsidRPr="00C51124">
          <w:rPr>
            <w:rStyle w:val="Hyperlink"/>
            <w:lang w:val="en-PH"/>
          </w:rPr>
          <w:t>https://doi.org/10.2307/1884513</w:t>
        </w:r>
      </w:hyperlink>
      <w:r>
        <w:rPr>
          <w:lang w:val="en-PH"/>
        </w:rPr>
        <w:t xml:space="preserve"> </w:t>
      </w:r>
    </w:p>
    <w:p w14:paraId="034593EA" w14:textId="4C802FEB" w:rsidR="003F4494" w:rsidRPr="003F4494" w:rsidRDefault="003F4494" w:rsidP="0089334D">
      <w:pPr>
        <w:pStyle w:val="Body"/>
        <w:numPr>
          <w:ilvl w:val="0"/>
          <w:numId w:val="32"/>
        </w:numPr>
        <w:rPr>
          <w:lang w:val="en-PH"/>
        </w:rPr>
      </w:pPr>
      <w:proofErr w:type="spellStart"/>
      <w:r w:rsidRPr="003F4494">
        <w:rPr>
          <w:lang w:val="en-PH"/>
        </w:rPr>
        <w:t>Thangavelu</w:t>
      </w:r>
      <w:proofErr w:type="spellEnd"/>
      <w:r w:rsidRPr="003F4494">
        <w:rPr>
          <w:lang w:val="en-PH"/>
        </w:rPr>
        <w:t xml:space="preserve">, S. M., &amp; </w:t>
      </w:r>
      <w:proofErr w:type="spellStart"/>
      <w:r w:rsidRPr="003F4494">
        <w:rPr>
          <w:lang w:val="en-PH"/>
        </w:rPr>
        <w:t>Narjoko</w:t>
      </w:r>
      <w:proofErr w:type="spellEnd"/>
      <w:r w:rsidRPr="003F4494">
        <w:rPr>
          <w:lang w:val="en-PH"/>
        </w:rPr>
        <w:t xml:space="preserve">, D. (2014). Human capital, FTAs and foreign direct investment flows into ASEAN. Journal of Asian Economics, 35, 65–76. </w:t>
      </w:r>
      <w:hyperlink r:id="rId24" w:history="1">
        <w:r w:rsidR="0089334D" w:rsidRPr="006A1E15">
          <w:rPr>
            <w:rStyle w:val="Hyperlink"/>
          </w:rPr>
          <w:t>https://doi.org/10.1016/j.asieco.2014.11.002</w:t>
        </w:r>
      </w:hyperlink>
      <w:r w:rsidR="0089334D">
        <w:t xml:space="preserve"> </w:t>
      </w:r>
    </w:p>
    <w:p w14:paraId="46CD3A91" w14:textId="52A21851" w:rsidR="00B01FCD" w:rsidRPr="00FB3A86" w:rsidRDefault="003F4494" w:rsidP="0089334D">
      <w:pPr>
        <w:pStyle w:val="Body"/>
        <w:numPr>
          <w:ilvl w:val="0"/>
          <w:numId w:val="32"/>
        </w:numPr>
        <w:spacing w:after="0"/>
        <w:rPr>
          <w:rFonts w:ascii="Arial" w:hAnsi="Arial" w:cs="Arial"/>
        </w:rPr>
      </w:pPr>
      <w:r w:rsidRPr="003F4494">
        <w:rPr>
          <w:lang w:val="en-PH"/>
        </w:rPr>
        <w:t xml:space="preserve">World Bank. (2022). World development indicators. </w:t>
      </w:r>
      <w:hyperlink r:id="rId25" w:history="1">
        <w:r w:rsidRPr="00C51124">
          <w:rPr>
            <w:rStyle w:val="Hyperlink"/>
            <w:lang w:val="en-PH"/>
          </w:rPr>
          <w:t>https://data.worldbank.org</w:t>
        </w:r>
      </w:hyperlink>
      <w:r>
        <w:rPr>
          <w:lang w:val="en-PH"/>
        </w:rPr>
        <w:t xml:space="preserve"> </w:t>
      </w:r>
    </w:p>
    <w:sectPr w:rsidR="00B01FCD" w:rsidRPr="00FB3A86" w:rsidSect="00EE273D">
      <w:headerReference w:type="even" r:id="rId26"/>
      <w:headerReference w:type="default" r:id="rId27"/>
      <w:footerReference w:type="default" r:id="rId28"/>
      <w:headerReference w:type="first" r:id="rId29"/>
      <w:type w:val="continuous"/>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0B1A3B8" w14:textId="77777777" w:rsidR="00982A1B" w:rsidRDefault="00982A1B" w:rsidP="00C37E61">
      <w:r>
        <w:separator/>
      </w:r>
    </w:p>
  </w:endnote>
  <w:endnote w:type="continuationSeparator" w:id="0">
    <w:p w14:paraId="151334BE" w14:textId="77777777" w:rsidR="00982A1B" w:rsidRDefault="00982A1B"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Helvetica">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1289606" w14:textId="77777777" w:rsidR="00EE273D" w:rsidRDefault="00EE273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60236A4" w14:textId="77777777" w:rsidR="00EE273D" w:rsidRDefault="00EE273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6FB739C" w14:textId="666815D3" w:rsidR="00754C9A" w:rsidRPr="00EE273D" w:rsidRDefault="00754C9A" w:rsidP="00EE273D">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BFECF0F" w14:textId="77777777" w:rsidR="00C37E61" w:rsidRPr="00C37E61" w:rsidRDefault="00C37E61" w:rsidP="00C37E6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7BE2FAE" w14:textId="77777777" w:rsidR="00982A1B" w:rsidRDefault="00982A1B" w:rsidP="00C37E61">
      <w:r>
        <w:separator/>
      </w:r>
    </w:p>
  </w:footnote>
  <w:footnote w:type="continuationSeparator" w:id="0">
    <w:p w14:paraId="42298DA3" w14:textId="77777777" w:rsidR="00982A1B" w:rsidRDefault="00982A1B" w:rsidP="00C37E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C8A4200" w14:textId="10F8F254" w:rsidR="00EE273D" w:rsidRDefault="00EE273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2105CDD" w14:textId="39752BFA" w:rsidR="00EE273D" w:rsidRDefault="00EE273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BD46FB2" w14:textId="2B665C8A" w:rsidR="00296529" w:rsidRPr="00296529" w:rsidRDefault="00296529" w:rsidP="00296529">
    <w:pPr>
      <w:ind w:left="2160"/>
      <w:jc w:val="center"/>
      <w:rPr>
        <w:rFonts w:ascii="Times New Roman" w:eastAsia="Calibri" w:hAnsi="Times New Roman"/>
        <w:i/>
        <w:sz w:val="18"/>
        <w:szCs w:val="22"/>
      </w:rPr>
    </w:pPr>
  </w:p>
  <w:p w14:paraId="1FCDFB73" w14:textId="77777777" w:rsidR="00296529" w:rsidRPr="00296529" w:rsidRDefault="00754C9A" w:rsidP="00296529">
    <w:pPr>
      <w:ind w:left="4320"/>
      <w:rPr>
        <w:rFonts w:ascii="Times New Roman" w:eastAsia="Calibri" w:hAnsi="Times New Roman"/>
        <w:i/>
        <w:sz w:val="18"/>
        <w:szCs w:val="22"/>
      </w:rPr>
    </w:pPr>
    <w:r>
      <w:rPr>
        <w:rFonts w:ascii="Times New Roman" w:eastAsia="Calibri" w:hAnsi="Times New Roman"/>
        <w:i/>
        <w:sz w:val="18"/>
        <w:szCs w:val="22"/>
      </w:rPr>
      <w:t>.</w:t>
    </w:r>
    <w:r w:rsidR="00296529" w:rsidRPr="00296529">
      <w:rPr>
        <w:rFonts w:ascii="Times New Roman" w:eastAsia="Calibri" w:hAnsi="Times New Roman"/>
        <w:i/>
        <w:sz w:val="18"/>
        <w:szCs w:val="22"/>
      </w:rPr>
      <w:t xml:space="preserve">     </w:t>
    </w:r>
  </w:p>
  <w:p w14:paraId="3C3420F3" w14:textId="77777777" w:rsidR="00296529" w:rsidRPr="00296529" w:rsidRDefault="00754C9A" w:rsidP="00296529">
    <w:pPr>
      <w:jc w:val="center"/>
      <w:rPr>
        <w:rFonts w:ascii="Times New Roman" w:eastAsia="Calibri" w:hAnsi="Times New Roman"/>
        <w:i/>
        <w:sz w:val="18"/>
        <w:szCs w:val="22"/>
      </w:rPr>
    </w:pPr>
    <w:r>
      <w:rPr>
        <w:rFonts w:ascii="Times New Roman" w:eastAsia="Calibri" w:hAnsi="Times New Roman"/>
        <w:i/>
        <w:sz w:val="18"/>
        <w:szCs w:val="22"/>
      </w:rPr>
      <w:t>.</w:t>
    </w:r>
  </w:p>
  <w:p w14:paraId="36E0F0A1" w14:textId="77777777" w:rsidR="00296529" w:rsidRPr="00296529" w:rsidRDefault="00296529" w:rsidP="00296529">
    <w:pPr>
      <w:spacing w:after="200"/>
      <w:jc w:val="center"/>
      <w:rPr>
        <w:rFonts w:ascii="Times New Roman" w:eastAsia="Calibri" w:hAnsi="Times New Roman"/>
        <w:b/>
        <w:i/>
        <w:sz w:val="32"/>
        <w:szCs w:val="22"/>
      </w:rPr>
    </w:pPr>
    <w:r w:rsidRPr="00296529">
      <w:rPr>
        <w:rFonts w:ascii="Times New Roman" w:eastAsia="Calibri" w:hAnsi="Times New Roman"/>
        <w:b/>
        <w:i/>
        <w:sz w:val="32"/>
        <w:szCs w:val="22"/>
      </w:rPr>
      <w:t xml:space="preserve">              </w:t>
    </w:r>
    <w:r w:rsidR="00754C9A">
      <w:rPr>
        <w:rFonts w:ascii="Times New Roman" w:eastAsia="Calibri" w:hAnsi="Times New Roman"/>
        <w:b/>
        <w:i/>
        <w:sz w:val="32"/>
        <w:szCs w:val="22"/>
      </w:rPr>
      <w:t>.</w:t>
    </w:r>
    <w:r w:rsidRPr="00296529">
      <w:rPr>
        <w:rFonts w:ascii="Times New Roman" w:eastAsia="Calibri" w:hAnsi="Times New Roman"/>
        <w:b/>
        <w:i/>
        <w:sz w:val="32"/>
        <w:szCs w:val="22"/>
      </w:rPr>
      <w:t xml:space="preserve"> </w:t>
    </w:r>
  </w:p>
  <w:p w14:paraId="6E7C2EF8" w14:textId="77777777" w:rsidR="00296529" w:rsidRDefault="00296529" w:rsidP="00296529">
    <w:pPr>
      <w:jc w:val="center"/>
      <w:rPr>
        <w:rFonts w:ascii="Times New Roman" w:eastAsia="Calibri" w:hAnsi="Times New Roman"/>
        <w:i/>
        <w:sz w:val="18"/>
        <w:szCs w:val="22"/>
      </w:rPr>
    </w:pPr>
    <w:r w:rsidRPr="00296529">
      <w:rPr>
        <w:rFonts w:ascii="Times New Roman" w:eastAsia="Calibri" w:hAnsi="Times New Roman"/>
        <w:i/>
        <w:sz w:val="18"/>
        <w:szCs w:val="22"/>
      </w:rPr>
      <w:t xml:space="preserve">                     </w:t>
    </w:r>
  </w:p>
  <w:p w14:paraId="2D22E22C" w14:textId="77777777" w:rsidR="00296529" w:rsidRDefault="00296529" w:rsidP="00296529">
    <w:pPr>
      <w:tabs>
        <w:tab w:val="left" w:pos="2145"/>
      </w:tabs>
      <w:rPr>
        <w:rFonts w:ascii="Times New Roman" w:eastAsia="Calibri" w:hAnsi="Times New Roman"/>
        <w:i/>
        <w:sz w:val="18"/>
        <w:szCs w:val="22"/>
      </w:rPr>
    </w:pPr>
    <w:r>
      <w:rPr>
        <w:rFonts w:ascii="Times New Roman" w:eastAsia="Calibri" w:hAnsi="Times New Roman"/>
        <w:i/>
        <w:sz w:val="18"/>
        <w:szCs w:val="22"/>
      </w:rPr>
      <w:tab/>
    </w:r>
    <w:r w:rsidR="00754C9A">
      <w:rPr>
        <w:rFonts w:ascii="Times New Roman" w:eastAsia="Calibri" w:hAnsi="Times New Roman"/>
        <w:i/>
        <w:sz w:val="18"/>
        <w:szCs w:val="22"/>
      </w:rPr>
      <w:t>.</w:t>
    </w:r>
  </w:p>
  <w:p w14:paraId="2E4B720D" w14:textId="77777777" w:rsidR="00296529" w:rsidRDefault="00754C9A">
    <w:pPr>
      <w:pStyle w:val="Header"/>
    </w:pPr>
    <w:r>
      <w:t>..</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01FA7B7" w14:textId="2350A301" w:rsidR="00EE273D" w:rsidRDefault="00EE273D">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9D70F06" w14:textId="678A29DD" w:rsidR="00EE273D" w:rsidRDefault="00EE273D">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BA0E683" w14:textId="5F24D6C8" w:rsidR="00EE273D" w:rsidRDefault="00EE273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 w15:restartNumberingAfterBreak="0">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 w15:restartNumberingAfterBreak="0">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 w15:restartNumberingAfterBreak="0">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6" w15:restartNumberingAfterBreak="0">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7" w15:restartNumberingAfterBreak="0">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8" w15:restartNumberingAfterBreak="0">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9" w15:restartNumberingAfterBreak="0">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0" w15:restartNumberingAfterBreak="0">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2" w15:restartNumberingAfterBreak="0">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3" w15:restartNumberingAfterBreak="0">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4" w15:restartNumberingAfterBreak="0">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5" w15:restartNumberingAfterBreak="0">
    <w:nsid w:val="47137A9B"/>
    <w:multiLevelType w:val="hybridMultilevel"/>
    <w:tmpl w:val="A302136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B0C5ABA"/>
    <w:multiLevelType w:val="singleLevel"/>
    <w:tmpl w:val="A1B04AE0"/>
    <w:lvl w:ilvl="0">
      <w:start w:val="1"/>
      <w:numFmt w:val="decimal"/>
      <w:lvlText w:val="%1."/>
      <w:legacy w:legacy="1" w:legacySpace="0" w:legacyIndent="360"/>
      <w:lvlJc w:val="left"/>
      <w:pPr>
        <w:ind w:left="360" w:hanging="360"/>
      </w:pPr>
    </w:lvl>
  </w:abstractNum>
  <w:abstractNum w:abstractNumId="17" w15:restartNumberingAfterBreak="0">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7546EEB"/>
    <w:multiLevelType w:val="multilevel"/>
    <w:tmpl w:val="E4DA07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0" w15:restartNumberingAfterBreak="0">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1"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22" w15:restartNumberingAfterBreak="0">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73997DC5"/>
    <w:multiLevelType w:val="singleLevel"/>
    <w:tmpl w:val="A1B04AE0"/>
    <w:lvl w:ilvl="0">
      <w:start w:val="1"/>
      <w:numFmt w:val="decimal"/>
      <w:lvlText w:val="%1."/>
      <w:legacy w:legacy="1" w:legacySpace="0" w:legacyIndent="360"/>
      <w:lvlJc w:val="left"/>
      <w:pPr>
        <w:ind w:left="360" w:hanging="360"/>
      </w:pPr>
    </w:lvl>
  </w:abstractNum>
  <w:abstractNum w:abstractNumId="24" w15:restartNumberingAfterBreak="0">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5" w15:restartNumberingAfterBreak="0">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26" w15:restartNumberingAfterBreak="0">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8" w15:restartNumberingAfterBreak="0">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6"/>
  </w:num>
  <w:num w:numId="3">
    <w:abstractNumId w:val="25"/>
  </w:num>
  <w:num w:numId="4">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abstractNumId w:val="7"/>
  </w:num>
  <w:num w:numId="6">
    <w:abstractNumId w:val="6"/>
  </w:num>
  <w:num w:numId="7">
    <w:abstractNumId w:val="1"/>
  </w:num>
  <w:num w:numId="8">
    <w:abstractNumId w:val="12"/>
  </w:num>
  <w:num w:numId="9">
    <w:abstractNumId w:val="27"/>
  </w:num>
  <w:num w:numId="10">
    <w:abstractNumId w:val="2"/>
  </w:num>
  <w:num w:numId="11">
    <w:abstractNumId w:val="20"/>
  </w:num>
  <w:num w:numId="12">
    <w:abstractNumId w:val="3"/>
  </w:num>
  <w:num w:numId="13">
    <w:abstractNumId w:val="19"/>
  </w:num>
  <w:num w:numId="14">
    <w:abstractNumId w:val="8"/>
  </w:num>
  <w:num w:numId="15">
    <w:abstractNumId w:val="23"/>
  </w:num>
  <w:num w:numId="16">
    <w:abstractNumId w:val="5"/>
  </w:num>
  <w:num w:numId="17">
    <w:abstractNumId w:val="24"/>
  </w:num>
  <w:num w:numId="18">
    <w:abstractNumId w:val="14"/>
  </w:num>
  <w:num w:numId="19">
    <w:abstractNumId w:val="30"/>
  </w:num>
  <w:num w:numId="20">
    <w:abstractNumId w:val="11"/>
  </w:num>
  <w:num w:numId="21">
    <w:abstractNumId w:val="9"/>
  </w:num>
  <w:num w:numId="22">
    <w:abstractNumId w:val="13"/>
  </w:num>
  <w:num w:numId="23">
    <w:abstractNumId w:val="21"/>
  </w:num>
  <w:num w:numId="24">
    <w:abstractNumId w:val="28"/>
  </w:num>
  <w:num w:numId="25">
    <w:abstractNumId w:val="4"/>
  </w:num>
  <w:num w:numId="26">
    <w:abstractNumId w:val="17"/>
  </w:num>
  <w:num w:numId="27">
    <w:abstractNumId w:val="22"/>
  </w:num>
  <w:num w:numId="28">
    <w:abstractNumId w:val="29"/>
  </w:num>
  <w:num w:numId="29">
    <w:abstractNumId w:val="26"/>
  </w:num>
  <w:num w:numId="30">
    <w:abstractNumId w:val="10"/>
  </w:num>
  <w:num w:numId="31">
    <w:abstractNumId w:val="18"/>
  </w:num>
  <w:num w:numId="32">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displayHorizontalDrawingGridEvery w:val="0"/>
  <w:displayVerticalDrawingGridEvery w:val="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6219"/>
    <w:rsid w:val="00000F8F"/>
    <w:rsid w:val="00030174"/>
    <w:rsid w:val="00033871"/>
    <w:rsid w:val="0004579C"/>
    <w:rsid w:val="00067E8B"/>
    <w:rsid w:val="00086B6F"/>
    <w:rsid w:val="000872BF"/>
    <w:rsid w:val="000966AB"/>
    <w:rsid w:val="000A47FA"/>
    <w:rsid w:val="000A65D3"/>
    <w:rsid w:val="000B1E33"/>
    <w:rsid w:val="000B2B77"/>
    <w:rsid w:val="000D689F"/>
    <w:rsid w:val="000E7B7B"/>
    <w:rsid w:val="000E7D62"/>
    <w:rsid w:val="00103357"/>
    <w:rsid w:val="00123C9F"/>
    <w:rsid w:val="00126190"/>
    <w:rsid w:val="00130F17"/>
    <w:rsid w:val="001320BF"/>
    <w:rsid w:val="00155DB7"/>
    <w:rsid w:val="00163BC4"/>
    <w:rsid w:val="00184A3A"/>
    <w:rsid w:val="00191062"/>
    <w:rsid w:val="00192B72"/>
    <w:rsid w:val="001A29D8"/>
    <w:rsid w:val="001A5CAA"/>
    <w:rsid w:val="001B0427"/>
    <w:rsid w:val="001B1B5E"/>
    <w:rsid w:val="001D3A51"/>
    <w:rsid w:val="001E10D2"/>
    <w:rsid w:val="001E25B4"/>
    <w:rsid w:val="001E44FE"/>
    <w:rsid w:val="001F7229"/>
    <w:rsid w:val="00200595"/>
    <w:rsid w:val="0020395E"/>
    <w:rsid w:val="00204835"/>
    <w:rsid w:val="00231920"/>
    <w:rsid w:val="0023195C"/>
    <w:rsid w:val="00235DB8"/>
    <w:rsid w:val="0024282C"/>
    <w:rsid w:val="002460DC"/>
    <w:rsid w:val="00250985"/>
    <w:rsid w:val="002556F6"/>
    <w:rsid w:val="00281B25"/>
    <w:rsid w:val="00283105"/>
    <w:rsid w:val="00284C4C"/>
    <w:rsid w:val="00287E68"/>
    <w:rsid w:val="00296529"/>
    <w:rsid w:val="002B27FB"/>
    <w:rsid w:val="002B685A"/>
    <w:rsid w:val="002C57D2"/>
    <w:rsid w:val="002E0D56"/>
    <w:rsid w:val="00315186"/>
    <w:rsid w:val="0033343E"/>
    <w:rsid w:val="003512C2"/>
    <w:rsid w:val="00371FB6"/>
    <w:rsid w:val="003763C1"/>
    <w:rsid w:val="00376BBE"/>
    <w:rsid w:val="0039224F"/>
    <w:rsid w:val="003A43A4"/>
    <w:rsid w:val="003A7E18"/>
    <w:rsid w:val="003C4C86"/>
    <w:rsid w:val="003C6258"/>
    <w:rsid w:val="003E2904"/>
    <w:rsid w:val="003F4494"/>
    <w:rsid w:val="00401927"/>
    <w:rsid w:val="0041027F"/>
    <w:rsid w:val="00412475"/>
    <w:rsid w:val="00423789"/>
    <w:rsid w:val="00440F43"/>
    <w:rsid w:val="00441B6F"/>
    <w:rsid w:val="00446221"/>
    <w:rsid w:val="00450E62"/>
    <w:rsid w:val="004539DB"/>
    <w:rsid w:val="0046191D"/>
    <w:rsid w:val="00471A80"/>
    <w:rsid w:val="004D305E"/>
    <w:rsid w:val="004D4277"/>
    <w:rsid w:val="004F72E9"/>
    <w:rsid w:val="00502516"/>
    <w:rsid w:val="00505F06"/>
    <w:rsid w:val="00506828"/>
    <w:rsid w:val="00514F54"/>
    <w:rsid w:val="0053056E"/>
    <w:rsid w:val="00532BAB"/>
    <w:rsid w:val="00554FDA"/>
    <w:rsid w:val="00583500"/>
    <w:rsid w:val="005C6C99"/>
    <w:rsid w:val="005C784C"/>
    <w:rsid w:val="005D17F6"/>
    <w:rsid w:val="005E5539"/>
    <w:rsid w:val="00602BF5"/>
    <w:rsid w:val="00606AF4"/>
    <w:rsid w:val="00617FDD"/>
    <w:rsid w:val="00633614"/>
    <w:rsid w:val="00633F68"/>
    <w:rsid w:val="00636EB2"/>
    <w:rsid w:val="006375B8"/>
    <w:rsid w:val="0066510A"/>
    <w:rsid w:val="00673F9F"/>
    <w:rsid w:val="00686953"/>
    <w:rsid w:val="00687DEA"/>
    <w:rsid w:val="00687E67"/>
    <w:rsid w:val="006967F7"/>
    <w:rsid w:val="006A250C"/>
    <w:rsid w:val="006A35B6"/>
    <w:rsid w:val="006B21D3"/>
    <w:rsid w:val="006B57D0"/>
    <w:rsid w:val="006D30FF"/>
    <w:rsid w:val="006D6940"/>
    <w:rsid w:val="006F11EC"/>
    <w:rsid w:val="0070082C"/>
    <w:rsid w:val="007369E6"/>
    <w:rsid w:val="00746E59"/>
    <w:rsid w:val="00754C9A"/>
    <w:rsid w:val="0075599A"/>
    <w:rsid w:val="00761D52"/>
    <w:rsid w:val="00775088"/>
    <w:rsid w:val="0077749E"/>
    <w:rsid w:val="00790ADA"/>
    <w:rsid w:val="007A6CB7"/>
    <w:rsid w:val="007D2288"/>
    <w:rsid w:val="007E088F"/>
    <w:rsid w:val="007E7706"/>
    <w:rsid w:val="007F7B32"/>
    <w:rsid w:val="00804BC2"/>
    <w:rsid w:val="0081431A"/>
    <w:rsid w:val="0083216F"/>
    <w:rsid w:val="00844C01"/>
    <w:rsid w:val="008510DB"/>
    <w:rsid w:val="00852248"/>
    <w:rsid w:val="00860000"/>
    <w:rsid w:val="00863BD3"/>
    <w:rsid w:val="008641ED"/>
    <w:rsid w:val="00866D66"/>
    <w:rsid w:val="008671C6"/>
    <w:rsid w:val="00875803"/>
    <w:rsid w:val="008851A0"/>
    <w:rsid w:val="0089334D"/>
    <w:rsid w:val="008B459E"/>
    <w:rsid w:val="008C0A33"/>
    <w:rsid w:val="008E13AE"/>
    <w:rsid w:val="008E1506"/>
    <w:rsid w:val="008E710C"/>
    <w:rsid w:val="008F69D6"/>
    <w:rsid w:val="00902823"/>
    <w:rsid w:val="0090708B"/>
    <w:rsid w:val="00915CA6"/>
    <w:rsid w:val="00927834"/>
    <w:rsid w:val="009500A6"/>
    <w:rsid w:val="00957C18"/>
    <w:rsid w:val="009659BA"/>
    <w:rsid w:val="00982A1B"/>
    <w:rsid w:val="00983040"/>
    <w:rsid w:val="009B3FB9"/>
    <w:rsid w:val="009C2465"/>
    <w:rsid w:val="009D35A0"/>
    <w:rsid w:val="009D7EB7"/>
    <w:rsid w:val="009E048A"/>
    <w:rsid w:val="009E08E9"/>
    <w:rsid w:val="009E3DB9"/>
    <w:rsid w:val="009E6E35"/>
    <w:rsid w:val="009F0EDA"/>
    <w:rsid w:val="00A03B96"/>
    <w:rsid w:val="00A05B19"/>
    <w:rsid w:val="00A1134E"/>
    <w:rsid w:val="00A1723F"/>
    <w:rsid w:val="00A24E7E"/>
    <w:rsid w:val="00A258C3"/>
    <w:rsid w:val="00A26BAD"/>
    <w:rsid w:val="00A347C0"/>
    <w:rsid w:val="00A51431"/>
    <w:rsid w:val="00A539AD"/>
    <w:rsid w:val="00A62540"/>
    <w:rsid w:val="00A94063"/>
    <w:rsid w:val="00AA6219"/>
    <w:rsid w:val="00AA74E0"/>
    <w:rsid w:val="00AB703F"/>
    <w:rsid w:val="00AC6BB8"/>
    <w:rsid w:val="00AC739A"/>
    <w:rsid w:val="00AE008F"/>
    <w:rsid w:val="00AE1813"/>
    <w:rsid w:val="00B01FCD"/>
    <w:rsid w:val="00B1776C"/>
    <w:rsid w:val="00B52583"/>
    <w:rsid w:val="00B52896"/>
    <w:rsid w:val="00B85259"/>
    <w:rsid w:val="00B95236"/>
    <w:rsid w:val="00B96BD9"/>
    <w:rsid w:val="00BA1B01"/>
    <w:rsid w:val="00BA2641"/>
    <w:rsid w:val="00BB37AA"/>
    <w:rsid w:val="00BC53A0"/>
    <w:rsid w:val="00BE62AD"/>
    <w:rsid w:val="00BF121F"/>
    <w:rsid w:val="00BF1F80"/>
    <w:rsid w:val="00C166EF"/>
    <w:rsid w:val="00C17EB0"/>
    <w:rsid w:val="00C27F5F"/>
    <w:rsid w:val="00C30A0F"/>
    <w:rsid w:val="00C37E61"/>
    <w:rsid w:val="00C70F1B"/>
    <w:rsid w:val="00C71A47"/>
    <w:rsid w:val="00C7464C"/>
    <w:rsid w:val="00C85588"/>
    <w:rsid w:val="00CD6755"/>
    <w:rsid w:val="00CD6856"/>
    <w:rsid w:val="00CE0089"/>
    <w:rsid w:val="00CE793C"/>
    <w:rsid w:val="00CF193C"/>
    <w:rsid w:val="00D173F1"/>
    <w:rsid w:val="00D408E2"/>
    <w:rsid w:val="00D74CB0"/>
    <w:rsid w:val="00D8295D"/>
    <w:rsid w:val="00DA0694"/>
    <w:rsid w:val="00DA11CE"/>
    <w:rsid w:val="00DA6A8E"/>
    <w:rsid w:val="00DC2A65"/>
    <w:rsid w:val="00DD7181"/>
    <w:rsid w:val="00DE15F0"/>
    <w:rsid w:val="00DE5663"/>
    <w:rsid w:val="00DE78AA"/>
    <w:rsid w:val="00E053D0"/>
    <w:rsid w:val="00E15994"/>
    <w:rsid w:val="00E3114E"/>
    <w:rsid w:val="00E31A70"/>
    <w:rsid w:val="00E35B02"/>
    <w:rsid w:val="00E66496"/>
    <w:rsid w:val="00E66B35"/>
    <w:rsid w:val="00E66E10"/>
    <w:rsid w:val="00E769F6"/>
    <w:rsid w:val="00E8407C"/>
    <w:rsid w:val="00E84F3C"/>
    <w:rsid w:val="00EA012C"/>
    <w:rsid w:val="00EC6A55"/>
    <w:rsid w:val="00ED0288"/>
    <w:rsid w:val="00EE273D"/>
    <w:rsid w:val="00EE4781"/>
    <w:rsid w:val="00EE52CB"/>
    <w:rsid w:val="00EF581D"/>
    <w:rsid w:val="00EF7FD8"/>
    <w:rsid w:val="00F06F59"/>
    <w:rsid w:val="00F15133"/>
    <w:rsid w:val="00F159AC"/>
    <w:rsid w:val="00F17988"/>
    <w:rsid w:val="00F469F0"/>
    <w:rsid w:val="00F53273"/>
    <w:rsid w:val="00F755E4"/>
    <w:rsid w:val="00F77D02"/>
    <w:rsid w:val="00FB3A86"/>
    <w:rsid w:val="00FB5C0C"/>
    <w:rsid w:val="00FC18D5"/>
    <w:rsid w:val="00FD36C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2654D11"/>
  <w15:docId w15:val="{3257015C-4F25-4492-B318-9DD30824DB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423789"/>
    <w:rPr>
      <w:rFonts w:ascii="Helvetica" w:hAnsi="Helvetica"/>
    </w:rPr>
  </w:style>
  <w:style w:type="paragraph" w:styleId="Heading1">
    <w:name w:val="heading 1"/>
    <w:basedOn w:val="Normal"/>
    <w:next w:val="Normal"/>
    <w:qFormat/>
    <w:rsid w:val="00423789"/>
    <w:pPr>
      <w:keepNext/>
      <w:spacing w:before="240" w:after="60"/>
      <w:outlineLvl w:val="0"/>
    </w:pPr>
    <w:rPr>
      <w:rFonts w:ascii="Arial" w:hAnsi="Arial"/>
      <w:b/>
      <w:kern w:val="28"/>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basedOn w:val="TableNormal"/>
    <w:uiPriority w:val="59"/>
    <w:rsid w:val="0029652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rsid w:val="00746E59"/>
    <w:rPr>
      <w:rFonts w:ascii="Tahoma" w:hAnsi="Tahoma" w:cs="Tahoma"/>
      <w:sz w:val="16"/>
      <w:szCs w:val="16"/>
    </w:rPr>
  </w:style>
  <w:style w:type="character" w:customStyle="1" w:styleId="BalloonTextChar">
    <w:name w:val="Balloon Text Char"/>
    <w:basedOn w:val="DefaultParagraphFont"/>
    <w:link w:val="BalloonText"/>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character" w:styleId="UnresolvedMention">
    <w:name w:val="Unresolved Mention"/>
    <w:basedOn w:val="DefaultParagraphFont"/>
    <w:uiPriority w:val="99"/>
    <w:semiHidden/>
    <w:unhideWhenUsed/>
    <w:rsid w:val="00287E6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yperlink" Target="https://doi.org/10.1016/S0305-750X(99)00129-1" TargetMode="External"/><Relationship Id="rId26" Type="http://schemas.openxmlformats.org/officeDocument/2006/relationships/header" Target="header4.xml"/><Relationship Id="rId3" Type="http://schemas.openxmlformats.org/officeDocument/2006/relationships/styles" Target="styles.xml"/><Relationship Id="rId21" Type="http://schemas.openxmlformats.org/officeDocument/2006/relationships/hyperlink" Target="https://doi.org/10.1086/261725" TargetMode="Externa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yperlink" Target="https://doi.org/10.1016/0304-3932(88)90168-7" TargetMode="External"/><Relationship Id="rId25" Type="http://schemas.openxmlformats.org/officeDocument/2006/relationships/hyperlink" Target="https://data.worldbank.org" TargetMode="External"/><Relationship Id="rId2" Type="http://schemas.openxmlformats.org/officeDocument/2006/relationships/numbering" Target="numbering.xml"/><Relationship Id="rId16" Type="http://schemas.openxmlformats.org/officeDocument/2006/relationships/hyperlink" Target="https://dipiufabc.wordpress.com/wp-content/uploads/2015/06/dunning_multinational-enterprises-and-global-economy.pdf" TargetMode="External"/><Relationship Id="rId20" Type="http://schemas.openxmlformats.org/officeDocument/2006/relationships/hyperlink" Target="https://hdl.handle.net/10419/127898" TargetMode="External"/><Relationship Id="rId29"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hyperlink" Target="https://doi.org/10.1016/j.asieco.2014.11.002" TargetMode="External"/><Relationship Id="rId5" Type="http://schemas.openxmlformats.org/officeDocument/2006/relationships/webSettings" Target="webSettings.xml"/><Relationship Id="rId15" Type="http://schemas.openxmlformats.org/officeDocument/2006/relationships/hyperlink" Target="https://doi.org/10.1007/s13132-020-00641-5" TargetMode="External"/><Relationship Id="rId23" Type="http://schemas.openxmlformats.org/officeDocument/2006/relationships/hyperlink" Target="https://doi.org/10.2307/1884513" TargetMode="External"/><Relationship Id="rId28" Type="http://schemas.openxmlformats.org/officeDocument/2006/relationships/footer" Target="footer4.xml"/><Relationship Id="rId10" Type="http://schemas.openxmlformats.org/officeDocument/2006/relationships/footer" Target="footer1.xml"/><Relationship Id="rId19" Type="http://schemas.openxmlformats.org/officeDocument/2006/relationships/hyperlink" Target="https://doi.org/10.1016/S0305-750X(01)00054-7" TargetMode="External"/><Relationship Id="rId31"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yperlink" Target="https://doi.org/10.1016/S0305-750X(01)00100-0" TargetMode="External"/><Relationship Id="rId22" Type="http://schemas.openxmlformats.org/officeDocument/2006/relationships/hyperlink" Target="https://doi.org/10.1093/jae/ejp022" TargetMode="External"/><Relationship Id="rId27" Type="http://schemas.openxmlformats.org/officeDocument/2006/relationships/header" Target="header5.xml"/><Relationship Id="rId30"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2">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5847E926-1DAD-48FA-89FC-B2327F5F5AE1}">
  <we:reference id="WA200000368" version="1.0.0.0" store="Omex" storeType="OMEX"/>
  <we:alternateReferences>
    <we:reference id="WA200000368" version="1.0.0.0" store="WA200000368" storeType="OMEX"/>
  </we:alternateReferences>
  <we:properties>
    <we:property name="documentId" value="&quot;18ac888af5d7b218&quot;"/>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B234852-73F6-4059-A4D8-6ED1CDFD5E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134</TotalTime>
  <Pages>9</Pages>
  <Words>4815</Words>
  <Characters>27448</Characters>
  <Application>Microsoft Office Word</Application>
  <DocSecurity>0</DocSecurity>
  <Lines>228</Lines>
  <Paragraphs>64</Paragraphs>
  <ScaleCrop>false</ScaleCrop>
  <HeadingPairs>
    <vt:vector size="2" baseType="variant">
      <vt:variant>
        <vt:lpstr>Title</vt:lpstr>
      </vt:variant>
      <vt:variant>
        <vt:i4>1</vt:i4>
      </vt:variant>
    </vt:vector>
  </HeadingPairs>
  <TitlesOfParts>
    <vt:vector size="1" baseType="lpstr">
      <vt:lpstr>Paper Template</vt:lpstr>
    </vt:vector>
  </TitlesOfParts>
  <Company>aaaa</Company>
  <LinksUpToDate>false</LinksUpToDate>
  <CharactersWithSpaces>32199</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subject/>
  <dc:creator>SDI</dc:creator>
  <cp:keywords/>
  <dc:description/>
  <cp:lastModifiedBy>Editor-1183</cp:lastModifiedBy>
  <cp:revision>26</cp:revision>
  <cp:lastPrinted>1999-07-06T11:00:00Z</cp:lastPrinted>
  <dcterms:created xsi:type="dcterms:W3CDTF">2025-11-10T02:57:00Z</dcterms:created>
  <dcterms:modified xsi:type="dcterms:W3CDTF">2025-11-29T05:43:00Z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befb6fcf-4e44-4455-bb56-04bd8cbe991d</vt:lpwstr>
  </property>
</Properties>
</file>