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F92F" w14:textId="77777777" w:rsidR="00754C9A" w:rsidRPr="00627B2B" w:rsidRDefault="00754C9A" w:rsidP="00C12D36">
      <w:pPr>
        <w:pStyle w:val="Title"/>
        <w:spacing w:after="0"/>
        <w:jc w:val="both"/>
        <w:rPr>
          <w:rFonts w:ascii="Arial" w:hAnsi="Arial" w:cs="Arial"/>
          <w:b w:val="0"/>
          <w:bCs/>
          <w:sz w:val="20"/>
        </w:rPr>
      </w:pPr>
    </w:p>
    <w:p w14:paraId="5054B124" w14:textId="2D49619E" w:rsidR="00163BC4" w:rsidRPr="00627B2B" w:rsidRDefault="00627B2B" w:rsidP="00627B2B">
      <w:pPr>
        <w:pStyle w:val="Author"/>
        <w:spacing w:line="240" w:lineRule="auto"/>
        <w:jc w:val="center"/>
        <w:rPr>
          <w:rFonts w:ascii="Arial" w:hAnsi="Arial" w:cs="Arial"/>
          <w:b w:val="0"/>
          <w:bCs/>
          <w:iCs/>
          <w:kern w:val="28"/>
          <w:sz w:val="20"/>
        </w:rPr>
      </w:pPr>
      <w:r w:rsidRPr="00627B2B">
        <w:rPr>
          <w:rFonts w:ascii="Arial" w:hAnsi="Arial" w:cs="Arial"/>
          <w:b w:val="0"/>
          <w:bCs/>
          <w:sz w:val="20"/>
        </w:rPr>
        <w:t>Environmental Accounting Disclosures and Profitability in Nigerian Listed Oil and Gas Companies: A Dynamic Analysis</w:t>
      </w:r>
    </w:p>
    <w:p w14:paraId="511F53C5" w14:textId="77777777" w:rsidR="002C57D2" w:rsidRPr="00627B2B" w:rsidRDefault="002C57D2" w:rsidP="00627B2B">
      <w:pPr>
        <w:pStyle w:val="Affiliation"/>
        <w:spacing w:after="0" w:line="240" w:lineRule="auto"/>
        <w:jc w:val="center"/>
        <w:rPr>
          <w:rFonts w:ascii="Arial" w:hAnsi="Arial" w:cs="Arial"/>
          <w:bCs/>
        </w:rPr>
      </w:pPr>
    </w:p>
    <w:p w14:paraId="39DD8B20" w14:textId="3C813D34" w:rsidR="00B01FCD" w:rsidRPr="00627B2B" w:rsidRDefault="006B73AC" w:rsidP="00C12D36">
      <w:pPr>
        <w:pStyle w:val="Copyright"/>
        <w:spacing w:after="0" w:line="240" w:lineRule="auto"/>
        <w:jc w:val="both"/>
        <w:rPr>
          <w:rFonts w:ascii="Arial" w:hAnsi="Arial" w:cs="Arial"/>
          <w:bCs/>
          <w:sz w:val="20"/>
        </w:rPr>
        <w:sectPr w:rsidR="00B01FCD" w:rsidRPr="00627B2B" w:rsidSect="009C5B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27B2B">
        <w:rPr>
          <w:rFonts w:ascii="Arial" w:hAnsi="Arial" w:cs="Arial"/>
          <w:bCs/>
          <w:noProof/>
          <w:sz w:val="20"/>
        </w:rPr>
        <mc:AlternateContent>
          <mc:Choice Requires="wps">
            <w:drawing>
              <wp:inline distT="0" distB="0" distL="0" distR="0" wp14:anchorId="56C20633" wp14:editId="6C74C29E">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D8FB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032F2D4F" w14:textId="77777777" w:rsidR="00B01FCD" w:rsidRPr="00627B2B" w:rsidRDefault="00B01FCD" w:rsidP="00C12D36">
      <w:pPr>
        <w:pStyle w:val="AbstHead"/>
        <w:spacing w:after="0"/>
        <w:jc w:val="both"/>
        <w:rPr>
          <w:rFonts w:ascii="Arial" w:hAnsi="Arial" w:cs="Arial"/>
          <w:b w:val="0"/>
          <w:bCs/>
          <w:sz w:val="20"/>
        </w:rPr>
      </w:pPr>
      <w:r w:rsidRPr="00627B2B">
        <w:rPr>
          <w:rFonts w:ascii="Arial" w:hAnsi="Arial" w:cs="Arial"/>
          <w:b w:val="0"/>
          <w:bCs/>
          <w:sz w:val="20"/>
        </w:rPr>
        <w:t>ABSTRACT</w:t>
      </w:r>
      <w:r w:rsidR="00B47008" w:rsidRPr="00627B2B">
        <w:rPr>
          <w:rFonts w:ascii="Arial" w:hAnsi="Arial" w:cs="Arial"/>
          <w:b w:val="0"/>
          <w:bCs/>
          <w:sz w:val="20"/>
        </w:rPr>
        <w:t xml:space="preserve"> </w:t>
      </w:r>
    </w:p>
    <w:p w14:paraId="43E9EBA4" w14:textId="77777777" w:rsidR="00790ADA" w:rsidRPr="00627B2B" w:rsidRDefault="00790ADA" w:rsidP="00C12D36">
      <w:pPr>
        <w:pStyle w:val="AbstHead"/>
        <w:spacing w:after="0"/>
        <w:jc w:val="both"/>
        <w:rPr>
          <w:rFonts w:ascii="Arial" w:hAnsi="Arial" w:cs="Arial"/>
          <w:b w:val="0"/>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27B2B" w14:paraId="3572B2B1" w14:textId="77777777" w:rsidTr="001E44FE">
        <w:tc>
          <w:tcPr>
            <w:tcW w:w="9576" w:type="dxa"/>
            <w:shd w:val="clear" w:color="auto" w:fill="F2F2F2"/>
          </w:tcPr>
          <w:p w14:paraId="248DD7AB" w14:textId="750E9D09" w:rsidR="00627B2B" w:rsidRPr="00627B2B" w:rsidRDefault="00627B2B" w:rsidP="00627B2B">
            <w:pPr>
              <w:jc w:val="both"/>
              <w:rPr>
                <w:rFonts w:ascii="Arial" w:eastAsia="Calibri" w:hAnsi="Arial" w:cs="Arial"/>
                <w:bCs/>
                <w:i/>
                <w:iCs/>
              </w:rPr>
            </w:pPr>
            <w:r w:rsidRPr="00627B2B">
              <w:rPr>
                <w:rFonts w:ascii="Arial" w:eastAsia="Calibri" w:hAnsi="Arial" w:cs="Arial"/>
                <w:bCs/>
                <w:i/>
                <w:iCs/>
              </w:rPr>
              <w:t>This study investigates the effect of Environmental Accounting Disclosures (EAD) on the profitability of listed oil and gas companies in Nigeria over the period 2015–2024. Using panel data from six sampled firms, the research employs a dynamic panel data approach with the Generalized Method of Moments (GMM) to account for the persistence of profitability and potential endogeneity between financial performance and environmental disclosures. The findings reveal that environmental policy disclosures have a strong and positive effect on profitability (β = 1.081, p = 0.001). Conversely, waste management practices negatively affect profitability in the short term (β = –0.298, p &lt; 0.001). Greenhouse gas emissions disclosures exhibit a positive but statistically insignificant effect (β = 0.347, p = 0.225). Additionally, firm size positively influences profitability (β = 0.246, p &lt; 0.001), while leverage exerts a negative effect (β = –0.266, p = 0.005). The study concludes that strategic environmental transparency, particularly through policy-level disclosures, can enhance firm performance. Recommendations include strengthening environmental governance, adopting cost-efficient waste management technologies, and improving the quality of carbon reporting to align with global sustainability standards.</w:t>
            </w:r>
          </w:p>
          <w:p w14:paraId="61D7F8DA" w14:textId="6EDBE2FC" w:rsidR="00505F06" w:rsidRPr="00627B2B" w:rsidRDefault="00505F06" w:rsidP="00627B2B">
            <w:pPr>
              <w:jc w:val="both"/>
              <w:rPr>
                <w:rFonts w:ascii="Arial" w:eastAsia="Calibri" w:hAnsi="Arial" w:cs="Arial"/>
                <w:bCs/>
              </w:rPr>
            </w:pPr>
          </w:p>
        </w:tc>
      </w:tr>
    </w:tbl>
    <w:p w14:paraId="0C3DFC6E" w14:textId="77777777" w:rsidR="00636EB2" w:rsidRPr="00627B2B" w:rsidRDefault="00636EB2" w:rsidP="00C12D36">
      <w:pPr>
        <w:pStyle w:val="Body"/>
        <w:spacing w:after="0"/>
        <w:rPr>
          <w:rFonts w:ascii="Arial" w:hAnsi="Arial" w:cs="Arial"/>
          <w:bCs/>
          <w:i/>
        </w:rPr>
      </w:pPr>
    </w:p>
    <w:p w14:paraId="6558146D" w14:textId="77777777" w:rsidR="00627B2B" w:rsidRPr="00627B2B" w:rsidRDefault="00627B2B" w:rsidP="00627B2B">
      <w:pPr>
        <w:jc w:val="both"/>
        <w:rPr>
          <w:rFonts w:ascii="Arial" w:eastAsia="Calibri" w:hAnsi="Arial" w:cs="Arial"/>
          <w:bCs/>
        </w:rPr>
      </w:pPr>
      <w:r w:rsidRPr="00627B2B">
        <w:rPr>
          <w:rFonts w:ascii="Arial" w:eastAsia="Calibri" w:hAnsi="Arial" w:cs="Arial"/>
          <w:bCs/>
        </w:rPr>
        <w:t>Keywords: Environmental Accounting Disclosure, Profitability, Oil and Gas, Dynamic Panel Data, GMM, Nigeria</w:t>
      </w:r>
    </w:p>
    <w:p w14:paraId="308D6526" w14:textId="77777777" w:rsidR="00790ADA" w:rsidRPr="00627B2B" w:rsidRDefault="00790ADA" w:rsidP="00C12D36">
      <w:pPr>
        <w:pStyle w:val="Body"/>
        <w:spacing w:after="0"/>
        <w:rPr>
          <w:rFonts w:ascii="Arial" w:hAnsi="Arial" w:cs="Arial"/>
          <w:bCs/>
          <w:i/>
        </w:rPr>
      </w:pPr>
    </w:p>
    <w:p w14:paraId="2DF3816F" w14:textId="77777777" w:rsidR="00505F06" w:rsidRPr="00627B2B" w:rsidRDefault="00505F06" w:rsidP="00C12D36">
      <w:pPr>
        <w:pStyle w:val="Body"/>
        <w:spacing w:after="0"/>
        <w:rPr>
          <w:rFonts w:ascii="Arial" w:hAnsi="Arial" w:cs="Arial"/>
          <w:bCs/>
          <w:i/>
        </w:rPr>
      </w:pPr>
    </w:p>
    <w:p w14:paraId="71B9400F" w14:textId="77777777" w:rsidR="007F7B32" w:rsidRPr="00627B2B" w:rsidRDefault="00902823" w:rsidP="00C12D36">
      <w:pPr>
        <w:pStyle w:val="AbstHead"/>
        <w:spacing w:after="0"/>
        <w:jc w:val="both"/>
        <w:rPr>
          <w:rFonts w:ascii="Arial" w:hAnsi="Arial" w:cs="Arial"/>
          <w:b w:val="0"/>
          <w:bCs/>
          <w:szCs w:val="22"/>
        </w:rPr>
      </w:pPr>
      <w:r w:rsidRPr="00627B2B">
        <w:rPr>
          <w:rFonts w:ascii="Arial" w:hAnsi="Arial" w:cs="Arial"/>
          <w:b w:val="0"/>
          <w:bCs/>
          <w:sz w:val="20"/>
        </w:rPr>
        <w:t>1</w:t>
      </w:r>
      <w:r w:rsidRPr="00627B2B">
        <w:rPr>
          <w:rFonts w:ascii="Arial" w:hAnsi="Arial" w:cs="Arial"/>
          <w:b w:val="0"/>
          <w:bCs/>
          <w:szCs w:val="22"/>
        </w:rPr>
        <w:t xml:space="preserve">. </w:t>
      </w:r>
      <w:r w:rsidR="00B01FCD" w:rsidRPr="00627B2B">
        <w:rPr>
          <w:rFonts w:ascii="Arial" w:hAnsi="Arial" w:cs="Arial"/>
          <w:b w:val="0"/>
          <w:bCs/>
          <w:szCs w:val="22"/>
        </w:rPr>
        <w:t>INTRODUCTION</w:t>
      </w:r>
      <w:r w:rsidR="00697133" w:rsidRPr="00627B2B">
        <w:rPr>
          <w:rFonts w:ascii="Arial" w:hAnsi="Arial" w:cs="Arial"/>
          <w:b w:val="0"/>
          <w:bCs/>
          <w:szCs w:val="22"/>
        </w:rPr>
        <w:t xml:space="preserve"> </w:t>
      </w:r>
    </w:p>
    <w:p w14:paraId="6ADB7D40" w14:textId="77777777" w:rsidR="00790ADA" w:rsidRPr="00627B2B" w:rsidRDefault="00790ADA" w:rsidP="00C12D36">
      <w:pPr>
        <w:pStyle w:val="AbstHead"/>
        <w:spacing w:after="0"/>
        <w:jc w:val="both"/>
        <w:rPr>
          <w:rFonts w:ascii="Arial" w:hAnsi="Arial" w:cs="Arial"/>
          <w:b w:val="0"/>
          <w:bCs/>
          <w:sz w:val="20"/>
        </w:rPr>
      </w:pPr>
    </w:p>
    <w:p w14:paraId="073DE4C5" w14:textId="6DA850D6" w:rsidR="00774DEF" w:rsidRPr="00627B2B" w:rsidRDefault="00774DEF" w:rsidP="00C12D36">
      <w:pPr>
        <w:jc w:val="both"/>
        <w:rPr>
          <w:rFonts w:ascii="Arial" w:hAnsi="Arial" w:cs="Arial"/>
          <w:bCs/>
        </w:rPr>
      </w:pPr>
      <w:r w:rsidRPr="00627B2B">
        <w:rPr>
          <w:rFonts w:ascii="Arial" w:hAnsi="Arial" w:cs="Arial"/>
          <w:bCs/>
        </w:rPr>
        <w:t>Profitability dynamics remain a critical concern for firms, particularly in industries like oil and gas, where operational costs, environmental risks, and regulatory pressures significantly influence financial performance. Understanding the factors that shape these dynamics is essential for enhancing long-term sustainability and competitiveness. One such factor gaining attention globally is environmental accounting disclosure (EAD).</w:t>
      </w:r>
    </w:p>
    <w:p w14:paraId="356886DD" w14:textId="77777777" w:rsidR="00A91DE0" w:rsidRPr="00A91DE0" w:rsidRDefault="00A91DE0" w:rsidP="00A91DE0">
      <w:pPr>
        <w:jc w:val="both"/>
        <w:rPr>
          <w:rFonts w:ascii="Arial" w:hAnsi="Arial" w:cs="Arial"/>
          <w:bCs/>
        </w:rPr>
      </w:pPr>
      <w:r w:rsidRPr="00A91DE0">
        <w:rPr>
          <w:rFonts w:ascii="Arial" w:hAnsi="Arial" w:cs="Arial"/>
          <w:bCs/>
        </w:rPr>
        <w:t>Globally, the oil and gas industry is a major contributor to environmental degradation, accounting for approximately 70% of greenhouse gas emissions (IEA, 2020). In Nigeria, oil spills and other environmental incidents linked to oil and gas operations have resulted in severe consequences for local communities, including the destruction of farmland and fishing grounds, loss of livelihoods, and health problems arising from pollutant exposure. Such incidents have also negatively affected investor confidence and contributed to declining stock prices (Farooq et al., 2021; Gündüz &amp; Gündüz, 2025). These realities underscore the need for greater transparency and accountability through environmental disclosure, particularly as firms seek to manage profitability and sustain their operations.</w:t>
      </w:r>
    </w:p>
    <w:p w14:paraId="060A9BCA" w14:textId="77777777" w:rsidR="00A91DE0" w:rsidRPr="00A91DE0" w:rsidRDefault="00A91DE0" w:rsidP="00A91DE0">
      <w:pPr>
        <w:jc w:val="both"/>
        <w:rPr>
          <w:rFonts w:ascii="Arial" w:hAnsi="Arial" w:cs="Arial"/>
          <w:bCs/>
        </w:rPr>
      </w:pPr>
      <w:r w:rsidRPr="00A91DE0">
        <w:rPr>
          <w:rFonts w:ascii="Arial" w:hAnsi="Arial" w:cs="Arial"/>
          <w:bCs/>
        </w:rPr>
        <w:t>Environmental accounting disclosure provides firms with critical information to identify inefficiencies, reduce environmental harm, and improve operational efficiency (Okoba et al., 2025). By integrating environmental considerations into business operations, companies can achieve cost savings, regulatory compliance, and competitive advantages (Ngwakwe &amp; Okoyeuzu, 2019; Rahmawati et al., 2025). Empirical evidence also suggests a link between EAD and financial performance: firms with robust environmental reporting often experience enhanced reputation, stakeholder trust, and investor confidence, all of which can translate into improved profitability (Kulsum, 2025; Rahayu et al., 2025; Rahmawati et al., 2025).</w:t>
      </w:r>
    </w:p>
    <w:p w14:paraId="6EA1C41A" w14:textId="77777777" w:rsidR="00A91DE0" w:rsidRPr="00627B2B" w:rsidRDefault="00A91DE0" w:rsidP="00A91DE0">
      <w:pPr>
        <w:jc w:val="both"/>
        <w:rPr>
          <w:rFonts w:ascii="Arial" w:hAnsi="Arial" w:cs="Arial"/>
          <w:bCs/>
        </w:rPr>
      </w:pPr>
      <w:r w:rsidRPr="00A91DE0">
        <w:rPr>
          <w:rFonts w:ascii="Arial" w:hAnsi="Arial" w:cs="Arial"/>
          <w:bCs/>
        </w:rPr>
        <w:lastRenderedPageBreak/>
        <w:t xml:space="preserve">Despite the growing body of research on environmental disclosure and financial performance in other industries and countries, limited studies have examined the dynamic relationship between EAD and profitability in Nigeria’s oil and gas sector. </w:t>
      </w:r>
    </w:p>
    <w:p w14:paraId="79A19F9A" w14:textId="77777777" w:rsidR="00A91DE0" w:rsidRPr="00627B2B" w:rsidRDefault="00A91DE0" w:rsidP="00A91DE0">
      <w:pPr>
        <w:jc w:val="both"/>
        <w:rPr>
          <w:rFonts w:ascii="Arial" w:hAnsi="Arial" w:cs="Arial"/>
          <w:bCs/>
        </w:rPr>
      </w:pPr>
    </w:p>
    <w:p w14:paraId="3AB2E5B7" w14:textId="152D3D7E" w:rsidR="00A91DE0" w:rsidRPr="00627B2B" w:rsidRDefault="00252C11" w:rsidP="00A91DE0">
      <w:pPr>
        <w:jc w:val="both"/>
        <w:rPr>
          <w:rFonts w:ascii="Arial" w:hAnsi="Arial" w:cs="Arial"/>
          <w:bCs/>
        </w:rPr>
      </w:pPr>
      <w:r w:rsidRPr="00252C11">
        <w:rPr>
          <w:rFonts w:ascii="Arial" w:hAnsi="Arial" w:cs="Arial"/>
          <w:bCs/>
        </w:rPr>
        <w:t>Although previous studies have examined the relationship between environmental accounting disclosures (EAD) and firm profitability or value in various industries, including energy, mining, and agriculture (Kulsum, 2025; Rahayu et al., 2025; Rahmawati et al., 2025; Sutomo, Syarifuddin, &amp; Damayanti, 2025; Sambo, Yusuf, &amp; Fahmin, 2025; Awotomilusi et al., 2025), limited research has focused specifically on the Nigerian oil and gas sector. Existing studies predominantly explore other countries or sectors and often examine direct effects of EAD on single measures of profitability, without employing dynamic methodologies such as the Generalized Method of Moments (GMM) that can account for endogeneity, time-lagged effects, and interactions among multiple profitability indicators over time. This represents a significant methodology gap, as the use of static models in prior research may fail to capture the true dynamic relationship between environmental disclosure and financial performance in a context characterized by regulatory complexity and market volatility.</w:t>
      </w:r>
      <w:r w:rsidRPr="00627B2B">
        <w:rPr>
          <w:rFonts w:ascii="Arial" w:hAnsi="Arial" w:cs="Arial"/>
          <w:bCs/>
        </w:rPr>
        <w:t xml:space="preserve"> </w:t>
      </w:r>
      <w:r w:rsidR="00A91DE0" w:rsidRPr="00627B2B">
        <w:rPr>
          <w:rFonts w:ascii="Arial" w:hAnsi="Arial" w:cs="Arial"/>
          <w:bCs/>
        </w:rPr>
        <w:t>This creates a significant gap in knowledge and evidence, highlighting the need for a context-specific study that examines the nexus between environmental accounting disclosures and profitability dynamics of listed oil and gas companies in Nigeria. Such research can provide actionable insights for policymakers, investors, and corporate managers, addressing both academic and practical considerations.</w:t>
      </w:r>
    </w:p>
    <w:p w14:paraId="6D8027D5" w14:textId="77777777" w:rsidR="00774DEF" w:rsidRPr="00627B2B" w:rsidRDefault="00774DEF" w:rsidP="00C12D36">
      <w:pPr>
        <w:jc w:val="both"/>
        <w:rPr>
          <w:rFonts w:ascii="Arial" w:hAnsi="Arial" w:cs="Arial"/>
          <w:bCs/>
        </w:rPr>
      </w:pPr>
    </w:p>
    <w:p w14:paraId="70F4C4FD" w14:textId="77777777" w:rsidR="007F7B32" w:rsidRPr="00627B2B" w:rsidRDefault="00697133" w:rsidP="00C12D36">
      <w:pPr>
        <w:pStyle w:val="AbstHead"/>
        <w:spacing w:after="0"/>
        <w:jc w:val="both"/>
        <w:rPr>
          <w:rFonts w:ascii="Arial" w:hAnsi="Arial" w:cs="Arial"/>
          <w:b w:val="0"/>
          <w:bCs/>
          <w:szCs w:val="22"/>
        </w:rPr>
      </w:pPr>
      <w:r w:rsidRPr="00627B2B">
        <w:rPr>
          <w:rFonts w:ascii="Arial" w:hAnsi="Arial" w:cs="Arial"/>
          <w:b w:val="0"/>
          <w:bCs/>
          <w:szCs w:val="22"/>
        </w:rPr>
        <w:t>2. LITERATURE REVIEW</w:t>
      </w:r>
    </w:p>
    <w:p w14:paraId="79361844" w14:textId="77777777" w:rsidR="00790ADA" w:rsidRPr="00627B2B" w:rsidRDefault="00790ADA" w:rsidP="00C12D36">
      <w:pPr>
        <w:pStyle w:val="AbstHead"/>
        <w:spacing w:after="0"/>
        <w:jc w:val="both"/>
        <w:rPr>
          <w:rFonts w:ascii="Arial" w:hAnsi="Arial" w:cs="Arial"/>
          <w:b w:val="0"/>
          <w:bCs/>
          <w:sz w:val="20"/>
        </w:rPr>
      </w:pPr>
    </w:p>
    <w:p w14:paraId="2B4DE5E9" w14:textId="0E080EAB" w:rsidR="007F6931" w:rsidRPr="00627B2B" w:rsidRDefault="007F6931" w:rsidP="00C12D36">
      <w:pPr>
        <w:jc w:val="both"/>
        <w:rPr>
          <w:rFonts w:ascii="Arial" w:hAnsi="Arial" w:cs="Arial"/>
          <w:bCs/>
        </w:rPr>
      </w:pPr>
      <w:r w:rsidRPr="00627B2B">
        <w:rPr>
          <w:rFonts w:ascii="Arial" w:hAnsi="Arial" w:cs="Arial"/>
          <w:bCs/>
        </w:rPr>
        <w:t>Environmental Accounting Disclosures</w:t>
      </w:r>
      <w:r w:rsidR="00252C11" w:rsidRPr="00627B2B">
        <w:rPr>
          <w:rFonts w:ascii="Arial" w:hAnsi="Arial" w:cs="Arial"/>
          <w:bCs/>
        </w:rPr>
        <w:t xml:space="preserve"> and Profitability </w:t>
      </w:r>
    </w:p>
    <w:p w14:paraId="55D975E2" w14:textId="77777777" w:rsidR="00252C11" w:rsidRPr="00627B2B" w:rsidRDefault="00252C11" w:rsidP="00C12D36">
      <w:pPr>
        <w:jc w:val="both"/>
        <w:rPr>
          <w:rFonts w:ascii="Arial" w:hAnsi="Arial" w:cs="Arial"/>
          <w:bCs/>
        </w:rPr>
      </w:pPr>
    </w:p>
    <w:p w14:paraId="3D09CFB1" w14:textId="77777777" w:rsidR="00D71007" w:rsidRPr="00D71007" w:rsidRDefault="00D71007" w:rsidP="00D71007">
      <w:pPr>
        <w:jc w:val="both"/>
        <w:rPr>
          <w:rFonts w:ascii="Arial" w:hAnsi="Arial" w:cs="Arial"/>
          <w:bCs/>
        </w:rPr>
      </w:pPr>
      <w:r w:rsidRPr="00D71007">
        <w:rPr>
          <w:rFonts w:ascii="Arial" w:hAnsi="Arial" w:cs="Arial"/>
          <w:bCs/>
        </w:rPr>
        <w:t>The relationship between environmental accounting disclosures (EAD) and firm profitability is anchored in stakeholder theory and legitimacy theory. Stakeholder theory posits that firms are accountable not only to shareholders but also to a broader group of stakeholders, including employees, regulators, and local communities (Obiora et al., 2022). By disclosing environmental information, firms can address stakeholder concerns, build trust, and enhance long-term profitability. Legitimacy theory, on the other hand, suggests that firms disclose environmental information to align their operations with societal expectations, thereby securing social legitimacy and reducing potential conflicts or sanctions (Uniamikogbo &amp; Ifeanyichukwu, 2021).</w:t>
      </w:r>
    </w:p>
    <w:p w14:paraId="401CF279" w14:textId="77777777" w:rsidR="00D71007" w:rsidRPr="00627B2B" w:rsidRDefault="00D71007" w:rsidP="00C12D36">
      <w:pPr>
        <w:jc w:val="both"/>
        <w:rPr>
          <w:rFonts w:ascii="Arial" w:hAnsi="Arial" w:cs="Arial"/>
          <w:bCs/>
        </w:rPr>
      </w:pPr>
    </w:p>
    <w:p w14:paraId="479C783B" w14:textId="77777777" w:rsidR="00D71007" w:rsidRPr="00D71007" w:rsidRDefault="00D71007" w:rsidP="00D71007">
      <w:pPr>
        <w:jc w:val="both"/>
        <w:rPr>
          <w:rFonts w:ascii="Arial" w:hAnsi="Arial" w:cs="Arial"/>
          <w:bCs/>
        </w:rPr>
      </w:pPr>
      <w:r w:rsidRPr="00D71007">
        <w:rPr>
          <w:rFonts w:ascii="Arial" w:hAnsi="Arial" w:cs="Arial"/>
          <w:bCs/>
        </w:rPr>
        <w:t>The relationship between environmental accounting disclosures (EAD) and firm profitability is grounded in stakeholder theory and legitimacy theory. Stakeholder theory posits that firms are accountable not only to shareholders but also to a broader set of stakeholders, including employees, regulators, and local communities (Obiora et al., 2022). By disclosing environmental information, firms address stakeholder concerns, build trust, and enhance long-term profitability. Legitimacy theory, on the other hand, suggests that firms disclose environmental information to align operations with societal expectations, thereby securing social legitimacy and reducing potential conflicts or sanctions (Uniamikogbo &amp; Ifeanyichukwu, 2021). These theoretical perspectives highlight that EAD is not merely a compliance activity, but a strategic tool that can influence firm performance, reputation, and market value, depending on industry, context, and disclosure quality.</w:t>
      </w:r>
    </w:p>
    <w:p w14:paraId="58BD4DC4" w14:textId="77777777" w:rsidR="00D71007" w:rsidRPr="00D71007" w:rsidRDefault="00D71007" w:rsidP="00D71007">
      <w:pPr>
        <w:jc w:val="both"/>
        <w:rPr>
          <w:rFonts w:ascii="Arial" w:hAnsi="Arial" w:cs="Arial"/>
          <w:bCs/>
        </w:rPr>
      </w:pPr>
      <w:r w:rsidRPr="00D71007">
        <w:rPr>
          <w:rFonts w:ascii="Arial" w:hAnsi="Arial" w:cs="Arial"/>
          <w:bCs/>
        </w:rPr>
        <w:t xml:space="preserve">Empirical studies on EAD and profitability report mixed findings. Some studies demonstrate positive effects of EAD on financial performance. For example, Okoba et al. (2025) found that disclosures on greenhouse gas (GHG) reduction and waste management positively influenced profitability among Nigerian consumer goods firms, although water management practices negatively affected profits. Similarly, Gatimbu et al. (2016) observed that corporate environmental disclosures significantly improved mean financial performance of firms listed </w:t>
      </w:r>
      <w:r w:rsidRPr="00D71007">
        <w:rPr>
          <w:rFonts w:ascii="Arial" w:hAnsi="Arial" w:cs="Arial"/>
          <w:bCs/>
        </w:rPr>
        <w:lastRenderedPageBreak/>
        <w:t>on the Nairobi Securities Exchange. Obiora et al. (2022) also reported significant positive effects of EAD on return on assets (ROA) and return on equity (ROE) for Nigerian quoted firms, suggesting that transparency and accountability can drive operational efficiency and investor confidence.</w:t>
      </w:r>
    </w:p>
    <w:p w14:paraId="715D4C57" w14:textId="77777777" w:rsidR="00D71007" w:rsidRPr="00D71007" w:rsidRDefault="00D71007" w:rsidP="00D71007">
      <w:pPr>
        <w:jc w:val="both"/>
        <w:rPr>
          <w:rFonts w:ascii="Arial" w:hAnsi="Arial" w:cs="Arial"/>
          <w:bCs/>
        </w:rPr>
      </w:pPr>
      <w:r w:rsidRPr="00D71007">
        <w:rPr>
          <w:rFonts w:ascii="Arial" w:hAnsi="Arial" w:cs="Arial"/>
          <w:bCs/>
        </w:rPr>
        <w:t>Conversely, other studies show insignificant or mixed effects. Gündüz and Gündüz (2025) found no statistically significant impact of EAD on financial performance among Turkish banks, while Cheska et al. (2022) reported no significant effects on profitability or firm value in Philippine petrochemical, mining, and oil companies. Rahmawati et al. (2025) found that although EAD positively influenced company value, environmental performance negatively affected it, highlighting the complex and context-dependent nature of these relationships. In Nigeria, studies by Uniamikogbo and Ifeanyichukwu (2021) and Awotomilusi et al. (2025) indicate that EAD enhances profitability and firm value in manufacturing and agricultural sectors, yet evidence for the oil and gas sector remains limited.</w:t>
      </w:r>
    </w:p>
    <w:p w14:paraId="23469447" w14:textId="77777777" w:rsidR="00D71007" w:rsidRPr="00D71007" w:rsidRDefault="00D71007" w:rsidP="00D71007">
      <w:pPr>
        <w:jc w:val="both"/>
        <w:rPr>
          <w:rFonts w:ascii="Arial" w:hAnsi="Arial" w:cs="Arial"/>
          <w:bCs/>
        </w:rPr>
      </w:pPr>
      <w:r w:rsidRPr="00D71007">
        <w:rPr>
          <w:rFonts w:ascii="Arial" w:hAnsi="Arial" w:cs="Arial"/>
          <w:bCs/>
        </w:rPr>
        <w:t>Methodologically, most studies employ static regression models, such as Ordinary Least Squares (OLS), Feasible Generalized Least Squares (FGLS), and panel data regression, often using content analysis to construct EAD indices from corporate reports. However, few studies adopt dynamic methods, such as the Generalized Method of Moments (GMM), which can account for time-lagged effects, endogeneity, and interactions among multiple profitability indicators. This represents a significant methodological gap, particularly in the Nigerian oil and gas sector, where operational risks, environmental challenges, and market volatility may influence the dynamic relationship between EAD and profitability.</w:t>
      </w:r>
    </w:p>
    <w:p w14:paraId="7E96CF2B" w14:textId="77777777" w:rsidR="00D71007" w:rsidRPr="00627B2B" w:rsidRDefault="00D71007" w:rsidP="00C12D36">
      <w:pPr>
        <w:jc w:val="both"/>
        <w:rPr>
          <w:rFonts w:ascii="Arial" w:hAnsi="Arial" w:cs="Arial"/>
          <w:bCs/>
        </w:rPr>
      </w:pPr>
    </w:p>
    <w:p w14:paraId="2BEC3E4A" w14:textId="5016AC6B" w:rsidR="002876BE" w:rsidRPr="00627B2B" w:rsidRDefault="002876BE" w:rsidP="00C12D36">
      <w:pPr>
        <w:jc w:val="both"/>
        <w:rPr>
          <w:rFonts w:ascii="Arial" w:hAnsi="Arial" w:cs="Arial"/>
          <w:bCs/>
        </w:rPr>
      </w:pPr>
      <w:r w:rsidRPr="00627B2B">
        <w:rPr>
          <w:rFonts w:ascii="Arial" w:hAnsi="Arial" w:cs="Arial"/>
          <w:bCs/>
        </w:rPr>
        <w:t xml:space="preserve">Regarding the control variables, this study incorporates firm size and leverage, as these characteristics are widely acknowledged in empirical literature as key determinants of corporate reporting </w:t>
      </w:r>
      <w:proofErr w:type="spellStart"/>
      <w:r w:rsidRPr="00627B2B">
        <w:rPr>
          <w:rFonts w:ascii="Arial" w:hAnsi="Arial" w:cs="Arial"/>
          <w:bCs/>
        </w:rPr>
        <w:t>behaviour</w:t>
      </w:r>
      <w:proofErr w:type="spellEnd"/>
      <w:r w:rsidRPr="00627B2B">
        <w:rPr>
          <w:rFonts w:ascii="Arial" w:hAnsi="Arial" w:cs="Arial"/>
          <w:bCs/>
        </w:rPr>
        <w:t xml:space="preserve">. Firm size is often associated with a company’s visibility, resource capacity, and regulatory scrutiny, which tend to increase the extent of disclosure practices (Adriana &amp; </w:t>
      </w:r>
      <w:proofErr w:type="spellStart"/>
      <w:r w:rsidRPr="00627B2B">
        <w:rPr>
          <w:rFonts w:ascii="Arial" w:hAnsi="Arial" w:cs="Arial"/>
          <w:bCs/>
        </w:rPr>
        <w:t>Dewi</w:t>
      </w:r>
      <w:proofErr w:type="spellEnd"/>
      <w:r w:rsidRPr="00627B2B">
        <w:rPr>
          <w:rFonts w:ascii="Arial" w:hAnsi="Arial" w:cs="Arial"/>
          <w:bCs/>
        </w:rPr>
        <w:t xml:space="preserve">, 2018; </w:t>
      </w:r>
      <w:proofErr w:type="spellStart"/>
      <w:r w:rsidRPr="00627B2B">
        <w:rPr>
          <w:rFonts w:ascii="Arial" w:hAnsi="Arial" w:cs="Arial"/>
          <w:bCs/>
        </w:rPr>
        <w:t>Ardi</w:t>
      </w:r>
      <w:proofErr w:type="spellEnd"/>
      <w:r w:rsidRPr="00627B2B">
        <w:rPr>
          <w:rFonts w:ascii="Arial" w:hAnsi="Arial" w:cs="Arial"/>
          <w:bCs/>
        </w:rPr>
        <w:t xml:space="preserve"> &amp; </w:t>
      </w:r>
      <w:proofErr w:type="spellStart"/>
      <w:r w:rsidRPr="00627B2B">
        <w:rPr>
          <w:rFonts w:ascii="Arial" w:hAnsi="Arial" w:cs="Arial"/>
          <w:bCs/>
        </w:rPr>
        <w:t>Yulianto</w:t>
      </w:r>
      <w:proofErr w:type="spellEnd"/>
      <w:r w:rsidRPr="00627B2B">
        <w:rPr>
          <w:rFonts w:ascii="Arial" w:hAnsi="Arial" w:cs="Arial"/>
          <w:bCs/>
        </w:rPr>
        <w:t xml:space="preserve">, 2020). Larger firms typically face greater stakeholder pressure and possess more financial and managerial resources to support extensive reporting. Leverage is also </w:t>
      </w:r>
      <w:proofErr w:type="spellStart"/>
      <w:r w:rsidRPr="00627B2B">
        <w:rPr>
          <w:rFonts w:ascii="Arial" w:hAnsi="Arial" w:cs="Arial"/>
          <w:bCs/>
        </w:rPr>
        <w:t>recognised</w:t>
      </w:r>
      <w:proofErr w:type="spellEnd"/>
      <w:r w:rsidRPr="00627B2B">
        <w:rPr>
          <w:rFonts w:ascii="Arial" w:hAnsi="Arial" w:cs="Arial"/>
          <w:bCs/>
        </w:rPr>
        <w:t xml:space="preserve"> as an important determinant, as firms with higher debt levels often experience increased monitoring from creditors, prompting them to disclose more information to reduce agency conflicts (</w:t>
      </w:r>
      <w:proofErr w:type="spellStart"/>
      <w:r w:rsidRPr="00627B2B">
        <w:rPr>
          <w:rFonts w:ascii="Arial" w:hAnsi="Arial" w:cs="Arial"/>
          <w:bCs/>
        </w:rPr>
        <w:t>Kipngetich</w:t>
      </w:r>
      <w:proofErr w:type="spellEnd"/>
      <w:r w:rsidRPr="00627B2B">
        <w:rPr>
          <w:rFonts w:ascii="Arial" w:hAnsi="Arial" w:cs="Arial"/>
          <w:bCs/>
        </w:rPr>
        <w:t xml:space="preserve"> et al., 2019; </w:t>
      </w:r>
      <w:proofErr w:type="spellStart"/>
      <w:r w:rsidRPr="00627B2B">
        <w:rPr>
          <w:rFonts w:ascii="Arial" w:hAnsi="Arial" w:cs="Arial"/>
          <w:bCs/>
        </w:rPr>
        <w:t>Kulsum</w:t>
      </w:r>
      <w:proofErr w:type="spellEnd"/>
      <w:r w:rsidRPr="00627B2B">
        <w:rPr>
          <w:rFonts w:ascii="Arial" w:hAnsi="Arial" w:cs="Arial"/>
          <w:bCs/>
        </w:rPr>
        <w:t>, 2025). Including these variables as controls strengthens the analytical model by accounting for structural differences across firms and ensuring more reliable and unbiased estimates.</w:t>
      </w:r>
    </w:p>
    <w:p w14:paraId="4DE46F72" w14:textId="77777777" w:rsidR="002876BE" w:rsidRPr="00627B2B" w:rsidRDefault="002876BE" w:rsidP="00C12D36">
      <w:pPr>
        <w:pStyle w:val="Body"/>
        <w:spacing w:after="0"/>
        <w:rPr>
          <w:rFonts w:ascii="Arial" w:hAnsi="Arial" w:cs="Arial"/>
          <w:bCs/>
        </w:rPr>
      </w:pPr>
    </w:p>
    <w:p w14:paraId="42216F2A" w14:textId="77777777" w:rsidR="00125726" w:rsidRPr="00627B2B" w:rsidRDefault="00125726" w:rsidP="00C12D36">
      <w:pPr>
        <w:pStyle w:val="Body"/>
        <w:spacing w:after="0"/>
        <w:rPr>
          <w:rFonts w:ascii="Arial" w:hAnsi="Arial" w:cs="Arial"/>
          <w:bCs/>
        </w:rPr>
      </w:pPr>
      <w:r w:rsidRPr="00627B2B">
        <w:rPr>
          <w:rFonts w:ascii="Arial" w:hAnsi="Arial" w:cs="Arial"/>
          <w:bCs/>
        </w:rPr>
        <w:t xml:space="preserve">3. </w:t>
      </w:r>
      <w:r w:rsidRPr="00627B2B">
        <w:rPr>
          <w:rFonts w:ascii="Arial" w:hAnsi="Arial" w:cs="Arial"/>
          <w:bCs/>
          <w:sz w:val="22"/>
          <w:szCs w:val="22"/>
        </w:rPr>
        <w:t>Methodolog</w:t>
      </w:r>
      <w:r w:rsidRPr="00627B2B">
        <w:rPr>
          <w:rFonts w:ascii="Arial" w:hAnsi="Arial" w:cs="Arial"/>
          <w:bCs/>
        </w:rPr>
        <w:t>y</w:t>
      </w:r>
    </w:p>
    <w:p w14:paraId="17B27FE4" w14:textId="48DA5613" w:rsidR="00125726" w:rsidRPr="00627B2B" w:rsidRDefault="00125726" w:rsidP="00C12D36">
      <w:pPr>
        <w:pStyle w:val="Body"/>
        <w:spacing w:after="0"/>
        <w:rPr>
          <w:rFonts w:ascii="Arial" w:hAnsi="Arial" w:cs="Arial"/>
          <w:bCs/>
        </w:rPr>
      </w:pPr>
      <w:r w:rsidRPr="00627B2B">
        <w:rPr>
          <w:rFonts w:ascii="Arial" w:hAnsi="Arial" w:cs="Arial"/>
          <w:bCs/>
        </w:rPr>
        <w:t>The ex post facto research design was used in this study since the goal is to establish causal links between past events and circumstances.  The population of this study was made up of all the seven (7) oil and gas companies that are listed on the floor of the Nigerian Exchange Group (NGX) for 10 years i.e. between 2015 and 2024</w:t>
      </w:r>
      <w:r w:rsidR="00936614">
        <w:rPr>
          <w:rFonts w:ascii="Arial" w:hAnsi="Arial" w:cs="Arial"/>
          <w:bCs/>
        </w:rPr>
        <w:t xml:space="preserve"> (Table-1)</w:t>
      </w:r>
      <w:r w:rsidR="00F52975" w:rsidRPr="00627B2B">
        <w:rPr>
          <w:rFonts w:ascii="Arial" w:hAnsi="Arial" w:cs="Arial"/>
          <w:bCs/>
        </w:rPr>
        <w:t>.</w:t>
      </w:r>
    </w:p>
    <w:p w14:paraId="35E11B4E" w14:textId="77777777" w:rsidR="00F52975" w:rsidRPr="00627B2B" w:rsidRDefault="00F52975" w:rsidP="00C12D36">
      <w:pPr>
        <w:pStyle w:val="Body"/>
        <w:spacing w:after="0"/>
        <w:rPr>
          <w:rFonts w:ascii="Arial" w:hAnsi="Arial" w:cs="Arial"/>
          <w:bCs/>
        </w:rPr>
      </w:pPr>
    </w:p>
    <w:p w14:paraId="17E15222" w14:textId="77777777" w:rsidR="00125726" w:rsidRPr="00627B2B" w:rsidRDefault="00F52975" w:rsidP="00C12D36">
      <w:pPr>
        <w:pStyle w:val="Body"/>
        <w:spacing w:after="0"/>
        <w:rPr>
          <w:rFonts w:ascii="Arial" w:hAnsi="Arial" w:cs="Arial"/>
          <w:bCs/>
        </w:rPr>
      </w:pPr>
      <w:bookmarkStart w:id="0" w:name="_Hlk116382854"/>
      <w:r w:rsidRPr="00627B2B">
        <w:rPr>
          <w:rFonts w:ascii="Arial" w:hAnsi="Arial" w:cs="Arial"/>
          <w:bCs/>
        </w:rPr>
        <w:t>Table 1</w:t>
      </w:r>
      <w:r w:rsidR="00A53E17" w:rsidRPr="00627B2B">
        <w:rPr>
          <w:rFonts w:ascii="Arial" w:hAnsi="Arial" w:cs="Arial"/>
          <w:bCs/>
        </w:rPr>
        <w:t>.</w:t>
      </w:r>
      <w:r w:rsidR="00884546" w:rsidRPr="00627B2B">
        <w:rPr>
          <w:rFonts w:ascii="Arial" w:hAnsi="Arial" w:cs="Arial"/>
          <w:bCs/>
        </w:rPr>
        <w:t xml:space="preserve"> L</w:t>
      </w:r>
      <w:r w:rsidRPr="00627B2B">
        <w:rPr>
          <w:rFonts w:ascii="Arial" w:hAnsi="Arial" w:cs="Arial"/>
          <w:bCs/>
        </w:rPr>
        <w:t xml:space="preserve">isted </w:t>
      </w:r>
      <w:r w:rsidR="00125726" w:rsidRPr="00627B2B">
        <w:rPr>
          <w:rFonts w:ascii="Arial" w:hAnsi="Arial" w:cs="Arial"/>
          <w:bCs/>
        </w:rPr>
        <w:t xml:space="preserve">Oil &amp; Gas Nigeria </w:t>
      </w:r>
      <w:bookmarkStart w:id="1" w:name="_Hlk116386617"/>
    </w:p>
    <w:tbl>
      <w:tblPr>
        <w:tblStyle w:val="TableGrid"/>
        <w:tblW w:w="6925" w:type="dxa"/>
        <w:tblLook w:val="04A0" w:firstRow="1" w:lastRow="0" w:firstColumn="1" w:lastColumn="0" w:noHBand="0" w:noVBand="1"/>
      </w:tblPr>
      <w:tblGrid>
        <w:gridCol w:w="715"/>
        <w:gridCol w:w="4140"/>
        <w:gridCol w:w="2070"/>
      </w:tblGrid>
      <w:tr w:rsidR="00125726" w:rsidRPr="00627B2B" w14:paraId="4F4022C0" w14:textId="77777777" w:rsidTr="00125726">
        <w:tc>
          <w:tcPr>
            <w:tcW w:w="715" w:type="dxa"/>
          </w:tcPr>
          <w:p w14:paraId="3A18B12D"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1</w:t>
            </w:r>
          </w:p>
        </w:tc>
        <w:tc>
          <w:tcPr>
            <w:tcW w:w="4140" w:type="dxa"/>
          </w:tcPr>
          <w:p w14:paraId="6051E87B"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TOTAL NIGERIA</w:t>
            </w:r>
          </w:p>
        </w:tc>
        <w:tc>
          <w:tcPr>
            <w:tcW w:w="2070" w:type="dxa"/>
          </w:tcPr>
          <w:p w14:paraId="4150AE6B"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 xml:space="preserve">Dated of listed </w:t>
            </w:r>
          </w:p>
        </w:tc>
      </w:tr>
      <w:tr w:rsidR="00125726" w:rsidRPr="00627B2B" w14:paraId="178A70BB" w14:textId="77777777" w:rsidTr="00125726">
        <w:tc>
          <w:tcPr>
            <w:tcW w:w="715" w:type="dxa"/>
          </w:tcPr>
          <w:p w14:paraId="6A81FE75"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2</w:t>
            </w:r>
          </w:p>
        </w:tc>
        <w:tc>
          <w:tcPr>
            <w:tcW w:w="4140" w:type="dxa"/>
          </w:tcPr>
          <w:p w14:paraId="180BBF20" w14:textId="77777777" w:rsidR="00125726" w:rsidRPr="00627B2B" w:rsidRDefault="004E5449" w:rsidP="00C12D36">
            <w:pPr>
              <w:pStyle w:val="Body"/>
              <w:spacing w:after="0"/>
              <w:rPr>
                <w:rFonts w:ascii="Arial" w:hAnsi="Arial" w:cs="Arial"/>
                <w:bCs/>
                <w:sz w:val="20"/>
                <w:szCs w:val="20"/>
              </w:rPr>
            </w:pPr>
            <w:hyperlink r:id="rId14" w:history="1">
              <w:r w:rsidR="00125726" w:rsidRPr="00627B2B">
                <w:rPr>
                  <w:rStyle w:val="Hyperlink"/>
                  <w:rFonts w:ascii="Arial" w:hAnsi="Arial" w:cs="Arial"/>
                  <w:bCs/>
                  <w:sz w:val="20"/>
                  <w:szCs w:val="20"/>
                </w:rPr>
                <w:t>ARADEL HOLDINGS PLC</w:t>
              </w:r>
            </w:hyperlink>
          </w:p>
        </w:tc>
        <w:tc>
          <w:tcPr>
            <w:tcW w:w="2070" w:type="dxa"/>
          </w:tcPr>
          <w:p w14:paraId="15AFE254"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2024</w:t>
            </w:r>
          </w:p>
        </w:tc>
      </w:tr>
      <w:tr w:rsidR="00125726" w:rsidRPr="00627B2B" w14:paraId="3C1A27CB" w14:textId="77777777" w:rsidTr="00125726">
        <w:tc>
          <w:tcPr>
            <w:tcW w:w="715" w:type="dxa"/>
          </w:tcPr>
          <w:p w14:paraId="351382F6"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3</w:t>
            </w:r>
          </w:p>
        </w:tc>
        <w:tc>
          <w:tcPr>
            <w:tcW w:w="4140" w:type="dxa"/>
          </w:tcPr>
          <w:p w14:paraId="4893E6B7" w14:textId="77777777" w:rsidR="00125726" w:rsidRPr="00627B2B" w:rsidRDefault="004E5449" w:rsidP="00C12D36">
            <w:pPr>
              <w:pStyle w:val="Body"/>
              <w:spacing w:after="0"/>
              <w:rPr>
                <w:rFonts w:ascii="Arial" w:hAnsi="Arial" w:cs="Arial"/>
                <w:bCs/>
                <w:sz w:val="20"/>
                <w:szCs w:val="20"/>
              </w:rPr>
            </w:pPr>
            <w:hyperlink r:id="rId15" w:history="1">
              <w:r w:rsidR="00125726" w:rsidRPr="00627B2B">
                <w:rPr>
                  <w:rStyle w:val="Hyperlink"/>
                  <w:rFonts w:ascii="Arial" w:hAnsi="Arial" w:cs="Arial"/>
                  <w:bCs/>
                  <w:sz w:val="20"/>
                  <w:szCs w:val="20"/>
                </w:rPr>
                <w:t>CONOIL PLC</w:t>
              </w:r>
            </w:hyperlink>
          </w:p>
        </w:tc>
        <w:tc>
          <w:tcPr>
            <w:tcW w:w="2070" w:type="dxa"/>
          </w:tcPr>
          <w:p w14:paraId="6D06E207"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1989</w:t>
            </w:r>
          </w:p>
        </w:tc>
      </w:tr>
      <w:tr w:rsidR="00125726" w:rsidRPr="00627B2B" w14:paraId="36BCE101" w14:textId="77777777" w:rsidTr="00125726">
        <w:tc>
          <w:tcPr>
            <w:tcW w:w="715" w:type="dxa"/>
          </w:tcPr>
          <w:p w14:paraId="52757D52"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4</w:t>
            </w:r>
          </w:p>
        </w:tc>
        <w:tc>
          <w:tcPr>
            <w:tcW w:w="4140" w:type="dxa"/>
          </w:tcPr>
          <w:p w14:paraId="0055A62F" w14:textId="77777777" w:rsidR="00125726" w:rsidRPr="00627B2B" w:rsidRDefault="004E5449" w:rsidP="00C12D36">
            <w:pPr>
              <w:pStyle w:val="Body"/>
              <w:spacing w:after="0"/>
              <w:rPr>
                <w:rFonts w:ascii="Arial" w:hAnsi="Arial" w:cs="Arial"/>
                <w:bCs/>
                <w:sz w:val="20"/>
                <w:szCs w:val="20"/>
              </w:rPr>
            </w:pPr>
            <w:hyperlink r:id="rId16" w:history="1">
              <w:r w:rsidR="00125726" w:rsidRPr="00627B2B">
                <w:rPr>
                  <w:rStyle w:val="Hyperlink"/>
                  <w:rFonts w:ascii="Arial" w:hAnsi="Arial" w:cs="Arial"/>
                  <w:bCs/>
                  <w:sz w:val="20"/>
                  <w:szCs w:val="20"/>
                </w:rPr>
                <w:t>ETERNA PLC.</w:t>
              </w:r>
            </w:hyperlink>
          </w:p>
        </w:tc>
        <w:tc>
          <w:tcPr>
            <w:tcW w:w="2070" w:type="dxa"/>
          </w:tcPr>
          <w:p w14:paraId="70D5020F"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1989</w:t>
            </w:r>
          </w:p>
        </w:tc>
      </w:tr>
      <w:tr w:rsidR="00125726" w:rsidRPr="00627B2B" w14:paraId="7DF5AF91" w14:textId="77777777" w:rsidTr="00125726">
        <w:tc>
          <w:tcPr>
            <w:tcW w:w="715" w:type="dxa"/>
          </w:tcPr>
          <w:p w14:paraId="0710A647"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5</w:t>
            </w:r>
          </w:p>
        </w:tc>
        <w:tc>
          <w:tcPr>
            <w:tcW w:w="4140" w:type="dxa"/>
          </w:tcPr>
          <w:p w14:paraId="24C7AD23" w14:textId="77777777" w:rsidR="00125726" w:rsidRPr="00627B2B" w:rsidRDefault="004E5449" w:rsidP="00C12D36">
            <w:pPr>
              <w:pStyle w:val="Body"/>
              <w:spacing w:after="0"/>
              <w:rPr>
                <w:rFonts w:ascii="Arial" w:hAnsi="Arial" w:cs="Arial"/>
                <w:bCs/>
                <w:sz w:val="20"/>
                <w:szCs w:val="20"/>
              </w:rPr>
            </w:pPr>
            <w:hyperlink r:id="rId17" w:history="1">
              <w:r w:rsidR="00125726" w:rsidRPr="00627B2B">
                <w:rPr>
                  <w:rStyle w:val="Hyperlink"/>
                  <w:rFonts w:ascii="Arial" w:hAnsi="Arial" w:cs="Arial"/>
                  <w:bCs/>
                  <w:sz w:val="20"/>
                  <w:szCs w:val="20"/>
                </w:rPr>
                <w:t>JAPAUL GOLD &amp; VENTURES PLC</w:t>
              </w:r>
            </w:hyperlink>
          </w:p>
        </w:tc>
        <w:tc>
          <w:tcPr>
            <w:tcW w:w="2070" w:type="dxa"/>
          </w:tcPr>
          <w:p w14:paraId="1B49EC29"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2005</w:t>
            </w:r>
          </w:p>
        </w:tc>
      </w:tr>
      <w:tr w:rsidR="00125726" w:rsidRPr="00627B2B" w14:paraId="3C3C7618" w14:textId="77777777" w:rsidTr="00125726">
        <w:tc>
          <w:tcPr>
            <w:tcW w:w="715" w:type="dxa"/>
          </w:tcPr>
          <w:p w14:paraId="555D433D"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6</w:t>
            </w:r>
          </w:p>
        </w:tc>
        <w:tc>
          <w:tcPr>
            <w:tcW w:w="4140" w:type="dxa"/>
          </w:tcPr>
          <w:p w14:paraId="75E954D9" w14:textId="77777777" w:rsidR="00125726" w:rsidRPr="00627B2B" w:rsidRDefault="004E5449" w:rsidP="00C12D36">
            <w:pPr>
              <w:pStyle w:val="Body"/>
              <w:spacing w:after="0"/>
              <w:rPr>
                <w:rFonts w:ascii="Arial" w:hAnsi="Arial" w:cs="Arial"/>
                <w:bCs/>
                <w:sz w:val="20"/>
                <w:szCs w:val="20"/>
              </w:rPr>
            </w:pPr>
            <w:hyperlink r:id="rId18" w:history="1">
              <w:r w:rsidR="00125726" w:rsidRPr="00627B2B">
                <w:rPr>
                  <w:rStyle w:val="Hyperlink"/>
                  <w:rFonts w:ascii="Arial" w:hAnsi="Arial" w:cs="Arial"/>
                  <w:bCs/>
                  <w:sz w:val="20"/>
                  <w:szCs w:val="20"/>
                </w:rPr>
                <w:t>OANDO PLC</w:t>
              </w:r>
            </w:hyperlink>
          </w:p>
        </w:tc>
        <w:tc>
          <w:tcPr>
            <w:tcW w:w="2070" w:type="dxa"/>
          </w:tcPr>
          <w:p w14:paraId="1368F2EF"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1992</w:t>
            </w:r>
          </w:p>
        </w:tc>
      </w:tr>
      <w:tr w:rsidR="00125726" w:rsidRPr="00627B2B" w14:paraId="7785B4CE" w14:textId="77777777" w:rsidTr="00125726">
        <w:tc>
          <w:tcPr>
            <w:tcW w:w="715" w:type="dxa"/>
          </w:tcPr>
          <w:p w14:paraId="768B4431"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7</w:t>
            </w:r>
          </w:p>
        </w:tc>
        <w:tc>
          <w:tcPr>
            <w:tcW w:w="4140" w:type="dxa"/>
          </w:tcPr>
          <w:p w14:paraId="57C404F5" w14:textId="77777777" w:rsidR="00125726" w:rsidRPr="00627B2B" w:rsidRDefault="004E5449" w:rsidP="00C12D36">
            <w:pPr>
              <w:pStyle w:val="Body"/>
              <w:spacing w:after="0"/>
              <w:rPr>
                <w:rFonts w:ascii="Arial" w:hAnsi="Arial" w:cs="Arial"/>
                <w:bCs/>
                <w:sz w:val="20"/>
                <w:szCs w:val="20"/>
              </w:rPr>
            </w:pPr>
            <w:hyperlink r:id="rId19" w:history="1">
              <w:r w:rsidR="00125726" w:rsidRPr="00627B2B">
                <w:rPr>
                  <w:rStyle w:val="Hyperlink"/>
                  <w:rFonts w:ascii="Arial" w:hAnsi="Arial" w:cs="Arial"/>
                  <w:bCs/>
                  <w:sz w:val="20"/>
                  <w:szCs w:val="20"/>
                </w:rPr>
                <w:t>SEPLAT ENERGY PLC</w:t>
              </w:r>
            </w:hyperlink>
          </w:p>
        </w:tc>
        <w:tc>
          <w:tcPr>
            <w:tcW w:w="2070" w:type="dxa"/>
          </w:tcPr>
          <w:p w14:paraId="15FF2045" w14:textId="77777777" w:rsidR="00125726" w:rsidRPr="00627B2B" w:rsidRDefault="00125726" w:rsidP="00C12D36">
            <w:pPr>
              <w:pStyle w:val="Body"/>
              <w:spacing w:after="0"/>
              <w:rPr>
                <w:rFonts w:ascii="Arial" w:hAnsi="Arial" w:cs="Arial"/>
                <w:bCs/>
                <w:sz w:val="20"/>
                <w:szCs w:val="20"/>
              </w:rPr>
            </w:pPr>
            <w:r w:rsidRPr="00627B2B">
              <w:rPr>
                <w:rFonts w:ascii="Arial" w:hAnsi="Arial" w:cs="Arial"/>
                <w:bCs/>
                <w:sz w:val="20"/>
                <w:szCs w:val="20"/>
              </w:rPr>
              <w:t>2009</w:t>
            </w:r>
          </w:p>
        </w:tc>
      </w:tr>
    </w:tbl>
    <w:bookmarkEnd w:id="1"/>
    <w:p w14:paraId="5F763673" w14:textId="77777777" w:rsidR="00125726" w:rsidRPr="00627B2B" w:rsidRDefault="00125726" w:rsidP="00C12D36">
      <w:pPr>
        <w:pStyle w:val="Body"/>
        <w:spacing w:after="0"/>
        <w:rPr>
          <w:rFonts w:ascii="Arial" w:hAnsi="Arial" w:cs="Arial"/>
          <w:bCs/>
        </w:rPr>
      </w:pPr>
      <w:r w:rsidRPr="00627B2B">
        <w:rPr>
          <w:rFonts w:ascii="Arial" w:hAnsi="Arial" w:cs="Arial"/>
          <w:bCs/>
        </w:rPr>
        <w:t xml:space="preserve">Source: Author’s Compilation from </w:t>
      </w:r>
      <w:r w:rsidRPr="00627B2B">
        <w:rPr>
          <w:rFonts w:ascii="Arial" w:hAnsi="Arial" w:cs="Arial"/>
          <w:bCs/>
          <w:lang w:val="en"/>
        </w:rPr>
        <w:t>Nigerian Exchange Group (</w:t>
      </w:r>
      <w:r w:rsidRPr="00627B2B">
        <w:rPr>
          <w:rFonts w:ascii="Arial" w:hAnsi="Arial" w:cs="Arial"/>
          <w:bCs/>
        </w:rPr>
        <w:t>NGX)</w:t>
      </w:r>
    </w:p>
    <w:p w14:paraId="5513BE1B" w14:textId="77777777" w:rsidR="00125726" w:rsidRPr="00627B2B" w:rsidRDefault="00125726" w:rsidP="00C12D36">
      <w:pPr>
        <w:pStyle w:val="Body"/>
        <w:spacing w:after="0"/>
        <w:rPr>
          <w:rFonts w:ascii="Arial" w:hAnsi="Arial" w:cs="Arial"/>
          <w:bCs/>
        </w:rPr>
      </w:pPr>
    </w:p>
    <w:p w14:paraId="77A5E45F" w14:textId="77777777" w:rsidR="002876BE" w:rsidRPr="00627B2B" w:rsidRDefault="00125726" w:rsidP="00C12D36">
      <w:pPr>
        <w:pStyle w:val="Body"/>
        <w:spacing w:after="0"/>
        <w:rPr>
          <w:rFonts w:ascii="Arial" w:hAnsi="Arial" w:cs="Arial"/>
          <w:bCs/>
        </w:rPr>
      </w:pPr>
      <w:r w:rsidRPr="00627B2B">
        <w:rPr>
          <w:rFonts w:ascii="Arial" w:hAnsi="Arial" w:cs="Arial"/>
          <w:bCs/>
        </w:rPr>
        <w:t xml:space="preserve">The study intends to take the entire population, but some companies did not pass the sample criteria of listed for the period of 2015 to 2024. </w:t>
      </w:r>
      <w:bookmarkEnd w:id="0"/>
      <w:r w:rsidRPr="00627B2B">
        <w:rPr>
          <w:rFonts w:ascii="Arial" w:hAnsi="Arial" w:cs="Arial"/>
          <w:bCs/>
        </w:rPr>
        <w:t xml:space="preserve"> This research relied on secondary sources of data.  The panel data for the period 2015 to 2024 was derived from the annual reports and </w:t>
      </w:r>
      <w:r w:rsidRPr="00627B2B">
        <w:rPr>
          <w:rFonts w:ascii="Arial" w:hAnsi="Arial" w:cs="Arial"/>
          <w:bCs/>
        </w:rPr>
        <w:lastRenderedPageBreak/>
        <w:t>financial statements of six (6) sampled enterprises.  This research employed the dynamic panel data regression technique or the Generalized Method of Moment (GMM) due to the structure of the data, which consists of a combination of cross-sections and time-series and is based on the number of enterprises from various industries over an 9-year period</w:t>
      </w:r>
      <w:r w:rsidR="00A52933" w:rsidRPr="00627B2B">
        <w:rPr>
          <w:rFonts w:ascii="Arial" w:hAnsi="Arial" w:cs="Arial"/>
          <w:bCs/>
        </w:rPr>
        <w:t xml:space="preserve"> </w:t>
      </w:r>
    </w:p>
    <w:p w14:paraId="154C22A0" w14:textId="77777777" w:rsidR="00F52975" w:rsidRPr="00627B2B" w:rsidRDefault="00F52975" w:rsidP="00C12D36">
      <w:pPr>
        <w:pStyle w:val="Body"/>
        <w:spacing w:after="0"/>
        <w:rPr>
          <w:rFonts w:ascii="Arial" w:hAnsi="Arial" w:cs="Arial"/>
          <w:bCs/>
        </w:rPr>
      </w:pPr>
    </w:p>
    <w:p w14:paraId="24D90A26" w14:textId="77777777" w:rsidR="00125726" w:rsidRPr="00627B2B" w:rsidRDefault="00125726" w:rsidP="00C12D36">
      <w:pPr>
        <w:pStyle w:val="Body"/>
        <w:spacing w:after="0"/>
        <w:rPr>
          <w:rFonts w:ascii="Arial" w:hAnsi="Arial" w:cs="Arial"/>
          <w:bCs/>
        </w:rPr>
      </w:pPr>
      <w:r w:rsidRPr="00627B2B">
        <w:rPr>
          <w:rFonts w:ascii="Arial" w:hAnsi="Arial" w:cs="Arial"/>
          <w:bCs/>
        </w:rPr>
        <w:t xml:space="preserve">Model specification </w:t>
      </w:r>
    </w:p>
    <w:p w14:paraId="092BD2D9" w14:textId="77777777" w:rsidR="00551E38" w:rsidRPr="00551E38" w:rsidRDefault="00551E38" w:rsidP="00551E38">
      <w:pPr>
        <w:pStyle w:val="Body"/>
        <w:rPr>
          <w:rFonts w:ascii="Arial" w:hAnsi="Arial" w:cs="Arial"/>
          <w:bCs/>
        </w:rPr>
      </w:pPr>
      <w:r w:rsidRPr="00551E38">
        <w:rPr>
          <w:rFonts w:ascii="Arial" w:hAnsi="Arial" w:cs="Arial"/>
          <w:bCs/>
        </w:rPr>
        <w:t>The dynamic model is specified as follows:</w:t>
      </w:r>
    </w:p>
    <w:p w14:paraId="714472B8" w14:textId="38BDFE00" w:rsidR="00551E38" w:rsidRPr="00551E38" w:rsidRDefault="00627B2B" w:rsidP="00551E38">
      <w:pPr>
        <w:pStyle w:val="Body"/>
        <w:rPr>
          <w:rFonts w:ascii="Arial" w:hAnsi="Arial" w:cs="Arial"/>
          <w:bCs/>
        </w:rPr>
      </w:pPr>
      <m:oMathPara>
        <m:oMath>
          <m:r>
            <w:rPr>
              <w:rFonts w:ascii="Cambria Math" w:hAnsi="Cambria Math" w:cs="Arial"/>
            </w:rPr>
            <m:t>F</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rPr>
              </m:ctrlPr>
            </m:sSubPr>
            <m:e>
              <m:r>
                <w:rPr>
                  <w:rFonts w:ascii="Cambria Math" w:hAnsi="Cambria Math" w:cs="Arial"/>
                </w:rPr>
                <m:t>α</m:t>
              </m:r>
            </m:e>
            <m:sub>
              <m:r>
                <w:rPr>
                  <w:rFonts w:ascii="Cambria Math" w:hAnsi="Cambria Math" w:cs="Arial"/>
                </w:rPr>
                <m:t>1</m:t>
              </m:r>
            </m:sub>
          </m:sSub>
          <m:r>
            <w:rPr>
              <w:rFonts w:ascii="Cambria Math" w:hAnsi="Cambria Math" w:cs="Arial"/>
            </w:rPr>
            <m:t>F</m:t>
          </m:r>
          <m:sSub>
            <m:sSubPr>
              <m:ctrlPr>
                <w:rPr>
                  <w:rFonts w:ascii="Cambria Math" w:hAnsi="Cambria Math" w:cs="Arial"/>
                  <w:bCs/>
                </w:rPr>
              </m:ctrlPr>
            </m:sSubPr>
            <m:e>
              <m:r>
                <w:rPr>
                  <w:rFonts w:ascii="Cambria Math" w:hAnsi="Cambria Math" w:cs="Arial"/>
                </w:rPr>
                <m:t>P</m:t>
              </m:r>
            </m:e>
            <m:sub>
              <m:r>
                <w:rPr>
                  <w:rFonts w:ascii="Cambria Math" w:hAnsi="Cambria Math" w:cs="Arial"/>
                </w:rPr>
                <m:t>it-1</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1</m:t>
              </m:r>
            </m:sub>
          </m:sSub>
          <m:r>
            <w:rPr>
              <w:rFonts w:ascii="Cambria Math" w:hAnsi="Cambria Math" w:cs="Arial"/>
            </w:rPr>
            <m:t>GH</m:t>
          </m:r>
          <m:sSub>
            <m:sSubPr>
              <m:ctrlPr>
                <w:rPr>
                  <w:rFonts w:ascii="Cambria Math" w:hAnsi="Cambria Math" w:cs="Arial"/>
                  <w:bCs/>
                </w:rPr>
              </m:ctrlPr>
            </m:sSubPr>
            <m:e>
              <m:r>
                <w:rPr>
                  <w:rFonts w:ascii="Cambria Math" w:hAnsi="Cambria Math" w:cs="Arial"/>
                </w:rPr>
                <m:t>G</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2</m:t>
              </m:r>
            </m:sub>
          </m:sSub>
          <m:r>
            <w:rPr>
              <w:rFonts w:ascii="Cambria Math" w:hAnsi="Cambria Math" w:cs="Arial"/>
            </w:rPr>
            <m:t>WM</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3</m:t>
              </m:r>
            </m:sub>
          </m:sSub>
          <m:r>
            <w:rPr>
              <w:rFonts w:ascii="Cambria Math" w:hAnsi="Cambria Math" w:cs="Arial"/>
            </w:rPr>
            <m:t>E</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4</m:t>
              </m:r>
            </m:sub>
          </m:sSub>
          <m:r>
            <w:rPr>
              <w:rFonts w:ascii="Cambria Math" w:hAnsi="Cambria Math" w:cs="Arial"/>
            </w:rPr>
            <m:t>F</m:t>
          </m:r>
          <m:sSub>
            <m:sSubPr>
              <m:ctrlPr>
                <w:rPr>
                  <w:rFonts w:ascii="Cambria Math" w:hAnsi="Cambria Math" w:cs="Arial"/>
                  <w:bCs/>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5</m:t>
              </m:r>
            </m:sub>
          </m:sSub>
          <m:r>
            <w:rPr>
              <w:rFonts w:ascii="Cambria Math" w:hAnsi="Cambria Math" w:cs="Arial"/>
            </w:rPr>
            <m:t>LE</m:t>
          </m:r>
          <m:sSub>
            <m:sSubPr>
              <m:ctrlPr>
                <w:rPr>
                  <w:rFonts w:ascii="Cambria Math" w:hAnsi="Cambria Math" w:cs="Arial"/>
                  <w:bCs/>
                </w:rPr>
              </m:ctrlPr>
            </m:sSubPr>
            <m:e>
              <m:r>
                <w:rPr>
                  <w:rFonts w:ascii="Cambria Math" w:hAnsi="Cambria Math" w:cs="Arial"/>
                </w:rPr>
                <m:t>V</m:t>
              </m:r>
            </m:e>
            <m:sub>
              <m:r>
                <w:rPr>
                  <w:rFonts w:ascii="Cambria Math" w:hAnsi="Cambria Math" w:cs="Arial"/>
                </w:rPr>
                <m:t>it</m:t>
              </m:r>
            </m:sub>
          </m:sSub>
          <m:r>
            <w:rPr>
              <w:rFonts w:ascii="Cambria Math" w:hAnsi="Cambria Math" w:cs="Arial"/>
            </w:rPr>
            <m:t>+</m:t>
          </m:r>
          <m:sSub>
            <m:sSubPr>
              <m:ctrlPr>
                <w:rPr>
                  <w:rFonts w:ascii="Cambria Math" w:hAnsi="Cambria Math" w:cs="Arial"/>
                  <w:bCs/>
                </w:rPr>
              </m:ctrlPr>
            </m:sSubPr>
            <m:e>
              <m:r>
                <w:rPr>
                  <w:rFonts w:ascii="Cambria Math" w:hAnsi="Cambria Math" w:cs="Arial"/>
                </w:rPr>
                <m:t>ϵ</m:t>
              </m:r>
            </m:e>
            <m:sub>
              <m:r>
                <w:rPr>
                  <w:rFonts w:ascii="Cambria Math" w:hAnsi="Cambria Math" w:cs="Arial"/>
                </w:rPr>
                <m:t>it</m:t>
              </m:r>
            </m:sub>
          </m:sSub>
          <m:r>
            <m:rPr>
              <m:sty m:val="p"/>
            </m:rPr>
            <w:rPr>
              <w:rFonts w:ascii="Arial" w:hAnsi="Arial" w:cs="Arial"/>
            </w:rPr>
            <w:br/>
          </m:r>
        </m:oMath>
      </m:oMathPara>
    </w:p>
    <w:p w14:paraId="69F1FD45" w14:textId="77777777" w:rsidR="00551E38" w:rsidRPr="00551E38" w:rsidRDefault="00551E38" w:rsidP="00551E38">
      <w:pPr>
        <w:pStyle w:val="Body"/>
        <w:rPr>
          <w:rFonts w:ascii="Arial" w:hAnsi="Arial" w:cs="Arial"/>
          <w:bCs/>
        </w:rPr>
      </w:pPr>
      <w:r w:rsidRPr="00551E38">
        <w:rPr>
          <w:rFonts w:ascii="Arial" w:hAnsi="Arial" w:cs="Arial"/>
          <w:bCs/>
        </w:rPr>
        <w:t>Where:</w:t>
      </w:r>
    </w:p>
    <w:p w14:paraId="038E26CC" w14:textId="4788EFB5" w:rsidR="00551E38" w:rsidRPr="00551E38" w:rsidRDefault="00627B2B" w:rsidP="00551E38">
      <w:pPr>
        <w:pStyle w:val="Body"/>
        <w:ind w:left="720"/>
        <w:rPr>
          <w:rFonts w:ascii="Arial" w:hAnsi="Arial" w:cs="Arial"/>
          <w:bCs/>
        </w:rPr>
      </w:pPr>
      <m:oMath>
        <m:r>
          <w:rPr>
            <w:rFonts w:ascii="Cambria Math" w:hAnsi="Cambria Math" w:cs="Arial"/>
          </w:rPr>
          <m:t>F</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oMath>
      <w:r w:rsidR="00551E38" w:rsidRPr="00551E38">
        <w:rPr>
          <w:rFonts w:ascii="Arial" w:hAnsi="Arial" w:cs="Arial"/>
          <w:bCs/>
        </w:rPr>
        <w:t xml:space="preserve">= Firm profitability of firm </w:t>
      </w:r>
      <m:oMath>
        <m:r>
          <w:rPr>
            <w:rFonts w:ascii="Cambria Math" w:hAnsi="Cambria Math" w:cs="Arial"/>
          </w:rPr>
          <m:t>i</m:t>
        </m:r>
      </m:oMath>
      <w:r w:rsidR="00551E38" w:rsidRPr="00551E38">
        <w:rPr>
          <w:rFonts w:ascii="Arial" w:hAnsi="Arial" w:cs="Arial"/>
          <w:bCs/>
        </w:rPr>
        <w:t xml:space="preserve">at time </w:t>
      </w:r>
      <m:oMath>
        <m:r>
          <w:rPr>
            <w:rFonts w:ascii="Cambria Math" w:hAnsi="Cambria Math" w:cs="Arial"/>
          </w:rPr>
          <m:t>t</m:t>
        </m:r>
      </m:oMath>
    </w:p>
    <w:p w14:paraId="7F7314B5" w14:textId="19027203" w:rsidR="00551E38" w:rsidRPr="00551E38" w:rsidRDefault="00627B2B" w:rsidP="00551E38">
      <w:pPr>
        <w:pStyle w:val="Body"/>
        <w:ind w:left="720"/>
        <w:rPr>
          <w:rFonts w:ascii="Arial" w:hAnsi="Arial" w:cs="Arial"/>
          <w:bCs/>
        </w:rPr>
      </w:pPr>
      <m:oMath>
        <m:r>
          <w:rPr>
            <w:rFonts w:ascii="Cambria Math" w:hAnsi="Cambria Math" w:cs="Arial"/>
          </w:rPr>
          <m:t>F</m:t>
        </m:r>
        <m:sSub>
          <m:sSubPr>
            <m:ctrlPr>
              <w:rPr>
                <w:rFonts w:ascii="Cambria Math" w:hAnsi="Cambria Math" w:cs="Arial"/>
                <w:bCs/>
              </w:rPr>
            </m:ctrlPr>
          </m:sSubPr>
          <m:e>
            <m:r>
              <w:rPr>
                <w:rFonts w:ascii="Cambria Math" w:hAnsi="Cambria Math" w:cs="Arial"/>
              </w:rPr>
              <m:t>P</m:t>
            </m:r>
          </m:e>
          <m:sub>
            <m:r>
              <w:rPr>
                <w:rFonts w:ascii="Cambria Math" w:hAnsi="Cambria Math" w:cs="Arial"/>
              </w:rPr>
              <m:t>it-1</m:t>
            </m:r>
          </m:sub>
        </m:sSub>
      </m:oMath>
      <w:r w:rsidR="00551E38" w:rsidRPr="00551E38">
        <w:rPr>
          <w:rFonts w:ascii="Arial" w:hAnsi="Arial" w:cs="Arial"/>
          <w:bCs/>
        </w:rPr>
        <w:t>= Lagged profitability</w:t>
      </w:r>
    </w:p>
    <w:p w14:paraId="7CEE5139" w14:textId="32218973" w:rsidR="00551E38" w:rsidRPr="00551E38" w:rsidRDefault="00627B2B" w:rsidP="00551E38">
      <w:pPr>
        <w:pStyle w:val="Body"/>
        <w:ind w:left="720"/>
        <w:rPr>
          <w:rFonts w:ascii="Arial" w:hAnsi="Arial" w:cs="Arial"/>
          <w:bCs/>
        </w:rPr>
      </w:pPr>
      <m:oMath>
        <m:r>
          <w:rPr>
            <w:rFonts w:ascii="Cambria Math" w:hAnsi="Cambria Math" w:cs="Arial"/>
          </w:rPr>
          <m:t>GH</m:t>
        </m:r>
        <m:sSub>
          <m:sSubPr>
            <m:ctrlPr>
              <w:rPr>
                <w:rFonts w:ascii="Cambria Math" w:hAnsi="Cambria Math" w:cs="Arial"/>
                <w:bCs/>
              </w:rPr>
            </m:ctrlPr>
          </m:sSubPr>
          <m:e>
            <m:r>
              <w:rPr>
                <w:rFonts w:ascii="Cambria Math" w:hAnsi="Cambria Math" w:cs="Arial"/>
              </w:rPr>
              <m:t>G</m:t>
            </m:r>
          </m:e>
          <m:sub>
            <m:r>
              <w:rPr>
                <w:rFonts w:ascii="Cambria Math" w:hAnsi="Cambria Math" w:cs="Arial"/>
              </w:rPr>
              <m:t>it</m:t>
            </m:r>
          </m:sub>
        </m:sSub>
      </m:oMath>
      <w:r w:rsidR="00551E38" w:rsidRPr="00551E38">
        <w:rPr>
          <w:rFonts w:ascii="Arial" w:hAnsi="Arial" w:cs="Arial"/>
          <w:bCs/>
        </w:rPr>
        <w:t xml:space="preserve">= Greenhouse Gas Emissions Reporting </w:t>
      </w:r>
    </w:p>
    <w:p w14:paraId="5DAEE015" w14:textId="4AA11B5D" w:rsidR="00551E38" w:rsidRPr="00551E38" w:rsidRDefault="00627B2B" w:rsidP="00551E38">
      <w:pPr>
        <w:pStyle w:val="Body"/>
        <w:ind w:left="720"/>
        <w:rPr>
          <w:rFonts w:ascii="Arial" w:hAnsi="Arial" w:cs="Arial"/>
          <w:bCs/>
        </w:rPr>
      </w:pPr>
      <m:oMath>
        <m:r>
          <w:rPr>
            <w:rFonts w:ascii="Cambria Math" w:hAnsi="Cambria Math" w:cs="Arial"/>
          </w:rPr>
          <m:t>WM</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oMath>
      <w:r w:rsidR="00551E38" w:rsidRPr="00551E38">
        <w:rPr>
          <w:rFonts w:ascii="Arial" w:hAnsi="Arial" w:cs="Arial"/>
          <w:bCs/>
        </w:rPr>
        <w:t xml:space="preserve">= Waste Management Practices </w:t>
      </w:r>
    </w:p>
    <w:p w14:paraId="18D76085" w14:textId="750A121A" w:rsidR="00551E38" w:rsidRPr="00551E38" w:rsidRDefault="00627B2B" w:rsidP="00551E38">
      <w:pPr>
        <w:pStyle w:val="Body"/>
        <w:ind w:left="720"/>
        <w:rPr>
          <w:rFonts w:ascii="Arial" w:hAnsi="Arial" w:cs="Arial"/>
          <w:bCs/>
        </w:rPr>
      </w:pPr>
      <m:oMath>
        <m:r>
          <w:rPr>
            <w:rFonts w:ascii="Cambria Math" w:hAnsi="Cambria Math" w:cs="Arial"/>
          </w:rPr>
          <m:t>E</m:t>
        </m:r>
        <m:sSub>
          <m:sSubPr>
            <m:ctrlPr>
              <w:rPr>
                <w:rFonts w:ascii="Cambria Math" w:hAnsi="Cambria Math" w:cs="Arial"/>
                <w:bCs/>
              </w:rPr>
            </m:ctrlPr>
          </m:sSubPr>
          <m:e>
            <m:r>
              <w:rPr>
                <w:rFonts w:ascii="Cambria Math" w:hAnsi="Cambria Math" w:cs="Arial"/>
              </w:rPr>
              <m:t>P</m:t>
            </m:r>
          </m:e>
          <m:sub>
            <m:r>
              <w:rPr>
                <w:rFonts w:ascii="Cambria Math" w:hAnsi="Cambria Math" w:cs="Arial"/>
              </w:rPr>
              <m:t>it</m:t>
            </m:r>
          </m:sub>
        </m:sSub>
      </m:oMath>
      <w:r w:rsidR="00551E38" w:rsidRPr="00551E38">
        <w:rPr>
          <w:rFonts w:ascii="Arial" w:hAnsi="Arial" w:cs="Arial"/>
          <w:bCs/>
        </w:rPr>
        <w:t xml:space="preserve">= Environmental Policies and Compliance </w:t>
      </w:r>
    </w:p>
    <w:p w14:paraId="199E8E75" w14:textId="27B8466C" w:rsidR="00551E38" w:rsidRPr="00551E38" w:rsidRDefault="00627B2B" w:rsidP="00551E38">
      <w:pPr>
        <w:pStyle w:val="Body"/>
        <w:ind w:left="720"/>
        <w:rPr>
          <w:rFonts w:ascii="Arial" w:hAnsi="Arial" w:cs="Arial"/>
          <w:bCs/>
        </w:rPr>
      </w:pPr>
      <m:oMath>
        <m:r>
          <w:rPr>
            <w:rFonts w:ascii="Cambria Math" w:hAnsi="Cambria Math" w:cs="Arial"/>
          </w:rPr>
          <m:t>F</m:t>
        </m:r>
        <m:sSub>
          <m:sSubPr>
            <m:ctrlPr>
              <w:rPr>
                <w:rFonts w:ascii="Cambria Math" w:hAnsi="Cambria Math" w:cs="Arial"/>
                <w:bCs/>
              </w:rPr>
            </m:ctrlPr>
          </m:sSubPr>
          <m:e>
            <m:r>
              <w:rPr>
                <w:rFonts w:ascii="Cambria Math" w:hAnsi="Cambria Math" w:cs="Arial"/>
              </w:rPr>
              <m:t>S</m:t>
            </m:r>
          </m:e>
          <m:sub>
            <m:r>
              <w:rPr>
                <w:rFonts w:ascii="Cambria Math" w:hAnsi="Cambria Math" w:cs="Arial"/>
              </w:rPr>
              <m:t>it</m:t>
            </m:r>
          </m:sub>
        </m:sSub>
      </m:oMath>
      <w:r w:rsidR="00551E38" w:rsidRPr="00551E38">
        <w:rPr>
          <w:rFonts w:ascii="Arial" w:hAnsi="Arial" w:cs="Arial"/>
          <w:bCs/>
        </w:rPr>
        <w:t xml:space="preserve">= Firm size </w:t>
      </w:r>
    </w:p>
    <w:p w14:paraId="72CBE48F" w14:textId="61E9AF6B" w:rsidR="00551E38" w:rsidRPr="00551E38" w:rsidRDefault="00627B2B" w:rsidP="00551E38">
      <w:pPr>
        <w:pStyle w:val="Body"/>
        <w:ind w:left="720"/>
        <w:rPr>
          <w:rFonts w:ascii="Arial" w:hAnsi="Arial" w:cs="Arial"/>
          <w:bCs/>
        </w:rPr>
      </w:pPr>
      <m:oMath>
        <m:r>
          <w:rPr>
            <w:rFonts w:ascii="Cambria Math" w:hAnsi="Cambria Math" w:cs="Arial"/>
          </w:rPr>
          <m:t>LE</m:t>
        </m:r>
        <m:sSub>
          <m:sSubPr>
            <m:ctrlPr>
              <w:rPr>
                <w:rFonts w:ascii="Cambria Math" w:hAnsi="Cambria Math" w:cs="Arial"/>
                <w:bCs/>
              </w:rPr>
            </m:ctrlPr>
          </m:sSubPr>
          <m:e>
            <m:r>
              <w:rPr>
                <w:rFonts w:ascii="Cambria Math" w:hAnsi="Cambria Math" w:cs="Arial"/>
              </w:rPr>
              <m:t>V</m:t>
            </m:r>
          </m:e>
          <m:sub>
            <m:r>
              <w:rPr>
                <w:rFonts w:ascii="Cambria Math" w:hAnsi="Cambria Math" w:cs="Arial"/>
              </w:rPr>
              <m:t>it</m:t>
            </m:r>
          </m:sub>
        </m:sSub>
      </m:oMath>
      <w:r w:rsidR="00551E38" w:rsidRPr="00551E38">
        <w:rPr>
          <w:rFonts w:ascii="Arial" w:hAnsi="Arial" w:cs="Arial"/>
          <w:bCs/>
        </w:rPr>
        <w:t xml:space="preserve">= Leverage </w:t>
      </w:r>
    </w:p>
    <w:p w14:paraId="130C3BC9" w14:textId="397647A9" w:rsidR="00551E38" w:rsidRPr="00551E38" w:rsidRDefault="004E5449" w:rsidP="00551E38">
      <w:pPr>
        <w:pStyle w:val="Body"/>
        <w:ind w:left="720"/>
        <w:rPr>
          <w:rFonts w:ascii="Arial" w:hAnsi="Arial" w:cs="Arial"/>
          <w:bCs/>
        </w:rPr>
      </w:pPr>
      <m:oMath>
        <m:sSub>
          <m:sSubPr>
            <m:ctrlPr>
              <w:rPr>
                <w:rFonts w:ascii="Cambria Math" w:hAnsi="Cambria Math" w:cs="Arial"/>
                <w:bCs/>
              </w:rPr>
            </m:ctrlPr>
          </m:sSubPr>
          <m:e>
            <m:r>
              <w:rPr>
                <w:rFonts w:ascii="Cambria Math" w:hAnsi="Cambria Math" w:cs="Arial"/>
              </w:rPr>
              <m:t>α</m:t>
            </m:r>
          </m:e>
          <m:sub>
            <m:r>
              <w:rPr>
                <w:rFonts w:ascii="Cambria Math" w:hAnsi="Cambria Math" w:cs="Arial"/>
              </w:rPr>
              <m:t>0</m:t>
            </m:r>
          </m:sub>
        </m:sSub>
      </m:oMath>
      <w:r w:rsidR="00551E38" w:rsidRPr="00551E38">
        <w:rPr>
          <w:rFonts w:ascii="Arial" w:hAnsi="Arial" w:cs="Arial"/>
          <w:bCs/>
        </w:rPr>
        <w:t>= Intercept</w:t>
      </w:r>
    </w:p>
    <w:p w14:paraId="575E4EFB" w14:textId="40B075D1" w:rsidR="00551E38" w:rsidRPr="00551E38" w:rsidRDefault="004E5449" w:rsidP="00551E38">
      <w:pPr>
        <w:pStyle w:val="Body"/>
        <w:ind w:left="720"/>
        <w:rPr>
          <w:rFonts w:ascii="Arial" w:hAnsi="Arial" w:cs="Arial"/>
          <w:bCs/>
        </w:rPr>
      </w:pPr>
      <m:oMath>
        <m:sSub>
          <m:sSubPr>
            <m:ctrlPr>
              <w:rPr>
                <w:rFonts w:ascii="Cambria Math" w:hAnsi="Cambria Math" w:cs="Arial"/>
                <w:bCs/>
              </w:rPr>
            </m:ctrlPr>
          </m:sSubPr>
          <m:e>
            <m:r>
              <w:rPr>
                <w:rFonts w:ascii="Cambria Math" w:hAnsi="Cambria Math" w:cs="Arial"/>
              </w:rPr>
              <m:t>β</m:t>
            </m:r>
          </m:e>
          <m:sub>
            <m:r>
              <w:rPr>
                <w:rFonts w:ascii="Cambria Math" w:hAnsi="Cambria Math" w:cs="Arial"/>
              </w:rPr>
              <m:t>1</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2</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3</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4</m:t>
            </m:r>
          </m:sub>
        </m:sSub>
        <m:r>
          <w:rPr>
            <w:rFonts w:ascii="Cambria Math" w:hAnsi="Cambria Math" w:cs="Arial"/>
          </w:rPr>
          <m:t>,</m:t>
        </m:r>
        <m:sSub>
          <m:sSubPr>
            <m:ctrlPr>
              <w:rPr>
                <w:rFonts w:ascii="Cambria Math" w:hAnsi="Cambria Math" w:cs="Arial"/>
                <w:bCs/>
              </w:rPr>
            </m:ctrlPr>
          </m:sSubPr>
          <m:e>
            <m:r>
              <w:rPr>
                <w:rFonts w:ascii="Cambria Math" w:hAnsi="Cambria Math" w:cs="Arial"/>
              </w:rPr>
              <m:t>β</m:t>
            </m:r>
          </m:e>
          <m:sub>
            <m:r>
              <w:rPr>
                <w:rFonts w:ascii="Cambria Math" w:hAnsi="Cambria Math" w:cs="Arial"/>
              </w:rPr>
              <m:t>5</m:t>
            </m:r>
          </m:sub>
        </m:sSub>
      </m:oMath>
      <w:r w:rsidR="00551E38" w:rsidRPr="00551E38">
        <w:rPr>
          <w:rFonts w:ascii="Arial" w:hAnsi="Arial" w:cs="Arial"/>
          <w:bCs/>
        </w:rPr>
        <w:t>= Coefficients of explanatory variables</w:t>
      </w:r>
    </w:p>
    <w:p w14:paraId="6C1D8FEA" w14:textId="767202A7" w:rsidR="00551E38" w:rsidRPr="00627B2B" w:rsidRDefault="004E5449" w:rsidP="00903AC9">
      <w:pPr>
        <w:pStyle w:val="Body"/>
        <w:ind w:left="720"/>
        <w:rPr>
          <w:rFonts w:ascii="Arial" w:hAnsi="Arial" w:cs="Arial"/>
          <w:bCs/>
        </w:rPr>
      </w:pPr>
      <m:oMath>
        <m:sSub>
          <m:sSubPr>
            <m:ctrlPr>
              <w:rPr>
                <w:rFonts w:ascii="Cambria Math" w:hAnsi="Cambria Math" w:cs="Arial"/>
                <w:bCs/>
              </w:rPr>
            </m:ctrlPr>
          </m:sSubPr>
          <m:e>
            <m:r>
              <w:rPr>
                <w:rFonts w:ascii="Cambria Math" w:hAnsi="Cambria Math" w:cs="Arial"/>
              </w:rPr>
              <m:t>ϵ</m:t>
            </m:r>
          </m:e>
          <m:sub>
            <m:r>
              <w:rPr>
                <w:rFonts w:ascii="Cambria Math" w:hAnsi="Cambria Math" w:cs="Arial"/>
              </w:rPr>
              <m:t>it</m:t>
            </m:r>
          </m:sub>
        </m:sSub>
      </m:oMath>
      <w:r w:rsidR="00551E38" w:rsidRPr="00551E38">
        <w:rPr>
          <w:rFonts w:ascii="Arial" w:hAnsi="Arial" w:cs="Arial"/>
          <w:bCs/>
        </w:rPr>
        <w:t>= Error term</w:t>
      </w:r>
    </w:p>
    <w:p w14:paraId="06D7D0E3" w14:textId="395333C9" w:rsidR="006018D2" w:rsidRPr="00627B2B" w:rsidRDefault="006018D2" w:rsidP="00C12D36">
      <w:pPr>
        <w:pStyle w:val="Body"/>
        <w:rPr>
          <w:rFonts w:ascii="Arial" w:hAnsi="Arial" w:cs="Arial"/>
          <w:bCs/>
        </w:rPr>
      </w:pPr>
      <w:r w:rsidRPr="00627B2B">
        <w:rPr>
          <w:rFonts w:ascii="Arial" w:hAnsi="Arial" w:cs="Arial"/>
          <w:bCs/>
        </w:rPr>
        <w:t>A one-period lag of firm profitability (FP</w:t>
      </w:r>
      <w:r w:rsidRPr="00627B2B">
        <w:rPr>
          <w:rFonts w:ascii="Cambria Math" w:hAnsi="Cambria Math" w:cs="Cambria Math"/>
          <w:bCs/>
        </w:rPr>
        <w:t>₍</w:t>
      </w:r>
      <w:r w:rsidRPr="00627B2B">
        <w:rPr>
          <w:rFonts w:ascii="Arial" w:hAnsi="Arial" w:cs="Arial"/>
          <w:bCs/>
        </w:rPr>
        <w:t>ᵢ</w:t>
      </w:r>
      <w:r w:rsidRPr="00627B2B">
        <w:rPr>
          <w:rFonts w:ascii="Cambria Math" w:hAnsi="Cambria Math" w:cs="Cambria Math"/>
          <w:bCs/>
        </w:rPr>
        <w:t>ₜ₋₁₎</w:t>
      </w:r>
      <w:r w:rsidRPr="00627B2B">
        <w:rPr>
          <w:rFonts w:ascii="Arial" w:hAnsi="Arial" w:cs="Arial"/>
          <w:bCs/>
        </w:rPr>
        <w:t>) is included because profitability is dynamic and tends to persist over time. The lagged term captures this persistence and helps reduce omitted-variable bias by accounting for unobserved factors that influence firm performance across periods.</w:t>
      </w:r>
      <w:r w:rsidR="00936614">
        <w:rPr>
          <w:rFonts w:ascii="Arial" w:hAnsi="Arial" w:cs="Arial"/>
          <w:bCs/>
        </w:rPr>
        <w:t xml:space="preserve"> In table 2 presents the measurements of variables. </w:t>
      </w:r>
    </w:p>
    <w:p w14:paraId="39356BB7" w14:textId="174E417D" w:rsidR="00125726" w:rsidRPr="00627B2B" w:rsidRDefault="00A53E17" w:rsidP="00C12D36">
      <w:pPr>
        <w:pStyle w:val="Body"/>
        <w:rPr>
          <w:rFonts w:ascii="Arial" w:hAnsi="Arial" w:cs="Arial"/>
          <w:bCs/>
        </w:rPr>
      </w:pPr>
      <w:r w:rsidRPr="00627B2B">
        <w:rPr>
          <w:rFonts w:ascii="Arial" w:hAnsi="Arial" w:cs="Arial"/>
          <w:bCs/>
        </w:rPr>
        <w:t>Table 2.</w:t>
      </w:r>
      <w:r w:rsidR="006C1BBB" w:rsidRPr="00627B2B">
        <w:rPr>
          <w:rFonts w:ascii="Arial" w:hAnsi="Arial" w:cs="Arial"/>
          <w:bCs/>
        </w:rPr>
        <w:t xml:space="preserve"> </w:t>
      </w:r>
      <w:r w:rsidR="00884546" w:rsidRPr="00627B2B">
        <w:rPr>
          <w:rFonts w:ascii="Arial" w:hAnsi="Arial" w:cs="Arial"/>
          <w:bCs/>
          <w:i/>
        </w:rPr>
        <w:t>Measurements of V</w:t>
      </w:r>
      <w:r w:rsidR="00125726" w:rsidRPr="00627B2B">
        <w:rPr>
          <w:rFonts w:ascii="Arial" w:hAnsi="Arial" w:cs="Arial"/>
          <w:bCs/>
          <w:i/>
        </w:rPr>
        <w:t>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921"/>
        <w:gridCol w:w="3672"/>
        <w:gridCol w:w="1614"/>
      </w:tblGrid>
      <w:tr w:rsidR="00551E38" w:rsidRPr="00551E38" w14:paraId="44932468" w14:textId="77777777">
        <w:trPr>
          <w:tblHeader/>
          <w:tblCellSpacing w:w="15" w:type="dxa"/>
        </w:trPr>
        <w:tc>
          <w:tcPr>
            <w:tcW w:w="0" w:type="auto"/>
            <w:vAlign w:val="center"/>
            <w:hideMark/>
          </w:tcPr>
          <w:p w14:paraId="5DD78F4A" w14:textId="77777777" w:rsidR="00551E38" w:rsidRPr="00551E38" w:rsidRDefault="00551E38" w:rsidP="00551E38">
            <w:pPr>
              <w:pStyle w:val="Body"/>
              <w:rPr>
                <w:rFonts w:ascii="Arial" w:hAnsi="Arial" w:cs="Arial"/>
                <w:bCs/>
              </w:rPr>
            </w:pPr>
            <w:r w:rsidRPr="00551E38">
              <w:rPr>
                <w:rFonts w:ascii="Arial" w:hAnsi="Arial" w:cs="Arial"/>
                <w:bCs/>
              </w:rPr>
              <w:t>Variable</w:t>
            </w:r>
          </w:p>
        </w:tc>
        <w:tc>
          <w:tcPr>
            <w:tcW w:w="0" w:type="auto"/>
            <w:vAlign w:val="center"/>
            <w:hideMark/>
          </w:tcPr>
          <w:p w14:paraId="31A0E8F8" w14:textId="77777777" w:rsidR="00551E38" w:rsidRPr="00551E38" w:rsidRDefault="00551E38" w:rsidP="00551E38">
            <w:pPr>
              <w:pStyle w:val="Body"/>
              <w:rPr>
                <w:rFonts w:ascii="Arial" w:hAnsi="Arial" w:cs="Arial"/>
                <w:bCs/>
              </w:rPr>
            </w:pPr>
            <w:r w:rsidRPr="00551E38">
              <w:rPr>
                <w:rFonts w:ascii="Arial" w:hAnsi="Arial" w:cs="Arial"/>
                <w:bCs/>
              </w:rPr>
              <w:t>Variable Label</w:t>
            </w:r>
          </w:p>
        </w:tc>
        <w:tc>
          <w:tcPr>
            <w:tcW w:w="0" w:type="auto"/>
            <w:vAlign w:val="center"/>
            <w:hideMark/>
          </w:tcPr>
          <w:p w14:paraId="051638D4" w14:textId="77777777" w:rsidR="00551E38" w:rsidRPr="00551E38" w:rsidRDefault="00551E38" w:rsidP="00551E38">
            <w:pPr>
              <w:pStyle w:val="Body"/>
              <w:rPr>
                <w:rFonts w:ascii="Arial" w:hAnsi="Arial" w:cs="Arial"/>
                <w:bCs/>
              </w:rPr>
            </w:pPr>
            <w:r w:rsidRPr="00551E38">
              <w:rPr>
                <w:rFonts w:ascii="Arial" w:hAnsi="Arial" w:cs="Arial"/>
                <w:bCs/>
              </w:rPr>
              <w:t>Measurement</w:t>
            </w:r>
          </w:p>
        </w:tc>
        <w:tc>
          <w:tcPr>
            <w:tcW w:w="0" w:type="auto"/>
            <w:vAlign w:val="center"/>
            <w:hideMark/>
          </w:tcPr>
          <w:p w14:paraId="408EE279" w14:textId="77777777" w:rsidR="00551E38" w:rsidRPr="00551E38" w:rsidRDefault="00551E38" w:rsidP="00551E38">
            <w:pPr>
              <w:pStyle w:val="Body"/>
              <w:rPr>
                <w:rFonts w:ascii="Arial" w:hAnsi="Arial" w:cs="Arial"/>
                <w:bCs/>
              </w:rPr>
            </w:pPr>
            <w:r w:rsidRPr="00551E38">
              <w:rPr>
                <w:rFonts w:ascii="Arial" w:hAnsi="Arial" w:cs="Arial"/>
                <w:bCs/>
              </w:rPr>
              <w:t>Source</w:t>
            </w:r>
          </w:p>
        </w:tc>
      </w:tr>
      <w:tr w:rsidR="00551E38" w:rsidRPr="00551E38" w14:paraId="201600A0" w14:textId="77777777">
        <w:trPr>
          <w:tblCellSpacing w:w="15" w:type="dxa"/>
        </w:trPr>
        <w:tc>
          <w:tcPr>
            <w:tcW w:w="0" w:type="auto"/>
            <w:vAlign w:val="center"/>
            <w:hideMark/>
          </w:tcPr>
          <w:p w14:paraId="5BE88B90" w14:textId="77777777" w:rsidR="00551E38" w:rsidRPr="00551E38" w:rsidRDefault="00551E38" w:rsidP="00551E38">
            <w:pPr>
              <w:pStyle w:val="Body"/>
              <w:rPr>
                <w:rFonts w:ascii="Arial" w:hAnsi="Arial" w:cs="Arial"/>
                <w:bCs/>
              </w:rPr>
            </w:pPr>
            <w:r w:rsidRPr="00551E38">
              <w:rPr>
                <w:rFonts w:ascii="Arial" w:hAnsi="Arial" w:cs="Arial"/>
                <w:bCs/>
              </w:rPr>
              <w:t>Firm Profitability</w:t>
            </w:r>
          </w:p>
        </w:tc>
        <w:tc>
          <w:tcPr>
            <w:tcW w:w="0" w:type="auto"/>
            <w:vAlign w:val="center"/>
            <w:hideMark/>
          </w:tcPr>
          <w:p w14:paraId="033EEEBB" w14:textId="77777777" w:rsidR="00551E38" w:rsidRPr="00551E38" w:rsidRDefault="00551E38" w:rsidP="00551E38">
            <w:pPr>
              <w:pStyle w:val="Body"/>
              <w:rPr>
                <w:rFonts w:ascii="Arial" w:hAnsi="Arial" w:cs="Arial"/>
                <w:bCs/>
              </w:rPr>
            </w:pPr>
            <w:r w:rsidRPr="00551E38">
              <w:rPr>
                <w:rFonts w:ascii="Arial" w:hAnsi="Arial" w:cs="Arial"/>
                <w:bCs/>
              </w:rPr>
              <w:t>FP</w:t>
            </w:r>
          </w:p>
        </w:tc>
        <w:tc>
          <w:tcPr>
            <w:tcW w:w="0" w:type="auto"/>
            <w:vAlign w:val="center"/>
            <w:hideMark/>
          </w:tcPr>
          <w:p w14:paraId="20592020" w14:textId="77777777" w:rsidR="00551E38" w:rsidRPr="00551E38" w:rsidRDefault="00551E38" w:rsidP="00551E38">
            <w:pPr>
              <w:pStyle w:val="Body"/>
              <w:rPr>
                <w:rFonts w:ascii="Arial" w:hAnsi="Arial" w:cs="Arial"/>
                <w:bCs/>
              </w:rPr>
            </w:pPr>
            <w:r w:rsidRPr="00551E38">
              <w:rPr>
                <w:rFonts w:ascii="Arial" w:hAnsi="Arial" w:cs="Arial"/>
                <w:bCs/>
              </w:rPr>
              <w:t>Net income divided by the number of outstanding ordinary shares</w:t>
            </w:r>
          </w:p>
        </w:tc>
        <w:tc>
          <w:tcPr>
            <w:tcW w:w="0" w:type="auto"/>
            <w:vAlign w:val="center"/>
            <w:hideMark/>
          </w:tcPr>
          <w:p w14:paraId="16323B34" w14:textId="77777777" w:rsidR="00551E38" w:rsidRPr="00551E38" w:rsidRDefault="00551E38" w:rsidP="00551E38">
            <w:pPr>
              <w:pStyle w:val="Body"/>
              <w:rPr>
                <w:rFonts w:ascii="Arial" w:hAnsi="Arial" w:cs="Arial"/>
                <w:bCs/>
              </w:rPr>
            </w:pPr>
            <w:r w:rsidRPr="00551E38">
              <w:rPr>
                <w:rFonts w:ascii="Arial" w:hAnsi="Arial" w:cs="Arial"/>
                <w:bCs/>
              </w:rPr>
              <w:t>Ali &amp; Iman, 2011; Dada &amp; Adeniji, 2022</w:t>
            </w:r>
          </w:p>
        </w:tc>
      </w:tr>
      <w:tr w:rsidR="00551E38" w:rsidRPr="00551E38" w14:paraId="0E86E7FD" w14:textId="77777777">
        <w:trPr>
          <w:tblCellSpacing w:w="15" w:type="dxa"/>
        </w:trPr>
        <w:tc>
          <w:tcPr>
            <w:tcW w:w="0" w:type="auto"/>
            <w:vAlign w:val="center"/>
            <w:hideMark/>
          </w:tcPr>
          <w:p w14:paraId="0722BF96" w14:textId="77777777" w:rsidR="00551E38" w:rsidRPr="00551E38" w:rsidRDefault="00551E38" w:rsidP="00551E38">
            <w:pPr>
              <w:pStyle w:val="Body"/>
              <w:rPr>
                <w:rFonts w:ascii="Arial" w:hAnsi="Arial" w:cs="Arial"/>
                <w:bCs/>
              </w:rPr>
            </w:pPr>
            <w:r w:rsidRPr="00551E38">
              <w:rPr>
                <w:rFonts w:ascii="Arial" w:hAnsi="Arial" w:cs="Arial"/>
                <w:bCs/>
              </w:rPr>
              <w:t>Greenhouse Gas (GHG) Emissions Reporting</w:t>
            </w:r>
          </w:p>
        </w:tc>
        <w:tc>
          <w:tcPr>
            <w:tcW w:w="0" w:type="auto"/>
            <w:vAlign w:val="center"/>
            <w:hideMark/>
          </w:tcPr>
          <w:p w14:paraId="5B1C9F94" w14:textId="77777777" w:rsidR="00551E38" w:rsidRPr="00551E38" w:rsidRDefault="00551E38" w:rsidP="00551E38">
            <w:pPr>
              <w:pStyle w:val="Body"/>
              <w:rPr>
                <w:rFonts w:ascii="Arial" w:hAnsi="Arial" w:cs="Arial"/>
                <w:bCs/>
              </w:rPr>
            </w:pPr>
            <w:r w:rsidRPr="00551E38">
              <w:rPr>
                <w:rFonts w:ascii="Arial" w:hAnsi="Arial" w:cs="Arial"/>
                <w:bCs/>
              </w:rPr>
              <w:t>EAD-GHG</w:t>
            </w:r>
          </w:p>
        </w:tc>
        <w:tc>
          <w:tcPr>
            <w:tcW w:w="0" w:type="auto"/>
            <w:vAlign w:val="center"/>
            <w:hideMark/>
          </w:tcPr>
          <w:p w14:paraId="7422D28B" w14:textId="77777777" w:rsidR="00551E38" w:rsidRPr="00551E38" w:rsidRDefault="00551E38" w:rsidP="00551E38">
            <w:pPr>
              <w:pStyle w:val="Body"/>
              <w:rPr>
                <w:rFonts w:ascii="Arial" w:hAnsi="Arial" w:cs="Arial"/>
                <w:bCs/>
              </w:rPr>
            </w:pPr>
            <w:r w:rsidRPr="00551E38">
              <w:rPr>
                <w:rFonts w:ascii="Arial" w:hAnsi="Arial" w:cs="Arial"/>
                <w:bCs/>
              </w:rPr>
              <w:t>Content analysis based on GRI (2021) checklist; each disclosed item = 1, non-</w:t>
            </w:r>
            <w:r w:rsidRPr="00551E38">
              <w:rPr>
                <w:rFonts w:ascii="Arial" w:hAnsi="Arial" w:cs="Arial"/>
                <w:bCs/>
              </w:rPr>
              <w:lastRenderedPageBreak/>
              <w:t>disclosed = 0; score = proportion of items disclosed</w:t>
            </w:r>
          </w:p>
        </w:tc>
        <w:tc>
          <w:tcPr>
            <w:tcW w:w="0" w:type="auto"/>
            <w:vAlign w:val="center"/>
            <w:hideMark/>
          </w:tcPr>
          <w:p w14:paraId="76F42045" w14:textId="77777777" w:rsidR="00551E38" w:rsidRPr="00551E38" w:rsidRDefault="00551E38" w:rsidP="00551E38">
            <w:pPr>
              <w:pStyle w:val="Body"/>
              <w:rPr>
                <w:rFonts w:ascii="Arial" w:hAnsi="Arial" w:cs="Arial"/>
                <w:bCs/>
              </w:rPr>
            </w:pPr>
            <w:r w:rsidRPr="00551E38">
              <w:rPr>
                <w:rFonts w:ascii="Arial" w:hAnsi="Arial" w:cs="Arial"/>
                <w:bCs/>
              </w:rPr>
              <w:lastRenderedPageBreak/>
              <w:t>GRI, 2021</w:t>
            </w:r>
          </w:p>
        </w:tc>
      </w:tr>
      <w:tr w:rsidR="00551E38" w:rsidRPr="00551E38" w14:paraId="58EF1256" w14:textId="77777777">
        <w:trPr>
          <w:tblCellSpacing w:w="15" w:type="dxa"/>
        </w:trPr>
        <w:tc>
          <w:tcPr>
            <w:tcW w:w="0" w:type="auto"/>
            <w:vAlign w:val="center"/>
            <w:hideMark/>
          </w:tcPr>
          <w:p w14:paraId="687E7E32" w14:textId="77777777" w:rsidR="00551E38" w:rsidRPr="00551E38" w:rsidRDefault="00551E38" w:rsidP="00551E38">
            <w:pPr>
              <w:pStyle w:val="Body"/>
              <w:rPr>
                <w:rFonts w:ascii="Arial" w:hAnsi="Arial" w:cs="Arial"/>
                <w:bCs/>
              </w:rPr>
            </w:pPr>
            <w:r w:rsidRPr="00551E38">
              <w:rPr>
                <w:rFonts w:ascii="Arial" w:hAnsi="Arial" w:cs="Arial"/>
                <w:bCs/>
              </w:rPr>
              <w:t>Waste Management Practices</w:t>
            </w:r>
          </w:p>
        </w:tc>
        <w:tc>
          <w:tcPr>
            <w:tcW w:w="0" w:type="auto"/>
            <w:vAlign w:val="center"/>
            <w:hideMark/>
          </w:tcPr>
          <w:p w14:paraId="57BC2139" w14:textId="77777777" w:rsidR="00551E38" w:rsidRPr="00551E38" w:rsidRDefault="00551E38" w:rsidP="00551E38">
            <w:pPr>
              <w:pStyle w:val="Body"/>
              <w:rPr>
                <w:rFonts w:ascii="Arial" w:hAnsi="Arial" w:cs="Arial"/>
                <w:bCs/>
              </w:rPr>
            </w:pPr>
            <w:r w:rsidRPr="00551E38">
              <w:rPr>
                <w:rFonts w:ascii="Arial" w:hAnsi="Arial" w:cs="Arial"/>
                <w:bCs/>
              </w:rPr>
              <w:t>EAD-WMP</w:t>
            </w:r>
          </w:p>
        </w:tc>
        <w:tc>
          <w:tcPr>
            <w:tcW w:w="0" w:type="auto"/>
            <w:vAlign w:val="center"/>
            <w:hideMark/>
          </w:tcPr>
          <w:p w14:paraId="67537879" w14:textId="77777777" w:rsidR="00551E38" w:rsidRPr="00551E38" w:rsidRDefault="00551E38" w:rsidP="00551E38">
            <w:pPr>
              <w:pStyle w:val="Body"/>
              <w:rPr>
                <w:rFonts w:ascii="Arial" w:hAnsi="Arial" w:cs="Arial"/>
                <w:bCs/>
              </w:rPr>
            </w:pPr>
            <w:r w:rsidRPr="00551E38">
              <w:rPr>
                <w:rFonts w:ascii="Arial" w:hAnsi="Arial" w:cs="Arial"/>
                <w:bCs/>
              </w:rPr>
              <w:t>Content analysis based on GRI (2021) checklist; each disclosed item = 1, non-disclosed = 0; score = proportion of items disclosed</w:t>
            </w:r>
          </w:p>
        </w:tc>
        <w:tc>
          <w:tcPr>
            <w:tcW w:w="0" w:type="auto"/>
            <w:vAlign w:val="center"/>
            <w:hideMark/>
          </w:tcPr>
          <w:p w14:paraId="0841A1F6" w14:textId="77777777" w:rsidR="00551E38" w:rsidRPr="00551E38" w:rsidRDefault="00551E38" w:rsidP="00551E38">
            <w:pPr>
              <w:pStyle w:val="Body"/>
              <w:rPr>
                <w:rFonts w:ascii="Arial" w:hAnsi="Arial" w:cs="Arial"/>
                <w:bCs/>
              </w:rPr>
            </w:pPr>
            <w:r w:rsidRPr="00551E38">
              <w:rPr>
                <w:rFonts w:ascii="Arial" w:hAnsi="Arial" w:cs="Arial"/>
                <w:bCs/>
              </w:rPr>
              <w:t>GRI, 2021</w:t>
            </w:r>
          </w:p>
        </w:tc>
      </w:tr>
      <w:tr w:rsidR="00551E38" w:rsidRPr="00551E38" w14:paraId="799E145B" w14:textId="77777777">
        <w:trPr>
          <w:tblCellSpacing w:w="15" w:type="dxa"/>
        </w:trPr>
        <w:tc>
          <w:tcPr>
            <w:tcW w:w="0" w:type="auto"/>
            <w:vAlign w:val="center"/>
            <w:hideMark/>
          </w:tcPr>
          <w:p w14:paraId="669F6161" w14:textId="77777777" w:rsidR="00551E38" w:rsidRPr="00551E38" w:rsidRDefault="00551E38" w:rsidP="00551E38">
            <w:pPr>
              <w:pStyle w:val="Body"/>
              <w:rPr>
                <w:rFonts w:ascii="Arial" w:hAnsi="Arial" w:cs="Arial"/>
                <w:bCs/>
              </w:rPr>
            </w:pPr>
            <w:r w:rsidRPr="00551E38">
              <w:rPr>
                <w:rFonts w:ascii="Arial" w:hAnsi="Arial" w:cs="Arial"/>
                <w:bCs/>
              </w:rPr>
              <w:t>Environmental Policies and Compliance</w:t>
            </w:r>
          </w:p>
        </w:tc>
        <w:tc>
          <w:tcPr>
            <w:tcW w:w="0" w:type="auto"/>
            <w:vAlign w:val="center"/>
            <w:hideMark/>
          </w:tcPr>
          <w:p w14:paraId="0B67B4E9" w14:textId="77777777" w:rsidR="00551E38" w:rsidRPr="00551E38" w:rsidRDefault="00551E38" w:rsidP="00551E38">
            <w:pPr>
              <w:pStyle w:val="Body"/>
              <w:rPr>
                <w:rFonts w:ascii="Arial" w:hAnsi="Arial" w:cs="Arial"/>
                <w:bCs/>
              </w:rPr>
            </w:pPr>
            <w:r w:rsidRPr="00551E38">
              <w:rPr>
                <w:rFonts w:ascii="Arial" w:hAnsi="Arial" w:cs="Arial"/>
                <w:bCs/>
              </w:rPr>
              <w:t>EAD-EP</w:t>
            </w:r>
          </w:p>
        </w:tc>
        <w:tc>
          <w:tcPr>
            <w:tcW w:w="0" w:type="auto"/>
            <w:vAlign w:val="center"/>
            <w:hideMark/>
          </w:tcPr>
          <w:p w14:paraId="24940CFD" w14:textId="77777777" w:rsidR="00551E38" w:rsidRPr="00551E38" w:rsidRDefault="00551E38" w:rsidP="00551E38">
            <w:pPr>
              <w:pStyle w:val="Body"/>
              <w:rPr>
                <w:rFonts w:ascii="Arial" w:hAnsi="Arial" w:cs="Arial"/>
                <w:bCs/>
              </w:rPr>
            </w:pPr>
            <w:r w:rsidRPr="00551E38">
              <w:rPr>
                <w:rFonts w:ascii="Arial" w:hAnsi="Arial" w:cs="Arial"/>
                <w:bCs/>
              </w:rPr>
              <w:t>Content analysis based on GRI (2021) checklist; each disclosed item = 1, non-disclosed = 0; score = proportion of items disclosed</w:t>
            </w:r>
          </w:p>
        </w:tc>
        <w:tc>
          <w:tcPr>
            <w:tcW w:w="0" w:type="auto"/>
            <w:vAlign w:val="center"/>
            <w:hideMark/>
          </w:tcPr>
          <w:p w14:paraId="5EC2FE2E" w14:textId="77777777" w:rsidR="00551E38" w:rsidRPr="00551E38" w:rsidRDefault="00551E38" w:rsidP="00551E38">
            <w:pPr>
              <w:pStyle w:val="Body"/>
              <w:rPr>
                <w:rFonts w:ascii="Arial" w:hAnsi="Arial" w:cs="Arial"/>
                <w:bCs/>
              </w:rPr>
            </w:pPr>
            <w:r w:rsidRPr="00551E38">
              <w:rPr>
                <w:rFonts w:ascii="Arial" w:hAnsi="Arial" w:cs="Arial"/>
                <w:bCs/>
              </w:rPr>
              <w:t>GRI, 2021</w:t>
            </w:r>
          </w:p>
        </w:tc>
      </w:tr>
      <w:tr w:rsidR="00551E38" w:rsidRPr="00551E38" w14:paraId="14692D01" w14:textId="77777777">
        <w:trPr>
          <w:tblCellSpacing w:w="15" w:type="dxa"/>
        </w:trPr>
        <w:tc>
          <w:tcPr>
            <w:tcW w:w="0" w:type="auto"/>
            <w:vAlign w:val="center"/>
            <w:hideMark/>
          </w:tcPr>
          <w:p w14:paraId="407FEB9B" w14:textId="77777777" w:rsidR="00551E38" w:rsidRPr="00551E38" w:rsidRDefault="00551E38" w:rsidP="00551E38">
            <w:pPr>
              <w:pStyle w:val="Body"/>
              <w:rPr>
                <w:rFonts w:ascii="Arial" w:hAnsi="Arial" w:cs="Arial"/>
                <w:bCs/>
              </w:rPr>
            </w:pPr>
            <w:r w:rsidRPr="00551E38">
              <w:rPr>
                <w:rFonts w:ascii="Arial" w:hAnsi="Arial" w:cs="Arial"/>
                <w:bCs/>
              </w:rPr>
              <w:t>Firm Size (Control)</w:t>
            </w:r>
          </w:p>
        </w:tc>
        <w:tc>
          <w:tcPr>
            <w:tcW w:w="0" w:type="auto"/>
            <w:vAlign w:val="center"/>
            <w:hideMark/>
          </w:tcPr>
          <w:p w14:paraId="067E7F97" w14:textId="77777777" w:rsidR="00551E38" w:rsidRPr="00551E38" w:rsidRDefault="00551E38" w:rsidP="00551E38">
            <w:pPr>
              <w:pStyle w:val="Body"/>
              <w:rPr>
                <w:rFonts w:ascii="Arial" w:hAnsi="Arial" w:cs="Arial"/>
                <w:bCs/>
              </w:rPr>
            </w:pPr>
            <w:r w:rsidRPr="00551E38">
              <w:rPr>
                <w:rFonts w:ascii="Arial" w:hAnsi="Arial" w:cs="Arial"/>
                <w:bCs/>
              </w:rPr>
              <w:t>FS</w:t>
            </w:r>
          </w:p>
        </w:tc>
        <w:tc>
          <w:tcPr>
            <w:tcW w:w="0" w:type="auto"/>
            <w:vAlign w:val="center"/>
            <w:hideMark/>
          </w:tcPr>
          <w:p w14:paraId="3DF17502" w14:textId="77777777" w:rsidR="00551E38" w:rsidRPr="00551E38" w:rsidRDefault="00551E38" w:rsidP="00551E38">
            <w:pPr>
              <w:pStyle w:val="Body"/>
              <w:rPr>
                <w:rFonts w:ascii="Arial" w:hAnsi="Arial" w:cs="Arial"/>
                <w:bCs/>
              </w:rPr>
            </w:pPr>
            <w:r w:rsidRPr="00551E38">
              <w:rPr>
                <w:rFonts w:ascii="Arial" w:hAnsi="Arial" w:cs="Arial"/>
                <w:bCs/>
              </w:rPr>
              <w:t>Natural log of total assets</w:t>
            </w:r>
          </w:p>
        </w:tc>
        <w:tc>
          <w:tcPr>
            <w:tcW w:w="0" w:type="auto"/>
            <w:vAlign w:val="center"/>
            <w:hideMark/>
          </w:tcPr>
          <w:p w14:paraId="7322AD8F" w14:textId="77777777" w:rsidR="00551E38" w:rsidRPr="00551E38" w:rsidRDefault="00551E38" w:rsidP="00551E38">
            <w:pPr>
              <w:pStyle w:val="Body"/>
              <w:rPr>
                <w:rFonts w:ascii="Arial" w:hAnsi="Arial" w:cs="Arial"/>
                <w:bCs/>
              </w:rPr>
            </w:pPr>
            <w:r w:rsidRPr="00551E38">
              <w:rPr>
                <w:rFonts w:ascii="Arial" w:hAnsi="Arial" w:cs="Arial"/>
                <w:bCs/>
              </w:rPr>
              <w:t>Salaudeen &amp; Ejeh, 2018</w:t>
            </w:r>
          </w:p>
        </w:tc>
      </w:tr>
      <w:tr w:rsidR="00551E38" w:rsidRPr="00551E38" w14:paraId="306DF080" w14:textId="77777777">
        <w:trPr>
          <w:tblCellSpacing w:w="15" w:type="dxa"/>
        </w:trPr>
        <w:tc>
          <w:tcPr>
            <w:tcW w:w="0" w:type="auto"/>
            <w:vAlign w:val="center"/>
            <w:hideMark/>
          </w:tcPr>
          <w:p w14:paraId="21F04220" w14:textId="77777777" w:rsidR="00551E38" w:rsidRPr="00551E38" w:rsidRDefault="00551E38" w:rsidP="00551E38">
            <w:pPr>
              <w:pStyle w:val="Body"/>
              <w:rPr>
                <w:rFonts w:ascii="Arial" w:hAnsi="Arial" w:cs="Arial"/>
                <w:bCs/>
              </w:rPr>
            </w:pPr>
            <w:r w:rsidRPr="00551E38">
              <w:rPr>
                <w:rFonts w:ascii="Arial" w:hAnsi="Arial" w:cs="Arial"/>
                <w:bCs/>
              </w:rPr>
              <w:t>Leverage (Control)</w:t>
            </w:r>
          </w:p>
        </w:tc>
        <w:tc>
          <w:tcPr>
            <w:tcW w:w="0" w:type="auto"/>
            <w:vAlign w:val="center"/>
            <w:hideMark/>
          </w:tcPr>
          <w:p w14:paraId="19259966" w14:textId="77777777" w:rsidR="00551E38" w:rsidRPr="00551E38" w:rsidRDefault="00551E38" w:rsidP="00551E38">
            <w:pPr>
              <w:pStyle w:val="Body"/>
              <w:rPr>
                <w:rFonts w:ascii="Arial" w:hAnsi="Arial" w:cs="Arial"/>
                <w:bCs/>
              </w:rPr>
            </w:pPr>
            <w:r w:rsidRPr="00551E38">
              <w:rPr>
                <w:rFonts w:ascii="Arial" w:hAnsi="Arial" w:cs="Arial"/>
                <w:bCs/>
              </w:rPr>
              <w:t>LEV</w:t>
            </w:r>
          </w:p>
        </w:tc>
        <w:tc>
          <w:tcPr>
            <w:tcW w:w="0" w:type="auto"/>
            <w:vAlign w:val="center"/>
            <w:hideMark/>
          </w:tcPr>
          <w:p w14:paraId="527A9460" w14:textId="77777777" w:rsidR="00551E38" w:rsidRPr="00551E38" w:rsidRDefault="00551E38" w:rsidP="00551E38">
            <w:pPr>
              <w:pStyle w:val="Body"/>
              <w:rPr>
                <w:rFonts w:ascii="Arial" w:hAnsi="Arial" w:cs="Arial"/>
                <w:bCs/>
              </w:rPr>
            </w:pPr>
            <w:r w:rsidRPr="00551E38">
              <w:rPr>
                <w:rFonts w:ascii="Arial" w:hAnsi="Arial" w:cs="Arial"/>
                <w:bCs/>
              </w:rPr>
              <w:t>Total debt divided by total equity</w:t>
            </w:r>
          </w:p>
        </w:tc>
        <w:tc>
          <w:tcPr>
            <w:tcW w:w="0" w:type="auto"/>
            <w:vAlign w:val="center"/>
            <w:hideMark/>
          </w:tcPr>
          <w:p w14:paraId="439B1B2A" w14:textId="77777777" w:rsidR="00551E38" w:rsidRPr="00551E38" w:rsidRDefault="00551E38" w:rsidP="00551E38">
            <w:pPr>
              <w:pStyle w:val="Body"/>
              <w:rPr>
                <w:rFonts w:ascii="Arial" w:hAnsi="Arial" w:cs="Arial"/>
                <w:bCs/>
              </w:rPr>
            </w:pPr>
            <w:r w:rsidRPr="00551E38">
              <w:rPr>
                <w:rFonts w:ascii="Arial" w:hAnsi="Arial" w:cs="Arial"/>
                <w:bCs/>
              </w:rPr>
              <w:t>Vitolla et al., 2020; Roman et al., 2019</w:t>
            </w:r>
          </w:p>
        </w:tc>
      </w:tr>
    </w:tbl>
    <w:p w14:paraId="39A92FA6" w14:textId="77777777" w:rsidR="00551E38" w:rsidRPr="00627B2B" w:rsidRDefault="00551E38" w:rsidP="00C12D36">
      <w:pPr>
        <w:pStyle w:val="Body"/>
        <w:spacing w:after="0"/>
        <w:rPr>
          <w:rFonts w:ascii="Arial" w:hAnsi="Arial" w:cs="Arial"/>
          <w:bCs/>
        </w:rPr>
      </w:pPr>
    </w:p>
    <w:p w14:paraId="662E3059" w14:textId="0D3EB4C2" w:rsidR="00125726" w:rsidRPr="00627B2B" w:rsidRDefault="00FC1DC3" w:rsidP="00C12D36">
      <w:pPr>
        <w:pStyle w:val="Body"/>
        <w:spacing w:after="0"/>
        <w:rPr>
          <w:rFonts w:ascii="Arial" w:hAnsi="Arial" w:cs="Arial"/>
          <w:bCs/>
        </w:rPr>
      </w:pPr>
      <w:r w:rsidRPr="00627B2B">
        <w:rPr>
          <w:rFonts w:ascii="Arial" w:hAnsi="Arial" w:cs="Arial"/>
          <w:bCs/>
        </w:rPr>
        <w:t>Source: Author’s computation 2025</w:t>
      </w:r>
    </w:p>
    <w:p w14:paraId="072D65EC" w14:textId="77777777" w:rsidR="00FC1DC3" w:rsidRPr="00627B2B" w:rsidRDefault="00FC1DC3" w:rsidP="00C12D36">
      <w:pPr>
        <w:pStyle w:val="Body"/>
        <w:spacing w:after="0"/>
        <w:rPr>
          <w:rFonts w:ascii="Arial" w:hAnsi="Arial" w:cs="Arial"/>
          <w:bCs/>
        </w:rPr>
      </w:pPr>
    </w:p>
    <w:p w14:paraId="1501C5CA" w14:textId="4F478E5D" w:rsidR="00125726" w:rsidRPr="00627B2B" w:rsidRDefault="00125726" w:rsidP="00C12D36">
      <w:pPr>
        <w:pStyle w:val="Body"/>
        <w:spacing w:after="0"/>
        <w:rPr>
          <w:rFonts w:ascii="Arial" w:hAnsi="Arial" w:cs="Arial"/>
          <w:bCs/>
        </w:rPr>
      </w:pPr>
      <w:r w:rsidRPr="00627B2B">
        <w:rPr>
          <w:rFonts w:ascii="Arial" w:hAnsi="Arial" w:cs="Arial"/>
          <w:bCs/>
        </w:rPr>
        <w:t xml:space="preserve">4. </w:t>
      </w:r>
      <w:r w:rsidRPr="004E5449">
        <w:rPr>
          <w:rFonts w:ascii="Arial" w:hAnsi="Arial" w:cs="Arial"/>
          <w:b/>
          <w:bCs/>
        </w:rPr>
        <w:t>Result and Discussions</w:t>
      </w:r>
      <w:r w:rsidRPr="00627B2B">
        <w:rPr>
          <w:rFonts w:ascii="Arial" w:hAnsi="Arial" w:cs="Arial"/>
          <w:bCs/>
        </w:rPr>
        <w:t xml:space="preserve"> </w:t>
      </w:r>
    </w:p>
    <w:p w14:paraId="31B7E824" w14:textId="77777777" w:rsidR="00A1432A" w:rsidRPr="00627B2B" w:rsidRDefault="00A1432A" w:rsidP="00A1432A">
      <w:pPr>
        <w:pStyle w:val="Body"/>
        <w:spacing w:after="0"/>
        <w:rPr>
          <w:rFonts w:ascii="Arial" w:hAnsi="Arial" w:cs="Arial"/>
          <w:bCs/>
        </w:rPr>
      </w:pPr>
    </w:p>
    <w:p w14:paraId="24C4E0B2" w14:textId="53E20BA2" w:rsidR="00A1432A" w:rsidRPr="00A1432A" w:rsidRDefault="00A1432A" w:rsidP="00A1432A">
      <w:pPr>
        <w:pStyle w:val="Body"/>
        <w:spacing w:after="0"/>
        <w:rPr>
          <w:rFonts w:ascii="Arial" w:hAnsi="Arial" w:cs="Arial"/>
          <w:bCs/>
        </w:rPr>
      </w:pPr>
      <w:r w:rsidRPr="00A1432A">
        <w:rPr>
          <w:rFonts w:ascii="Arial" w:hAnsi="Arial" w:cs="Arial"/>
          <w:bCs/>
        </w:rPr>
        <w:t xml:space="preserve">Table </w:t>
      </w:r>
      <w:r w:rsidR="00936614">
        <w:rPr>
          <w:rFonts w:ascii="Arial" w:hAnsi="Arial" w:cs="Arial"/>
          <w:bCs/>
          <w:lang w:val="en-GB"/>
        </w:rPr>
        <w:t>3</w:t>
      </w:r>
      <w:r w:rsidRPr="00A1432A">
        <w:rPr>
          <w:rFonts w:ascii="Arial" w:hAnsi="Arial" w:cs="Arial"/>
          <w:bCs/>
        </w:rPr>
        <w:t xml:space="preserve"> presents the descriptive statistics for the variables used in the study over the 10-year period across the seven listed oil and gas companies in Nigeria (N = 60). The results show that firm profitability (FP) has a mean value of 1.21, with values ranging from 0.42 to 2.03, indicating moderate variability in profitability dynamics across firms and years. The standard deviation of 0.42 suggests considerable fluctuations in earnings per share within the sector.</w:t>
      </w:r>
    </w:p>
    <w:p w14:paraId="2FECE1A2" w14:textId="77777777" w:rsidR="00A1432A" w:rsidRPr="00A1432A" w:rsidRDefault="00A1432A" w:rsidP="00A1432A">
      <w:pPr>
        <w:pStyle w:val="Body"/>
        <w:spacing w:after="0"/>
        <w:rPr>
          <w:rFonts w:ascii="Arial" w:hAnsi="Arial" w:cs="Arial"/>
          <w:bCs/>
        </w:rPr>
      </w:pPr>
      <w:r w:rsidRPr="00A1432A">
        <w:rPr>
          <w:rFonts w:ascii="Arial" w:hAnsi="Arial" w:cs="Arial"/>
          <w:bCs/>
        </w:rPr>
        <w:t>Regarding environmental accounting disclosures, the mean score for greenhouse gas (GHG) disclosure is 0.48, implying that, on average, companies disclose about 48% of the GRI-based GHG items. The minimum value of 0.20 reflects very low disclosure in some firms, while the maximum of 0.80 indicates partial but not full compliance with global reporting standards.</w:t>
      </w:r>
    </w:p>
    <w:p w14:paraId="0BD526F2" w14:textId="7B97E985" w:rsidR="00A1432A" w:rsidRPr="00A1432A" w:rsidRDefault="00A1432A" w:rsidP="00A1432A">
      <w:pPr>
        <w:pStyle w:val="Body"/>
        <w:spacing w:after="0"/>
        <w:rPr>
          <w:rFonts w:ascii="Arial" w:hAnsi="Arial" w:cs="Arial"/>
          <w:bCs/>
        </w:rPr>
      </w:pPr>
      <w:r w:rsidRPr="00A1432A">
        <w:rPr>
          <w:rFonts w:ascii="Arial" w:hAnsi="Arial" w:cs="Arial"/>
          <w:bCs/>
        </w:rPr>
        <w:t>Similarly, waste management practices (WMP) have a mean disclosure proportion of 0.47, showing that companies disclosed approximately 47% of the expected waste-related environmental indicators. The standard deviation (0.20) suggests notable variation in reporting commitment across firms.</w:t>
      </w:r>
      <w:r w:rsidRPr="00627B2B">
        <w:rPr>
          <w:rFonts w:ascii="Arial" w:hAnsi="Arial" w:cs="Arial"/>
          <w:bCs/>
        </w:rPr>
        <w:t xml:space="preserve"> </w:t>
      </w:r>
      <w:r w:rsidRPr="00A1432A">
        <w:rPr>
          <w:rFonts w:ascii="Arial" w:hAnsi="Arial" w:cs="Arial"/>
          <w:bCs/>
        </w:rPr>
        <w:t>Environmental policy (EP) disclosure shows the lowest average score of 0.36, revealing that oil and gas companies disclose only 36% of relevant policy- and compliance-related environmental information. This highlights a gap in transparency regarding policy frameworks, environmental compliance, and regulatory alignment.</w:t>
      </w:r>
      <w:r w:rsidRPr="00627B2B">
        <w:rPr>
          <w:rFonts w:ascii="Arial" w:hAnsi="Arial" w:cs="Arial"/>
          <w:bCs/>
        </w:rPr>
        <w:t xml:space="preserve"> </w:t>
      </w:r>
      <w:r w:rsidRPr="00A1432A">
        <w:rPr>
          <w:rFonts w:ascii="Arial" w:hAnsi="Arial" w:cs="Arial"/>
          <w:bCs/>
        </w:rPr>
        <w:t>For the control variables, firm size (FS) has a mean logarithmic value of 4.08, showing that the companies vary moderately in asset base. Leverage (LEV) averages 0.38, suggesting that firms finance about 38% of operations through debt. The relatively wide range (0.10 to 0.68) indicates differing risk structures and capital strategies within the sector.</w:t>
      </w:r>
    </w:p>
    <w:p w14:paraId="19EE57CA" w14:textId="6415359F" w:rsidR="00125726" w:rsidRDefault="00125726" w:rsidP="00C12D36">
      <w:pPr>
        <w:pStyle w:val="Body"/>
        <w:spacing w:after="0"/>
        <w:rPr>
          <w:rFonts w:ascii="Arial" w:hAnsi="Arial" w:cs="Arial"/>
          <w:bCs/>
        </w:rPr>
      </w:pPr>
    </w:p>
    <w:p w14:paraId="5B0AD263" w14:textId="77777777" w:rsidR="00936614" w:rsidRPr="00627B2B" w:rsidRDefault="00936614" w:rsidP="00936614">
      <w:pPr>
        <w:pStyle w:val="Body"/>
        <w:spacing w:after="0"/>
        <w:rPr>
          <w:rFonts w:ascii="Arial" w:hAnsi="Arial" w:cs="Arial"/>
          <w:bCs/>
          <w:i/>
        </w:rPr>
      </w:pPr>
      <w:r w:rsidRPr="00627B2B">
        <w:rPr>
          <w:rFonts w:ascii="Arial" w:hAnsi="Arial" w:cs="Arial"/>
          <w:bCs/>
        </w:rPr>
        <w:t xml:space="preserve">Table 3. </w:t>
      </w:r>
      <w:r w:rsidRPr="00627B2B">
        <w:rPr>
          <w:rFonts w:ascii="Arial" w:hAnsi="Arial" w:cs="Arial"/>
          <w:bCs/>
          <w:i/>
        </w:rPr>
        <w:t>Descriptive Statistics</w:t>
      </w:r>
    </w:p>
    <w:p w14:paraId="4936033F" w14:textId="77777777" w:rsidR="00936614" w:rsidRPr="00627B2B" w:rsidRDefault="00936614" w:rsidP="00936614">
      <w:pPr>
        <w:pStyle w:val="Body"/>
        <w:spacing w:after="0"/>
        <w:rPr>
          <w:rFonts w:ascii="Arial" w:hAnsi="Arial" w:cs="Arial"/>
          <w:bCs/>
        </w:rPr>
      </w:pPr>
    </w:p>
    <w:tbl>
      <w:tblPr>
        <w:tblW w:w="8785" w:type="dxa"/>
        <w:tblLook w:val="04A0" w:firstRow="1" w:lastRow="0" w:firstColumn="1" w:lastColumn="0" w:noHBand="0" w:noVBand="1"/>
      </w:tblPr>
      <w:tblGrid>
        <w:gridCol w:w="1483"/>
        <w:gridCol w:w="882"/>
        <w:gridCol w:w="1605"/>
        <w:gridCol w:w="1605"/>
        <w:gridCol w:w="1605"/>
        <w:gridCol w:w="1605"/>
      </w:tblGrid>
      <w:tr w:rsidR="00936614" w:rsidRPr="00A1432A" w14:paraId="5A2B599E" w14:textId="77777777" w:rsidTr="004E5449">
        <w:trPr>
          <w:trHeight w:val="244"/>
        </w:trPr>
        <w:tc>
          <w:tcPr>
            <w:tcW w:w="1483" w:type="dxa"/>
            <w:tcBorders>
              <w:top w:val="single" w:sz="4" w:space="0" w:color="auto"/>
              <w:left w:val="single" w:sz="4" w:space="0" w:color="auto"/>
              <w:bottom w:val="single" w:sz="4" w:space="0" w:color="auto"/>
              <w:right w:val="single" w:sz="4" w:space="0" w:color="auto"/>
            </w:tcBorders>
            <w:vAlign w:val="center"/>
            <w:hideMark/>
          </w:tcPr>
          <w:p w14:paraId="38275537"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lastRenderedPageBreak/>
              <w:t>Variable</w:t>
            </w:r>
          </w:p>
        </w:tc>
        <w:tc>
          <w:tcPr>
            <w:tcW w:w="882" w:type="dxa"/>
            <w:tcBorders>
              <w:top w:val="single" w:sz="4" w:space="0" w:color="auto"/>
              <w:left w:val="nil"/>
              <w:bottom w:val="single" w:sz="4" w:space="0" w:color="auto"/>
              <w:right w:val="single" w:sz="4" w:space="0" w:color="auto"/>
            </w:tcBorders>
            <w:vAlign w:val="center"/>
            <w:hideMark/>
          </w:tcPr>
          <w:p w14:paraId="57FCE3D7"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Obs</w:t>
            </w:r>
          </w:p>
        </w:tc>
        <w:tc>
          <w:tcPr>
            <w:tcW w:w="1605" w:type="dxa"/>
            <w:tcBorders>
              <w:top w:val="single" w:sz="4" w:space="0" w:color="auto"/>
              <w:left w:val="nil"/>
              <w:bottom w:val="single" w:sz="4" w:space="0" w:color="auto"/>
              <w:right w:val="single" w:sz="4" w:space="0" w:color="auto"/>
            </w:tcBorders>
            <w:vAlign w:val="center"/>
            <w:hideMark/>
          </w:tcPr>
          <w:p w14:paraId="1BBD862D"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Mean</w:t>
            </w:r>
          </w:p>
        </w:tc>
        <w:tc>
          <w:tcPr>
            <w:tcW w:w="1605" w:type="dxa"/>
            <w:tcBorders>
              <w:top w:val="single" w:sz="4" w:space="0" w:color="auto"/>
              <w:left w:val="nil"/>
              <w:bottom w:val="single" w:sz="4" w:space="0" w:color="auto"/>
              <w:right w:val="single" w:sz="4" w:space="0" w:color="auto"/>
            </w:tcBorders>
            <w:vAlign w:val="center"/>
            <w:hideMark/>
          </w:tcPr>
          <w:p w14:paraId="50D1225F"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Std. Dev.</w:t>
            </w:r>
          </w:p>
        </w:tc>
        <w:tc>
          <w:tcPr>
            <w:tcW w:w="1605" w:type="dxa"/>
            <w:tcBorders>
              <w:top w:val="single" w:sz="4" w:space="0" w:color="auto"/>
              <w:left w:val="nil"/>
              <w:bottom w:val="single" w:sz="4" w:space="0" w:color="auto"/>
              <w:right w:val="single" w:sz="4" w:space="0" w:color="auto"/>
            </w:tcBorders>
            <w:vAlign w:val="center"/>
            <w:hideMark/>
          </w:tcPr>
          <w:p w14:paraId="02206EEE"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Min</w:t>
            </w:r>
          </w:p>
        </w:tc>
        <w:tc>
          <w:tcPr>
            <w:tcW w:w="1605" w:type="dxa"/>
            <w:tcBorders>
              <w:top w:val="single" w:sz="4" w:space="0" w:color="auto"/>
              <w:left w:val="nil"/>
              <w:bottom w:val="single" w:sz="4" w:space="0" w:color="auto"/>
              <w:right w:val="single" w:sz="4" w:space="0" w:color="auto"/>
            </w:tcBorders>
            <w:vAlign w:val="center"/>
            <w:hideMark/>
          </w:tcPr>
          <w:p w14:paraId="314C60D3" w14:textId="77777777" w:rsidR="00936614" w:rsidRPr="00A1432A" w:rsidRDefault="00936614"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Max</w:t>
            </w:r>
          </w:p>
        </w:tc>
      </w:tr>
      <w:tr w:rsidR="00936614" w:rsidRPr="00A1432A" w14:paraId="0C9AE303"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4C19E082"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FP </w:t>
            </w:r>
          </w:p>
        </w:tc>
        <w:tc>
          <w:tcPr>
            <w:tcW w:w="882" w:type="dxa"/>
            <w:tcBorders>
              <w:top w:val="nil"/>
              <w:left w:val="nil"/>
              <w:bottom w:val="single" w:sz="4" w:space="0" w:color="auto"/>
              <w:right w:val="single" w:sz="4" w:space="0" w:color="auto"/>
            </w:tcBorders>
            <w:vAlign w:val="center"/>
            <w:hideMark/>
          </w:tcPr>
          <w:p w14:paraId="17C6BA77"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3DEC1589"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1.205802</w:t>
            </w:r>
          </w:p>
        </w:tc>
        <w:tc>
          <w:tcPr>
            <w:tcW w:w="1605" w:type="dxa"/>
            <w:tcBorders>
              <w:top w:val="nil"/>
              <w:left w:val="nil"/>
              <w:bottom w:val="single" w:sz="4" w:space="0" w:color="auto"/>
              <w:right w:val="single" w:sz="4" w:space="0" w:color="auto"/>
            </w:tcBorders>
            <w:vAlign w:val="center"/>
            <w:hideMark/>
          </w:tcPr>
          <w:p w14:paraId="25030C5A"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0.419579</w:t>
            </w:r>
          </w:p>
        </w:tc>
        <w:tc>
          <w:tcPr>
            <w:tcW w:w="1605" w:type="dxa"/>
            <w:tcBorders>
              <w:top w:val="nil"/>
              <w:left w:val="nil"/>
              <w:bottom w:val="single" w:sz="4" w:space="0" w:color="auto"/>
              <w:right w:val="single" w:sz="4" w:space="0" w:color="auto"/>
            </w:tcBorders>
            <w:vAlign w:val="center"/>
            <w:hideMark/>
          </w:tcPr>
          <w:p w14:paraId="00FD9B89"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0.415063</w:t>
            </w:r>
          </w:p>
        </w:tc>
        <w:tc>
          <w:tcPr>
            <w:tcW w:w="1605" w:type="dxa"/>
            <w:tcBorders>
              <w:top w:val="nil"/>
              <w:left w:val="nil"/>
              <w:bottom w:val="single" w:sz="4" w:space="0" w:color="auto"/>
              <w:right w:val="single" w:sz="4" w:space="0" w:color="auto"/>
            </w:tcBorders>
            <w:vAlign w:val="center"/>
            <w:hideMark/>
          </w:tcPr>
          <w:p w14:paraId="1C448B26"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2.028106</w:t>
            </w:r>
          </w:p>
        </w:tc>
      </w:tr>
      <w:tr w:rsidR="00936614" w:rsidRPr="00A1432A" w14:paraId="70F6135F"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2D039D88"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GHG </w:t>
            </w:r>
          </w:p>
        </w:tc>
        <w:tc>
          <w:tcPr>
            <w:tcW w:w="882" w:type="dxa"/>
            <w:tcBorders>
              <w:top w:val="nil"/>
              <w:left w:val="nil"/>
              <w:bottom w:val="single" w:sz="4" w:space="0" w:color="auto"/>
              <w:right w:val="single" w:sz="4" w:space="0" w:color="auto"/>
            </w:tcBorders>
            <w:vAlign w:val="center"/>
            <w:hideMark/>
          </w:tcPr>
          <w:p w14:paraId="7EBF2569"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060B1BC8"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0.48</w:t>
            </w:r>
          </w:p>
        </w:tc>
        <w:tc>
          <w:tcPr>
            <w:tcW w:w="1605" w:type="dxa"/>
            <w:tcBorders>
              <w:top w:val="nil"/>
              <w:left w:val="nil"/>
              <w:bottom w:val="single" w:sz="4" w:space="0" w:color="auto"/>
              <w:right w:val="single" w:sz="4" w:space="0" w:color="auto"/>
            </w:tcBorders>
            <w:vAlign w:val="center"/>
            <w:hideMark/>
          </w:tcPr>
          <w:p w14:paraId="73356F71"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0.192045</w:t>
            </w:r>
          </w:p>
        </w:tc>
        <w:tc>
          <w:tcPr>
            <w:tcW w:w="1605" w:type="dxa"/>
            <w:tcBorders>
              <w:top w:val="nil"/>
              <w:left w:val="nil"/>
              <w:bottom w:val="single" w:sz="4" w:space="0" w:color="auto"/>
              <w:right w:val="single" w:sz="4" w:space="0" w:color="auto"/>
            </w:tcBorders>
            <w:vAlign w:val="center"/>
            <w:hideMark/>
          </w:tcPr>
          <w:p w14:paraId="64012D32"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0.2</w:t>
            </w:r>
          </w:p>
        </w:tc>
        <w:tc>
          <w:tcPr>
            <w:tcW w:w="1605" w:type="dxa"/>
            <w:tcBorders>
              <w:top w:val="nil"/>
              <w:left w:val="nil"/>
              <w:bottom w:val="single" w:sz="4" w:space="0" w:color="auto"/>
              <w:right w:val="single" w:sz="4" w:space="0" w:color="auto"/>
            </w:tcBorders>
            <w:vAlign w:val="center"/>
            <w:hideMark/>
          </w:tcPr>
          <w:p w14:paraId="1C2FCDC7"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0.8</w:t>
            </w:r>
          </w:p>
        </w:tc>
      </w:tr>
      <w:tr w:rsidR="00936614" w:rsidRPr="00A1432A" w14:paraId="4FC04D37"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2B5219AD"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WMP </w:t>
            </w:r>
          </w:p>
        </w:tc>
        <w:tc>
          <w:tcPr>
            <w:tcW w:w="882" w:type="dxa"/>
            <w:tcBorders>
              <w:top w:val="nil"/>
              <w:left w:val="nil"/>
              <w:bottom w:val="single" w:sz="4" w:space="0" w:color="auto"/>
              <w:right w:val="single" w:sz="4" w:space="0" w:color="auto"/>
            </w:tcBorders>
            <w:vAlign w:val="center"/>
            <w:hideMark/>
          </w:tcPr>
          <w:p w14:paraId="07AFC690"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7D612513"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0.470833</w:t>
            </w:r>
          </w:p>
        </w:tc>
        <w:tc>
          <w:tcPr>
            <w:tcW w:w="1605" w:type="dxa"/>
            <w:tcBorders>
              <w:top w:val="nil"/>
              <w:left w:val="nil"/>
              <w:bottom w:val="single" w:sz="4" w:space="0" w:color="auto"/>
              <w:right w:val="single" w:sz="4" w:space="0" w:color="auto"/>
            </w:tcBorders>
            <w:vAlign w:val="center"/>
            <w:hideMark/>
          </w:tcPr>
          <w:p w14:paraId="12D854E6"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0.201118</w:t>
            </w:r>
          </w:p>
        </w:tc>
        <w:tc>
          <w:tcPr>
            <w:tcW w:w="1605" w:type="dxa"/>
            <w:tcBorders>
              <w:top w:val="nil"/>
              <w:left w:val="nil"/>
              <w:bottom w:val="single" w:sz="4" w:space="0" w:color="auto"/>
              <w:right w:val="single" w:sz="4" w:space="0" w:color="auto"/>
            </w:tcBorders>
            <w:vAlign w:val="center"/>
            <w:hideMark/>
          </w:tcPr>
          <w:p w14:paraId="103DACF0"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0.25</w:t>
            </w:r>
          </w:p>
        </w:tc>
        <w:tc>
          <w:tcPr>
            <w:tcW w:w="1605" w:type="dxa"/>
            <w:tcBorders>
              <w:top w:val="nil"/>
              <w:left w:val="nil"/>
              <w:bottom w:val="single" w:sz="4" w:space="0" w:color="auto"/>
              <w:right w:val="single" w:sz="4" w:space="0" w:color="auto"/>
            </w:tcBorders>
            <w:vAlign w:val="center"/>
            <w:hideMark/>
          </w:tcPr>
          <w:p w14:paraId="29201B33"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0.75</w:t>
            </w:r>
          </w:p>
        </w:tc>
      </w:tr>
      <w:tr w:rsidR="00936614" w:rsidRPr="00A1432A" w14:paraId="63772E45"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1F5F2115"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EP </w:t>
            </w:r>
          </w:p>
        </w:tc>
        <w:tc>
          <w:tcPr>
            <w:tcW w:w="882" w:type="dxa"/>
            <w:tcBorders>
              <w:top w:val="nil"/>
              <w:left w:val="nil"/>
              <w:bottom w:val="single" w:sz="4" w:space="0" w:color="auto"/>
              <w:right w:val="single" w:sz="4" w:space="0" w:color="auto"/>
            </w:tcBorders>
            <w:vAlign w:val="center"/>
            <w:hideMark/>
          </w:tcPr>
          <w:p w14:paraId="1F84DDE6"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47418E08"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0.3625</w:t>
            </w:r>
          </w:p>
        </w:tc>
        <w:tc>
          <w:tcPr>
            <w:tcW w:w="1605" w:type="dxa"/>
            <w:tcBorders>
              <w:top w:val="nil"/>
              <w:left w:val="nil"/>
              <w:bottom w:val="single" w:sz="4" w:space="0" w:color="auto"/>
              <w:right w:val="single" w:sz="4" w:space="0" w:color="auto"/>
            </w:tcBorders>
            <w:vAlign w:val="center"/>
            <w:hideMark/>
          </w:tcPr>
          <w:p w14:paraId="38F29BB4"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0.125423</w:t>
            </w:r>
          </w:p>
        </w:tc>
        <w:tc>
          <w:tcPr>
            <w:tcW w:w="1605" w:type="dxa"/>
            <w:tcBorders>
              <w:top w:val="nil"/>
              <w:left w:val="nil"/>
              <w:bottom w:val="single" w:sz="4" w:space="0" w:color="auto"/>
              <w:right w:val="single" w:sz="4" w:space="0" w:color="auto"/>
            </w:tcBorders>
            <w:vAlign w:val="center"/>
            <w:hideMark/>
          </w:tcPr>
          <w:p w14:paraId="4E4C1737"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0.25</w:t>
            </w:r>
          </w:p>
        </w:tc>
        <w:tc>
          <w:tcPr>
            <w:tcW w:w="1605" w:type="dxa"/>
            <w:tcBorders>
              <w:top w:val="nil"/>
              <w:left w:val="nil"/>
              <w:bottom w:val="single" w:sz="4" w:space="0" w:color="auto"/>
              <w:right w:val="single" w:sz="4" w:space="0" w:color="auto"/>
            </w:tcBorders>
            <w:vAlign w:val="center"/>
            <w:hideMark/>
          </w:tcPr>
          <w:p w14:paraId="5823761D"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0.5</w:t>
            </w:r>
          </w:p>
        </w:tc>
      </w:tr>
      <w:tr w:rsidR="00936614" w:rsidRPr="00A1432A" w14:paraId="2ABD7D62"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6E36F0F1"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FS </w:t>
            </w:r>
          </w:p>
        </w:tc>
        <w:tc>
          <w:tcPr>
            <w:tcW w:w="882" w:type="dxa"/>
            <w:tcBorders>
              <w:top w:val="nil"/>
              <w:left w:val="nil"/>
              <w:bottom w:val="single" w:sz="4" w:space="0" w:color="auto"/>
              <w:right w:val="single" w:sz="4" w:space="0" w:color="auto"/>
            </w:tcBorders>
            <w:vAlign w:val="center"/>
            <w:hideMark/>
          </w:tcPr>
          <w:p w14:paraId="4CC6529F"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6F5C8E60"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4.083729</w:t>
            </w:r>
          </w:p>
        </w:tc>
        <w:tc>
          <w:tcPr>
            <w:tcW w:w="1605" w:type="dxa"/>
            <w:tcBorders>
              <w:top w:val="nil"/>
              <w:left w:val="nil"/>
              <w:bottom w:val="single" w:sz="4" w:space="0" w:color="auto"/>
              <w:right w:val="single" w:sz="4" w:space="0" w:color="auto"/>
            </w:tcBorders>
            <w:vAlign w:val="center"/>
            <w:hideMark/>
          </w:tcPr>
          <w:p w14:paraId="4CCEF94D"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0.52973</w:t>
            </w:r>
          </w:p>
        </w:tc>
        <w:tc>
          <w:tcPr>
            <w:tcW w:w="1605" w:type="dxa"/>
            <w:tcBorders>
              <w:top w:val="nil"/>
              <w:left w:val="nil"/>
              <w:bottom w:val="single" w:sz="4" w:space="0" w:color="auto"/>
              <w:right w:val="single" w:sz="4" w:space="0" w:color="auto"/>
            </w:tcBorders>
            <w:vAlign w:val="center"/>
            <w:hideMark/>
          </w:tcPr>
          <w:p w14:paraId="3B3EE5B3"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3.031273</w:t>
            </w:r>
          </w:p>
        </w:tc>
        <w:tc>
          <w:tcPr>
            <w:tcW w:w="1605" w:type="dxa"/>
            <w:tcBorders>
              <w:top w:val="nil"/>
              <w:left w:val="nil"/>
              <w:bottom w:val="single" w:sz="4" w:space="0" w:color="auto"/>
              <w:right w:val="single" w:sz="4" w:space="0" w:color="auto"/>
            </w:tcBorders>
            <w:vAlign w:val="center"/>
            <w:hideMark/>
          </w:tcPr>
          <w:p w14:paraId="76FEDEFD"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4.95323</w:t>
            </w:r>
          </w:p>
        </w:tc>
      </w:tr>
      <w:tr w:rsidR="00936614" w:rsidRPr="00A1432A" w14:paraId="3C3BD42A" w14:textId="77777777" w:rsidTr="004E5449">
        <w:trPr>
          <w:trHeight w:val="244"/>
        </w:trPr>
        <w:tc>
          <w:tcPr>
            <w:tcW w:w="1483" w:type="dxa"/>
            <w:tcBorders>
              <w:top w:val="nil"/>
              <w:left w:val="single" w:sz="4" w:space="0" w:color="auto"/>
              <w:bottom w:val="single" w:sz="4" w:space="0" w:color="auto"/>
              <w:right w:val="single" w:sz="4" w:space="0" w:color="auto"/>
            </w:tcBorders>
            <w:vAlign w:val="center"/>
            <w:hideMark/>
          </w:tcPr>
          <w:p w14:paraId="427FDA9D" w14:textId="77777777" w:rsidR="00936614" w:rsidRPr="00A1432A" w:rsidRDefault="00936614"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 xml:space="preserve">LEV </w:t>
            </w:r>
          </w:p>
        </w:tc>
        <w:tc>
          <w:tcPr>
            <w:tcW w:w="882" w:type="dxa"/>
            <w:tcBorders>
              <w:top w:val="nil"/>
              <w:left w:val="nil"/>
              <w:bottom w:val="single" w:sz="4" w:space="0" w:color="auto"/>
              <w:right w:val="single" w:sz="4" w:space="0" w:color="auto"/>
            </w:tcBorders>
            <w:vAlign w:val="center"/>
            <w:hideMark/>
          </w:tcPr>
          <w:p w14:paraId="3DF293D9"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60</w:t>
            </w:r>
          </w:p>
        </w:tc>
        <w:tc>
          <w:tcPr>
            <w:tcW w:w="1605" w:type="dxa"/>
            <w:tcBorders>
              <w:top w:val="nil"/>
              <w:left w:val="nil"/>
              <w:bottom w:val="single" w:sz="4" w:space="0" w:color="auto"/>
              <w:right w:val="single" w:sz="4" w:space="0" w:color="auto"/>
            </w:tcBorders>
            <w:vAlign w:val="center"/>
            <w:hideMark/>
          </w:tcPr>
          <w:p w14:paraId="1E1ECB5E"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0.383068</w:t>
            </w:r>
          </w:p>
        </w:tc>
        <w:tc>
          <w:tcPr>
            <w:tcW w:w="1605" w:type="dxa"/>
            <w:tcBorders>
              <w:top w:val="nil"/>
              <w:left w:val="nil"/>
              <w:bottom w:val="single" w:sz="4" w:space="0" w:color="auto"/>
              <w:right w:val="single" w:sz="4" w:space="0" w:color="auto"/>
            </w:tcBorders>
            <w:vAlign w:val="center"/>
            <w:hideMark/>
          </w:tcPr>
          <w:p w14:paraId="1E6C9F54"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0.170486</w:t>
            </w:r>
          </w:p>
        </w:tc>
        <w:tc>
          <w:tcPr>
            <w:tcW w:w="1605" w:type="dxa"/>
            <w:tcBorders>
              <w:top w:val="nil"/>
              <w:left w:val="nil"/>
              <w:bottom w:val="single" w:sz="4" w:space="0" w:color="auto"/>
              <w:right w:val="single" w:sz="4" w:space="0" w:color="auto"/>
            </w:tcBorders>
            <w:vAlign w:val="center"/>
            <w:hideMark/>
          </w:tcPr>
          <w:p w14:paraId="48292C9C"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0.103037</w:t>
            </w:r>
          </w:p>
        </w:tc>
        <w:tc>
          <w:tcPr>
            <w:tcW w:w="1605" w:type="dxa"/>
            <w:tcBorders>
              <w:top w:val="nil"/>
              <w:left w:val="nil"/>
              <w:bottom w:val="single" w:sz="4" w:space="0" w:color="auto"/>
              <w:right w:val="single" w:sz="4" w:space="0" w:color="auto"/>
            </w:tcBorders>
            <w:vAlign w:val="center"/>
            <w:hideMark/>
          </w:tcPr>
          <w:p w14:paraId="6EA1475E" w14:textId="77777777" w:rsidR="00936614" w:rsidRPr="00A1432A" w:rsidRDefault="00936614"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0.679993</w:t>
            </w:r>
          </w:p>
        </w:tc>
      </w:tr>
    </w:tbl>
    <w:p w14:paraId="5E472234" w14:textId="77777777" w:rsidR="00936614" w:rsidRPr="00627B2B" w:rsidRDefault="00936614" w:rsidP="00936614">
      <w:pPr>
        <w:pStyle w:val="Body"/>
        <w:spacing w:after="0"/>
        <w:rPr>
          <w:rFonts w:ascii="Arial" w:hAnsi="Arial" w:cs="Arial"/>
          <w:bCs/>
        </w:rPr>
      </w:pPr>
      <w:r w:rsidRPr="00627B2B">
        <w:rPr>
          <w:rFonts w:ascii="Arial" w:hAnsi="Arial" w:cs="Arial"/>
          <w:bCs/>
        </w:rPr>
        <w:t>Source: output of descriptive statistics using STATA 17</w:t>
      </w:r>
    </w:p>
    <w:p w14:paraId="1CB70A8D" w14:textId="77777777" w:rsidR="00936614" w:rsidRPr="00627B2B" w:rsidRDefault="00936614" w:rsidP="00C12D36">
      <w:pPr>
        <w:pStyle w:val="Body"/>
        <w:spacing w:after="0"/>
        <w:rPr>
          <w:rFonts w:ascii="Arial" w:hAnsi="Arial" w:cs="Arial"/>
          <w:bCs/>
        </w:rPr>
      </w:pPr>
    </w:p>
    <w:p w14:paraId="3B3C704A" w14:textId="322E440F" w:rsidR="00FC1DC3" w:rsidRDefault="00A1432A" w:rsidP="00C12D36">
      <w:pPr>
        <w:pStyle w:val="Body"/>
        <w:spacing w:after="0"/>
        <w:rPr>
          <w:rFonts w:ascii="Arial" w:hAnsi="Arial" w:cs="Arial"/>
          <w:bCs/>
        </w:rPr>
      </w:pPr>
      <w:r w:rsidRPr="00627B2B">
        <w:rPr>
          <w:rFonts w:ascii="Arial" w:hAnsi="Arial" w:cs="Arial"/>
          <w:bCs/>
        </w:rPr>
        <w:t>The correlation matrix in Table 4 shows the bivariate associations among profitability and environmental disclosure indicators. The correlation between profitability (FP) and the three environmental disclosure components GHG (0.0757), WMP (0.0172), and EP (0.2186) is positive but weak, suggesting that higher environmental disclosure may be associated with slightly improved profitability, although the relationships are not strong. The relatively weak correlations imply that environmental accounting practices contribute only marginally to profitability on their own, justifying the adoption of a more robust dynamic model such as GMM.</w:t>
      </w:r>
    </w:p>
    <w:p w14:paraId="33F5C9C5" w14:textId="77777777" w:rsidR="00936614" w:rsidRDefault="00936614" w:rsidP="00C12D36">
      <w:pPr>
        <w:pStyle w:val="Body"/>
        <w:spacing w:after="0"/>
        <w:rPr>
          <w:rFonts w:ascii="Arial" w:hAnsi="Arial" w:cs="Arial"/>
          <w:bCs/>
        </w:rPr>
      </w:pPr>
    </w:p>
    <w:p w14:paraId="0D61B7FA" w14:textId="77777777" w:rsidR="00936614" w:rsidRPr="00627B2B" w:rsidRDefault="00936614" w:rsidP="00936614">
      <w:pPr>
        <w:pStyle w:val="Body"/>
        <w:spacing w:after="0"/>
        <w:rPr>
          <w:rFonts w:ascii="Arial" w:hAnsi="Arial" w:cs="Arial"/>
          <w:bCs/>
        </w:rPr>
      </w:pPr>
      <w:r w:rsidRPr="00627B2B">
        <w:rPr>
          <w:rFonts w:ascii="Arial" w:hAnsi="Arial" w:cs="Arial"/>
          <w:bCs/>
        </w:rPr>
        <w:t xml:space="preserve">Table 4. </w:t>
      </w:r>
      <w:r w:rsidRPr="00627B2B">
        <w:rPr>
          <w:rFonts w:ascii="Arial" w:hAnsi="Arial" w:cs="Arial"/>
          <w:bCs/>
          <w:i/>
        </w:rPr>
        <w:t xml:space="preserve">Correlation Matrix </w:t>
      </w:r>
    </w:p>
    <w:tbl>
      <w:tblPr>
        <w:tblW w:w="7750" w:type="dxa"/>
        <w:tblCellSpacing w:w="15" w:type="dxa"/>
        <w:tblCellMar>
          <w:top w:w="15" w:type="dxa"/>
          <w:left w:w="15" w:type="dxa"/>
          <w:bottom w:w="15" w:type="dxa"/>
          <w:right w:w="15" w:type="dxa"/>
        </w:tblCellMar>
        <w:tblLook w:val="04A0" w:firstRow="1" w:lastRow="0" w:firstColumn="1" w:lastColumn="0" w:noHBand="0" w:noVBand="1"/>
      </w:tblPr>
      <w:tblGrid>
        <w:gridCol w:w="1303"/>
        <w:gridCol w:w="1126"/>
        <w:gridCol w:w="1126"/>
        <w:gridCol w:w="1126"/>
        <w:gridCol w:w="1126"/>
        <w:gridCol w:w="964"/>
        <w:gridCol w:w="979"/>
      </w:tblGrid>
      <w:tr w:rsidR="00936614" w:rsidRPr="00A1432A" w14:paraId="2013794C" w14:textId="77777777" w:rsidTr="004E5449">
        <w:trPr>
          <w:trHeight w:val="406"/>
          <w:tblHeader/>
          <w:tblCellSpacing w:w="15" w:type="dxa"/>
        </w:trPr>
        <w:tc>
          <w:tcPr>
            <w:tcW w:w="0" w:type="auto"/>
            <w:vAlign w:val="center"/>
            <w:hideMark/>
          </w:tcPr>
          <w:p w14:paraId="78DB98DB" w14:textId="77777777" w:rsidR="00936614" w:rsidRPr="00A1432A" w:rsidRDefault="00936614" w:rsidP="004E5449">
            <w:pPr>
              <w:pStyle w:val="Body"/>
              <w:rPr>
                <w:rFonts w:ascii="Arial" w:hAnsi="Arial" w:cs="Arial"/>
                <w:bCs/>
              </w:rPr>
            </w:pPr>
            <w:r w:rsidRPr="00A1432A">
              <w:rPr>
                <w:rFonts w:ascii="Arial" w:hAnsi="Arial" w:cs="Arial"/>
                <w:bCs/>
              </w:rPr>
              <w:t>Variables</w:t>
            </w:r>
          </w:p>
        </w:tc>
        <w:tc>
          <w:tcPr>
            <w:tcW w:w="0" w:type="auto"/>
            <w:vAlign w:val="center"/>
            <w:hideMark/>
          </w:tcPr>
          <w:p w14:paraId="1B83FBC0" w14:textId="77777777" w:rsidR="00936614" w:rsidRPr="00A1432A" w:rsidRDefault="00936614" w:rsidP="004E5449">
            <w:pPr>
              <w:pStyle w:val="Body"/>
              <w:rPr>
                <w:rFonts w:ascii="Arial" w:hAnsi="Arial" w:cs="Arial"/>
                <w:bCs/>
              </w:rPr>
            </w:pPr>
            <w:r w:rsidRPr="00A1432A">
              <w:rPr>
                <w:rFonts w:ascii="Arial" w:hAnsi="Arial" w:cs="Arial"/>
                <w:bCs/>
              </w:rPr>
              <w:t>FP</w:t>
            </w:r>
          </w:p>
        </w:tc>
        <w:tc>
          <w:tcPr>
            <w:tcW w:w="0" w:type="auto"/>
            <w:vAlign w:val="center"/>
            <w:hideMark/>
          </w:tcPr>
          <w:p w14:paraId="315DC7B2" w14:textId="77777777" w:rsidR="00936614" w:rsidRPr="00A1432A" w:rsidRDefault="00936614" w:rsidP="004E5449">
            <w:pPr>
              <w:pStyle w:val="Body"/>
              <w:rPr>
                <w:rFonts w:ascii="Arial" w:hAnsi="Arial" w:cs="Arial"/>
                <w:bCs/>
              </w:rPr>
            </w:pPr>
            <w:r w:rsidRPr="00A1432A">
              <w:rPr>
                <w:rFonts w:ascii="Arial" w:hAnsi="Arial" w:cs="Arial"/>
                <w:bCs/>
              </w:rPr>
              <w:t>GHG</w:t>
            </w:r>
          </w:p>
        </w:tc>
        <w:tc>
          <w:tcPr>
            <w:tcW w:w="0" w:type="auto"/>
            <w:vAlign w:val="center"/>
            <w:hideMark/>
          </w:tcPr>
          <w:p w14:paraId="75C2D46C" w14:textId="77777777" w:rsidR="00936614" w:rsidRPr="00A1432A" w:rsidRDefault="00936614" w:rsidP="004E5449">
            <w:pPr>
              <w:pStyle w:val="Body"/>
              <w:rPr>
                <w:rFonts w:ascii="Arial" w:hAnsi="Arial" w:cs="Arial"/>
                <w:bCs/>
              </w:rPr>
            </w:pPr>
            <w:r w:rsidRPr="00A1432A">
              <w:rPr>
                <w:rFonts w:ascii="Arial" w:hAnsi="Arial" w:cs="Arial"/>
                <w:bCs/>
              </w:rPr>
              <w:t>WMP</w:t>
            </w:r>
          </w:p>
        </w:tc>
        <w:tc>
          <w:tcPr>
            <w:tcW w:w="0" w:type="auto"/>
            <w:vAlign w:val="center"/>
            <w:hideMark/>
          </w:tcPr>
          <w:p w14:paraId="4E5C2E7E" w14:textId="77777777" w:rsidR="00936614" w:rsidRPr="00A1432A" w:rsidRDefault="00936614" w:rsidP="004E5449">
            <w:pPr>
              <w:pStyle w:val="Body"/>
              <w:rPr>
                <w:rFonts w:ascii="Arial" w:hAnsi="Arial" w:cs="Arial"/>
                <w:bCs/>
              </w:rPr>
            </w:pPr>
            <w:r w:rsidRPr="00A1432A">
              <w:rPr>
                <w:rFonts w:ascii="Arial" w:hAnsi="Arial" w:cs="Arial"/>
                <w:bCs/>
              </w:rPr>
              <w:t>EP</w:t>
            </w:r>
          </w:p>
        </w:tc>
        <w:tc>
          <w:tcPr>
            <w:tcW w:w="0" w:type="auto"/>
            <w:vAlign w:val="center"/>
            <w:hideMark/>
          </w:tcPr>
          <w:p w14:paraId="417069F8" w14:textId="77777777" w:rsidR="00936614" w:rsidRPr="00A1432A" w:rsidRDefault="00936614" w:rsidP="004E5449">
            <w:pPr>
              <w:pStyle w:val="Body"/>
              <w:rPr>
                <w:rFonts w:ascii="Arial" w:hAnsi="Arial" w:cs="Arial"/>
                <w:bCs/>
              </w:rPr>
            </w:pPr>
            <w:r w:rsidRPr="00A1432A">
              <w:rPr>
                <w:rFonts w:ascii="Arial" w:hAnsi="Arial" w:cs="Arial"/>
                <w:bCs/>
              </w:rPr>
              <w:t>FS</w:t>
            </w:r>
          </w:p>
        </w:tc>
        <w:tc>
          <w:tcPr>
            <w:tcW w:w="0" w:type="auto"/>
            <w:vAlign w:val="center"/>
            <w:hideMark/>
          </w:tcPr>
          <w:p w14:paraId="109E32E7" w14:textId="77777777" w:rsidR="00936614" w:rsidRPr="00A1432A" w:rsidRDefault="00936614" w:rsidP="004E5449">
            <w:pPr>
              <w:pStyle w:val="Body"/>
              <w:rPr>
                <w:rFonts w:ascii="Arial" w:hAnsi="Arial" w:cs="Arial"/>
                <w:bCs/>
              </w:rPr>
            </w:pPr>
            <w:r w:rsidRPr="00A1432A">
              <w:rPr>
                <w:rFonts w:ascii="Arial" w:hAnsi="Arial" w:cs="Arial"/>
                <w:bCs/>
              </w:rPr>
              <w:t>LEV</w:t>
            </w:r>
          </w:p>
        </w:tc>
      </w:tr>
      <w:tr w:rsidR="00936614" w:rsidRPr="00A1432A" w14:paraId="015F547B" w14:textId="77777777" w:rsidTr="004E5449">
        <w:trPr>
          <w:trHeight w:val="412"/>
          <w:tblCellSpacing w:w="15" w:type="dxa"/>
        </w:trPr>
        <w:tc>
          <w:tcPr>
            <w:tcW w:w="0" w:type="auto"/>
            <w:vAlign w:val="center"/>
            <w:hideMark/>
          </w:tcPr>
          <w:p w14:paraId="262126FC" w14:textId="77777777" w:rsidR="00936614" w:rsidRPr="00A1432A" w:rsidRDefault="00936614" w:rsidP="004E5449">
            <w:pPr>
              <w:pStyle w:val="Body"/>
              <w:rPr>
                <w:rFonts w:ascii="Arial" w:hAnsi="Arial" w:cs="Arial"/>
                <w:bCs/>
              </w:rPr>
            </w:pPr>
            <w:r w:rsidRPr="00A1432A">
              <w:rPr>
                <w:rFonts w:ascii="Arial" w:hAnsi="Arial" w:cs="Arial"/>
                <w:bCs/>
              </w:rPr>
              <w:t>FP</w:t>
            </w:r>
          </w:p>
        </w:tc>
        <w:tc>
          <w:tcPr>
            <w:tcW w:w="0" w:type="auto"/>
            <w:vAlign w:val="center"/>
            <w:hideMark/>
          </w:tcPr>
          <w:p w14:paraId="60E16B3C" w14:textId="77777777" w:rsidR="00936614" w:rsidRPr="00A1432A" w:rsidRDefault="00936614" w:rsidP="004E5449">
            <w:pPr>
              <w:pStyle w:val="Body"/>
              <w:rPr>
                <w:rFonts w:ascii="Arial" w:hAnsi="Arial" w:cs="Arial"/>
                <w:bCs/>
              </w:rPr>
            </w:pPr>
            <w:r w:rsidRPr="00A1432A">
              <w:rPr>
                <w:rFonts w:ascii="Arial" w:hAnsi="Arial" w:cs="Arial"/>
                <w:bCs/>
              </w:rPr>
              <w:t>1.0000</w:t>
            </w:r>
          </w:p>
        </w:tc>
        <w:tc>
          <w:tcPr>
            <w:tcW w:w="0" w:type="auto"/>
            <w:vAlign w:val="center"/>
            <w:hideMark/>
          </w:tcPr>
          <w:p w14:paraId="42DBC6E5" w14:textId="77777777" w:rsidR="00936614" w:rsidRPr="00A1432A" w:rsidRDefault="00936614" w:rsidP="004E5449">
            <w:pPr>
              <w:pStyle w:val="Body"/>
              <w:rPr>
                <w:rFonts w:ascii="Arial" w:hAnsi="Arial" w:cs="Arial"/>
                <w:bCs/>
              </w:rPr>
            </w:pPr>
          </w:p>
        </w:tc>
        <w:tc>
          <w:tcPr>
            <w:tcW w:w="0" w:type="auto"/>
            <w:vAlign w:val="center"/>
            <w:hideMark/>
          </w:tcPr>
          <w:p w14:paraId="046A20D4" w14:textId="77777777" w:rsidR="00936614" w:rsidRPr="00A1432A" w:rsidRDefault="00936614" w:rsidP="004E5449">
            <w:pPr>
              <w:pStyle w:val="Body"/>
              <w:rPr>
                <w:rFonts w:ascii="Arial" w:hAnsi="Arial" w:cs="Arial"/>
                <w:bCs/>
              </w:rPr>
            </w:pPr>
          </w:p>
        </w:tc>
        <w:tc>
          <w:tcPr>
            <w:tcW w:w="0" w:type="auto"/>
            <w:vAlign w:val="center"/>
            <w:hideMark/>
          </w:tcPr>
          <w:p w14:paraId="767A0C20" w14:textId="77777777" w:rsidR="00936614" w:rsidRPr="00A1432A" w:rsidRDefault="00936614" w:rsidP="004E5449">
            <w:pPr>
              <w:pStyle w:val="Body"/>
              <w:rPr>
                <w:rFonts w:ascii="Arial" w:hAnsi="Arial" w:cs="Arial"/>
                <w:bCs/>
              </w:rPr>
            </w:pPr>
          </w:p>
        </w:tc>
        <w:tc>
          <w:tcPr>
            <w:tcW w:w="0" w:type="auto"/>
            <w:vAlign w:val="center"/>
            <w:hideMark/>
          </w:tcPr>
          <w:p w14:paraId="433020C9" w14:textId="77777777" w:rsidR="00936614" w:rsidRPr="00A1432A" w:rsidRDefault="00936614" w:rsidP="004E5449">
            <w:pPr>
              <w:pStyle w:val="Body"/>
              <w:rPr>
                <w:rFonts w:ascii="Arial" w:hAnsi="Arial" w:cs="Arial"/>
                <w:bCs/>
              </w:rPr>
            </w:pPr>
          </w:p>
        </w:tc>
        <w:tc>
          <w:tcPr>
            <w:tcW w:w="0" w:type="auto"/>
            <w:vAlign w:val="center"/>
            <w:hideMark/>
          </w:tcPr>
          <w:p w14:paraId="28668DEC" w14:textId="77777777" w:rsidR="00936614" w:rsidRPr="00A1432A" w:rsidRDefault="00936614" w:rsidP="004E5449">
            <w:pPr>
              <w:pStyle w:val="Body"/>
              <w:rPr>
                <w:rFonts w:ascii="Arial" w:hAnsi="Arial" w:cs="Arial"/>
                <w:bCs/>
              </w:rPr>
            </w:pPr>
          </w:p>
        </w:tc>
      </w:tr>
      <w:tr w:rsidR="00936614" w:rsidRPr="00A1432A" w14:paraId="5730F75F" w14:textId="77777777" w:rsidTr="004E5449">
        <w:trPr>
          <w:trHeight w:val="417"/>
          <w:tblCellSpacing w:w="15" w:type="dxa"/>
        </w:trPr>
        <w:tc>
          <w:tcPr>
            <w:tcW w:w="0" w:type="auto"/>
            <w:vAlign w:val="center"/>
            <w:hideMark/>
          </w:tcPr>
          <w:p w14:paraId="41389992" w14:textId="77777777" w:rsidR="00936614" w:rsidRPr="00A1432A" w:rsidRDefault="00936614" w:rsidP="004E5449">
            <w:pPr>
              <w:pStyle w:val="Body"/>
              <w:rPr>
                <w:rFonts w:ascii="Arial" w:hAnsi="Arial" w:cs="Arial"/>
                <w:bCs/>
              </w:rPr>
            </w:pPr>
            <w:r w:rsidRPr="00A1432A">
              <w:rPr>
                <w:rFonts w:ascii="Arial" w:hAnsi="Arial" w:cs="Arial"/>
                <w:bCs/>
              </w:rPr>
              <w:t>GHG</w:t>
            </w:r>
          </w:p>
        </w:tc>
        <w:tc>
          <w:tcPr>
            <w:tcW w:w="0" w:type="auto"/>
            <w:vAlign w:val="center"/>
            <w:hideMark/>
          </w:tcPr>
          <w:p w14:paraId="33685A4C" w14:textId="77777777" w:rsidR="00936614" w:rsidRPr="00A1432A" w:rsidRDefault="00936614" w:rsidP="004E5449">
            <w:pPr>
              <w:pStyle w:val="Body"/>
              <w:rPr>
                <w:rFonts w:ascii="Arial" w:hAnsi="Arial" w:cs="Arial"/>
                <w:bCs/>
              </w:rPr>
            </w:pPr>
            <w:r w:rsidRPr="00A1432A">
              <w:rPr>
                <w:rFonts w:ascii="Arial" w:hAnsi="Arial" w:cs="Arial"/>
                <w:bCs/>
              </w:rPr>
              <w:t>0.0757</w:t>
            </w:r>
          </w:p>
        </w:tc>
        <w:tc>
          <w:tcPr>
            <w:tcW w:w="0" w:type="auto"/>
            <w:vAlign w:val="center"/>
            <w:hideMark/>
          </w:tcPr>
          <w:p w14:paraId="455CD5E6" w14:textId="77777777" w:rsidR="00936614" w:rsidRPr="00A1432A" w:rsidRDefault="00936614" w:rsidP="004E5449">
            <w:pPr>
              <w:pStyle w:val="Body"/>
              <w:rPr>
                <w:rFonts w:ascii="Arial" w:hAnsi="Arial" w:cs="Arial"/>
                <w:bCs/>
              </w:rPr>
            </w:pPr>
            <w:r w:rsidRPr="00A1432A">
              <w:rPr>
                <w:rFonts w:ascii="Arial" w:hAnsi="Arial" w:cs="Arial"/>
                <w:bCs/>
              </w:rPr>
              <w:t>1.0000</w:t>
            </w:r>
          </w:p>
        </w:tc>
        <w:tc>
          <w:tcPr>
            <w:tcW w:w="0" w:type="auto"/>
            <w:vAlign w:val="center"/>
            <w:hideMark/>
          </w:tcPr>
          <w:p w14:paraId="1586AC8D" w14:textId="77777777" w:rsidR="00936614" w:rsidRPr="00A1432A" w:rsidRDefault="00936614" w:rsidP="004E5449">
            <w:pPr>
              <w:pStyle w:val="Body"/>
              <w:rPr>
                <w:rFonts w:ascii="Arial" w:hAnsi="Arial" w:cs="Arial"/>
                <w:bCs/>
              </w:rPr>
            </w:pPr>
          </w:p>
        </w:tc>
        <w:tc>
          <w:tcPr>
            <w:tcW w:w="0" w:type="auto"/>
            <w:vAlign w:val="center"/>
            <w:hideMark/>
          </w:tcPr>
          <w:p w14:paraId="6A966873" w14:textId="77777777" w:rsidR="00936614" w:rsidRPr="00A1432A" w:rsidRDefault="00936614" w:rsidP="004E5449">
            <w:pPr>
              <w:pStyle w:val="Body"/>
              <w:rPr>
                <w:rFonts w:ascii="Arial" w:hAnsi="Arial" w:cs="Arial"/>
                <w:bCs/>
              </w:rPr>
            </w:pPr>
          </w:p>
        </w:tc>
        <w:tc>
          <w:tcPr>
            <w:tcW w:w="0" w:type="auto"/>
            <w:vAlign w:val="center"/>
            <w:hideMark/>
          </w:tcPr>
          <w:p w14:paraId="2731EBB4" w14:textId="77777777" w:rsidR="00936614" w:rsidRPr="00A1432A" w:rsidRDefault="00936614" w:rsidP="004E5449">
            <w:pPr>
              <w:pStyle w:val="Body"/>
              <w:rPr>
                <w:rFonts w:ascii="Arial" w:hAnsi="Arial" w:cs="Arial"/>
                <w:bCs/>
              </w:rPr>
            </w:pPr>
          </w:p>
        </w:tc>
        <w:tc>
          <w:tcPr>
            <w:tcW w:w="0" w:type="auto"/>
            <w:vAlign w:val="center"/>
            <w:hideMark/>
          </w:tcPr>
          <w:p w14:paraId="412C2FC2" w14:textId="77777777" w:rsidR="00936614" w:rsidRPr="00A1432A" w:rsidRDefault="00936614" w:rsidP="004E5449">
            <w:pPr>
              <w:pStyle w:val="Body"/>
              <w:rPr>
                <w:rFonts w:ascii="Arial" w:hAnsi="Arial" w:cs="Arial"/>
                <w:bCs/>
              </w:rPr>
            </w:pPr>
          </w:p>
        </w:tc>
      </w:tr>
      <w:tr w:rsidR="00936614" w:rsidRPr="00A1432A" w14:paraId="16F987CC" w14:textId="77777777" w:rsidTr="004E5449">
        <w:trPr>
          <w:trHeight w:val="412"/>
          <w:tblCellSpacing w:w="15" w:type="dxa"/>
        </w:trPr>
        <w:tc>
          <w:tcPr>
            <w:tcW w:w="0" w:type="auto"/>
            <w:vAlign w:val="center"/>
            <w:hideMark/>
          </w:tcPr>
          <w:p w14:paraId="0C8EE5CF" w14:textId="77777777" w:rsidR="00936614" w:rsidRPr="00A1432A" w:rsidRDefault="00936614" w:rsidP="004E5449">
            <w:pPr>
              <w:pStyle w:val="Body"/>
              <w:rPr>
                <w:rFonts w:ascii="Arial" w:hAnsi="Arial" w:cs="Arial"/>
                <w:bCs/>
              </w:rPr>
            </w:pPr>
            <w:r w:rsidRPr="00A1432A">
              <w:rPr>
                <w:rFonts w:ascii="Arial" w:hAnsi="Arial" w:cs="Arial"/>
                <w:bCs/>
              </w:rPr>
              <w:t>WMP</w:t>
            </w:r>
          </w:p>
        </w:tc>
        <w:tc>
          <w:tcPr>
            <w:tcW w:w="0" w:type="auto"/>
            <w:vAlign w:val="center"/>
            <w:hideMark/>
          </w:tcPr>
          <w:p w14:paraId="6112F80F" w14:textId="77777777" w:rsidR="00936614" w:rsidRPr="00A1432A" w:rsidRDefault="00936614" w:rsidP="004E5449">
            <w:pPr>
              <w:pStyle w:val="Body"/>
              <w:rPr>
                <w:rFonts w:ascii="Arial" w:hAnsi="Arial" w:cs="Arial"/>
                <w:bCs/>
              </w:rPr>
            </w:pPr>
            <w:r w:rsidRPr="00A1432A">
              <w:rPr>
                <w:rFonts w:ascii="Arial" w:hAnsi="Arial" w:cs="Arial"/>
                <w:bCs/>
              </w:rPr>
              <w:t>0.0172</w:t>
            </w:r>
          </w:p>
        </w:tc>
        <w:tc>
          <w:tcPr>
            <w:tcW w:w="0" w:type="auto"/>
            <w:vAlign w:val="center"/>
            <w:hideMark/>
          </w:tcPr>
          <w:p w14:paraId="2FC34AB1" w14:textId="77777777" w:rsidR="00936614" w:rsidRPr="00A1432A" w:rsidRDefault="00936614" w:rsidP="004E5449">
            <w:pPr>
              <w:pStyle w:val="Body"/>
              <w:rPr>
                <w:rFonts w:ascii="Arial" w:hAnsi="Arial" w:cs="Arial"/>
                <w:bCs/>
              </w:rPr>
            </w:pPr>
            <w:r w:rsidRPr="00A1432A">
              <w:rPr>
                <w:rFonts w:ascii="Arial" w:hAnsi="Arial" w:cs="Arial"/>
                <w:bCs/>
              </w:rPr>
              <w:t>–0.0702</w:t>
            </w:r>
          </w:p>
        </w:tc>
        <w:tc>
          <w:tcPr>
            <w:tcW w:w="0" w:type="auto"/>
            <w:vAlign w:val="center"/>
            <w:hideMark/>
          </w:tcPr>
          <w:p w14:paraId="721529B6" w14:textId="77777777" w:rsidR="00936614" w:rsidRPr="00A1432A" w:rsidRDefault="00936614" w:rsidP="004E5449">
            <w:pPr>
              <w:pStyle w:val="Body"/>
              <w:rPr>
                <w:rFonts w:ascii="Arial" w:hAnsi="Arial" w:cs="Arial"/>
                <w:bCs/>
              </w:rPr>
            </w:pPr>
            <w:r w:rsidRPr="00A1432A">
              <w:rPr>
                <w:rFonts w:ascii="Arial" w:hAnsi="Arial" w:cs="Arial"/>
                <w:bCs/>
              </w:rPr>
              <w:t>1.0000</w:t>
            </w:r>
          </w:p>
        </w:tc>
        <w:tc>
          <w:tcPr>
            <w:tcW w:w="0" w:type="auto"/>
            <w:vAlign w:val="center"/>
            <w:hideMark/>
          </w:tcPr>
          <w:p w14:paraId="30EE1AE9" w14:textId="77777777" w:rsidR="00936614" w:rsidRPr="00A1432A" w:rsidRDefault="00936614" w:rsidP="004E5449">
            <w:pPr>
              <w:pStyle w:val="Body"/>
              <w:rPr>
                <w:rFonts w:ascii="Arial" w:hAnsi="Arial" w:cs="Arial"/>
                <w:bCs/>
              </w:rPr>
            </w:pPr>
          </w:p>
        </w:tc>
        <w:tc>
          <w:tcPr>
            <w:tcW w:w="0" w:type="auto"/>
            <w:vAlign w:val="center"/>
            <w:hideMark/>
          </w:tcPr>
          <w:p w14:paraId="398B36C9" w14:textId="77777777" w:rsidR="00936614" w:rsidRPr="00A1432A" w:rsidRDefault="00936614" w:rsidP="004E5449">
            <w:pPr>
              <w:pStyle w:val="Body"/>
              <w:rPr>
                <w:rFonts w:ascii="Arial" w:hAnsi="Arial" w:cs="Arial"/>
                <w:bCs/>
              </w:rPr>
            </w:pPr>
          </w:p>
        </w:tc>
        <w:tc>
          <w:tcPr>
            <w:tcW w:w="0" w:type="auto"/>
            <w:vAlign w:val="center"/>
            <w:hideMark/>
          </w:tcPr>
          <w:p w14:paraId="2CC18434" w14:textId="77777777" w:rsidR="00936614" w:rsidRPr="00A1432A" w:rsidRDefault="00936614" w:rsidP="004E5449">
            <w:pPr>
              <w:pStyle w:val="Body"/>
              <w:rPr>
                <w:rFonts w:ascii="Arial" w:hAnsi="Arial" w:cs="Arial"/>
                <w:bCs/>
              </w:rPr>
            </w:pPr>
          </w:p>
        </w:tc>
      </w:tr>
      <w:tr w:rsidR="00936614" w:rsidRPr="00A1432A" w14:paraId="6C8E6884" w14:textId="77777777" w:rsidTr="004E5449">
        <w:trPr>
          <w:trHeight w:val="412"/>
          <w:tblCellSpacing w:w="15" w:type="dxa"/>
        </w:trPr>
        <w:tc>
          <w:tcPr>
            <w:tcW w:w="0" w:type="auto"/>
            <w:vAlign w:val="center"/>
            <w:hideMark/>
          </w:tcPr>
          <w:p w14:paraId="7DDB6CD4" w14:textId="77777777" w:rsidR="00936614" w:rsidRPr="00A1432A" w:rsidRDefault="00936614" w:rsidP="004E5449">
            <w:pPr>
              <w:pStyle w:val="Body"/>
              <w:rPr>
                <w:rFonts w:ascii="Arial" w:hAnsi="Arial" w:cs="Arial"/>
                <w:bCs/>
              </w:rPr>
            </w:pPr>
            <w:r w:rsidRPr="00A1432A">
              <w:rPr>
                <w:rFonts w:ascii="Arial" w:hAnsi="Arial" w:cs="Arial"/>
                <w:bCs/>
              </w:rPr>
              <w:t>EP</w:t>
            </w:r>
          </w:p>
        </w:tc>
        <w:tc>
          <w:tcPr>
            <w:tcW w:w="0" w:type="auto"/>
            <w:vAlign w:val="center"/>
            <w:hideMark/>
          </w:tcPr>
          <w:p w14:paraId="65EB0B68" w14:textId="77777777" w:rsidR="00936614" w:rsidRPr="00A1432A" w:rsidRDefault="00936614" w:rsidP="004E5449">
            <w:pPr>
              <w:pStyle w:val="Body"/>
              <w:rPr>
                <w:rFonts w:ascii="Arial" w:hAnsi="Arial" w:cs="Arial"/>
                <w:bCs/>
              </w:rPr>
            </w:pPr>
            <w:r w:rsidRPr="00A1432A">
              <w:rPr>
                <w:rFonts w:ascii="Arial" w:hAnsi="Arial" w:cs="Arial"/>
                <w:bCs/>
              </w:rPr>
              <w:t>0.2186</w:t>
            </w:r>
          </w:p>
        </w:tc>
        <w:tc>
          <w:tcPr>
            <w:tcW w:w="0" w:type="auto"/>
            <w:vAlign w:val="center"/>
            <w:hideMark/>
          </w:tcPr>
          <w:p w14:paraId="05218182" w14:textId="77777777" w:rsidR="00936614" w:rsidRPr="00A1432A" w:rsidRDefault="00936614" w:rsidP="004E5449">
            <w:pPr>
              <w:pStyle w:val="Body"/>
              <w:rPr>
                <w:rFonts w:ascii="Arial" w:hAnsi="Arial" w:cs="Arial"/>
                <w:bCs/>
              </w:rPr>
            </w:pPr>
            <w:r w:rsidRPr="00A1432A">
              <w:rPr>
                <w:rFonts w:ascii="Arial" w:hAnsi="Arial" w:cs="Arial"/>
                <w:bCs/>
              </w:rPr>
              <w:t>–0.0633</w:t>
            </w:r>
          </w:p>
        </w:tc>
        <w:tc>
          <w:tcPr>
            <w:tcW w:w="0" w:type="auto"/>
            <w:vAlign w:val="center"/>
            <w:hideMark/>
          </w:tcPr>
          <w:p w14:paraId="7171FAD7" w14:textId="77777777" w:rsidR="00936614" w:rsidRPr="00A1432A" w:rsidRDefault="00936614" w:rsidP="004E5449">
            <w:pPr>
              <w:pStyle w:val="Body"/>
              <w:rPr>
                <w:rFonts w:ascii="Arial" w:hAnsi="Arial" w:cs="Arial"/>
                <w:bCs/>
              </w:rPr>
            </w:pPr>
            <w:r w:rsidRPr="00A1432A">
              <w:rPr>
                <w:rFonts w:ascii="Arial" w:hAnsi="Arial" w:cs="Arial"/>
                <w:bCs/>
              </w:rPr>
              <w:t>0.0483</w:t>
            </w:r>
          </w:p>
        </w:tc>
        <w:tc>
          <w:tcPr>
            <w:tcW w:w="0" w:type="auto"/>
            <w:vAlign w:val="center"/>
            <w:hideMark/>
          </w:tcPr>
          <w:p w14:paraId="3CB10729" w14:textId="77777777" w:rsidR="00936614" w:rsidRPr="00A1432A" w:rsidRDefault="00936614" w:rsidP="004E5449">
            <w:pPr>
              <w:pStyle w:val="Body"/>
              <w:rPr>
                <w:rFonts w:ascii="Arial" w:hAnsi="Arial" w:cs="Arial"/>
                <w:bCs/>
              </w:rPr>
            </w:pPr>
            <w:r w:rsidRPr="00A1432A">
              <w:rPr>
                <w:rFonts w:ascii="Arial" w:hAnsi="Arial" w:cs="Arial"/>
                <w:bCs/>
              </w:rPr>
              <w:t>1.0000</w:t>
            </w:r>
          </w:p>
        </w:tc>
        <w:tc>
          <w:tcPr>
            <w:tcW w:w="0" w:type="auto"/>
            <w:vAlign w:val="center"/>
            <w:hideMark/>
          </w:tcPr>
          <w:p w14:paraId="6E6C8FE0" w14:textId="77777777" w:rsidR="00936614" w:rsidRPr="00A1432A" w:rsidRDefault="00936614" w:rsidP="004E5449">
            <w:pPr>
              <w:pStyle w:val="Body"/>
              <w:rPr>
                <w:rFonts w:ascii="Arial" w:hAnsi="Arial" w:cs="Arial"/>
                <w:bCs/>
              </w:rPr>
            </w:pPr>
          </w:p>
        </w:tc>
        <w:tc>
          <w:tcPr>
            <w:tcW w:w="0" w:type="auto"/>
            <w:vAlign w:val="center"/>
            <w:hideMark/>
          </w:tcPr>
          <w:p w14:paraId="55D8785D" w14:textId="77777777" w:rsidR="00936614" w:rsidRPr="00A1432A" w:rsidRDefault="00936614" w:rsidP="004E5449">
            <w:pPr>
              <w:pStyle w:val="Body"/>
              <w:rPr>
                <w:rFonts w:ascii="Arial" w:hAnsi="Arial" w:cs="Arial"/>
                <w:bCs/>
              </w:rPr>
            </w:pPr>
          </w:p>
        </w:tc>
      </w:tr>
      <w:tr w:rsidR="00936614" w:rsidRPr="00A1432A" w14:paraId="5E241FB4" w14:textId="77777777" w:rsidTr="004E5449">
        <w:trPr>
          <w:trHeight w:val="412"/>
          <w:tblCellSpacing w:w="15" w:type="dxa"/>
        </w:trPr>
        <w:tc>
          <w:tcPr>
            <w:tcW w:w="0" w:type="auto"/>
            <w:vAlign w:val="center"/>
            <w:hideMark/>
          </w:tcPr>
          <w:p w14:paraId="2E4C7CE6" w14:textId="77777777" w:rsidR="00936614" w:rsidRPr="00A1432A" w:rsidRDefault="00936614" w:rsidP="004E5449">
            <w:pPr>
              <w:pStyle w:val="Body"/>
              <w:rPr>
                <w:rFonts w:ascii="Arial" w:hAnsi="Arial" w:cs="Arial"/>
                <w:bCs/>
              </w:rPr>
            </w:pPr>
            <w:r w:rsidRPr="00A1432A">
              <w:rPr>
                <w:rFonts w:ascii="Arial" w:hAnsi="Arial" w:cs="Arial"/>
                <w:bCs/>
              </w:rPr>
              <w:t>FS</w:t>
            </w:r>
          </w:p>
        </w:tc>
        <w:tc>
          <w:tcPr>
            <w:tcW w:w="0" w:type="auto"/>
            <w:vAlign w:val="center"/>
            <w:hideMark/>
          </w:tcPr>
          <w:p w14:paraId="47606197" w14:textId="77777777" w:rsidR="00936614" w:rsidRPr="00A1432A" w:rsidRDefault="00936614" w:rsidP="004E5449">
            <w:pPr>
              <w:pStyle w:val="Body"/>
              <w:rPr>
                <w:rFonts w:ascii="Arial" w:hAnsi="Arial" w:cs="Arial"/>
                <w:bCs/>
              </w:rPr>
            </w:pPr>
            <w:r w:rsidRPr="00A1432A">
              <w:rPr>
                <w:rFonts w:ascii="Arial" w:hAnsi="Arial" w:cs="Arial"/>
                <w:bCs/>
              </w:rPr>
              <w:t>0.1878</w:t>
            </w:r>
          </w:p>
        </w:tc>
        <w:tc>
          <w:tcPr>
            <w:tcW w:w="0" w:type="auto"/>
            <w:vAlign w:val="center"/>
            <w:hideMark/>
          </w:tcPr>
          <w:p w14:paraId="578CB61F" w14:textId="77777777" w:rsidR="00936614" w:rsidRPr="00A1432A" w:rsidRDefault="00936614" w:rsidP="004E5449">
            <w:pPr>
              <w:pStyle w:val="Body"/>
              <w:rPr>
                <w:rFonts w:ascii="Arial" w:hAnsi="Arial" w:cs="Arial"/>
                <w:bCs/>
              </w:rPr>
            </w:pPr>
            <w:r w:rsidRPr="00A1432A">
              <w:rPr>
                <w:rFonts w:ascii="Arial" w:hAnsi="Arial" w:cs="Arial"/>
                <w:bCs/>
              </w:rPr>
              <w:t>0.1613</w:t>
            </w:r>
          </w:p>
        </w:tc>
        <w:tc>
          <w:tcPr>
            <w:tcW w:w="0" w:type="auto"/>
            <w:vAlign w:val="center"/>
            <w:hideMark/>
          </w:tcPr>
          <w:p w14:paraId="4C339C0D" w14:textId="77777777" w:rsidR="00936614" w:rsidRPr="00A1432A" w:rsidRDefault="00936614" w:rsidP="004E5449">
            <w:pPr>
              <w:pStyle w:val="Body"/>
              <w:rPr>
                <w:rFonts w:ascii="Arial" w:hAnsi="Arial" w:cs="Arial"/>
                <w:bCs/>
              </w:rPr>
            </w:pPr>
            <w:r w:rsidRPr="00A1432A">
              <w:rPr>
                <w:rFonts w:ascii="Arial" w:hAnsi="Arial" w:cs="Arial"/>
                <w:bCs/>
              </w:rPr>
              <w:t>–0.0984</w:t>
            </w:r>
          </w:p>
        </w:tc>
        <w:tc>
          <w:tcPr>
            <w:tcW w:w="0" w:type="auto"/>
            <w:vAlign w:val="center"/>
            <w:hideMark/>
          </w:tcPr>
          <w:p w14:paraId="72F681ED" w14:textId="77777777" w:rsidR="00936614" w:rsidRPr="00A1432A" w:rsidRDefault="00936614" w:rsidP="004E5449">
            <w:pPr>
              <w:pStyle w:val="Body"/>
              <w:rPr>
                <w:rFonts w:ascii="Arial" w:hAnsi="Arial" w:cs="Arial"/>
                <w:bCs/>
              </w:rPr>
            </w:pPr>
            <w:r w:rsidRPr="00A1432A">
              <w:rPr>
                <w:rFonts w:ascii="Arial" w:hAnsi="Arial" w:cs="Arial"/>
                <w:bCs/>
              </w:rPr>
              <w:t>–0.0635</w:t>
            </w:r>
          </w:p>
        </w:tc>
        <w:tc>
          <w:tcPr>
            <w:tcW w:w="0" w:type="auto"/>
            <w:vAlign w:val="center"/>
            <w:hideMark/>
          </w:tcPr>
          <w:p w14:paraId="75E34DD1" w14:textId="77777777" w:rsidR="00936614" w:rsidRPr="00A1432A" w:rsidRDefault="00936614" w:rsidP="004E5449">
            <w:pPr>
              <w:pStyle w:val="Body"/>
              <w:rPr>
                <w:rFonts w:ascii="Arial" w:hAnsi="Arial" w:cs="Arial"/>
                <w:bCs/>
              </w:rPr>
            </w:pPr>
            <w:r w:rsidRPr="00A1432A">
              <w:rPr>
                <w:rFonts w:ascii="Arial" w:hAnsi="Arial" w:cs="Arial"/>
                <w:bCs/>
              </w:rPr>
              <w:t>1.0000</w:t>
            </w:r>
          </w:p>
        </w:tc>
        <w:tc>
          <w:tcPr>
            <w:tcW w:w="0" w:type="auto"/>
            <w:vAlign w:val="center"/>
            <w:hideMark/>
          </w:tcPr>
          <w:p w14:paraId="2C2D3A58" w14:textId="77777777" w:rsidR="00936614" w:rsidRPr="00A1432A" w:rsidRDefault="00936614" w:rsidP="004E5449">
            <w:pPr>
              <w:pStyle w:val="Body"/>
              <w:rPr>
                <w:rFonts w:ascii="Arial" w:hAnsi="Arial" w:cs="Arial"/>
                <w:bCs/>
              </w:rPr>
            </w:pPr>
          </w:p>
        </w:tc>
      </w:tr>
      <w:tr w:rsidR="00936614" w:rsidRPr="00A1432A" w14:paraId="490C9718" w14:textId="77777777" w:rsidTr="004E5449">
        <w:trPr>
          <w:trHeight w:val="406"/>
          <w:tblCellSpacing w:w="15" w:type="dxa"/>
        </w:trPr>
        <w:tc>
          <w:tcPr>
            <w:tcW w:w="0" w:type="auto"/>
            <w:vAlign w:val="center"/>
            <w:hideMark/>
          </w:tcPr>
          <w:p w14:paraId="2AE11F26" w14:textId="77777777" w:rsidR="00936614" w:rsidRPr="00A1432A" w:rsidRDefault="00936614" w:rsidP="004E5449">
            <w:pPr>
              <w:pStyle w:val="Body"/>
              <w:rPr>
                <w:rFonts w:ascii="Arial" w:hAnsi="Arial" w:cs="Arial"/>
                <w:bCs/>
              </w:rPr>
            </w:pPr>
            <w:r w:rsidRPr="00A1432A">
              <w:rPr>
                <w:rFonts w:ascii="Arial" w:hAnsi="Arial" w:cs="Arial"/>
                <w:bCs/>
              </w:rPr>
              <w:t>LEV</w:t>
            </w:r>
          </w:p>
        </w:tc>
        <w:tc>
          <w:tcPr>
            <w:tcW w:w="0" w:type="auto"/>
            <w:vAlign w:val="center"/>
            <w:hideMark/>
          </w:tcPr>
          <w:p w14:paraId="1974B7B8" w14:textId="77777777" w:rsidR="00936614" w:rsidRPr="00A1432A" w:rsidRDefault="00936614" w:rsidP="004E5449">
            <w:pPr>
              <w:pStyle w:val="Body"/>
              <w:rPr>
                <w:rFonts w:ascii="Arial" w:hAnsi="Arial" w:cs="Arial"/>
                <w:bCs/>
              </w:rPr>
            </w:pPr>
            <w:r w:rsidRPr="00A1432A">
              <w:rPr>
                <w:rFonts w:ascii="Arial" w:hAnsi="Arial" w:cs="Arial"/>
                <w:bCs/>
              </w:rPr>
              <w:t>–0.1230</w:t>
            </w:r>
          </w:p>
        </w:tc>
        <w:tc>
          <w:tcPr>
            <w:tcW w:w="0" w:type="auto"/>
            <w:vAlign w:val="center"/>
            <w:hideMark/>
          </w:tcPr>
          <w:p w14:paraId="2DB8C930" w14:textId="77777777" w:rsidR="00936614" w:rsidRPr="00A1432A" w:rsidRDefault="00936614" w:rsidP="004E5449">
            <w:pPr>
              <w:pStyle w:val="Body"/>
              <w:rPr>
                <w:rFonts w:ascii="Arial" w:hAnsi="Arial" w:cs="Arial"/>
                <w:bCs/>
              </w:rPr>
            </w:pPr>
            <w:r w:rsidRPr="00A1432A">
              <w:rPr>
                <w:rFonts w:ascii="Arial" w:hAnsi="Arial" w:cs="Arial"/>
                <w:bCs/>
              </w:rPr>
              <w:t>–0.0938</w:t>
            </w:r>
          </w:p>
        </w:tc>
        <w:tc>
          <w:tcPr>
            <w:tcW w:w="0" w:type="auto"/>
            <w:vAlign w:val="center"/>
            <w:hideMark/>
          </w:tcPr>
          <w:p w14:paraId="250B0AE2" w14:textId="77777777" w:rsidR="00936614" w:rsidRPr="00A1432A" w:rsidRDefault="00936614" w:rsidP="004E5449">
            <w:pPr>
              <w:pStyle w:val="Body"/>
              <w:rPr>
                <w:rFonts w:ascii="Arial" w:hAnsi="Arial" w:cs="Arial"/>
                <w:bCs/>
              </w:rPr>
            </w:pPr>
            <w:r w:rsidRPr="00A1432A">
              <w:rPr>
                <w:rFonts w:ascii="Arial" w:hAnsi="Arial" w:cs="Arial"/>
                <w:bCs/>
              </w:rPr>
              <w:t>0.1935</w:t>
            </w:r>
          </w:p>
        </w:tc>
        <w:tc>
          <w:tcPr>
            <w:tcW w:w="0" w:type="auto"/>
            <w:vAlign w:val="center"/>
            <w:hideMark/>
          </w:tcPr>
          <w:p w14:paraId="33AD4EC7" w14:textId="77777777" w:rsidR="00936614" w:rsidRPr="00A1432A" w:rsidRDefault="00936614" w:rsidP="004E5449">
            <w:pPr>
              <w:pStyle w:val="Body"/>
              <w:rPr>
                <w:rFonts w:ascii="Arial" w:hAnsi="Arial" w:cs="Arial"/>
                <w:bCs/>
              </w:rPr>
            </w:pPr>
            <w:r w:rsidRPr="00A1432A">
              <w:rPr>
                <w:rFonts w:ascii="Arial" w:hAnsi="Arial" w:cs="Arial"/>
                <w:bCs/>
              </w:rPr>
              <w:t>–0.0129</w:t>
            </w:r>
          </w:p>
        </w:tc>
        <w:tc>
          <w:tcPr>
            <w:tcW w:w="0" w:type="auto"/>
            <w:vAlign w:val="center"/>
            <w:hideMark/>
          </w:tcPr>
          <w:p w14:paraId="1AB3F77F" w14:textId="77777777" w:rsidR="00936614" w:rsidRPr="00A1432A" w:rsidRDefault="00936614" w:rsidP="004E5449">
            <w:pPr>
              <w:pStyle w:val="Body"/>
              <w:rPr>
                <w:rFonts w:ascii="Arial" w:hAnsi="Arial" w:cs="Arial"/>
                <w:bCs/>
              </w:rPr>
            </w:pPr>
            <w:r w:rsidRPr="00A1432A">
              <w:rPr>
                <w:rFonts w:ascii="Arial" w:hAnsi="Arial" w:cs="Arial"/>
                <w:bCs/>
              </w:rPr>
              <w:t>0.1836</w:t>
            </w:r>
          </w:p>
        </w:tc>
        <w:tc>
          <w:tcPr>
            <w:tcW w:w="0" w:type="auto"/>
            <w:vAlign w:val="center"/>
            <w:hideMark/>
          </w:tcPr>
          <w:p w14:paraId="052A7664" w14:textId="77777777" w:rsidR="00936614" w:rsidRPr="00A1432A" w:rsidRDefault="00936614" w:rsidP="004E5449">
            <w:pPr>
              <w:pStyle w:val="Body"/>
              <w:rPr>
                <w:rFonts w:ascii="Arial" w:hAnsi="Arial" w:cs="Arial"/>
                <w:bCs/>
              </w:rPr>
            </w:pPr>
            <w:r w:rsidRPr="00A1432A">
              <w:rPr>
                <w:rFonts w:ascii="Arial" w:hAnsi="Arial" w:cs="Arial"/>
                <w:bCs/>
              </w:rPr>
              <w:t>1.0000</w:t>
            </w:r>
          </w:p>
        </w:tc>
      </w:tr>
    </w:tbl>
    <w:p w14:paraId="030D597A" w14:textId="77777777" w:rsidR="00936614" w:rsidRPr="00627B2B" w:rsidRDefault="00936614" w:rsidP="00936614">
      <w:pPr>
        <w:pStyle w:val="Body"/>
        <w:spacing w:after="0"/>
        <w:rPr>
          <w:rFonts w:ascii="Arial" w:hAnsi="Arial" w:cs="Arial"/>
          <w:bCs/>
        </w:rPr>
      </w:pPr>
      <w:r w:rsidRPr="00627B2B">
        <w:rPr>
          <w:rFonts w:ascii="Arial" w:hAnsi="Arial" w:cs="Arial"/>
          <w:bCs/>
        </w:rPr>
        <w:t>Source: output of descriptive statistics using STATA 17</w:t>
      </w:r>
    </w:p>
    <w:p w14:paraId="3162E00C" w14:textId="77777777" w:rsidR="00936614" w:rsidRPr="00627B2B" w:rsidRDefault="00936614" w:rsidP="00C12D36">
      <w:pPr>
        <w:pStyle w:val="Body"/>
        <w:spacing w:after="0"/>
        <w:rPr>
          <w:rFonts w:ascii="Arial" w:hAnsi="Arial" w:cs="Arial"/>
          <w:bCs/>
        </w:rPr>
      </w:pPr>
    </w:p>
    <w:p w14:paraId="348B8FE3" w14:textId="77777777" w:rsidR="00A1432A" w:rsidRPr="00627B2B" w:rsidRDefault="00A1432A" w:rsidP="00C12D36">
      <w:pPr>
        <w:pStyle w:val="Body"/>
        <w:spacing w:after="0"/>
        <w:rPr>
          <w:rFonts w:ascii="Arial" w:hAnsi="Arial" w:cs="Arial"/>
          <w:bCs/>
        </w:rPr>
      </w:pPr>
    </w:p>
    <w:p w14:paraId="312838CC" w14:textId="77777777" w:rsidR="00346028" w:rsidRPr="00627B2B" w:rsidRDefault="00346028" w:rsidP="00C12D36">
      <w:pPr>
        <w:pStyle w:val="Body"/>
        <w:spacing w:after="0"/>
        <w:rPr>
          <w:rFonts w:ascii="Arial" w:hAnsi="Arial" w:cs="Arial"/>
          <w:bCs/>
        </w:rPr>
      </w:pPr>
    </w:p>
    <w:p w14:paraId="7E632BD5" w14:textId="77777777" w:rsidR="00346028" w:rsidRPr="00627B2B" w:rsidRDefault="00346028" w:rsidP="00C12D36">
      <w:pPr>
        <w:pStyle w:val="Body"/>
        <w:spacing w:after="0"/>
        <w:rPr>
          <w:rFonts w:ascii="Arial" w:hAnsi="Arial" w:cs="Arial"/>
          <w:bCs/>
        </w:rPr>
      </w:pPr>
    </w:p>
    <w:p w14:paraId="55B1C65D" w14:textId="64A4427C" w:rsidR="00346028" w:rsidRDefault="00346028" w:rsidP="00C12D36">
      <w:pPr>
        <w:pStyle w:val="Body"/>
        <w:spacing w:after="0"/>
        <w:rPr>
          <w:rFonts w:ascii="Arial" w:hAnsi="Arial" w:cs="Arial"/>
          <w:bCs/>
        </w:rPr>
      </w:pPr>
      <w:r w:rsidRPr="00627B2B">
        <w:rPr>
          <w:rFonts w:ascii="Arial" w:hAnsi="Arial" w:cs="Arial"/>
          <w:bCs/>
        </w:rPr>
        <w:t xml:space="preserve">The diagnostic tests indicate that the GMM model is valid and well specified. The Arellano–Bond test shows significant </w:t>
      </w:r>
      <w:proofErr w:type="gramStart"/>
      <w:r w:rsidRPr="00627B2B">
        <w:rPr>
          <w:rFonts w:ascii="Arial" w:hAnsi="Arial" w:cs="Arial"/>
          <w:bCs/>
        </w:rPr>
        <w:t>AR(</w:t>
      </w:r>
      <w:proofErr w:type="gramEnd"/>
      <w:r w:rsidRPr="00627B2B">
        <w:rPr>
          <w:rFonts w:ascii="Arial" w:hAnsi="Arial" w:cs="Arial"/>
          <w:bCs/>
        </w:rPr>
        <w:t xml:space="preserve">1), which is expected, while the insignificant AR(2) result (p = 0.212) confirms the absence of second-order serial correlation. Both the </w:t>
      </w:r>
      <w:proofErr w:type="spellStart"/>
      <w:r w:rsidRPr="00627B2B">
        <w:rPr>
          <w:rFonts w:ascii="Arial" w:hAnsi="Arial" w:cs="Arial"/>
          <w:bCs/>
        </w:rPr>
        <w:t>Sargan</w:t>
      </w:r>
      <w:proofErr w:type="spellEnd"/>
      <w:r w:rsidRPr="00627B2B">
        <w:rPr>
          <w:rFonts w:ascii="Arial" w:hAnsi="Arial" w:cs="Arial"/>
          <w:bCs/>
        </w:rPr>
        <w:t xml:space="preserve"> (p = 0.113) and Hansen (p = 0.363) tests are insignificant, indicating that the instruments are valid and uncorrelated with the error term</w:t>
      </w:r>
      <w:r w:rsidR="00936614">
        <w:rPr>
          <w:rFonts w:ascii="Arial" w:hAnsi="Arial" w:cs="Arial"/>
          <w:bCs/>
        </w:rPr>
        <w:t xml:space="preserve"> (Table-5)</w:t>
      </w:r>
      <w:r w:rsidRPr="00627B2B">
        <w:rPr>
          <w:rFonts w:ascii="Arial" w:hAnsi="Arial" w:cs="Arial"/>
          <w:bCs/>
        </w:rPr>
        <w:t>.</w:t>
      </w:r>
    </w:p>
    <w:p w14:paraId="6F3C8BC5" w14:textId="77777777" w:rsidR="00997BE2" w:rsidRPr="00627B2B" w:rsidRDefault="00997BE2" w:rsidP="00997BE2">
      <w:pPr>
        <w:pStyle w:val="Body"/>
        <w:spacing w:after="0"/>
        <w:rPr>
          <w:rFonts w:ascii="Arial" w:hAnsi="Arial" w:cs="Arial"/>
          <w:bCs/>
        </w:rPr>
      </w:pPr>
      <w:r w:rsidRPr="00627B2B">
        <w:rPr>
          <w:rFonts w:ascii="Arial" w:hAnsi="Arial" w:cs="Arial"/>
          <w:bCs/>
        </w:rPr>
        <w:t>Table 5 Post-Estimation Diagnostic Tests</w:t>
      </w:r>
    </w:p>
    <w:tbl>
      <w:tblPr>
        <w:tblW w:w="8538" w:type="dxa"/>
        <w:tblLook w:val="04A0" w:firstRow="1" w:lastRow="0" w:firstColumn="1" w:lastColumn="0" w:noHBand="0" w:noVBand="1"/>
      </w:tblPr>
      <w:tblGrid>
        <w:gridCol w:w="5155"/>
        <w:gridCol w:w="1707"/>
        <w:gridCol w:w="1676"/>
      </w:tblGrid>
      <w:tr w:rsidR="00997BE2" w:rsidRPr="00A1432A" w14:paraId="68572C29" w14:textId="77777777" w:rsidTr="004E5449">
        <w:trPr>
          <w:trHeight w:val="585"/>
        </w:trPr>
        <w:tc>
          <w:tcPr>
            <w:tcW w:w="5155" w:type="dxa"/>
            <w:tcBorders>
              <w:top w:val="single" w:sz="4" w:space="0" w:color="auto"/>
              <w:left w:val="single" w:sz="4" w:space="0" w:color="auto"/>
              <w:bottom w:val="single" w:sz="4" w:space="0" w:color="auto"/>
              <w:right w:val="single" w:sz="4" w:space="0" w:color="auto"/>
            </w:tcBorders>
            <w:vAlign w:val="center"/>
            <w:hideMark/>
          </w:tcPr>
          <w:p w14:paraId="00CAF4F7" w14:textId="77777777" w:rsidR="00997BE2" w:rsidRPr="00A1432A" w:rsidRDefault="00997BE2"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Diagnostic Test</w:t>
            </w:r>
          </w:p>
        </w:tc>
        <w:tc>
          <w:tcPr>
            <w:tcW w:w="1707" w:type="dxa"/>
            <w:tcBorders>
              <w:top w:val="single" w:sz="4" w:space="0" w:color="auto"/>
              <w:left w:val="nil"/>
              <w:bottom w:val="single" w:sz="4" w:space="0" w:color="auto"/>
              <w:right w:val="single" w:sz="4" w:space="0" w:color="auto"/>
            </w:tcBorders>
            <w:vAlign w:val="center"/>
            <w:hideMark/>
          </w:tcPr>
          <w:p w14:paraId="05244688" w14:textId="77777777" w:rsidR="00997BE2" w:rsidRPr="00A1432A" w:rsidRDefault="00997BE2"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Statistic</w:t>
            </w:r>
          </w:p>
        </w:tc>
        <w:tc>
          <w:tcPr>
            <w:tcW w:w="1676" w:type="dxa"/>
            <w:tcBorders>
              <w:top w:val="single" w:sz="4" w:space="0" w:color="auto"/>
              <w:left w:val="nil"/>
              <w:bottom w:val="single" w:sz="4" w:space="0" w:color="auto"/>
              <w:right w:val="single" w:sz="4" w:space="0" w:color="auto"/>
            </w:tcBorders>
            <w:vAlign w:val="center"/>
            <w:hideMark/>
          </w:tcPr>
          <w:p w14:paraId="5BB2759F" w14:textId="77777777" w:rsidR="00997BE2" w:rsidRPr="00A1432A" w:rsidRDefault="00997BE2" w:rsidP="004E5449">
            <w:pPr>
              <w:jc w:val="center"/>
              <w:rPr>
                <w:rFonts w:ascii="Aptos Narrow" w:hAnsi="Aptos Narrow"/>
                <w:bCs/>
                <w:color w:val="000000"/>
                <w:sz w:val="22"/>
                <w:szCs w:val="22"/>
                <w:lang w:eastAsia="zh-CN"/>
              </w:rPr>
            </w:pPr>
            <w:r w:rsidRPr="00A1432A">
              <w:rPr>
                <w:rFonts w:ascii="Aptos Narrow" w:hAnsi="Aptos Narrow"/>
                <w:bCs/>
                <w:color w:val="000000"/>
                <w:sz w:val="22"/>
                <w:szCs w:val="22"/>
                <w:lang w:eastAsia="zh-CN"/>
              </w:rPr>
              <w:t>p-Value</w:t>
            </w:r>
          </w:p>
        </w:tc>
      </w:tr>
      <w:tr w:rsidR="00997BE2" w:rsidRPr="00A1432A" w14:paraId="74B6A467" w14:textId="77777777" w:rsidTr="004E5449">
        <w:trPr>
          <w:trHeight w:val="585"/>
        </w:trPr>
        <w:tc>
          <w:tcPr>
            <w:tcW w:w="5155" w:type="dxa"/>
            <w:tcBorders>
              <w:top w:val="nil"/>
              <w:left w:val="single" w:sz="4" w:space="0" w:color="auto"/>
              <w:bottom w:val="single" w:sz="4" w:space="0" w:color="auto"/>
              <w:right w:val="single" w:sz="4" w:space="0" w:color="auto"/>
            </w:tcBorders>
            <w:vAlign w:val="center"/>
            <w:hideMark/>
          </w:tcPr>
          <w:p w14:paraId="734601D9"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Arellano–Bond Test for AR(1)</w:t>
            </w:r>
          </w:p>
        </w:tc>
        <w:tc>
          <w:tcPr>
            <w:tcW w:w="1707" w:type="dxa"/>
            <w:tcBorders>
              <w:top w:val="nil"/>
              <w:left w:val="nil"/>
              <w:bottom w:val="single" w:sz="4" w:space="0" w:color="auto"/>
              <w:right w:val="single" w:sz="4" w:space="0" w:color="auto"/>
            </w:tcBorders>
            <w:vAlign w:val="center"/>
            <w:hideMark/>
          </w:tcPr>
          <w:p w14:paraId="5FC1E3AE"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z = –3.88</w:t>
            </w:r>
          </w:p>
        </w:tc>
        <w:tc>
          <w:tcPr>
            <w:tcW w:w="1676" w:type="dxa"/>
            <w:tcBorders>
              <w:top w:val="nil"/>
              <w:left w:val="nil"/>
              <w:bottom w:val="single" w:sz="4" w:space="0" w:color="auto"/>
              <w:right w:val="single" w:sz="4" w:space="0" w:color="auto"/>
            </w:tcBorders>
            <w:vAlign w:val="center"/>
            <w:hideMark/>
          </w:tcPr>
          <w:p w14:paraId="2C48822C" w14:textId="77777777" w:rsidR="00997BE2" w:rsidRPr="00A1432A" w:rsidRDefault="00997BE2"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w:t>
            </w:r>
          </w:p>
        </w:tc>
      </w:tr>
      <w:tr w:rsidR="00997BE2" w:rsidRPr="00A1432A" w14:paraId="728B9B52" w14:textId="77777777" w:rsidTr="004E5449">
        <w:trPr>
          <w:trHeight w:val="575"/>
        </w:trPr>
        <w:tc>
          <w:tcPr>
            <w:tcW w:w="5155" w:type="dxa"/>
            <w:tcBorders>
              <w:top w:val="nil"/>
              <w:left w:val="single" w:sz="4" w:space="0" w:color="auto"/>
              <w:bottom w:val="single" w:sz="4" w:space="0" w:color="auto"/>
              <w:right w:val="single" w:sz="4" w:space="0" w:color="auto"/>
            </w:tcBorders>
            <w:vAlign w:val="center"/>
            <w:hideMark/>
          </w:tcPr>
          <w:p w14:paraId="1DCDFC21"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lastRenderedPageBreak/>
              <w:t>Arellano–Bond Test for AR(2)</w:t>
            </w:r>
          </w:p>
        </w:tc>
        <w:tc>
          <w:tcPr>
            <w:tcW w:w="1707" w:type="dxa"/>
            <w:tcBorders>
              <w:top w:val="nil"/>
              <w:left w:val="nil"/>
              <w:bottom w:val="single" w:sz="4" w:space="0" w:color="auto"/>
              <w:right w:val="single" w:sz="4" w:space="0" w:color="auto"/>
            </w:tcBorders>
            <w:vAlign w:val="center"/>
            <w:hideMark/>
          </w:tcPr>
          <w:p w14:paraId="024E4972"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z = –1.25</w:t>
            </w:r>
          </w:p>
        </w:tc>
        <w:tc>
          <w:tcPr>
            <w:tcW w:w="1676" w:type="dxa"/>
            <w:tcBorders>
              <w:top w:val="nil"/>
              <w:left w:val="nil"/>
              <w:bottom w:val="single" w:sz="4" w:space="0" w:color="auto"/>
              <w:right w:val="single" w:sz="4" w:space="0" w:color="auto"/>
            </w:tcBorders>
            <w:vAlign w:val="center"/>
            <w:hideMark/>
          </w:tcPr>
          <w:p w14:paraId="10644A85" w14:textId="77777777" w:rsidR="00997BE2" w:rsidRPr="00A1432A" w:rsidRDefault="00997BE2"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0.212</w:t>
            </w:r>
          </w:p>
        </w:tc>
      </w:tr>
      <w:tr w:rsidR="00997BE2" w:rsidRPr="00A1432A" w14:paraId="3137364E" w14:textId="77777777" w:rsidTr="004E5449">
        <w:trPr>
          <w:trHeight w:val="828"/>
        </w:trPr>
        <w:tc>
          <w:tcPr>
            <w:tcW w:w="5155" w:type="dxa"/>
            <w:tcBorders>
              <w:top w:val="nil"/>
              <w:left w:val="single" w:sz="4" w:space="0" w:color="auto"/>
              <w:bottom w:val="single" w:sz="4" w:space="0" w:color="auto"/>
              <w:right w:val="single" w:sz="4" w:space="0" w:color="auto"/>
            </w:tcBorders>
            <w:vAlign w:val="center"/>
            <w:hideMark/>
          </w:tcPr>
          <w:p w14:paraId="70D282CF"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Sargan Test of Over-Identifying Restrictions</w:t>
            </w:r>
          </w:p>
        </w:tc>
        <w:tc>
          <w:tcPr>
            <w:tcW w:w="1707" w:type="dxa"/>
            <w:tcBorders>
              <w:top w:val="nil"/>
              <w:left w:val="nil"/>
              <w:bottom w:val="single" w:sz="4" w:space="0" w:color="auto"/>
              <w:right w:val="single" w:sz="4" w:space="0" w:color="auto"/>
            </w:tcBorders>
            <w:vAlign w:val="center"/>
            <w:hideMark/>
          </w:tcPr>
          <w:p w14:paraId="56F1404D"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χ²(8) = 12.96</w:t>
            </w:r>
          </w:p>
        </w:tc>
        <w:tc>
          <w:tcPr>
            <w:tcW w:w="1676" w:type="dxa"/>
            <w:tcBorders>
              <w:top w:val="nil"/>
              <w:left w:val="nil"/>
              <w:bottom w:val="single" w:sz="4" w:space="0" w:color="auto"/>
              <w:right w:val="single" w:sz="4" w:space="0" w:color="auto"/>
            </w:tcBorders>
            <w:vAlign w:val="center"/>
            <w:hideMark/>
          </w:tcPr>
          <w:p w14:paraId="003CA29E" w14:textId="77777777" w:rsidR="00997BE2" w:rsidRPr="00A1432A" w:rsidRDefault="00997BE2"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0.113</w:t>
            </w:r>
          </w:p>
        </w:tc>
      </w:tr>
      <w:tr w:rsidR="00997BE2" w:rsidRPr="00A1432A" w14:paraId="19D82C05" w14:textId="77777777" w:rsidTr="004E5449">
        <w:trPr>
          <w:trHeight w:val="606"/>
        </w:trPr>
        <w:tc>
          <w:tcPr>
            <w:tcW w:w="5155" w:type="dxa"/>
            <w:tcBorders>
              <w:top w:val="nil"/>
              <w:left w:val="single" w:sz="4" w:space="0" w:color="auto"/>
              <w:bottom w:val="single" w:sz="4" w:space="0" w:color="auto"/>
              <w:right w:val="single" w:sz="4" w:space="0" w:color="auto"/>
            </w:tcBorders>
            <w:vAlign w:val="center"/>
            <w:hideMark/>
          </w:tcPr>
          <w:p w14:paraId="2E2B1CF0" w14:textId="77777777" w:rsidR="00997BE2" w:rsidRPr="00A1432A"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Hansen J-Test of Instrument Validity</w:t>
            </w:r>
          </w:p>
        </w:tc>
        <w:tc>
          <w:tcPr>
            <w:tcW w:w="1707" w:type="dxa"/>
            <w:tcBorders>
              <w:top w:val="nil"/>
              <w:left w:val="nil"/>
              <w:bottom w:val="single" w:sz="4" w:space="0" w:color="auto"/>
              <w:right w:val="single" w:sz="4" w:space="0" w:color="auto"/>
            </w:tcBorders>
            <w:vAlign w:val="center"/>
            <w:hideMark/>
          </w:tcPr>
          <w:p w14:paraId="4701F9CE" w14:textId="77777777" w:rsidR="00997BE2" w:rsidRPr="00627B2B" w:rsidRDefault="00997BE2" w:rsidP="004E5449">
            <w:pPr>
              <w:rPr>
                <w:rFonts w:ascii="Aptos Narrow" w:hAnsi="Aptos Narrow"/>
                <w:bCs/>
                <w:color w:val="000000"/>
                <w:sz w:val="22"/>
                <w:szCs w:val="22"/>
                <w:lang w:eastAsia="zh-CN"/>
              </w:rPr>
            </w:pPr>
            <w:r w:rsidRPr="00A1432A">
              <w:rPr>
                <w:rFonts w:ascii="Aptos Narrow" w:hAnsi="Aptos Narrow"/>
                <w:bCs/>
                <w:color w:val="000000"/>
                <w:sz w:val="22"/>
                <w:szCs w:val="22"/>
                <w:lang w:eastAsia="zh-CN"/>
              </w:rPr>
              <w:t>χ²(8) = 8.76</w:t>
            </w:r>
          </w:p>
          <w:p w14:paraId="31D92CC7" w14:textId="77777777" w:rsidR="00997BE2" w:rsidRPr="00A1432A" w:rsidRDefault="00997BE2" w:rsidP="004E5449">
            <w:pPr>
              <w:rPr>
                <w:rFonts w:ascii="Aptos Narrow" w:hAnsi="Aptos Narrow"/>
                <w:bCs/>
                <w:color w:val="000000"/>
                <w:sz w:val="22"/>
                <w:szCs w:val="22"/>
                <w:lang w:eastAsia="zh-CN"/>
              </w:rPr>
            </w:pPr>
          </w:p>
        </w:tc>
        <w:tc>
          <w:tcPr>
            <w:tcW w:w="1676" w:type="dxa"/>
            <w:tcBorders>
              <w:top w:val="nil"/>
              <w:left w:val="nil"/>
              <w:bottom w:val="single" w:sz="4" w:space="0" w:color="auto"/>
              <w:right w:val="single" w:sz="4" w:space="0" w:color="auto"/>
            </w:tcBorders>
            <w:vAlign w:val="center"/>
            <w:hideMark/>
          </w:tcPr>
          <w:p w14:paraId="73979912" w14:textId="77777777" w:rsidR="00997BE2" w:rsidRPr="00A1432A" w:rsidRDefault="00997BE2" w:rsidP="004E5449">
            <w:pPr>
              <w:jc w:val="right"/>
              <w:rPr>
                <w:rFonts w:ascii="Aptos Narrow" w:hAnsi="Aptos Narrow"/>
                <w:bCs/>
                <w:color w:val="000000"/>
                <w:sz w:val="22"/>
                <w:szCs w:val="22"/>
                <w:lang w:eastAsia="zh-CN"/>
              </w:rPr>
            </w:pPr>
            <w:r w:rsidRPr="00A1432A">
              <w:rPr>
                <w:rFonts w:ascii="Aptos Narrow" w:hAnsi="Aptos Narrow"/>
                <w:bCs/>
                <w:color w:val="000000"/>
                <w:sz w:val="22"/>
                <w:szCs w:val="22"/>
                <w:lang w:eastAsia="zh-CN"/>
              </w:rPr>
              <w:t>0.363</w:t>
            </w:r>
          </w:p>
        </w:tc>
      </w:tr>
    </w:tbl>
    <w:p w14:paraId="151D85A0" w14:textId="77777777" w:rsidR="00997BE2" w:rsidRPr="00627B2B" w:rsidRDefault="00997BE2" w:rsidP="00997BE2">
      <w:pPr>
        <w:pStyle w:val="Body"/>
        <w:spacing w:after="0"/>
        <w:rPr>
          <w:rFonts w:ascii="Arial" w:hAnsi="Arial" w:cs="Arial"/>
          <w:bCs/>
        </w:rPr>
      </w:pPr>
      <w:r w:rsidRPr="00627B2B">
        <w:rPr>
          <w:rFonts w:ascii="Arial" w:hAnsi="Arial" w:cs="Arial"/>
          <w:bCs/>
        </w:rPr>
        <w:t>Source: output of descriptive statistics using STATA 17</w:t>
      </w:r>
    </w:p>
    <w:p w14:paraId="0C978091" w14:textId="77777777" w:rsidR="00997BE2" w:rsidRPr="00627B2B" w:rsidRDefault="00997BE2" w:rsidP="00C12D36">
      <w:pPr>
        <w:pStyle w:val="Body"/>
        <w:spacing w:after="0"/>
        <w:rPr>
          <w:rFonts w:ascii="Arial" w:hAnsi="Arial" w:cs="Arial"/>
          <w:bCs/>
        </w:rPr>
      </w:pPr>
    </w:p>
    <w:p w14:paraId="5196CDD9" w14:textId="4CB765F4" w:rsidR="008C7741" w:rsidRPr="008C7741" w:rsidRDefault="00997BE2" w:rsidP="008C7741">
      <w:pPr>
        <w:pStyle w:val="Body"/>
        <w:spacing w:after="0"/>
        <w:rPr>
          <w:rFonts w:ascii="Arial" w:hAnsi="Arial" w:cs="Arial"/>
          <w:bCs/>
        </w:rPr>
      </w:pPr>
      <w:r>
        <w:rPr>
          <w:rFonts w:ascii="Arial" w:hAnsi="Arial" w:cs="Arial"/>
          <w:bCs/>
          <w:lang w:val="en-GB"/>
        </w:rPr>
        <w:t>In table 6 presents t</w:t>
      </w:r>
      <w:r w:rsidR="008C7741" w:rsidRPr="008C7741">
        <w:rPr>
          <w:rFonts w:ascii="Arial" w:hAnsi="Arial" w:cs="Arial"/>
          <w:bCs/>
        </w:rPr>
        <w:t>he dynamic GMM results reveal important insights into how different components of environmental accounting disclosure influence firm profitability in Nigeria’s oil and gas sector. The coefficient for lagged profitability (FP</w:t>
      </w:r>
      <w:r w:rsidR="008C7741" w:rsidRPr="008C7741">
        <w:rPr>
          <w:rFonts w:ascii="Cambria Math" w:hAnsi="Cambria Math" w:cs="Cambria Math"/>
          <w:bCs/>
        </w:rPr>
        <w:t>ₜ₋₁</w:t>
      </w:r>
      <w:r w:rsidR="008C7741" w:rsidRPr="008C7741">
        <w:rPr>
          <w:rFonts w:ascii="Arial" w:hAnsi="Arial" w:cs="Arial"/>
          <w:bCs/>
        </w:rPr>
        <w:t>) is positive (0.217) and marginally significant (</w:t>
      </w:r>
      <w:r w:rsidR="008C7741" w:rsidRPr="008C7741">
        <w:rPr>
          <w:rFonts w:ascii="Arial" w:hAnsi="Arial" w:cs="Arial"/>
          <w:bCs/>
          <w:i/>
          <w:iCs/>
        </w:rPr>
        <w:t>p</w:t>
      </w:r>
      <w:r w:rsidR="008C7741" w:rsidRPr="008C7741">
        <w:rPr>
          <w:rFonts w:ascii="Arial" w:hAnsi="Arial" w:cs="Arial"/>
          <w:bCs/>
        </w:rPr>
        <w:t xml:space="preserve"> = .074), indicating partial profitability persistence. This suggests that past financial performance contributes moderately to current profitability, consistent with expectations in dynamic profit behavior.</w:t>
      </w:r>
    </w:p>
    <w:p w14:paraId="2163DE44" w14:textId="77777777" w:rsidR="008C7741" w:rsidRPr="008C7741" w:rsidRDefault="008C7741" w:rsidP="008C7741">
      <w:pPr>
        <w:pStyle w:val="Body"/>
        <w:spacing w:after="0"/>
        <w:rPr>
          <w:rFonts w:ascii="Arial" w:hAnsi="Arial" w:cs="Arial"/>
          <w:bCs/>
        </w:rPr>
      </w:pPr>
      <w:r w:rsidRPr="008C7741">
        <w:rPr>
          <w:rFonts w:ascii="Arial" w:hAnsi="Arial" w:cs="Arial"/>
          <w:bCs/>
        </w:rPr>
        <w:t>Greenhouse gas disclosure (GHG) shows a positive but statistically insignificant effect on profitability (</w:t>
      </w:r>
      <w:r w:rsidRPr="008C7741">
        <w:rPr>
          <w:rFonts w:ascii="Arial" w:hAnsi="Arial" w:cs="Arial"/>
          <w:bCs/>
          <w:i/>
          <w:iCs/>
        </w:rPr>
        <w:t>p</w:t>
      </w:r>
      <w:r w:rsidRPr="008C7741">
        <w:rPr>
          <w:rFonts w:ascii="Arial" w:hAnsi="Arial" w:cs="Arial"/>
          <w:bCs/>
        </w:rPr>
        <w:t xml:space="preserve"> = .225), implying that GHG reporting alone does not directly enhance financial performance in the short term. This aligns with findings from Rahayu et al. (2025) and Rahmawati et al. (2025), which also noted weak short-run profit responses to carbon-related disclosures.</w:t>
      </w:r>
    </w:p>
    <w:p w14:paraId="0F52A7C7" w14:textId="77777777" w:rsidR="008C7741" w:rsidRPr="008C7741" w:rsidRDefault="008C7741" w:rsidP="008C7741">
      <w:pPr>
        <w:pStyle w:val="Body"/>
        <w:spacing w:after="0"/>
        <w:rPr>
          <w:rFonts w:ascii="Arial" w:hAnsi="Arial" w:cs="Arial"/>
          <w:bCs/>
        </w:rPr>
      </w:pPr>
      <w:r w:rsidRPr="008C7741">
        <w:rPr>
          <w:rFonts w:ascii="Arial" w:hAnsi="Arial" w:cs="Arial"/>
          <w:bCs/>
        </w:rPr>
        <w:t xml:space="preserve">In contrast, waste management practices (WMP) exhibit a negative and highly significant effect on profitability (β = –0.298, </w:t>
      </w:r>
      <w:r w:rsidRPr="008C7741">
        <w:rPr>
          <w:rFonts w:ascii="Arial" w:hAnsi="Arial" w:cs="Arial"/>
          <w:bCs/>
          <w:i/>
          <w:iCs/>
        </w:rPr>
        <w:t>p</w:t>
      </w:r>
      <w:r w:rsidRPr="008C7741">
        <w:rPr>
          <w:rFonts w:ascii="Arial" w:hAnsi="Arial" w:cs="Arial"/>
          <w:bCs/>
        </w:rPr>
        <w:t xml:space="preserve"> &lt; .001). This suggests that compliance with waste management reporting requirements may impose substantial operational costs that outweigh the immediate financial benefits. Similar cost-pressure effects were reported in studies of the coal and mining industries (Sambo et al., 2025), where environmental compliance reduced short-term profitability.</w:t>
      </w:r>
    </w:p>
    <w:p w14:paraId="70FB454C" w14:textId="77777777" w:rsidR="008C7741" w:rsidRPr="008C7741" w:rsidRDefault="008C7741" w:rsidP="008C7741">
      <w:pPr>
        <w:pStyle w:val="Body"/>
        <w:spacing w:after="0"/>
        <w:rPr>
          <w:rFonts w:ascii="Arial" w:hAnsi="Arial" w:cs="Arial"/>
          <w:bCs/>
        </w:rPr>
      </w:pPr>
      <w:r w:rsidRPr="008C7741">
        <w:rPr>
          <w:rFonts w:ascii="Arial" w:hAnsi="Arial" w:cs="Arial"/>
          <w:bCs/>
        </w:rPr>
        <w:t xml:space="preserve">Environmental policy disclosures (EP) have the strongest positive and significant impact on profitability (β = 1.081, </w:t>
      </w:r>
      <w:r w:rsidRPr="008C7741">
        <w:rPr>
          <w:rFonts w:ascii="Arial" w:hAnsi="Arial" w:cs="Arial"/>
          <w:bCs/>
          <w:i/>
          <w:iCs/>
        </w:rPr>
        <w:t>p</w:t>
      </w:r>
      <w:r w:rsidRPr="008C7741">
        <w:rPr>
          <w:rFonts w:ascii="Arial" w:hAnsi="Arial" w:cs="Arial"/>
          <w:bCs/>
        </w:rPr>
        <w:t xml:space="preserve"> = .001). This indicates that firms with clear, well-communicated environmental policies tend to gain reputational advantages, regulatory goodwill, and stronger investor confidence. This finding reinforces evidence from Kulsum (2025) and Sutomo et al. (2025), who observed that structured environmental governance improves firm value and financial performance.</w:t>
      </w:r>
    </w:p>
    <w:p w14:paraId="729E63CD" w14:textId="6D531425" w:rsidR="008C7741" w:rsidRDefault="008C7741" w:rsidP="008C7741">
      <w:pPr>
        <w:pStyle w:val="Body"/>
        <w:spacing w:after="0"/>
        <w:rPr>
          <w:rFonts w:ascii="Arial" w:hAnsi="Arial" w:cs="Arial"/>
          <w:bCs/>
        </w:rPr>
      </w:pPr>
      <w:r w:rsidRPr="008C7741">
        <w:rPr>
          <w:rFonts w:ascii="Arial" w:hAnsi="Arial" w:cs="Arial"/>
          <w:bCs/>
        </w:rPr>
        <w:t xml:space="preserve">Regarding control variables, firm size (FS) is strongly positively associated with profitability (β = 0.246, </w:t>
      </w:r>
      <w:r w:rsidRPr="008C7741">
        <w:rPr>
          <w:rFonts w:ascii="Arial" w:hAnsi="Arial" w:cs="Arial"/>
          <w:bCs/>
          <w:i/>
          <w:iCs/>
        </w:rPr>
        <w:t>p</w:t>
      </w:r>
      <w:r w:rsidRPr="008C7741">
        <w:rPr>
          <w:rFonts w:ascii="Arial" w:hAnsi="Arial" w:cs="Arial"/>
          <w:bCs/>
        </w:rPr>
        <w:t xml:space="preserve"> &lt; .001), suggesting that larger firms benefit from scale advantages, better capital access, and more capacity to absorb environmental reporting costs. Leverage (LEV) is significantly negative (β = –0.266, </w:t>
      </w:r>
      <w:r w:rsidRPr="008C7741">
        <w:rPr>
          <w:rFonts w:ascii="Arial" w:hAnsi="Arial" w:cs="Arial"/>
          <w:bCs/>
          <w:i/>
          <w:iCs/>
        </w:rPr>
        <w:t>p</w:t>
      </w:r>
      <w:r w:rsidRPr="008C7741">
        <w:rPr>
          <w:rFonts w:ascii="Arial" w:hAnsi="Arial" w:cs="Arial"/>
          <w:bCs/>
        </w:rPr>
        <w:t xml:space="preserve"> = .005), meaning that highly leveraged firms tend to achieve lower profitability</w:t>
      </w:r>
      <w:r w:rsidRPr="00627B2B">
        <w:rPr>
          <w:rFonts w:ascii="Arial" w:hAnsi="Arial" w:cs="Arial"/>
          <w:bCs/>
        </w:rPr>
        <w:t xml:space="preserve"> </w:t>
      </w:r>
      <w:r w:rsidRPr="008C7741">
        <w:rPr>
          <w:rFonts w:ascii="Arial" w:hAnsi="Arial" w:cs="Arial"/>
          <w:bCs/>
        </w:rPr>
        <w:t>consistent with financial risk theory and prior results from Awotomilusi et al. (2025).</w:t>
      </w:r>
    </w:p>
    <w:p w14:paraId="2738C29C" w14:textId="77777777" w:rsidR="00997BE2" w:rsidRDefault="00997BE2" w:rsidP="008C7741">
      <w:pPr>
        <w:pStyle w:val="Body"/>
        <w:spacing w:after="0"/>
        <w:rPr>
          <w:rFonts w:ascii="Arial" w:hAnsi="Arial" w:cs="Arial"/>
          <w:bCs/>
        </w:rPr>
      </w:pPr>
    </w:p>
    <w:p w14:paraId="4DCE9F99" w14:textId="77777777" w:rsidR="00997BE2" w:rsidRPr="00627B2B" w:rsidRDefault="00997BE2" w:rsidP="00997BE2">
      <w:pPr>
        <w:pStyle w:val="Body"/>
        <w:spacing w:after="0"/>
        <w:rPr>
          <w:rFonts w:ascii="Arial" w:hAnsi="Arial" w:cs="Arial"/>
          <w:bCs/>
          <w:i/>
        </w:rPr>
      </w:pPr>
      <w:r w:rsidRPr="00627B2B">
        <w:rPr>
          <w:rFonts w:ascii="Arial" w:hAnsi="Arial" w:cs="Arial"/>
          <w:bCs/>
        </w:rPr>
        <w:t xml:space="preserve">Table 6. </w:t>
      </w:r>
      <w:r w:rsidRPr="00627B2B">
        <w:rPr>
          <w:rFonts w:ascii="Arial" w:hAnsi="Arial" w:cs="Arial"/>
          <w:bCs/>
          <w:i/>
        </w:rPr>
        <w:t>Summary of Dynamic Regression Result</w:t>
      </w:r>
    </w:p>
    <w:tbl>
      <w:tblPr>
        <w:tblW w:w="7236" w:type="dxa"/>
        <w:tblLook w:val="04A0" w:firstRow="1" w:lastRow="0" w:firstColumn="1" w:lastColumn="0" w:noHBand="0" w:noVBand="1"/>
      </w:tblPr>
      <w:tblGrid>
        <w:gridCol w:w="2470"/>
        <w:gridCol w:w="1686"/>
        <w:gridCol w:w="1067"/>
        <w:gridCol w:w="974"/>
        <w:gridCol w:w="1039"/>
      </w:tblGrid>
      <w:tr w:rsidR="00997BE2" w:rsidRPr="008C7741" w14:paraId="420028B3" w14:textId="77777777" w:rsidTr="004E5449">
        <w:trPr>
          <w:trHeight w:val="561"/>
        </w:trPr>
        <w:tc>
          <w:tcPr>
            <w:tcW w:w="2470" w:type="dxa"/>
            <w:tcBorders>
              <w:top w:val="single" w:sz="4" w:space="0" w:color="auto"/>
              <w:left w:val="single" w:sz="4" w:space="0" w:color="auto"/>
              <w:bottom w:val="single" w:sz="4" w:space="0" w:color="auto"/>
              <w:right w:val="single" w:sz="4" w:space="0" w:color="auto"/>
            </w:tcBorders>
            <w:vAlign w:val="center"/>
            <w:hideMark/>
          </w:tcPr>
          <w:p w14:paraId="0ACD7D2A" w14:textId="77777777" w:rsidR="00997BE2" w:rsidRPr="008C7741" w:rsidRDefault="00997BE2" w:rsidP="004E5449">
            <w:pPr>
              <w:jc w:val="cente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Variable</w:t>
            </w:r>
          </w:p>
        </w:tc>
        <w:tc>
          <w:tcPr>
            <w:tcW w:w="1686" w:type="dxa"/>
            <w:tcBorders>
              <w:top w:val="single" w:sz="4" w:space="0" w:color="auto"/>
              <w:left w:val="nil"/>
              <w:bottom w:val="single" w:sz="4" w:space="0" w:color="auto"/>
              <w:right w:val="single" w:sz="4" w:space="0" w:color="auto"/>
            </w:tcBorders>
            <w:vAlign w:val="center"/>
            <w:hideMark/>
          </w:tcPr>
          <w:p w14:paraId="084759CD" w14:textId="77777777" w:rsidR="00997BE2" w:rsidRPr="008C7741" w:rsidRDefault="00997BE2" w:rsidP="004E5449">
            <w:pPr>
              <w:jc w:val="cente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Coefficient</w:t>
            </w:r>
          </w:p>
        </w:tc>
        <w:tc>
          <w:tcPr>
            <w:tcW w:w="1067" w:type="dxa"/>
            <w:tcBorders>
              <w:top w:val="single" w:sz="4" w:space="0" w:color="auto"/>
              <w:left w:val="nil"/>
              <w:bottom w:val="single" w:sz="4" w:space="0" w:color="auto"/>
              <w:right w:val="single" w:sz="4" w:space="0" w:color="auto"/>
            </w:tcBorders>
            <w:vAlign w:val="center"/>
            <w:hideMark/>
          </w:tcPr>
          <w:p w14:paraId="344CC106" w14:textId="77777777" w:rsidR="00997BE2" w:rsidRPr="008C7741" w:rsidRDefault="00997BE2" w:rsidP="004E5449">
            <w:pPr>
              <w:jc w:val="cente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Std. Error</w:t>
            </w:r>
          </w:p>
        </w:tc>
        <w:tc>
          <w:tcPr>
            <w:tcW w:w="974" w:type="dxa"/>
            <w:tcBorders>
              <w:top w:val="single" w:sz="4" w:space="0" w:color="auto"/>
              <w:left w:val="nil"/>
              <w:bottom w:val="single" w:sz="4" w:space="0" w:color="auto"/>
              <w:right w:val="single" w:sz="4" w:space="0" w:color="auto"/>
            </w:tcBorders>
            <w:vAlign w:val="center"/>
            <w:hideMark/>
          </w:tcPr>
          <w:p w14:paraId="7F95DBD1" w14:textId="77777777" w:rsidR="00997BE2" w:rsidRPr="008C7741" w:rsidRDefault="00997BE2" w:rsidP="004E5449">
            <w:pPr>
              <w:jc w:val="cente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z-value</w:t>
            </w:r>
          </w:p>
        </w:tc>
        <w:tc>
          <w:tcPr>
            <w:tcW w:w="1039" w:type="dxa"/>
            <w:tcBorders>
              <w:top w:val="single" w:sz="4" w:space="0" w:color="auto"/>
              <w:left w:val="nil"/>
              <w:bottom w:val="single" w:sz="4" w:space="0" w:color="auto"/>
              <w:right w:val="single" w:sz="4" w:space="0" w:color="auto"/>
            </w:tcBorders>
            <w:vAlign w:val="center"/>
            <w:hideMark/>
          </w:tcPr>
          <w:p w14:paraId="331EDC8F" w14:textId="77777777" w:rsidR="00997BE2" w:rsidRPr="008C7741" w:rsidRDefault="00997BE2" w:rsidP="004E5449">
            <w:pPr>
              <w:jc w:val="cente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p-value</w:t>
            </w:r>
          </w:p>
        </w:tc>
      </w:tr>
      <w:tr w:rsidR="00997BE2" w:rsidRPr="008C7741" w14:paraId="7FDF201C"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1B263133"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LFPₜ₋₁</w:t>
            </w:r>
          </w:p>
        </w:tc>
        <w:tc>
          <w:tcPr>
            <w:tcW w:w="1686" w:type="dxa"/>
            <w:tcBorders>
              <w:top w:val="nil"/>
              <w:left w:val="nil"/>
              <w:bottom w:val="single" w:sz="4" w:space="0" w:color="auto"/>
              <w:right w:val="single" w:sz="4" w:space="0" w:color="auto"/>
            </w:tcBorders>
            <w:vAlign w:val="center"/>
            <w:hideMark/>
          </w:tcPr>
          <w:p w14:paraId="233A20A9"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0.217</w:t>
            </w:r>
          </w:p>
        </w:tc>
        <w:tc>
          <w:tcPr>
            <w:tcW w:w="1067" w:type="dxa"/>
            <w:tcBorders>
              <w:top w:val="nil"/>
              <w:left w:val="nil"/>
              <w:bottom w:val="single" w:sz="4" w:space="0" w:color="auto"/>
              <w:right w:val="single" w:sz="4" w:space="0" w:color="auto"/>
            </w:tcBorders>
            <w:vAlign w:val="center"/>
            <w:hideMark/>
          </w:tcPr>
          <w:p w14:paraId="0803B08A"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0.122</w:t>
            </w:r>
          </w:p>
        </w:tc>
        <w:tc>
          <w:tcPr>
            <w:tcW w:w="974" w:type="dxa"/>
            <w:tcBorders>
              <w:top w:val="nil"/>
              <w:left w:val="nil"/>
              <w:bottom w:val="single" w:sz="4" w:space="0" w:color="auto"/>
              <w:right w:val="single" w:sz="4" w:space="0" w:color="auto"/>
            </w:tcBorders>
            <w:vAlign w:val="center"/>
            <w:hideMark/>
          </w:tcPr>
          <w:p w14:paraId="10985A01"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1.78</w:t>
            </w:r>
          </w:p>
        </w:tc>
        <w:tc>
          <w:tcPr>
            <w:tcW w:w="1039" w:type="dxa"/>
            <w:tcBorders>
              <w:top w:val="nil"/>
              <w:left w:val="nil"/>
              <w:bottom w:val="single" w:sz="4" w:space="0" w:color="auto"/>
              <w:right w:val="single" w:sz="4" w:space="0" w:color="auto"/>
            </w:tcBorders>
            <w:vAlign w:val="center"/>
            <w:hideMark/>
          </w:tcPr>
          <w:p w14:paraId="3FC190DC"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0.074</w:t>
            </w:r>
          </w:p>
        </w:tc>
      </w:tr>
      <w:tr w:rsidR="00997BE2" w:rsidRPr="008C7741" w14:paraId="2B1F14AC"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2DDFCA5C"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GHG</w:t>
            </w:r>
          </w:p>
        </w:tc>
        <w:tc>
          <w:tcPr>
            <w:tcW w:w="1686" w:type="dxa"/>
            <w:tcBorders>
              <w:top w:val="nil"/>
              <w:left w:val="nil"/>
              <w:bottom w:val="single" w:sz="4" w:space="0" w:color="auto"/>
              <w:right w:val="single" w:sz="4" w:space="0" w:color="auto"/>
            </w:tcBorders>
            <w:vAlign w:val="center"/>
            <w:hideMark/>
          </w:tcPr>
          <w:p w14:paraId="7D62EC62"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0.347</w:t>
            </w:r>
          </w:p>
        </w:tc>
        <w:tc>
          <w:tcPr>
            <w:tcW w:w="1067" w:type="dxa"/>
            <w:tcBorders>
              <w:top w:val="nil"/>
              <w:left w:val="nil"/>
              <w:bottom w:val="single" w:sz="4" w:space="0" w:color="auto"/>
              <w:right w:val="single" w:sz="4" w:space="0" w:color="auto"/>
            </w:tcBorders>
            <w:vAlign w:val="center"/>
            <w:hideMark/>
          </w:tcPr>
          <w:p w14:paraId="571357F2"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0.286</w:t>
            </w:r>
          </w:p>
        </w:tc>
        <w:tc>
          <w:tcPr>
            <w:tcW w:w="974" w:type="dxa"/>
            <w:tcBorders>
              <w:top w:val="nil"/>
              <w:left w:val="nil"/>
              <w:bottom w:val="single" w:sz="4" w:space="0" w:color="auto"/>
              <w:right w:val="single" w:sz="4" w:space="0" w:color="auto"/>
            </w:tcBorders>
            <w:vAlign w:val="center"/>
            <w:hideMark/>
          </w:tcPr>
          <w:p w14:paraId="1C21D1EE"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1.21</w:t>
            </w:r>
          </w:p>
        </w:tc>
        <w:tc>
          <w:tcPr>
            <w:tcW w:w="1039" w:type="dxa"/>
            <w:tcBorders>
              <w:top w:val="nil"/>
              <w:left w:val="nil"/>
              <w:bottom w:val="single" w:sz="4" w:space="0" w:color="auto"/>
              <w:right w:val="single" w:sz="4" w:space="0" w:color="auto"/>
            </w:tcBorders>
            <w:vAlign w:val="center"/>
            <w:hideMark/>
          </w:tcPr>
          <w:p w14:paraId="587F6A55"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0.225</w:t>
            </w:r>
          </w:p>
        </w:tc>
      </w:tr>
      <w:tr w:rsidR="00997BE2" w:rsidRPr="008C7741" w14:paraId="03B63DA9"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6268E37F"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WMP</w:t>
            </w:r>
          </w:p>
        </w:tc>
        <w:tc>
          <w:tcPr>
            <w:tcW w:w="1686" w:type="dxa"/>
            <w:tcBorders>
              <w:top w:val="nil"/>
              <w:left w:val="nil"/>
              <w:bottom w:val="single" w:sz="4" w:space="0" w:color="auto"/>
              <w:right w:val="single" w:sz="4" w:space="0" w:color="auto"/>
            </w:tcBorders>
            <w:vAlign w:val="center"/>
            <w:hideMark/>
          </w:tcPr>
          <w:p w14:paraId="6CEC773F" w14:textId="77777777" w:rsidR="00997BE2" w:rsidRPr="008C7741" w:rsidRDefault="00997BE2" w:rsidP="004E5449">
            <w:pPr>
              <w:rPr>
                <w:rFonts w:ascii="Times New Roman" w:hAnsi="Times New Roman"/>
                <w:bCs/>
                <w:color w:val="000000"/>
                <w:sz w:val="22"/>
                <w:szCs w:val="22"/>
                <w:lang w:eastAsia="zh-CN"/>
              </w:rPr>
            </w:pPr>
            <w:r w:rsidRPr="00627B2B">
              <w:rPr>
                <w:rFonts w:ascii="Times New Roman" w:hAnsi="Times New Roman"/>
                <w:bCs/>
                <w:color w:val="000000"/>
                <w:sz w:val="22"/>
                <w:szCs w:val="22"/>
                <w:lang w:eastAsia="zh-CN"/>
              </w:rPr>
              <w:t xml:space="preserve">               </w:t>
            </w:r>
            <w:r w:rsidRPr="008C7741">
              <w:rPr>
                <w:rFonts w:ascii="Times New Roman" w:hAnsi="Times New Roman"/>
                <w:bCs/>
                <w:color w:val="000000"/>
                <w:sz w:val="22"/>
                <w:szCs w:val="22"/>
                <w:lang w:eastAsia="zh-CN"/>
              </w:rPr>
              <w:t>–0.298</w:t>
            </w:r>
          </w:p>
        </w:tc>
        <w:tc>
          <w:tcPr>
            <w:tcW w:w="1067" w:type="dxa"/>
            <w:tcBorders>
              <w:top w:val="nil"/>
              <w:left w:val="nil"/>
              <w:bottom w:val="single" w:sz="4" w:space="0" w:color="auto"/>
              <w:right w:val="single" w:sz="4" w:space="0" w:color="auto"/>
            </w:tcBorders>
            <w:vAlign w:val="center"/>
            <w:hideMark/>
          </w:tcPr>
          <w:p w14:paraId="46A78C3F"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0.072</w:t>
            </w:r>
          </w:p>
        </w:tc>
        <w:tc>
          <w:tcPr>
            <w:tcW w:w="974" w:type="dxa"/>
            <w:tcBorders>
              <w:top w:val="nil"/>
              <w:left w:val="nil"/>
              <w:bottom w:val="single" w:sz="4" w:space="0" w:color="auto"/>
              <w:right w:val="single" w:sz="4" w:space="0" w:color="auto"/>
            </w:tcBorders>
            <w:vAlign w:val="center"/>
            <w:hideMark/>
          </w:tcPr>
          <w:p w14:paraId="24BC1725"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–4.14</w:t>
            </w:r>
          </w:p>
        </w:tc>
        <w:tc>
          <w:tcPr>
            <w:tcW w:w="1039" w:type="dxa"/>
            <w:tcBorders>
              <w:top w:val="nil"/>
              <w:left w:val="nil"/>
              <w:bottom w:val="single" w:sz="4" w:space="0" w:color="auto"/>
              <w:right w:val="single" w:sz="4" w:space="0" w:color="auto"/>
            </w:tcBorders>
            <w:vAlign w:val="center"/>
            <w:hideMark/>
          </w:tcPr>
          <w:p w14:paraId="5ED09A24"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w:t>
            </w:r>
            <w:r w:rsidRPr="00627B2B">
              <w:rPr>
                <w:rFonts w:ascii="Times New Roman" w:hAnsi="Times New Roman"/>
                <w:bCs/>
                <w:color w:val="000000"/>
                <w:sz w:val="22"/>
                <w:szCs w:val="22"/>
                <w:lang w:eastAsia="zh-CN"/>
              </w:rPr>
              <w:t>.000</w:t>
            </w:r>
          </w:p>
        </w:tc>
      </w:tr>
      <w:tr w:rsidR="00997BE2" w:rsidRPr="008C7741" w14:paraId="1975479B"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01682310"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EP</w:t>
            </w:r>
          </w:p>
        </w:tc>
        <w:tc>
          <w:tcPr>
            <w:tcW w:w="1686" w:type="dxa"/>
            <w:tcBorders>
              <w:top w:val="nil"/>
              <w:left w:val="nil"/>
              <w:bottom w:val="single" w:sz="4" w:space="0" w:color="auto"/>
              <w:right w:val="single" w:sz="4" w:space="0" w:color="auto"/>
            </w:tcBorders>
            <w:vAlign w:val="center"/>
            <w:hideMark/>
          </w:tcPr>
          <w:p w14:paraId="1315C5CD"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1.081</w:t>
            </w:r>
          </w:p>
        </w:tc>
        <w:tc>
          <w:tcPr>
            <w:tcW w:w="1067" w:type="dxa"/>
            <w:tcBorders>
              <w:top w:val="nil"/>
              <w:left w:val="nil"/>
              <w:bottom w:val="single" w:sz="4" w:space="0" w:color="auto"/>
              <w:right w:val="single" w:sz="4" w:space="0" w:color="auto"/>
            </w:tcBorders>
            <w:vAlign w:val="center"/>
            <w:hideMark/>
          </w:tcPr>
          <w:p w14:paraId="45520AA9"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0.338</w:t>
            </w:r>
          </w:p>
        </w:tc>
        <w:tc>
          <w:tcPr>
            <w:tcW w:w="974" w:type="dxa"/>
            <w:tcBorders>
              <w:top w:val="nil"/>
              <w:left w:val="nil"/>
              <w:bottom w:val="single" w:sz="4" w:space="0" w:color="auto"/>
              <w:right w:val="single" w:sz="4" w:space="0" w:color="auto"/>
            </w:tcBorders>
            <w:vAlign w:val="center"/>
            <w:hideMark/>
          </w:tcPr>
          <w:p w14:paraId="776FDBC8"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3.19</w:t>
            </w:r>
          </w:p>
        </w:tc>
        <w:tc>
          <w:tcPr>
            <w:tcW w:w="1039" w:type="dxa"/>
            <w:tcBorders>
              <w:top w:val="nil"/>
              <w:left w:val="nil"/>
              <w:bottom w:val="single" w:sz="4" w:space="0" w:color="auto"/>
              <w:right w:val="single" w:sz="4" w:space="0" w:color="auto"/>
            </w:tcBorders>
            <w:vAlign w:val="center"/>
            <w:hideMark/>
          </w:tcPr>
          <w:p w14:paraId="194F7CD9"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0.001</w:t>
            </w:r>
          </w:p>
        </w:tc>
      </w:tr>
      <w:tr w:rsidR="00997BE2" w:rsidRPr="008C7741" w14:paraId="0862EAC3"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4348D6AE"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FS</w:t>
            </w:r>
          </w:p>
        </w:tc>
        <w:tc>
          <w:tcPr>
            <w:tcW w:w="1686" w:type="dxa"/>
            <w:tcBorders>
              <w:top w:val="nil"/>
              <w:left w:val="nil"/>
              <w:bottom w:val="single" w:sz="4" w:space="0" w:color="auto"/>
              <w:right w:val="single" w:sz="4" w:space="0" w:color="auto"/>
            </w:tcBorders>
            <w:vAlign w:val="center"/>
            <w:hideMark/>
          </w:tcPr>
          <w:p w14:paraId="5C60B517"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0.246</w:t>
            </w:r>
          </w:p>
        </w:tc>
        <w:tc>
          <w:tcPr>
            <w:tcW w:w="1067" w:type="dxa"/>
            <w:tcBorders>
              <w:top w:val="nil"/>
              <w:left w:val="nil"/>
              <w:bottom w:val="single" w:sz="4" w:space="0" w:color="auto"/>
              <w:right w:val="single" w:sz="4" w:space="0" w:color="auto"/>
            </w:tcBorders>
            <w:vAlign w:val="center"/>
            <w:hideMark/>
          </w:tcPr>
          <w:p w14:paraId="05101212"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0.046</w:t>
            </w:r>
          </w:p>
        </w:tc>
        <w:tc>
          <w:tcPr>
            <w:tcW w:w="974" w:type="dxa"/>
            <w:tcBorders>
              <w:top w:val="nil"/>
              <w:left w:val="nil"/>
              <w:bottom w:val="single" w:sz="4" w:space="0" w:color="auto"/>
              <w:right w:val="single" w:sz="4" w:space="0" w:color="auto"/>
            </w:tcBorders>
            <w:vAlign w:val="center"/>
            <w:hideMark/>
          </w:tcPr>
          <w:p w14:paraId="5491E06E"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5.39</w:t>
            </w:r>
          </w:p>
        </w:tc>
        <w:tc>
          <w:tcPr>
            <w:tcW w:w="1039" w:type="dxa"/>
            <w:tcBorders>
              <w:top w:val="nil"/>
              <w:left w:val="nil"/>
              <w:bottom w:val="single" w:sz="4" w:space="0" w:color="auto"/>
              <w:right w:val="single" w:sz="4" w:space="0" w:color="auto"/>
            </w:tcBorders>
            <w:vAlign w:val="center"/>
            <w:hideMark/>
          </w:tcPr>
          <w:p w14:paraId="7B5BB605"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w:t>
            </w:r>
            <w:r w:rsidRPr="00627B2B">
              <w:rPr>
                <w:rFonts w:ascii="Times New Roman" w:hAnsi="Times New Roman"/>
                <w:bCs/>
                <w:color w:val="000000"/>
                <w:sz w:val="22"/>
                <w:szCs w:val="22"/>
                <w:lang w:eastAsia="zh-CN"/>
              </w:rPr>
              <w:t>.000</w:t>
            </w:r>
          </w:p>
        </w:tc>
      </w:tr>
      <w:tr w:rsidR="00997BE2" w:rsidRPr="008C7741" w14:paraId="2AA5A3E6"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55D4E194"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LEV</w:t>
            </w:r>
          </w:p>
        </w:tc>
        <w:tc>
          <w:tcPr>
            <w:tcW w:w="1686" w:type="dxa"/>
            <w:tcBorders>
              <w:top w:val="nil"/>
              <w:left w:val="nil"/>
              <w:bottom w:val="single" w:sz="4" w:space="0" w:color="auto"/>
              <w:right w:val="single" w:sz="4" w:space="0" w:color="auto"/>
            </w:tcBorders>
            <w:vAlign w:val="center"/>
            <w:hideMark/>
          </w:tcPr>
          <w:p w14:paraId="62DEC115" w14:textId="77777777" w:rsidR="00997BE2" w:rsidRPr="008C7741" w:rsidRDefault="00997BE2" w:rsidP="004E5449">
            <w:pPr>
              <w:rPr>
                <w:rFonts w:ascii="Times New Roman" w:hAnsi="Times New Roman"/>
                <w:bCs/>
                <w:color w:val="000000"/>
                <w:sz w:val="22"/>
                <w:szCs w:val="22"/>
                <w:lang w:eastAsia="zh-CN"/>
              </w:rPr>
            </w:pPr>
            <w:r w:rsidRPr="00627B2B">
              <w:rPr>
                <w:rFonts w:ascii="Times New Roman" w:hAnsi="Times New Roman"/>
                <w:bCs/>
                <w:color w:val="000000"/>
                <w:sz w:val="22"/>
                <w:szCs w:val="22"/>
                <w:lang w:eastAsia="zh-CN"/>
              </w:rPr>
              <w:t xml:space="preserve">               </w:t>
            </w:r>
            <w:r w:rsidRPr="008C7741">
              <w:rPr>
                <w:rFonts w:ascii="Times New Roman" w:hAnsi="Times New Roman"/>
                <w:bCs/>
                <w:color w:val="000000"/>
                <w:sz w:val="22"/>
                <w:szCs w:val="22"/>
                <w:lang w:eastAsia="zh-CN"/>
              </w:rPr>
              <w:t>–0.266</w:t>
            </w:r>
          </w:p>
        </w:tc>
        <w:tc>
          <w:tcPr>
            <w:tcW w:w="1067" w:type="dxa"/>
            <w:tcBorders>
              <w:top w:val="nil"/>
              <w:left w:val="nil"/>
              <w:bottom w:val="single" w:sz="4" w:space="0" w:color="auto"/>
              <w:right w:val="single" w:sz="4" w:space="0" w:color="auto"/>
            </w:tcBorders>
            <w:vAlign w:val="center"/>
            <w:hideMark/>
          </w:tcPr>
          <w:p w14:paraId="16A22610"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0.094</w:t>
            </w:r>
          </w:p>
        </w:tc>
        <w:tc>
          <w:tcPr>
            <w:tcW w:w="974" w:type="dxa"/>
            <w:tcBorders>
              <w:top w:val="nil"/>
              <w:left w:val="nil"/>
              <w:bottom w:val="single" w:sz="4" w:space="0" w:color="auto"/>
              <w:right w:val="single" w:sz="4" w:space="0" w:color="auto"/>
            </w:tcBorders>
            <w:vAlign w:val="center"/>
            <w:hideMark/>
          </w:tcPr>
          <w:p w14:paraId="659AE8B6"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–2.82</w:t>
            </w:r>
          </w:p>
        </w:tc>
        <w:tc>
          <w:tcPr>
            <w:tcW w:w="1039" w:type="dxa"/>
            <w:tcBorders>
              <w:top w:val="nil"/>
              <w:left w:val="nil"/>
              <w:bottom w:val="single" w:sz="4" w:space="0" w:color="auto"/>
              <w:right w:val="single" w:sz="4" w:space="0" w:color="auto"/>
            </w:tcBorders>
            <w:vAlign w:val="center"/>
            <w:hideMark/>
          </w:tcPr>
          <w:p w14:paraId="02DE711A"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0.005</w:t>
            </w:r>
          </w:p>
        </w:tc>
      </w:tr>
      <w:tr w:rsidR="00997BE2" w:rsidRPr="008C7741" w14:paraId="281DFE8E" w14:textId="77777777" w:rsidTr="004E5449">
        <w:trPr>
          <w:trHeight w:val="290"/>
        </w:trPr>
        <w:tc>
          <w:tcPr>
            <w:tcW w:w="2470" w:type="dxa"/>
            <w:tcBorders>
              <w:top w:val="nil"/>
              <w:left w:val="single" w:sz="4" w:space="0" w:color="auto"/>
              <w:bottom w:val="single" w:sz="4" w:space="0" w:color="auto"/>
              <w:right w:val="single" w:sz="4" w:space="0" w:color="auto"/>
            </w:tcBorders>
            <w:vAlign w:val="center"/>
            <w:hideMark/>
          </w:tcPr>
          <w:p w14:paraId="2F8D83E7"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Const</w:t>
            </w:r>
          </w:p>
        </w:tc>
        <w:tc>
          <w:tcPr>
            <w:tcW w:w="1686" w:type="dxa"/>
            <w:tcBorders>
              <w:top w:val="nil"/>
              <w:left w:val="nil"/>
              <w:bottom w:val="single" w:sz="4" w:space="0" w:color="auto"/>
              <w:right w:val="single" w:sz="4" w:space="0" w:color="auto"/>
            </w:tcBorders>
            <w:vAlign w:val="center"/>
            <w:hideMark/>
          </w:tcPr>
          <w:p w14:paraId="6309FB20" w14:textId="77777777" w:rsidR="00997BE2" w:rsidRPr="008C7741" w:rsidRDefault="00997BE2" w:rsidP="004E5449">
            <w:pPr>
              <w:rPr>
                <w:rFonts w:ascii="Times New Roman" w:hAnsi="Times New Roman"/>
                <w:bCs/>
                <w:color w:val="000000"/>
                <w:sz w:val="22"/>
                <w:szCs w:val="22"/>
                <w:lang w:eastAsia="zh-CN"/>
              </w:rPr>
            </w:pPr>
            <w:r w:rsidRPr="00627B2B">
              <w:rPr>
                <w:rFonts w:ascii="Times New Roman" w:hAnsi="Times New Roman"/>
                <w:bCs/>
                <w:color w:val="000000"/>
                <w:sz w:val="22"/>
                <w:szCs w:val="22"/>
                <w:lang w:eastAsia="zh-CN"/>
              </w:rPr>
              <w:t xml:space="preserve">            </w:t>
            </w:r>
            <w:r w:rsidRPr="008C7741">
              <w:rPr>
                <w:rFonts w:ascii="Times New Roman" w:hAnsi="Times New Roman"/>
                <w:bCs/>
                <w:color w:val="000000"/>
                <w:sz w:val="22"/>
                <w:szCs w:val="22"/>
                <w:lang w:eastAsia="zh-CN"/>
              </w:rPr>
              <w:t>–0.340</w:t>
            </w:r>
          </w:p>
        </w:tc>
        <w:tc>
          <w:tcPr>
            <w:tcW w:w="1067" w:type="dxa"/>
            <w:tcBorders>
              <w:top w:val="nil"/>
              <w:left w:val="nil"/>
              <w:bottom w:val="single" w:sz="4" w:space="0" w:color="auto"/>
              <w:right w:val="single" w:sz="4" w:space="0" w:color="auto"/>
            </w:tcBorders>
            <w:vAlign w:val="center"/>
            <w:hideMark/>
          </w:tcPr>
          <w:p w14:paraId="10F3DC09"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0.296</w:t>
            </w:r>
          </w:p>
        </w:tc>
        <w:tc>
          <w:tcPr>
            <w:tcW w:w="974" w:type="dxa"/>
            <w:tcBorders>
              <w:top w:val="nil"/>
              <w:left w:val="nil"/>
              <w:bottom w:val="single" w:sz="4" w:space="0" w:color="auto"/>
              <w:right w:val="single" w:sz="4" w:space="0" w:color="auto"/>
            </w:tcBorders>
            <w:vAlign w:val="center"/>
            <w:hideMark/>
          </w:tcPr>
          <w:p w14:paraId="764CFDD6"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–1.15</w:t>
            </w:r>
          </w:p>
        </w:tc>
        <w:tc>
          <w:tcPr>
            <w:tcW w:w="1039" w:type="dxa"/>
            <w:tcBorders>
              <w:top w:val="nil"/>
              <w:left w:val="nil"/>
              <w:bottom w:val="single" w:sz="4" w:space="0" w:color="auto"/>
              <w:right w:val="single" w:sz="4" w:space="0" w:color="auto"/>
            </w:tcBorders>
            <w:vAlign w:val="center"/>
            <w:hideMark/>
          </w:tcPr>
          <w:p w14:paraId="02B30045" w14:textId="77777777" w:rsidR="00997BE2" w:rsidRPr="008C7741" w:rsidRDefault="00997BE2" w:rsidP="004E5449">
            <w:pPr>
              <w:jc w:val="right"/>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0.251</w:t>
            </w:r>
          </w:p>
        </w:tc>
      </w:tr>
      <w:tr w:rsidR="00997BE2" w:rsidRPr="008C7741" w14:paraId="43742D63" w14:textId="77777777" w:rsidTr="004E5449">
        <w:trPr>
          <w:trHeight w:val="290"/>
        </w:trPr>
        <w:tc>
          <w:tcPr>
            <w:tcW w:w="2470" w:type="dxa"/>
            <w:tcBorders>
              <w:top w:val="nil"/>
              <w:left w:val="single" w:sz="4" w:space="0" w:color="auto"/>
              <w:bottom w:val="single" w:sz="4" w:space="0" w:color="auto"/>
              <w:right w:val="single" w:sz="4" w:space="0" w:color="auto"/>
            </w:tcBorders>
            <w:noWrap/>
            <w:vAlign w:val="bottom"/>
            <w:hideMark/>
          </w:tcPr>
          <w:p w14:paraId="21BB5CDD"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lastRenderedPageBreak/>
              <w:t>Wald χ²(5) = 197.60</w:t>
            </w:r>
          </w:p>
        </w:tc>
        <w:tc>
          <w:tcPr>
            <w:tcW w:w="1686" w:type="dxa"/>
            <w:tcBorders>
              <w:top w:val="nil"/>
              <w:left w:val="nil"/>
              <w:bottom w:val="single" w:sz="4" w:space="0" w:color="auto"/>
              <w:right w:val="single" w:sz="4" w:space="0" w:color="auto"/>
            </w:tcBorders>
            <w:noWrap/>
            <w:vAlign w:val="bottom"/>
            <w:hideMark/>
          </w:tcPr>
          <w:p w14:paraId="2BE65B82"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1067" w:type="dxa"/>
            <w:tcBorders>
              <w:top w:val="nil"/>
              <w:left w:val="nil"/>
              <w:bottom w:val="single" w:sz="4" w:space="0" w:color="auto"/>
              <w:right w:val="single" w:sz="4" w:space="0" w:color="auto"/>
            </w:tcBorders>
            <w:noWrap/>
            <w:vAlign w:val="bottom"/>
            <w:hideMark/>
          </w:tcPr>
          <w:p w14:paraId="3F51602B"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974" w:type="dxa"/>
            <w:tcBorders>
              <w:top w:val="nil"/>
              <w:left w:val="nil"/>
              <w:bottom w:val="single" w:sz="4" w:space="0" w:color="auto"/>
              <w:right w:val="single" w:sz="4" w:space="0" w:color="auto"/>
            </w:tcBorders>
            <w:noWrap/>
            <w:vAlign w:val="bottom"/>
            <w:hideMark/>
          </w:tcPr>
          <w:p w14:paraId="2FE33893"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1039" w:type="dxa"/>
            <w:tcBorders>
              <w:top w:val="nil"/>
              <w:left w:val="nil"/>
              <w:bottom w:val="single" w:sz="4" w:space="0" w:color="auto"/>
              <w:right w:val="single" w:sz="4" w:space="0" w:color="auto"/>
            </w:tcBorders>
            <w:noWrap/>
            <w:vAlign w:val="bottom"/>
            <w:hideMark/>
          </w:tcPr>
          <w:p w14:paraId="3AFE28E8"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r>
      <w:tr w:rsidR="00997BE2" w:rsidRPr="008C7741" w14:paraId="461BC041" w14:textId="77777777" w:rsidTr="004E5449">
        <w:trPr>
          <w:trHeight w:val="290"/>
        </w:trPr>
        <w:tc>
          <w:tcPr>
            <w:tcW w:w="2470" w:type="dxa"/>
            <w:tcBorders>
              <w:top w:val="nil"/>
              <w:left w:val="single" w:sz="4" w:space="0" w:color="auto"/>
              <w:bottom w:val="single" w:sz="4" w:space="0" w:color="auto"/>
              <w:right w:val="single" w:sz="4" w:space="0" w:color="auto"/>
            </w:tcBorders>
            <w:noWrap/>
            <w:vAlign w:val="bottom"/>
            <w:hideMark/>
          </w:tcPr>
          <w:p w14:paraId="5AFE1863"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Prob &gt; χ² = 0.0000</w:t>
            </w:r>
          </w:p>
        </w:tc>
        <w:tc>
          <w:tcPr>
            <w:tcW w:w="1686" w:type="dxa"/>
            <w:tcBorders>
              <w:top w:val="nil"/>
              <w:left w:val="nil"/>
              <w:bottom w:val="single" w:sz="4" w:space="0" w:color="auto"/>
              <w:right w:val="single" w:sz="4" w:space="0" w:color="auto"/>
            </w:tcBorders>
            <w:noWrap/>
            <w:vAlign w:val="bottom"/>
            <w:hideMark/>
          </w:tcPr>
          <w:p w14:paraId="60FA7D9B"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1067" w:type="dxa"/>
            <w:tcBorders>
              <w:top w:val="nil"/>
              <w:left w:val="nil"/>
              <w:bottom w:val="single" w:sz="4" w:space="0" w:color="auto"/>
              <w:right w:val="single" w:sz="4" w:space="0" w:color="auto"/>
            </w:tcBorders>
            <w:noWrap/>
            <w:vAlign w:val="bottom"/>
            <w:hideMark/>
          </w:tcPr>
          <w:p w14:paraId="04B195E1"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974" w:type="dxa"/>
            <w:tcBorders>
              <w:top w:val="nil"/>
              <w:left w:val="nil"/>
              <w:bottom w:val="single" w:sz="4" w:space="0" w:color="auto"/>
              <w:right w:val="single" w:sz="4" w:space="0" w:color="auto"/>
            </w:tcBorders>
            <w:noWrap/>
            <w:vAlign w:val="bottom"/>
            <w:hideMark/>
          </w:tcPr>
          <w:p w14:paraId="2BCF81CD"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c>
          <w:tcPr>
            <w:tcW w:w="1039" w:type="dxa"/>
            <w:tcBorders>
              <w:top w:val="nil"/>
              <w:left w:val="nil"/>
              <w:bottom w:val="single" w:sz="4" w:space="0" w:color="auto"/>
              <w:right w:val="single" w:sz="4" w:space="0" w:color="auto"/>
            </w:tcBorders>
            <w:noWrap/>
            <w:vAlign w:val="bottom"/>
            <w:hideMark/>
          </w:tcPr>
          <w:p w14:paraId="52B35DA1" w14:textId="77777777" w:rsidR="00997BE2" w:rsidRPr="008C7741" w:rsidRDefault="00997BE2" w:rsidP="004E5449">
            <w:pPr>
              <w:rPr>
                <w:rFonts w:ascii="Times New Roman" w:hAnsi="Times New Roman"/>
                <w:bCs/>
                <w:color w:val="000000"/>
                <w:sz w:val="22"/>
                <w:szCs w:val="22"/>
                <w:lang w:eastAsia="zh-CN"/>
              </w:rPr>
            </w:pPr>
            <w:r w:rsidRPr="008C7741">
              <w:rPr>
                <w:rFonts w:ascii="Times New Roman" w:hAnsi="Times New Roman"/>
                <w:bCs/>
                <w:color w:val="000000"/>
                <w:sz w:val="22"/>
                <w:szCs w:val="22"/>
                <w:lang w:eastAsia="zh-CN"/>
              </w:rPr>
              <w:t> </w:t>
            </w:r>
          </w:p>
        </w:tc>
      </w:tr>
    </w:tbl>
    <w:p w14:paraId="31AB647E" w14:textId="77777777" w:rsidR="00997BE2" w:rsidRPr="00627B2B" w:rsidRDefault="00997BE2" w:rsidP="00997BE2">
      <w:pPr>
        <w:pStyle w:val="Body"/>
        <w:spacing w:after="0"/>
        <w:rPr>
          <w:rFonts w:ascii="Arial" w:hAnsi="Arial" w:cs="Arial"/>
          <w:bCs/>
          <w:i/>
        </w:rPr>
      </w:pPr>
    </w:p>
    <w:p w14:paraId="173AF850" w14:textId="77777777" w:rsidR="00997BE2" w:rsidRPr="00627B2B" w:rsidRDefault="00997BE2" w:rsidP="00997BE2">
      <w:pPr>
        <w:pStyle w:val="Body"/>
        <w:spacing w:after="0"/>
        <w:rPr>
          <w:rFonts w:ascii="Arial" w:hAnsi="Arial" w:cs="Arial"/>
          <w:bCs/>
          <w:iCs/>
        </w:rPr>
      </w:pPr>
    </w:p>
    <w:p w14:paraId="4C54D3ED" w14:textId="77777777" w:rsidR="00997BE2" w:rsidRPr="00627B2B" w:rsidRDefault="00997BE2" w:rsidP="00997BE2">
      <w:pPr>
        <w:pStyle w:val="Body"/>
        <w:spacing w:after="0"/>
        <w:rPr>
          <w:rFonts w:ascii="Arial" w:hAnsi="Arial" w:cs="Arial"/>
          <w:bCs/>
        </w:rPr>
      </w:pPr>
      <w:r w:rsidRPr="00627B2B">
        <w:rPr>
          <w:rFonts w:ascii="Arial" w:hAnsi="Arial" w:cs="Arial"/>
          <w:bCs/>
        </w:rPr>
        <w:t>Source: output of descriptive statistics using STATA 17</w:t>
      </w:r>
    </w:p>
    <w:p w14:paraId="7F67F664" w14:textId="77777777" w:rsidR="00997BE2" w:rsidRPr="008C7741" w:rsidRDefault="00997BE2" w:rsidP="008C7741">
      <w:pPr>
        <w:pStyle w:val="Body"/>
        <w:spacing w:after="0"/>
        <w:rPr>
          <w:rFonts w:ascii="Arial" w:hAnsi="Arial" w:cs="Arial"/>
          <w:bCs/>
        </w:rPr>
      </w:pPr>
    </w:p>
    <w:p w14:paraId="13848EB6" w14:textId="77777777" w:rsidR="00946DA6" w:rsidRPr="00627B2B" w:rsidRDefault="00946DA6" w:rsidP="00C12D36">
      <w:pPr>
        <w:pStyle w:val="Body"/>
        <w:spacing w:after="0"/>
        <w:rPr>
          <w:rFonts w:ascii="Arial" w:hAnsi="Arial" w:cs="Arial"/>
          <w:bCs/>
        </w:rPr>
      </w:pPr>
    </w:p>
    <w:p w14:paraId="237CBF9A" w14:textId="77777777" w:rsidR="008C7741" w:rsidRPr="00627B2B" w:rsidRDefault="008C7741" w:rsidP="00C12D36">
      <w:pPr>
        <w:pStyle w:val="Body"/>
        <w:spacing w:after="0"/>
        <w:rPr>
          <w:rFonts w:ascii="Arial" w:hAnsi="Arial" w:cs="Arial"/>
          <w:bCs/>
        </w:rPr>
      </w:pPr>
    </w:p>
    <w:p w14:paraId="3FE83314" w14:textId="02EEF013" w:rsidR="00125726" w:rsidRPr="00627B2B" w:rsidRDefault="00E22826" w:rsidP="00C12D36">
      <w:pPr>
        <w:pStyle w:val="Body"/>
        <w:spacing w:after="0"/>
        <w:rPr>
          <w:rFonts w:ascii="Arial" w:hAnsi="Arial" w:cs="Arial"/>
          <w:bCs/>
        </w:rPr>
      </w:pPr>
      <w:r w:rsidRPr="00627B2B">
        <w:rPr>
          <w:rFonts w:ascii="Arial" w:hAnsi="Arial" w:cs="Arial"/>
          <w:bCs/>
        </w:rPr>
        <w:t xml:space="preserve">5. </w:t>
      </w:r>
      <w:r w:rsidR="00125726" w:rsidRPr="004E5449">
        <w:rPr>
          <w:rFonts w:ascii="Arial" w:hAnsi="Arial" w:cs="Arial"/>
          <w:b/>
          <w:bCs/>
        </w:rPr>
        <w:t>Conclusion and Recommendation</w:t>
      </w:r>
    </w:p>
    <w:p w14:paraId="14074B26" w14:textId="77777777" w:rsidR="008C7741" w:rsidRPr="00627B2B" w:rsidRDefault="008C7741" w:rsidP="00C12D36">
      <w:pPr>
        <w:pStyle w:val="Body"/>
        <w:spacing w:after="0"/>
        <w:rPr>
          <w:rFonts w:ascii="Arial" w:hAnsi="Arial" w:cs="Arial"/>
          <w:bCs/>
        </w:rPr>
      </w:pPr>
    </w:p>
    <w:p w14:paraId="704A14AF" w14:textId="01AE7D41" w:rsidR="008C7741" w:rsidRPr="00627B2B" w:rsidRDefault="008C7741" w:rsidP="008C7741">
      <w:pPr>
        <w:pStyle w:val="Body"/>
        <w:spacing w:after="0"/>
        <w:rPr>
          <w:rFonts w:ascii="Arial" w:hAnsi="Arial" w:cs="Arial"/>
          <w:bCs/>
        </w:rPr>
      </w:pPr>
      <w:r w:rsidRPr="008C7741">
        <w:rPr>
          <w:rFonts w:ascii="Arial" w:hAnsi="Arial" w:cs="Arial"/>
          <w:bCs/>
        </w:rPr>
        <w:t>The findings provide important insights into how environmental transparency shapes financial performance in a sector characterized by high environmental risk, regulatory scrutiny, and public sensitivity.</w:t>
      </w:r>
      <w:r w:rsidRPr="00627B2B">
        <w:rPr>
          <w:rFonts w:ascii="Arial" w:hAnsi="Arial" w:cs="Arial"/>
          <w:bCs/>
        </w:rPr>
        <w:t xml:space="preserve"> </w:t>
      </w:r>
      <w:r w:rsidRPr="008C7741">
        <w:rPr>
          <w:rFonts w:ascii="Arial" w:hAnsi="Arial" w:cs="Arial"/>
          <w:bCs/>
        </w:rPr>
        <w:t>The results show that profitability exhibits moderate persistence over time, indicating that past financial performance continues to influence current outcomes. Among the EAD components, environmental policy disclosures have a strong and positive impact on profitability, demonstrating that firms with well-articulated environmental commitments and governance frameworks tend to enjoy competitive advantages, reputational benefits, and increased investor trust. Conversely, waste management practices negatively affect profitability in the short run, suggesting that compliance-related expenditures and operational adjustments impose financial burdens on firms. Greenhouse gas emissions disclosure, although positive, does not significantly affect profitability, reflecting the early stage of carbon reporting adoption in Nigeria.</w:t>
      </w:r>
    </w:p>
    <w:p w14:paraId="02B9F784" w14:textId="77777777" w:rsidR="008C7741" w:rsidRPr="008C7741" w:rsidRDefault="008C7741" w:rsidP="008C7741">
      <w:pPr>
        <w:pStyle w:val="Body"/>
        <w:spacing w:after="0"/>
        <w:rPr>
          <w:rFonts w:ascii="Arial" w:hAnsi="Arial" w:cs="Arial"/>
          <w:bCs/>
        </w:rPr>
      </w:pPr>
      <w:r w:rsidRPr="008C7741">
        <w:rPr>
          <w:rFonts w:ascii="Arial" w:hAnsi="Arial" w:cs="Arial"/>
          <w:bCs/>
        </w:rPr>
        <w:t>Based on the findings, the following recommendations are proposed:</w:t>
      </w:r>
    </w:p>
    <w:p w14:paraId="7E7BE34C" w14:textId="7190EB6E" w:rsidR="008C7741" w:rsidRPr="008C7741" w:rsidRDefault="008C7741" w:rsidP="008C7741">
      <w:pPr>
        <w:pStyle w:val="Body"/>
        <w:spacing w:after="0"/>
        <w:rPr>
          <w:rFonts w:ascii="Arial" w:hAnsi="Arial" w:cs="Arial"/>
          <w:bCs/>
        </w:rPr>
      </w:pPr>
      <w:r w:rsidRPr="00627B2B">
        <w:rPr>
          <w:rFonts w:ascii="Arial" w:hAnsi="Arial" w:cs="Arial"/>
          <w:bCs/>
        </w:rPr>
        <w:t xml:space="preserve">i. </w:t>
      </w:r>
      <w:r w:rsidRPr="008C7741">
        <w:rPr>
          <w:rFonts w:ascii="Arial" w:hAnsi="Arial" w:cs="Arial"/>
          <w:bCs/>
        </w:rPr>
        <w:t>Oil and gas companies should invest more in developing and communicating comprehensive environmental policies. Such policies improve transparency, strengthen corporate governance, and contribute positively to profitability.</w:t>
      </w:r>
    </w:p>
    <w:p w14:paraId="36005F04" w14:textId="492DC229" w:rsidR="008C7741" w:rsidRPr="008C7741" w:rsidRDefault="008C7741" w:rsidP="008C7741">
      <w:pPr>
        <w:pStyle w:val="Body"/>
        <w:spacing w:after="0"/>
        <w:rPr>
          <w:rFonts w:ascii="Arial" w:hAnsi="Arial" w:cs="Arial"/>
          <w:bCs/>
        </w:rPr>
      </w:pPr>
      <w:r w:rsidRPr="00627B2B">
        <w:rPr>
          <w:rFonts w:ascii="Arial" w:hAnsi="Arial" w:cs="Arial"/>
          <w:bCs/>
        </w:rPr>
        <w:t xml:space="preserve">ii. </w:t>
      </w:r>
      <w:r w:rsidRPr="008C7741">
        <w:rPr>
          <w:rFonts w:ascii="Arial" w:hAnsi="Arial" w:cs="Arial"/>
          <w:bCs/>
        </w:rPr>
        <w:t>Since waste management practices impose short-term financial costs, firms should adopt cost-effective and technology-driven waste treatment systems. Government incentives or tax rebates for environmental investments could also help reduce compliance costs.</w:t>
      </w:r>
    </w:p>
    <w:p w14:paraId="7963C4F8" w14:textId="053A0460" w:rsidR="008C7741" w:rsidRPr="008C7741" w:rsidRDefault="00917D3E" w:rsidP="008C7741">
      <w:pPr>
        <w:pStyle w:val="Body"/>
        <w:spacing w:after="0"/>
        <w:rPr>
          <w:rFonts w:ascii="Arial" w:hAnsi="Arial" w:cs="Arial"/>
          <w:bCs/>
        </w:rPr>
      </w:pPr>
      <w:r w:rsidRPr="00627B2B">
        <w:rPr>
          <w:rFonts w:ascii="Arial" w:hAnsi="Arial" w:cs="Arial"/>
          <w:bCs/>
        </w:rPr>
        <w:t xml:space="preserve">iii. </w:t>
      </w:r>
      <w:r w:rsidR="008C7741" w:rsidRPr="008C7741">
        <w:rPr>
          <w:rFonts w:ascii="Arial" w:hAnsi="Arial" w:cs="Arial"/>
          <w:bCs/>
        </w:rPr>
        <w:t>Although GHG disclosures do not significantly affect profitability, improving the credibility and detail of carbon reporting could enhance long-term investor confidence and prepare firms for emerging global carbon regulations.</w:t>
      </w:r>
    </w:p>
    <w:p w14:paraId="1FD71E66" w14:textId="77777777" w:rsidR="008C7741" w:rsidRPr="008C7741" w:rsidRDefault="008C7741" w:rsidP="008C7741">
      <w:pPr>
        <w:pStyle w:val="Body"/>
        <w:spacing w:after="0"/>
        <w:rPr>
          <w:rFonts w:ascii="Arial" w:hAnsi="Arial" w:cs="Arial"/>
          <w:bCs/>
        </w:rPr>
      </w:pPr>
    </w:p>
    <w:p w14:paraId="3B7E7F9B" w14:textId="77777777" w:rsidR="008C7741" w:rsidRPr="00627B2B" w:rsidRDefault="008C7741" w:rsidP="00C12D36">
      <w:pPr>
        <w:pStyle w:val="Body"/>
        <w:spacing w:after="0"/>
        <w:rPr>
          <w:rFonts w:ascii="Arial" w:hAnsi="Arial" w:cs="Arial"/>
          <w:bCs/>
        </w:rPr>
      </w:pPr>
    </w:p>
    <w:p w14:paraId="6B464AF0" w14:textId="77777777" w:rsidR="00A40477" w:rsidRPr="004E5449" w:rsidRDefault="00A40477" w:rsidP="00A40477">
      <w:pPr>
        <w:rPr>
          <w:b/>
          <w:bCs/>
          <w:highlight w:val="yellow"/>
        </w:rPr>
      </w:pPr>
      <w:r w:rsidRPr="004E5449">
        <w:rPr>
          <w:b/>
          <w:bCs/>
          <w:highlight w:val="yellow"/>
        </w:rPr>
        <w:t>Disclaimer (Artificial intelligence)</w:t>
      </w:r>
    </w:p>
    <w:p w14:paraId="02B5D99E" w14:textId="77777777" w:rsidR="00A40477" w:rsidRPr="00627B2B" w:rsidRDefault="00A40477" w:rsidP="00A40477">
      <w:pPr>
        <w:rPr>
          <w:bCs/>
          <w:highlight w:val="yellow"/>
        </w:rPr>
      </w:pPr>
      <w:r w:rsidRPr="00627B2B">
        <w:rPr>
          <w:bCs/>
          <w:highlight w:val="yellow"/>
        </w:rPr>
        <w:t xml:space="preserve">Option 1: </w:t>
      </w:r>
    </w:p>
    <w:p w14:paraId="156A42C4" w14:textId="77777777" w:rsidR="00A40477" w:rsidRPr="00627B2B" w:rsidRDefault="00A40477" w:rsidP="00A40477">
      <w:pPr>
        <w:rPr>
          <w:bCs/>
          <w:highlight w:val="yellow"/>
        </w:rPr>
      </w:pPr>
      <w:r w:rsidRPr="00627B2B">
        <w:rPr>
          <w:bCs/>
          <w:highlight w:val="yellow"/>
        </w:rPr>
        <w:t>Author(s) hereby declare that NO generative AI technologies such as Large Language Models (</w:t>
      </w:r>
      <w:proofErr w:type="spellStart"/>
      <w:r w:rsidRPr="00627B2B">
        <w:rPr>
          <w:bCs/>
          <w:highlight w:val="yellow"/>
        </w:rPr>
        <w:t>ChatGPT</w:t>
      </w:r>
      <w:proofErr w:type="spellEnd"/>
      <w:r w:rsidRPr="00627B2B">
        <w:rPr>
          <w:bCs/>
          <w:highlight w:val="yellow"/>
        </w:rPr>
        <w:t xml:space="preserve">, COPILOT, etc.) and text-to-image generators have been used during the writing or editing of this manuscript. </w:t>
      </w:r>
    </w:p>
    <w:p w14:paraId="3EC56049" w14:textId="77777777" w:rsidR="00790ADA" w:rsidRPr="00627B2B" w:rsidRDefault="00790ADA" w:rsidP="00C12D36">
      <w:pPr>
        <w:pStyle w:val="Body"/>
        <w:spacing w:after="0"/>
        <w:rPr>
          <w:rFonts w:ascii="Arial" w:hAnsi="Arial" w:cs="Arial"/>
          <w:bCs/>
        </w:rPr>
      </w:pPr>
    </w:p>
    <w:p w14:paraId="350B94DB" w14:textId="77777777" w:rsidR="00B01FCD" w:rsidRPr="00627B2B" w:rsidRDefault="00B01FCD" w:rsidP="00C12D36">
      <w:pPr>
        <w:pStyle w:val="ReferHead"/>
        <w:spacing w:after="0"/>
        <w:jc w:val="both"/>
        <w:rPr>
          <w:rFonts w:ascii="Arial" w:hAnsi="Arial" w:cs="Arial"/>
          <w:b w:val="0"/>
          <w:bCs/>
          <w:sz w:val="20"/>
        </w:rPr>
      </w:pPr>
      <w:r w:rsidRPr="00627B2B">
        <w:rPr>
          <w:rFonts w:ascii="Arial" w:hAnsi="Arial" w:cs="Arial"/>
          <w:b w:val="0"/>
          <w:bCs/>
          <w:sz w:val="20"/>
        </w:rPr>
        <w:t>References</w:t>
      </w:r>
    </w:p>
    <w:p w14:paraId="185A6237" w14:textId="77777777" w:rsidR="00790ADA" w:rsidRPr="00627B2B" w:rsidRDefault="00790ADA" w:rsidP="00C12D36">
      <w:pPr>
        <w:pStyle w:val="ReferHead"/>
        <w:spacing w:after="0"/>
        <w:jc w:val="both"/>
        <w:rPr>
          <w:rFonts w:ascii="Arial" w:hAnsi="Arial" w:cs="Arial"/>
          <w:b w:val="0"/>
          <w:bCs/>
          <w:sz w:val="20"/>
        </w:rPr>
      </w:pPr>
    </w:p>
    <w:p w14:paraId="2ADA5A49" w14:textId="77777777" w:rsidR="00627B2B" w:rsidRPr="00627B2B" w:rsidRDefault="00627B2B" w:rsidP="00C12D36">
      <w:pPr>
        <w:pStyle w:val="Appendix"/>
        <w:spacing w:after="0"/>
        <w:jc w:val="both"/>
        <w:rPr>
          <w:rFonts w:ascii="Arial" w:hAnsi="Arial" w:cs="Arial"/>
          <w:b w:val="0"/>
          <w:bCs/>
          <w:sz w:val="20"/>
        </w:rPr>
        <w:sectPr w:rsidR="00627B2B" w:rsidRPr="00627B2B" w:rsidSect="00627B2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5C66AC1" w14:textId="77777777" w:rsidR="00627B2B" w:rsidRPr="00627B2B" w:rsidRDefault="00627B2B" w:rsidP="00C12D36">
      <w:pPr>
        <w:pStyle w:val="Appendix"/>
        <w:spacing w:after="0"/>
        <w:jc w:val="both"/>
        <w:rPr>
          <w:rFonts w:ascii="Arial" w:hAnsi="Arial" w:cs="Arial"/>
          <w:b w:val="0"/>
          <w:bCs/>
          <w:sz w:val="20"/>
        </w:rPr>
      </w:pPr>
    </w:p>
    <w:p w14:paraId="77FA257B" w14:textId="77777777" w:rsidR="00627B2B" w:rsidRPr="00EA74B6" w:rsidRDefault="00627B2B" w:rsidP="00627B2B">
      <w:pPr>
        <w:ind w:left="993" w:hanging="567"/>
        <w:jc w:val="both"/>
      </w:pPr>
    </w:p>
    <w:p w14:paraId="527CE8CD" w14:textId="77777777" w:rsidR="00627B2B" w:rsidRPr="00981167" w:rsidRDefault="00627B2B" w:rsidP="004E5449">
      <w:pPr>
        <w:pStyle w:val="ListParagraph"/>
        <w:numPr>
          <w:ilvl w:val="0"/>
          <w:numId w:val="32"/>
        </w:numPr>
        <w:spacing w:after="160" w:line="278" w:lineRule="auto"/>
        <w:jc w:val="both"/>
      </w:pPr>
      <w:r w:rsidRPr="00981167">
        <w:t xml:space="preserve">Abubakar, I., Abubakar, M., Baba, A. A., &amp; </w:t>
      </w:r>
      <w:proofErr w:type="spellStart"/>
      <w:r w:rsidRPr="00981167">
        <w:t>Katagum</w:t>
      </w:r>
      <w:proofErr w:type="spellEnd"/>
      <w:r w:rsidRPr="00981167">
        <w:t xml:space="preserve">, A. S. L. (2024). Influence of environmental accounting information on creditor decision-making in Nigeria. </w:t>
      </w:r>
      <w:r w:rsidRPr="004E5449">
        <w:rPr>
          <w:i/>
          <w:iCs/>
        </w:rPr>
        <w:t>International Journal of Intellectual Discourse</w:t>
      </w:r>
      <w:r w:rsidRPr="00981167">
        <w:t xml:space="preserve">, </w:t>
      </w:r>
      <w:r w:rsidRPr="004E5449">
        <w:rPr>
          <w:i/>
          <w:iCs/>
        </w:rPr>
        <w:t>7</w:t>
      </w:r>
      <w:r w:rsidRPr="00981167">
        <w:t>(3).</w:t>
      </w:r>
    </w:p>
    <w:p w14:paraId="1CFBE9E6" w14:textId="77777777" w:rsidR="00627B2B" w:rsidRPr="004E5449" w:rsidRDefault="00627B2B" w:rsidP="004E5449">
      <w:pPr>
        <w:pStyle w:val="ListParagraph"/>
        <w:numPr>
          <w:ilvl w:val="0"/>
          <w:numId w:val="32"/>
        </w:numPr>
        <w:jc w:val="both"/>
        <w:rPr>
          <w:rFonts w:ascii="Arial" w:hAnsi="Arial" w:cs="Arial"/>
          <w:bCs/>
        </w:rPr>
      </w:pPr>
      <w:r w:rsidRPr="004E5449">
        <w:rPr>
          <w:rFonts w:ascii="Arial" w:hAnsi="Arial" w:cs="Arial"/>
          <w:bCs/>
        </w:rPr>
        <w:t xml:space="preserve">Adams, C. A. (2002). Internal </w:t>
      </w:r>
      <w:proofErr w:type="spellStart"/>
      <w:r w:rsidRPr="004E5449">
        <w:rPr>
          <w:rFonts w:ascii="Arial" w:hAnsi="Arial" w:cs="Arial"/>
          <w:bCs/>
        </w:rPr>
        <w:t>organisational</w:t>
      </w:r>
      <w:proofErr w:type="spellEnd"/>
      <w:r w:rsidRPr="004E5449">
        <w:rPr>
          <w:rFonts w:ascii="Arial" w:hAnsi="Arial" w:cs="Arial"/>
          <w:bCs/>
        </w:rPr>
        <w:t xml:space="preserve"> factors influencing corporate social and ethical reporting: Beyond current </w:t>
      </w:r>
      <w:proofErr w:type="spellStart"/>
      <w:r w:rsidRPr="004E5449">
        <w:rPr>
          <w:rFonts w:ascii="Arial" w:hAnsi="Arial" w:cs="Arial"/>
          <w:bCs/>
        </w:rPr>
        <w:t>theorising</w:t>
      </w:r>
      <w:proofErr w:type="spellEnd"/>
      <w:r w:rsidRPr="004E5449">
        <w:rPr>
          <w:rFonts w:ascii="Arial" w:hAnsi="Arial" w:cs="Arial"/>
          <w:bCs/>
        </w:rPr>
        <w:t xml:space="preserve">. </w:t>
      </w:r>
      <w:r w:rsidRPr="004E5449">
        <w:rPr>
          <w:rFonts w:ascii="Arial" w:hAnsi="Arial" w:cs="Arial"/>
          <w:bCs/>
          <w:i/>
          <w:iCs/>
        </w:rPr>
        <w:t>Accounting, Auditing &amp; Accountability Journal</w:t>
      </w:r>
      <w:r w:rsidRPr="004E5449">
        <w:rPr>
          <w:rFonts w:ascii="Arial" w:hAnsi="Arial" w:cs="Arial"/>
          <w:bCs/>
        </w:rPr>
        <w:t>, 15(2), 223-250.</w:t>
      </w:r>
    </w:p>
    <w:p w14:paraId="0748E5D7" w14:textId="77777777" w:rsidR="00627B2B" w:rsidRPr="004E5449" w:rsidRDefault="00627B2B" w:rsidP="004E5449">
      <w:pPr>
        <w:pStyle w:val="ListParagraph"/>
        <w:numPr>
          <w:ilvl w:val="0"/>
          <w:numId w:val="32"/>
        </w:numPr>
        <w:jc w:val="both"/>
        <w:rPr>
          <w:rFonts w:ascii="Arial" w:hAnsi="Arial" w:cs="Arial"/>
          <w:bCs/>
        </w:rPr>
      </w:pPr>
      <w:r w:rsidRPr="004E5449">
        <w:rPr>
          <w:bCs/>
        </w:rPr>
        <w:t xml:space="preserve">Adriana, J., &amp; </w:t>
      </w:r>
      <w:proofErr w:type="spellStart"/>
      <w:r w:rsidRPr="004E5449">
        <w:rPr>
          <w:bCs/>
        </w:rPr>
        <w:t>Dewi</w:t>
      </w:r>
      <w:proofErr w:type="spellEnd"/>
      <w:r w:rsidRPr="004E5449">
        <w:rPr>
          <w:bCs/>
        </w:rPr>
        <w:t xml:space="preserve">, N. H. U. (2018). The effect of environmental performance, firm size, and profitability on environmental disclosure. </w:t>
      </w:r>
      <w:r w:rsidRPr="004E5449">
        <w:rPr>
          <w:bCs/>
          <w:i/>
          <w:iCs/>
        </w:rPr>
        <w:t>The Indonesian Accounting Review</w:t>
      </w:r>
      <w:r w:rsidRPr="004E5449">
        <w:rPr>
          <w:bCs/>
        </w:rPr>
        <w:t xml:space="preserve">, </w:t>
      </w:r>
      <w:r w:rsidRPr="004E5449">
        <w:rPr>
          <w:bCs/>
          <w:i/>
          <w:iCs/>
        </w:rPr>
        <w:t>8</w:t>
      </w:r>
      <w:r w:rsidRPr="004E5449">
        <w:rPr>
          <w:bCs/>
        </w:rPr>
        <w:t>(1), 1-11.</w:t>
      </w:r>
    </w:p>
    <w:p w14:paraId="12A60EF3" w14:textId="77777777" w:rsidR="00627B2B" w:rsidRPr="00981167" w:rsidRDefault="00627B2B" w:rsidP="004E5449">
      <w:pPr>
        <w:pStyle w:val="ListParagraph"/>
        <w:numPr>
          <w:ilvl w:val="0"/>
          <w:numId w:val="32"/>
        </w:numPr>
        <w:spacing w:after="160" w:line="278" w:lineRule="auto"/>
        <w:jc w:val="both"/>
      </w:pPr>
      <w:r w:rsidRPr="00981167">
        <w:t xml:space="preserve">Adriana, J., &amp; </w:t>
      </w:r>
      <w:proofErr w:type="spellStart"/>
      <w:r w:rsidRPr="00981167">
        <w:t>Dewi</w:t>
      </w:r>
      <w:proofErr w:type="spellEnd"/>
      <w:r w:rsidRPr="00981167">
        <w:t xml:space="preserve">, N. H. U. (2018). The effect of environmental performance, firm size, and profitability on environmental disclosure. </w:t>
      </w:r>
      <w:r w:rsidRPr="004E5449">
        <w:rPr>
          <w:i/>
          <w:iCs/>
        </w:rPr>
        <w:t>The Indonesian Accounting Review</w:t>
      </w:r>
      <w:r w:rsidRPr="00981167">
        <w:t xml:space="preserve">, </w:t>
      </w:r>
      <w:r w:rsidRPr="004E5449">
        <w:rPr>
          <w:i/>
          <w:iCs/>
        </w:rPr>
        <w:t>8</w:t>
      </w:r>
      <w:r w:rsidRPr="00981167">
        <w:t>(1), 1-11.</w:t>
      </w:r>
    </w:p>
    <w:p w14:paraId="07982958" w14:textId="77777777" w:rsidR="00627B2B" w:rsidRPr="00981167" w:rsidRDefault="00627B2B" w:rsidP="004E5449">
      <w:pPr>
        <w:pStyle w:val="ListParagraph"/>
        <w:numPr>
          <w:ilvl w:val="0"/>
          <w:numId w:val="32"/>
        </w:numPr>
        <w:spacing w:after="160" w:line="278" w:lineRule="auto"/>
        <w:jc w:val="both"/>
      </w:pPr>
      <w:r w:rsidRPr="00981167">
        <w:lastRenderedPageBreak/>
        <w:t xml:space="preserve">Ahmad, N., Li, H. Z., &amp; Tian, X. L. (2019). Increased firm profitability under a nationwide environmental information disclosure program? Evidence from China. </w:t>
      </w:r>
      <w:r w:rsidRPr="004E5449">
        <w:rPr>
          <w:i/>
          <w:iCs/>
        </w:rPr>
        <w:t>Journal of Cleaner Production</w:t>
      </w:r>
      <w:r w:rsidRPr="00981167">
        <w:t xml:space="preserve">, </w:t>
      </w:r>
      <w:r w:rsidRPr="004E5449">
        <w:rPr>
          <w:i/>
          <w:iCs/>
        </w:rPr>
        <w:t>230</w:t>
      </w:r>
      <w:r w:rsidRPr="00981167">
        <w:t>, 1176-1187.</w:t>
      </w:r>
    </w:p>
    <w:p w14:paraId="7376B6C2"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Alamanda</w:t>
      </w:r>
      <w:proofErr w:type="spellEnd"/>
      <w:r w:rsidRPr="004E5449">
        <w:rPr>
          <w:bCs/>
        </w:rPr>
        <w:t xml:space="preserve">, K. I., </w:t>
      </w:r>
      <w:proofErr w:type="spellStart"/>
      <w:r w:rsidRPr="004E5449">
        <w:rPr>
          <w:bCs/>
        </w:rPr>
        <w:t>Azis</w:t>
      </w:r>
      <w:proofErr w:type="spellEnd"/>
      <w:r w:rsidRPr="004E5449">
        <w:rPr>
          <w:bCs/>
        </w:rPr>
        <w:t xml:space="preserve">, M. T., &amp; </w:t>
      </w:r>
      <w:proofErr w:type="spellStart"/>
      <w:r w:rsidRPr="004E5449">
        <w:rPr>
          <w:bCs/>
        </w:rPr>
        <w:t>Djajuli</w:t>
      </w:r>
      <w:proofErr w:type="spellEnd"/>
      <w:r w:rsidRPr="004E5449">
        <w:rPr>
          <w:bCs/>
        </w:rPr>
        <w:t xml:space="preserve">, M. (2025). Leverage, Firm Size, and Environmental Performance as Determinants of Carbon Emission Disclosure: An Educational Perspective of Energy and Industrial Sector Firms Listed on the Indonesia Stock Exchange. </w:t>
      </w:r>
      <w:r w:rsidRPr="004E5449">
        <w:rPr>
          <w:bCs/>
          <w:i/>
          <w:iCs/>
        </w:rPr>
        <w:t>Journal Corner of Education, Linguistics, and Literature</w:t>
      </w:r>
      <w:r w:rsidRPr="004E5449">
        <w:rPr>
          <w:bCs/>
        </w:rPr>
        <w:t xml:space="preserve">, </w:t>
      </w:r>
      <w:r w:rsidRPr="004E5449">
        <w:rPr>
          <w:bCs/>
          <w:i/>
          <w:iCs/>
        </w:rPr>
        <w:t>5</w:t>
      </w:r>
      <w:r w:rsidRPr="004E5449">
        <w:rPr>
          <w:bCs/>
        </w:rPr>
        <w:t>(001), 239-258.</w:t>
      </w:r>
    </w:p>
    <w:p w14:paraId="2C4E2D9C" w14:textId="77777777" w:rsidR="00627B2B" w:rsidRPr="00981167" w:rsidRDefault="00627B2B" w:rsidP="004E5449">
      <w:pPr>
        <w:pStyle w:val="ListParagraph"/>
        <w:numPr>
          <w:ilvl w:val="0"/>
          <w:numId w:val="32"/>
        </w:numPr>
        <w:spacing w:after="160" w:line="278" w:lineRule="auto"/>
        <w:jc w:val="both"/>
      </w:pPr>
      <w:proofErr w:type="spellStart"/>
      <w:r w:rsidRPr="00981167">
        <w:t>Altarawneh</w:t>
      </w:r>
      <w:proofErr w:type="spellEnd"/>
      <w:r w:rsidRPr="00981167">
        <w:t>, H. Y., Al-</w:t>
      </w:r>
      <w:proofErr w:type="spellStart"/>
      <w:r w:rsidRPr="00981167">
        <w:t>Hajaya</w:t>
      </w:r>
      <w:proofErr w:type="spellEnd"/>
      <w:r w:rsidRPr="00981167">
        <w:t xml:space="preserve">, K., </w:t>
      </w:r>
      <w:proofErr w:type="spellStart"/>
      <w:r w:rsidRPr="00981167">
        <w:t>Eltweri</w:t>
      </w:r>
      <w:proofErr w:type="spellEnd"/>
      <w:r w:rsidRPr="00981167">
        <w:t xml:space="preserve">, A., </w:t>
      </w:r>
      <w:proofErr w:type="spellStart"/>
      <w:r w:rsidRPr="00981167">
        <w:t>Alrawashdeh</w:t>
      </w:r>
      <w:proofErr w:type="spellEnd"/>
      <w:r w:rsidRPr="00981167">
        <w:t xml:space="preserve">, W., &amp; </w:t>
      </w:r>
      <w:proofErr w:type="spellStart"/>
      <w:r w:rsidRPr="00981167">
        <w:t>Sawan</w:t>
      </w:r>
      <w:proofErr w:type="spellEnd"/>
      <w:r w:rsidRPr="00981167">
        <w:t xml:space="preserve">, N. (2025). Green accounting disclosure and firm market value: evidence from Jordan. </w:t>
      </w:r>
      <w:r w:rsidRPr="004E5449">
        <w:rPr>
          <w:i/>
          <w:iCs/>
        </w:rPr>
        <w:t>Management &amp; Sustainability: An Arab Review</w:t>
      </w:r>
      <w:r w:rsidRPr="00981167">
        <w:t>.</w:t>
      </w:r>
    </w:p>
    <w:p w14:paraId="4E387A56"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Amahalu</w:t>
      </w:r>
      <w:proofErr w:type="spellEnd"/>
      <w:r w:rsidRPr="004E5449">
        <w:rPr>
          <w:bCs/>
        </w:rPr>
        <w:t xml:space="preserve">, N. (2020). Effect of environmental cost disclosure on profitability of listed oil and gas firms in Nigeria. </w:t>
      </w:r>
      <w:r w:rsidRPr="004E5449">
        <w:rPr>
          <w:bCs/>
          <w:i/>
          <w:iCs/>
        </w:rPr>
        <w:t>International Journal of Academic Research in Accounting, Finance and Management Sciences</w:t>
      </w:r>
      <w:r w:rsidRPr="004E5449">
        <w:rPr>
          <w:bCs/>
        </w:rPr>
        <w:t xml:space="preserve">, </w:t>
      </w:r>
      <w:r w:rsidRPr="004E5449">
        <w:rPr>
          <w:bCs/>
          <w:i/>
          <w:iCs/>
        </w:rPr>
        <w:t>10</w:t>
      </w:r>
      <w:r w:rsidRPr="004E5449">
        <w:rPr>
          <w:bCs/>
        </w:rPr>
        <w:t>(2), 157-170.</w:t>
      </w:r>
    </w:p>
    <w:p w14:paraId="67BA05B7" w14:textId="77777777" w:rsidR="00627B2B" w:rsidRPr="00981167" w:rsidRDefault="00627B2B" w:rsidP="004E5449">
      <w:pPr>
        <w:pStyle w:val="ListParagraph"/>
        <w:numPr>
          <w:ilvl w:val="0"/>
          <w:numId w:val="32"/>
        </w:numPr>
        <w:spacing w:after="160" w:line="278" w:lineRule="auto"/>
        <w:jc w:val="both"/>
      </w:pPr>
      <w:r w:rsidRPr="00981167">
        <w:t xml:space="preserve">Angelia, V., &amp; </w:t>
      </w:r>
      <w:proofErr w:type="spellStart"/>
      <w:r w:rsidRPr="00981167">
        <w:t>Lastanti</w:t>
      </w:r>
      <w:proofErr w:type="spellEnd"/>
      <w:r w:rsidRPr="00981167">
        <w:t xml:space="preserve">, H. S. (2024). The Effect of Green Accounting and Carbon Disclosure to Profitability, Intervened By: Green Innovation. </w:t>
      </w:r>
      <w:r w:rsidRPr="004E5449">
        <w:rPr>
          <w:i/>
          <w:iCs/>
        </w:rPr>
        <w:t>International Journal of Education, Information Technology, and Others</w:t>
      </w:r>
      <w:r w:rsidRPr="00981167">
        <w:t xml:space="preserve">, </w:t>
      </w:r>
      <w:r w:rsidRPr="004E5449">
        <w:rPr>
          <w:i/>
          <w:iCs/>
        </w:rPr>
        <w:t>7</w:t>
      </w:r>
      <w:r w:rsidRPr="00981167">
        <w:t>(1), 239-249.</w:t>
      </w:r>
    </w:p>
    <w:p w14:paraId="667A1A77"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Ardi</w:t>
      </w:r>
      <w:proofErr w:type="spellEnd"/>
      <w:r w:rsidRPr="004E5449">
        <w:rPr>
          <w:bCs/>
        </w:rPr>
        <w:t xml:space="preserve">, J. W., &amp; </w:t>
      </w:r>
      <w:proofErr w:type="spellStart"/>
      <w:r w:rsidRPr="004E5449">
        <w:rPr>
          <w:bCs/>
        </w:rPr>
        <w:t>Yulianto</w:t>
      </w:r>
      <w:proofErr w:type="spellEnd"/>
      <w:r w:rsidRPr="004E5449">
        <w:rPr>
          <w:bCs/>
        </w:rPr>
        <w:t xml:space="preserve">, A. (2020). The effect of profitability, leverage, and size on environmental disclosure with the proportion of independent commissioners as moderating. </w:t>
      </w:r>
      <w:r w:rsidRPr="004E5449">
        <w:rPr>
          <w:bCs/>
          <w:i/>
          <w:iCs/>
        </w:rPr>
        <w:t>Accounting Analysis Journal</w:t>
      </w:r>
      <w:r w:rsidRPr="004E5449">
        <w:rPr>
          <w:bCs/>
        </w:rPr>
        <w:t xml:space="preserve">, </w:t>
      </w:r>
      <w:r w:rsidRPr="004E5449">
        <w:rPr>
          <w:bCs/>
          <w:i/>
          <w:iCs/>
        </w:rPr>
        <w:t>9</w:t>
      </w:r>
      <w:r w:rsidRPr="004E5449">
        <w:rPr>
          <w:bCs/>
        </w:rPr>
        <w:t>(2), 123-130.</w:t>
      </w:r>
    </w:p>
    <w:p w14:paraId="75563107" w14:textId="77777777" w:rsidR="00627B2B" w:rsidRPr="0065617E" w:rsidRDefault="00627B2B" w:rsidP="004E5449">
      <w:pPr>
        <w:pStyle w:val="ListParagraph"/>
        <w:numPr>
          <w:ilvl w:val="0"/>
          <w:numId w:val="32"/>
        </w:numPr>
        <w:spacing w:after="160" w:line="278" w:lineRule="auto"/>
        <w:jc w:val="both"/>
      </w:pPr>
      <w:proofErr w:type="spellStart"/>
      <w:r w:rsidRPr="0065617E">
        <w:t>Awotomilusi</w:t>
      </w:r>
      <w:proofErr w:type="spellEnd"/>
      <w:r w:rsidRPr="0065617E">
        <w:t xml:space="preserve">, N. S., </w:t>
      </w:r>
      <w:proofErr w:type="spellStart"/>
      <w:r w:rsidRPr="0065617E">
        <w:t>Dagunduro</w:t>
      </w:r>
      <w:proofErr w:type="spellEnd"/>
      <w:r w:rsidRPr="0065617E">
        <w:t xml:space="preserve">, M. E., </w:t>
      </w:r>
      <w:proofErr w:type="spellStart"/>
      <w:r w:rsidRPr="0065617E">
        <w:t>Olipede</w:t>
      </w:r>
      <w:proofErr w:type="spellEnd"/>
      <w:r w:rsidRPr="0065617E">
        <w:t xml:space="preserve">, D. E., Owolabi, O. A., Adeyemo, S. T., Ajayi, O. A., &amp; </w:t>
      </w:r>
      <w:proofErr w:type="spellStart"/>
      <w:r w:rsidRPr="0065617E">
        <w:t>Adewole</w:t>
      </w:r>
      <w:proofErr w:type="spellEnd"/>
      <w:r w:rsidRPr="0065617E">
        <w:t xml:space="preserve">, I. A. (2025). Environmental accounting disclosure and economic value of listed agricultural firms in Nigeria. </w:t>
      </w:r>
      <w:r w:rsidRPr="004E5449">
        <w:rPr>
          <w:i/>
          <w:iCs/>
        </w:rPr>
        <w:t>International Journal of Economics and Financial Issues</w:t>
      </w:r>
      <w:r w:rsidRPr="0065617E">
        <w:t xml:space="preserve">, </w:t>
      </w:r>
      <w:r w:rsidRPr="004E5449">
        <w:rPr>
          <w:i/>
          <w:iCs/>
        </w:rPr>
        <w:t>15</w:t>
      </w:r>
      <w:r w:rsidRPr="0065617E">
        <w:t>(3), 320.</w:t>
      </w:r>
    </w:p>
    <w:p w14:paraId="06A3C5AB"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Axmadjonov</w:t>
      </w:r>
      <w:proofErr w:type="spellEnd"/>
      <w:r w:rsidRPr="004E5449">
        <w:rPr>
          <w:rFonts w:ascii="Arial" w:hAnsi="Arial" w:cs="Arial"/>
          <w:bCs/>
        </w:rPr>
        <w:t xml:space="preserve">, S. (2025). Profitability </w:t>
      </w:r>
      <w:proofErr w:type="gramStart"/>
      <w:r w:rsidRPr="004E5449">
        <w:rPr>
          <w:rFonts w:ascii="Arial" w:hAnsi="Arial" w:cs="Arial"/>
          <w:bCs/>
        </w:rPr>
        <w:t>Of</w:t>
      </w:r>
      <w:proofErr w:type="gramEnd"/>
      <w:r w:rsidRPr="004E5449">
        <w:rPr>
          <w:rFonts w:ascii="Arial" w:hAnsi="Arial" w:cs="Arial"/>
          <w:bCs/>
        </w:rPr>
        <w:t xml:space="preserve"> Enterprise Production. </w:t>
      </w:r>
      <w:r w:rsidRPr="004E5449">
        <w:rPr>
          <w:rFonts w:ascii="Arial" w:hAnsi="Arial" w:cs="Arial"/>
          <w:bCs/>
          <w:i/>
          <w:iCs/>
        </w:rPr>
        <w:t>Journal of Applied Science and Social Science</w:t>
      </w:r>
      <w:r w:rsidRPr="004E5449">
        <w:rPr>
          <w:rFonts w:ascii="Arial" w:hAnsi="Arial" w:cs="Arial"/>
          <w:bCs/>
        </w:rPr>
        <w:t xml:space="preserve">, </w:t>
      </w:r>
      <w:r w:rsidRPr="004E5449">
        <w:rPr>
          <w:rFonts w:ascii="Arial" w:hAnsi="Arial" w:cs="Arial"/>
          <w:bCs/>
          <w:i/>
          <w:iCs/>
        </w:rPr>
        <w:t>1</w:t>
      </w:r>
      <w:r w:rsidRPr="004E5449">
        <w:rPr>
          <w:rFonts w:ascii="Arial" w:hAnsi="Arial" w:cs="Arial"/>
          <w:bCs/>
        </w:rPr>
        <w:t>(5), 145-150.</w:t>
      </w:r>
    </w:p>
    <w:p w14:paraId="53E2E8CB" w14:textId="77777777" w:rsidR="00627B2B" w:rsidRPr="004E5449" w:rsidRDefault="00627B2B" w:rsidP="004E5449">
      <w:pPr>
        <w:pStyle w:val="ListParagraph"/>
        <w:numPr>
          <w:ilvl w:val="0"/>
          <w:numId w:val="32"/>
        </w:numPr>
        <w:jc w:val="both"/>
        <w:rPr>
          <w:rFonts w:ascii="Arial" w:hAnsi="Arial" w:cs="Arial"/>
          <w:bCs/>
        </w:rPr>
      </w:pPr>
      <w:bookmarkStart w:id="2" w:name="_Hlk132027836"/>
      <w:r w:rsidRPr="004E5449">
        <w:rPr>
          <w:rFonts w:ascii="Arial" w:hAnsi="Arial" w:cs="Arial"/>
          <w:bCs/>
        </w:rPr>
        <w:t xml:space="preserve">Chen, S., &amp; Huang, J. (2021). </w:t>
      </w:r>
      <w:bookmarkEnd w:id="2"/>
      <w:r w:rsidRPr="004E5449">
        <w:rPr>
          <w:rFonts w:ascii="Arial" w:hAnsi="Arial" w:cs="Arial"/>
          <w:bCs/>
        </w:rPr>
        <w:t>Environmental accounting disclosure and firm environmental performance: Evidence from China's listed companies</w:t>
      </w:r>
      <w:r w:rsidRPr="004E5449">
        <w:rPr>
          <w:rFonts w:ascii="Arial" w:hAnsi="Arial" w:cs="Arial"/>
          <w:bCs/>
          <w:i/>
          <w:iCs/>
        </w:rPr>
        <w:t>. Journal of Cleaner Production</w:t>
      </w:r>
      <w:r w:rsidRPr="004E5449">
        <w:rPr>
          <w:rFonts w:ascii="Arial" w:hAnsi="Arial" w:cs="Arial"/>
          <w:bCs/>
        </w:rPr>
        <w:t>, 311, 127400.</w:t>
      </w:r>
    </w:p>
    <w:p w14:paraId="43098C03"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Cheska</w:t>
      </w:r>
      <w:proofErr w:type="spellEnd"/>
      <w:r w:rsidRPr="004E5449">
        <w:rPr>
          <w:rFonts w:ascii="Arial" w:hAnsi="Arial" w:cs="Arial"/>
          <w:bCs/>
        </w:rPr>
        <w:t xml:space="preserve">, D. P., </w:t>
      </w:r>
      <w:proofErr w:type="spellStart"/>
      <w:r w:rsidRPr="004E5449">
        <w:rPr>
          <w:rFonts w:ascii="Arial" w:hAnsi="Arial" w:cs="Arial"/>
          <w:bCs/>
        </w:rPr>
        <w:t>Ronniell</w:t>
      </w:r>
      <w:proofErr w:type="spellEnd"/>
      <w:r w:rsidRPr="004E5449">
        <w:rPr>
          <w:rFonts w:ascii="Arial" w:hAnsi="Arial" w:cs="Arial"/>
          <w:bCs/>
        </w:rPr>
        <w:t xml:space="preserve">, M., &amp; James, S. E. (2022). Impact </w:t>
      </w:r>
      <w:proofErr w:type="gramStart"/>
      <w:r w:rsidRPr="004E5449">
        <w:rPr>
          <w:rFonts w:ascii="Arial" w:hAnsi="Arial" w:cs="Arial"/>
          <w:bCs/>
        </w:rPr>
        <w:t>Of</w:t>
      </w:r>
      <w:proofErr w:type="gramEnd"/>
      <w:r w:rsidRPr="004E5449">
        <w:rPr>
          <w:rFonts w:ascii="Arial" w:hAnsi="Arial" w:cs="Arial"/>
          <w:bCs/>
        </w:rPr>
        <w:t xml:space="preserve"> Environment Accounting Disclosures On Profitability And Firm Value Of Petrochemical Industry In The Philippines. In </w:t>
      </w:r>
      <w:r w:rsidRPr="004E5449">
        <w:rPr>
          <w:rFonts w:ascii="Arial" w:hAnsi="Arial" w:cs="Arial"/>
          <w:bCs/>
          <w:i/>
          <w:iCs/>
        </w:rPr>
        <w:t>Proceedings of International Interdisciplinary Conference on Sustainable Development Goals (IICSDGs)</w:t>
      </w:r>
      <w:r w:rsidRPr="004E5449">
        <w:rPr>
          <w:rFonts w:ascii="Arial" w:hAnsi="Arial" w:cs="Arial"/>
          <w:bCs/>
        </w:rPr>
        <w:t xml:space="preserve"> (Vol. 5, No. 1, pp. 126-135).</w:t>
      </w:r>
    </w:p>
    <w:p w14:paraId="604D27E1" w14:textId="77777777" w:rsidR="00627B2B" w:rsidRPr="004E5449" w:rsidRDefault="00627B2B" w:rsidP="004E5449">
      <w:pPr>
        <w:pStyle w:val="ListParagraph"/>
        <w:numPr>
          <w:ilvl w:val="0"/>
          <w:numId w:val="32"/>
        </w:numPr>
        <w:jc w:val="both"/>
        <w:rPr>
          <w:rFonts w:ascii="Arial" w:hAnsi="Arial" w:cs="Arial"/>
          <w:bCs/>
        </w:rPr>
      </w:pPr>
      <w:r w:rsidRPr="004E5449">
        <w:rPr>
          <w:rFonts w:ascii="Arial" w:hAnsi="Arial" w:cs="Arial"/>
          <w:bCs/>
        </w:rPr>
        <w:t xml:space="preserve">Clarkson, M. B., Li, Y., Richardson, G. D., &amp; </w:t>
      </w:r>
      <w:proofErr w:type="spellStart"/>
      <w:r w:rsidRPr="004E5449">
        <w:rPr>
          <w:rFonts w:ascii="Arial" w:hAnsi="Arial" w:cs="Arial"/>
          <w:bCs/>
        </w:rPr>
        <w:t>Vasvari</w:t>
      </w:r>
      <w:proofErr w:type="spellEnd"/>
      <w:r w:rsidRPr="004E5449">
        <w:rPr>
          <w:rFonts w:ascii="Arial" w:hAnsi="Arial" w:cs="Arial"/>
          <w:bCs/>
        </w:rPr>
        <w:t>, F. P. (2008). Revisiting the relation between environmental performance and environmental disclosure: An empirical analysis.</w:t>
      </w:r>
    </w:p>
    <w:p w14:paraId="0AFFC5F2" w14:textId="77777777" w:rsidR="00627B2B" w:rsidRPr="00981167" w:rsidRDefault="00627B2B" w:rsidP="004E5449">
      <w:pPr>
        <w:pStyle w:val="ListParagraph"/>
        <w:numPr>
          <w:ilvl w:val="0"/>
          <w:numId w:val="32"/>
        </w:numPr>
        <w:spacing w:after="160" w:line="278" w:lineRule="auto"/>
        <w:jc w:val="both"/>
      </w:pPr>
      <w:proofErr w:type="spellStart"/>
      <w:r w:rsidRPr="00981167">
        <w:t>Egsaim</w:t>
      </w:r>
      <w:proofErr w:type="spellEnd"/>
      <w:r w:rsidRPr="00981167">
        <w:t xml:space="preserve">, M., &amp; </w:t>
      </w:r>
      <w:proofErr w:type="spellStart"/>
      <w:r w:rsidRPr="00981167">
        <w:t>Elrakaiby</w:t>
      </w:r>
      <w:proofErr w:type="spellEnd"/>
      <w:r w:rsidRPr="00981167">
        <w:t xml:space="preserve">, M. (2024). The Effect of Accounting Disclosure of Environmental Sustainability on The Company's Profitability: An Applied Study </w:t>
      </w:r>
      <w:proofErr w:type="gramStart"/>
      <w:r w:rsidRPr="00981167">
        <w:t>On</w:t>
      </w:r>
      <w:proofErr w:type="gramEnd"/>
      <w:r w:rsidRPr="00981167">
        <w:t xml:space="preserve"> Libyan Companies. </w:t>
      </w:r>
      <w:r w:rsidRPr="004E5449">
        <w:rPr>
          <w:i/>
          <w:iCs/>
        </w:rPr>
        <w:t>Journal of Desert and Environmental Agriculture</w:t>
      </w:r>
      <w:r w:rsidRPr="00981167">
        <w:t xml:space="preserve">, </w:t>
      </w:r>
      <w:r w:rsidRPr="004E5449">
        <w:rPr>
          <w:i/>
          <w:iCs/>
        </w:rPr>
        <w:t>4</w:t>
      </w:r>
      <w:r w:rsidRPr="00981167">
        <w:t>(1), 15-40.</w:t>
      </w:r>
    </w:p>
    <w:p w14:paraId="11599B46" w14:textId="77777777" w:rsidR="00627B2B" w:rsidRPr="00981167" w:rsidRDefault="00627B2B" w:rsidP="004E5449">
      <w:pPr>
        <w:pStyle w:val="ListParagraph"/>
        <w:numPr>
          <w:ilvl w:val="0"/>
          <w:numId w:val="32"/>
        </w:numPr>
        <w:spacing w:after="160" w:line="278" w:lineRule="auto"/>
        <w:jc w:val="both"/>
      </w:pPr>
      <w:proofErr w:type="spellStart"/>
      <w:r w:rsidRPr="00981167">
        <w:t>Ehada</w:t>
      </w:r>
      <w:proofErr w:type="spellEnd"/>
      <w:r w:rsidRPr="00981167">
        <w:t xml:space="preserve">, S., </w:t>
      </w:r>
      <w:proofErr w:type="spellStart"/>
      <w:r w:rsidRPr="00981167">
        <w:t>Okpanachi</w:t>
      </w:r>
      <w:proofErr w:type="spellEnd"/>
      <w:r w:rsidRPr="00981167">
        <w:t xml:space="preserve">, J., </w:t>
      </w:r>
      <w:proofErr w:type="spellStart"/>
      <w:r w:rsidRPr="00981167">
        <w:t>Agbi</w:t>
      </w:r>
      <w:proofErr w:type="spellEnd"/>
      <w:r w:rsidRPr="00981167">
        <w:t xml:space="preserve">, E. S., &amp; Joshua, S. (2023). Environmental Disclosures and Profitability of Non-Financial Services Firms </w:t>
      </w:r>
      <w:proofErr w:type="gramStart"/>
      <w:r w:rsidRPr="00981167">
        <w:t>In</w:t>
      </w:r>
      <w:proofErr w:type="gramEnd"/>
      <w:r w:rsidRPr="00981167">
        <w:t xml:space="preserve"> Nigeria: Moderating Role of Female Board Membership. </w:t>
      </w:r>
      <w:r w:rsidRPr="004E5449">
        <w:rPr>
          <w:i/>
          <w:iCs/>
        </w:rPr>
        <w:t>UMYU Journal of Accounting and Finance Research</w:t>
      </w:r>
      <w:r w:rsidRPr="00981167">
        <w:t xml:space="preserve">, </w:t>
      </w:r>
      <w:r w:rsidRPr="004E5449">
        <w:rPr>
          <w:i/>
          <w:iCs/>
        </w:rPr>
        <w:t>5</w:t>
      </w:r>
      <w:r w:rsidRPr="00981167">
        <w:t>(1), 50-63.</w:t>
      </w:r>
    </w:p>
    <w:p w14:paraId="35A69569" w14:textId="77777777" w:rsidR="00627B2B" w:rsidRPr="004E5449" w:rsidRDefault="00627B2B" w:rsidP="004E5449">
      <w:pPr>
        <w:pStyle w:val="ListParagraph"/>
        <w:numPr>
          <w:ilvl w:val="0"/>
          <w:numId w:val="32"/>
        </w:numPr>
        <w:jc w:val="both"/>
        <w:rPr>
          <w:rFonts w:ascii="Arial" w:hAnsi="Arial" w:cs="Arial"/>
          <w:bCs/>
        </w:rPr>
      </w:pPr>
      <w:r w:rsidRPr="004E5449">
        <w:rPr>
          <w:rFonts w:ascii="Arial" w:hAnsi="Arial" w:cs="Arial"/>
          <w:bCs/>
        </w:rPr>
        <w:t xml:space="preserve">Farooq, M., </w:t>
      </w:r>
      <w:proofErr w:type="spellStart"/>
      <w:r w:rsidRPr="004E5449">
        <w:rPr>
          <w:rFonts w:ascii="Arial" w:hAnsi="Arial" w:cs="Arial"/>
          <w:bCs/>
        </w:rPr>
        <w:t>Kassim</w:t>
      </w:r>
      <w:proofErr w:type="spellEnd"/>
      <w:r w:rsidRPr="004E5449">
        <w:rPr>
          <w:rFonts w:ascii="Arial" w:hAnsi="Arial" w:cs="Arial"/>
          <w:bCs/>
        </w:rPr>
        <w:t xml:space="preserve">, A. W., &amp; </w:t>
      </w:r>
      <w:proofErr w:type="spellStart"/>
      <w:r w:rsidRPr="004E5449">
        <w:rPr>
          <w:rFonts w:ascii="Arial" w:hAnsi="Arial" w:cs="Arial"/>
          <w:bCs/>
        </w:rPr>
        <w:t>Ariff</w:t>
      </w:r>
      <w:proofErr w:type="spellEnd"/>
      <w:r w:rsidRPr="004E5449">
        <w:rPr>
          <w:rFonts w:ascii="Arial" w:hAnsi="Arial" w:cs="Arial"/>
          <w:bCs/>
        </w:rPr>
        <w:t xml:space="preserve">, M. (2021). The impact of environmental, social, and governance (ESG) disclosure on firm value: Evidence from Malaysia. </w:t>
      </w:r>
      <w:r w:rsidRPr="004E5449">
        <w:rPr>
          <w:rFonts w:ascii="Arial" w:hAnsi="Arial" w:cs="Arial"/>
          <w:bCs/>
          <w:i/>
          <w:iCs/>
        </w:rPr>
        <w:t>Journal of Business Research</w:t>
      </w:r>
      <w:r w:rsidRPr="004E5449">
        <w:rPr>
          <w:rFonts w:ascii="Arial" w:hAnsi="Arial" w:cs="Arial"/>
          <w:bCs/>
        </w:rPr>
        <w:t>, 134, 234-246.</w:t>
      </w:r>
    </w:p>
    <w:p w14:paraId="52BEB3D6" w14:textId="77777777" w:rsidR="00627B2B" w:rsidRPr="00981167" w:rsidRDefault="00627B2B" w:rsidP="004E5449">
      <w:pPr>
        <w:pStyle w:val="ListParagraph"/>
        <w:numPr>
          <w:ilvl w:val="0"/>
          <w:numId w:val="32"/>
        </w:numPr>
        <w:spacing w:after="160" w:line="278" w:lineRule="auto"/>
        <w:jc w:val="both"/>
      </w:pPr>
      <w:proofErr w:type="spellStart"/>
      <w:r w:rsidRPr="00981167">
        <w:t>Fermadona</w:t>
      </w:r>
      <w:proofErr w:type="spellEnd"/>
      <w:r w:rsidRPr="00981167">
        <w:t xml:space="preserve">, H., </w:t>
      </w:r>
      <w:proofErr w:type="spellStart"/>
      <w:r w:rsidRPr="00981167">
        <w:t>Suryaningsih</w:t>
      </w:r>
      <w:proofErr w:type="spellEnd"/>
      <w:r w:rsidRPr="00981167">
        <w:t xml:space="preserve">, M., </w:t>
      </w:r>
      <w:proofErr w:type="spellStart"/>
      <w:r w:rsidRPr="00981167">
        <w:t>Susilawati</w:t>
      </w:r>
      <w:proofErr w:type="spellEnd"/>
      <w:r w:rsidRPr="00981167">
        <w:t xml:space="preserve">, S., &amp; </w:t>
      </w:r>
      <w:proofErr w:type="spellStart"/>
      <w:r w:rsidRPr="00981167">
        <w:t>Yuli</w:t>
      </w:r>
      <w:proofErr w:type="spellEnd"/>
      <w:r w:rsidRPr="00981167">
        <w:t xml:space="preserve">, R. (2025). Influence of Green Accounting and Corporate Social Responsibility Disclosure on Firm Value with Profitability as an Intervening Variable. </w:t>
      </w:r>
      <w:r w:rsidRPr="004E5449">
        <w:rPr>
          <w:i/>
          <w:iCs/>
        </w:rPr>
        <w:t>International Journal of Business, Law, and Education</w:t>
      </w:r>
      <w:r w:rsidRPr="00981167">
        <w:t xml:space="preserve">, </w:t>
      </w:r>
      <w:r w:rsidRPr="004E5449">
        <w:rPr>
          <w:i/>
          <w:iCs/>
        </w:rPr>
        <w:t>6</w:t>
      </w:r>
      <w:r w:rsidRPr="00981167">
        <w:t>(2), 1450-1469.</w:t>
      </w:r>
    </w:p>
    <w:p w14:paraId="7905F8A6"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Gündüz</w:t>
      </w:r>
      <w:proofErr w:type="spellEnd"/>
      <w:r w:rsidRPr="004E5449">
        <w:rPr>
          <w:rFonts w:ascii="Arial" w:hAnsi="Arial" w:cs="Arial"/>
          <w:bCs/>
        </w:rPr>
        <w:t xml:space="preserve">, M., &amp; </w:t>
      </w:r>
      <w:proofErr w:type="spellStart"/>
      <w:r w:rsidRPr="004E5449">
        <w:rPr>
          <w:rFonts w:ascii="Arial" w:hAnsi="Arial" w:cs="Arial"/>
          <w:bCs/>
        </w:rPr>
        <w:t>Gündüz</w:t>
      </w:r>
      <w:proofErr w:type="spellEnd"/>
      <w:r w:rsidRPr="004E5449">
        <w:rPr>
          <w:rFonts w:ascii="Arial" w:hAnsi="Arial" w:cs="Arial"/>
          <w:bCs/>
        </w:rPr>
        <w:t xml:space="preserve">, M. (2025). Environmental Accounting Disclosures and Financial Performance: Evidence from the Banking Sector. </w:t>
      </w:r>
      <w:r w:rsidRPr="004E5449">
        <w:rPr>
          <w:rFonts w:ascii="Arial" w:hAnsi="Arial" w:cs="Arial"/>
          <w:bCs/>
          <w:i/>
          <w:iCs/>
        </w:rPr>
        <w:t>Sustainability</w:t>
      </w:r>
      <w:r w:rsidRPr="004E5449">
        <w:rPr>
          <w:rFonts w:ascii="Arial" w:hAnsi="Arial" w:cs="Arial"/>
          <w:bCs/>
        </w:rPr>
        <w:t xml:space="preserve">, </w:t>
      </w:r>
      <w:r w:rsidRPr="004E5449">
        <w:rPr>
          <w:rFonts w:ascii="Arial" w:hAnsi="Arial" w:cs="Arial"/>
          <w:bCs/>
          <w:i/>
          <w:iCs/>
        </w:rPr>
        <w:t>17</w:t>
      </w:r>
      <w:r w:rsidRPr="004E5449">
        <w:rPr>
          <w:rFonts w:ascii="Arial" w:hAnsi="Arial" w:cs="Arial"/>
          <w:bCs/>
        </w:rPr>
        <w:t>(8), 3569.</w:t>
      </w:r>
    </w:p>
    <w:p w14:paraId="7520E553" w14:textId="77777777" w:rsidR="00627B2B" w:rsidRPr="004E5449" w:rsidRDefault="00627B2B" w:rsidP="004E5449">
      <w:pPr>
        <w:pStyle w:val="ListParagraph"/>
        <w:numPr>
          <w:ilvl w:val="0"/>
          <w:numId w:val="32"/>
        </w:numPr>
        <w:jc w:val="both"/>
        <w:rPr>
          <w:rFonts w:ascii="Arial" w:hAnsi="Arial" w:cs="Arial"/>
          <w:bCs/>
        </w:rPr>
      </w:pPr>
      <w:bookmarkStart w:id="3" w:name="_Hlk132027797"/>
      <w:r w:rsidRPr="004E5449">
        <w:rPr>
          <w:rFonts w:ascii="Arial" w:hAnsi="Arial" w:cs="Arial"/>
          <w:bCs/>
        </w:rPr>
        <w:t xml:space="preserve">Hasan, M. N., &amp; Khan, M. M. (2022). </w:t>
      </w:r>
      <w:bookmarkEnd w:id="3"/>
      <w:r w:rsidRPr="004E5449">
        <w:rPr>
          <w:rFonts w:ascii="Arial" w:hAnsi="Arial" w:cs="Arial"/>
          <w:bCs/>
        </w:rPr>
        <w:t xml:space="preserve">Does environmental accounting disclosure matter for corporate environmental performance? Empirical evidence from Bangladesh. </w:t>
      </w:r>
      <w:r w:rsidRPr="004E5449">
        <w:rPr>
          <w:rFonts w:ascii="Arial" w:hAnsi="Arial" w:cs="Arial"/>
          <w:bCs/>
          <w:i/>
          <w:iCs/>
        </w:rPr>
        <w:t xml:space="preserve">Journal of Cleaner Production, </w:t>
      </w:r>
      <w:r w:rsidRPr="004E5449">
        <w:rPr>
          <w:rFonts w:ascii="Arial" w:hAnsi="Arial" w:cs="Arial"/>
          <w:bCs/>
        </w:rPr>
        <w:t>319, 128714.</w:t>
      </w:r>
    </w:p>
    <w:p w14:paraId="0A0A8616"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Hasibuan</w:t>
      </w:r>
      <w:proofErr w:type="spellEnd"/>
      <w:r w:rsidRPr="004E5449">
        <w:rPr>
          <w:bCs/>
        </w:rPr>
        <w:t xml:space="preserve">, D. H., &amp; </w:t>
      </w:r>
      <w:proofErr w:type="spellStart"/>
      <w:r w:rsidRPr="004E5449">
        <w:rPr>
          <w:bCs/>
        </w:rPr>
        <w:t>Tinambunan</w:t>
      </w:r>
      <w:proofErr w:type="spellEnd"/>
      <w:r w:rsidRPr="004E5449">
        <w:rPr>
          <w:bCs/>
        </w:rPr>
        <w:t xml:space="preserve">, M. S. M. (2024). Influence leverage, cost environment, and performance environment to financial performance. </w:t>
      </w:r>
      <w:r w:rsidRPr="004E5449">
        <w:rPr>
          <w:bCs/>
          <w:i/>
          <w:iCs/>
        </w:rPr>
        <w:t>Journal of Economics, Finance and Management Studies</w:t>
      </w:r>
      <w:r w:rsidRPr="004E5449">
        <w:rPr>
          <w:bCs/>
        </w:rPr>
        <w:t>.</w:t>
      </w:r>
    </w:p>
    <w:p w14:paraId="50C6A0E1" w14:textId="77777777" w:rsidR="00627B2B" w:rsidRPr="004E5449" w:rsidRDefault="00627B2B" w:rsidP="004E5449">
      <w:pPr>
        <w:pStyle w:val="ListParagraph"/>
        <w:numPr>
          <w:ilvl w:val="0"/>
          <w:numId w:val="32"/>
        </w:numPr>
        <w:jc w:val="both"/>
        <w:rPr>
          <w:rFonts w:ascii="Arial" w:hAnsi="Arial" w:cs="Arial"/>
          <w:bCs/>
        </w:rPr>
      </w:pPr>
      <w:r w:rsidRPr="004E5449">
        <w:rPr>
          <w:rFonts w:ascii="Arial" w:hAnsi="Arial" w:cs="Arial"/>
          <w:bCs/>
        </w:rPr>
        <w:t xml:space="preserve">Khan, S. U., Ali, M., &amp; Ur Rehman, F. (2022). The impact of capital structure on firm profitability: Evidence from emerging economies. </w:t>
      </w:r>
      <w:r w:rsidRPr="004E5449">
        <w:rPr>
          <w:rFonts w:ascii="Arial" w:hAnsi="Arial" w:cs="Arial"/>
          <w:bCs/>
          <w:i/>
          <w:iCs/>
        </w:rPr>
        <w:t>Economic Analysis and Policy</w:t>
      </w:r>
      <w:r w:rsidRPr="004E5449">
        <w:rPr>
          <w:rFonts w:ascii="Arial" w:hAnsi="Arial" w:cs="Arial"/>
          <w:bCs/>
        </w:rPr>
        <w:t>, 71, 308-323.</w:t>
      </w:r>
    </w:p>
    <w:p w14:paraId="6F16BBFD"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Kipngetich</w:t>
      </w:r>
      <w:proofErr w:type="spellEnd"/>
      <w:r w:rsidRPr="004E5449">
        <w:rPr>
          <w:bCs/>
        </w:rPr>
        <w:t xml:space="preserve">, T. J., </w:t>
      </w:r>
      <w:proofErr w:type="spellStart"/>
      <w:r w:rsidRPr="004E5449">
        <w:rPr>
          <w:bCs/>
        </w:rPr>
        <w:t>Tenai</w:t>
      </w:r>
      <w:proofErr w:type="spellEnd"/>
      <w:r w:rsidRPr="004E5449">
        <w:rPr>
          <w:bCs/>
        </w:rPr>
        <w:t xml:space="preserve">, J., &amp; </w:t>
      </w:r>
      <w:proofErr w:type="spellStart"/>
      <w:r w:rsidRPr="004E5449">
        <w:rPr>
          <w:bCs/>
        </w:rPr>
        <w:t>Bonuke</w:t>
      </w:r>
      <w:proofErr w:type="spellEnd"/>
      <w:r w:rsidRPr="004E5449">
        <w:rPr>
          <w:bCs/>
        </w:rPr>
        <w:t xml:space="preserve">, R. (2019). Determinants of environmental disclosure. Does leverage matter? Reflection from firms listed in the Nairobi security exchange. </w:t>
      </w:r>
      <w:r w:rsidRPr="004E5449">
        <w:rPr>
          <w:bCs/>
          <w:i/>
          <w:iCs/>
        </w:rPr>
        <w:t>Journal of Accounting, Business and Finance Research</w:t>
      </w:r>
      <w:r w:rsidRPr="004E5449">
        <w:rPr>
          <w:bCs/>
        </w:rPr>
        <w:t xml:space="preserve">, </w:t>
      </w:r>
      <w:r w:rsidRPr="004E5449">
        <w:rPr>
          <w:bCs/>
          <w:i/>
          <w:iCs/>
        </w:rPr>
        <w:t>7</w:t>
      </w:r>
      <w:r w:rsidRPr="004E5449">
        <w:rPr>
          <w:bCs/>
        </w:rPr>
        <w:t>(2), 107-114.</w:t>
      </w:r>
    </w:p>
    <w:p w14:paraId="5636DA76"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bCs/>
        </w:rPr>
        <w:t>Kulsum</w:t>
      </w:r>
      <w:proofErr w:type="spellEnd"/>
      <w:r w:rsidRPr="004E5449">
        <w:rPr>
          <w:bCs/>
        </w:rPr>
        <w:t xml:space="preserve">, S. (2025). The Effect of Profitability, Leverage, Liquidity, and Company Size on Sustainability Report Disclosure with Corporate Governance as a Moderating Variable in Energy Sector Companies in 2019-2023. </w:t>
      </w:r>
      <w:r w:rsidRPr="004E5449">
        <w:rPr>
          <w:bCs/>
          <w:i/>
          <w:iCs/>
        </w:rPr>
        <w:t>International Journal of Social Discussion</w:t>
      </w:r>
      <w:r w:rsidRPr="004E5449">
        <w:rPr>
          <w:bCs/>
        </w:rPr>
        <w:t xml:space="preserve">, </w:t>
      </w:r>
      <w:r w:rsidRPr="004E5449">
        <w:rPr>
          <w:bCs/>
          <w:i/>
          <w:iCs/>
        </w:rPr>
        <w:t>2</w:t>
      </w:r>
      <w:r w:rsidRPr="004E5449">
        <w:rPr>
          <w:bCs/>
        </w:rPr>
        <w:t>(2), 92-109.</w:t>
      </w:r>
    </w:p>
    <w:p w14:paraId="1167BCF5" w14:textId="77777777" w:rsidR="00627B2B" w:rsidRPr="0065617E" w:rsidRDefault="00627B2B" w:rsidP="004E5449">
      <w:pPr>
        <w:pStyle w:val="ListParagraph"/>
        <w:numPr>
          <w:ilvl w:val="0"/>
          <w:numId w:val="32"/>
        </w:numPr>
        <w:spacing w:after="160" w:line="278" w:lineRule="auto"/>
        <w:jc w:val="both"/>
      </w:pPr>
      <w:proofErr w:type="spellStart"/>
      <w:r w:rsidRPr="0065617E">
        <w:t>Kulsum</w:t>
      </w:r>
      <w:proofErr w:type="spellEnd"/>
      <w:r w:rsidRPr="0065617E">
        <w:t xml:space="preserve">, S. (2025). The Effect of Profitability, Leverage, Liquidity, and Company Size on Sustainability Report Disclosure with Corporate Governance as a Moderating Variable in Energy Sector Companies in 2019-2023. </w:t>
      </w:r>
      <w:r w:rsidRPr="004E5449">
        <w:rPr>
          <w:i/>
          <w:iCs/>
        </w:rPr>
        <w:t>International Journal of Social Discussion</w:t>
      </w:r>
      <w:r w:rsidRPr="0065617E">
        <w:t xml:space="preserve">, </w:t>
      </w:r>
      <w:r w:rsidRPr="004E5449">
        <w:rPr>
          <w:i/>
          <w:iCs/>
        </w:rPr>
        <w:t>2</w:t>
      </w:r>
      <w:r w:rsidRPr="0065617E">
        <w:t>(2), 92-109.</w:t>
      </w:r>
    </w:p>
    <w:p w14:paraId="53C8BF8C"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Makori</w:t>
      </w:r>
      <w:proofErr w:type="spellEnd"/>
      <w:r w:rsidRPr="004E5449">
        <w:rPr>
          <w:rFonts w:ascii="Arial" w:hAnsi="Arial" w:cs="Arial"/>
          <w:bCs/>
        </w:rPr>
        <w:t xml:space="preserve">, D. M., &amp; </w:t>
      </w:r>
      <w:proofErr w:type="spellStart"/>
      <w:r w:rsidRPr="004E5449">
        <w:rPr>
          <w:rFonts w:ascii="Arial" w:hAnsi="Arial" w:cs="Arial"/>
          <w:bCs/>
        </w:rPr>
        <w:t>Jagongo</w:t>
      </w:r>
      <w:proofErr w:type="spellEnd"/>
      <w:r w:rsidRPr="004E5449">
        <w:rPr>
          <w:rFonts w:ascii="Arial" w:hAnsi="Arial" w:cs="Arial"/>
          <w:bCs/>
        </w:rPr>
        <w:t xml:space="preserve">, A. (2013). Environmental accounting and firm profitability: An empirical analysis of selected firms listed in Bombay stock exchange, India. </w:t>
      </w:r>
      <w:r w:rsidRPr="004E5449">
        <w:rPr>
          <w:rFonts w:ascii="Arial" w:hAnsi="Arial" w:cs="Arial"/>
          <w:bCs/>
          <w:i/>
          <w:iCs/>
        </w:rPr>
        <w:t>International Journal of Humanities and Social Science</w:t>
      </w:r>
      <w:r w:rsidRPr="004E5449">
        <w:rPr>
          <w:rFonts w:ascii="Arial" w:hAnsi="Arial" w:cs="Arial"/>
          <w:bCs/>
        </w:rPr>
        <w:t xml:space="preserve">, </w:t>
      </w:r>
      <w:r w:rsidRPr="004E5449">
        <w:rPr>
          <w:rFonts w:ascii="Arial" w:hAnsi="Arial" w:cs="Arial"/>
          <w:bCs/>
          <w:i/>
          <w:iCs/>
        </w:rPr>
        <w:t>3</w:t>
      </w:r>
      <w:r w:rsidRPr="004E5449">
        <w:rPr>
          <w:rFonts w:ascii="Arial" w:hAnsi="Arial" w:cs="Arial"/>
          <w:bCs/>
        </w:rPr>
        <w:t>(18), 248-256.</w:t>
      </w:r>
    </w:p>
    <w:p w14:paraId="57692EB5" w14:textId="77777777" w:rsidR="00627B2B" w:rsidRPr="00981167" w:rsidRDefault="00627B2B" w:rsidP="004E5449">
      <w:pPr>
        <w:pStyle w:val="ListParagraph"/>
        <w:numPr>
          <w:ilvl w:val="0"/>
          <w:numId w:val="32"/>
        </w:numPr>
        <w:spacing w:after="160" w:line="278" w:lineRule="auto"/>
        <w:jc w:val="both"/>
      </w:pPr>
      <w:proofErr w:type="spellStart"/>
      <w:r w:rsidRPr="00981167">
        <w:lastRenderedPageBreak/>
        <w:t>Meilan</w:t>
      </w:r>
      <w:proofErr w:type="spellEnd"/>
      <w:r w:rsidRPr="00981167">
        <w:t xml:space="preserve">, R., </w:t>
      </w:r>
      <w:proofErr w:type="spellStart"/>
      <w:r w:rsidRPr="00981167">
        <w:t>Susanti</w:t>
      </w:r>
      <w:proofErr w:type="spellEnd"/>
      <w:r w:rsidRPr="00981167">
        <w:t xml:space="preserve">, A. T., &amp; </w:t>
      </w:r>
      <w:proofErr w:type="spellStart"/>
      <w:r w:rsidRPr="00981167">
        <w:t>Sochib</w:t>
      </w:r>
      <w:proofErr w:type="spellEnd"/>
      <w:r w:rsidRPr="00981167">
        <w:t xml:space="preserve">, S. (2024). Examining the Effects of Environmental Management Accounting and Social Disclosure on Firm Value. </w:t>
      </w:r>
      <w:proofErr w:type="spellStart"/>
      <w:r w:rsidRPr="004E5449">
        <w:rPr>
          <w:i/>
          <w:iCs/>
        </w:rPr>
        <w:t>Jurnal</w:t>
      </w:r>
      <w:proofErr w:type="spellEnd"/>
      <w:r w:rsidRPr="004E5449">
        <w:rPr>
          <w:i/>
          <w:iCs/>
        </w:rPr>
        <w:t xml:space="preserve"> </w:t>
      </w:r>
      <w:proofErr w:type="spellStart"/>
      <w:r w:rsidRPr="004E5449">
        <w:rPr>
          <w:i/>
          <w:iCs/>
        </w:rPr>
        <w:t>Ilmiah</w:t>
      </w:r>
      <w:proofErr w:type="spellEnd"/>
      <w:r w:rsidRPr="004E5449">
        <w:rPr>
          <w:i/>
          <w:iCs/>
        </w:rPr>
        <w:t xml:space="preserve"> </w:t>
      </w:r>
      <w:proofErr w:type="spellStart"/>
      <w:r w:rsidRPr="004E5449">
        <w:rPr>
          <w:i/>
          <w:iCs/>
        </w:rPr>
        <w:t>Raflesia</w:t>
      </w:r>
      <w:proofErr w:type="spellEnd"/>
      <w:r w:rsidRPr="004E5449">
        <w:rPr>
          <w:i/>
          <w:iCs/>
        </w:rPr>
        <w:t xml:space="preserve"> </w:t>
      </w:r>
      <w:proofErr w:type="spellStart"/>
      <w:r w:rsidRPr="004E5449">
        <w:rPr>
          <w:i/>
          <w:iCs/>
        </w:rPr>
        <w:t>Akuntansi</w:t>
      </w:r>
      <w:proofErr w:type="spellEnd"/>
      <w:r w:rsidRPr="00981167">
        <w:t xml:space="preserve">, </w:t>
      </w:r>
      <w:r w:rsidRPr="004E5449">
        <w:rPr>
          <w:i/>
          <w:iCs/>
        </w:rPr>
        <w:t>10</w:t>
      </w:r>
      <w:r w:rsidRPr="00981167">
        <w:t>(2), 1004-1012.</w:t>
      </w:r>
    </w:p>
    <w:p w14:paraId="7931AF37" w14:textId="77777777" w:rsidR="00627B2B" w:rsidRPr="00981167" w:rsidRDefault="00627B2B" w:rsidP="004E5449">
      <w:pPr>
        <w:pStyle w:val="ListParagraph"/>
        <w:numPr>
          <w:ilvl w:val="0"/>
          <w:numId w:val="32"/>
        </w:numPr>
        <w:spacing w:after="160" w:line="278" w:lineRule="auto"/>
        <w:jc w:val="both"/>
      </w:pPr>
      <w:r w:rsidRPr="00981167">
        <w:t xml:space="preserve">Mohamed Adnan, S., </w:t>
      </w:r>
      <w:proofErr w:type="spellStart"/>
      <w:r w:rsidRPr="00981167">
        <w:t>Alahdal</w:t>
      </w:r>
      <w:proofErr w:type="spellEnd"/>
      <w:r w:rsidRPr="00981167">
        <w:t xml:space="preserve">, W. M., </w:t>
      </w:r>
      <w:proofErr w:type="spellStart"/>
      <w:r w:rsidRPr="00981167">
        <w:t>Alrazi</w:t>
      </w:r>
      <w:proofErr w:type="spellEnd"/>
      <w:r w:rsidRPr="00981167">
        <w:t xml:space="preserve">, B., &amp; Mat </w:t>
      </w:r>
      <w:proofErr w:type="spellStart"/>
      <w:r w:rsidRPr="00981167">
        <w:t>Husin</w:t>
      </w:r>
      <w:proofErr w:type="spellEnd"/>
      <w:r w:rsidRPr="00981167">
        <w:t xml:space="preserve">, N. (2023). The impact of environmental crimes and profitability on environmental disclosure in Malaysian SME sector: The role of leverage. </w:t>
      </w:r>
      <w:r w:rsidRPr="004E5449">
        <w:rPr>
          <w:i/>
          <w:iCs/>
        </w:rPr>
        <w:t>Cogent Business &amp; Management</w:t>
      </w:r>
      <w:r w:rsidRPr="00981167">
        <w:t xml:space="preserve">, </w:t>
      </w:r>
      <w:r w:rsidRPr="004E5449">
        <w:rPr>
          <w:i/>
          <w:iCs/>
        </w:rPr>
        <w:t>10</w:t>
      </w:r>
      <w:r w:rsidRPr="00981167">
        <w:t>(3), 2274616.</w:t>
      </w:r>
    </w:p>
    <w:p w14:paraId="021BCC8B" w14:textId="77777777" w:rsidR="00627B2B" w:rsidRPr="004E5449" w:rsidRDefault="00627B2B" w:rsidP="004E5449">
      <w:pPr>
        <w:pStyle w:val="ListParagraph"/>
        <w:numPr>
          <w:ilvl w:val="0"/>
          <w:numId w:val="32"/>
        </w:numPr>
        <w:jc w:val="both"/>
        <w:rPr>
          <w:rFonts w:ascii="Arial" w:hAnsi="Arial" w:cs="Arial"/>
          <w:bCs/>
        </w:rPr>
      </w:pPr>
      <w:bookmarkStart w:id="4" w:name="_Hlk132025844"/>
      <w:proofErr w:type="spellStart"/>
      <w:r w:rsidRPr="004E5449">
        <w:rPr>
          <w:rFonts w:ascii="Arial" w:hAnsi="Arial" w:cs="Arial"/>
          <w:bCs/>
        </w:rPr>
        <w:t>Ngwakwe</w:t>
      </w:r>
      <w:proofErr w:type="spellEnd"/>
      <w:r w:rsidRPr="004E5449">
        <w:rPr>
          <w:rFonts w:ascii="Arial" w:hAnsi="Arial" w:cs="Arial"/>
          <w:bCs/>
        </w:rPr>
        <w:t xml:space="preserve">, C. C., &amp; </w:t>
      </w:r>
      <w:proofErr w:type="spellStart"/>
      <w:r w:rsidRPr="004E5449">
        <w:rPr>
          <w:rFonts w:ascii="Arial" w:hAnsi="Arial" w:cs="Arial"/>
          <w:bCs/>
        </w:rPr>
        <w:t>Okoyeuzu</w:t>
      </w:r>
      <w:proofErr w:type="spellEnd"/>
      <w:r w:rsidRPr="004E5449">
        <w:rPr>
          <w:rFonts w:ascii="Arial" w:hAnsi="Arial" w:cs="Arial"/>
          <w:bCs/>
        </w:rPr>
        <w:t>, C. (2019).</w:t>
      </w:r>
      <w:bookmarkEnd w:id="4"/>
      <w:r w:rsidRPr="004E5449">
        <w:rPr>
          <w:rFonts w:ascii="Arial" w:hAnsi="Arial" w:cs="Arial"/>
          <w:bCs/>
        </w:rPr>
        <w:t xml:space="preserve"> Environmental accounting disclosure: An instrument for environmental performance assessment and reporting. </w:t>
      </w:r>
      <w:r w:rsidRPr="004E5449">
        <w:rPr>
          <w:rFonts w:ascii="Arial" w:hAnsi="Arial" w:cs="Arial"/>
          <w:bCs/>
          <w:i/>
          <w:iCs/>
        </w:rPr>
        <w:t>Journal of Accounting, Auditing &amp; Finance in Africa</w:t>
      </w:r>
      <w:r w:rsidRPr="004E5449">
        <w:rPr>
          <w:rFonts w:ascii="Arial" w:hAnsi="Arial" w:cs="Arial"/>
          <w:bCs/>
        </w:rPr>
        <w:t xml:space="preserve">, 8(2), 1-15. </w:t>
      </w:r>
      <w:proofErr w:type="spellStart"/>
      <w:r w:rsidRPr="004E5449">
        <w:rPr>
          <w:rFonts w:ascii="Arial" w:hAnsi="Arial" w:cs="Arial"/>
          <w:bCs/>
        </w:rPr>
        <w:t>doi</w:t>
      </w:r>
      <w:proofErr w:type="spellEnd"/>
      <w:r w:rsidRPr="004E5449">
        <w:rPr>
          <w:rFonts w:ascii="Arial" w:hAnsi="Arial" w:cs="Arial"/>
          <w:bCs/>
        </w:rPr>
        <w:t>: 10.1108/JAAFA-02-2019-0010</w:t>
      </w:r>
    </w:p>
    <w:p w14:paraId="7F8291D6" w14:textId="77777777" w:rsidR="00627B2B" w:rsidRPr="00981167" w:rsidRDefault="00627B2B" w:rsidP="004E5449">
      <w:pPr>
        <w:pStyle w:val="ListParagraph"/>
        <w:numPr>
          <w:ilvl w:val="0"/>
          <w:numId w:val="32"/>
        </w:numPr>
        <w:spacing w:after="160" w:line="278" w:lineRule="auto"/>
        <w:jc w:val="both"/>
      </w:pPr>
      <w:proofErr w:type="spellStart"/>
      <w:r w:rsidRPr="00981167">
        <w:t>Nwamah</w:t>
      </w:r>
      <w:proofErr w:type="spellEnd"/>
      <w:r w:rsidRPr="00981167">
        <w:t>, K. C. N., Madueke, C. O., &amp; Patricia, O.</w:t>
      </w:r>
      <w:r>
        <w:t xml:space="preserve"> (2024)</w:t>
      </w:r>
      <w:r w:rsidRPr="00981167">
        <w:t xml:space="preserve"> Environmental Accounting Disclosure </w:t>
      </w:r>
      <w:proofErr w:type="gramStart"/>
      <w:r w:rsidRPr="00981167">
        <w:t>On</w:t>
      </w:r>
      <w:proofErr w:type="gramEnd"/>
      <w:r w:rsidRPr="00981167">
        <w:t xml:space="preserve"> Financial Performance Of Quoted Selected Firms In Nigeria.</w:t>
      </w:r>
    </w:p>
    <w:p w14:paraId="4F21B86D"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Obiora</w:t>
      </w:r>
      <w:proofErr w:type="spellEnd"/>
      <w:r w:rsidRPr="004E5449">
        <w:rPr>
          <w:rFonts w:ascii="Arial" w:hAnsi="Arial" w:cs="Arial"/>
          <w:bCs/>
        </w:rPr>
        <w:t xml:space="preserve">, F., </w:t>
      </w:r>
      <w:proofErr w:type="spellStart"/>
      <w:r w:rsidRPr="004E5449">
        <w:rPr>
          <w:rFonts w:ascii="Arial" w:hAnsi="Arial" w:cs="Arial"/>
          <w:bCs/>
        </w:rPr>
        <w:t>Onuora</w:t>
      </w:r>
      <w:proofErr w:type="spellEnd"/>
      <w:r w:rsidRPr="004E5449">
        <w:rPr>
          <w:rFonts w:ascii="Arial" w:hAnsi="Arial" w:cs="Arial"/>
          <w:bCs/>
        </w:rPr>
        <w:t xml:space="preserve">, V. D. J., &amp; Sandra, E. C. (2022). An Assessment </w:t>
      </w:r>
      <w:proofErr w:type="gramStart"/>
      <w:r w:rsidRPr="004E5449">
        <w:rPr>
          <w:rFonts w:ascii="Arial" w:hAnsi="Arial" w:cs="Arial"/>
          <w:bCs/>
        </w:rPr>
        <w:t>Of</w:t>
      </w:r>
      <w:proofErr w:type="gramEnd"/>
      <w:r w:rsidRPr="004E5449">
        <w:rPr>
          <w:rFonts w:ascii="Arial" w:hAnsi="Arial" w:cs="Arial"/>
          <w:bCs/>
        </w:rPr>
        <w:t xml:space="preserve"> The Impact Of Environmental Accounting Disclosure On Profitability Of Firm In Nigeria. International Journal of Innovative Finance and Economics Research 10(1):92-103</w:t>
      </w:r>
    </w:p>
    <w:p w14:paraId="5BAD1DEA" w14:textId="77777777" w:rsidR="00627B2B" w:rsidRPr="004E5449" w:rsidRDefault="00627B2B" w:rsidP="004E5449">
      <w:pPr>
        <w:pStyle w:val="ListParagraph"/>
        <w:numPr>
          <w:ilvl w:val="0"/>
          <w:numId w:val="32"/>
        </w:numPr>
        <w:jc w:val="both"/>
        <w:rPr>
          <w:rFonts w:ascii="Arial" w:hAnsi="Arial" w:cs="Arial"/>
          <w:bCs/>
        </w:rPr>
      </w:pPr>
      <w:r w:rsidRPr="004E5449">
        <w:rPr>
          <w:rFonts w:ascii="Arial" w:hAnsi="Arial" w:cs="Arial"/>
          <w:bCs/>
        </w:rPr>
        <w:t xml:space="preserve">Okafor, R. and </w:t>
      </w:r>
      <w:proofErr w:type="spellStart"/>
      <w:r w:rsidRPr="004E5449">
        <w:rPr>
          <w:rFonts w:ascii="Arial" w:hAnsi="Arial" w:cs="Arial"/>
          <w:bCs/>
        </w:rPr>
        <w:t>Ezejiofor</w:t>
      </w:r>
      <w:proofErr w:type="spellEnd"/>
      <w:r w:rsidRPr="004E5449">
        <w:rPr>
          <w:rFonts w:ascii="Arial" w:hAnsi="Arial" w:cs="Arial"/>
          <w:bCs/>
        </w:rPr>
        <w:t xml:space="preserve">, R. (2014). Environmental disclosure and environmental performance in the Nigerian oil and gas industry. Social Responsibility </w:t>
      </w:r>
      <w:r w:rsidRPr="004E5449">
        <w:rPr>
          <w:rFonts w:ascii="Arial" w:hAnsi="Arial" w:cs="Arial"/>
          <w:bCs/>
          <w:i/>
          <w:iCs/>
        </w:rPr>
        <w:t>Journal</w:t>
      </w:r>
      <w:r w:rsidRPr="004E5449">
        <w:rPr>
          <w:rFonts w:ascii="Arial" w:hAnsi="Arial" w:cs="Arial"/>
          <w:bCs/>
        </w:rPr>
        <w:t>, 10(2), pp.256-267.</w:t>
      </w:r>
    </w:p>
    <w:p w14:paraId="1B617E90"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Okoba</w:t>
      </w:r>
      <w:proofErr w:type="spellEnd"/>
      <w:r w:rsidRPr="004E5449">
        <w:rPr>
          <w:rFonts w:ascii="Arial" w:hAnsi="Arial" w:cs="Arial"/>
          <w:bCs/>
        </w:rPr>
        <w:t xml:space="preserve">, D., Chukwu, G. J., &amp; Jackson, A. A. (2025). Environmental sustainability performance disclosure and its impact on profitability in listed consumer goods manufacturing firms in Nigeria. </w:t>
      </w:r>
      <w:r w:rsidRPr="004E5449">
        <w:rPr>
          <w:rFonts w:ascii="Arial" w:hAnsi="Arial" w:cs="Arial"/>
          <w:bCs/>
          <w:i/>
          <w:iCs/>
        </w:rPr>
        <w:t>J. Green Econ. Low-Carbon Dev</w:t>
      </w:r>
      <w:r w:rsidRPr="004E5449">
        <w:rPr>
          <w:rFonts w:ascii="Arial" w:hAnsi="Arial" w:cs="Arial"/>
          <w:bCs/>
        </w:rPr>
        <w:t xml:space="preserve">, </w:t>
      </w:r>
      <w:r w:rsidRPr="004E5449">
        <w:rPr>
          <w:rFonts w:ascii="Arial" w:hAnsi="Arial" w:cs="Arial"/>
          <w:bCs/>
          <w:i/>
          <w:iCs/>
        </w:rPr>
        <w:t>4</w:t>
      </w:r>
      <w:r w:rsidRPr="004E5449">
        <w:rPr>
          <w:rFonts w:ascii="Arial" w:hAnsi="Arial" w:cs="Arial"/>
          <w:bCs/>
        </w:rPr>
        <w:t>(2), 63-73.</w:t>
      </w:r>
    </w:p>
    <w:p w14:paraId="06412B04" w14:textId="77777777" w:rsidR="00627B2B" w:rsidRPr="00981167" w:rsidRDefault="00627B2B" w:rsidP="004E5449">
      <w:pPr>
        <w:pStyle w:val="ListParagraph"/>
        <w:numPr>
          <w:ilvl w:val="0"/>
          <w:numId w:val="32"/>
        </w:numPr>
        <w:spacing w:after="160" w:line="278" w:lineRule="auto"/>
        <w:jc w:val="both"/>
      </w:pPr>
      <w:proofErr w:type="spellStart"/>
      <w:r w:rsidRPr="00981167">
        <w:t>Ozegbe</w:t>
      </w:r>
      <w:proofErr w:type="spellEnd"/>
      <w:r w:rsidRPr="00981167">
        <w:t xml:space="preserve">, U. C. (2025). Effect of Green Accounting on Market Value of Listed Oil and Gas Companies in Nigeria. </w:t>
      </w:r>
      <w:r w:rsidRPr="004E5449">
        <w:rPr>
          <w:i/>
          <w:iCs/>
        </w:rPr>
        <w:t xml:space="preserve">London Journal of Research </w:t>
      </w:r>
      <w:proofErr w:type="gramStart"/>
      <w:r w:rsidRPr="004E5449">
        <w:rPr>
          <w:i/>
          <w:iCs/>
        </w:rPr>
        <w:t>In</w:t>
      </w:r>
      <w:proofErr w:type="gramEnd"/>
      <w:r w:rsidRPr="004E5449">
        <w:rPr>
          <w:i/>
          <w:iCs/>
        </w:rPr>
        <w:t xml:space="preserve"> Management &amp; Business</w:t>
      </w:r>
      <w:r w:rsidRPr="00981167">
        <w:t xml:space="preserve">, </w:t>
      </w:r>
      <w:r w:rsidRPr="004E5449">
        <w:rPr>
          <w:i/>
          <w:iCs/>
        </w:rPr>
        <w:t>25</w:t>
      </w:r>
      <w:r w:rsidRPr="00981167">
        <w:t>(4), 1-20.</w:t>
      </w:r>
    </w:p>
    <w:p w14:paraId="0D1BDD9F" w14:textId="77777777" w:rsidR="00627B2B" w:rsidRPr="00981167" w:rsidRDefault="00627B2B" w:rsidP="004E5449">
      <w:pPr>
        <w:pStyle w:val="ListParagraph"/>
        <w:numPr>
          <w:ilvl w:val="0"/>
          <w:numId w:val="32"/>
        </w:numPr>
        <w:spacing w:after="160" w:line="278" w:lineRule="auto"/>
        <w:jc w:val="both"/>
      </w:pPr>
      <w:proofErr w:type="spellStart"/>
      <w:r w:rsidRPr="00981167">
        <w:t>Pangestu</w:t>
      </w:r>
      <w:proofErr w:type="spellEnd"/>
      <w:r w:rsidRPr="00981167">
        <w:t xml:space="preserve">, A. D., &amp; </w:t>
      </w:r>
      <w:proofErr w:type="spellStart"/>
      <w:r w:rsidRPr="00981167">
        <w:t>Nawirah</w:t>
      </w:r>
      <w:proofErr w:type="spellEnd"/>
      <w:r w:rsidRPr="00981167">
        <w:t xml:space="preserve">, N. (2025). Carbon Emission Disclosure, Corporate Social Responsibility, Green Accounting: Firm Value Moderated by Profitability. </w:t>
      </w:r>
      <w:r w:rsidRPr="004E5449">
        <w:rPr>
          <w:i/>
          <w:iCs/>
        </w:rPr>
        <w:t xml:space="preserve">Owner: </w:t>
      </w:r>
      <w:proofErr w:type="spellStart"/>
      <w:r w:rsidRPr="004E5449">
        <w:rPr>
          <w:i/>
          <w:iCs/>
        </w:rPr>
        <w:t>Riset</w:t>
      </w:r>
      <w:proofErr w:type="spellEnd"/>
      <w:r w:rsidRPr="004E5449">
        <w:rPr>
          <w:i/>
          <w:iCs/>
        </w:rPr>
        <w:t xml:space="preserve"> dan </w:t>
      </w:r>
      <w:proofErr w:type="spellStart"/>
      <w:r w:rsidRPr="004E5449">
        <w:rPr>
          <w:i/>
          <w:iCs/>
        </w:rPr>
        <w:t>Jurnal</w:t>
      </w:r>
      <w:proofErr w:type="spellEnd"/>
      <w:r w:rsidRPr="004E5449">
        <w:rPr>
          <w:i/>
          <w:iCs/>
        </w:rPr>
        <w:t xml:space="preserve"> </w:t>
      </w:r>
      <w:proofErr w:type="spellStart"/>
      <w:r w:rsidRPr="004E5449">
        <w:rPr>
          <w:i/>
          <w:iCs/>
        </w:rPr>
        <w:t>Akuntansi</w:t>
      </w:r>
      <w:proofErr w:type="spellEnd"/>
      <w:r w:rsidRPr="00981167">
        <w:t xml:space="preserve">, </w:t>
      </w:r>
      <w:r w:rsidRPr="004E5449">
        <w:rPr>
          <w:i/>
          <w:iCs/>
        </w:rPr>
        <w:t>9</w:t>
      </w:r>
      <w:r w:rsidRPr="00981167">
        <w:t>(2), 1175-1182.</w:t>
      </w:r>
    </w:p>
    <w:p w14:paraId="0111D3D7"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Pasaribu</w:t>
      </w:r>
      <w:proofErr w:type="spellEnd"/>
      <w:r w:rsidRPr="004E5449">
        <w:rPr>
          <w:rFonts w:ascii="Arial" w:hAnsi="Arial" w:cs="Arial"/>
          <w:bCs/>
        </w:rPr>
        <w:t xml:space="preserve">, N., </w:t>
      </w:r>
      <w:proofErr w:type="spellStart"/>
      <w:r w:rsidRPr="004E5449">
        <w:rPr>
          <w:rFonts w:ascii="Arial" w:hAnsi="Arial" w:cs="Arial"/>
          <w:bCs/>
        </w:rPr>
        <w:t>Irawan</w:t>
      </w:r>
      <w:proofErr w:type="spellEnd"/>
      <w:r w:rsidRPr="004E5449">
        <w:rPr>
          <w:rFonts w:ascii="Arial" w:hAnsi="Arial" w:cs="Arial"/>
          <w:bCs/>
        </w:rPr>
        <w:t xml:space="preserve">, D., &amp; </w:t>
      </w:r>
      <w:proofErr w:type="spellStart"/>
      <w:r w:rsidRPr="004E5449">
        <w:rPr>
          <w:rFonts w:ascii="Arial" w:hAnsi="Arial" w:cs="Arial"/>
          <w:bCs/>
        </w:rPr>
        <w:t>Hadi</w:t>
      </w:r>
      <w:proofErr w:type="spellEnd"/>
      <w:r w:rsidRPr="004E5449">
        <w:rPr>
          <w:rFonts w:ascii="Arial" w:hAnsi="Arial" w:cs="Arial"/>
          <w:bCs/>
        </w:rPr>
        <w:t xml:space="preserve">, S. P. (2025). The Effect of Profitability, Asset Growth, and Profit Growth on Company Value: An Empirical Study of the Technology Sector Listed on the IDX for the 2021-2024 Period. </w:t>
      </w:r>
      <w:r w:rsidRPr="004E5449">
        <w:rPr>
          <w:rFonts w:ascii="Arial" w:hAnsi="Arial" w:cs="Arial"/>
          <w:bCs/>
          <w:i/>
          <w:iCs/>
        </w:rPr>
        <w:t>International Journal of Economics and Management Research</w:t>
      </w:r>
      <w:r w:rsidRPr="004E5449">
        <w:rPr>
          <w:rFonts w:ascii="Arial" w:hAnsi="Arial" w:cs="Arial"/>
          <w:bCs/>
        </w:rPr>
        <w:t xml:space="preserve">, </w:t>
      </w:r>
      <w:r w:rsidRPr="004E5449">
        <w:rPr>
          <w:rFonts w:ascii="Arial" w:hAnsi="Arial" w:cs="Arial"/>
          <w:bCs/>
          <w:i/>
          <w:iCs/>
        </w:rPr>
        <w:t>4</w:t>
      </w:r>
      <w:r w:rsidRPr="004E5449">
        <w:rPr>
          <w:rFonts w:ascii="Arial" w:hAnsi="Arial" w:cs="Arial"/>
          <w:bCs/>
        </w:rPr>
        <w:t>(3), 518-532.</w:t>
      </w:r>
    </w:p>
    <w:p w14:paraId="23F87FA0" w14:textId="77777777" w:rsidR="00627B2B" w:rsidRPr="00981167" w:rsidRDefault="00627B2B" w:rsidP="004E5449">
      <w:pPr>
        <w:pStyle w:val="ListParagraph"/>
        <w:numPr>
          <w:ilvl w:val="0"/>
          <w:numId w:val="32"/>
        </w:numPr>
        <w:spacing w:after="160" w:line="278" w:lineRule="auto"/>
        <w:jc w:val="both"/>
      </w:pPr>
      <w:proofErr w:type="spellStart"/>
      <w:r w:rsidRPr="00981167">
        <w:t>Patima</w:t>
      </w:r>
      <w:proofErr w:type="spellEnd"/>
      <w:r w:rsidRPr="00981167">
        <w:t xml:space="preserve">, P., Helmi, S. M., &amp; </w:t>
      </w:r>
      <w:proofErr w:type="spellStart"/>
      <w:r w:rsidRPr="00981167">
        <w:t>Rusmita</w:t>
      </w:r>
      <w:proofErr w:type="spellEnd"/>
      <w:r w:rsidRPr="00981167">
        <w:t xml:space="preserve">, S. (2024). Effect of environmental accounting on firm value with profitability as an intervening variable. </w:t>
      </w:r>
      <w:r w:rsidRPr="004E5449">
        <w:rPr>
          <w:i/>
          <w:iCs/>
        </w:rPr>
        <w:t>International Journal of Economics, Business and Management Research</w:t>
      </w:r>
      <w:r w:rsidRPr="00981167">
        <w:t xml:space="preserve">, </w:t>
      </w:r>
      <w:r w:rsidRPr="004E5449">
        <w:rPr>
          <w:i/>
          <w:iCs/>
        </w:rPr>
        <w:t>8</w:t>
      </w:r>
      <w:r w:rsidRPr="00981167">
        <w:t>(9), 230-244.</w:t>
      </w:r>
    </w:p>
    <w:p w14:paraId="0F44F086"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Rahayu</w:t>
      </w:r>
      <w:proofErr w:type="spellEnd"/>
      <w:r w:rsidRPr="004E5449">
        <w:rPr>
          <w:rFonts w:ascii="Arial" w:hAnsi="Arial" w:cs="Arial"/>
          <w:bCs/>
        </w:rPr>
        <w:t xml:space="preserve">, D. S., </w:t>
      </w:r>
      <w:proofErr w:type="spellStart"/>
      <w:r w:rsidRPr="004E5449">
        <w:rPr>
          <w:rFonts w:ascii="Arial" w:hAnsi="Arial" w:cs="Arial"/>
          <w:bCs/>
        </w:rPr>
        <w:t>Wicaksono</w:t>
      </w:r>
      <w:proofErr w:type="spellEnd"/>
      <w:r w:rsidRPr="004E5449">
        <w:rPr>
          <w:rFonts w:ascii="Arial" w:hAnsi="Arial" w:cs="Arial"/>
          <w:bCs/>
        </w:rPr>
        <w:t xml:space="preserve">, A., </w:t>
      </w:r>
      <w:proofErr w:type="spellStart"/>
      <w:r w:rsidRPr="004E5449">
        <w:rPr>
          <w:rFonts w:ascii="Arial" w:hAnsi="Arial" w:cs="Arial"/>
          <w:bCs/>
        </w:rPr>
        <w:t>Muzakki</w:t>
      </w:r>
      <w:proofErr w:type="spellEnd"/>
      <w:r w:rsidRPr="004E5449">
        <w:rPr>
          <w:rFonts w:ascii="Arial" w:hAnsi="Arial" w:cs="Arial"/>
          <w:bCs/>
        </w:rPr>
        <w:t xml:space="preserve">, K., &amp; </w:t>
      </w:r>
      <w:proofErr w:type="spellStart"/>
      <w:r w:rsidRPr="004E5449">
        <w:rPr>
          <w:rFonts w:ascii="Arial" w:hAnsi="Arial" w:cs="Arial"/>
          <w:bCs/>
        </w:rPr>
        <w:t>Fahriani</w:t>
      </w:r>
      <w:proofErr w:type="spellEnd"/>
      <w:r w:rsidRPr="004E5449">
        <w:rPr>
          <w:rFonts w:ascii="Arial" w:hAnsi="Arial" w:cs="Arial"/>
          <w:bCs/>
        </w:rPr>
        <w:t xml:space="preserve">, D. (2025). The influence of green accounting and profitability on the firm value of the coal industry in 2019-2023. </w:t>
      </w:r>
      <w:r w:rsidRPr="004E5449">
        <w:rPr>
          <w:rFonts w:ascii="Arial" w:hAnsi="Arial" w:cs="Arial"/>
          <w:bCs/>
          <w:i/>
          <w:iCs/>
        </w:rPr>
        <w:t xml:space="preserve">Jea17: </w:t>
      </w:r>
      <w:proofErr w:type="spellStart"/>
      <w:r w:rsidRPr="004E5449">
        <w:rPr>
          <w:rFonts w:ascii="Arial" w:hAnsi="Arial" w:cs="Arial"/>
          <w:bCs/>
          <w:i/>
          <w:iCs/>
        </w:rPr>
        <w:t>Jurnal</w:t>
      </w:r>
      <w:proofErr w:type="spellEnd"/>
      <w:r w:rsidRPr="004E5449">
        <w:rPr>
          <w:rFonts w:ascii="Arial" w:hAnsi="Arial" w:cs="Arial"/>
          <w:bCs/>
          <w:i/>
          <w:iCs/>
        </w:rPr>
        <w:t xml:space="preserve"> </w:t>
      </w:r>
      <w:proofErr w:type="spellStart"/>
      <w:r w:rsidRPr="004E5449">
        <w:rPr>
          <w:rFonts w:ascii="Arial" w:hAnsi="Arial" w:cs="Arial"/>
          <w:bCs/>
          <w:i/>
          <w:iCs/>
        </w:rPr>
        <w:t>Ekonomi</w:t>
      </w:r>
      <w:proofErr w:type="spellEnd"/>
      <w:r w:rsidRPr="004E5449">
        <w:rPr>
          <w:rFonts w:ascii="Arial" w:hAnsi="Arial" w:cs="Arial"/>
          <w:bCs/>
          <w:i/>
          <w:iCs/>
        </w:rPr>
        <w:t xml:space="preserve"> </w:t>
      </w:r>
      <w:proofErr w:type="spellStart"/>
      <w:r w:rsidRPr="004E5449">
        <w:rPr>
          <w:rFonts w:ascii="Arial" w:hAnsi="Arial" w:cs="Arial"/>
          <w:bCs/>
          <w:i/>
          <w:iCs/>
        </w:rPr>
        <w:t>Akuntansi</w:t>
      </w:r>
      <w:proofErr w:type="spellEnd"/>
      <w:r w:rsidRPr="004E5449">
        <w:rPr>
          <w:rFonts w:ascii="Arial" w:hAnsi="Arial" w:cs="Arial"/>
          <w:bCs/>
        </w:rPr>
        <w:t xml:space="preserve">, </w:t>
      </w:r>
      <w:r w:rsidRPr="004E5449">
        <w:rPr>
          <w:rFonts w:ascii="Arial" w:hAnsi="Arial" w:cs="Arial"/>
          <w:bCs/>
          <w:i/>
          <w:iCs/>
        </w:rPr>
        <w:t>10</w:t>
      </w:r>
      <w:r w:rsidRPr="004E5449">
        <w:rPr>
          <w:rFonts w:ascii="Arial" w:hAnsi="Arial" w:cs="Arial"/>
          <w:bCs/>
        </w:rPr>
        <w:t>(1), 46-63.</w:t>
      </w:r>
    </w:p>
    <w:p w14:paraId="62CC0A06" w14:textId="77777777" w:rsidR="00627B2B" w:rsidRPr="0065617E" w:rsidRDefault="00627B2B" w:rsidP="004E5449">
      <w:pPr>
        <w:pStyle w:val="ListParagraph"/>
        <w:numPr>
          <w:ilvl w:val="0"/>
          <w:numId w:val="32"/>
        </w:numPr>
        <w:spacing w:after="160" w:line="278" w:lineRule="auto"/>
        <w:jc w:val="both"/>
      </w:pPr>
      <w:proofErr w:type="spellStart"/>
      <w:r w:rsidRPr="0065617E">
        <w:t>Rahayu</w:t>
      </w:r>
      <w:proofErr w:type="spellEnd"/>
      <w:r w:rsidRPr="0065617E">
        <w:t xml:space="preserve">, D. S., </w:t>
      </w:r>
      <w:proofErr w:type="spellStart"/>
      <w:r w:rsidRPr="0065617E">
        <w:t>Wicaksono</w:t>
      </w:r>
      <w:proofErr w:type="spellEnd"/>
      <w:r w:rsidRPr="0065617E">
        <w:t xml:space="preserve">, A., </w:t>
      </w:r>
      <w:proofErr w:type="spellStart"/>
      <w:r w:rsidRPr="0065617E">
        <w:t>Muzakki</w:t>
      </w:r>
      <w:proofErr w:type="spellEnd"/>
      <w:r w:rsidRPr="0065617E">
        <w:t xml:space="preserve">, K., &amp; </w:t>
      </w:r>
      <w:proofErr w:type="spellStart"/>
      <w:r w:rsidRPr="0065617E">
        <w:t>Fahriani</w:t>
      </w:r>
      <w:proofErr w:type="spellEnd"/>
      <w:r w:rsidRPr="0065617E">
        <w:t xml:space="preserve">, D. (2025). The influence of green accounting and profitability on the firm value of the coal industry in 2019-2023. </w:t>
      </w:r>
      <w:r w:rsidRPr="004E5449">
        <w:rPr>
          <w:i/>
          <w:iCs/>
        </w:rPr>
        <w:t xml:space="preserve">Jea17: </w:t>
      </w:r>
      <w:proofErr w:type="spellStart"/>
      <w:r w:rsidRPr="004E5449">
        <w:rPr>
          <w:i/>
          <w:iCs/>
        </w:rPr>
        <w:t>jurnal</w:t>
      </w:r>
      <w:proofErr w:type="spellEnd"/>
      <w:r w:rsidRPr="004E5449">
        <w:rPr>
          <w:i/>
          <w:iCs/>
        </w:rPr>
        <w:t xml:space="preserve"> </w:t>
      </w:r>
      <w:proofErr w:type="spellStart"/>
      <w:r w:rsidRPr="004E5449">
        <w:rPr>
          <w:i/>
          <w:iCs/>
        </w:rPr>
        <w:t>ekonomi</w:t>
      </w:r>
      <w:proofErr w:type="spellEnd"/>
      <w:r w:rsidRPr="004E5449">
        <w:rPr>
          <w:i/>
          <w:iCs/>
        </w:rPr>
        <w:t xml:space="preserve"> </w:t>
      </w:r>
      <w:proofErr w:type="spellStart"/>
      <w:r w:rsidRPr="004E5449">
        <w:rPr>
          <w:i/>
          <w:iCs/>
        </w:rPr>
        <w:t>akuntansi</w:t>
      </w:r>
      <w:proofErr w:type="spellEnd"/>
      <w:r w:rsidRPr="0065617E">
        <w:t xml:space="preserve">, </w:t>
      </w:r>
      <w:r w:rsidRPr="004E5449">
        <w:rPr>
          <w:i/>
          <w:iCs/>
        </w:rPr>
        <w:t>10</w:t>
      </w:r>
      <w:r w:rsidRPr="0065617E">
        <w:t>(1), 46-63.</w:t>
      </w:r>
    </w:p>
    <w:p w14:paraId="48A9795C" w14:textId="77777777" w:rsidR="00627B2B" w:rsidRPr="004E5449" w:rsidRDefault="00627B2B" w:rsidP="004E5449">
      <w:pPr>
        <w:pStyle w:val="ListParagraph"/>
        <w:numPr>
          <w:ilvl w:val="0"/>
          <w:numId w:val="32"/>
        </w:numPr>
        <w:jc w:val="both"/>
        <w:rPr>
          <w:rFonts w:ascii="Arial" w:hAnsi="Arial" w:cs="Arial"/>
          <w:bCs/>
        </w:rPr>
      </w:pPr>
      <w:bookmarkStart w:id="5" w:name="_GoBack"/>
      <w:proofErr w:type="spellStart"/>
      <w:r w:rsidRPr="004E5449">
        <w:rPr>
          <w:rFonts w:ascii="Arial" w:hAnsi="Arial" w:cs="Arial"/>
          <w:bCs/>
        </w:rPr>
        <w:t>Rahmawati</w:t>
      </w:r>
      <w:proofErr w:type="spellEnd"/>
      <w:r w:rsidRPr="004E5449">
        <w:rPr>
          <w:rFonts w:ascii="Arial" w:hAnsi="Arial" w:cs="Arial"/>
          <w:bCs/>
        </w:rPr>
        <w:t xml:space="preserve">, Y., </w:t>
      </w:r>
      <w:proofErr w:type="spellStart"/>
      <w:r w:rsidRPr="004E5449">
        <w:rPr>
          <w:rFonts w:ascii="Arial" w:hAnsi="Arial" w:cs="Arial"/>
          <w:bCs/>
        </w:rPr>
        <w:t>Hurriyaturrohman</w:t>
      </w:r>
      <w:proofErr w:type="spellEnd"/>
      <w:r w:rsidRPr="004E5449">
        <w:rPr>
          <w:rFonts w:ascii="Arial" w:hAnsi="Arial" w:cs="Arial"/>
          <w:bCs/>
        </w:rPr>
        <w:t xml:space="preserve">, H., &amp; </w:t>
      </w:r>
      <w:proofErr w:type="spellStart"/>
      <w:r w:rsidRPr="004E5449">
        <w:rPr>
          <w:rFonts w:ascii="Arial" w:hAnsi="Arial" w:cs="Arial"/>
          <w:bCs/>
        </w:rPr>
        <w:t>Riani</w:t>
      </w:r>
      <w:proofErr w:type="spellEnd"/>
      <w:r w:rsidRPr="004E5449">
        <w:rPr>
          <w:rFonts w:ascii="Arial" w:hAnsi="Arial" w:cs="Arial"/>
          <w:bCs/>
        </w:rPr>
        <w:t xml:space="preserve">, D. (2025, June). The Effect of Environmental Accounting Disclosure and Environmental Performance on Company Value. In </w:t>
      </w:r>
      <w:r w:rsidRPr="004E5449">
        <w:rPr>
          <w:rFonts w:ascii="Arial" w:hAnsi="Arial" w:cs="Arial"/>
          <w:bCs/>
          <w:i/>
          <w:iCs/>
        </w:rPr>
        <w:t xml:space="preserve">Economics Business and </w:t>
      </w:r>
      <w:proofErr w:type="spellStart"/>
      <w:r w:rsidRPr="004E5449">
        <w:rPr>
          <w:rFonts w:ascii="Arial" w:hAnsi="Arial" w:cs="Arial"/>
          <w:bCs/>
          <w:i/>
          <w:iCs/>
        </w:rPr>
        <w:t>Internasional</w:t>
      </w:r>
      <w:proofErr w:type="spellEnd"/>
      <w:r w:rsidRPr="004E5449">
        <w:rPr>
          <w:rFonts w:ascii="Arial" w:hAnsi="Arial" w:cs="Arial"/>
          <w:bCs/>
          <w:i/>
          <w:iCs/>
        </w:rPr>
        <w:t xml:space="preserve"> Conference</w:t>
      </w:r>
      <w:r w:rsidRPr="004E5449">
        <w:rPr>
          <w:rFonts w:ascii="Arial" w:hAnsi="Arial" w:cs="Arial"/>
          <w:bCs/>
        </w:rPr>
        <w:t xml:space="preserve"> (Vol. 2, No. 1, pp. 1-13).</w:t>
      </w:r>
    </w:p>
    <w:p w14:paraId="28A1933E" w14:textId="77777777" w:rsidR="00627B2B" w:rsidRPr="0065617E" w:rsidRDefault="00627B2B" w:rsidP="004E5449">
      <w:pPr>
        <w:pStyle w:val="ListParagraph"/>
        <w:numPr>
          <w:ilvl w:val="0"/>
          <w:numId w:val="32"/>
        </w:numPr>
        <w:spacing w:after="160" w:line="278" w:lineRule="auto"/>
        <w:jc w:val="both"/>
      </w:pPr>
      <w:proofErr w:type="spellStart"/>
      <w:r w:rsidRPr="0065617E">
        <w:t>Rahmawati</w:t>
      </w:r>
      <w:proofErr w:type="spellEnd"/>
      <w:r w:rsidRPr="0065617E">
        <w:t xml:space="preserve">, Y., </w:t>
      </w:r>
      <w:proofErr w:type="spellStart"/>
      <w:r w:rsidRPr="0065617E">
        <w:t>Hurriyaturrohman</w:t>
      </w:r>
      <w:proofErr w:type="spellEnd"/>
      <w:r w:rsidRPr="0065617E">
        <w:t xml:space="preserve">, H., &amp; </w:t>
      </w:r>
      <w:proofErr w:type="spellStart"/>
      <w:r w:rsidRPr="0065617E">
        <w:t>Riani</w:t>
      </w:r>
      <w:proofErr w:type="spellEnd"/>
      <w:r w:rsidRPr="0065617E">
        <w:t xml:space="preserve">, D. (2025, June). The Effect of Environmental Accounting Disclosure and Environmental Performance on Company Value. In </w:t>
      </w:r>
      <w:r w:rsidRPr="004E5449">
        <w:rPr>
          <w:i/>
          <w:iCs/>
        </w:rPr>
        <w:t xml:space="preserve">Economics Business and </w:t>
      </w:r>
      <w:proofErr w:type="spellStart"/>
      <w:r w:rsidRPr="004E5449">
        <w:rPr>
          <w:i/>
          <w:iCs/>
        </w:rPr>
        <w:t>Internasional</w:t>
      </w:r>
      <w:proofErr w:type="spellEnd"/>
      <w:r w:rsidRPr="004E5449">
        <w:rPr>
          <w:i/>
          <w:iCs/>
        </w:rPr>
        <w:t xml:space="preserve"> Conference</w:t>
      </w:r>
      <w:r w:rsidRPr="0065617E">
        <w:t xml:space="preserve"> (Vol. 2, No. 1, pp. 1-13).</w:t>
      </w:r>
    </w:p>
    <w:p w14:paraId="599A7CAD" w14:textId="77777777" w:rsidR="00627B2B" w:rsidRPr="0065617E" w:rsidRDefault="00627B2B" w:rsidP="004E5449">
      <w:pPr>
        <w:pStyle w:val="ListParagraph"/>
        <w:numPr>
          <w:ilvl w:val="0"/>
          <w:numId w:val="32"/>
        </w:numPr>
        <w:spacing w:after="160" w:line="278" w:lineRule="auto"/>
        <w:jc w:val="both"/>
      </w:pPr>
      <w:r w:rsidRPr="0065617E">
        <w:t xml:space="preserve">Sambo, E. M., Yusuf, M., &amp; </w:t>
      </w:r>
      <w:proofErr w:type="spellStart"/>
      <w:r w:rsidRPr="0065617E">
        <w:t>Fahmin</w:t>
      </w:r>
      <w:proofErr w:type="spellEnd"/>
      <w:r w:rsidRPr="0065617E">
        <w:t xml:space="preserve">, M. (2025, September). The Effect of Green Accounting, Environmental Performance, and Corporate Social Responsibility on Profitability in Mining Companies Listed on the Indonesia Stock Exchange in 2020–2023. In </w:t>
      </w:r>
      <w:r w:rsidRPr="004E5449">
        <w:rPr>
          <w:i/>
          <w:iCs/>
        </w:rPr>
        <w:t>IECON: International Economics and Business Conference</w:t>
      </w:r>
      <w:r w:rsidRPr="0065617E">
        <w:t xml:space="preserve"> (Vol. 3, No. 2, pp. 1496-1510).</w:t>
      </w:r>
    </w:p>
    <w:p w14:paraId="16ADD9CF" w14:textId="77777777" w:rsidR="00627B2B" w:rsidRPr="00981167" w:rsidRDefault="00627B2B" w:rsidP="004E5449">
      <w:pPr>
        <w:pStyle w:val="ListParagraph"/>
        <w:numPr>
          <w:ilvl w:val="0"/>
          <w:numId w:val="32"/>
        </w:numPr>
        <w:spacing w:after="160" w:line="278" w:lineRule="auto"/>
        <w:jc w:val="both"/>
      </w:pPr>
      <w:proofErr w:type="spellStart"/>
      <w:r w:rsidRPr="00981167">
        <w:t>Sarvasti</w:t>
      </w:r>
      <w:proofErr w:type="spellEnd"/>
      <w:r w:rsidRPr="00981167">
        <w:t xml:space="preserve">, L. D., &amp; </w:t>
      </w:r>
      <w:proofErr w:type="spellStart"/>
      <w:r w:rsidRPr="00981167">
        <w:t>Widoretno</w:t>
      </w:r>
      <w:proofErr w:type="spellEnd"/>
      <w:r w:rsidRPr="00981167">
        <w:t xml:space="preserve">, A. A. (2024). Do green accounting and carbon emission disclosure affect stock </w:t>
      </w:r>
      <w:proofErr w:type="gramStart"/>
      <w:r w:rsidRPr="00981167">
        <w:t>return?.</w:t>
      </w:r>
      <w:proofErr w:type="gramEnd"/>
      <w:r w:rsidRPr="00981167">
        <w:t xml:space="preserve"> </w:t>
      </w:r>
      <w:proofErr w:type="spellStart"/>
      <w:r w:rsidRPr="004E5449">
        <w:rPr>
          <w:i/>
          <w:iCs/>
        </w:rPr>
        <w:t>Akurasi</w:t>
      </w:r>
      <w:proofErr w:type="spellEnd"/>
      <w:r w:rsidRPr="004E5449">
        <w:rPr>
          <w:i/>
          <w:iCs/>
        </w:rPr>
        <w:t xml:space="preserve">: </w:t>
      </w:r>
      <w:proofErr w:type="spellStart"/>
      <w:r w:rsidRPr="004E5449">
        <w:rPr>
          <w:i/>
          <w:iCs/>
        </w:rPr>
        <w:t>Jurnal</w:t>
      </w:r>
      <w:proofErr w:type="spellEnd"/>
      <w:r w:rsidRPr="004E5449">
        <w:rPr>
          <w:i/>
          <w:iCs/>
        </w:rPr>
        <w:t xml:space="preserve"> </w:t>
      </w:r>
      <w:proofErr w:type="spellStart"/>
      <w:r w:rsidRPr="004E5449">
        <w:rPr>
          <w:i/>
          <w:iCs/>
        </w:rPr>
        <w:t>Studi</w:t>
      </w:r>
      <w:proofErr w:type="spellEnd"/>
      <w:r w:rsidRPr="004E5449">
        <w:rPr>
          <w:i/>
          <w:iCs/>
        </w:rPr>
        <w:t xml:space="preserve"> </w:t>
      </w:r>
      <w:proofErr w:type="spellStart"/>
      <w:r w:rsidRPr="004E5449">
        <w:rPr>
          <w:i/>
          <w:iCs/>
        </w:rPr>
        <w:t>Akuntansi</w:t>
      </w:r>
      <w:proofErr w:type="spellEnd"/>
      <w:r w:rsidRPr="004E5449">
        <w:rPr>
          <w:i/>
          <w:iCs/>
        </w:rPr>
        <w:t xml:space="preserve"> dan </w:t>
      </w:r>
      <w:proofErr w:type="spellStart"/>
      <w:r w:rsidRPr="004E5449">
        <w:rPr>
          <w:i/>
          <w:iCs/>
        </w:rPr>
        <w:t>Keuangan</w:t>
      </w:r>
      <w:proofErr w:type="spellEnd"/>
      <w:r w:rsidRPr="00981167">
        <w:t xml:space="preserve">, </w:t>
      </w:r>
      <w:r w:rsidRPr="004E5449">
        <w:rPr>
          <w:i/>
          <w:iCs/>
        </w:rPr>
        <w:t>7</w:t>
      </w:r>
      <w:r w:rsidRPr="00981167">
        <w:t>(1), 155-172.</w:t>
      </w:r>
    </w:p>
    <w:p w14:paraId="26898F53"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Sulaiman</w:t>
      </w:r>
      <w:proofErr w:type="spellEnd"/>
      <w:r w:rsidRPr="004E5449">
        <w:rPr>
          <w:rFonts w:ascii="Arial" w:hAnsi="Arial" w:cs="Arial"/>
          <w:bCs/>
        </w:rPr>
        <w:t xml:space="preserve">, T., </w:t>
      </w:r>
      <w:proofErr w:type="spellStart"/>
      <w:r w:rsidRPr="004E5449">
        <w:rPr>
          <w:rFonts w:ascii="Arial" w:hAnsi="Arial" w:cs="Arial"/>
          <w:bCs/>
        </w:rPr>
        <w:t>Rabeea</w:t>
      </w:r>
      <w:proofErr w:type="spellEnd"/>
      <w:r w:rsidRPr="004E5449">
        <w:rPr>
          <w:rFonts w:ascii="Arial" w:hAnsi="Arial" w:cs="Arial"/>
          <w:bCs/>
        </w:rPr>
        <w:t xml:space="preserve"> Mahdi, O., &amp; M </w:t>
      </w:r>
      <w:proofErr w:type="spellStart"/>
      <w:r w:rsidRPr="004E5449">
        <w:rPr>
          <w:rFonts w:ascii="Arial" w:hAnsi="Arial" w:cs="Arial"/>
          <w:bCs/>
        </w:rPr>
        <w:t>Khoshnaw</w:t>
      </w:r>
      <w:proofErr w:type="spellEnd"/>
      <w:r w:rsidRPr="004E5449">
        <w:rPr>
          <w:rFonts w:ascii="Arial" w:hAnsi="Arial" w:cs="Arial"/>
          <w:bCs/>
        </w:rPr>
        <w:t>, D. (2025). Using Environmental Accounting Approach in Assessing Environmental Cost Accounting Impact on Financial Performance.</w:t>
      </w:r>
    </w:p>
    <w:p w14:paraId="064C34AE" w14:textId="77777777" w:rsidR="00627B2B" w:rsidRPr="004E5449" w:rsidRDefault="00627B2B" w:rsidP="004E5449">
      <w:pPr>
        <w:pStyle w:val="ListParagraph"/>
        <w:numPr>
          <w:ilvl w:val="0"/>
          <w:numId w:val="32"/>
        </w:numPr>
        <w:jc w:val="both"/>
        <w:rPr>
          <w:rFonts w:ascii="Arial" w:hAnsi="Arial" w:cs="Arial"/>
          <w:bCs/>
        </w:rPr>
      </w:pPr>
      <w:proofErr w:type="spellStart"/>
      <w:r w:rsidRPr="004E5449">
        <w:rPr>
          <w:rFonts w:ascii="Arial" w:hAnsi="Arial" w:cs="Arial"/>
          <w:bCs/>
        </w:rPr>
        <w:t>Sutomo</w:t>
      </w:r>
      <w:proofErr w:type="spellEnd"/>
      <w:r w:rsidRPr="004E5449">
        <w:rPr>
          <w:rFonts w:ascii="Arial" w:hAnsi="Arial" w:cs="Arial"/>
          <w:bCs/>
        </w:rPr>
        <w:t xml:space="preserve">, I., </w:t>
      </w:r>
      <w:proofErr w:type="spellStart"/>
      <w:r w:rsidRPr="004E5449">
        <w:rPr>
          <w:rFonts w:ascii="Arial" w:hAnsi="Arial" w:cs="Arial"/>
          <w:bCs/>
        </w:rPr>
        <w:t>Syarifuddin</w:t>
      </w:r>
      <w:proofErr w:type="spellEnd"/>
      <w:r w:rsidRPr="004E5449">
        <w:rPr>
          <w:rFonts w:ascii="Arial" w:hAnsi="Arial" w:cs="Arial"/>
          <w:bCs/>
        </w:rPr>
        <w:t xml:space="preserve">, S., &amp; Damayanti, R. A. (2025). Sustainability and Carbon Emission Disclosure: How Profitability and Environmental Factors Influence Reporting in the Energy Industry. In </w:t>
      </w:r>
      <w:r w:rsidRPr="004E5449">
        <w:rPr>
          <w:rFonts w:ascii="Arial" w:hAnsi="Arial" w:cs="Arial"/>
          <w:bCs/>
          <w:i/>
          <w:iCs/>
        </w:rPr>
        <w:t>9th International Conference on Accounting, Management, and Economics 2024 (ICAME 2024)</w:t>
      </w:r>
      <w:r w:rsidRPr="004E5449">
        <w:rPr>
          <w:rFonts w:ascii="Arial" w:hAnsi="Arial" w:cs="Arial"/>
          <w:bCs/>
        </w:rPr>
        <w:t xml:space="preserve"> (pp. 1912-1923). Atlantis Press.</w:t>
      </w:r>
    </w:p>
    <w:p w14:paraId="348D9C4D" w14:textId="77777777" w:rsidR="00627B2B" w:rsidRPr="0065617E" w:rsidRDefault="00627B2B" w:rsidP="004E5449">
      <w:pPr>
        <w:pStyle w:val="ListParagraph"/>
        <w:numPr>
          <w:ilvl w:val="0"/>
          <w:numId w:val="32"/>
        </w:numPr>
        <w:spacing w:after="160" w:line="278" w:lineRule="auto"/>
        <w:jc w:val="both"/>
      </w:pPr>
      <w:proofErr w:type="spellStart"/>
      <w:r w:rsidRPr="0065617E">
        <w:t>Sutomo</w:t>
      </w:r>
      <w:proofErr w:type="spellEnd"/>
      <w:r w:rsidRPr="0065617E">
        <w:t xml:space="preserve">, I., </w:t>
      </w:r>
      <w:proofErr w:type="spellStart"/>
      <w:r w:rsidRPr="0065617E">
        <w:t>Syarifuddin</w:t>
      </w:r>
      <w:proofErr w:type="spellEnd"/>
      <w:r w:rsidRPr="0065617E">
        <w:t xml:space="preserve">, S., &amp; Damayanti, R. A. (2025, July). Sustainability and Carbon Emission Disclosure: How Profitability and Environmental Factors Influence Reporting in the Energy Industry. In </w:t>
      </w:r>
      <w:r w:rsidRPr="004E5449">
        <w:rPr>
          <w:i/>
          <w:iCs/>
        </w:rPr>
        <w:t>9th International Conference on Accounting, Management, and Economics 2024 (ICAME 2024)</w:t>
      </w:r>
      <w:r w:rsidRPr="0065617E">
        <w:t xml:space="preserve"> (pp. 1912-1923). Atlantis Press.</w:t>
      </w:r>
    </w:p>
    <w:p w14:paraId="37B20C71" w14:textId="77777777" w:rsidR="00627B2B" w:rsidRPr="00981167" w:rsidRDefault="00627B2B" w:rsidP="004E5449">
      <w:pPr>
        <w:pStyle w:val="ListParagraph"/>
        <w:numPr>
          <w:ilvl w:val="0"/>
          <w:numId w:val="32"/>
        </w:numPr>
        <w:spacing w:after="160" w:line="278" w:lineRule="auto"/>
        <w:jc w:val="both"/>
      </w:pPr>
      <w:r w:rsidRPr="00981167">
        <w:t xml:space="preserve">T </w:t>
      </w:r>
      <w:proofErr w:type="spellStart"/>
      <w:r w:rsidRPr="00981167">
        <w:t>Sulaiman</w:t>
      </w:r>
      <w:proofErr w:type="spellEnd"/>
      <w:r w:rsidRPr="00981167">
        <w:t xml:space="preserve">, T., </w:t>
      </w:r>
      <w:proofErr w:type="spellStart"/>
      <w:r w:rsidRPr="00981167">
        <w:t>Rabeea</w:t>
      </w:r>
      <w:proofErr w:type="spellEnd"/>
      <w:r w:rsidRPr="00981167">
        <w:t xml:space="preserve"> Mahdi, O., &amp; M </w:t>
      </w:r>
      <w:proofErr w:type="spellStart"/>
      <w:r w:rsidRPr="00981167">
        <w:t>Khoshnaw</w:t>
      </w:r>
      <w:proofErr w:type="spellEnd"/>
      <w:r w:rsidRPr="00981167">
        <w:t>, D. (2025). Using Environmental Accounting Approach in Assessing Environmental Cost Accounting Impact on Financial Performance.</w:t>
      </w:r>
      <w:bookmarkEnd w:id="5"/>
    </w:p>
    <w:p w14:paraId="5F3DB4E8" w14:textId="56CAB7C4" w:rsidR="002876BE" w:rsidRPr="00627B2B" w:rsidRDefault="002876BE" w:rsidP="000011D1">
      <w:pPr>
        <w:ind w:left="993" w:hanging="851"/>
        <w:jc w:val="both"/>
        <w:rPr>
          <w:rFonts w:ascii="Arial" w:hAnsi="Arial" w:cs="Arial"/>
          <w:bCs/>
          <w:highlight w:val="yellow"/>
        </w:rPr>
      </w:pPr>
    </w:p>
    <w:sectPr w:rsidR="002876BE" w:rsidRPr="00627B2B" w:rsidSect="009C5BAA">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67D87" w14:textId="77777777" w:rsidR="00F55CBC" w:rsidRDefault="00F55CBC" w:rsidP="00C37E61">
      <w:r>
        <w:separator/>
      </w:r>
    </w:p>
  </w:endnote>
  <w:endnote w:type="continuationSeparator" w:id="0">
    <w:p w14:paraId="7FCC4448" w14:textId="77777777" w:rsidR="00F55CBC" w:rsidRDefault="00F55C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72F4" w14:textId="77777777" w:rsidR="004E5449" w:rsidRDefault="004E5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AF25" w14:textId="77777777" w:rsidR="004E5449" w:rsidRDefault="004E5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6D9A" w14:textId="3EAB8083" w:rsidR="004E5449" w:rsidRPr="009C5BAA" w:rsidRDefault="004E5449" w:rsidP="009C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8ECF" w14:textId="77777777" w:rsidR="004E5449" w:rsidRPr="00C37E61" w:rsidRDefault="004E5449"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EC58" w14:textId="77777777" w:rsidR="004E5449" w:rsidRPr="00C37E61" w:rsidRDefault="004E544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862A" w14:textId="77777777" w:rsidR="00F55CBC" w:rsidRDefault="00F55CBC" w:rsidP="00C37E61">
      <w:r>
        <w:separator/>
      </w:r>
    </w:p>
  </w:footnote>
  <w:footnote w:type="continuationSeparator" w:id="0">
    <w:p w14:paraId="6C01498C" w14:textId="77777777" w:rsidR="00F55CBC" w:rsidRDefault="00F55C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C2A0" w14:textId="495DC12D" w:rsidR="004E5449" w:rsidRDefault="004E5449">
    <w:pPr>
      <w:pStyle w:val="Header"/>
    </w:pPr>
    <w:r>
      <w:rPr>
        <w:noProof/>
      </w:rPr>
      <w:pict w14:anchorId="087D4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1" o:spid="_x0000_s2050"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E852" w14:textId="75560CB7" w:rsidR="004E5449" w:rsidRDefault="004E5449">
    <w:pPr>
      <w:pStyle w:val="Header"/>
    </w:pPr>
    <w:r>
      <w:rPr>
        <w:noProof/>
      </w:rPr>
      <w:pict w14:anchorId="279E0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2" o:spid="_x0000_s2051"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ED9C7" w14:textId="5F1EDADB" w:rsidR="004E5449" w:rsidRPr="00296529" w:rsidRDefault="004E5449" w:rsidP="00296529">
    <w:pPr>
      <w:ind w:left="2160"/>
      <w:jc w:val="center"/>
      <w:rPr>
        <w:rFonts w:ascii="Times New Roman" w:eastAsia="Calibri" w:hAnsi="Times New Roman"/>
        <w:i/>
        <w:sz w:val="18"/>
        <w:szCs w:val="22"/>
      </w:rPr>
    </w:pPr>
    <w:r>
      <w:rPr>
        <w:noProof/>
      </w:rPr>
      <w:pict w14:anchorId="5963A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0" o:spid="_x0000_s2049" type="#_x0000_t136" style="position:absolute;left:0;text-align:left;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C572AC" w14:textId="77777777" w:rsidR="004E5449" w:rsidRPr="00296529" w:rsidRDefault="004E544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CCFFFD" w14:textId="77777777" w:rsidR="004E5449" w:rsidRPr="00296529" w:rsidRDefault="004E544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8535AC" w14:textId="77777777" w:rsidR="004E5449" w:rsidRPr="00296529" w:rsidRDefault="004E544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8DA22" w14:textId="77777777" w:rsidR="004E5449" w:rsidRDefault="004E544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850B3D" w14:textId="77777777" w:rsidR="004E5449" w:rsidRDefault="004E544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0D088A" w14:textId="77777777" w:rsidR="004E5449" w:rsidRDefault="004E544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EA1C" w14:textId="77777777" w:rsidR="004E5449" w:rsidRDefault="004E5449">
    <w:pPr>
      <w:pStyle w:val="Header"/>
    </w:pPr>
    <w:r>
      <w:rPr>
        <w:noProof/>
      </w:rPr>
      <w:pict w14:anchorId="44941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A42B" w14:textId="77777777" w:rsidR="004E5449" w:rsidRDefault="004E5449">
    <w:pPr>
      <w:pStyle w:val="Header"/>
    </w:pPr>
    <w:r>
      <w:rPr>
        <w:noProof/>
      </w:rPr>
      <w:pict w14:anchorId="74CA0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9748" w14:textId="77777777" w:rsidR="004E5449" w:rsidRDefault="004E5449">
    <w:pPr>
      <w:pStyle w:val="Header"/>
    </w:pPr>
    <w:r>
      <w:rPr>
        <w:noProof/>
      </w:rPr>
      <w:pict w14:anchorId="21AE7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F1B6" w14:textId="77777777" w:rsidR="004E5449" w:rsidRDefault="004E5449">
    <w:pPr>
      <w:pStyle w:val="Header"/>
    </w:pPr>
    <w:r>
      <w:rPr>
        <w:noProof/>
      </w:rPr>
      <w:pict w14:anchorId="5D52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4" o:spid="_x0000_s2055" type="#_x0000_t136" style="position:absolute;margin-left:0;margin-top:0;width:519.9pt;height:58.6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76CA" w14:textId="77777777" w:rsidR="004E5449" w:rsidRDefault="004E5449">
    <w:pPr>
      <w:pStyle w:val="Header"/>
    </w:pPr>
    <w:r>
      <w:rPr>
        <w:noProof/>
      </w:rPr>
      <w:pict w14:anchorId="5A329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5" o:spid="_x0000_s2056" type="#_x0000_t136" style="position:absolute;margin-left:0;margin-top:0;width:519.9pt;height:58.6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9FAF6" w14:textId="77777777" w:rsidR="004E5449" w:rsidRDefault="004E5449">
    <w:pPr>
      <w:pStyle w:val="Header"/>
    </w:pPr>
    <w:r>
      <w:rPr>
        <w:noProof/>
      </w:rPr>
      <w:pict w14:anchorId="3C01D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3" o:spid="_x0000_s2057" type="#_x0000_t136" style="position:absolute;margin-left:0;margin-top:0;width:519.9pt;height:58.6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C803DF"/>
    <w:multiLevelType w:val="hybridMultilevel"/>
    <w:tmpl w:val="5FBE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8D1B26"/>
    <w:multiLevelType w:val="multilevel"/>
    <w:tmpl w:val="8ED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1D1"/>
    <w:rsid w:val="00030174"/>
    <w:rsid w:val="0004579C"/>
    <w:rsid w:val="000A47FA"/>
    <w:rsid w:val="000A5CB5"/>
    <w:rsid w:val="000A65D3"/>
    <w:rsid w:val="000B1E33"/>
    <w:rsid w:val="000D689F"/>
    <w:rsid w:val="000E7B7B"/>
    <w:rsid w:val="000E7D62"/>
    <w:rsid w:val="00103357"/>
    <w:rsid w:val="00123C9F"/>
    <w:rsid w:val="00125726"/>
    <w:rsid w:val="00126190"/>
    <w:rsid w:val="00130F17"/>
    <w:rsid w:val="001320BF"/>
    <w:rsid w:val="00144AC5"/>
    <w:rsid w:val="00147F06"/>
    <w:rsid w:val="00163BC4"/>
    <w:rsid w:val="00191062"/>
    <w:rsid w:val="00192B72"/>
    <w:rsid w:val="001A29D8"/>
    <w:rsid w:val="001A3073"/>
    <w:rsid w:val="001A5CAA"/>
    <w:rsid w:val="001B0427"/>
    <w:rsid w:val="001D3A51"/>
    <w:rsid w:val="001E10D2"/>
    <w:rsid w:val="001E25B4"/>
    <w:rsid w:val="001E44FE"/>
    <w:rsid w:val="00200595"/>
    <w:rsid w:val="00204835"/>
    <w:rsid w:val="00231920"/>
    <w:rsid w:val="0023195C"/>
    <w:rsid w:val="0024282C"/>
    <w:rsid w:val="002460DC"/>
    <w:rsid w:val="00250985"/>
    <w:rsid w:val="00252C11"/>
    <w:rsid w:val="002556F6"/>
    <w:rsid w:val="002826DE"/>
    <w:rsid w:val="00283105"/>
    <w:rsid w:val="00284C4C"/>
    <w:rsid w:val="002876BE"/>
    <w:rsid w:val="00287E68"/>
    <w:rsid w:val="00296529"/>
    <w:rsid w:val="002B27FB"/>
    <w:rsid w:val="002B5E63"/>
    <w:rsid w:val="002B685A"/>
    <w:rsid w:val="002C57D2"/>
    <w:rsid w:val="002E0D56"/>
    <w:rsid w:val="00315186"/>
    <w:rsid w:val="0033343E"/>
    <w:rsid w:val="00346028"/>
    <w:rsid w:val="003512C2"/>
    <w:rsid w:val="0035782A"/>
    <w:rsid w:val="00362B96"/>
    <w:rsid w:val="00371FB6"/>
    <w:rsid w:val="003763C1"/>
    <w:rsid w:val="00376BBE"/>
    <w:rsid w:val="00387AFC"/>
    <w:rsid w:val="0039224F"/>
    <w:rsid w:val="003A43A4"/>
    <w:rsid w:val="003A7E18"/>
    <w:rsid w:val="003B77D7"/>
    <w:rsid w:val="003C4C86"/>
    <w:rsid w:val="003C6258"/>
    <w:rsid w:val="003E2904"/>
    <w:rsid w:val="00401927"/>
    <w:rsid w:val="0041027F"/>
    <w:rsid w:val="00412475"/>
    <w:rsid w:val="00423789"/>
    <w:rsid w:val="00440F43"/>
    <w:rsid w:val="00441B6F"/>
    <w:rsid w:val="00446221"/>
    <w:rsid w:val="00450E62"/>
    <w:rsid w:val="004539DB"/>
    <w:rsid w:val="0045712C"/>
    <w:rsid w:val="00461AE1"/>
    <w:rsid w:val="00471A80"/>
    <w:rsid w:val="004D305E"/>
    <w:rsid w:val="004D4277"/>
    <w:rsid w:val="004E5449"/>
    <w:rsid w:val="00502516"/>
    <w:rsid w:val="00505F06"/>
    <w:rsid w:val="00506828"/>
    <w:rsid w:val="00513E74"/>
    <w:rsid w:val="0052667D"/>
    <w:rsid w:val="0053056E"/>
    <w:rsid w:val="005342FE"/>
    <w:rsid w:val="00551E38"/>
    <w:rsid w:val="00554FDA"/>
    <w:rsid w:val="005C784C"/>
    <w:rsid w:val="005D17F6"/>
    <w:rsid w:val="005D26B5"/>
    <w:rsid w:val="005E5539"/>
    <w:rsid w:val="006018D2"/>
    <w:rsid w:val="00602BF5"/>
    <w:rsid w:val="00617FDD"/>
    <w:rsid w:val="00627B2B"/>
    <w:rsid w:val="00633614"/>
    <w:rsid w:val="00633F68"/>
    <w:rsid w:val="00636EB2"/>
    <w:rsid w:val="006375B8"/>
    <w:rsid w:val="0066510A"/>
    <w:rsid w:val="00673F9F"/>
    <w:rsid w:val="00686953"/>
    <w:rsid w:val="00687DEA"/>
    <w:rsid w:val="00687E67"/>
    <w:rsid w:val="006967F7"/>
    <w:rsid w:val="00697133"/>
    <w:rsid w:val="006A250C"/>
    <w:rsid w:val="006B21D3"/>
    <w:rsid w:val="006B57D0"/>
    <w:rsid w:val="006B73AC"/>
    <w:rsid w:val="006C1BBB"/>
    <w:rsid w:val="006C7C33"/>
    <w:rsid w:val="006D30FF"/>
    <w:rsid w:val="006D6940"/>
    <w:rsid w:val="006F11EC"/>
    <w:rsid w:val="0070082C"/>
    <w:rsid w:val="007369E6"/>
    <w:rsid w:val="00746E59"/>
    <w:rsid w:val="00754C9A"/>
    <w:rsid w:val="0075599A"/>
    <w:rsid w:val="00761D52"/>
    <w:rsid w:val="00774DEF"/>
    <w:rsid w:val="0077749E"/>
    <w:rsid w:val="00790ADA"/>
    <w:rsid w:val="007D2288"/>
    <w:rsid w:val="007E088F"/>
    <w:rsid w:val="007F6931"/>
    <w:rsid w:val="007F7B32"/>
    <w:rsid w:val="008013BB"/>
    <w:rsid w:val="00804BC2"/>
    <w:rsid w:val="0081431A"/>
    <w:rsid w:val="0083216F"/>
    <w:rsid w:val="00860000"/>
    <w:rsid w:val="00863BD3"/>
    <w:rsid w:val="008641ED"/>
    <w:rsid w:val="00866D66"/>
    <w:rsid w:val="008671C6"/>
    <w:rsid w:val="00875803"/>
    <w:rsid w:val="00884546"/>
    <w:rsid w:val="0088591C"/>
    <w:rsid w:val="00894F7C"/>
    <w:rsid w:val="008B459E"/>
    <w:rsid w:val="008C7741"/>
    <w:rsid w:val="008E13AE"/>
    <w:rsid w:val="008E1506"/>
    <w:rsid w:val="008E710C"/>
    <w:rsid w:val="008F69D6"/>
    <w:rsid w:val="00901166"/>
    <w:rsid w:val="00902823"/>
    <w:rsid w:val="00903AC9"/>
    <w:rsid w:val="009057B1"/>
    <w:rsid w:val="00915CA6"/>
    <w:rsid w:val="00917D3E"/>
    <w:rsid w:val="00927834"/>
    <w:rsid w:val="009317EA"/>
    <w:rsid w:val="00931CBB"/>
    <w:rsid w:val="00936614"/>
    <w:rsid w:val="00946DA6"/>
    <w:rsid w:val="009500A6"/>
    <w:rsid w:val="00957C18"/>
    <w:rsid w:val="00960916"/>
    <w:rsid w:val="009659BA"/>
    <w:rsid w:val="00983040"/>
    <w:rsid w:val="00997BE2"/>
    <w:rsid w:val="009A4C51"/>
    <w:rsid w:val="009B3FB9"/>
    <w:rsid w:val="009C2465"/>
    <w:rsid w:val="009C3FEE"/>
    <w:rsid w:val="009C5BAA"/>
    <w:rsid w:val="009D35A0"/>
    <w:rsid w:val="009D7EB7"/>
    <w:rsid w:val="009E048A"/>
    <w:rsid w:val="009E08E9"/>
    <w:rsid w:val="009E3DB9"/>
    <w:rsid w:val="009E6E35"/>
    <w:rsid w:val="009F0EDA"/>
    <w:rsid w:val="00A01F7E"/>
    <w:rsid w:val="00A03B96"/>
    <w:rsid w:val="00A05B19"/>
    <w:rsid w:val="00A07AD6"/>
    <w:rsid w:val="00A1134E"/>
    <w:rsid w:val="00A1432A"/>
    <w:rsid w:val="00A14C2B"/>
    <w:rsid w:val="00A17EEC"/>
    <w:rsid w:val="00A24E7E"/>
    <w:rsid w:val="00A258C3"/>
    <w:rsid w:val="00A347C0"/>
    <w:rsid w:val="00A40477"/>
    <w:rsid w:val="00A51431"/>
    <w:rsid w:val="00A52933"/>
    <w:rsid w:val="00A539AD"/>
    <w:rsid w:val="00A53E17"/>
    <w:rsid w:val="00A91DE0"/>
    <w:rsid w:val="00A94063"/>
    <w:rsid w:val="00AA6219"/>
    <w:rsid w:val="00AA74E0"/>
    <w:rsid w:val="00AB703F"/>
    <w:rsid w:val="00AB7C93"/>
    <w:rsid w:val="00AC6BB8"/>
    <w:rsid w:val="00AE008F"/>
    <w:rsid w:val="00AE1359"/>
    <w:rsid w:val="00B01FCD"/>
    <w:rsid w:val="00B1776C"/>
    <w:rsid w:val="00B47008"/>
    <w:rsid w:val="00B52583"/>
    <w:rsid w:val="00B52896"/>
    <w:rsid w:val="00B95236"/>
    <w:rsid w:val="00B96BD9"/>
    <w:rsid w:val="00B9701B"/>
    <w:rsid w:val="00BA1B01"/>
    <w:rsid w:val="00BA2641"/>
    <w:rsid w:val="00BB37AA"/>
    <w:rsid w:val="00BC53A0"/>
    <w:rsid w:val="00BE62AD"/>
    <w:rsid w:val="00BF121F"/>
    <w:rsid w:val="00BF1F80"/>
    <w:rsid w:val="00BF6725"/>
    <w:rsid w:val="00C1095F"/>
    <w:rsid w:val="00C12D36"/>
    <w:rsid w:val="00C166EF"/>
    <w:rsid w:val="00C17EB0"/>
    <w:rsid w:val="00C27F5F"/>
    <w:rsid w:val="00C30A0F"/>
    <w:rsid w:val="00C37E61"/>
    <w:rsid w:val="00C70F1B"/>
    <w:rsid w:val="00C71A47"/>
    <w:rsid w:val="00C7464C"/>
    <w:rsid w:val="00C81389"/>
    <w:rsid w:val="00C85588"/>
    <w:rsid w:val="00CD6755"/>
    <w:rsid w:val="00CD6856"/>
    <w:rsid w:val="00CE0089"/>
    <w:rsid w:val="00CE793C"/>
    <w:rsid w:val="00CF193C"/>
    <w:rsid w:val="00D173F1"/>
    <w:rsid w:val="00D71007"/>
    <w:rsid w:val="00D74CB0"/>
    <w:rsid w:val="00D8295D"/>
    <w:rsid w:val="00D838E1"/>
    <w:rsid w:val="00DB4D7E"/>
    <w:rsid w:val="00DC2A65"/>
    <w:rsid w:val="00DE15F0"/>
    <w:rsid w:val="00DE5663"/>
    <w:rsid w:val="00DE78AA"/>
    <w:rsid w:val="00E053D0"/>
    <w:rsid w:val="00E15994"/>
    <w:rsid w:val="00E22826"/>
    <w:rsid w:val="00E3114E"/>
    <w:rsid w:val="00E31A70"/>
    <w:rsid w:val="00E35B02"/>
    <w:rsid w:val="00E66496"/>
    <w:rsid w:val="00E66684"/>
    <w:rsid w:val="00E66B35"/>
    <w:rsid w:val="00E66E10"/>
    <w:rsid w:val="00E769F6"/>
    <w:rsid w:val="00E8407C"/>
    <w:rsid w:val="00E84F3C"/>
    <w:rsid w:val="00EA012C"/>
    <w:rsid w:val="00EA6490"/>
    <w:rsid w:val="00EB79FA"/>
    <w:rsid w:val="00EC6A55"/>
    <w:rsid w:val="00ED0288"/>
    <w:rsid w:val="00EE52CB"/>
    <w:rsid w:val="00EE6E30"/>
    <w:rsid w:val="00EF581D"/>
    <w:rsid w:val="00EF7FD8"/>
    <w:rsid w:val="00F06F59"/>
    <w:rsid w:val="00F148C8"/>
    <w:rsid w:val="00F17988"/>
    <w:rsid w:val="00F469F0"/>
    <w:rsid w:val="00F52975"/>
    <w:rsid w:val="00F53273"/>
    <w:rsid w:val="00F55CBC"/>
    <w:rsid w:val="00F64E3E"/>
    <w:rsid w:val="00F755E4"/>
    <w:rsid w:val="00F77D02"/>
    <w:rsid w:val="00F812A6"/>
    <w:rsid w:val="00FB3A86"/>
    <w:rsid w:val="00FC1DC3"/>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01FFD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7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9713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F693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2667D"/>
    <w:rPr>
      <w:color w:val="605E5C"/>
      <w:shd w:val="clear" w:color="auto" w:fill="E1DFDD"/>
    </w:rPr>
  </w:style>
  <w:style w:type="character" w:styleId="PlaceholderText">
    <w:name w:val="Placeholder Text"/>
    <w:basedOn w:val="DefaultParagraphFont"/>
    <w:uiPriority w:val="99"/>
    <w:semiHidden/>
    <w:rsid w:val="00551E38"/>
    <w:rPr>
      <w:color w:val="666666"/>
    </w:rPr>
  </w:style>
  <w:style w:type="paragraph" w:styleId="ListParagraph">
    <w:name w:val="List Paragraph"/>
    <w:basedOn w:val="Normal"/>
    <w:uiPriority w:val="34"/>
    <w:qFormat/>
    <w:rsid w:val="004E5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gxgroup.com/exchange/data/company-profile/?isin=NGOANDO00002&amp;directory=companydirectory"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gxgroup.com/exchange/data/company-profile/?isin=NGJAPAULOIL4&amp;directory=companydirectory"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ngxgroup.com/exchange/data/company-profile/?isin=NGETERNAOIL1&amp;directory=companydirectory"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ngxgroup.com/exchange/data/company-profile/?isin=NGCONOIL0003&amp;directory=companydirectory"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gxgroup.com/exchange/data/company-profile/?isin=NGSEPLAT0008&amp;directory=companydirect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gxgroup.com/exchange/data/company-profile/?isin=NGARADEL0004&amp;directory=companydirectory" TargetMode="External"/><Relationship Id="rId22" Type="http://schemas.openxmlformats.org/officeDocument/2006/relationships/footer" Target="footer4.xml"/><Relationship Id="rId27"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BE5FA-0B74-4534-8CA9-E95457B6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932</TotalTime>
  <Pages>10</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12</cp:revision>
  <cp:lastPrinted>1999-07-06T11:00:00Z</cp:lastPrinted>
  <dcterms:created xsi:type="dcterms:W3CDTF">2025-11-30T18:50:00Z</dcterms:created>
  <dcterms:modified xsi:type="dcterms:W3CDTF">2025-12-10T10:48:00Z</dcterms:modified>
</cp:coreProperties>
</file>