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335A1" w14:textId="77777777" w:rsidR="00A26576" w:rsidRDefault="00A26576" w:rsidP="00441B6F">
      <w:pPr>
        <w:pStyle w:val="Title"/>
        <w:spacing w:after="0"/>
        <w:jc w:val="both"/>
        <w:rPr>
          <w:rFonts w:ascii="Arial" w:hAnsi="Arial" w:cs="Arial"/>
        </w:rPr>
      </w:pPr>
      <w:bookmarkStart w:id="0" w:name="_Hlk213434965"/>
    </w:p>
    <w:p w14:paraId="0BBED1BA" w14:textId="482E2FDE" w:rsidR="00163BC4" w:rsidRPr="00163BC4" w:rsidRDefault="00E74029" w:rsidP="00441B6F">
      <w:pPr>
        <w:pStyle w:val="Author"/>
        <w:spacing w:line="240" w:lineRule="auto"/>
        <w:rPr>
          <w:rFonts w:ascii="Arial" w:hAnsi="Arial" w:cs="Arial"/>
          <w:bCs/>
          <w:iCs/>
          <w:kern w:val="28"/>
          <w:sz w:val="36"/>
        </w:rPr>
      </w:pPr>
      <w:r w:rsidRPr="00E74029">
        <w:rPr>
          <w:rFonts w:ascii="Arial" w:hAnsi="Arial" w:cs="Arial"/>
          <w:bCs/>
          <w:iCs/>
          <w:kern w:val="28"/>
          <w:sz w:val="36"/>
        </w:rPr>
        <w:t>Global Spillover Effects: Indonesia’s Stock Market Response to U.S. Monetary Policy Shifts</w:t>
      </w:r>
      <w:r>
        <w:rPr>
          <w:rFonts w:ascii="Arial" w:hAnsi="Arial" w:cs="Arial"/>
          <w:bCs/>
          <w:iCs/>
          <w:kern w:val="28"/>
          <w:sz w:val="36"/>
        </w:rPr>
        <w:t xml:space="preserve"> </w:t>
      </w:r>
    </w:p>
    <w:p w14:paraId="328087B1" w14:textId="77777777" w:rsidR="00A258C3" w:rsidRPr="00790ADA" w:rsidRDefault="00A258C3" w:rsidP="00441B6F">
      <w:pPr>
        <w:pStyle w:val="Author"/>
        <w:spacing w:line="240" w:lineRule="auto"/>
        <w:jc w:val="both"/>
        <w:rPr>
          <w:rFonts w:ascii="Arial" w:hAnsi="Arial" w:cs="Arial"/>
          <w:sz w:val="36"/>
        </w:rPr>
      </w:pPr>
    </w:p>
    <w:p w14:paraId="4966CFD5" w14:textId="77777777" w:rsidR="003D0A91" w:rsidRDefault="003D0A91" w:rsidP="00370402">
      <w:pPr>
        <w:pStyle w:val="Affiliation"/>
        <w:spacing w:after="0" w:line="240" w:lineRule="auto"/>
        <w:rPr>
          <w:rFonts w:ascii="Arial" w:hAnsi="Arial" w:cs="Arial"/>
          <w:i/>
        </w:rPr>
      </w:pPr>
    </w:p>
    <w:p w14:paraId="22E9D92D" w14:textId="77777777" w:rsidR="00790ADA" w:rsidRDefault="00790ADA" w:rsidP="00441B6F">
      <w:pPr>
        <w:pStyle w:val="Affiliation"/>
        <w:spacing w:after="0" w:line="240" w:lineRule="auto"/>
        <w:jc w:val="both"/>
        <w:rPr>
          <w:rFonts w:ascii="Arial" w:hAnsi="Arial" w:cs="Arial"/>
        </w:rPr>
      </w:pPr>
    </w:p>
    <w:p w14:paraId="003D488D" w14:textId="77777777" w:rsidR="002C57D2" w:rsidRPr="00FB3A86" w:rsidRDefault="002C57D2" w:rsidP="00441B6F">
      <w:pPr>
        <w:pStyle w:val="Affiliation"/>
        <w:spacing w:after="0" w:line="240" w:lineRule="auto"/>
        <w:jc w:val="both"/>
        <w:rPr>
          <w:rFonts w:ascii="Arial" w:hAnsi="Arial" w:cs="Arial"/>
        </w:rPr>
      </w:pPr>
    </w:p>
    <w:p w14:paraId="4A14FB59" w14:textId="77777777" w:rsidR="00B01FCD" w:rsidRPr="00FB3A86" w:rsidRDefault="00F443CF" w:rsidP="00441B6F">
      <w:pPr>
        <w:pStyle w:val="Copyright"/>
        <w:spacing w:after="0" w:line="240" w:lineRule="auto"/>
        <w:jc w:val="both"/>
        <w:rPr>
          <w:rFonts w:ascii="Arial" w:hAnsi="Arial" w:cs="Arial"/>
        </w:rPr>
        <w:sectPr w:rsidR="00B01FCD" w:rsidRPr="00FB3A86" w:rsidSect="00E6683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B829AC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1FB7308" w14:textId="2AB8334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78B8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080CB0C" w14:textId="77777777" w:rsidTr="001E44FE">
        <w:tc>
          <w:tcPr>
            <w:tcW w:w="9576" w:type="dxa"/>
            <w:shd w:val="clear" w:color="auto" w:fill="F2F2F2"/>
          </w:tcPr>
          <w:p w14:paraId="4940A82E" w14:textId="1124B92D" w:rsidR="00505F06" w:rsidRPr="00BA1B01" w:rsidRDefault="00E74029" w:rsidP="00441B6F">
            <w:pPr>
              <w:pStyle w:val="Body"/>
              <w:spacing w:after="0"/>
              <w:rPr>
                <w:rFonts w:ascii="Arial" w:eastAsia="Calibri" w:hAnsi="Arial" w:cs="Arial"/>
                <w:szCs w:val="22"/>
              </w:rPr>
            </w:pPr>
            <w:r w:rsidRPr="00D63AF7">
              <w:rPr>
                <w:rFonts w:ascii="Arial" w:eastAsia="Calibri" w:hAnsi="Arial" w:cs="Arial"/>
                <w:szCs w:val="22"/>
              </w:rPr>
              <w:t xml:space="preserve">Global economic developments, especially monetary policy in the United States (US), have a significant impact on the Indonesian economy. Shifts in US monetary policy can trigger changes in macroeconomic conditions and the dynamics of the Indonesian capital market, both conventional and sharia. This study aims to analyze how changes in US monetary policy affect the Indonesian economy and how US stock market movements impact the domestic stock market. Using the Structural </w:t>
            </w:r>
            <w:r w:rsidR="00310E8E">
              <w:rPr>
                <w:rFonts w:ascii="Arial" w:eastAsia="Calibri" w:hAnsi="Arial" w:cs="Arial"/>
                <w:szCs w:val="22"/>
              </w:rPr>
              <w:t xml:space="preserve">Vector </w:t>
            </w:r>
            <w:r w:rsidRPr="00D63AF7">
              <w:rPr>
                <w:rFonts w:ascii="Arial" w:eastAsia="Calibri" w:hAnsi="Arial" w:cs="Arial"/>
                <w:szCs w:val="22"/>
              </w:rPr>
              <w:t>Aut</w:t>
            </w:r>
            <w:r w:rsidR="00310E8E">
              <w:rPr>
                <w:rFonts w:ascii="Arial" w:eastAsia="Calibri" w:hAnsi="Arial" w:cs="Arial"/>
                <w:szCs w:val="22"/>
              </w:rPr>
              <w:t>or</w:t>
            </w:r>
            <w:r w:rsidRPr="00D63AF7">
              <w:rPr>
                <w:rFonts w:ascii="Arial" w:eastAsia="Calibri" w:hAnsi="Arial" w:cs="Arial"/>
                <w:szCs w:val="22"/>
              </w:rPr>
              <w:t>egression (SVAR) model, this study finds that changes in US monetary policy have a substantial long-term effect on Indonesia's economic stability. In addition, Indonesia's conventional and Sharia stock indices show a high dependence on the movement of the US stock index, which acts as the main reference in the global financial market. These findings underscore the importance of risk mitigation strategies for investors and policymakers in dealing with global market dynamics.</w:t>
            </w:r>
          </w:p>
        </w:tc>
      </w:tr>
    </w:tbl>
    <w:p w14:paraId="77FA5922" w14:textId="77777777" w:rsidR="00636EB2" w:rsidRDefault="00636EB2" w:rsidP="00441B6F">
      <w:pPr>
        <w:pStyle w:val="Body"/>
        <w:spacing w:after="0"/>
        <w:rPr>
          <w:rFonts w:ascii="Arial" w:hAnsi="Arial" w:cs="Arial"/>
          <w:i/>
        </w:rPr>
      </w:pPr>
    </w:p>
    <w:p w14:paraId="5A3A5C05" w14:textId="2BA68649" w:rsidR="00A24E7E" w:rsidRDefault="00A24E7E" w:rsidP="00441B6F">
      <w:pPr>
        <w:pStyle w:val="Body"/>
        <w:spacing w:after="0"/>
        <w:rPr>
          <w:rFonts w:ascii="Arial" w:hAnsi="Arial" w:cs="Arial"/>
          <w:i/>
        </w:rPr>
      </w:pPr>
      <w:r>
        <w:rPr>
          <w:rFonts w:ascii="Arial" w:hAnsi="Arial" w:cs="Arial"/>
          <w:i/>
        </w:rPr>
        <w:t xml:space="preserve">Keywords: </w:t>
      </w:r>
      <w:r w:rsidR="00E74029">
        <w:rPr>
          <w:rFonts w:ascii="Arial" w:hAnsi="Arial" w:cs="Arial"/>
          <w:i/>
        </w:rPr>
        <w:t xml:space="preserve">Monetary Policy, Higher for Longer, DJI, DJIM, IDX Composite, JII </w:t>
      </w:r>
    </w:p>
    <w:p w14:paraId="2B9358BB" w14:textId="199939F6" w:rsidR="0024282C" w:rsidRDefault="0024282C" w:rsidP="00441B6F">
      <w:pPr>
        <w:pStyle w:val="Body"/>
        <w:spacing w:after="0"/>
        <w:rPr>
          <w:rFonts w:ascii="Arial" w:hAnsi="Arial" w:cs="Arial"/>
          <w:i/>
          <w:sz w:val="18"/>
        </w:rPr>
      </w:pPr>
    </w:p>
    <w:p w14:paraId="4EBFB9E0" w14:textId="77777777" w:rsidR="00505F06" w:rsidRPr="00A24E7E" w:rsidRDefault="00505F06" w:rsidP="00441B6F">
      <w:pPr>
        <w:pStyle w:val="Body"/>
        <w:spacing w:after="0"/>
        <w:rPr>
          <w:rFonts w:ascii="Arial" w:hAnsi="Arial" w:cs="Arial"/>
          <w:i/>
        </w:rPr>
      </w:pPr>
    </w:p>
    <w:p w14:paraId="2C4AAC34" w14:textId="06FBF6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7BD1AF6" w14:textId="77777777" w:rsidR="00790ADA" w:rsidRPr="00FB3A86" w:rsidRDefault="00790ADA" w:rsidP="00441B6F">
      <w:pPr>
        <w:pStyle w:val="AbstHead"/>
        <w:spacing w:after="0"/>
        <w:jc w:val="both"/>
        <w:rPr>
          <w:rFonts w:ascii="Arial" w:hAnsi="Arial" w:cs="Arial"/>
        </w:rPr>
      </w:pPr>
    </w:p>
    <w:p w14:paraId="612EF93E" w14:textId="46CAB869"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Numerous facets of Indonesia's economy are significantly </w:t>
      </w:r>
      <w:r w:rsidR="00803335">
        <w:rPr>
          <w:rFonts w:ascii="Arial" w:hAnsi="Arial" w:cs="Arial"/>
        </w:rPr>
        <w:t>affected by global economic trends, particularly the relationship between domestic financial market performance</w:t>
      </w:r>
      <w:r w:rsidRPr="00D63AF7">
        <w:rPr>
          <w:rFonts w:ascii="Arial" w:hAnsi="Arial" w:cs="Arial"/>
        </w:rPr>
        <w:t xml:space="preserve"> and monetary policy in </w:t>
      </w:r>
      <w:proofErr w:type="spellStart"/>
      <w:r w:rsidRPr="00D63AF7">
        <w:rPr>
          <w:rFonts w:ascii="Arial" w:hAnsi="Arial" w:cs="Arial"/>
        </w:rPr>
        <w:t>industrialised</w:t>
      </w:r>
      <w:proofErr w:type="spellEnd"/>
      <w:r w:rsidRPr="00D63AF7">
        <w:rPr>
          <w:rFonts w:ascii="Arial" w:hAnsi="Arial" w:cs="Arial"/>
        </w:rPr>
        <w:t xml:space="preserve"> nations</w:t>
      </w:r>
      <w:r w:rsidR="00351490">
        <w:rPr>
          <w:rFonts w:ascii="Arial" w:hAnsi="Arial" w:cs="Arial"/>
        </w:rPr>
        <w:t>.</w:t>
      </w:r>
      <w:r w:rsidRPr="00351490">
        <w:rPr>
          <w:rFonts w:ascii="Arial" w:hAnsi="Arial" w:cs="Arial"/>
        </w:rPr>
        <w:t xml:space="preserve"> </w:t>
      </w:r>
      <w:r w:rsidR="000A47F1" w:rsidRPr="00351490">
        <w:rPr>
          <w:rFonts w:ascii="Arial" w:hAnsi="Arial" w:cs="Arial"/>
        </w:rPr>
        <w:t xml:space="preserve">As a developing country with </w:t>
      </w:r>
      <w:r w:rsidR="00803335">
        <w:rPr>
          <w:rFonts w:ascii="Arial" w:hAnsi="Arial" w:cs="Arial"/>
        </w:rPr>
        <w:t xml:space="preserve">a globally open economy, Indonesia is </w:t>
      </w:r>
      <w:r w:rsidR="000A47F1" w:rsidRPr="000A47F1">
        <w:rPr>
          <w:rFonts w:ascii="Arial" w:hAnsi="Arial" w:cs="Arial"/>
        </w:rPr>
        <w:t>highly vulnerable to global economic dynamics and policy shocks.</w:t>
      </w:r>
      <w:r w:rsidR="000A47F1">
        <w:rPr>
          <w:rFonts w:ascii="Arial" w:hAnsi="Arial" w:cs="Arial"/>
        </w:rPr>
        <w:t xml:space="preserve"> </w:t>
      </w:r>
      <w:r w:rsidRPr="00D63AF7">
        <w:rPr>
          <w:rFonts w:ascii="Arial" w:hAnsi="Arial" w:cs="Arial"/>
        </w:rPr>
        <w:t xml:space="preserve">For many central banks worldwide, maintaining financial stability and implementing monetary policy effectively continue to be top priorities </w:t>
      </w:r>
      <w:r w:rsidRPr="00D63AF7">
        <w:rPr>
          <w:rFonts w:ascii="Arial" w:hAnsi="Arial" w:cs="Arial"/>
        </w:rPr>
        <w:fldChar w:fldCharType="begin" w:fldLock="1"/>
      </w:r>
      <w:r w:rsidR="003E3217">
        <w:rPr>
          <w:rFonts w:ascii="Arial" w:hAnsi="Arial" w:cs="Arial"/>
        </w:rPr>
        <w:instrText>ADDIN CSL_CITATION {"citationItems":[{"id":"ITEM-1","itemData":{"DOI":"10.1057/s41294-020-00129-w","ISBN":"0123456789","ISSN":"14783320","abstract":"The relationship between monetary policy and financial stability has gained importance in recent years as Central Bank policy rates neared the zero-lower bound. We use an SVAR model to study the impact of monetary policy shocks on three proxies for financial stability as well as a proxy for economic growth. Monetary policy is represented by policy rates for the emerging market economies and shadow rates for the advanced economies in our paper. Our main results show that monetary policy may be used to correct asset mispricing, to control fluctuations in the real business cycle and also to tame credit cycles in the majority of cases. Our results also show that for the majority of cases, in line with conventional wisdom, local currencies appreciate following a positive monetary policy shock. Monetary policy intervention may indeed be successful in contributing to or achieving financial stability. The results, however, show that monetary policy may not have the ability to maintain or re-establish financial stability in all cases. Alternative policy choices such as macroprudential policy tool frameworks which are aimed at targeting the financial system as a whole may be implemented as a means of fortifying the economy.","author":[{"dropping-particle":"","family":"Venter","given":"Zoë","non-dropping-particle":"","parse-names":false,"suffix":""}],"container-title":"Comparative Economic Studies","id":"ITEM-1","issue":"3","issued":{"date-parts":[["2020"]]},"number-of-pages":"521-554","publisher":"Palgrave Macmillan UK","title":"The Interaction Between Conventional Monetary Policy and Financial Stability: Chile, Colombia, Japan, Portugal and the UK","type":"book","volume":"62"},"uris":["http://www.mendeley.com/documents/?uuid=767577e2-6c3a-4e3b-978c-0b7ae78e1948"]}],"mendeley":{"formattedCitation":"(Venter, 2020)","plainTextFormattedCitation":"(Venter, 2020)","previouslyFormattedCitation":"(Venter, 2020)"},"properties":{"noteIndex":0},"schema":"https://github.com/citation-style-language/schema/raw/master/csl-citation.json"}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(Venter, 2020)</w:t>
      </w:r>
      <w:r w:rsidRPr="00D63AF7">
        <w:rPr>
          <w:rFonts w:ascii="Arial" w:hAnsi="Arial" w:cs="Arial"/>
        </w:rPr>
        <w:fldChar w:fldCharType="end"/>
      </w:r>
      <w:r w:rsidRPr="00D63AF7">
        <w:rPr>
          <w:rFonts w:ascii="Arial" w:hAnsi="Arial" w:cs="Arial"/>
        </w:rPr>
        <w:t xml:space="preserve">. One of the monetary policies that has a wide influence is the change in the Federal Funds Rate (FFR) set by the United States Federal Reserve (The Fed). The FFR is a benchmark interest rate that functions as the main instrument in controlling liquidity and economic stability in the United States. </w:t>
      </w:r>
      <w:r w:rsidRPr="00D63AF7">
        <w:rPr>
          <w:rFonts w:ascii="Arial" w:hAnsi="Arial" w:cs="Arial"/>
        </w:rPr>
        <w:fldChar w:fldCharType="begin" w:fldLock="1"/>
      </w:r>
      <w:r w:rsidR="003E3217">
        <w:rPr>
          <w:rFonts w:ascii="Arial" w:hAnsi="Arial" w:cs="Arial"/>
        </w:rPr>
        <w:instrText>ADDIN CSL_CITATION {"citationItems":[{"id":"ITEM-1","itemData":{"ISSN":"18157556","abstract":"The Federal Reserve faces a dilemma with respect to financial stability. On the one hand, the simplest interpretation of its mandate gives the Federal Reserve a limited role in addressing financial stability risks. On the other hand, monetary policy can interact with financial stability considerations. Hence, the Federal Reserve cannot ignore financial stability and has strong incentives to ensure that risks are not only identified but also addressed. Given that no part of the U.S. government can mitigate all of the threats identified by the Fed, we argue that Congress should evaluate the effectiveness of the post-crisis regulatory reforms.","author":[{"dropping-particle":"","family":"Kashyap","given":"Anil K.","non-dropping-particle":"","parse-names":false,"suffix":""},{"dropping-particle":"","family":"Siegert","given":"Caspar","non-dropping-particle":"","parse-names":false,"suffix":""}],"container-title":"International Journal of Central Banking","id":"ITEM-1","issue":"1","issued":{"date-parts":[["2020"]]},"page":"231-266","title":"Financial stability considerations and monetary policy","type":"article-journal","volume":"16"},"uris":["http://www.mendeley.com/documents/?uuid=690a419f-b9a5-4824-b388-c155b7aec6c5"]}],"mendeley":{"formattedCitation":"(Kashyap &amp; Siegert, 2020)","plainTextFormattedCitation":"(Kashyap &amp; Siegert, 2020)","previouslyFormattedCitation":"(Kashyap &amp; Siegert, 2020)"},"properties":{"noteIndex":0},"schema":"https://github.com/citation-style-language/schema/raw/master/csl-citation.json"}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(Kashyap &amp; Siegert, 2020)</w:t>
      </w:r>
      <w:r w:rsidRPr="00D63AF7">
        <w:rPr>
          <w:rFonts w:ascii="Arial" w:hAnsi="Arial" w:cs="Arial"/>
        </w:rPr>
        <w:fldChar w:fldCharType="end"/>
      </w:r>
      <w:r w:rsidRPr="00D63AF7">
        <w:rPr>
          <w:rFonts w:ascii="Arial" w:hAnsi="Arial" w:cs="Arial"/>
        </w:rPr>
        <w:t>. Changes in the FFR are often responded to by global financial markets, including financial markets in Indonesia</w:t>
      </w:r>
      <w:r w:rsidR="00351490">
        <w:rPr>
          <w:rFonts w:ascii="Arial" w:hAnsi="Arial" w:cs="Arial"/>
        </w:rPr>
        <w:t xml:space="preserve"> </w:t>
      </w:r>
      <w:r w:rsidR="00351490" w:rsidRPr="00351490">
        <w:rPr>
          <w:rFonts w:ascii="Arial" w:hAnsi="Arial" w:cs="Arial"/>
          <w:i/>
        </w:rPr>
        <w:fldChar w:fldCharType="begin" w:fldLock="1"/>
      </w:r>
      <w:r w:rsidR="003E3217">
        <w:rPr>
          <w:rFonts w:ascii="Arial" w:hAnsi="Arial" w:cs="Arial"/>
          <w:i/>
        </w:rPr>
        <w:instrText>ADDIN CSL_CITATION {"citationItems":[{"id":"ITEM-1","itemData":{"abstract":"The Interest in Bitcoin is increasing both in cryptocurrency exchanges and academic studies. Studies generally take into account financial asset variables that are thought to have an impact on the price of Bitcoin. In this study, it was used the monetary policy uncertainty indices based on the terms of the newspaper news about monetary policy uncertainty (MPU). In the study, it was analyzed the monthly data of the Bitcoin price and the US and Japanese monetary policy uncertainty indices by using the Hatemi-J (2012) asymmetric causality test in period of the August 2010 and August 2020. The study findings show that there is no causality between US and Japanese monetary policy uncertainty and Bitcoin prices. During the study period, it was concluded that there is no relationship between the news about US and Japanese monetary policy uncertainty and Bitcoin prices.","author":[{"dropping-particle":"","family":"Gursoy","given":"Samet","non-dropping-particle":"","parse-names":false,"suffix":""}],"container-title":"Yalova Üniversitesi Sosyal Bilimler Dergisi","id":"ITEM-1","issue":"1","issued":{"date-parts":[["2021"]]},"page":"7-16","title":"The Effect of The Monetary Policy Uncertainty of US and Japan on Bitcoin Price","type":"article-journal","volume":"11"},"uris":["http://www.mendeley.com/documents/?uuid=f3d48fff-71dd-4f53-a39e-8dcdb100fc3b"]}],"mendeley":{"formattedCitation":"(Gursoy, 2021)","plainTextFormattedCitation":"(Gursoy, 2021)","previouslyFormattedCitation":"(Gursoy, 2021)"},"properties":{"noteIndex":0},"schema":"https://github.com/citation-style-language/schema/raw/master/csl-citation.json"}</w:instrText>
      </w:r>
      <w:r w:rsidR="00351490" w:rsidRPr="00351490">
        <w:rPr>
          <w:rFonts w:ascii="Arial" w:hAnsi="Arial" w:cs="Arial"/>
          <w:i/>
        </w:rPr>
        <w:fldChar w:fldCharType="separate"/>
      </w:r>
      <w:r w:rsidR="006D3F92" w:rsidRPr="006D3F92">
        <w:rPr>
          <w:rFonts w:ascii="Arial" w:hAnsi="Arial" w:cs="Arial"/>
          <w:noProof/>
        </w:rPr>
        <w:t>(Gursoy, 2021)</w:t>
      </w:r>
      <w:r w:rsidR="00351490" w:rsidRPr="00351490">
        <w:rPr>
          <w:rFonts w:ascii="Arial" w:hAnsi="Arial" w:cs="Arial"/>
          <w:i/>
        </w:rPr>
        <w:fldChar w:fldCharType="end"/>
      </w:r>
      <w:r w:rsidR="00351490" w:rsidRPr="00351490">
        <w:rPr>
          <w:rFonts w:ascii="Arial" w:hAnsi="Arial" w:cs="Arial"/>
        </w:rPr>
        <w:t>.</w:t>
      </w:r>
    </w:p>
    <w:p w14:paraId="621CB875" w14:textId="77777777" w:rsidR="00E26D45" w:rsidRPr="00D63AF7" w:rsidRDefault="00E26D45" w:rsidP="00E26D45">
      <w:pPr>
        <w:pBdr>
          <w:top w:val="nil"/>
          <w:left w:val="nil"/>
          <w:bottom w:val="nil"/>
          <w:right w:val="nil"/>
          <w:between w:val="nil"/>
        </w:pBdr>
        <w:contextualSpacing/>
        <w:jc w:val="center"/>
        <w:rPr>
          <w:rFonts w:ascii="Arial" w:hAnsi="Arial" w:cs="Arial"/>
        </w:rPr>
      </w:pPr>
      <w:r w:rsidRPr="00D63AF7">
        <w:rPr>
          <w:rFonts w:ascii="Arial" w:hAnsi="Arial" w:cs="Arial"/>
          <w:noProof/>
        </w:rPr>
        <w:lastRenderedPageBreak/>
        <w:drawing>
          <wp:inline distT="0" distB="0" distL="0" distR="0" wp14:anchorId="6C23A382" wp14:editId="6B6DA19A">
            <wp:extent cx="3657600" cy="2052890"/>
            <wp:effectExtent l="0" t="0" r="0" b="0"/>
            <wp:docPr id="633316048" name="Picture 4" descr="A blue line graph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16048" name="Picture 4" descr="A blue line graph with number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8671" cy="2092780"/>
                    </a:xfrm>
                    <a:prstGeom prst="rect">
                      <a:avLst/>
                    </a:prstGeom>
                    <a:noFill/>
                    <a:ln>
                      <a:noFill/>
                    </a:ln>
                  </pic:spPr>
                </pic:pic>
              </a:graphicData>
            </a:graphic>
          </wp:inline>
        </w:drawing>
      </w:r>
    </w:p>
    <w:p w14:paraId="02DD40CA" w14:textId="77777777" w:rsidR="00E26D45" w:rsidRPr="00D63AF7" w:rsidRDefault="00E26D45" w:rsidP="00E26D45">
      <w:pPr>
        <w:pBdr>
          <w:top w:val="nil"/>
          <w:left w:val="nil"/>
          <w:bottom w:val="nil"/>
          <w:right w:val="nil"/>
          <w:between w:val="nil"/>
        </w:pBdr>
        <w:contextualSpacing/>
        <w:jc w:val="center"/>
        <w:rPr>
          <w:rFonts w:ascii="Arial" w:hAnsi="Arial" w:cs="Arial"/>
          <w:b/>
          <w:bCs/>
        </w:rPr>
      </w:pPr>
      <w:r w:rsidRPr="00D63AF7">
        <w:rPr>
          <w:rFonts w:ascii="Arial" w:hAnsi="Arial" w:cs="Arial"/>
          <w:b/>
          <w:bCs/>
        </w:rPr>
        <w:t>Figure 1. Federal Fund Rate Trend</w:t>
      </w:r>
    </w:p>
    <w:p w14:paraId="7D0B4884" w14:textId="77777777" w:rsidR="00E26D45" w:rsidRPr="00D63AF7" w:rsidRDefault="00E26D45" w:rsidP="00E26D45">
      <w:pPr>
        <w:pBdr>
          <w:top w:val="nil"/>
          <w:left w:val="nil"/>
          <w:bottom w:val="nil"/>
          <w:right w:val="nil"/>
          <w:between w:val="nil"/>
        </w:pBdr>
        <w:contextualSpacing/>
        <w:jc w:val="center"/>
        <w:rPr>
          <w:rFonts w:ascii="Arial" w:hAnsi="Arial" w:cs="Arial"/>
        </w:rPr>
      </w:pPr>
      <w:r w:rsidRPr="00D63AF7">
        <w:rPr>
          <w:rFonts w:ascii="Arial" w:hAnsi="Arial" w:cs="Arial"/>
        </w:rPr>
        <w:t>Source: databoks.katadata.co.id</w:t>
      </w:r>
    </w:p>
    <w:p w14:paraId="34E9E691" w14:textId="77777777" w:rsidR="00E26D45" w:rsidRPr="00D63AF7" w:rsidRDefault="00E26D45" w:rsidP="00E26D45">
      <w:pPr>
        <w:pBdr>
          <w:top w:val="nil"/>
          <w:left w:val="nil"/>
          <w:bottom w:val="nil"/>
          <w:right w:val="nil"/>
          <w:between w:val="nil"/>
        </w:pBdr>
        <w:contextualSpacing/>
        <w:jc w:val="center"/>
        <w:rPr>
          <w:rFonts w:ascii="Arial" w:hAnsi="Arial" w:cs="Arial"/>
        </w:rPr>
      </w:pPr>
    </w:p>
    <w:p w14:paraId="0C3F27C3" w14:textId="27279524" w:rsidR="00E26D45"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Over the past few years, the FFR trend shown in Figure 1 above has tended to increase</w:t>
      </w:r>
      <w:r w:rsidR="00C63C25">
        <w:rPr>
          <w:rFonts w:ascii="Arial" w:hAnsi="Arial" w:cs="Arial"/>
        </w:rPr>
        <w:t>,</w:t>
      </w:r>
      <w:r w:rsidRPr="00D63AF7">
        <w:rPr>
          <w:rFonts w:ascii="Arial" w:hAnsi="Arial" w:cs="Arial"/>
        </w:rPr>
        <w:t xml:space="preserve"> where at the beginning of the 2021 period</w:t>
      </w:r>
      <w:r w:rsidR="00C63C25">
        <w:rPr>
          <w:rFonts w:ascii="Arial" w:hAnsi="Arial" w:cs="Arial"/>
        </w:rPr>
        <w:t>,</w:t>
      </w:r>
      <w:r w:rsidRPr="00D63AF7">
        <w:rPr>
          <w:rFonts w:ascii="Arial" w:hAnsi="Arial" w:cs="Arial"/>
        </w:rPr>
        <w:t xml:space="preserve"> the FFR value was 0.09 percent, then in the third quarter of 2021 to February 2022</w:t>
      </w:r>
      <w:r w:rsidR="00C63C25">
        <w:rPr>
          <w:rFonts w:ascii="Arial" w:hAnsi="Arial" w:cs="Arial"/>
        </w:rPr>
        <w:t>,</w:t>
      </w:r>
      <w:r w:rsidRPr="00D63AF7">
        <w:rPr>
          <w:rFonts w:ascii="Arial" w:hAnsi="Arial" w:cs="Arial"/>
        </w:rPr>
        <w:t xml:space="preserve"> the FFR value stagnated at 0.8 percent and continued to decline until the end of the first quarter period. However, since the second quarter of 2022, the FFR has continued to increase from 0.77 percent to 5.33 percent at the end of the 2023 period. This trend is due to several main factors related to economic conditions and monetary policy. After the COVID-19 pandemic, the United States economy has shown signs of strong recovery, resulting in a rise in inflation and a greater demand for products and services </w:t>
      </w:r>
      <w:r w:rsidRPr="00D63AF7">
        <w:rPr>
          <w:rFonts w:ascii="Arial" w:hAnsi="Arial" w:cs="Arial"/>
        </w:rPr>
        <w:fldChar w:fldCharType="begin" w:fldLock="1"/>
      </w:r>
      <w:r w:rsidR="003E3217">
        <w:rPr>
          <w:rFonts w:ascii="Arial" w:hAnsi="Arial" w:cs="Arial"/>
        </w:rPr>
        <w:instrText>ADDIN CSL_CITATION {"citationItems":[{"id":"ITEM-1","itemData":{"DOI":"10.2139/ssrn.4682305","author":[{"dropping-particle":"","family":"Doh","given":"Taeyoung","non-dropping-particle":"","parse-names":false,"suffix":""},{"dropping-particle":"","family":"Yang","given":"Choongryul","non-dropping-particle":"","parse-names":false,"suffix":""}],"container-title":"SSRN Electronic Journal","id":"ITEM-1","issue":"December","issued":{"date-parts":[["2024"]]},"title":"Shocks, Frictions, and Policy Regimes: Understanding Inflation after the COVID-19 Pandemic","type":"article-journal"},"uris":["http://www.mendeley.com/documents/?uuid=0d32b715-a297-47d9-bf66-054eadc58eb1"]}],"mendeley":{"formattedCitation":"(Doh &amp; Yang, 2024)","plainTextFormattedCitation":"(Doh &amp; Yang, 2024)","previouslyFormattedCitation":"(Doh &amp; Yang, 2024)"},"properties":{"noteIndex":0},"schema":"https://github.com/citation-style-language/schema/raw/master/csl-citation.json"}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(Doh &amp; Yang, 2024)</w:t>
      </w:r>
      <w:r w:rsidRPr="00D63AF7">
        <w:rPr>
          <w:rFonts w:ascii="Arial" w:hAnsi="Arial" w:cs="Arial"/>
        </w:rPr>
        <w:fldChar w:fldCharType="end"/>
      </w:r>
      <w:r w:rsidRPr="00D63AF7">
        <w:rPr>
          <w:rFonts w:ascii="Arial" w:hAnsi="Arial" w:cs="Arial"/>
        </w:rPr>
        <w:t xml:space="preserve">. To control rising inflation, the Fed began raising interest rates </w:t>
      </w:r>
      <w:r w:rsidRPr="00D63AF7">
        <w:rPr>
          <w:rFonts w:ascii="Arial" w:hAnsi="Arial" w:cs="Arial"/>
        </w:rPr>
        <w:fldChar w:fldCharType="begin" w:fldLock="1"/>
      </w:r>
      <w:r w:rsidR="003E3217">
        <w:rPr>
          <w:rFonts w:ascii="Arial" w:hAnsi="Arial" w:cs="Arial"/>
        </w:rPr>
        <w:instrText>ADDIN CSL_CITATION {"citationItems":[{"id":"ITEM-1","itemData":{"DOI":"10.2139/ssrn.4533233","ISSN":"18157556","author":[{"dropping-particle":"","family":"Clarida","given":"Richard H.","non-dropping-particle":"","parse-names":false,"suffix":""}],"container-title":"SSRN Electronic Journal","id":"ITEM-1","issued":{"date-parts":[["2023"]]},"page":"1-16","title":"US Monetary Policy and the Return to Price Stability","type":"article-journal"},"uris":["http://www.mendeley.com/documents/?uuid=be2f7cc2-e40e-4566-a6ad-8a834f2185ce"]}],"mendeley":{"formattedCitation":"(Clarida, 2023)","plainTextFormattedCitation":"(Clarida, 2023)","previouslyFormattedCitation":"(Clarida, 2023)"},"properties":{"noteIndex":0},"schema":"https://github.com/citation-style-language/schema/raw/master/csl-citation.json"}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(Clarida, 2023)</w:t>
      </w:r>
      <w:r w:rsidRPr="00D63AF7">
        <w:rPr>
          <w:rFonts w:ascii="Arial" w:hAnsi="Arial" w:cs="Arial"/>
        </w:rPr>
        <w:fldChar w:fldCharType="end"/>
      </w:r>
      <w:r w:rsidRPr="00D63AF7">
        <w:rPr>
          <w:rFonts w:ascii="Arial" w:hAnsi="Arial" w:cs="Arial"/>
        </w:rPr>
        <w:t xml:space="preserve">. High inflation was triggered by disruptions to the global supply chain, changes in people's consumption behavior from services to goods, Russia's invasion of Ukraine, the housing market, and the rise in remote work </w:t>
      </w:r>
      <w:r w:rsidRPr="00D63AF7">
        <w:rPr>
          <w:rFonts w:ascii="Arial" w:hAnsi="Arial" w:cs="Arial"/>
        </w:rPr>
        <w:fldChar w:fldCharType="begin" w:fldLock="1"/>
      </w:r>
      <w:r w:rsidR="003E3217">
        <w:rPr>
          <w:rFonts w:ascii="Arial" w:hAnsi="Arial" w:cs="Arial"/>
        </w:rPr>
        <w:instrText>ADDIN CSL_CITATION {"citationItems":[{"id":"ITEM-1","itemData":{"abstract":"Chair McClain, ranking member Porter, and distinguished members of the subcommittee: Thank you for inviting me to testify at this hearing. My name is Mike Konczal, and I'm the Director of Macroeconomic Analysis at the Roosevelt Institute. I've led our organization's research on the economic recoveries from both the Great Recession and the recent recession following the start of the COVID-19 pandemic. Today, I'm going to speak about the most recent recovery, the causes of inflation that have been unique to this recovery, the progress we've made in bringing down inflation so far, and what Congress and the administration can do to further bring down inflation. The Recovery First, it's important to remember that this recovery has been strong. The economy has added more than 12 million jobs over the past two years-a rate of 517,000 jobs per month since President Biden took office. There are now 4 million more jobs than the February 2021 Congressional Budget Office (CBO) projection, with unemployment 1.5 percent lower and labor force participation 0.2 percent higher than what the CBO estimated would have happened without the American Rescue Plan. Measures of labor market dynamism-which had been depressed for decades before the COVID-19 pandemic-have skyrocketed, allowing workers to move up the career ladder and quit their jobs to seek new, better-paying, and more productive ones. We've seen many headlines illustrating this trend, such as a recent one in The Atlantic: \"Low-Wage Jobs Are Becoming Middle-Class Jobs\" (Lowrey 2023). In contrast to previous recessions, we are also recovering to the pre-COVID macroeconomic trend, with real GDP close to projections of where it would have been without the pandemic. Inflation In addition to the speed of this recovery, however, we've also experienced inflation that has been higher and more sustained than economists, financial markets, and the Federal Reserve anticipated. Because inflation and any interventions around it have real impacts on people and communities, this is a subject that requires serious analysis and responses.","author":[{"dropping-particle":"","family":"Konczal","given":"Mike","non-dropping-particle":"","parse-names":false,"suffix":""}],"id":"ITEM-1","issued":{"date-parts":[["2023"]]},"page":"1-8","title":"Inflation in 2023: Causes, Progress, and Solutions","type":"article-journal"},"uris":["http://www.mendeley.com/documents/?uuid=81d8c102-808e-48a1-9653-471d54812fc2"]}],"mendeley":{"formattedCitation":"(Konczal, 2023)","plainTextFormattedCitation":"(Konczal, 2023)","previouslyFormattedCitation":"(Konczal, 2023)"},"properties":{"noteIndex":0},"schema":"https://github.com/citation-style-language/schema/raw/master/csl-citation.json"}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(Konczal, 2023)</w:t>
      </w:r>
      <w:r w:rsidRPr="00D63AF7">
        <w:rPr>
          <w:rFonts w:ascii="Arial" w:hAnsi="Arial" w:cs="Arial"/>
        </w:rPr>
        <w:fldChar w:fldCharType="end"/>
      </w:r>
      <w:r w:rsidRPr="00D63AF7">
        <w:rPr>
          <w:rFonts w:ascii="Arial" w:hAnsi="Arial" w:cs="Arial"/>
        </w:rPr>
        <w:t xml:space="preserve">. In addition, Figure 2 below shows that a strong labor market with low unemployment contributes to inflationary pressures, as competition for labor drives up wages. This is in line with the Phillips Curve theory, which predicts that prices will rise as aggregate demand rises. Because </w:t>
      </w:r>
      <w:proofErr w:type="spellStart"/>
      <w:r w:rsidRPr="00D63AF7">
        <w:rPr>
          <w:rFonts w:ascii="Arial" w:hAnsi="Arial" w:cs="Arial"/>
        </w:rPr>
        <w:t>labour</w:t>
      </w:r>
      <w:proofErr w:type="spellEnd"/>
      <w:r w:rsidRPr="00D63AF7">
        <w:rPr>
          <w:rFonts w:ascii="Arial" w:hAnsi="Arial" w:cs="Arial"/>
        </w:rPr>
        <w:t xml:space="preserve"> is the only resource that can raise output, companies attempt to meet demand by increasing production capacity through more </w:t>
      </w:r>
      <w:proofErr w:type="spellStart"/>
      <w:r w:rsidRPr="00D63AF7">
        <w:rPr>
          <w:rFonts w:ascii="Arial" w:hAnsi="Arial" w:cs="Arial"/>
        </w:rPr>
        <w:t>labour</w:t>
      </w:r>
      <w:proofErr w:type="spellEnd"/>
      <w:r w:rsidRPr="00D63AF7">
        <w:rPr>
          <w:rFonts w:ascii="Arial" w:hAnsi="Arial" w:cs="Arial"/>
        </w:rPr>
        <w:t xml:space="preserve"> as prices rise (inflation). Consequently, the rise in </w:t>
      </w:r>
      <w:proofErr w:type="spellStart"/>
      <w:r w:rsidRPr="00D63AF7">
        <w:rPr>
          <w:rFonts w:ascii="Arial" w:hAnsi="Arial" w:cs="Arial"/>
        </w:rPr>
        <w:t>labour</w:t>
      </w:r>
      <w:proofErr w:type="spellEnd"/>
      <w:r w:rsidRPr="00D63AF7">
        <w:rPr>
          <w:rFonts w:ascii="Arial" w:hAnsi="Arial" w:cs="Arial"/>
        </w:rPr>
        <w:t xml:space="preserve"> demand lowers unemployment and leads to more price increases (inflation) </w:t>
      </w:r>
      <w:r w:rsidRPr="00D63AF7">
        <w:rPr>
          <w:rFonts w:ascii="Arial" w:hAnsi="Arial" w:cs="Arial"/>
        </w:rPr>
        <w:fldChar w:fldCharType="begin" w:fldLock="1"/>
      </w:r>
      <w:r w:rsidR="003E3217">
        <w:rPr>
          <w:rFonts w:ascii="Arial" w:hAnsi="Arial" w:cs="Arial"/>
        </w:rPr>
        <w:instrText>ADDIN CSL_CITATION {"citationItems":[{"id":"ITEM-1","itemData":{"abstract":"This research was carried out using annual report data on the employment level and Consumer Price Index obtained from Indonesian Statistics Book of 1980-2016 published by Central Bureau of Statistics (BPS, Ind) aimed to look into the relationship between unemployment and inflation in Indonesia in the period of year 1980 – 2016. The analysis method used is Vector Error Correction Model (VECM), which is a restricted VAR model, because of the existing cointegration that presented the long period relationship between the unemployment and inflation variable rate in VAR model. VECM could analyse the long and short period inter variable relationship. The result of the analysis showed the significant presence of negative relationship with the IHK within the short period of the lag 2 unemployment variable rate. Hence, within three years (lag 3) the IHK variable and the unemployment rate significantly affected each other with a positive relationshipship. In the long period, the unemployment rate variable had a positive influence to the IHK variable. Furthermore, the Impluse Response Function (IRF) explained the effect of the shock on one variable towards another variable. At the first to the second period the IHK variable had not responded to the given shock, while it experienced a negative decrease in the third period. At the fourth period the IHK variable responded towards the positive, and then the trend pointed out at a positive realationship until the tenth period.","author":[{"dropping-particle":"","family":"Ruchba","given":"Sarastri Mumpuni","non-dropping-particle":"","parse-names":false,"suffix":""},{"dropping-particle":"","family":"Hadiyan","given":"Fakhry","non-dropping-particle":"","parse-names":false,"suffix":""}],"container-title":"Proceeding of The 3rd International Conference on Accounting, Business &amp; Economics","id":"ITEM-1","issued":{"date-parts":[["2019"]]},"page":"111-122","title":"Analysis on Unemployment and Inflation in Indonesia for The Periode of 1980 -2016 using Philipps Curve Approach","type":"article-journal"},"uris":["http://www.mendeley.com/documents/?uuid=9d920023-1e4c-4572-b73d-ea39e1195d11"]}],"mendeley":{"formattedCitation":"(Ruchba &amp; Hadiyan, 2019)","plainTextFormattedCitation":"(Ruchba &amp; Hadiyan, 2019)","previouslyFormattedCitation":"(Ruchba &amp; Hadiyan, 2019)"},"properties":{"noteIndex":0},"schema":"https://github.com/citation-style-language/schema/raw/master/csl-citation.json"}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(Ruchba &amp; Hadiyan, 2019)</w:t>
      </w:r>
      <w:r w:rsidRPr="00D63AF7">
        <w:rPr>
          <w:rFonts w:ascii="Arial" w:hAnsi="Arial" w:cs="Arial"/>
        </w:rPr>
        <w:fldChar w:fldCharType="end"/>
      </w:r>
      <w:r w:rsidRPr="00D63AF7">
        <w:rPr>
          <w:rFonts w:ascii="Arial" w:hAnsi="Arial" w:cs="Arial"/>
        </w:rPr>
        <w:t xml:space="preserve">. </w:t>
      </w:r>
    </w:p>
    <w:p w14:paraId="297B2AAD" w14:textId="77777777" w:rsidR="00370402" w:rsidRPr="00D63AF7" w:rsidRDefault="00370402" w:rsidP="00E26D45">
      <w:pPr>
        <w:pBdr>
          <w:top w:val="nil"/>
          <w:left w:val="nil"/>
          <w:bottom w:val="nil"/>
          <w:right w:val="nil"/>
          <w:between w:val="nil"/>
        </w:pBdr>
        <w:contextualSpacing/>
        <w:jc w:val="both"/>
        <w:rPr>
          <w:rFonts w:ascii="Arial" w:hAnsi="Arial" w:cs="Arial"/>
        </w:rPr>
      </w:pPr>
    </w:p>
    <w:p w14:paraId="6DE52A92" w14:textId="77777777" w:rsidR="00E26D45" w:rsidRPr="00D63AF7" w:rsidRDefault="00E26D45" w:rsidP="00D63AF7">
      <w:pPr>
        <w:pBdr>
          <w:top w:val="nil"/>
          <w:left w:val="nil"/>
          <w:bottom w:val="nil"/>
          <w:right w:val="nil"/>
          <w:between w:val="nil"/>
        </w:pBdr>
        <w:contextualSpacing/>
        <w:jc w:val="center"/>
        <w:rPr>
          <w:rFonts w:ascii="Arial" w:hAnsi="Arial" w:cs="Arial"/>
        </w:rPr>
      </w:pPr>
      <w:r w:rsidRPr="00D63AF7">
        <w:rPr>
          <w:rFonts w:ascii="Arial" w:hAnsi="Arial" w:cs="Arial"/>
          <w:noProof/>
        </w:rPr>
        <w:drawing>
          <wp:inline distT="0" distB="0" distL="0" distR="0" wp14:anchorId="1B6CE3EC" wp14:editId="01E879BF">
            <wp:extent cx="3144982" cy="2149153"/>
            <wp:effectExtent l="0" t="0" r="0" b="0"/>
            <wp:docPr id="1819978114" name="Picture 1" descr="A graph showing the growth of the us curr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78114" name="Picture 1" descr="A graph showing the growth of the us currency&#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3281" cy="2175325"/>
                    </a:xfrm>
                    <a:prstGeom prst="rect">
                      <a:avLst/>
                    </a:prstGeom>
                    <a:noFill/>
                    <a:ln>
                      <a:noFill/>
                    </a:ln>
                  </pic:spPr>
                </pic:pic>
              </a:graphicData>
            </a:graphic>
          </wp:inline>
        </w:drawing>
      </w:r>
    </w:p>
    <w:p w14:paraId="0B9F0EDD" w14:textId="77777777" w:rsidR="00E26D45" w:rsidRPr="00D63AF7" w:rsidRDefault="00E26D45" w:rsidP="00E26D45">
      <w:pPr>
        <w:pBdr>
          <w:top w:val="nil"/>
          <w:left w:val="nil"/>
          <w:bottom w:val="nil"/>
          <w:right w:val="nil"/>
          <w:between w:val="nil"/>
        </w:pBdr>
        <w:contextualSpacing/>
        <w:jc w:val="center"/>
        <w:rPr>
          <w:rFonts w:ascii="Arial" w:hAnsi="Arial" w:cs="Arial"/>
          <w:b/>
          <w:bCs/>
        </w:rPr>
      </w:pPr>
      <w:r w:rsidRPr="00D63AF7">
        <w:rPr>
          <w:rFonts w:ascii="Arial" w:hAnsi="Arial" w:cs="Arial"/>
          <w:b/>
          <w:bCs/>
        </w:rPr>
        <w:t>Figure 2. The Trend Between US Inflation and Unemployment</w:t>
      </w:r>
    </w:p>
    <w:p w14:paraId="7009F672" w14:textId="77777777" w:rsidR="00E26D45" w:rsidRPr="00D63AF7" w:rsidRDefault="00E26D45" w:rsidP="00E26D45">
      <w:pPr>
        <w:pBdr>
          <w:top w:val="nil"/>
          <w:left w:val="nil"/>
          <w:bottom w:val="nil"/>
          <w:right w:val="nil"/>
          <w:between w:val="nil"/>
        </w:pBdr>
        <w:contextualSpacing/>
        <w:jc w:val="center"/>
        <w:rPr>
          <w:rFonts w:ascii="Arial" w:hAnsi="Arial" w:cs="Arial"/>
        </w:rPr>
      </w:pPr>
      <w:r w:rsidRPr="00D63AF7">
        <w:rPr>
          <w:rFonts w:ascii="Arial" w:hAnsi="Arial" w:cs="Arial"/>
        </w:rPr>
        <w:t>Source: tradingeconomics.com</w:t>
      </w:r>
    </w:p>
    <w:p w14:paraId="49405C2A" w14:textId="77777777"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lastRenderedPageBreak/>
        <w:tab/>
      </w:r>
    </w:p>
    <w:p w14:paraId="451C8EB3" w14:textId="77777777"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Long-term inflation expectations also influence the Fed's decision, as interest rate hikes are needed to affirm a commitment to price stability and prevent further inflationary spirals. From trend chart 2 above, it can be seen that the inflation trend in the United States tends to fluctuate. Since the second quarter until the end of 2022, the inflation rate has continued to increase. The highest inflation rate occurred in mid-2022, precisely in June, with a figure of 9.1 percent. However, since the end of 2022, the inflation trend in the United States has continued to decline to reach 3.2 percent at the end of 2023. This indicates that the Fed, through its monetary policy, has succeeded in reducing liquidity and suppressing the inflation rate to stabilize the United States economy. According to Friedman, </w:t>
      </w:r>
      <w:r w:rsidRPr="00D63AF7">
        <w:rPr>
          <w:rFonts w:ascii="Arial" w:hAnsi="Arial" w:cs="Arial"/>
        </w:rPr>
        <w:fldChar w:fldCharType="begin" w:fldLock="1"/>
      </w:r>
      <w:r w:rsidRPr="00D63AF7">
        <w:rPr>
          <w:rFonts w:ascii="Arial" w:hAnsi="Arial" w:cs="Arial"/>
        </w:rPr>
        <w:instrText>ADDIN CSL_CITATION {"citationItems":[{"id":"ITEM-1","itemData":{"DOI":"10.4324/9781912281091","ISBN":"9781351351591","abstract":"Milton Friedman was one of the most influential economists of all time - and his ideas had a huge impact on the economic policies of governments across the world. A key theorist of capitalism and its relationship to democratic freedoms, Friedman remains one of the most cited authorities in both academic economics and government economic policy. His work remains striking not just for its brilliant grasp of economic laws and realities, but also for its consistent application of high-level evaluation and reasoning skills to produce arguments that can convince experts and laypeople alike. Friedman's 1968 essay 'The Role of Monetary Policy' is a key example of how Friedman's critical thinking skills helped to cement his influence and reputation. The paper addressed the question of how a government's monetary policy affects the economy - from employment levels to inflation and so on. At its heart lies an evaluation and critique of the most widely accepted conception of monetary policy at the time - the 'Phillips Curve' - which argued that increased inflation leads naturally to increased employment. Systematically noting the flaws and weaknesses of the Phillips Curve theory, Friedman showed why this is not, in fact, the case. He then drew up a systematic alternative argument for what governmental monetary policy could and should aim to do. Though economists now consider Friedman's ideas to have considerable limitations, 'The Role of Monetary Policy' remains a masterclass in evaluating and countering faulty arguments.","author":[{"dropping-particle":"","family":"Collins","given":"John","non-dropping-particle":"","parse-names":false,"suffix":""},{"dropping-particle":"","family":"Broten","given":"Nick","non-dropping-particle":"","parse-names":false,"suffix":""}],"container-title":"The Role of Monetary Policy","id":"ITEM-1","issue":"March","issued":{"date-parts":[["2017"]]},"page":"1-93","title":"The role of monetary policy","type":"article-journal"},"suppress-author":1,"uris":["http://www.mendeley.com/documents/?uuid=b9198911-12dc-460d-8e3b-9d89e76db7e8"]}],"mendeley":{"formattedCitation":"(2017)","plainTextFormattedCitation":"(2017)","previouslyFormattedCitation":"(2017)"},"properties":{"noteIndex":0},"schema":"https://github.com/citation-style-language/schema/raw/master/csl-citation.json"}</w:instrText>
      </w:r>
      <w:r w:rsidRPr="00D63AF7">
        <w:rPr>
          <w:rFonts w:ascii="Arial" w:hAnsi="Arial" w:cs="Arial"/>
        </w:rPr>
        <w:fldChar w:fldCharType="separate"/>
      </w:r>
      <w:r w:rsidRPr="00D63AF7">
        <w:rPr>
          <w:rFonts w:ascii="Arial" w:hAnsi="Arial" w:cs="Arial"/>
          <w:noProof/>
        </w:rPr>
        <w:t>(2017)</w:t>
      </w:r>
      <w:r w:rsidRPr="00D63AF7">
        <w:rPr>
          <w:rFonts w:ascii="Arial" w:hAnsi="Arial" w:cs="Arial"/>
        </w:rPr>
        <w:fldChar w:fldCharType="end"/>
      </w:r>
      <w:r w:rsidRPr="00D63AF7">
        <w:rPr>
          <w:rFonts w:ascii="Arial" w:hAnsi="Arial" w:cs="Arial"/>
        </w:rPr>
        <w:t>, monetary policy can help offset major disruptions in the economic system. Tighter monetary policy, including quantitative easing, was implemented to reduce liquidity in the economy and suppress inflation. All of these factors contributed to the increase in the FFR over the past few years as the Fed attempts to maintain a balance between economic growth and price stability.</w:t>
      </w:r>
    </w:p>
    <w:p w14:paraId="739B41E4"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327903D4" w14:textId="3CDCC8EB" w:rsidR="00370402" w:rsidRDefault="000A47F1" w:rsidP="00E26D45">
      <w:pPr>
        <w:pBdr>
          <w:top w:val="nil"/>
          <w:left w:val="nil"/>
          <w:bottom w:val="nil"/>
          <w:right w:val="nil"/>
          <w:between w:val="nil"/>
        </w:pBdr>
        <w:contextualSpacing/>
        <w:jc w:val="both"/>
        <w:rPr>
          <w:rFonts w:ascii="Arial" w:hAnsi="Arial" w:cs="Arial"/>
        </w:rPr>
      </w:pPr>
      <w:r w:rsidRPr="000A47F1">
        <w:rPr>
          <w:rFonts w:ascii="Arial" w:hAnsi="Arial" w:cs="Arial"/>
        </w:rPr>
        <w:t xml:space="preserve">Bank Indonesia (BI), as the monetary authority, </w:t>
      </w:r>
      <w:r w:rsidR="00E26D45" w:rsidRPr="00D63AF7">
        <w:rPr>
          <w:rFonts w:ascii="Arial" w:hAnsi="Arial" w:cs="Arial"/>
        </w:rPr>
        <w:t xml:space="preserve">has an important role in maintaining domestic economic stability through various policies, one of which is the determination of the BI Rate. BI Rate is the primary tool for managing macroeconomic factors like inflation, exchange rate stability, and economic growth </w:t>
      </w:r>
      <w:r w:rsidR="00E26D45" w:rsidRPr="00D63AF7">
        <w:rPr>
          <w:rFonts w:ascii="Arial" w:hAnsi="Arial" w:cs="Arial"/>
        </w:rPr>
        <w:fldChar w:fldCharType="begin" w:fldLock="1"/>
      </w:r>
      <w:r w:rsidR="003E3217">
        <w:rPr>
          <w:rFonts w:ascii="Arial" w:hAnsi="Arial" w:cs="Arial"/>
        </w:rPr>
        <w:instrText>ADDIN CSL_CITATION {"citationItems":[{"id":"ITEM-1","itemData":{"DOI":"10.2478/mjss-2018-0016","abstract":"This study aims to analyze effectivity and forecast of interest rate BI 7-Day Repo Rate as policy reference in the implementation of monetary policy. The method was used in this study contains Vector Autoregression (VAR) to estimate effectivity of BI 7-Day Repo Rate and Autoregressive Integrated Moving Average (ARIMA) to forecast of BI 7-Day Repo Rate. Period of observation in this study used time series data during 2016.4 until 2017.6. The result of this research shows that the transformation of the BI Rate to BI 7-Day Repo Rate is the right step in the monetary policy operation in the effort to reach deepening of the financial market and strengthen the interbank money market structure so that it will decrease loan interest rate and encourage credit growth. The effectiveness of the use of BI 7 Day-Repo Rate on price stability is indicated by the positive relationship between the benchmark interest rate and inflation compared to the BI Rate. The impact of BI 7-Day Repo Rate on economic growth that tends to be positive. Forecasting the use of BI 7-Day Repo Rate shows good results with declining value levels, so this will encourage deepening the financial markets.","author":[{"dropping-particle":"","family":"Sanica","given":"I Gede","non-dropping-particle":"","parse-names":false,"suffix":""},{"dropping-particle":"","family":"Nurcita","given":"I Ketut","non-dropping-particle":"","parse-names":false,"suffix":""},{"dropping-particle":"","family":"Mastra","given":"I Made","non-dropping-particle":"","parse-names":false,"suffix":""},{"dropping-particle":"","family":"Sukarnasih","given":"Desak Made","non-dropping-particle":"","parse-names":false,"suffix":""}],"container-title":"Mediterranean Journal of Social Sciences","id":"ITEM-1","issue":"1","issued":{"date-parts":[["2018"]]},"page":"171-180","title":"Effectiveness and Forecasting of Interest Rate Reversal BI 7-Day Repo Rate in Indonesia: Lower Bound on Monetary Policy?","type":"article-journal","volume":"9"},"uris":["http://www.mendeley.com/documents/?uuid=df92fa45-d58c-4682-b760-2f70fb551d45"]}],"mendeley":{"formattedCitation":"(Sanica et al., 2018)","plainTextFormattedCitation":"(Sanica et al., 2018)","previouslyFormattedCitation":"(Sanica et al., 2018)"},"properties":{"noteIndex":0},"schema":"https://github.com/citation-style-language/schema/raw/master/csl-citation.json"}</w:instrText>
      </w:r>
      <w:r w:rsidR="00E26D45" w:rsidRPr="00D63AF7">
        <w:rPr>
          <w:rFonts w:ascii="Arial" w:hAnsi="Arial" w:cs="Arial"/>
        </w:rPr>
        <w:fldChar w:fldCharType="separate"/>
      </w:r>
      <w:r w:rsidR="006D3F92" w:rsidRPr="006D3F92">
        <w:rPr>
          <w:rFonts w:ascii="Arial" w:hAnsi="Arial" w:cs="Arial"/>
          <w:noProof/>
        </w:rPr>
        <w:t>(Sanica et al., 2018)</w:t>
      </w:r>
      <w:r w:rsidR="00E26D45" w:rsidRPr="00D63AF7">
        <w:rPr>
          <w:rFonts w:ascii="Arial" w:hAnsi="Arial" w:cs="Arial"/>
        </w:rPr>
        <w:fldChar w:fldCharType="end"/>
      </w:r>
      <w:r w:rsidR="00E26D45" w:rsidRPr="00D63AF7">
        <w:rPr>
          <w:rFonts w:ascii="Arial" w:hAnsi="Arial" w:cs="Arial"/>
        </w:rPr>
        <w:t xml:space="preserve">. The interaction between changes in the FFR and the BI Rate is important to analyze because it can provide an overview of how the dynamics of global monetary policy affect the domestic economy. The relationship between the Federal Funds Rate (FFR) and the BI Rate </w:t>
      </w:r>
      <w:proofErr w:type="gramStart"/>
      <w:r w:rsidR="00E26D45" w:rsidRPr="00D63AF7">
        <w:rPr>
          <w:rFonts w:ascii="Arial" w:hAnsi="Arial" w:cs="Arial"/>
        </w:rPr>
        <w:t>is a reflection of</w:t>
      </w:r>
      <w:proofErr w:type="gramEnd"/>
      <w:r w:rsidR="00E26D45" w:rsidRPr="00D63AF7">
        <w:rPr>
          <w:rFonts w:ascii="Arial" w:hAnsi="Arial" w:cs="Arial"/>
        </w:rPr>
        <w:t xml:space="preserve"> how global and domestic monetary policies influence each other. The determination of the BI rate not only considers domestic macroeconomic conditions but also examines world interest rates </w:t>
      </w:r>
      <w:r w:rsidR="00E26D45" w:rsidRPr="00D63AF7">
        <w:rPr>
          <w:rFonts w:ascii="Arial" w:hAnsi="Arial" w:cs="Arial"/>
        </w:rPr>
        <w:fldChar w:fldCharType="begin" w:fldLock="1"/>
      </w:r>
      <w:r w:rsidR="003E3217">
        <w:rPr>
          <w:rFonts w:ascii="Arial" w:hAnsi="Arial" w:cs="Arial"/>
        </w:rPr>
        <w:instrText>ADDIN CSL_CITATION {"citationItems":[{"id":"ITEM-1","itemData":{"abstract":"The purpose of this study is to determine the effect of Fed rate and BI rate announcement on abnormal return in Indonesian stock market. This study uses an event study methods of sectoral data from August 2016 to March 2017. The method to calculating abnormal return is using event study, with stages as determination of estimation period, which in this study using event window (-3, +3), (-5, +5), and (-7, +7) and the estimated period of 200 days, the next stage is the calculation of actual return and then followed the calculation of expected return by using ordinary least square (OLS). The results showed that sectoral indices in Indonesia stock exchange tend to have significant differences in the abnormal return is not consistent. This is because there are many other factors that influence abnormal return, such as the US presidential election in November 2016 and February 2017 governor election. The only sectors that responded consistent to the announcement were the transportation, infrastructure and utilization sectors. Meanwhile, agricultural sector did not respond to all the announcement of Fed rate dan BI rate. Investor must be carefully to invest in transportation, infrastructure and utilization sector. Because when fed rate increase and BI rate constant stock price company in transportation, infrastructure and utilization sector will volatility and give a negative abnormal return.","author":[{"dropping-particle":"","family":"Putri","given":"Nadhira Afina","non-dropping-particle":"","parse-names":false,"suffix":""},{"dropping-particle":"","family":"Anggraen","given":"Lukytawati","non-dropping-particle":"","parse-names":false,"suffix":""},{"dropping-particle":"","family":"Pasaribu","given":"Syamsul Hidayat","non-dropping-particle":"","parse-names":false,"suffix":""}],"container-title":"International Journal of Business and Management Review","id":"ITEM-1","issue":"9","issued":{"date-parts":[["2017"]]},"page":"65-77","title":"Analysis of Federal Fund Rate and Bi Rate Announcement to Abnormal Return in Indonesia Stock Market","type":"article-journal","volume":"5"},"uris":["http://www.mendeley.com/documents/?uuid=b7901fd0-1901-4ec0-9ced-a751fe2a5617"]}],"mendeley":{"formattedCitation":"(Putri et al., 2017)","plainTextFormattedCitation":"(Putri et al., 2017)","previouslyFormattedCitation":"(Putri et al., 2017)"},"properties":{"noteIndex":0},"schema":"https://github.com/citation-style-language/schema/raw/master/csl-citation.json"}</w:instrText>
      </w:r>
      <w:r w:rsidR="00E26D45" w:rsidRPr="00D63AF7">
        <w:rPr>
          <w:rFonts w:ascii="Arial" w:hAnsi="Arial" w:cs="Arial"/>
        </w:rPr>
        <w:fldChar w:fldCharType="separate"/>
      </w:r>
      <w:r w:rsidR="006D3F92" w:rsidRPr="006D3F92">
        <w:rPr>
          <w:rFonts w:ascii="Arial" w:hAnsi="Arial" w:cs="Arial"/>
          <w:noProof/>
        </w:rPr>
        <w:t>(Putri et al., 2017)</w:t>
      </w:r>
      <w:r w:rsidR="00E26D45" w:rsidRPr="00D63AF7">
        <w:rPr>
          <w:rFonts w:ascii="Arial" w:hAnsi="Arial" w:cs="Arial"/>
        </w:rPr>
        <w:fldChar w:fldCharType="end"/>
      </w:r>
      <w:r w:rsidR="00E26D45" w:rsidRPr="00D63AF7">
        <w:rPr>
          <w:rFonts w:ascii="Arial" w:hAnsi="Arial" w:cs="Arial"/>
        </w:rPr>
        <w:t xml:space="preserve">. When the FFR rises, global liquidity tightens, and investment returns in the United States become more attractive. This often encourages global investors to move their funds to US assets, which causes capital outflows from emerging markets, including Indonesia. Foreign investors exchange their home currency investments for US dollar investments, resulting in a greater exchange rate that benefits the US dollar </w:t>
      </w:r>
      <w:r w:rsidR="00E26D45" w:rsidRPr="00D63AF7">
        <w:rPr>
          <w:rFonts w:ascii="Arial" w:hAnsi="Arial" w:cs="Arial"/>
        </w:rPr>
        <w:fldChar w:fldCharType="begin" w:fldLock="1"/>
      </w:r>
      <w:r w:rsidR="003E3217">
        <w:rPr>
          <w:rFonts w:ascii="Arial" w:hAnsi="Arial" w:cs="Arial"/>
        </w:rPr>
        <w:instrText>ADDIN CSL_CITATION {"citationItems":[{"id":"ITEM-1","itemData":{"DOI":"10.54254/2754-1169/78/20241636","author":[{"dropping-particle":"","family":"Tian","given":"Mengxue","non-dropping-particle":"","parse-names":false,"suffix":""}],"id":"ITEM-1","issue":"July 2023","issued":{"date-parts":[["2024"]]},"page":"67-72","title":"Impact of the Federal Reserve Interest Rate Hikes on the U . S . Dollar Exchange Rate","type":"article-journal","volume":"0"},"uris":["http://www.mendeley.com/documents/?uuid=7a9fc6a0-99d2-43cd-8972-10acff2e2671"]}],"mendeley":{"formattedCitation":"(Tian, 2024)","plainTextFormattedCitation":"(Tian, 2024)","previouslyFormattedCitation":"(Tian, 2024)"},"properties":{"noteIndex":0},"schema":"https://github.com/citation-style-language/schema/raw/master/csl-citation.json"}</w:instrText>
      </w:r>
      <w:r w:rsidR="00E26D45" w:rsidRPr="00D63AF7">
        <w:rPr>
          <w:rFonts w:ascii="Arial" w:hAnsi="Arial" w:cs="Arial"/>
        </w:rPr>
        <w:fldChar w:fldCharType="separate"/>
      </w:r>
      <w:r w:rsidR="006D3F92" w:rsidRPr="006D3F92">
        <w:rPr>
          <w:rFonts w:ascii="Arial" w:hAnsi="Arial" w:cs="Arial"/>
          <w:noProof/>
        </w:rPr>
        <w:t>(Tian, 2024)</w:t>
      </w:r>
      <w:r w:rsidR="00E26D45" w:rsidRPr="00D63AF7">
        <w:rPr>
          <w:rFonts w:ascii="Arial" w:hAnsi="Arial" w:cs="Arial"/>
        </w:rPr>
        <w:fldChar w:fldCharType="end"/>
      </w:r>
      <w:r w:rsidR="00E26D45" w:rsidRPr="00D63AF7">
        <w:rPr>
          <w:rFonts w:ascii="Arial" w:hAnsi="Arial" w:cs="Arial"/>
        </w:rPr>
        <w:t>. As a result, pressure on the Rupiah exchange rate has increased, forcing BI to consider increasing the BI Rate to maintain exchange rate stability and prevent inflation that could arise from Rupiah depreciation.</w:t>
      </w:r>
    </w:p>
    <w:p w14:paraId="03DAF5DF" w14:textId="77777777" w:rsidR="00370402" w:rsidRPr="00D63AF7" w:rsidRDefault="00370402" w:rsidP="00E26D45">
      <w:pPr>
        <w:pBdr>
          <w:top w:val="nil"/>
          <w:left w:val="nil"/>
          <w:bottom w:val="nil"/>
          <w:right w:val="nil"/>
          <w:between w:val="nil"/>
        </w:pBdr>
        <w:contextualSpacing/>
        <w:jc w:val="both"/>
        <w:rPr>
          <w:rFonts w:ascii="Arial" w:hAnsi="Arial" w:cs="Arial"/>
        </w:rPr>
      </w:pPr>
    </w:p>
    <w:p w14:paraId="5B2892AC" w14:textId="77777777" w:rsidR="00E26D45" w:rsidRPr="00D63AF7" w:rsidRDefault="00E26D45" w:rsidP="00D63AF7">
      <w:pPr>
        <w:pBdr>
          <w:top w:val="nil"/>
          <w:left w:val="nil"/>
          <w:bottom w:val="nil"/>
          <w:right w:val="nil"/>
          <w:between w:val="nil"/>
        </w:pBdr>
        <w:contextualSpacing/>
        <w:jc w:val="center"/>
        <w:rPr>
          <w:rFonts w:ascii="Arial" w:hAnsi="Arial" w:cs="Arial"/>
        </w:rPr>
      </w:pPr>
      <w:r w:rsidRPr="00D63AF7">
        <w:rPr>
          <w:rFonts w:ascii="Arial" w:hAnsi="Arial" w:cs="Arial"/>
          <w:noProof/>
        </w:rPr>
        <w:drawing>
          <wp:inline distT="0" distB="0" distL="0" distR="0" wp14:anchorId="6842E47C" wp14:editId="0500BA89">
            <wp:extent cx="3782291" cy="2122877"/>
            <wp:effectExtent l="0" t="0" r="0" b="0"/>
            <wp:docPr id="1360308369" name="Picture 3" descr="A graph showing the growth of the y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08369" name="Picture 3" descr="A graph showing the growth of the yea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2102" cy="2139609"/>
                    </a:xfrm>
                    <a:prstGeom prst="rect">
                      <a:avLst/>
                    </a:prstGeom>
                    <a:noFill/>
                    <a:ln>
                      <a:noFill/>
                    </a:ln>
                  </pic:spPr>
                </pic:pic>
              </a:graphicData>
            </a:graphic>
          </wp:inline>
        </w:drawing>
      </w:r>
    </w:p>
    <w:p w14:paraId="3E8FC72C" w14:textId="77777777" w:rsidR="00E26D45" w:rsidRPr="00D63AF7" w:rsidRDefault="00E26D45" w:rsidP="00E26D45">
      <w:pPr>
        <w:pBdr>
          <w:top w:val="nil"/>
          <w:left w:val="nil"/>
          <w:bottom w:val="nil"/>
          <w:right w:val="nil"/>
          <w:between w:val="nil"/>
        </w:pBdr>
        <w:contextualSpacing/>
        <w:jc w:val="center"/>
        <w:rPr>
          <w:rFonts w:ascii="Arial" w:hAnsi="Arial" w:cs="Arial"/>
          <w:b/>
          <w:bCs/>
        </w:rPr>
      </w:pPr>
      <w:r w:rsidRPr="00D63AF7">
        <w:rPr>
          <w:rFonts w:ascii="Arial" w:hAnsi="Arial" w:cs="Arial"/>
          <w:b/>
          <w:bCs/>
        </w:rPr>
        <w:t>Figure 3. BI rate trend</w:t>
      </w:r>
    </w:p>
    <w:p w14:paraId="2CD8B209" w14:textId="77777777" w:rsidR="00E26D45" w:rsidRPr="00D63AF7" w:rsidRDefault="00E26D45" w:rsidP="00E26D45">
      <w:pPr>
        <w:pBdr>
          <w:top w:val="nil"/>
          <w:left w:val="nil"/>
          <w:bottom w:val="nil"/>
          <w:right w:val="nil"/>
          <w:between w:val="nil"/>
        </w:pBdr>
        <w:contextualSpacing/>
        <w:jc w:val="center"/>
        <w:rPr>
          <w:rFonts w:ascii="Arial" w:hAnsi="Arial" w:cs="Arial"/>
        </w:rPr>
      </w:pPr>
      <w:r w:rsidRPr="00D63AF7">
        <w:rPr>
          <w:rFonts w:ascii="Arial" w:hAnsi="Arial" w:cs="Arial"/>
        </w:rPr>
        <w:t>Source: databoks.katadata.co.id</w:t>
      </w:r>
    </w:p>
    <w:p w14:paraId="1032CEF3" w14:textId="77777777" w:rsidR="00E26D45" w:rsidRPr="00D63AF7" w:rsidRDefault="00E26D45" w:rsidP="00E26D45">
      <w:pPr>
        <w:pBdr>
          <w:top w:val="nil"/>
          <w:left w:val="nil"/>
          <w:bottom w:val="nil"/>
          <w:right w:val="nil"/>
          <w:between w:val="nil"/>
        </w:pBdr>
        <w:contextualSpacing/>
        <w:jc w:val="center"/>
        <w:rPr>
          <w:rFonts w:ascii="Arial" w:hAnsi="Arial" w:cs="Arial"/>
        </w:rPr>
      </w:pPr>
    </w:p>
    <w:p w14:paraId="083A054A" w14:textId="07BCC886"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Figure 3 above shows the BI rate trend, which has the same pattern as the FFR. In the period from 2021 to the second quarter, when the FFR value tended to stagnate, a similar trend was also experienced by the BI Rate value, which also stagnated at 3.5 percent. And </w:t>
      </w:r>
      <w:r w:rsidRPr="00D63AF7">
        <w:rPr>
          <w:rFonts w:ascii="Arial" w:hAnsi="Arial" w:cs="Arial"/>
        </w:rPr>
        <w:lastRenderedPageBreak/>
        <w:t xml:space="preserve">when the FFR started to rise in the third quarter of 2022, BI responded to the increase by raising its BI Rate. Since the third quarter of 2022, the BI Rate has continued to increase to reach 6 percent at the end of 2023. In response to changes in the FFR, BI needs to adjust its monetary policy to maintain domestic economic stability. This can help control domestic inflation and restrain capital outflows. However, this also risks suppressing economic growth because tighter credit conditions can reduce consumer spending and business investment </w:t>
      </w:r>
      <w:r w:rsidRPr="00D63AF7">
        <w:rPr>
          <w:rFonts w:ascii="Arial" w:hAnsi="Arial" w:cs="Arial"/>
        </w:rPr>
        <w:fldChar w:fldCharType="begin" w:fldLock="1"/>
      </w:r>
      <w:r w:rsidR="003E3217">
        <w:rPr>
          <w:rFonts w:ascii="Arial" w:hAnsi="Arial" w:cs="Arial"/>
        </w:rPr>
        <w:instrText>ADDIN CSL_CITATION {"citationItems":[{"id":"ITEM-1","itemData":{"DOI":"10.14254/2071-8330.2015/8-1/7","ISSN":"23063483","abstract":"The main reason of this study is to test the interest rate impact on investment in Jiangsu Province of China. Jiangsu has the largest quantity of investment in China. For long run, nexus Johansen Co-integration test is employed. Whereas, vector error correction model (VECM) is used to find short run association over the period of 2003-2012. The results indicate that there is a long-term relationship association among variables. It has negative relation in the long run but positive in short run. This research also produces suggestions that will help in terms of interest rate policy as well as improving investment that promotes economic growth in Jiangsu Province.","author":[{"dropping-particle":"","family":"Wuhan","given":"","non-dropping-particle":"","parse-names":false,"suffix":""},{"dropping-particle":"","family":"Suyuan","given":"Li","non-dropping-particle":"","parse-names":false,"suffix":""},{"dropping-particle":"","family":"Khurshid","given":"Adnan","non-dropping-particle":"","parse-names":false,"suffix":""}],"container-title":"Journal of International Studies","id":"ITEM-1","issue":"1","issued":{"date-parts":[["2015"]]},"page":"81-90","title":"The effect of interest rate on investment; empirical evidence of Jiangsu Province, China","type":"article-journal","volume":"8"},"uris":["http://www.mendeley.com/documents/?uuid=88945e97-5b60-4c0d-9dcb-defa54a0fcfc"]}],"mendeley":{"formattedCitation":"(Wuhan et al., 2015)","plainTextFormattedCitation":"(Wuhan et al., 2015)","previouslyFormattedCitation":"(Wuhan et al., 2015)"},"properties":{"noteIndex":0},"schema":"https://github.com/citation-style-language/schema/raw/master/csl-citation.json"}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(Wuhan et al., 2015)</w:t>
      </w:r>
      <w:r w:rsidRPr="00D63AF7">
        <w:rPr>
          <w:rFonts w:ascii="Arial" w:hAnsi="Arial" w:cs="Arial"/>
        </w:rPr>
        <w:fldChar w:fldCharType="end"/>
      </w:r>
      <w:r w:rsidRPr="00D63AF7">
        <w:rPr>
          <w:rFonts w:ascii="Arial" w:hAnsi="Arial" w:cs="Arial"/>
        </w:rPr>
        <w:t xml:space="preserve">. On the other hand, a decrease in the FFR can provide an opportunity for BI to lower interest rates and stimulate economic growth without causing excessive inflationary pressure. Low interest rates typically contribute to economic growth because people may spend their money more on purchases, and businesses can use it to develop their operations </w:t>
      </w:r>
      <w:r w:rsidRPr="00D63AF7">
        <w:rPr>
          <w:rFonts w:ascii="Arial" w:hAnsi="Arial" w:cs="Arial"/>
        </w:rPr>
        <w:fldChar w:fldCharType="begin" w:fldLock="1"/>
      </w:r>
      <w:r w:rsidR="003E3217">
        <w:rPr>
          <w:rFonts w:ascii="Arial" w:hAnsi="Arial" w:cs="Arial"/>
        </w:rPr>
        <w:instrText>ADDIN CSL_CITATION {"citationItems":[{"id":"ITEM-1","itemData":{"DOI":"10.53819/81018102t5086","abstract":"The interest rate is the amount of interest paid by a borrower to a lender and is set by the central bank of a certain country. Interest rate is regarded as a key variable affecting savings and investment. The interest rate which is set by the central bank is called the base rate. The base rate affects the aggregate output. Thus, the study examined the effect of interest rates on economic growth in Bangladesh. The study did a literature review to have an overview of what others found regarding the effect of interest rates on economic growth. Based on the findings of the study, it was revealed that interest rates affect economic growth. The reduction of interest rates increases economic growth. If the interest rate is good, it keeps output growth high. The study discovered that low rates of interest help the economy grow since people can get more money to make purchases and invests in businesses, thus spurring economic growth. Access to loans from financial institutions depends on interest rates. A country cannot grow if the cost of borrowing is very high and this is significantly influenced by the interest rates. The study also noted that when the base rate increase, the interest rates from the financial institution also increases. Hence, interest rates affect the economic growth in Bangladesh. High rates tend to reduce the pace of economic development. The research concluded that interest rates should be made at a reasonable rate to spur economic growth. The study recommended that the central bank in Bangladesh, Bangladesh Bank, should develop policies and frameworks that will ensure the interest rates are key as low as possible. The government needs to embrace policies that will aid Bangladesh control interest rates and raise money circulation in the economy.","author":[{"dropping-particle":"","family":"Mohsen","given":"Ahamed Sharmin","non-dropping-particle":"","parse-names":false,"suffix":""},{"dropping-particle":"","family":"Hoang","given":"Dr. Faisal Abdus","non-dropping-particle":"","parse-names":false,"suffix":""},{"dropping-particle":"","family":"Tariq","given":"Abir Fahim","non-dropping-particle":"","parse-names":false,"suffix":""}],"container-title":"Journal of Economics","id":"ITEM-1","issue":"1","issued":{"date-parts":[["2022"]]},"page":"36-44","title":"Effect of Interest Rates on Economic Growth in Bangladesh","type":"article-journal","volume":"6"},"uris":["http://www.mendeley.com/documents/?uuid=24db80d2-ea86-4bd0-9dcb-614c5f71a78e"]}],"mendeley":{"formattedCitation":"(Mohsen et al., 2022)","plainTextFormattedCitation":"(Mohsen et al., 2022)","previouslyFormattedCitation":"(Mohsen et al., 2022)"},"properties":{"noteIndex":0},"schema":"https://github.com/citation-style-language/schema/raw/master/csl-citation.json"}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(Mohsen et al., 2022)</w:t>
      </w:r>
      <w:r w:rsidRPr="00D63AF7">
        <w:rPr>
          <w:rFonts w:ascii="Arial" w:hAnsi="Arial" w:cs="Arial"/>
        </w:rPr>
        <w:fldChar w:fldCharType="end"/>
      </w:r>
      <w:r w:rsidRPr="00D63AF7">
        <w:rPr>
          <w:rFonts w:ascii="Arial" w:hAnsi="Arial" w:cs="Arial"/>
        </w:rPr>
        <w:t xml:space="preserve">. According to </w:t>
      </w:r>
      <w:proofErr w:type="spellStart"/>
      <w:r w:rsidRPr="00D63AF7">
        <w:rPr>
          <w:rFonts w:ascii="Arial" w:hAnsi="Arial" w:cs="Arial"/>
        </w:rPr>
        <w:t>Ridho</w:t>
      </w:r>
      <w:proofErr w:type="spellEnd"/>
      <w:r w:rsidRPr="00D63AF7">
        <w:rPr>
          <w:rFonts w:ascii="Arial" w:hAnsi="Arial" w:cs="Arial"/>
        </w:rPr>
        <w:t xml:space="preserve"> </w:t>
      </w:r>
      <w:r w:rsidRPr="00D63AF7">
        <w:rPr>
          <w:rFonts w:ascii="Arial" w:hAnsi="Arial" w:cs="Arial"/>
        </w:rPr>
        <w:fldChar w:fldCharType="begin" w:fldLock="1"/>
      </w:r>
      <w:r w:rsidRPr="00D63AF7">
        <w:rPr>
          <w:rFonts w:ascii="Arial" w:hAnsi="Arial" w:cs="Arial"/>
        </w:rPr>
        <w:instrText>ADDIN CSL_CITATION {"citationItems":[{"id":"ITEM-1","itemData":{"DOI":"10.24176/bmaj.v6i2.10162","ISSN":"2623-0690","abstract":"This paper examines the spillover effect of the fed fund rate (FFR) on emerging banking liquidity and capital in emerging markets, especially in Indonesia, using the Structural Equation Model (SEM). Data were collected from the Indonesia Central Bank and Financial Services Authority. Our model reveals a significant indirect negative relationship between FFR, banking liquidity, and capital. This relationship was examined both directly and indirectly using the model. While the FFR influence was robust, the impact on liquidity and capital was translated through the local bank rates. It is found that rising interest rates would still result in tighter liquidity to some extent. FFR also impacts capital decisions because the rising interest rate might incentivize managers to borrow from a lower market environment. Thus, observing the indirect relationship, the impact of the FFR depends on the local central bank monetary policy transmission to mitigate the spillover effect resulting from developed economy monetary policy.","author":[{"dropping-particle":"","family":"Ridho","given":"Wahyu Fahrul","non-dropping-particle":"","parse-names":false,"suffix":""}],"container-title":"Business Management Analysis Journal (BMAJ)","id":"ITEM-1","issue":"2","issued":{"date-parts":[["2023"]]},"page":"169-184","title":"Federal Funds Rate Spillover Effect On Emerging Market Banking Liquidity And Capital – Evidence From Indonesia","type":"article-journal","volume":"6"},"suppress-author":1,"uris":["http://www.mendeley.com/documents/?uuid=08508d39-43b8-4ba5-8182-b1cee241a2ec"]}],"mendeley":{"formattedCitation":"(2023)","plainTextFormattedCitation":"(2023)","previouslyFormattedCitation":"(2023)"},"properties":{"noteIndex":0},"schema":"https://github.com/citation-style-language/schema/raw/master/csl-citation.json"}</w:instrText>
      </w:r>
      <w:r w:rsidRPr="00D63AF7">
        <w:rPr>
          <w:rFonts w:ascii="Arial" w:hAnsi="Arial" w:cs="Arial"/>
        </w:rPr>
        <w:fldChar w:fldCharType="separate"/>
      </w:r>
      <w:r w:rsidRPr="00D63AF7">
        <w:rPr>
          <w:rFonts w:ascii="Arial" w:hAnsi="Arial" w:cs="Arial"/>
          <w:noProof/>
        </w:rPr>
        <w:t>(2023)</w:t>
      </w:r>
      <w:r w:rsidRPr="00D63AF7">
        <w:rPr>
          <w:rFonts w:ascii="Arial" w:hAnsi="Arial" w:cs="Arial"/>
        </w:rPr>
        <w:fldChar w:fldCharType="end"/>
      </w:r>
      <w:r w:rsidRPr="00D63AF7">
        <w:rPr>
          <w:rFonts w:ascii="Arial" w:hAnsi="Arial" w:cs="Arial"/>
        </w:rPr>
        <w:t xml:space="preserve">, the monetary policy taken by the Fed has a significant impact on global economic conditions that require coordinated policy responses from central banks in other countries, including Indonesia. By monitoring changes in the FFR, Bank Indonesia can anticipate its impact on capital flows, exchange rates, and domestic inflation and adjust the BI Rate to ensure economic stability. In this context, the relationship between the FFR and the BI Rate reflects the close linkage between global and domestic monetary policies </w:t>
      </w:r>
      <w:r w:rsidRPr="00D63AF7">
        <w:rPr>
          <w:rFonts w:ascii="Arial" w:hAnsi="Arial" w:cs="Arial"/>
        </w:rPr>
        <w:fldChar w:fldCharType="begin" w:fldLock="1"/>
      </w:r>
      <w:r w:rsidR="003E3217">
        <w:rPr>
          <w:rFonts w:ascii="Arial" w:hAnsi="Arial" w:cs="Arial"/>
        </w:rPr>
        <w:instrText>ADDIN CSL_CITATION {"citationItems":[{"id":"ITEM-1","itemData":{"author":[{"dropping-particle":"","family":"Suwondo","given":"Juwita PR","non-dropping-particle":"","parse-names":false,"suffix":""},{"dropping-particle":"","family":"Siswati","given":"Aris","non-dropping-particle":"","parse-names":false,"suffix":""},{"dropping-particle":"","family":"Samsya Ayatillah","given":"Much","non-dropping-particle":"","parse-names":false,"suffix":""}],"id":"ITEM-1","issue":"Suwondo","issued":{"date-parts":[["2023"]]},"page":"102-112","title":"Suwondo, The Soar Of Fed Rates On Indonesia's BI 7 Days Reverse Repo Rate","type":"article-journal","volume":"XX"},"uris":["http://www.mendeley.com/documents/?uuid=69df1c42-3ed2-4123-a01a-2a323065fe7b"]}],"mendeley":{"formattedCitation":"(Suwondo et al., 2023)","plainTextFormattedCitation":"(Suwondo et al., 2023)","previouslyFormattedCitation":"(Suwondo et al., 2023)"},"properties":{"noteIndex":0},"schema":"https://github.com/citation-style-language/schema/raw/master/csl-citation.json"}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(Suwondo et al., 2023)</w:t>
      </w:r>
      <w:r w:rsidRPr="00D63AF7">
        <w:rPr>
          <w:rFonts w:ascii="Arial" w:hAnsi="Arial" w:cs="Arial"/>
        </w:rPr>
        <w:fldChar w:fldCharType="end"/>
      </w:r>
      <w:r w:rsidRPr="00D63AF7">
        <w:rPr>
          <w:rFonts w:ascii="Arial" w:hAnsi="Arial" w:cs="Arial"/>
        </w:rPr>
        <w:t>, where decisions taken by the Fed have direct implications for monetary policy strategy in Indonesia.</w:t>
      </w:r>
    </w:p>
    <w:p w14:paraId="34E9A686"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02A636D4" w14:textId="1D3750DD" w:rsidR="00E26D45" w:rsidRPr="00D63AF7" w:rsidRDefault="00E26D45" w:rsidP="00E26D45">
      <w:pPr>
        <w:pBdr>
          <w:top w:val="nil"/>
          <w:left w:val="nil"/>
          <w:bottom w:val="nil"/>
          <w:right w:val="nil"/>
          <w:between w:val="nil"/>
        </w:pBdr>
        <w:contextualSpacing/>
        <w:jc w:val="both"/>
        <w:rPr>
          <w:rFonts w:ascii="Arial" w:hAnsi="Arial" w:cs="Arial"/>
        </w:rPr>
      </w:pPr>
      <w:bookmarkStart w:id="1" w:name="_Hlk175075939"/>
      <w:r w:rsidRPr="00D63AF7">
        <w:rPr>
          <w:rFonts w:ascii="Arial" w:hAnsi="Arial" w:cs="Arial"/>
        </w:rPr>
        <w:t xml:space="preserve">In addition to FFR, the Indonesian financial market also pays attention to the performance of the American stock market. The Dow Jones Index (DJI) and the Dow Jones Islamic Market (DJIM) are two main indicators that are often used to measure the performance of the stock market in the United States. DJI reflects the performance of 30 large companies in the United States, while DJIM measures the performance of companies that comply with Sharia principles. The performance of these two </w:t>
      </w:r>
      <w:r w:rsidR="00803335">
        <w:rPr>
          <w:rFonts w:ascii="Arial" w:hAnsi="Arial" w:cs="Arial"/>
        </w:rPr>
        <w:t>indices</w:t>
      </w:r>
      <w:r w:rsidRPr="00D63AF7">
        <w:rPr>
          <w:rFonts w:ascii="Arial" w:hAnsi="Arial" w:cs="Arial"/>
        </w:rPr>
        <w:t xml:space="preserve"> not only reflects economic conditions in the United States but also indicates global sentiment and capital flows that can affect financial markets in other countries </w:t>
      </w:r>
      <w:r w:rsidRPr="00D63AF7">
        <w:rPr>
          <w:rFonts w:ascii="Arial" w:hAnsi="Arial" w:cs="Arial"/>
        </w:rPr>
        <w:fldChar w:fldCharType="begin" w:fldLock="1"/>
      </w:r>
      <w:r w:rsidR="003E3217">
        <w:rPr>
          <w:rFonts w:ascii="Arial" w:hAnsi="Arial" w:cs="Arial"/>
        </w:rPr>
        <w:instrText>ADDIN CSL_CITATION {"citationItems":[{"id":"ITEM-1","itemData":{"abstract":"This research aims to determine whether foreign buy and the Dow Jones index have an effect on stock prices. This study uses a quantitative approach. The research scope is the stocks of companies in the animal feed industry which are listed on the Kompas 100 Index on the Indonesia Stock Exchange. Data in the form of secondary data obtained from the Indonesia Stock Exchange through www.idx.co.id. Eviews 9 software is used to select the research model, classic assumption test, multiple correlation test, multiple linear regression analysis, hypothesis t test and determination coefficient test. Based on the results of this study, it was found that foreign buy had an effect on stock prices, while the Dow Jones Index had no effect on stock prices.","author":[{"dropping-particle":"","family":"Elfahmi","given":"R","non-dropping-particle":"","parse-names":false,"suffix":""}],"container-title":"Journal of Research in Business, Economics, and Education","id":"ITEM-1","issue":"6","issued":{"date-parts":[["2020"]]},"page":"1442-1455","title":"The Effect of Foreign Buy and the Dow Jones Index on Stocks Prices of Animal Feed Industry at Kompas 100","type":"article-journal","volume":"2"},"uris":["http://www.mendeley.com/documents/?uuid=278fa5e9-93a9-4101-8791-7be931446bb7"]}],"mendeley":{"formattedCitation":"(Elfahmi, 2020)","plainTextFormattedCitation":"(Elfahmi, 2020)","previouslyFormattedCitation":"(Elfahmi, 2020)"},"properties":{"noteIndex":0},"schema":"https://github.com/citation-style-language/schema/raw/master/csl-citation.json"}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(Elfahmi, 2020)</w:t>
      </w:r>
      <w:r w:rsidRPr="00D63AF7">
        <w:rPr>
          <w:rFonts w:ascii="Arial" w:hAnsi="Arial" w:cs="Arial"/>
        </w:rPr>
        <w:fldChar w:fldCharType="end"/>
      </w:r>
      <w:bookmarkEnd w:id="1"/>
      <w:r w:rsidRPr="00D63AF7">
        <w:rPr>
          <w:rFonts w:ascii="Arial" w:hAnsi="Arial" w:cs="Arial"/>
        </w:rPr>
        <w:t xml:space="preserve">. </w:t>
      </w:r>
      <w:bookmarkStart w:id="2" w:name="_Hlk175075967"/>
      <w:r w:rsidRPr="00D63AF7">
        <w:rPr>
          <w:rFonts w:ascii="Arial" w:hAnsi="Arial" w:cs="Arial"/>
        </w:rPr>
        <w:t xml:space="preserve">When the FFR rises, borrowing costs increase, which can reduce corporate profits and depress stock prices, including shares in DJI and DJIM. Higher interest rates also reduce the attractiveness of investing in stocks as investors tend to shift to bonds or other safer assets with higher returns </w:t>
      </w:r>
      <w:r w:rsidRPr="00D63AF7">
        <w:rPr>
          <w:rFonts w:ascii="Arial" w:hAnsi="Arial" w:cs="Arial"/>
        </w:rPr>
        <w:fldChar w:fldCharType="begin" w:fldLock="1"/>
      </w:r>
      <w:r w:rsidR="003E3217">
        <w:rPr>
          <w:rFonts w:ascii="Arial" w:hAnsi="Arial" w:cs="Arial"/>
        </w:rPr>
        <w:instrText>ADDIN CSL_CITATION {"citationItems":[{"id":"ITEM-1","itemData":{"DOI":"10.30829/jombi.v3i01.9459","abstract":"&lt;p&gt;&lt;em&gt;&lt;strong&gt;Abstract - This study has a direction to explain the impact of BI Rate, FED Rate, and Inflation simultaneously, partially, and potentially dominant variable influence on the Composite Stock Price Index by conducting a multiple linear regression analysis. The data conducted is monthly data from January 2013 to December 2020 with a sample of 96 time series data for each free and bound variable. The analysis shows that BI Rate, FED Rate, and Inflation simultaneously have a significant effect on the Composite Stock Price Index. As the results of the analysis describe the first, BI Rate partially shows the negative influence on the Composite Stock Price Index; second, the FED Rate has no effect on the Composite Stock Price Index; third, inflation represents a negative influence on the Composite Stock Price Index. In the end, variables that affect the dominant potential of the Composite Stock Price Index are variables of Rupiah Exchange Rate. The results in this study explain the diversity of news on changes in the FED Rate so that investors are confident in their own self-assessment to provide results in investing in stocks.&lt;/strong&gt;&lt;/em&gt;&lt;/p&gt;&lt;p&gt;&lt;strong&gt;Keywords: BI Rate, FED Rate, Inflation, Composite Stock Price Index.&lt;/strong&gt;&lt;/p&gt;","author":[{"dropping-particle":"","family":"Yusuf","given":"Mohammad","non-dropping-particle":"","parse-names":false,"suffix":""},{"dropping-particle":"","family":"Ichsan","given":"Reza Nurul","non-dropping-particle":"","parse-names":false,"suffix":""},{"dropping-particle":"","family":"Suparmin","given":"Sudirman","non-dropping-particle":"","parse-names":false,"suffix":""}],"container-title":"Journal of Management and Business Innovations","id":"ITEM-1","issue":"01","issued":{"date-parts":[["2021"]]},"page":"9","title":"Influence Of BI Rate, FED Rate, And Inflation On Composite Stock Price Index (JCI)","type":"article-journal","volume":"3"},"uris":["http://www.mendeley.com/documents/?uuid=99374b59-ed38-4381-a22a-f4141d8a3742"]}],"mendeley":{"formattedCitation":"(Yusuf et al., 2021)","plainTextFormattedCitation":"(Yusuf et al., 2021)","previouslyFormattedCitation":"(Yusuf et al., 2021)"},"properties":{"noteIndex":0},"schema":"https://github.com/citation-style-language/schema/raw/master/csl-citation.json"}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(Yusuf et al., 2021)</w:t>
      </w:r>
      <w:r w:rsidRPr="00D63AF7">
        <w:rPr>
          <w:rFonts w:ascii="Arial" w:hAnsi="Arial" w:cs="Arial"/>
        </w:rPr>
        <w:fldChar w:fldCharType="end"/>
      </w:r>
      <w:r w:rsidRPr="00D63AF7">
        <w:rPr>
          <w:rFonts w:ascii="Arial" w:hAnsi="Arial" w:cs="Arial"/>
        </w:rPr>
        <w:t>. Conversely, a cut in the FFR tends to drive up stock prices in DJI and DJIM due to lower borrowing costs and greater liquidity for investment.</w:t>
      </w:r>
    </w:p>
    <w:p w14:paraId="3D9215D1" w14:textId="77777777" w:rsidR="00E26D45" w:rsidRPr="00D63AF7" w:rsidRDefault="00E26D45" w:rsidP="00E26D45">
      <w:pPr>
        <w:pBdr>
          <w:top w:val="nil"/>
          <w:left w:val="nil"/>
          <w:bottom w:val="nil"/>
          <w:right w:val="nil"/>
          <w:between w:val="nil"/>
        </w:pBdr>
        <w:contextualSpacing/>
        <w:jc w:val="both"/>
        <w:rPr>
          <w:rFonts w:ascii="Arial" w:hAnsi="Arial" w:cs="Arial"/>
        </w:rPr>
      </w:pPr>
    </w:p>
    <w:bookmarkEnd w:id="2"/>
    <w:p w14:paraId="285BD29D" w14:textId="625031B7"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International financial conditions are determined by monetary shocks that originate in the central country. These shocks then affect financial markets and domestic demand in other open economies, causing macroeconomic and financial conditions to </w:t>
      </w:r>
      <w:proofErr w:type="spellStart"/>
      <w:r w:rsidRPr="00D63AF7">
        <w:rPr>
          <w:rFonts w:ascii="Arial" w:hAnsi="Arial" w:cs="Arial"/>
        </w:rPr>
        <w:t>synchronise</w:t>
      </w:r>
      <w:proofErr w:type="spellEnd"/>
      <w:r w:rsidRPr="00D63AF7">
        <w:rPr>
          <w:rFonts w:ascii="Arial" w:hAnsi="Arial" w:cs="Arial"/>
        </w:rPr>
        <w:t xml:space="preserve"> across nations </w:t>
      </w:r>
      <w:r w:rsidRPr="00D63AF7">
        <w:rPr>
          <w:rFonts w:ascii="Arial" w:hAnsi="Arial" w:cs="Arial"/>
        </w:rPr>
        <w:fldChar w:fldCharType="begin" w:fldLock="1"/>
      </w:r>
      <w:r w:rsidR="003E3217">
        <w:rPr>
          <w:rFonts w:ascii="Arial" w:hAnsi="Arial" w:cs="Arial"/>
        </w:rPr>
        <w:instrText>ADDIN CSL_CITATION {"citationItems":[{"id":"ITEM-1","itemData":{"DOI":"10.2139/ssrn.3560692","ISSN":"18157556","abstract":"We investigate the monetary policy transmission in a rep-resentative small open economy—Canada—over the 2000–17 period. By using a novel set of external instruments, we identify the impacts of domestic (Canada) and foreign (United States) monetary shocks on financial and macroeconomic variables in Canada in a unified structural VAR framework. Our results first confirm that domestic monetary policy transmission oper-ates through interest rate, foreign exchange, and credit channels in Canada. The results further suggest that U.S. monetary policy shocks also have sizable effects on financial conditions in Canada, in line with the credit and risk-taking channels of international monetary spillovers. That said, the U.S. monetary spillovers into Canadian macroeconomic variables could be offset by the fluctuations in exchange rates and net exports in line with the trilemma hypothesis. Finally, our results are robust to various types of instrumental variables on monetary policy shocks.","author":[{"dropping-particle":"","family":"Ha","given":"Jongrim","non-dropping-particle":"","parse-names":false,"suffix":""},{"dropping-particle":"","family":"So","given":"Inhwan","non-dropping-particle":"","parse-names":false,"suffix":""}],"container-title":"International Journal of Central Banking","id":"ITEM-1","issue":"2","issued":{"date-parts":[["2023"]]},"page":"389-472","title":"Which Monetary Shocks Matter in Small Open Economies? Evidence from Canada","type":"article-journal","volume":"19"},"uris":["http://www.mendeley.com/documents/?uuid=98f25b73-a6f6-4705-9d53-32fa375387ff"]}],"mendeley":{"formattedCitation":"(Ha &amp; So, 2023)","plainTextFormattedCitation":"(Ha &amp; So, 2023)","previouslyFormattedCitation":"(Ha &amp; So, 2023)"},"properties":{"noteIndex":0},"schema":"https://github.com/citation-style-language/schema/raw/master/csl-citation.json"}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(Ha &amp; So, 2023)</w:t>
      </w:r>
      <w:r w:rsidRPr="00D63AF7">
        <w:rPr>
          <w:rFonts w:ascii="Arial" w:hAnsi="Arial" w:cs="Arial"/>
        </w:rPr>
        <w:fldChar w:fldCharType="end"/>
      </w:r>
      <w:r w:rsidRPr="00D63AF7">
        <w:rPr>
          <w:rFonts w:ascii="Arial" w:hAnsi="Arial" w:cs="Arial"/>
        </w:rPr>
        <w:t xml:space="preserve">. The </w:t>
      </w:r>
      <w:r w:rsidR="00C63C25">
        <w:rPr>
          <w:rFonts w:ascii="Arial" w:hAnsi="Arial" w:cs="Arial"/>
        </w:rPr>
        <w:t>Indonesian</w:t>
      </w:r>
      <w:r w:rsidRPr="00D63AF7">
        <w:rPr>
          <w:rFonts w:ascii="Arial" w:hAnsi="Arial" w:cs="Arial"/>
        </w:rPr>
        <w:t xml:space="preserve"> Stock Exchange, which represents the Indonesian stock market, plays a significant role in global stock exchange operations. The movement of the stock price index makes clear how closely the Indonesian stock exchange and the international stock exchange are related. The </w:t>
      </w:r>
      <w:r w:rsidR="00C63C25">
        <w:rPr>
          <w:rFonts w:ascii="Arial" w:hAnsi="Arial" w:cs="Arial"/>
        </w:rPr>
        <w:t>Indonesian</w:t>
      </w:r>
      <w:r w:rsidRPr="00D63AF7">
        <w:rPr>
          <w:rFonts w:ascii="Arial" w:hAnsi="Arial" w:cs="Arial"/>
        </w:rPr>
        <w:t xml:space="preserve"> Stock Exchange reacts to shifts in the global stock market more quickly these days, which can have a positive impact. However, this quick response can also have a negative impact; if the global stock market experiences a decline, the Indonesian stock market will also be quickly affected </w:t>
      </w:r>
      <w:r w:rsidRPr="00D63AF7">
        <w:rPr>
          <w:rFonts w:ascii="Arial" w:hAnsi="Arial" w:cs="Arial"/>
        </w:rPr>
        <w:fldChar w:fldCharType="begin" w:fldLock="1"/>
      </w:r>
      <w:r w:rsidR="003E3217">
        <w:rPr>
          <w:rFonts w:ascii="Arial" w:hAnsi="Arial" w:cs="Arial"/>
        </w:rPr>
        <w:instrText>ADDIN CSL_CITATION {"citationItems":[{"id":"ITEM-1","itemData":{"ISSN":"2580-8079","abstract":"Indonesian capital market through the Indonesia Stock Exchange is an integral part of the global stock exchange activities. The closer the relationship between Indonesian stock exchange and global stock exchanges is represented by the relationship between the stock price index. Composite Stock Price Index (CSPI) movement in Indonesia Stock Exchange has decreased for 2 (two) first quarter in 2018. This aim of this study to examine the effect of the global stock price index represented by the Dow Jones index, the Nikkei 225 Index, the Hang Seng Index and rupiah exchange rate against CSPI movement. The observation period uses daily data from 2 January to 31 August 2018. Samples are selected by using judgment sampling method, by taking the stock price index and rupiah exchange rate announced on the same day by all exchanges. There are 145 data samples and was analyzed by using linear regression. The results partially show that Hang Seng index and rupiah exchange rate have a significant effect on the CSPI, while Dow Jones index and the Nikkei 225 Index have no significant effect on the CSPI. Simultaneously all variables have a significant effect on the CSPI. The results of goodness of fit model examination show the ability of the independent variable in explaining the dependent variable is 40.3%, while 59.7% is explained by variables outside the model.","author":[{"dropping-particle":"","family":"Damajanti","given":"Anita","non-dropping-particle":"","parse-names":false,"suffix":""},{"dropping-particle":"","family":"Rosyati","given":"Yulianti","non-dropping-particle":"","parse-names":false,"suffix":""}],"container-title":"Economics &amp; Business Solutions Journal","id":"ITEM-1","issue":"2","issued":{"date-parts":[["2018"]]},"page":"49-58","title":"The Effect Of Global Stock Price Index and Rupiah Exchange Rate on Indonesian Composite Stock Price Index (CSPI) in Indonesian Stock Exchange (IDX)","type":"article-journal","volume":"2"},"uris":["http://www.mendeley.com/documents/?uuid=94d174f8-6a01-4056-aa0d-41ed56609767"]}],"mendeley":{"formattedCitation":"(Damajanti &amp; Rosyati, 2018)","plainTextFormattedCitation":"(Damajanti &amp; Rosyati, 2018)","previouslyFormattedCitation":"(Damajanti &amp; Rosyati, 2018)"},"properties":{"noteIndex":0},"schema":"https://github.com/citation-style-language/schema/raw/master/csl-citation.json"}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(Damajanti &amp; Rosyati, 2018)</w:t>
      </w:r>
      <w:r w:rsidRPr="00D63AF7">
        <w:rPr>
          <w:rFonts w:ascii="Arial" w:hAnsi="Arial" w:cs="Arial"/>
        </w:rPr>
        <w:fldChar w:fldCharType="end"/>
      </w:r>
      <w:r w:rsidRPr="00D63AF7">
        <w:rPr>
          <w:rFonts w:ascii="Arial" w:hAnsi="Arial" w:cs="Arial"/>
        </w:rPr>
        <w:t xml:space="preserve">. The impact of FFR changes on DJI and DJIM can spread to the Indonesian stock market. When the FFR increases, global investors may withdraw their funds from emerging markets to reinvest in the US market, causing capital outflows from Indonesia. Pressure on the Rupiah exchange rate due to this capital outflow can force BI to raise the BI Rate, which can further depress the domestic stock market </w:t>
      </w:r>
      <w:r w:rsidRPr="00D63AF7">
        <w:rPr>
          <w:rFonts w:ascii="Arial" w:hAnsi="Arial" w:cs="Arial"/>
        </w:rPr>
        <w:fldChar w:fldCharType="begin" w:fldLock="1"/>
      </w:r>
      <w:r w:rsidR="003E3217">
        <w:rPr>
          <w:rFonts w:ascii="Arial" w:hAnsi="Arial" w:cs="Arial"/>
        </w:rPr>
        <w:instrText>ADDIN CSL_CITATION {"citationItems":[{"id":"ITEM-1","itemData":{"DOI":"10.30829/jombi.v3i01.9459","abstract":"&lt;p&gt;&lt;em&gt;&lt;strong&gt;Abstract - This study has a direction to explain the impact of BI Rate, FED Rate, and Inflation simultaneously, partially, and potentially dominant variable influence on the Composite Stock Price Index by conducting a multiple linear regression analysis. The data conducted is monthly data from January 2013 to December 2020 with a sample of 96 time series data for each free and bound variable. The analysis shows that BI Rate, FED Rate, and Inflation simultaneously have a significant effect on the Composite Stock Price Index. As the results of the analysis describe the first, BI Rate partially shows the negative influence on the Composite Stock Price Index; second, the FED Rate has no effect on the Composite Stock Price Index; third, inflation represents a negative influence on the Composite Stock Price Index. In the end, variables that affect the dominant potential of the Composite Stock Price Index are variables of Rupiah Exchange Rate. The results in this study explain the diversity of news on changes in the FED Rate so that investors are confident in their own self-assessment to provide results in investing in stocks.&lt;/strong&gt;&lt;/em&gt;&lt;/p&gt;&lt;p&gt;&lt;strong&gt;Keywords: BI Rate, FED Rate, Inflation, Composite Stock Price Index.&lt;/strong&gt;&lt;/p&gt;","author":[{"dropping-particle":"","family":"Yusuf","given":"Mohammad","non-dropping-particle":"","parse-names":false,"suffix":""},{"dropping-particle":"","family":"Ichsan","given":"Reza Nurul","non-dropping-particle":"","parse-names":false,"suffix":""},{"dropping-particle":"","family":"Suparmin","given":"Sudirman","non-dropping-particle":"","parse-names":false,"suffix":""}],"container-title":"Journal of Management and Business Innovations","id":"ITEM-1","issue":"01","issued":{"date-parts":[["2021"]]},"page":"9","title":"Influence Of BI Rate, FED Rate, And Inflation On Composite Stock Price Index (JCI)","type":"article-journal","volume":"3"},"uris":["http://www.mendeley.com/documents/?uuid=99374b59-ed38-4381-a22a-f4141d8a3742"]}],"mendeley":{"formattedCitation":"(Yusuf et al., 2021)","plainTextFormattedCitation":"(Yusuf et al., 2021)","previouslyFormattedCitation":"(Yusuf et al., 2021)"},"properties":{"noteIndex":0},"schema":"https://github.com/citation-style-language/schema/raw/master/csl-citation.json"}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(Yusuf et al., 2021)</w:t>
      </w:r>
      <w:r w:rsidRPr="00D63AF7">
        <w:rPr>
          <w:rFonts w:ascii="Arial" w:hAnsi="Arial" w:cs="Arial"/>
        </w:rPr>
        <w:fldChar w:fldCharType="end"/>
      </w:r>
      <w:r w:rsidRPr="00D63AF7">
        <w:rPr>
          <w:rFonts w:ascii="Arial" w:hAnsi="Arial" w:cs="Arial"/>
        </w:rPr>
        <w:t xml:space="preserve">. </w:t>
      </w:r>
    </w:p>
    <w:p w14:paraId="65AB99CA"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0337C28A" w14:textId="31EE4723"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Global investor sentiment also plays an important role, where changes in the FFR and the performance of the DJI and DJIM affect the perception of risk and investment opportunities in the Indonesian stock market. If investors see an increase in the FFR as a sign of a strong US economy but at risk of high inflation, they may be more cautious in investing in emerging </w:t>
      </w:r>
      <w:r w:rsidRPr="00D63AF7">
        <w:rPr>
          <w:rFonts w:ascii="Arial" w:hAnsi="Arial" w:cs="Arial"/>
        </w:rPr>
        <w:lastRenderedPageBreak/>
        <w:t xml:space="preserve">markets, including Indonesia. In addition, the DJIM and JII, as stock indices that comply with Sharia principles, show a response that may be slightly different due to their portfolio structure. </w:t>
      </w:r>
      <w:r w:rsidR="00C35A4A" w:rsidRPr="00C35A4A">
        <w:rPr>
          <w:rFonts w:ascii="Arial" w:hAnsi="Arial" w:cs="Arial"/>
        </w:rPr>
        <w:t xml:space="preserve">According to IDX </w:t>
      </w:r>
      <w:r w:rsidR="00C35A4A" w:rsidRPr="00C35A4A">
        <w:rPr>
          <w:rFonts w:ascii="Arial" w:hAnsi="Arial" w:cs="Arial"/>
        </w:rPr>
        <w:fldChar w:fldCharType="begin" w:fldLock="1"/>
      </w:r>
      <w:r w:rsidR="00351490">
        <w:rPr>
          <w:rFonts w:ascii="Arial" w:hAnsi="Arial" w:cs="Arial"/>
        </w:rPr>
        <w:instrText>ADDIN CSL_CITATION {"citationItems":[{"id":"ITEM-1","itemData":{"URL":"https://www.idx.co.id/id/idx-syariah/produk-syariah/","accessed":{"date-parts":[["2025","11","15"]]},"author":[{"dropping-particle":"","family":"IDX","given":"","non-dropping-particle":"","parse-names":false,"suffix":""}],"container-title":"Indonesia Stock Exchange","id":"ITEM-1","issued":{"date-parts":[["2025"]]},"title":"IDX Syariah","type":"webpage"},"suppress-author":1,"uris":["http://www.mendeley.com/documents/?uuid=14214c13-421e-45c4-90cd-d2772d8bc0ac"]}],"mendeley":{"formattedCitation":"(2025)","plainTextFormattedCitation":"(2025)","previouslyFormattedCitation":"(2025)"},"properties":{"noteIndex":0},"schema":"https://github.com/citation-style-language/schema/raw/master/csl-citation.json"}</w:instrText>
      </w:r>
      <w:r w:rsidR="00C35A4A" w:rsidRPr="00C35A4A">
        <w:rPr>
          <w:rFonts w:ascii="Arial" w:hAnsi="Arial" w:cs="Arial"/>
        </w:rPr>
        <w:fldChar w:fldCharType="separate"/>
      </w:r>
      <w:r w:rsidR="00C35A4A" w:rsidRPr="00C35A4A">
        <w:rPr>
          <w:rFonts w:ascii="Arial" w:hAnsi="Arial" w:cs="Arial"/>
          <w:noProof/>
        </w:rPr>
        <w:t>(2025)</w:t>
      </w:r>
      <w:r w:rsidR="00C35A4A" w:rsidRPr="00C35A4A">
        <w:rPr>
          <w:rFonts w:ascii="Arial" w:hAnsi="Arial" w:cs="Arial"/>
        </w:rPr>
        <w:fldChar w:fldCharType="end"/>
      </w:r>
      <w:r w:rsidR="00C35A4A" w:rsidRPr="00C35A4A">
        <w:rPr>
          <w:rFonts w:ascii="Arial" w:hAnsi="Arial" w:cs="Arial"/>
        </w:rPr>
        <w:t>,</w:t>
      </w:r>
      <w:r w:rsidR="00C35A4A">
        <w:rPr>
          <w:rFonts w:ascii="Times New Roman" w:hAnsi="Times New Roman"/>
        </w:rPr>
        <w:t xml:space="preserve"> </w:t>
      </w:r>
      <w:r w:rsidR="00C35A4A" w:rsidRPr="00C35A4A">
        <w:rPr>
          <w:rFonts w:ascii="Arial" w:hAnsi="Arial" w:cs="Arial"/>
        </w:rPr>
        <w:t>shares listed in the sharia stock category must comply with Islamic principles, where issuers may not engage in business activities prohibited by sharia, such as gambling, usury, or permissible elements (</w:t>
      </w:r>
      <w:proofErr w:type="spellStart"/>
      <w:r w:rsidR="00C35A4A" w:rsidRPr="00C35A4A">
        <w:rPr>
          <w:rFonts w:ascii="Arial" w:hAnsi="Arial" w:cs="Arial"/>
          <w:i/>
          <w:iCs/>
        </w:rPr>
        <w:t>gharar</w:t>
      </w:r>
      <w:proofErr w:type="spellEnd"/>
      <w:r w:rsidR="00C35A4A" w:rsidRPr="00C35A4A">
        <w:rPr>
          <w:rFonts w:ascii="Arial" w:hAnsi="Arial" w:cs="Arial"/>
        </w:rPr>
        <w:t>). Furthermore, issuers may not have total interest-based debt compared to total assets exceeding 45 percent, and total interest and non-halal income must not exceed 10 percent.</w:t>
      </w:r>
      <w:r w:rsidR="00C35A4A">
        <w:rPr>
          <w:rFonts w:ascii="Arial" w:hAnsi="Arial" w:cs="Arial"/>
        </w:rPr>
        <w:t xml:space="preserve"> </w:t>
      </w:r>
      <w:r w:rsidRPr="00D63AF7">
        <w:rPr>
          <w:rFonts w:ascii="Arial" w:hAnsi="Arial" w:cs="Arial"/>
        </w:rPr>
        <w:t xml:space="preserve">Sharia stocks tend to be more stable in some situations due to their lower dependence on the financial sector, which is very sensitive to changes in interest rates​​ </w:t>
      </w:r>
      <w:r w:rsidRPr="00D63AF7">
        <w:rPr>
          <w:rFonts w:ascii="Arial" w:hAnsi="Arial" w:cs="Arial"/>
        </w:rPr>
        <w:fldChar w:fldCharType="begin" w:fldLock="1"/>
      </w:r>
      <w:r w:rsidR="003E3217">
        <w:rPr>
          <w:rFonts w:ascii="Arial" w:hAnsi="Arial" w:cs="Arial"/>
        </w:rPr>
        <w:instrText>ADDIN CSL_CITATION {"citationItems":[{"id":"ITEM-1","itemData":{"DOI":"10.29313/amwaluna.v7i1.7001","ISSN":"2540-8399","abstract":"This paper aims to investigate whether foreign interest rate determines Islamic stock prices vis-à-vis domestic interest rate. The method applied is the Autoregressive Distributed Lag (ARDL) model to Indonesian data from January 2008 to June 2018. The study found a long-run negative relationship between foreign interest rate with both Islamic and conventional stock prices. Additionally, foreign interest rate is more important than domestic interest rate in determining the price of both types of stocks. Although Islamic stocks are affected by foreign interest rate dynamics, they are less responsive to changes of the Libor than conventional equities. In addition, it is found that GDP, money supply and real exchange rate has a long-run positive relation with both stock price. Thus, although Islamic equity prices are not insulated against foreign interest rates, they are less responsive to international financial markets movements than conventional stocks. For policy, authorities should pay close attention to foreign interest rate dynamics. While policy makers and fund managers in a dual capital market can use Islamic stocks to provide cushion against dynamics of international funds market.","author":[{"dropping-particle":"","family":"Machtra","given":"Catona","non-dropping-particle":"","parse-names":false,"suffix":""},{"dropping-particle":"","family":"Majid","given":"Muhammad Shabri Abdul","non-dropping-particle":"","parse-names":false,"suffix":""},{"dropping-particle":"","family":"Dawood","given":"Taufiq Carnegie","non-dropping-particle":"","parse-names":false,"suffix":""}],"container-title":"Amwaluna: Jurnal Ekonomi dan Keuangan Syariah","id":"ITEM-1","issue":"1","issued":{"date-parts":[["2023"]]},"page":"1-10","title":"Does Foreign Interest Rate Determine Islamic Stock Prices?","type":"article-journal","volume":"7"},"uris":["http://www.mendeley.com/documents/?uuid=42a9fda5-f7ea-4d60-93d5-a77df13a9aa9"]}],"mendeley":{"formattedCitation":"(Machtra et al., 2023)","plainTextFormattedCitation":"(Machtra et al., 2023)","previouslyFormattedCitation":"(Machtra et al., 2023)"},"properties":{"noteIndex":0},"schema":"https://github.com/citation-style-language/schema/raw/master/csl-citation.json"}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(Machtra et al., 2023)</w:t>
      </w:r>
      <w:r w:rsidRPr="00D63AF7">
        <w:rPr>
          <w:rFonts w:ascii="Arial" w:hAnsi="Arial" w:cs="Arial"/>
        </w:rPr>
        <w:fldChar w:fldCharType="end"/>
      </w:r>
      <w:r w:rsidRPr="00D63AF7">
        <w:rPr>
          <w:rFonts w:ascii="Arial" w:hAnsi="Arial" w:cs="Arial"/>
        </w:rPr>
        <w:t>. Thus, changes in the FFR have a significant impact on the DJI and DJIM, which then affect the domestic stock indexes, in this case, the IDX Composite and the Jakarta Islamic Index (JII), through the mechanisms of global capital flows, investor sentiment, and domestic monetary policy responses.</w:t>
      </w:r>
    </w:p>
    <w:p w14:paraId="0D2EC7AE"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56AF23BF" w14:textId="394A1A53"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As a country with a Muslim population of almost 87 percent, the development of the Sharia stock market in Indonesia continues to grow from year to year</w:t>
      </w:r>
      <w:r w:rsidR="00C63C25">
        <w:rPr>
          <w:rFonts w:ascii="Arial" w:hAnsi="Arial" w:cs="Arial"/>
        </w:rPr>
        <w:t>.</w:t>
      </w:r>
      <w:r w:rsidRPr="00D63AF7">
        <w:rPr>
          <w:rFonts w:ascii="Arial" w:hAnsi="Arial" w:cs="Arial"/>
        </w:rPr>
        <w:t xml:space="preserve"> This can be seen in 2024</w:t>
      </w:r>
      <w:r w:rsidR="00C63C25">
        <w:rPr>
          <w:rFonts w:ascii="Arial" w:hAnsi="Arial" w:cs="Arial"/>
        </w:rPr>
        <w:t>,</w:t>
      </w:r>
      <w:r w:rsidRPr="00D63AF7">
        <w:rPr>
          <w:rFonts w:ascii="Arial" w:hAnsi="Arial" w:cs="Arial"/>
        </w:rPr>
        <w:t xml:space="preserve"> when Sharia shares reached 68 percent of the total shares listed on the Indonesia Stock Exchange</w:t>
      </w:r>
      <w:r w:rsidR="00C63C25">
        <w:rPr>
          <w:rFonts w:ascii="Arial" w:hAnsi="Arial" w:cs="Arial"/>
        </w:rPr>
        <w:t>,</w:t>
      </w:r>
      <w:r w:rsidRPr="00D63AF7">
        <w:rPr>
          <w:rFonts w:ascii="Arial" w:hAnsi="Arial" w:cs="Arial"/>
        </w:rPr>
        <w:t xml:space="preserve"> with a total of 639 issuers </w:t>
      </w:r>
      <w:r w:rsidRPr="00D63AF7">
        <w:rPr>
          <w:rFonts w:ascii="Arial" w:hAnsi="Arial" w:cs="Arial"/>
        </w:rPr>
        <w:fldChar w:fldCharType="begin" w:fldLock="1"/>
      </w:r>
      <w:r w:rsidR="003E3217">
        <w:rPr>
          <w:rFonts w:ascii="Arial" w:hAnsi="Arial" w:cs="Arial"/>
        </w:rPr>
        <w:instrText>ADDIN CSL_CITATION {"citationItems":[{"id":"ITEM-1","itemData":{"URL":"https://www.indopremier.com/ipotnews/newsDetail.php?jdl=Saham_Syariah_di_BEI_Capai_68__Dari_Total_Listing_per_9_September_2024&amp;news_id=186581&amp;group_news=IPOTNEWS&amp;news_date=&amp;taging_subtype=MARKETOVERVIEW&amp;name=&amp;search=y_general&amp;q=saham syariah&amp;halaman=1#:~:","accessed":{"date-parts":[["2024","11","20"]]},"author":[{"dropping-particle":"","family":"IndoPremier","given":"","non-dropping-particle":"","parse-names":false,"suffix":""}],"container-title":"IPOTNEWS","id":"ITEM-1","issued":{"date-parts":[["2024"]]},"title":"Saham Syariah di BEI Capai 68% Dari Total Listing per 9 September 2024","type":"webpage"},"uris":["http://www.mendeley.com/documents/?uuid=24a51ab6-2c47-45f2-96dd-b49b13fcc037"]}],"mendeley":{"formattedCitation":"(IndoPremier, 2024)","plainTextFormattedCitation":"(IndoPremier, 2024)","previouslyFormattedCitation":"(IndoPremier, 2024)"},"properties":{"noteIndex":0},"schema":"https://github.com/citation-style-language/schema/raw/master/csl-citation.json"}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(IndoPremier, 2024)</w:t>
      </w:r>
      <w:r w:rsidRPr="00D63AF7">
        <w:rPr>
          <w:rFonts w:ascii="Arial" w:hAnsi="Arial" w:cs="Arial"/>
        </w:rPr>
        <w:fldChar w:fldCharType="end"/>
      </w:r>
      <w:r w:rsidRPr="00D63AF7">
        <w:rPr>
          <w:rFonts w:ascii="Arial" w:hAnsi="Arial" w:cs="Arial"/>
        </w:rPr>
        <w:t xml:space="preserve">. The development and growth of the Sharia stock market are also proven by the increase in the value of the Sharia market capacity index, which grew by 6.02 percent; the growth of corporate sukuk increased by 8.71 percent, and government sukuk increased by 2.90 percent in 2022 </w:t>
      </w:r>
      <w:r w:rsidRPr="00D63AF7">
        <w:rPr>
          <w:rFonts w:ascii="Arial" w:hAnsi="Arial" w:cs="Arial"/>
        </w:rPr>
        <w:fldChar w:fldCharType="begin" w:fldLock="1"/>
      </w:r>
      <w:r w:rsidR="003E3217">
        <w:rPr>
          <w:rFonts w:ascii="Arial" w:hAnsi="Arial" w:cs="Arial"/>
        </w:rPr>
        <w:instrText>ADDIN CSL_CITATION {"citationItems":[{"id":"ITEM-1","itemData":{"DOI":"10.20473/vol10iss20232pp188-202","ISBN":"2220801101","ISSN":"2407-1935","abstract":"ABSTRACT The research aims to determine the impact of the Dow Jones Islamic Market (DJIM), Interest Rates, Rupiah Exchange Rate, and Inflation on the Indonesian Sharia Stock Index (ISSI). This research is a quantitative research with data processing using Eviews 10 software. Data collection uses secondary data of the time series type and the method of analysis used is multiple linear regression. Before data analysis was carried out, the researcher conducted a classic assumption test to ensure that the model met the assumptions of the OLS method. The data is taken from the monthly closing price or value of each variable from 2018-2022 (60 months). The results of the study show that simultaneously the Indonesian Sharia Stock Index is influenced by the Dow Jones Islamic Market, Interest Rates, the rupiah exchange rate, and inflation. The amount of influence caused by the independent variable is 75.4% on the dependent variable. While partially the Dow Jones Islamic Market, interest rates and inflation have a significant positive effect, while the rupiah exchange rate has a significant negative effect on the Indonesian sharia stock index. The influence exerted by the dow jones Islamic market, interest rates, rupiah exchange rate and inflation on the Indonesian Islamic stock index gives an illustration to investors that the fluctuations in the price of Islamic stock indexes can be influenced by foreign indices, the national economy and the global economy. Keywords: Dow jones Islamic market, interest rates, rupiah exchange rates, inflation, Indonesian sharia stock index ABSTRAK Penelitian bertujuan mengetahui pengaruh Dow Jones Islamic Market (DJIM), Suku Bunga, Kurs Rupiah, dan Inflasi terhadap Indeks Saham Syariah Indonesia (ISSI). Penelitian ini merupakan penelitian kuantitatif dengan pengolahan data menggunakan software Eviews 10. Pengumpulan data menggunakan data sekunder tipe time series serta metode analisis yang dipakai adalah regresi linear berganda. Sebelum analisis data dilakukan, peneliti melakukan uji asumsi klasik untuk memastikan model telah memenuhi asumsi metode OLS. Data diambil dari harga atau nilai penutupan bulanan masing-masing variabel dari tahun 2018-2022 (60 bulan). Hasil penelitian menunjukkan bahwa secara simultan Indeks Saham Syariah Indonesia dipengaruhi oleh Dow Jones Islamic Market, Suku Bunga, kurs rupiah, dan inflasi. Besaran pengaruh yang disebabkan variabel independen sebesar 75.4% terhadap variabel dependen. Sedangkan secara…","author":[{"dropping-particle":"","family":"Amal","given":"Muhammad Ahsanul","non-dropping-particle":"","parse-names":false,"suffix":""},{"dropping-particle":"","family":"Musthofa","given":"Muhammad Wakhid","non-dropping-particle":"","parse-names":false,"suffix":""}],"container-title":"Jurnal Ekonomi Syariah Teori dan Terapan","id":"ITEM-1","issue":"2","issued":{"date-parts":[["2023"]]},"page":"188-202","title":"The Impact of the Dow Jones Islamic Market, Interest Rate, Rupiah Exchange Rate, and Inflation on the Indonesian Sharia Stock Index during 2018-2022 Period","type":"article-journal","volume":"10"},"uris":["http://www.mendeley.com/documents/?uuid=12b426d6-564c-462d-bdc3-10a97bf9ff63"]}],"mendeley":{"formattedCitation":"(Amal &amp; Musthofa, 2023)","plainTextFormattedCitation":"(Amal &amp; Musthofa, 2023)","previouslyFormattedCitation":"(Amal &amp; Musthofa, 2023)"},"properties":{"noteIndex":0},"schema":"https://github.com/citation-style-language/schema/raw/master/csl-citation.json"}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(Amal &amp; Musthofa, 2023)</w:t>
      </w:r>
      <w:r w:rsidRPr="00D63AF7">
        <w:rPr>
          <w:rFonts w:ascii="Arial" w:hAnsi="Arial" w:cs="Arial"/>
        </w:rPr>
        <w:fldChar w:fldCharType="end"/>
      </w:r>
      <w:r w:rsidRPr="00D63AF7">
        <w:rPr>
          <w:rFonts w:ascii="Arial" w:hAnsi="Arial" w:cs="Arial"/>
        </w:rPr>
        <w:t>. From the transaction side, the Sharia stock market also contributed 76 percent of daily transactions on the IDX, with capital amounting to 54 percent of the total capital on the IDX</w:t>
      </w:r>
      <w:r w:rsidR="00C63C25">
        <w:rPr>
          <w:rFonts w:ascii="Arial" w:hAnsi="Arial" w:cs="Arial"/>
        </w:rPr>
        <w:t>.</w:t>
      </w:r>
      <w:r w:rsidRPr="00D63AF7">
        <w:rPr>
          <w:rFonts w:ascii="Arial" w:hAnsi="Arial" w:cs="Arial"/>
        </w:rPr>
        <w:t xml:space="preserve"> </w:t>
      </w:r>
      <w:r w:rsidRPr="00D63AF7">
        <w:rPr>
          <w:rFonts w:ascii="Arial" w:hAnsi="Arial" w:cs="Arial"/>
        </w:rPr>
        <w:fldChar w:fldCharType="begin" w:fldLock="1"/>
      </w:r>
      <w:r w:rsidR="003E3217">
        <w:rPr>
          <w:rFonts w:ascii="Arial" w:hAnsi="Arial" w:cs="Arial"/>
        </w:rPr>
        <w:instrText>ADDIN CSL_CITATION {"citationItems":[{"id":"ITEM-1","itemData":{"URL":"https://www.indopremier.com/ipotnews/newsDetail.php?jdl=Saham_Syariah_di_BEI_Capai_68__Dari_Total_Listing_per_9_September_2024&amp;news_id=186581&amp;group_news=IPOTNEWS&amp;news_date=&amp;taging_subtype=MARKETOVERVIEW&amp;name=&amp;search=y_general&amp;q=saham syariah&amp;halaman=1#:~:","accessed":{"date-parts":[["2024","11","20"]]},"author":[{"dropping-particle":"","family":"IndoPremier","given":"","non-dropping-particle":"","parse-names":false,"suffix":""}],"container-title":"IPOTNEWS","id":"ITEM-1","issued":{"date-parts":[["2024"]]},"title":"Saham Syariah di BEI Capai 68% Dari Total Listing per 9 September 2024","type":"webpage"},"uris":["http://www.mendeley.com/documents/?uuid=24a51ab6-2c47-45f2-96dd-b49b13fcc037"]}],"mendeley":{"formattedCitation":"(IndoPremier, 2024)","plainTextFormattedCitation":"(IndoPremier, 2024)","previouslyFormattedCitation":"(IndoPremier, 2024)"},"properties":{"noteIndex":0},"schema":"https://github.com/citation-style-language/schema/raw/master/csl-citation.json"}</w:instrText>
      </w:r>
      <w:r w:rsidRPr="00D63AF7">
        <w:rPr>
          <w:rFonts w:ascii="Arial" w:hAnsi="Arial" w:cs="Arial"/>
        </w:rPr>
        <w:fldChar w:fldCharType="separate"/>
      </w:r>
      <w:r w:rsidR="006D3F92" w:rsidRPr="006D3F92">
        <w:rPr>
          <w:rFonts w:ascii="Arial" w:hAnsi="Arial" w:cs="Arial"/>
          <w:noProof/>
        </w:rPr>
        <w:t>(IndoPremier, 2024)</w:t>
      </w:r>
      <w:r w:rsidRPr="00D63AF7">
        <w:rPr>
          <w:rFonts w:ascii="Arial" w:hAnsi="Arial" w:cs="Arial"/>
        </w:rPr>
        <w:fldChar w:fldCharType="end"/>
      </w:r>
      <w:r w:rsidRPr="00D63AF7">
        <w:rPr>
          <w:rFonts w:ascii="Arial" w:hAnsi="Arial" w:cs="Arial"/>
        </w:rPr>
        <w:t>.</w:t>
      </w:r>
    </w:p>
    <w:p w14:paraId="17FB3670"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1B642C00" w14:textId="77777777" w:rsidR="00E26D45" w:rsidRPr="00D63AF7" w:rsidRDefault="00E26D45" w:rsidP="00E26D45">
      <w:pPr>
        <w:pBdr>
          <w:top w:val="nil"/>
          <w:left w:val="nil"/>
          <w:bottom w:val="nil"/>
          <w:right w:val="nil"/>
          <w:between w:val="nil"/>
        </w:pBdr>
        <w:contextualSpacing/>
        <w:jc w:val="both"/>
        <w:rPr>
          <w:rFonts w:ascii="Arial" w:hAnsi="Arial" w:cs="Arial"/>
        </w:rPr>
      </w:pPr>
      <w:r w:rsidRPr="00D63AF7">
        <w:rPr>
          <w:rFonts w:ascii="Arial" w:hAnsi="Arial" w:cs="Arial"/>
        </w:rPr>
        <w:t xml:space="preserve">Three problem formulations that are the primary concerns in this study were identified based on the background information provided above. First, what impact does the shift in US monetary policy have on the state of the Indonesian economy? Second, what impact does the traditional Indonesian stock market have on the traditional US stock market? In what ways does the US Sharia stock market influence </w:t>
      </w:r>
      <w:proofErr w:type="gramStart"/>
      <w:r w:rsidRPr="00D63AF7">
        <w:rPr>
          <w:rFonts w:ascii="Arial" w:hAnsi="Arial" w:cs="Arial"/>
        </w:rPr>
        <w:t>the  Indonesian</w:t>
      </w:r>
      <w:proofErr w:type="gramEnd"/>
      <w:r w:rsidRPr="00D63AF7">
        <w:rPr>
          <w:rFonts w:ascii="Arial" w:hAnsi="Arial" w:cs="Arial"/>
        </w:rPr>
        <w:t xml:space="preserve"> Sharia stock market? Based on the problem formulation, the goal of this study is to ascertain how shifts in the course of US monetary policy may impact the state of the Indonesian economy and how the US stock market influences the Indonesian stock market, including both the conventional and sharia stock markets.</w:t>
      </w:r>
    </w:p>
    <w:p w14:paraId="6CF8B026" w14:textId="77777777" w:rsidR="00E26D45" w:rsidRPr="00D63AF7" w:rsidRDefault="00E26D45" w:rsidP="00E26D45">
      <w:pPr>
        <w:pBdr>
          <w:top w:val="nil"/>
          <w:left w:val="nil"/>
          <w:bottom w:val="nil"/>
          <w:right w:val="nil"/>
          <w:between w:val="nil"/>
        </w:pBdr>
        <w:contextualSpacing/>
        <w:jc w:val="both"/>
        <w:rPr>
          <w:rFonts w:ascii="Arial" w:hAnsi="Arial" w:cs="Arial"/>
        </w:rPr>
      </w:pPr>
    </w:p>
    <w:p w14:paraId="3E9DD7A4" w14:textId="3EDCC037" w:rsidR="00B01FCD" w:rsidRDefault="00E26D45" w:rsidP="00D63AF7">
      <w:pPr>
        <w:pBdr>
          <w:top w:val="nil"/>
          <w:left w:val="nil"/>
          <w:bottom w:val="nil"/>
          <w:right w:val="nil"/>
          <w:between w:val="nil"/>
        </w:pBdr>
        <w:contextualSpacing/>
        <w:jc w:val="both"/>
        <w:rPr>
          <w:rFonts w:ascii="Arial" w:hAnsi="Arial" w:cs="Arial"/>
        </w:rPr>
      </w:pPr>
      <w:r w:rsidRPr="00D63AF7">
        <w:rPr>
          <w:rFonts w:ascii="Arial" w:hAnsi="Arial" w:cs="Arial"/>
        </w:rPr>
        <w:t xml:space="preserve">This study offers novelty with a comprehensive approach that combines analysis of FFR changes, DJI and DJIM performance, and their impacts on BI Rate, exchange rate, inflation, production index, IDX Composite, and JII in the context of the Indonesian economy. Although many studies have examined the effect of FFR on financial markets in general, this study is unique because it specifically examines how the performance of conventional and Sharia indices in the United States stock market affects the financial market in Indonesia. In addition, this study integrates analysis of key macroeconomic variables such as inflation, exchange rate, and production index, and provides a holistic view of the impact of global monetary policy on the domestic economy. </w:t>
      </w:r>
      <w:r w:rsidR="001A76AC" w:rsidRPr="001A76AC">
        <w:rPr>
          <w:rFonts w:ascii="Arial" w:hAnsi="Arial" w:cs="Arial"/>
        </w:rPr>
        <w:t>This interdisciplinary approach and focus on comparing conventional and Islamic stock markets in both countries contribute to the literature by integrating the responses of conventional and Islamic stock markets to changes in US monetary policy</w:t>
      </w:r>
      <w:r w:rsidR="00C63C25">
        <w:rPr>
          <w:rFonts w:ascii="Arial" w:hAnsi="Arial" w:cs="Arial"/>
        </w:rPr>
        <w:t>,</w:t>
      </w:r>
      <w:r w:rsidR="001A76AC" w:rsidRPr="001A76AC">
        <w:rPr>
          <w:rFonts w:ascii="Arial" w:hAnsi="Arial" w:cs="Arial"/>
        </w:rPr>
        <w:t xml:space="preserve"> an area rarely studied within a single SVAR framework. Furthermore, this research provides a new practical contribution to the </w:t>
      </w:r>
      <w:proofErr w:type="spellStart"/>
      <w:r w:rsidR="001A76AC" w:rsidRPr="001A76AC">
        <w:rPr>
          <w:rFonts w:ascii="Arial" w:hAnsi="Arial" w:cs="Arial"/>
        </w:rPr>
        <w:t>economics</w:t>
      </w:r>
      <w:proofErr w:type="spellEnd"/>
      <w:r w:rsidR="001A76AC" w:rsidRPr="001A76AC">
        <w:rPr>
          <w:rFonts w:ascii="Arial" w:hAnsi="Arial" w:cs="Arial"/>
        </w:rPr>
        <w:t xml:space="preserve"> and monetary policy literature</w:t>
      </w:r>
      <w:r w:rsidR="00C63C25">
        <w:rPr>
          <w:rFonts w:ascii="Arial" w:hAnsi="Arial" w:cs="Arial"/>
        </w:rPr>
        <w:t>,</w:t>
      </w:r>
      <w:r w:rsidR="001A76AC">
        <w:rPr>
          <w:rFonts w:ascii="Arial" w:hAnsi="Arial" w:cs="Arial"/>
        </w:rPr>
        <w:t xml:space="preserve"> offering </w:t>
      </w:r>
      <w:r w:rsidRPr="00D63AF7">
        <w:rPr>
          <w:rFonts w:ascii="Arial" w:hAnsi="Arial" w:cs="Arial"/>
        </w:rPr>
        <w:t>valuable insights for policymakers and market players in dealing with complex global economic dynamics. Understanding these dynamics is important for market players and policymakers to anticipate changes and take appropriate steps to maintain economic stability and growth.</w:t>
      </w:r>
    </w:p>
    <w:p w14:paraId="48667CF4" w14:textId="77777777" w:rsidR="00790ADA" w:rsidRPr="00FB3A86" w:rsidRDefault="00790ADA" w:rsidP="00441B6F">
      <w:pPr>
        <w:pStyle w:val="Body"/>
        <w:spacing w:after="0"/>
        <w:rPr>
          <w:rFonts w:ascii="Arial" w:hAnsi="Arial" w:cs="Arial"/>
        </w:rPr>
      </w:pPr>
    </w:p>
    <w:p w14:paraId="1ED47655" w14:textId="6E392E51"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C63C25">
        <w:rPr>
          <w:rFonts w:ascii="Arial" w:hAnsi="Arial" w:cs="Arial"/>
        </w:rPr>
        <w:t>LITERATURE</w:t>
      </w:r>
      <w:r w:rsidR="00F42A94">
        <w:rPr>
          <w:rFonts w:ascii="Arial" w:hAnsi="Arial" w:cs="Arial"/>
        </w:rPr>
        <w:t xml:space="preserve"> </w:t>
      </w:r>
      <w:r w:rsidR="00DB5DD4">
        <w:rPr>
          <w:rFonts w:ascii="Arial" w:hAnsi="Arial" w:cs="Arial"/>
        </w:rPr>
        <w:t>REVIEW</w:t>
      </w:r>
    </w:p>
    <w:p w14:paraId="4DC553CE" w14:textId="77777777" w:rsidR="00F42A94" w:rsidRPr="00F42A94" w:rsidRDefault="00F42A94" w:rsidP="00F42A94">
      <w:pPr>
        <w:pStyle w:val="NormalWeb"/>
        <w:jc w:val="both"/>
        <w:rPr>
          <w:rFonts w:ascii="Arial" w:eastAsiaTheme="majorEastAsia" w:hAnsi="Arial" w:cs="Arial"/>
          <w:b/>
          <w:bCs/>
          <w:color w:val="000000"/>
          <w:sz w:val="22"/>
          <w:szCs w:val="22"/>
        </w:rPr>
      </w:pPr>
      <w:r w:rsidRPr="00F42A94">
        <w:rPr>
          <w:rFonts w:ascii="Arial" w:eastAsiaTheme="majorEastAsia" w:hAnsi="Arial" w:cs="Arial"/>
          <w:b/>
          <w:bCs/>
          <w:color w:val="000000"/>
          <w:sz w:val="22"/>
          <w:szCs w:val="22"/>
        </w:rPr>
        <w:t>2.1 Mundell-Fleming Theory</w:t>
      </w:r>
    </w:p>
    <w:p w14:paraId="24FFF619" w14:textId="67FC3BDC" w:rsidR="00F42A94" w:rsidRPr="00F42A94" w:rsidRDefault="00F42A94" w:rsidP="00F42A94">
      <w:pPr>
        <w:pStyle w:val="NormalWeb"/>
        <w:jc w:val="both"/>
        <w:rPr>
          <w:rFonts w:ascii="Arial" w:eastAsiaTheme="majorEastAsia" w:hAnsi="Arial" w:cs="Arial"/>
          <w:color w:val="000000"/>
          <w:sz w:val="20"/>
          <w:szCs w:val="20"/>
        </w:rPr>
      </w:pPr>
      <w:r w:rsidRPr="00F42A94">
        <w:rPr>
          <w:rFonts w:ascii="Arial" w:eastAsiaTheme="majorEastAsia" w:hAnsi="Arial" w:cs="Arial"/>
          <w:color w:val="000000"/>
          <w:sz w:val="20"/>
          <w:szCs w:val="20"/>
        </w:rPr>
        <w:t xml:space="preserve">To study and </w:t>
      </w:r>
      <w:proofErr w:type="spellStart"/>
      <w:r w:rsidRPr="00F42A94">
        <w:rPr>
          <w:rFonts w:ascii="Arial" w:eastAsiaTheme="majorEastAsia" w:hAnsi="Arial" w:cs="Arial"/>
          <w:color w:val="000000"/>
          <w:sz w:val="20"/>
          <w:szCs w:val="20"/>
        </w:rPr>
        <w:t>analyze</w:t>
      </w:r>
      <w:proofErr w:type="spellEnd"/>
      <w:r w:rsidRPr="00F42A94">
        <w:rPr>
          <w:rFonts w:ascii="Arial" w:eastAsiaTheme="majorEastAsia" w:hAnsi="Arial" w:cs="Arial"/>
          <w:color w:val="000000"/>
          <w:sz w:val="20"/>
          <w:szCs w:val="20"/>
        </w:rPr>
        <w:t xml:space="preserve"> how the correlation between shifts in monetary and fiscal policies in a country with a small open economy is used, the Mundell-Fleming macroeconomic model</w:t>
      </w:r>
      <w:r w:rsidR="00C63C25">
        <w:rPr>
          <w:rFonts w:ascii="Arial" w:eastAsiaTheme="majorEastAsia" w:hAnsi="Arial" w:cs="Arial"/>
          <w:color w:val="000000"/>
          <w:sz w:val="20"/>
          <w:szCs w:val="20"/>
        </w:rPr>
        <w:t>,</w:t>
      </w:r>
      <w:r w:rsidRPr="00F42A94">
        <w:rPr>
          <w:rFonts w:ascii="Arial" w:eastAsiaTheme="majorEastAsia" w:hAnsi="Arial" w:cs="Arial"/>
          <w:color w:val="000000"/>
          <w:sz w:val="20"/>
          <w:szCs w:val="20"/>
        </w:rPr>
        <w:t xml:space="preserve"> </w:t>
      </w:r>
      <w:r w:rsidRPr="00F42A94">
        <w:rPr>
          <w:rFonts w:ascii="Arial" w:hAnsi="Arial" w:cs="Arial"/>
          <w:noProof/>
          <w:sz w:val="20"/>
          <w:szCs w:val="20"/>
        </w:rPr>
        <w:t>Mankiw</w:t>
      </w:r>
      <w:r w:rsidR="00310E8E">
        <w:rPr>
          <w:rFonts w:ascii="Arial" w:hAnsi="Arial" w:cs="Arial"/>
          <w:sz w:val="20"/>
          <w:szCs w:val="20"/>
        </w:rPr>
        <w:t xml:space="preserve"> </w:t>
      </w:r>
      <w:r w:rsidRPr="00F42A94">
        <w:rPr>
          <w:rFonts w:ascii="Arial" w:hAnsi="Arial" w:cs="Arial"/>
          <w:sz w:val="20"/>
          <w:szCs w:val="20"/>
        </w:rPr>
        <w:fldChar w:fldCharType="begin" w:fldLock="1"/>
      </w:r>
      <w:r w:rsidRPr="00F42A94">
        <w:rPr>
          <w:rFonts w:ascii="Arial" w:hAnsi="Arial" w:cs="Arial"/>
          <w:sz w:val="20"/>
          <w:szCs w:val="20"/>
        </w:rPr>
        <w:instrText>ADDIN CSL_CITATION {"citationItems":[{"id":"ITEM-1","itemData":{"author":[{"dropping-particle":"","family":"Mankiw","given":"N.G.","non-dropping-particle":"","parse-names":false,"suffix":""}],"edition":"Keempat","id":"ITEM-1","issued":{"date-parts":[["2007"]]},"publisher":"Terjemahan, Erlangga","publisher-place":"Jakarta","title":"Teori Makro Ekonomi","type":"book"},"suppress-author":1,"uris":["http://www.mendeley.com/documents/?uuid=c51ad0ce-506b-4adf-a8fb-be09016ba805"]}],"mendeley":{"formattedCitation":"(2007)","plainTextFormattedCitation":"(2007)","previouslyFormattedCitation":"(2007)"},"properties":{"noteIndex":0},"schema":"https://github.com/citation-style-language/schema/raw/master/csl-citation.json"}</w:instrText>
      </w:r>
      <w:r w:rsidRPr="00F42A94">
        <w:rPr>
          <w:rFonts w:ascii="Arial" w:hAnsi="Arial" w:cs="Arial"/>
          <w:sz w:val="20"/>
          <w:szCs w:val="20"/>
        </w:rPr>
        <w:fldChar w:fldCharType="separate"/>
      </w:r>
      <w:r w:rsidRPr="00F42A94">
        <w:rPr>
          <w:rFonts w:ascii="Arial" w:hAnsi="Arial" w:cs="Arial"/>
          <w:noProof/>
          <w:sz w:val="20"/>
          <w:szCs w:val="20"/>
        </w:rPr>
        <w:t>(2007)</w:t>
      </w:r>
      <w:r w:rsidRPr="00F42A94">
        <w:rPr>
          <w:rFonts w:ascii="Arial" w:hAnsi="Arial" w:cs="Arial"/>
          <w:sz w:val="20"/>
          <w:szCs w:val="20"/>
        </w:rPr>
        <w:fldChar w:fldCharType="end"/>
      </w:r>
      <w:r w:rsidRPr="00F42A94">
        <w:rPr>
          <w:rFonts w:ascii="Arial" w:hAnsi="Arial" w:cs="Arial"/>
          <w:sz w:val="20"/>
          <w:szCs w:val="20"/>
        </w:rPr>
        <w:t xml:space="preserve"> </w:t>
      </w:r>
      <w:r w:rsidR="00D54945">
        <w:rPr>
          <w:rFonts w:ascii="Arial" w:hAnsi="Arial" w:cs="Arial"/>
          <w:sz w:val="20"/>
          <w:szCs w:val="20"/>
        </w:rPr>
        <w:t xml:space="preserve">and </w:t>
      </w:r>
      <w:r w:rsidRPr="00F42A94">
        <w:rPr>
          <w:rFonts w:ascii="Arial" w:hAnsi="Arial" w:cs="Arial"/>
          <w:noProof/>
          <w:sz w:val="20"/>
          <w:szCs w:val="20"/>
        </w:rPr>
        <w:t>Vidakovic</w:t>
      </w:r>
      <w:r w:rsidR="00D54945">
        <w:rPr>
          <w:rFonts w:ascii="Arial" w:hAnsi="Arial" w:cs="Arial"/>
          <w:noProof/>
          <w:sz w:val="20"/>
          <w:szCs w:val="20"/>
        </w:rPr>
        <w:t xml:space="preserve"> </w:t>
      </w:r>
      <w:r w:rsidRPr="00F42A94">
        <w:rPr>
          <w:rFonts w:ascii="Arial" w:hAnsi="Arial" w:cs="Arial"/>
          <w:sz w:val="20"/>
          <w:szCs w:val="20"/>
        </w:rPr>
        <w:fldChar w:fldCharType="begin" w:fldLock="1"/>
      </w:r>
      <w:r w:rsidRPr="00F42A94">
        <w:rPr>
          <w:rFonts w:ascii="Arial" w:hAnsi="Arial" w:cs="Arial"/>
          <w:sz w:val="20"/>
          <w:szCs w:val="20"/>
        </w:rPr>
        <w:instrText>ADDIN CSL_CITATION {"citationItems":[{"id":"ITEM-1","itemData":{"author":[{"dropping-particle":"","family":"Vidakovic","given":"Neven","non-dropping-particle":"","parse-names":false,"suffix":""}],"id":"ITEM-1","issued":{"date-parts":[["2002"]]},"page":"392-423","title":"Application of the Mundell-Fleming Model on a Small Open Economy","type":"article-journal","volume":"11(3)"},"suppress-author":1,"uris":["http://www.mendeley.com/documents/?uuid=81d12737-3f63-486d-8bd9-802a497c4e70"]}],"mendeley":{"formattedCitation":"(2002)","plainTextFormattedCitation":"(2002)","previouslyFormattedCitation":"(2002)"},"properties":{"noteIndex":0},"schema":"https://github.com/citation-style-language/schema/raw/master/csl-citation.json"}</w:instrText>
      </w:r>
      <w:r w:rsidRPr="00F42A94">
        <w:rPr>
          <w:rFonts w:ascii="Arial" w:hAnsi="Arial" w:cs="Arial"/>
          <w:sz w:val="20"/>
          <w:szCs w:val="20"/>
        </w:rPr>
        <w:fldChar w:fldCharType="separate"/>
      </w:r>
      <w:r w:rsidRPr="00F42A94">
        <w:rPr>
          <w:rFonts w:ascii="Arial" w:hAnsi="Arial" w:cs="Arial"/>
          <w:noProof/>
          <w:sz w:val="20"/>
          <w:szCs w:val="20"/>
        </w:rPr>
        <w:t>(2002)</w:t>
      </w:r>
      <w:r w:rsidRPr="00F42A94">
        <w:rPr>
          <w:rFonts w:ascii="Arial" w:hAnsi="Arial" w:cs="Arial"/>
          <w:sz w:val="20"/>
          <w:szCs w:val="20"/>
        </w:rPr>
        <w:fldChar w:fldCharType="end"/>
      </w:r>
      <w:r w:rsidRPr="00F42A94">
        <w:rPr>
          <w:rFonts w:ascii="Arial" w:eastAsiaTheme="majorEastAsia" w:hAnsi="Arial" w:cs="Arial"/>
          <w:color w:val="000000"/>
          <w:sz w:val="20"/>
          <w:szCs w:val="20"/>
        </w:rPr>
        <w:t xml:space="preserve"> Argue that this Mundell-Fleming model can be assumed to study the economic conditions of countries with small open economies. In this Mundell-Fleming model, monetary instruments such as the amount of money in circulation, government consumption, and taxes are used as fiscal instruments. In the </w:t>
      </w:r>
      <w:r w:rsidR="00C63C25">
        <w:rPr>
          <w:rFonts w:ascii="Arial" w:eastAsiaTheme="majorEastAsia" w:hAnsi="Arial" w:cs="Arial"/>
          <w:color w:val="000000"/>
          <w:sz w:val="20"/>
          <w:szCs w:val="20"/>
        </w:rPr>
        <w:t>Mundell-Fleming</w:t>
      </w:r>
      <w:r w:rsidRPr="00F42A94">
        <w:rPr>
          <w:rFonts w:ascii="Arial" w:eastAsiaTheme="majorEastAsia" w:hAnsi="Arial" w:cs="Arial"/>
          <w:color w:val="000000"/>
          <w:sz w:val="20"/>
          <w:szCs w:val="20"/>
        </w:rPr>
        <w:t xml:space="preserve"> model theory, monetary policy and fiscal policy play an important role in a small open economy. This macroeconomic model, also known as the IS-LM-BP model, provides an important foundation for understanding how monetary policy and fiscal policy correlate with the economic conditions of a small open country like Indonesia.</w:t>
      </w:r>
    </w:p>
    <w:p w14:paraId="0A90E4A4" w14:textId="77777777" w:rsidR="00F42A94" w:rsidRPr="00F42A94" w:rsidRDefault="00F42A94" w:rsidP="00F42A94">
      <w:pPr>
        <w:pStyle w:val="NormalWeb"/>
        <w:jc w:val="both"/>
        <w:rPr>
          <w:rFonts w:ascii="Arial" w:eastAsiaTheme="majorEastAsia" w:hAnsi="Arial" w:cs="Arial"/>
          <w:color w:val="000000"/>
          <w:sz w:val="20"/>
          <w:szCs w:val="20"/>
        </w:rPr>
      </w:pPr>
      <w:r w:rsidRPr="00F42A94">
        <w:rPr>
          <w:rFonts w:ascii="Arial" w:eastAsiaTheme="majorEastAsia" w:hAnsi="Arial" w:cs="Arial"/>
          <w:color w:val="000000"/>
          <w:sz w:val="20"/>
          <w:szCs w:val="20"/>
        </w:rPr>
        <w:t xml:space="preserve">According to Mankiw, </w:t>
      </w:r>
      <w:r w:rsidRPr="00F42A94">
        <w:rPr>
          <w:rFonts w:ascii="Arial" w:hAnsi="Arial" w:cs="Arial"/>
          <w:sz w:val="20"/>
          <w:szCs w:val="20"/>
        </w:rPr>
        <w:fldChar w:fldCharType="begin" w:fldLock="1"/>
      </w:r>
      <w:r w:rsidRPr="00F42A94">
        <w:rPr>
          <w:rFonts w:ascii="Arial" w:hAnsi="Arial" w:cs="Arial"/>
          <w:sz w:val="20"/>
          <w:szCs w:val="20"/>
        </w:rPr>
        <w:instrText>ADDIN CSL_CITATION {"citationItems":[{"id":"ITEM-1","itemData":{"author":[{"dropping-particle":"","family":"Mankiw","given":"N. Gregory","non-dropping-particle":"","parse-names":false,"suffix":""}],"edition":"Ketujuh","id":"ITEM-1","issued":{"date-parts":[["2009"]]},"publisher":"Worth Publishher","publisher-place":"New York","title":"Macroeconomics","type":"book"},"suppress-author":1,"uris":["http://www.mendeley.com/documents/?uuid=d444e0d5-4c8a-4176-98e9-61fd7641733f"]}],"mendeley":{"formattedCitation":"(2009)","plainTextFormattedCitation":"(2009)","previouslyFormattedCitation":"(2009)"},"properties":{"noteIndex":0},"schema":"https://github.com/citation-style-language/schema/raw/master/csl-citation.json"}</w:instrText>
      </w:r>
      <w:r w:rsidRPr="00F42A94">
        <w:rPr>
          <w:rFonts w:ascii="Arial" w:hAnsi="Arial" w:cs="Arial"/>
          <w:sz w:val="20"/>
          <w:szCs w:val="20"/>
        </w:rPr>
        <w:fldChar w:fldCharType="separate"/>
      </w:r>
      <w:r w:rsidRPr="00F42A94">
        <w:rPr>
          <w:rFonts w:ascii="Arial" w:hAnsi="Arial" w:cs="Arial"/>
          <w:noProof/>
          <w:sz w:val="20"/>
          <w:szCs w:val="20"/>
        </w:rPr>
        <w:t>(2009)</w:t>
      </w:r>
      <w:r w:rsidRPr="00F42A94">
        <w:rPr>
          <w:rFonts w:ascii="Arial" w:hAnsi="Arial" w:cs="Arial"/>
          <w:sz w:val="20"/>
          <w:szCs w:val="20"/>
        </w:rPr>
        <w:fldChar w:fldCharType="end"/>
      </w:r>
      <w:r w:rsidRPr="00F42A94">
        <w:rPr>
          <w:rFonts w:ascii="Arial" w:hAnsi="Arial" w:cs="Arial"/>
          <w:sz w:val="20"/>
          <w:szCs w:val="20"/>
        </w:rPr>
        <w:t>In</w:t>
      </w:r>
      <w:r w:rsidRPr="00F42A94">
        <w:rPr>
          <w:rFonts w:ascii="Arial" w:eastAsiaTheme="majorEastAsia" w:hAnsi="Arial" w:cs="Arial"/>
          <w:color w:val="000000"/>
          <w:sz w:val="20"/>
          <w:szCs w:val="20"/>
        </w:rPr>
        <w:t xml:space="preserve"> the Mundell-Fleming model, the equilibrium equation is as follows:</w:t>
      </w:r>
    </w:p>
    <w:p w14:paraId="73A02CF5" w14:textId="40611E1E" w:rsidR="00F42A94" w:rsidRPr="00F42A94" w:rsidRDefault="00F42A94" w:rsidP="00F42A94">
      <w:pPr>
        <w:pStyle w:val="NormalWeb"/>
        <w:jc w:val="center"/>
        <w:rPr>
          <w:rFonts w:ascii="Arial" w:eastAsiaTheme="majorEastAsia" w:hAnsi="Arial" w:cs="Arial"/>
          <w:b/>
          <w:bCs/>
          <w:color w:val="000000"/>
          <w:sz w:val="20"/>
          <w:szCs w:val="20"/>
        </w:rPr>
      </w:pPr>
      <w:r w:rsidRPr="00F42A94">
        <w:rPr>
          <w:rFonts w:ascii="Arial" w:eastAsiaTheme="majorEastAsia" w:hAnsi="Arial" w:cs="Arial"/>
          <w:b/>
          <w:bCs/>
          <w:color w:val="000000"/>
          <w:sz w:val="20"/>
          <w:szCs w:val="20"/>
        </w:rPr>
        <w:t>Y = C (Y - T) + I (r) + G + NX (e)</w:t>
      </w:r>
      <w:r>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t>(1)</w:t>
      </w:r>
    </w:p>
    <w:p w14:paraId="62E9BAD9" w14:textId="5EB3C2F9" w:rsidR="00F42A94" w:rsidRPr="00F42A94" w:rsidRDefault="00F42A94" w:rsidP="00F42A94">
      <w:pPr>
        <w:pStyle w:val="NormalWeb"/>
        <w:jc w:val="center"/>
        <w:rPr>
          <w:rFonts w:ascii="Arial" w:eastAsiaTheme="majorEastAsia" w:hAnsi="Arial" w:cs="Arial"/>
          <w:b/>
          <w:bCs/>
          <w:color w:val="000000"/>
          <w:sz w:val="20"/>
          <w:szCs w:val="20"/>
        </w:rPr>
      </w:pPr>
      <w:r w:rsidRPr="00F42A94">
        <w:rPr>
          <w:rFonts w:ascii="Arial" w:eastAsiaTheme="majorEastAsia" w:hAnsi="Arial" w:cs="Arial"/>
          <w:b/>
          <w:bCs/>
          <w:color w:val="000000"/>
          <w:sz w:val="20"/>
          <w:szCs w:val="20"/>
        </w:rPr>
        <w:t>M / P = L (r, Y)</w:t>
      </w:r>
      <w:r w:rsidRPr="00F42A94">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r>
      <w:r>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t>(2)</w:t>
      </w:r>
    </w:p>
    <w:p w14:paraId="3BB1FCCF" w14:textId="77777777" w:rsidR="00F42A94" w:rsidRPr="00F42A94" w:rsidRDefault="00F42A94" w:rsidP="00F42A94">
      <w:pPr>
        <w:pStyle w:val="NormalWeb"/>
        <w:jc w:val="center"/>
        <w:rPr>
          <w:rFonts w:ascii="Arial" w:eastAsiaTheme="majorEastAsia" w:hAnsi="Arial" w:cs="Arial"/>
          <w:b/>
          <w:bCs/>
          <w:color w:val="000000"/>
          <w:sz w:val="20"/>
          <w:szCs w:val="20"/>
        </w:rPr>
      </w:pPr>
      <w:r w:rsidRPr="00F42A94">
        <w:rPr>
          <w:rFonts w:ascii="Arial" w:eastAsiaTheme="majorEastAsia" w:hAnsi="Arial" w:cs="Arial"/>
          <w:b/>
          <w:bCs/>
          <w:color w:val="000000"/>
          <w:sz w:val="20"/>
          <w:szCs w:val="20"/>
        </w:rPr>
        <w:t>R = r *</w:t>
      </w:r>
      <w:r w:rsidRPr="00F42A94">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r>
      <w:r w:rsidRPr="00F42A94">
        <w:rPr>
          <w:rFonts w:ascii="Arial" w:eastAsiaTheme="majorEastAsia" w:hAnsi="Arial" w:cs="Arial"/>
          <w:b/>
          <w:bCs/>
          <w:color w:val="000000"/>
          <w:sz w:val="20"/>
          <w:szCs w:val="20"/>
        </w:rPr>
        <w:tab/>
        <w:t>(3)</w:t>
      </w:r>
    </w:p>
    <w:p w14:paraId="3AC314C7" w14:textId="408750A8" w:rsidR="00790ADA" w:rsidRPr="00370402" w:rsidRDefault="00F42A94" w:rsidP="00370402">
      <w:pPr>
        <w:pStyle w:val="NormalWeb"/>
        <w:jc w:val="both"/>
        <w:rPr>
          <w:rFonts w:ascii="Arial" w:eastAsiaTheme="majorEastAsia" w:hAnsi="Arial" w:cs="Arial"/>
          <w:color w:val="000000"/>
          <w:sz w:val="20"/>
          <w:szCs w:val="20"/>
          <w:lang w:val="en-US"/>
        </w:rPr>
      </w:pPr>
      <w:r w:rsidRPr="00F42A94">
        <w:rPr>
          <w:rFonts w:ascii="Arial" w:hAnsi="Arial" w:cs="Arial"/>
          <w:sz w:val="20"/>
          <w:szCs w:val="20"/>
        </w:rPr>
        <w:t xml:space="preserve">Many equilibrium situations are projected by equations (1), (2), and (3).  The first is a state of good market equilibrium, in which net exports (NX), government expenditure (G), investment (I), and consumption (C) add up to aggregate income (Y).  For changes in the exchange rate to be proportionate to the real exchange rate, this model assumes that prices remain constant.  The second is the money market equilibrium, which occurs when </w:t>
      </w:r>
      <w:r w:rsidR="008F78D6">
        <w:rPr>
          <w:rFonts w:ascii="Arial" w:hAnsi="Arial" w:cs="Arial"/>
          <w:sz w:val="20"/>
          <w:szCs w:val="20"/>
        </w:rPr>
        <w:t xml:space="preserve">the </w:t>
      </w:r>
      <w:r w:rsidRPr="00F42A94">
        <w:rPr>
          <w:rFonts w:ascii="Arial" w:hAnsi="Arial" w:cs="Arial"/>
          <w:sz w:val="20"/>
          <w:szCs w:val="20"/>
        </w:rPr>
        <w:t xml:space="preserve">real money balance supply and demand are equal (L).  The third is the balance of payments, which is impacted by trade and capital scale variables like interest rate differentials, real exchange rates, and domestic income.  In this instance, the interest rate in the economy is determined by the international interest rate (r*) </w:t>
      </w:r>
      <w:r w:rsidRPr="00F42A94">
        <w:rPr>
          <w:rFonts w:ascii="Arial" w:hAnsi="Arial" w:cs="Arial"/>
          <w:sz w:val="20"/>
          <w:szCs w:val="20"/>
        </w:rPr>
        <w:fldChar w:fldCharType="begin" w:fldLock="1"/>
      </w:r>
      <w:r w:rsidR="003E3217">
        <w:rPr>
          <w:rFonts w:ascii="Arial" w:hAnsi="Arial" w:cs="Arial"/>
          <w:sz w:val="20"/>
          <w:szCs w:val="20"/>
        </w:rPr>
        <w:instrText>ADDIN CSL_CITATION {"citationItems":[{"id":"ITEM-1","itemData":{"DOI":"10.2478/jcbtp-2020-0007","ISSN":"23369205","abstract":"This research aims to analyse the response of the Bank Indonesia (BI rate) to the Indonesian economic stability. The data analysis is stationarity test, model stability test, lag determination, Structural Vector Autoregression (SVAR), Impulse Response Function (IRF), and Variance Decomposition (VD). The research data is obtained from the publication provided by the Federal Reserve Data (FRED), the Bank Indonesia, and the Central Bureau of Statistics. The data used is since the third quarter of 2005 to the first quarter of 2017. The research results showed that the variable of the federal funds rate (FFR) significantly influences the exchange rate and the Consumer Price Index (CPI), but it does not significantly affect the BI rate, the amount of the money supply (M2), and Gross Domestic Product (GDP). The result of the IRF test showed that the BI rate, the amount of money supply, exchange rate (IDR/USD), GDP, and CPI positively and negatively respond the FFR change. The result of VD test indicated that the variation of the BI rate, the currency exchange rate, and CPI are mostly caused by the FFR variation.","author":[{"dropping-particle":"","family":"Mukhlis","given":"Imam","non-dropping-particle":"","parse-names":false,"suffix":""},{"dropping-particle":"","family":"Hidayah","given":"Isnawati","non-dropping-particle":"","parse-names":false,"suffix":""},{"dropping-particle":"","family":"Retnasih","given":"Nora Ria","non-dropping-particle":"","parse-names":false,"suffix":""}],"container-title":"Journal of Central Banking Theory and Practice","id":"ITEM-1","issue":"1","issued":{"date-parts":[["2020"]]},"page":"111-133","title":"Interest Rate Volatility of the Federal Funds Rate: Response of the Bank Indonesia and its Impact on the Indonesian Economic Stability","type":"article-journal","volume":"9"},"uris":["http://www.mendeley.com/documents/?uuid=b5ef5229-4609-4b08-9323-dfc1746b5c0d"]}],"mendeley":{"formattedCitation":"(Mukhlis et al., 2020)","plainTextFormattedCitation":"(Mukhlis et al., 2020)","previouslyFormattedCitation":"(Mukhlis et al., 2020)"},"properties":{"noteIndex":0},"schema":"https://github.com/citation-style-language/schema/raw/master/csl-citation.json"}</w:instrText>
      </w:r>
      <w:r w:rsidRPr="00F42A94">
        <w:rPr>
          <w:rFonts w:ascii="Arial" w:hAnsi="Arial" w:cs="Arial"/>
          <w:sz w:val="20"/>
          <w:szCs w:val="20"/>
        </w:rPr>
        <w:fldChar w:fldCharType="separate"/>
      </w:r>
      <w:r w:rsidR="006D3F92" w:rsidRPr="006D3F92">
        <w:rPr>
          <w:rFonts w:ascii="Arial" w:hAnsi="Arial" w:cs="Arial"/>
          <w:noProof/>
          <w:sz w:val="20"/>
          <w:szCs w:val="20"/>
        </w:rPr>
        <w:t>(Mukhlis et al., 2020)</w:t>
      </w:r>
      <w:r w:rsidRPr="00F42A94">
        <w:rPr>
          <w:rFonts w:ascii="Arial" w:hAnsi="Arial" w:cs="Arial"/>
          <w:sz w:val="20"/>
          <w:szCs w:val="20"/>
        </w:rPr>
        <w:fldChar w:fldCharType="end"/>
      </w:r>
      <w:r w:rsidRPr="00F42A94">
        <w:rPr>
          <w:rFonts w:ascii="Arial" w:eastAsiaTheme="majorEastAsia" w:hAnsi="Arial" w:cs="Arial"/>
          <w:color w:val="000000"/>
          <w:sz w:val="20"/>
          <w:szCs w:val="20"/>
          <w:lang w:val="en-US"/>
        </w:rPr>
        <w:t xml:space="preserve">. </w:t>
      </w:r>
      <w:r w:rsidR="00C63C25">
        <w:rPr>
          <w:rFonts w:ascii="Arial" w:eastAsiaTheme="majorEastAsia" w:hAnsi="Arial" w:cs="Arial"/>
          <w:color w:val="000000"/>
          <w:sz w:val="20"/>
          <w:szCs w:val="20"/>
          <w:lang w:val="en-US"/>
        </w:rPr>
        <w:t>The</w:t>
      </w:r>
      <w:r w:rsidRPr="00F42A94">
        <w:rPr>
          <w:rFonts w:ascii="Arial" w:eastAsiaTheme="majorEastAsia" w:hAnsi="Arial" w:cs="Arial"/>
          <w:color w:val="000000"/>
          <w:sz w:val="20"/>
          <w:szCs w:val="20"/>
          <w:lang w:val="en-US"/>
        </w:rPr>
        <w:t xml:space="preserve"> three equations </w:t>
      </w:r>
      <w:r w:rsidR="00C63C25">
        <w:rPr>
          <w:rFonts w:ascii="Arial" w:eastAsiaTheme="majorEastAsia" w:hAnsi="Arial" w:cs="Arial"/>
          <w:color w:val="000000"/>
          <w:sz w:val="20"/>
          <w:szCs w:val="20"/>
          <w:lang w:val="en-US"/>
        </w:rPr>
        <w:t>show</w:t>
      </w:r>
      <w:r w:rsidRPr="00F42A94">
        <w:rPr>
          <w:rFonts w:ascii="Arial" w:eastAsiaTheme="majorEastAsia" w:hAnsi="Arial" w:cs="Arial"/>
          <w:color w:val="000000"/>
          <w:sz w:val="20"/>
          <w:szCs w:val="20"/>
          <w:lang w:val="en-US"/>
        </w:rPr>
        <w:t xml:space="preserve"> that macroeconomic conditions are vulnerable to economic turmoil. Economic conditions, policy shifts, and geopolitical conflicts in other countries can have an impact on the economies between countries. In this case, several economic indicators, such as international trade performance, capital flows, and interest rates, are very vulnerable to economic uncertainty.</w:t>
      </w:r>
      <w:r w:rsidR="00310E8E">
        <w:rPr>
          <w:rFonts w:ascii="Arial" w:eastAsiaTheme="majorEastAsia" w:hAnsi="Arial" w:cs="Arial"/>
          <w:color w:val="000000"/>
          <w:sz w:val="20"/>
          <w:szCs w:val="20"/>
          <w:lang w:val="en-US"/>
        </w:rPr>
        <w:t xml:space="preserve"> </w:t>
      </w:r>
      <w:r w:rsidR="00310E8E" w:rsidRPr="00310E8E">
        <w:rPr>
          <w:rFonts w:ascii="Arial" w:eastAsiaTheme="majorEastAsia" w:hAnsi="Arial" w:cs="Arial"/>
          <w:color w:val="000000"/>
          <w:sz w:val="20"/>
          <w:szCs w:val="20"/>
          <w:lang w:val="en-US"/>
        </w:rPr>
        <w:t xml:space="preserve">Research by </w:t>
      </w:r>
      <w:proofErr w:type="spellStart"/>
      <w:r w:rsidR="00310E8E" w:rsidRPr="00310E8E">
        <w:rPr>
          <w:rFonts w:ascii="Arial" w:eastAsiaTheme="majorEastAsia" w:hAnsi="Arial" w:cs="Arial"/>
          <w:color w:val="000000"/>
          <w:sz w:val="20"/>
          <w:szCs w:val="20"/>
          <w:lang w:val="en-US"/>
        </w:rPr>
        <w:t>Şeyranlıoğlu</w:t>
      </w:r>
      <w:proofErr w:type="spellEnd"/>
      <w:r w:rsidR="00310E8E" w:rsidRPr="00310E8E">
        <w:rPr>
          <w:rFonts w:ascii="Arial" w:eastAsiaTheme="majorEastAsia" w:hAnsi="Arial" w:cs="Arial"/>
          <w:color w:val="000000"/>
          <w:sz w:val="20"/>
          <w:szCs w:val="20"/>
          <w:lang w:val="en-US"/>
        </w:rPr>
        <w:t xml:space="preserve"> et al. </w:t>
      </w:r>
      <w:r w:rsidR="003E3217">
        <w:rPr>
          <w:rFonts w:ascii="Arial" w:eastAsiaTheme="majorEastAsia" w:hAnsi="Arial" w:cs="Arial"/>
          <w:color w:val="000000"/>
          <w:sz w:val="20"/>
          <w:szCs w:val="20"/>
          <w:lang w:val="en-US"/>
        </w:rPr>
        <w:fldChar w:fldCharType="begin" w:fldLock="1"/>
      </w:r>
      <w:r w:rsidR="003E3217">
        <w:rPr>
          <w:rFonts w:ascii="Arial" w:eastAsiaTheme="majorEastAsia" w:hAnsi="Arial" w:cs="Arial"/>
          <w:color w:val="000000"/>
          <w:sz w:val="20"/>
          <w:szCs w:val="20"/>
          <w:lang w:val="en-US"/>
        </w:rPr>
        <w:instrText>ADDIN CSL_CITATION {"citationItems":[{"id":"ITEM-1","itemData":{"DOI":"10.70101/ussmad.1604848","ISBN":"0000000215381","abstract":"This study aims to fill gap in the literature by focusing on the interaction between Türkiye's geopolitical risks and monetary policy. For this purpose, the study examines how the impact of geopolitical risks on economic indicators such as the credit market, money supply, and exchange rates has changed over time, using monthly data from February 2012 to August 2024. The variables included in the model were analyzed using the Time-Varying Parameter Vector Autoregression (TVP-VAR) approach. The findings reveal that credit volume is the main center of interaction within the system. The M1 money supply and the real effective exchange rate, on the other hand, are positioned more as volatility receivers, with limited volatility transmission. Geopolitical risk, however, is largely influenced by its own internal volatility and exerts limited impact on other variables, indicating that the direct effect of geopolitical risk on economic indicators remains limited. Overall, the study results provide valuable insights into the influence of economic policies by examining the links among credit volume, money supply, and exchange rates, while also highlighting the relatively limited impact of geopolitical risk.","author":[{"dropping-particle":"","family":"Şeyranlıoğlu","given":"Onur","non-dropping-particle":"","parse-names":false,"suffix":""},{"dropping-particle":"","family":"Çilek","given":"Arif","non-dropping-particle":"","parse-names":false,"suffix":""},{"dropping-particle":"","family":"Erdoğan","given":"Burhan","non-dropping-particle":"","parse-names":false,"suffix":""},{"dropping-particle":"","family":"Gürsoy","given":"Samet","non-dropping-particle":"","parse-names":false,"suffix":""},{"dropping-particle":"","family":"Erguney","given":"Enes Burak","non-dropping-particle":"","parse-names":false,"suffix":""},{"dropping-particle":"","family":"Doğan","given":"Mesut","non-dropping-particle":"","parse-names":false,"suffix":""}],"container-title":"International Journal of Social, Political and Financial Researches","id":"ITEM-1","issue":"1","issued":{"date-parts":[["2025"]]},"page":"20-35","title":"Do Geopolitical Risks Affect Monetary Policies? Evidence from Türkiye with the TVP-VAR","type":"article-journal","volume":"5"},"suppress-author":1,"uris":["http://www.mendeley.com/documents/?uuid=25ddf2d7-51ea-4181-a95a-364c8ad03831"]}],"mendeley":{"formattedCitation":"(2025)","plainTextFormattedCitation":"(2025)","previouslyFormattedCitation":"(Şeyranlıoğlu et al., 2025)"},"properties":{"noteIndex":0},"schema":"https://github.com/citation-style-language/schema/raw/master/csl-citation.json"}</w:instrText>
      </w:r>
      <w:r w:rsidR="003E3217">
        <w:rPr>
          <w:rFonts w:ascii="Arial" w:eastAsiaTheme="majorEastAsia" w:hAnsi="Arial" w:cs="Arial"/>
          <w:color w:val="000000"/>
          <w:sz w:val="20"/>
          <w:szCs w:val="20"/>
          <w:lang w:val="en-US"/>
        </w:rPr>
        <w:fldChar w:fldCharType="separate"/>
      </w:r>
      <w:r w:rsidR="003E3217" w:rsidRPr="003E3217">
        <w:rPr>
          <w:rFonts w:ascii="Arial" w:eastAsiaTheme="majorEastAsia" w:hAnsi="Arial" w:cs="Arial"/>
          <w:noProof/>
          <w:color w:val="000000"/>
          <w:sz w:val="20"/>
          <w:szCs w:val="20"/>
          <w:lang w:val="en-US"/>
        </w:rPr>
        <w:t>(2025)</w:t>
      </w:r>
      <w:r w:rsidR="003E3217">
        <w:rPr>
          <w:rFonts w:ascii="Arial" w:eastAsiaTheme="majorEastAsia" w:hAnsi="Arial" w:cs="Arial"/>
          <w:color w:val="000000"/>
          <w:sz w:val="20"/>
          <w:szCs w:val="20"/>
          <w:lang w:val="en-US"/>
        </w:rPr>
        <w:fldChar w:fldCharType="end"/>
      </w:r>
      <w:r w:rsidR="00310E8E" w:rsidRPr="00310E8E">
        <w:rPr>
          <w:rFonts w:ascii="Arial" w:eastAsiaTheme="majorEastAsia" w:hAnsi="Arial" w:cs="Arial"/>
          <w:color w:val="000000"/>
          <w:sz w:val="20"/>
          <w:szCs w:val="20"/>
          <w:lang w:val="en-US"/>
        </w:rPr>
        <w:t xml:space="preserve"> also supports the perspective that there is a relationship between global uncertainty and monetary policy mechanisms.</w:t>
      </w:r>
    </w:p>
    <w:p w14:paraId="07BAC602" w14:textId="77777777" w:rsidR="00F42A94"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r w:rsidR="00F42A94">
        <w:rPr>
          <w:rFonts w:ascii="Arial" w:hAnsi="Arial" w:cs="Arial"/>
        </w:rPr>
        <w:t xml:space="preserve"> METHODOLOGY</w:t>
      </w:r>
    </w:p>
    <w:p w14:paraId="1C6C3BFD" w14:textId="77777777" w:rsidR="00F42A94" w:rsidRDefault="00F42A94" w:rsidP="00441B6F">
      <w:pPr>
        <w:pStyle w:val="Head1"/>
        <w:spacing w:after="0"/>
        <w:jc w:val="both"/>
        <w:rPr>
          <w:rFonts w:ascii="Arial" w:hAnsi="Arial" w:cs="Arial"/>
        </w:rPr>
      </w:pPr>
    </w:p>
    <w:p w14:paraId="1AEB6C8F" w14:textId="6645E914" w:rsidR="00F42A94" w:rsidRPr="00370402" w:rsidRDefault="00F42A94" w:rsidP="00F42A94">
      <w:pPr>
        <w:contextualSpacing/>
        <w:jc w:val="both"/>
        <w:rPr>
          <w:rFonts w:ascii="Arial" w:hAnsi="Arial" w:cs="Arial"/>
        </w:rPr>
      </w:pPr>
      <w:r w:rsidRPr="00370402">
        <w:rPr>
          <w:rFonts w:ascii="Arial" w:hAnsi="Arial" w:cs="Arial"/>
        </w:rPr>
        <w:t>Monthly secondary data covering the years 2010–202</w:t>
      </w:r>
      <w:r w:rsidR="00F30D5D">
        <w:rPr>
          <w:rFonts w:ascii="Arial" w:hAnsi="Arial" w:cs="Arial"/>
        </w:rPr>
        <w:t>3</w:t>
      </w:r>
      <w:r w:rsidRPr="00370402">
        <w:rPr>
          <w:rFonts w:ascii="Arial" w:hAnsi="Arial" w:cs="Arial"/>
        </w:rPr>
        <w:t xml:space="preserve"> is used in this study. The Central Bureau of Statistics provides statistics for the comparable comparison variable, the BI Rate, whereas the Federal Reserve Statistics (FRED) report provides data for the Federal Funds Rate (FFR). Indonesian inflation data is quoted from data published by Bank Indonesia, while US inflation data is quoted from data published by the US Inflation Calculator. While the US IP Growth data is taken from the Federal Reserve Data (FRED), the Indonesian IP Growth data is taken from the Central Bureau of Statistics. The data used for the Stock Index (</w:t>
      </w:r>
      <w:r w:rsidR="00C63C25">
        <w:rPr>
          <w:rFonts w:ascii="Arial" w:hAnsi="Arial" w:cs="Arial"/>
        </w:rPr>
        <w:t>DJI</w:t>
      </w:r>
      <w:r w:rsidRPr="00370402">
        <w:rPr>
          <w:rFonts w:ascii="Arial" w:hAnsi="Arial" w:cs="Arial"/>
        </w:rPr>
        <w:t>,</w:t>
      </w:r>
      <w:r w:rsidR="00C63C25">
        <w:rPr>
          <w:rFonts w:ascii="Arial" w:hAnsi="Arial" w:cs="Arial"/>
        </w:rPr>
        <w:t xml:space="preserve"> DJIM, IDX Composite, and JII</w:t>
      </w:r>
      <w:r w:rsidRPr="00370402">
        <w:rPr>
          <w:rFonts w:ascii="Arial" w:hAnsi="Arial" w:cs="Arial"/>
        </w:rPr>
        <w:t>) is taken from the website investing.com.</w:t>
      </w:r>
    </w:p>
    <w:p w14:paraId="54B07181" w14:textId="77777777" w:rsidR="00F42A94" w:rsidRDefault="00F42A94" w:rsidP="00F42A94">
      <w:pPr>
        <w:contextualSpacing/>
        <w:jc w:val="both"/>
        <w:rPr>
          <w:rFonts w:ascii="Arial" w:hAnsi="Arial" w:cs="Arial"/>
        </w:rPr>
      </w:pPr>
    </w:p>
    <w:p w14:paraId="778F7D8B" w14:textId="57BC71A2" w:rsidR="00310E8E" w:rsidRDefault="002B59E1" w:rsidP="00F42A94">
      <w:pPr>
        <w:contextualSpacing/>
        <w:jc w:val="both"/>
        <w:rPr>
          <w:rFonts w:ascii="Arial" w:hAnsi="Arial" w:cs="Arial"/>
        </w:rPr>
      </w:pPr>
      <w:r w:rsidRPr="002B59E1">
        <w:rPr>
          <w:rFonts w:ascii="Arial" w:hAnsi="Arial" w:cs="Arial"/>
        </w:rPr>
        <w:lastRenderedPageBreak/>
        <w:t xml:space="preserve">To ensure alignment between the research method and objectives, this study is guided by several key questions. </w:t>
      </w:r>
      <w:r w:rsidR="00310E8E" w:rsidRPr="00D63AF7">
        <w:rPr>
          <w:rFonts w:ascii="Arial" w:hAnsi="Arial" w:cs="Arial"/>
        </w:rPr>
        <w:t xml:space="preserve">First, what impact does the shift in US monetary policy have on the state of the Indonesian economy? Second, what impact does the traditional Indonesian stock market have on the traditional US stock market? In what ways does the US Sharia stock market influence </w:t>
      </w:r>
      <w:proofErr w:type="gramStart"/>
      <w:r w:rsidR="00310E8E" w:rsidRPr="00D63AF7">
        <w:rPr>
          <w:rFonts w:ascii="Arial" w:hAnsi="Arial" w:cs="Arial"/>
        </w:rPr>
        <w:t>the  Indonesian</w:t>
      </w:r>
      <w:proofErr w:type="gramEnd"/>
      <w:r w:rsidR="00310E8E" w:rsidRPr="00D63AF7">
        <w:rPr>
          <w:rFonts w:ascii="Arial" w:hAnsi="Arial" w:cs="Arial"/>
        </w:rPr>
        <w:t xml:space="preserve"> Sharia stock market? </w:t>
      </w:r>
      <w:r w:rsidRPr="002B59E1">
        <w:rPr>
          <w:rFonts w:ascii="Arial" w:hAnsi="Arial" w:cs="Arial"/>
        </w:rPr>
        <w:t>These three key questions form the basis of the analysis in selecting the SVAR model in this study</w:t>
      </w:r>
      <w:r>
        <w:rPr>
          <w:rFonts w:ascii="Arial" w:hAnsi="Arial" w:cs="Arial"/>
        </w:rPr>
        <w:t xml:space="preserve">. </w:t>
      </w:r>
    </w:p>
    <w:p w14:paraId="2E674D7C" w14:textId="77777777" w:rsidR="002B59E1" w:rsidRDefault="002B59E1" w:rsidP="00F42A94">
      <w:pPr>
        <w:contextualSpacing/>
        <w:jc w:val="both"/>
        <w:rPr>
          <w:rFonts w:ascii="Arial" w:hAnsi="Arial" w:cs="Arial"/>
        </w:rPr>
      </w:pPr>
    </w:p>
    <w:p w14:paraId="0FFF4D9D" w14:textId="3E99D403" w:rsidR="00F42A94" w:rsidRPr="00370402" w:rsidRDefault="00F42A94" w:rsidP="00F42A94">
      <w:pPr>
        <w:contextualSpacing/>
        <w:jc w:val="both"/>
        <w:rPr>
          <w:rFonts w:ascii="Arial" w:hAnsi="Arial" w:cs="Arial"/>
        </w:rPr>
      </w:pPr>
      <w:r w:rsidRPr="00370402">
        <w:rPr>
          <w:rFonts w:ascii="Arial" w:hAnsi="Arial" w:cs="Arial"/>
        </w:rPr>
        <w:t>In the meantime, the following data analysis techniques were employed in this study:</w:t>
      </w:r>
    </w:p>
    <w:p w14:paraId="50513B27" w14:textId="77777777" w:rsidR="00F42A94" w:rsidRPr="00370402" w:rsidRDefault="00F42A94" w:rsidP="00F42A94">
      <w:pPr>
        <w:contextualSpacing/>
        <w:jc w:val="both"/>
        <w:rPr>
          <w:rFonts w:ascii="Arial" w:hAnsi="Arial" w:cs="Arial"/>
          <w:b/>
          <w:bCs/>
        </w:rPr>
      </w:pPr>
    </w:p>
    <w:p w14:paraId="57572D12" w14:textId="56D80B91" w:rsidR="00F42A94" w:rsidRPr="00370402" w:rsidRDefault="00F42A94" w:rsidP="00F42A94">
      <w:pPr>
        <w:contextualSpacing/>
        <w:jc w:val="both"/>
        <w:rPr>
          <w:rFonts w:ascii="Arial" w:hAnsi="Arial" w:cs="Arial"/>
          <w:b/>
          <w:bCs/>
          <w:sz w:val="22"/>
          <w:szCs w:val="22"/>
        </w:rPr>
      </w:pPr>
      <w:r w:rsidRPr="00370402">
        <w:rPr>
          <w:rFonts w:ascii="Arial" w:hAnsi="Arial" w:cs="Arial"/>
          <w:b/>
          <w:bCs/>
          <w:sz w:val="22"/>
          <w:szCs w:val="22"/>
        </w:rPr>
        <w:t>3.1 Data Stationarity Test</w:t>
      </w:r>
    </w:p>
    <w:p w14:paraId="4668E694" w14:textId="77777777" w:rsidR="00F42A94" w:rsidRPr="00370402" w:rsidRDefault="00F42A94" w:rsidP="00F42A94">
      <w:pPr>
        <w:contextualSpacing/>
        <w:jc w:val="both"/>
        <w:rPr>
          <w:rFonts w:ascii="Arial" w:hAnsi="Arial" w:cs="Arial"/>
          <w:b/>
          <w:bCs/>
        </w:rPr>
      </w:pPr>
    </w:p>
    <w:p w14:paraId="416289D7" w14:textId="2573F978" w:rsidR="00F42A94" w:rsidRPr="00370402" w:rsidRDefault="00F42A94" w:rsidP="00F42A94">
      <w:pPr>
        <w:contextualSpacing/>
        <w:jc w:val="both"/>
        <w:rPr>
          <w:rFonts w:ascii="Arial" w:hAnsi="Arial" w:cs="Arial"/>
        </w:rPr>
      </w:pPr>
      <w:r w:rsidRPr="00370402">
        <w:rPr>
          <w:rFonts w:ascii="Arial" w:hAnsi="Arial" w:cs="Arial"/>
        </w:rPr>
        <w:t xml:space="preserve">To ascertain whether time series data is stationary, the unit root test is the stationarity test that is employed.  This exam is known as the Augmented Dickey-Fuller exam (ADF Test) because it was created by Wayne Fuller and David Dickey </w:t>
      </w:r>
      <w:r w:rsidRPr="00370402">
        <w:rPr>
          <w:rFonts w:ascii="Arial" w:hAnsi="Arial" w:cs="Arial"/>
        </w:rPr>
        <w:fldChar w:fldCharType="begin" w:fldLock="1"/>
      </w:r>
      <w:r w:rsidR="003E3217">
        <w:rPr>
          <w:rFonts w:ascii="Arial" w:hAnsi="Arial" w:cs="Arial"/>
        </w:rPr>
        <w:instrText>ADDIN CSL_CITATION {"citationItems":[{"id":"ITEM-1","itemData":{"author":[{"dropping-particle":"","family":"Box","given":"","non-dropping-particle":"","parse-names":false,"suffix":""},{"dropping-particle":"","family":"E.P.","given":"George","non-dropping-particle":"","parse-names":false,"suffix":""}],"edition":"Kelima","id":"ITEM-1","issued":{"date-parts":[["2016"]]},"publisher":"New Jersey : John Wiley &amp; Sons, Inc","title":"Time Series Analysis-Forecasting &amp; Control","type":"book"},"uris":["http://www.mendeley.com/documents/?uuid=1453ce46-de88-4429-b3f5-555c093d8f5a"]}],"mendeley":{"formattedCitation":"(Box &amp; E.P., 2016)","plainTextFormattedCitation":"(Box &amp; E.P., 2016)","previouslyFormattedCitation":"(Box &amp; E.P., 2016)"},"properties":{"noteIndex":0},"schema":"https://github.com/citation-style-language/schema/raw/master/csl-citation.json"}</w:instrText>
      </w:r>
      <w:r w:rsidRPr="00370402">
        <w:rPr>
          <w:rFonts w:ascii="Arial" w:hAnsi="Arial" w:cs="Arial"/>
        </w:rPr>
        <w:fldChar w:fldCharType="separate"/>
      </w:r>
      <w:r w:rsidR="006D3F92" w:rsidRPr="006D3F92">
        <w:rPr>
          <w:rFonts w:ascii="Arial" w:hAnsi="Arial" w:cs="Arial"/>
          <w:noProof/>
        </w:rPr>
        <w:t>(Box &amp; E.P., 2016)</w:t>
      </w:r>
      <w:r w:rsidRPr="00370402">
        <w:rPr>
          <w:rFonts w:ascii="Arial" w:hAnsi="Arial" w:cs="Arial"/>
        </w:rPr>
        <w:fldChar w:fldCharType="end"/>
      </w:r>
      <w:r w:rsidRPr="00370402">
        <w:rPr>
          <w:rFonts w:ascii="Arial" w:hAnsi="Arial" w:cs="Arial"/>
        </w:rPr>
        <w:t>. The following equation represents the ADF Test:</w:t>
      </w:r>
    </w:p>
    <w:p w14:paraId="7C4EE148" w14:textId="77777777" w:rsidR="00F42A94" w:rsidRPr="00370402" w:rsidRDefault="00F42A94" w:rsidP="00F42A94">
      <w:pPr>
        <w:contextualSpacing/>
        <w:jc w:val="center"/>
        <w:rPr>
          <w:rFonts w:ascii="Arial" w:hAnsi="Arial" w:cs="Arial"/>
          <w:b/>
          <w:bCs/>
        </w:rPr>
      </w:pPr>
    </w:p>
    <w:p w14:paraId="792581BC" w14:textId="77777777" w:rsidR="00F42A94" w:rsidRPr="00370402" w:rsidRDefault="00F42A94" w:rsidP="00F42A94">
      <w:pPr>
        <w:contextualSpacing/>
        <w:jc w:val="center"/>
        <w:rPr>
          <w:rFonts w:ascii="Arial" w:hAnsi="Arial" w:cs="Arial"/>
          <w:b/>
          <w:bCs/>
        </w:rPr>
      </w:pPr>
      <w:proofErr w:type="spellStart"/>
      <w:r w:rsidRPr="00370402">
        <w:rPr>
          <w:rFonts w:ascii="Arial" w:hAnsi="Arial" w:cs="Arial"/>
          <w:b/>
          <w:bCs/>
        </w:rPr>
        <w:t>Yt</w:t>
      </w:r>
      <w:proofErr w:type="spellEnd"/>
      <w:r w:rsidRPr="00370402">
        <w:rPr>
          <w:rFonts w:ascii="Arial" w:hAnsi="Arial" w:cs="Arial"/>
          <w:b/>
          <w:bCs/>
        </w:rPr>
        <w:t xml:space="preserve"> = ρYt-1 + e</w:t>
      </w:r>
      <w:r w:rsidRPr="00370402">
        <w:rPr>
          <w:rFonts w:ascii="Arial" w:hAnsi="Arial" w:cs="Arial"/>
          <w:b/>
          <w:bCs/>
        </w:rPr>
        <w:tab/>
      </w:r>
      <w:r w:rsidRPr="00370402">
        <w:rPr>
          <w:rFonts w:ascii="Arial" w:hAnsi="Arial" w:cs="Arial"/>
          <w:b/>
          <w:bCs/>
        </w:rPr>
        <w:tab/>
        <w:t>(5)</w:t>
      </w:r>
    </w:p>
    <w:p w14:paraId="2EEF0FCB" w14:textId="77777777" w:rsidR="00F42A94" w:rsidRPr="00370402" w:rsidRDefault="00F42A94" w:rsidP="00F42A94">
      <w:pPr>
        <w:contextualSpacing/>
        <w:jc w:val="center"/>
        <w:rPr>
          <w:rFonts w:ascii="Arial" w:hAnsi="Arial" w:cs="Arial"/>
          <w:b/>
          <w:bCs/>
        </w:rPr>
      </w:pPr>
    </w:p>
    <w:p w14:paraId="243DBA63" w14:textId="322DF527" w:rsidR="00F42A94" w:rsidRPr="00370402" w:rsidRDefault="00F42A94" w:rsidP="00F42A94">
      <w:pPr>
        <w:contextualSpacing/>
        <w:jc w:val="both"/>
        <w:rPr>
          <w:rFonts w:ascii="Arial" w:hAnsi="Arial" w:cs="Arial"/>
        </w:rPr>
      </w:pPr>
      <w:proofErr w:type="spellStart"/>
      <w:r w:rsidRPr="00370402">
        <w:rPr>
          <w:rFonts w:ascii="Arial" w:hAnsi="Arial" w:cs="Arial"/>
        </w:rPr>
        <w:t>Yt</w:t>
      </w:r>
      <w:proofErr w:type="spellEnd"/>
      <w:r w:rsidRPr="00370402">
        <w:rPr>
          <w:rFonts w:ascii="Arial" w:hAnsi="Arial" w:cs="Arial"/>
        </w:rPr>
        <w:t xml:space="preserve"> is the dependent variable that is affected by the variable itself in the preceding period, ρ is the coefficient, t is the time unit, and e is the error term (residual) in the analysis of Indonesia's response to US monetary policy and its effects on the stock market.  This time series regression model encounters a non-stationary scenario when ρ = 1, which indicates the existence of a unit root </w:t>
      </w:r>
      <w:r w:rsidRPr="00370402">
        <w:rPr>
          <w:rFonts w:ascii="Arial" w:hAnsi="Arial" w:cs="Arial"/>
        </w:rPr>
        <w:fldChar w:fldCharType="begin" w:fldLock="1"/>
      </w:r>
      <w:r w:rsidR="003E3217">
        <w:rPr>
          <w:rFonts w:ascii="Arial" w:hAnsi="Arial" w:cs="Arial"/>
        </w:rPr>
        <w:instrText>ADDIN CSL_CITATION {"citationItems":[{"id":"ITEM-1","itemData":{"URL":"https://maglearning.id/2020/05/11/unit-root-test-di-eviews-augmented-dickey-fuller-test/","author":[{"dropping-particle":"","family":"Maglearning","given":"","non-dropping-particle":"","parse-names":false,"suffix":""}],"id":"ITEM-1","issued":{"date-parts":[["2020"]]},"title":"UNIT ROOT TEST DI EVIEWS (AUGMENTED DICKEY-FULLER TEST)","type":"webpage"},"uris":["http://www.mendeley.com/documents/?uuid=c5a1f684-bde1-4e2d-9017-760d3de544ce"]}],"mendeley":{"formattedCitation":"(Maglearning, 2020)","plainTextFormattedCitation":"(Maglearning, 2020)","previouslyFormattedCitation":"(Maglearning, 2020)"},"properties":{"noteIndex":0},"schema":"https://github.com/citation-style-language/schema/raw/master/csl-citation.json"}</w:instrText>
      </w:r>
      <w:r w:rsidRPr="00370402">
        <w:rPr>
          <w:rFonts w:ascii="Arial" w:hAnsi="Arial" w:cs="Arial"/>
        </w:rPr>
        <w:fldChar w:fldCharType="separate"/>
      </w:r>
      <w:r w:rsidR="006D3F92" w:rsidRPr="006D3F92">
        <w:rPr>
          <w:rFonts w:ascii="Arial" w:hAnsi="Arial" w:cs="Arial"/>
          <w:noProof/>
        </w:rPr>
        <w:t>(Maglearning, 2020)</w:t>
      </w:r>
      <w:r w:rsidRPr="00370402">
        <w:rPr>
          <w:rFonts w:ascii="Arial" w:hAnsi="Arial" w:cs="Arial"/>
        </w:rPr>
        <w:fldChar w:fldCharType="end"/>
      </w:r>
      <w:r w:rsidRPr="00370402">
        <w:rPr>
          <w:rFonts w:ascii="Arial" w:hAnsi="Arial" w:cs="Arial"/>
        </w:rPr>
        <w:t xml:space="preserve">. The aforementioned equation can be reformulated as follows: </w:t>
      </w:r>
    </w:p>
    <w:p w14:paraId="6F24210F" w14:textId="77777777" w:rsidR="00F42A94" w:rsidRPr="00370402" w:rsidRDefault="00F42A94" w:rsidP="00F42A94">
      <w:pPr>
        <w:pBdr>
          <w:top w:val="nil"/>
          <w:left w:val="nil"/>
          <w:bottom w:val="nil"/>
          <w:right w:val="nil"/>
          <w:between w:val="nil"/>
        </w:pBdr>
        <w:contextualSpacing/>
        <w:jc w:val="center"/>
        <w:rPr>
          <w:rFonts w:ascii="Arial" w:hAnsi="Arial" w:cs="Arial"/>
          <w:b/>
          <w:bCs/>
        </w:rPr>
      </w:pPr>
    </w:p>
    <w:p w14:paraId="58152606" w14:textId="77777777" w:rsidR="00F42A94" w:rsidRPr="00370402" w:rsidRDefault="00F42A94" w:rsidP="00F42A94">
      <w:pPr>
        <w:pBdr>
          <w:top w:val="nil"/>
          <w:left w:val="nil"/>
          <w:bottom w:val="nil"/>
          <w:right w:val="nil"/>
          <w:between w:val="nil"/>
        </w:pBdr>
        <w:contextualSpacing/>
        <w:jc w:val="center"/>
        <w:rPr>
          <w:rFonts w:ascii="Arial" w:hAnsi="Arial" w:cs="Arial"/>
          <w:b/>
          <w:bCs/>
        </w:rPr>
      </w:pPr>
      <w:proofErr w:type="spellStart"/>
      <w:r w:rsidRPr="00370402">
        <w:rPr>
          <w:rFonts w:ascii="Arial" w:hAnsi="Arial" w:cs="Arial"/>
          <w:b/>
          <w:bCs/>
        </w:rPr>
        <w:t>ΔYt</w:t>
      </w:r>
      <w:proofErr w:type="spellEnd"/>
      <w:r w:rsidRPr="00370402">
        <w:rPr>
          <w:rFonts w:ascii="Arial" w:hAnsi="Arial" w:cs="Arial"/>
          <w:b/>
          <w:bCs/>
        </w:rPr>
        <w:t xml:space="preserve"> = (ρ-</w:t>
      </w:r>
      <w:proofErr w:type="gramStart"/>
      <w:r w:rsidRPr="00370402">
        <w:rPr>
          <w:rFonts w:ascii="Arial" w:hAnsi="Arial" w:cs="Arial"/>
          <w:b/>
          <w:bCs/>
        </w:rPr>
        <w:t>1)Yt</w:t>
      </w:r>
      <w:proofErr w:type="gramEnd"/>
      <w:r w:rsidRPr="00370402">
        <w:rPr>
          <w:rFonts w:ascii="Arial" w:hAnsi="Arial" w:cs="Arial"/>
          <w:b/>
          <w:bCs/>
        </w:rPr>
        <w:t xml:space="preserve">-1 + e = δYt-1 + e </w:t>
      </w:r>
      <w:r w:rsidRPr="00370402">
        <w:rPr>
          <w:rFonts w:ascii="Arial" w:hAnsi="Arial" w:cs="Arial"/>
          <w:b/>
          <w:bCs/>
        </w:rPr>
        <w:tab/>
        <w:t>(6)</w:t>
      </w:r>
    </w:p>
    <w:p w14:paraId="0384201C" w14:textId="04D2664C" w:rsidR="00445250" w:rsidRDefault="00F42A94" w:rsidP="00F42A94">
      <w:pPr>
        <w:pBdr>
          <w:top w:val="nil"/>
          <w:left w:val="nil"/>
          <w:bottom w:val="nil"/>
          <w:right w:val="nil"/>
          <w:between w:val="nil"/>
        </w:pBdr>
        <w:contextualSpacing/>
        <w:jc w:val="both"/>
        <w:rPr>
          <w:rFonts w:ascii="Arial" w:hAnsi="Arial" w:cs="Arial"/>
        </w:rPr>
      </w:pPr>
      <w:r w:rsidRPr="00370402">
        <w:rPr>
          <w:rFonts w:ascii="Arial" w:hAnsi="Arial" w:cs="Arial"/>
          <w:b/>
          <w:bCs/>
        </w:rPr>
        <w:br/>
      </w:r>
      <w:r w:rsidRPr="00370402">
        <w:rPr>
          <w:rFonts w:ascii="Arial" w:hAnsi="Arial" w:cs="Arial"/>
        </w:rPr>
        <w:t>Where the first difference operator is denoted by Δ. It is possible to estimate this model, and testing δ = 0</w:t>
      </w:r>
      <w:r w:rsidR="00C63C25">
        <w:rPr>
          <w:rFonts w:ascii="Arial" w:hAnsi="Arial" w:cs="Arial"/>
        </w:rPr>
        <w:t>,</w:t>
      </w:r>
      <w:r w:rsidRPr="00370402">
        <w:rPr>
          <w:rFonts w:ascii="Arial" w:hAnsi="Arial" w:cs="Arial"/>
        </w:rPr>
        <w:t xml:space="preserve"> where δ = ρ – 1 is the same as testing a unit root. The critical value cannot be found using the standard t distribution since the test is conducted over the residual period of the raw data. Consequently, the Dickey-Fuller table is a particular distribution for this </w:t>
      </w:r>
      <w:r w:rsidR="00C63C25">
        <w:rPr>
          <w:rFonts w:ascii="Arial" w:hAnsi="Arial" w:cs="Arial"/>
        </w:rPr>
        <w:t>t-statistic</w:t>
      </w:r>
      <w:r w:rsidR="00445250">
        <w:rPr>
          <w:rFonts w:ascii="Arial" w:hAnsi="Arial" w:cs="Arial"/>
        </w:rPr>
        <w:t xml:space="preserve"> </w:t>
      </w:r>
      <w:r w:rsidRPr="00370402">
        <w:rPr>
          <w:rFonts w:ascii="Arial" w:hAnsi="Arial" w:cs="Arial"/>
        </w:rPr>
        <w:fldChar w:fldCharType="begin" w:fldLock="1"/>
      </w:r>
      <w:r w:rsidR="003E3217">
        <w:rPr>
          <w:rFonts w:ascii="Arial" w:hAnsi="Arial" w:cs="Arial"/>
        </w:rPr>
        <w:instrText>ADDIN CSL_CITATION {"citationItems":[{"id":"ITEM-1","itemData":{"URL":"https://maglearning.id/2020/05/11/unit-root-test-di-eviews-augmented-dickey-fuller-test/","author":[{"dropping-particle":"","family":"Maglearning","given":"","non-dropping-particle":"","parse-names":false,"suffix":""}],"id":"ITEM-1","issued":{"date-parts":[["2020"]]},"title":"UNIT ROOT TEST DI EVIEWS (AUGMENTED DICKEY-FULLER TEST)","type":"webpage"},"uris":["http://www.mendeley.com/documents/?uuid=c5a1f684-bde1-4e2d-9017-760d3de544ce"]}],"mendeley":{"formattedCitation":"(Maglearning, 2020)","manualFormatting":"(Maglearning, 2020)","plainTextFormattedCitation":"(Maglearning, 2020)","previouslyFormattedCitation":"(Maglearning, 2020)"},"properties":{"noteIndex":0},"schema":"https://github.com/citation-style-language/schema/raw/master/csl-citation.json"}</w:instrText>
      </w:r>
      <w:r w:rsidRPr="00370402">
        <w:rPr>
          <w:rFonts w:ascii="Arial" w:hAnsi="Arial" w:cs="Arial"/>
        </w:rPr>
        <w:fldChar w:fldCharType="separate"/>
      </w:r>
      <w:r w:rsidR="00445250" w:rsidRPr="00445250">
        <w:rPr>
          <w:rFonts w:ascii="Arial" w:hAnsi="Arial" w:cs="Arial"/>
          <w:noProof/>
        </w:rPr>
        <w:t>(Maglearning,</w:t>
      </w:r>
      <w:r w:rsidR="00445250">
        <w:rPr>
          <w:rFonts w:ascii="Arial" w:hAnsi="Arial" w:cs="Arial"/>
          <w:noProof/>
        </w:rPr>
        <w:t xml:space="preserve"> </w:t>
      </w:r>
      <w:r w:rsidR="00445250" w:rsidRPr="00445250">
        <w:rPr>
          <w:rFonts w:ascii="Arial" w:hAnsi="Arial" w:cs="Arial"/>
          <w:noProof/>
        </w:rPr>
        <w:t>2020)</w:t>
      </w:r>
      <w:r w:rsidRPr="00370402">
        <w:rPr>
          <w:rFonts w:ascii="Arial" w:hAnsi="Arial" w:cs="Arial"/>
        </w:rPr>
        <w:fldChar w:fldCharType="end"/>
      </w:r>
      <w:r w:rsidRPr="00370402">
        <w:rPr>
          <w:rFonts w:ascii="Arial" w:hAnsi="Arial" w:cs="Arial"/>
        </w:rPr>
        <w:t>.</w:t>
      </w:r>
    </w:p>
    <w:p w14:paraId="3E608B79" w14:textId="7ED08040" w:rsidR="00F42A94" w:rsidRPr="00370402" w:rsidRDefault="00F42A94" w:rsidP="00F42A94">
      <w:pPr>
        <w:pBdr>
          <w:top w:val="nil"/>
          <w:left w:val="nil"/>
          <w:bottom w:val="nil"/>
          <w:right w:val="nil"/>
          <w:between w:val="nil"/>
        </w:pBdr>
        <w:contextualSpacing/>
        <w:jc w:val="both"/>
        <w:rPr>
          <w:rFonts w:ascii="Arial" w:hAnsi="Arial" w:cs="Arial"/>
        </w:rPr>
      </w:pPr>
    </w:p>
    <w:p w14:paraId="18D36BE3" w14:textId="304E83CB" w:rsidR="00F42A94" w:rsidRPr="00370402" w:rsidRDefault="00370402" w:rsidP="00F42A94">
      <w:pPr>
        <w:contextualSpacing/>
        <w:jc w:val="both"/>
        <w:rPr>
          <w:rFonts w:ascii="Arial" w:hAnsi="Arial" w:cs="Arial"/>
          <w:b/>
          <w:bCs/>
          <w:sz w:val="22"/>
          <w:szCs w:val="22"/>
        </w:rPr>
      </w:pPr>
      <w:r w:rsidRPr="00370402">
        <w:rPr>
          <w:rFonts w:ascii="Arial" w:hAnsi="Arial" w:cs="Arial"/>
          <w:b/>
          <w:bCs/>
          <w:sz w:val="22"/>
          <w:szCs w:val="22"/>
        </w:rPr>
        <w:t xml:space="preserve">3.2 </w:t>
      </w:r>
      <w:r w:rsidR="00F42A94" w:rsidRPr="00370402">
        <w:rPr>
          <w:rFonts w:ascii="Arial" w:hAnsi="Arial" w:cs="Arial"/>
          <w:b/>
          <w:bCs/>
          <w:sz w:val="22"/>
          <w:szCs w:val="22"/>
        </w:rPr>
        <w:t>Structural Autoregression (SVAR) Test</w:t>
      </w:r>
    </w:p>
    <w:p w14:paraId="01DEAF85" w14:textId="77777777" w:rsidR="00F42A94" w:rsidRPr="00370402" w:rsidRDefault="00F42A94" w:rsidP="00F42A94">
      <w:pPr>
        <w:contextualSpacing/>
        <w:jc w:val="both"/>
        <w:rPr>
          <w:rFonts w:ascii="Arial" w:hAnsi="Arial" w:cs="Arial"/>
          <w:b/>
          <w:bCs/>
        </w:rPr>
      </w:pPr>
    </w:p>
    <w:p w14:paraId="570042CD" w14:textId="66E0E224" w:rsidR="00F42A94" w:rsidRPr="00370402" w:rsidRDefault="00F42A94" w:rsidP="00F42A94">
      <w:pPr>
        <w:contextualSpacing/>
        <w:jc w:val="both"/>
        <w:rPr>
          <w:rFonts w:ascii="Arial" w:hAnsi="Arial" w:cs="Arial"/>
        </w:rPr>
      </w:pPr>
      <w:r w:rsidRPr="00370402">
        <w:rPr>
          <w:rFonts w:ascii="Arial" w:hAnsi="Arial" w:cs="Arial"/>
        </w:rPr>
        <w:t xml:space="preserve">The stationary data results at that level in an ADF test are referred to as the Structural Autoregression (SVAR) model. The difference is then computed to make the data stationary at the first level if it is not at that level </w:t>
      </w:r>
      <w:r w:rsidRPr="00370402">
        <w:rPr>
          <w:rFonts w:ascii="Arial" w:hAnsi="Arial" w:cs="Arial"/>
        </w:rPr>
        <w:fldChar w:fldCharType="begin" w:fldLock="1"/>
      </w:r>
      <w:r w:rsidR="003E3217">
        <w:rPr>
          <w:rFonts w:ascii="Arial" w:hAnsi="Arial" w:cs="Arial"/>
        </w:rPr>
        <w:instrText>ADDIN CSL_CITATION {"citationItems":[{"id":"ITEM-1","itemData":{"author":[{"dropping-particle":"","family":"Nezky","given":"","non-dropping-particle":"","parse-names":false,"suffix":""},{"dropping-particle":"","family":"Mita","given":"","non-dropping-particle":"","parse-names":false,"suffix":""}],"container-title":"Buletin Ekonomi Moneter dan Perbankan","id":"ITEM-1","issued":{"date-parts":[["2013"]]},"title":"Pengaruh Krisis Ekonomi Amerika Serikat terhadap Bursa Saham dan Perdagangan Indonesia","type":"article-journal"},"uris":["http://www.mendeley.com/documents/?uuid=c02015ba-f97f-4867-89bb-fd4b0d622889"]}],"mendeley":{"formattedCitation":"(Nezky &amp; Mita, 2013)","plainTextFormattedCitation":"(Nezky &amp; Mita, 2013)","previouslyFormattedCitation":"(Nezky &amp; Mita, 2013)"},"properties":{"noteIndex":0},"schema":"https://github.com/citation-style-language/schema/raw/master/csl-citation.json"}</w:instrText>
      </w:r>
      <w:r w:rsidRPr="00370402">
        <w:rPr>
          <w:rFonts w:ascii="Arial" w:hAnsi="Arial" w:cs="Arial"/>
        </w:rPr>
        <w:fldChar w:fldCharType="separate"/>
      </w:r>
      <w:r w:rsidR="006D3F92" w:rsidRPr="006D3F92">
        <w:rPr>
          <w:rFonts w:ascii="Arial" w:hAnsi="Arial" w:cs="Arial"/>
          <w:noProof/>
        </w:rPr>
        <w:t>(Nezky &amp; Mita, 2013)</w:t>
      </w:r>
      <w:r w:rsidRPr="00370402">
        <w:rPr>
          <w:rFonts w:ascii="Arial" w:hAnsi="Arial" w:cs="Arial"/>
        </w:rPr>
        <w:fldChar w:fldCharType="end"/>
      </w:r>
      <w:r w:rsidRPr="00370402">
        <w:rPr>
          <w:rFonts w:ascii="Arial" w:hAnsi="Arial" w:cs="Arial"/>
        </w:rPr>
        <w:t xml:space="preserve">. </w:t>
      </w:r>
      <w:r w:rsidR="000A47F1" w:rsidRPr="000A47F1">
        <w:rPr>
          <w:rFonts w:ascii="Arial" w:hAnsi="Arial" w:cs="Arial"/>
        </w:rPr>
        <w:t>The identification limitations in the SVAR model are based on the theoretical assumption regarding the exogeneity of US monetary policy variables</w:t>
      </w:r>
      <w:r w:rsidR="000A47F1">
        <w:rPr>
          <w:rFonts w:ascii="Arial" w:hAnsi="Arial" w:cs="Arial"/>
        </w:rPr>
        <w:t xml:space="preserve">. </w:t>
      </w:r>
      <w:r w:rsidRPr="00370402">
        <w:rPr>
          <w:rFonts w:ascii="Arial" w:hAnsi="Arial" w:cs="Arial"/>
        </w:rPr>
        <w:t xml:space="preserve">The following equation represents the SVAR model that was used: </w:t>
      </w:r>
      <w:r w:rsidRPr="00370402">
        <w:rPr>
          <w:rFonts w:ascii="Arial" w:hAnsi="Arial" w:cs="Arial"/>
        </w:rPr>
        <w:br/>
      </w:r>
    </w:p>
    <w:p w14:paraId="400FA93D" w14:textId="77777777" w:rsidR="00F42A94" w:rsidRPr="00370402" w:rsidRDefault="00F42A94" w:rsidP="00F42A94">
      <w:pPr>
        <w:contextualSpacing/>
        <w:jc w:val="center"/>
        <w:rPr>
          <w:rFonts w:ascii="Arial" w:hAnsi="Arial" w:cs="Arial"/>
          <w:b/>
          <w:bCs/>
        </w:rPr>
      </w:pPr>
      <w:r w:rsidRPr="00370402">
        <w:rPr>
          <w:rFonts w:ascii="Arial" w:hAnsi="Arial" w:cs="Arial"/>
          <w:b/>
          <w:bCs/>
        </w:rPr>
        <w:t xml:space="preserve">A(L)Xt-1 + </w:t>
      </w:r>
      <w:proofErr w:type="spellStart"/>
      <w:r w:rsidRPr="00370402">
        <w:rPr>
          <w:rFonts w:ascii="Arial" w:hAnsi="Arial" w:cs="Arial"/>
          <w:b/>
          <w:bCs/>
        </w:rPr>
        <w:t>Bʛt</w:t>
      </w:r>
      <w:proofErr w:type="spellEnd"/>
      <w:r w:rsidRPr="00370402">
        <w:rPr>
          <w:rFonts w:ascii="Arial" w:hAnsi="Arial" w:cs="Arial"/>
          <w:b/>
          <w:bCs/>
        </w:rPr>
        <w:t xml:space="preserve"> = A0Xt </w:t>
      </w:r>
      <w:r w:rsidRPr="00370402">
        <w:rPr>
          <w:rFonts w:ascii="Arial" w:hAnsi="Arial" w:cs="Arial"/>
          <w:b/>
          <w:bCs/>
        </w:rPr>
        <w:tab/>
        <w:t>(7)</w:t>
      </w:r>
      <w:r w:rsidRPr="00370402">
        <w:rPr>
          <w:rFonts w:ascii="Arial" w:hAnsi="Arial" w:cs="Arial"/>
          <w:b/>
          <w:bCs/>
        </w:rPr>
        <w:br/>
      </w:r>
    </w:p>
    <w:p w14:paraId="33DC4FD2" w14:textId="58D7DCC3" w:rsidR="00F42A94" w:rsidRPr="00370402" w:rsidRDefault="00F42A94" w:rsidP="00F42A94">
      <w:pPr>
        <w:contextualSpacing/>
        <w:jc w:val="both"/>
        <w:rPr>
          <w:rFonts w:ascii="Arial" w:hAnsi="Arial" w:cs="Arial"/>
        </w:rPr>
      </w:pPr>
      <w:r w:rsidRPr="00370402">
        <w:rPr>
          <w:rFonts w:ascii="Arial" w:hAnsi="Arial" w:cs="Arial"/>
        </w:rPr>
        <w:t>FFR, BI Rate, Inflation, IP Growth, and Stock Index (</w:t>
      </w:r>
      <w:r w:rsidR="00C63C25">
        <w:rPr>
          <w:rFonts w:ascii="Arial" w:hAnsi="Arial" w:cs="Arial"/>
        </w:rPr>
        <w:t>DJI, DJIM, IDX Composite and JII</w:t>
      </w:r>
      <w:r w:rsidRPr="00370402">
        <w:rPr>
          <w:rFonts w:ascii="Arial" w:hAnsi="Arial" w:cs="Arial"/>
        </w:rPr>
        <w:t xml:space="preserve">) are the six variables that make up the vector </w:t>
      </w:r>
      <w:proofErr w:type="spellStart"/>
      <w:r w:rsidRPr="00370402">
        <w:rPr>
          <w:rFonts w:ascii="Arial" w:hAnsi="Arial" w:cs="Arial"/>
        </w:rPr>
        <w:t>Xt.</w:t>
      </w:r>
      <w:proofErr w:type="spellEnd"/>
      <w:r w:rsidRPr="00370402">
        <w:rPr>
          <w:rFonts w:ascii="Arial" w:hAnsi="Arial" w:cs="Arial"/>
        </w:rPr>
        <w:t xml:space="preserve"> An (L) is a coefficient matrix with the lag operator L (</w:t>
      </w:r>
      <w:proofErr w:type="spellStart"/>
      <w:r w:rsidRPr="00370402">
        <w:rPr>
          <w:rFonts w:ascii="Arial" w:hAnsi="Arial" w:cs="Arial"/>
        </w:rPr>
        <w:t>nxn</w:t>
      </w:r>
      <w:proofErr w:type="spellEnd"/>
      <w:r w:rsidRPr="00370402">
        <w:rPr>
          <w:rFonts w:ascii="Arial" w:hAnsi="Arial" w:cs="Arial"/>
        </w:rPr>
        <w:t xml:space="preserve">); </w:t>
      </w:r>
      <w:proofErr w:type="spellStart"/>
      <w:r w:rsidRPr="00370402">
        <w:rPr>
          <w:rFonts w:ascii="Arial" w:hAnsi="Arial" w:cs="Arial"/>
        </w:rPr>
        <w:t>ÿt</w:t>
      </w:r>
      <w:proofErr w:type="spellEnd"/>
      <w:r w:rsidRPr="00370402">
        <w:rPr>
          <w:rFonts w:ascii="Arial" w:hAnsi="Arial" w:cs="Arial"/>
        </w:rPr>
        <w:t xml:space="preserve"> is a vector of disturbance variables (nx1); B is a matrix whose diagonal is not zero; and A0 is an intercept vector between variables (nx1). Because SVAR offers a suitable framework for analyzing the propagation of fluctuations, it is utilized. By examining the impulse response function and its variance decomposition, the study can pinpoint pertinent variations and explain how the system reacts to them </w:t>
      </w:r>
      <w:r w:rsidRPr="00370402">
        <w:rPr>
          <w:rFonts w:ascii="Arial" w:hAnsi="Arial" w:cs="Arial"/>
        </w:rPr>
        <w:fldChar w:fldCharType="begin" w:fldLock="1"/>
      </w:r>
      <w:r w:rsidR="003E3217">
        <w:rPr>
          <w:rFonts w:ascii="Arial" w:hAnsi="Arial" w:cs="Arial"/>
        </w:rPr>
        <w:instrText>ADDIN CSL_CITATION {"citationItems":[{"id":"ITEM-1","itemData":{"DOI":"10.2478/jcbtp-2020-0007","ISSN":"23369205","abstract":"This research aims to analyse the response of the Bank Indonesia (BI rate) to the Indonesian economic stability. The data analysis is stationarity test, model stability test, lag determination, Structural Vector Autoregression (SVAR), Impulse Response Function (IRF), and Variance Decomposition (VD). The research data is obtained from the publication provided by the Federal Reserve Data (FRED), the Bank Indonesia, and the Central Bureau of Statistics. The data used is since the third quarter of 2005 to the first quarter of 2017. The research results showed that the variable of the federal funds rate (FFR) significantly influences the exchange rate and the Consumer Price Index (CPI), but it does not significantly affect the BI rate, the amount of the money supply (M2), and Gross Domestic Product (GDP). The result of the IRF test showed that the BI rate, the amount of money supply, exchange rate (IDR/USD), GDP, and CPI positively and negatively respond the FFR change. The result of VD test indicated that the variation of the BI rate, the currency exchange rate, and CPI are mostly caused by the FFR variation.","author":[{"dropping-particle":"","family":"Mukhlis","given":"Imam","non-dropping-particle":"","parse-names":false,"suffix":""},{"dropping-particle":"","family":"Hidayah","given":"Isnawati","non-dropping-particle":"","parse-names":false,"suffix":""},{"dropping-particle":"","family":"Retnasih","given":"Nora Ria","non-dropping-particle":"","parse-names":false,"suffix":""}],"container-title":"Journal of Central Banking Theory and Practice","id":"ITEM-1","issue":"1","issued":{"date-parts":[["2020"]]},"page":"111-133","title":"Interest Rate Volatility of the Federal Funds Rate: Response of the Bank Indonesia and its Impact on the Indonesian Economic Stability","type":"article-journal","volume":"9"},"uris":["http://www.mendeley.com/documents/?uuid=b5ef5229-4609-4b08-9323-dfc1746b5c0d"]}],"mendeley":{"formattedCitation":"(Mukhlis et al., 2020)","plainTextFormattedCitation":"(Mukhlis et al., 2020)","previouslyFormattedCitation":"(Mukhlis et al., 2020)"},"properties":{"noteIndex":0},"schema":"https://github.com/citation-style-language/schema/raw/master/csl-citation.json"}</w:instrText>
      </w:r>
      <w:r w:rsidRPr="00370402">
        <w:rPr>
          <w:rFonts w:ascii="Arial" w:hAnsi="Arial" w:cs="Arial"/>
        </w:rPr>
        <w:fldChar w:fldCharType="separate"/>
      </w:r>
      <w:r w:rsidR="006D3F92" w:rsidRPr="006D3F92">
        <w:rPr>
          <w:rFonts w:ascii="Arial" w:hAnsi="Arial" w:cs="Arial"/>
          <w:noProof/>
        </w:rPr>
        <w:t>(Mukhlis et al., 2020)</w:t>
      </w:r>
      <w:r w:rsidRPr="00370402">
        <w:rPr>
          <w:rFonts w:ascii="Arial" w:hAnsi="Arial" w:cs="Arial"/>
        </w:rPr>
        <w:fldChar w:fldCharType="end"/>
      </w:r>
      <w:r w:rsidRPr="00370402">
        <w:rPr>
          <w:rFonts w:ascii="Arial" w:hAnsi="Arial" w:cs="Arial"/>
        </w:rPr>
        <w:t>.</w:t>
      </w:r>
    </w:p>
    <w:p w14:paraId="25EEE9C8" w14:textId="77777777" w:rsidR="00F42A94" w:rsidRPr="00370402" w:rsidRDefault="00F42A94" w:rsidP="00F42A94">
      <w:pPr>
        <w:contextualSpacing/>
        <w:jc w:val="both"/>
        <w:rPr>
          <w:rFonts w:ascii="Arial" w:hAnsi="Arial" w:cs="Arial"/>
        </w:rPr>
      </w:pPr>
    </w:p>
    <w:p w14:paraId="598B63DD" w14:textId="3B5EA09E" w:rsidR="00F42A94" w:rsidRPr="00370402" w:rsidRDefault="00370402" w:rsidP="00F42A94">
      <w:pPr>
        <w:contextualSpacing/>
        <w:jc w:val="both"/>
        <w:rPr>
          <w:rFonts w:ascii="Arial" w:hAnsi="Arial" w:cs="Arial"/>
          <w:b/>
          <w:bCs/>
          <w:sz w:val="22"/>
          <w:szCs w:val="22"/>
        </w:rPr>
      </w:pPr>
      <w:r w:rsidRPr="00370402">
        <w:rPr>
          <w:rFonts w:ascii="Arial" w:hAnsi="Arial" w:cs="Arial"/>
          <w:b/>
          <w:bCs/>
          <w:sz w:val="22"/>
          <w:szCs w:val="22"/>
        </w:rPr>
        <w:t xml:space="preserve">3.3 </w:t>
      </w:r>
      <w:r w:rsidR="00F42A94" w:rsidRPr="00370402">
        <w:rPr>
          <w:rFonts w:ascii="Arial" w:hAnsi="Arial" w:cs="Arial"/>
          <w:b/>
          <w:bCs/>
          <w:sz w:val="22"/>
          <w:szCs w:val="22"/>
        </w:rPr>
        <w:t>Lag Determination</w:t>
      </w:r>
    </w:p>
    <w:p w14:paraId="5382F6B1" w14:textId="77777777" w:rsidR="00F42A94" w:rsidRPr="00370402" w:rsidRDefault="00F42A94" w:rsidP="00F42A94">
      <w:pPr>
        <w:contextualSpacing/>
        <w:jc w:val="both"/>
        <w:rPr>
          <w:rFonts w:ascii="Arial" w:hAnsi="Arial" w:cs="Arial"/>
          <w:b/>
          <w:bCs/>
        </w:rPr>
      </w:pPr>
    </w:p>
    <w:p w14:paraId="623EC33C" w14:textId="77777777" w:rsidR="00F42A94" w:rsidRPr="00370402" w:rsidRDefault="00F42A94" w:rsidP="00F42A94">
      <w:pPr>
        <w:contextualSpacing/>
        <w:jc w:val="both"/>
        <w:rPr>
          <w:rFonts w:ascii="Arial" w:hAnsi="Arial" w:cs="Arial"/>
        </w:rPr>
      </w:pPr>
      <w:r w:rsidRPr="00370402">
        <w:rPr>
          <w:rFonts w:ascii="Arial" w:hAnsi="Arial" w:cs="Arial"/>
        </w:rPr>
        <w:t>To ensure that the predicted results could accurately depict actual conditions, lag determination was done in this study utilizing the Lag Order Selection Criteria test.</w:t>
      </w:r>
    </w:p>
    <w:p w14:paraId="1CD4B3F5" w14:textId="77777777" w:rsidR="00F42A94" w:rsidRPr="00370402" w:rsidRDefault="00F42A94" w:rsidP="00F42A94">
      <w:pPr>
        <w:contextualSpacing/>
        <w:jc w:val="both"/>
        <w:rPr>
          <w:rFonts w:ascii="Arial" w:hAnsi="Arial" w:cs="Arial"/>
        </w:rPr>
      </w:pPr>
    </w:p>
    <w:p w14:paraId="27088BB5" w14:textId="7C22F570" w:rsidR="00F42A94" w:rsidRPr="00370402" w:rsidRDefault="00370402" w:rsidP="00F42A94">
      <w:pPr>
        <w:contextualSpacing/>
        <w:jc w:val="both"/>
        <w:rPr>
          <w:rFonts w:ascii="Arial" w:hAnsi="Arial" w:cs="Arial"/>
          <w:b/>
          <w:bCs/>
          <w:sz w:val="22"/>
          <w:szCs w:val="22"/>
        </w:rPr>
      </w:pPr>
      <w:r w:rsidRPr="00370402">
        <w:rPr>
          <w:rFonts w:ascii="Arial" w:hAnsi="Arial" w:cs="Arial"/>
          <w:b/>
          <w:bCs/>
          <w:sz w:val="22"/>
          <w:szCs w:val="22"/>
        </w:rPr>
        <w:t xml:space="preserve">3.4 </w:t>
      </w:r>
      <w:r w:rsidR="00F42A94" w:rsidRPr="00370402">
        <w:rPr>
          <w:rFonts w:ascii="Arial" w:hAnsi="Arial" w:cs="Arial"/>
          <w:b/>
          <w:bCs/>
          <w:sz w:val="22"/>
          <w:szCs w:val="22"/>
        </w:rPr>
        <w:t>Impulse Response Function (IRF)</w:t>
      </w:r>
    </w:p>
    <w:p w14:paraId="0DE46018" w14:textId="77777777" w:rsidR="00F42A94" w:rsidRPr="00370402" w:rsidRDefault="00F42A94" w:rsidP="00F42A94">
      <w:pPr>
        <w:contextualSpacing/>
        <w:jc w:val="both"/>
        <w:rPr>
          <w:rFonts w:ascii="Arial" w:hAnsi="Arial" w:cs="Arial"/>
        </w:rPr>
      </w:pPr>
    </w:p>
    <w:p w14:paraId="0D473B2F" w14:textId="208C2688" w:rsidR="00F42A94" w:rsidRPr="00370402" w:rsidRDefault="00F42A94" w:rsidP="00F42A94">
      <w:pPr>
        <w:contextualSpacing/>
        <w:jc w:val="both"/>
        <w:rPr>
          <w:rFonts w:ascii="Arial" w:hAnsi="Arial" w:cs="Arial"/>
        </w:rPr>
      </w:pPr>
      <w:r w:rsidRPr="00370402">
        <w:rPr>
          <w:rFonts w:ascii="Arial" w:hAnsi="Arial" w:cs="Arial"/>
        </w:rPr>
        <w:t xml:space="preserve">Impulse Response Function (IRF) is a tool used to determine the dynamic relationship between variables in a regression analysis. IRF provides insight into how a variable responds to changes in other variables over time. By applying the impulse response function, researchers can understand the causal correlation between variables. </w:t>
      </w:r>
      <w:r w:rsidRPr="00370402">
        <w:rPr>
          <w:rFonts w:ascii="Arial" w:hAnsi="Arial" w:cs="Arial"/>
        </w:rPr>
        <w:fldChar w:fldCharType="begin" w:fldLock="1"/>
      </w:r>
      <w:r w:rsidR="003E3217">
        <w:rPr>
          <w:rFonts w:ascii="Arial" w:hAnsi="Arial" w:cs="Arial"/>
        </w:rPr>
        <w:instrText>ADDIN CSL_CITATION {"citationItems":[{"id":"ITEM-1","itemData":{"URL":"https://shallbd.com/id/memahami-fungsi-respon-impuls-dalam-analisis-regresi/","author":[{"dropping-particle":"","family":"Peterson","given":"Carrie","non-dropping-particle":"","parse-names":false,"suffix":""}],"id":"ITEM-1","issued":{"date-parts":[["0"]]},"title":"Memahami Fungsi Respon Impuls dalam Analisis Regresi","type":"webpage"},"uris":["http://www.mendeley.com/documents/?uuid=8d54dfbd-935f-4465-93ad-460b0c78fc67"]}],"mendeley":{"formattedCitation":"(Peterson, n.d.)","plainTextFormattedCitation":"(Peterson, n.d.)","previouslyFormattedCitation":"(Peterson, n.d.)"},"properties":{"noteIndex":0},"schema":"https://github.com/citation-style-language/schema/raw/master/csl-citation.json"}</w:instrText>
      </w:r>
      <w:r w:rsidRPr="00370402">
        <w:rPr>
          <w:rFonts w:ascii="Arial" w:hAnsi="Arial" w:cs="Arial"/>
        </w:rPr>
        <w:fldChar w:fldCharType="separate"/>
      </w:r>
      <w:r w:rsidR="006D3F92" w:rsidRPr="006D3F92">
        <w:rPr>
          <w:rFonts w:ascii="Arial" w:hAnsi="Arial" w:cs="Arial"/>
          <w:noProof/>
        </w:rPr>
        <w:t>(Peterson, n.d.)</w:t>
      </w:r>
      <w:r w:rsidRPr="00370402">
        <w:rPr>
          <w:rFonts w:ascii="Arial" w:hAnsi="Arial" w:cs="Arial"/>
        </w:rPr>
        <w:fldChar w:fldCharType="end"/>
      </w:r>
      <w:r w:rsidRPr="00370402">
        <w:rPr>
          <w:rFonts w:ascii="Arial" w:hAnsi="Arial" w:cs="Arial"/>
        </w:rPr>
        <w:t xml:space="preserve">. </w:t>
      </w:r>
    </w:p>
    <w:p w14:paraId="00B631FA" w14:textId="77777777" w:rsidR="00F42A94" w:rsidRPr="00370402" w:rsidRDefault="00F42A94" w:rsidP="00F42A94">
      <w:pPr>
        <w:contextualSpacing/>
        <w:jc w:val="both"/>
        <w:rPr>
          <w:rFonts w:ascii="Arial" w:hAnsi="Arial" w:cs="Arial"/>
        </w:rPr>
      </w:pPr>
    </w:p>
    <w:p w14:paraId="68A7E443" w14:textId="2A4CFD84" w:rsidR="00F42A94" w:rsidRPr="00370402" w:rsidRDefault="00370402" w:rsidP="00F42A94">
      <w:pPr>
        <w:contextualSpacing/>
        <w:jc w:val="both"/>
        <w:rPr>
          <w:rFonts w:ascii="Arial" w:hAnsi="Arial" w:cs="Arial"/>
          <w:b/>
          <w:bCs/>
          <w:sz w:val="22"/>
          <w:szCs w:val="22"/>
        </w:rPr>
      </w:pPr>
      <w:r w:rsidRPr="00370402">
        <w:rPr>
          <w:rFonts w:ascii="Arial" w:hAnsi="Arial" w:cs="Arial"/>
          <w:b/>
          <w:bCs/>
          <w:sz w:val="22"/>
          <w:szCs w:val="22"/>
        </w:rPr>
        <w:t xml:space="preserve">3.5 </w:t>
      </w:r>
      <w:r w:rsidR="00F42A94" w:rsidRPr="00370402">
        <w:rPr>
          <w:rFonts w:ascii="Arial" w:hAnsi="Arial" w:cs="Arial"/>
          <w:b/>
          <w:bCs/>
          <w:sz w:val="22"/>
          <w:szCs w:val="22"/>
        </w:rPr>
        <w:t>Variance Decomposition (VD)</w:t>
      </w:r>
    </w:p>
    <w:p w14:paraId="0BECD122" w14:textId="77777777" w:rsidR="00F42A94" w:rsidRPr="00370402" w:rsidRDefault="00F42A94" w:rsidP="00F42A94">
      <w:pPr>
        <w:contextualSpacing/>
        <w:jc w:val="both"/>
        <w:rPr>
          <w:rFonts w:ascii="Arial" w:hAnsi="Arial" w:cs="Arial"/>
        </w:rPr>
      </w:pPr>
    </w:p>
    <w:p w14:paraId="171FCEC9" w14:textId="71DD1AD6" w:rsidR="00F42A94" w:rsidRPr="00370402" w:rsidRDefault="00F42A94" w:rsidP="00F42A94">
      <w:pPr>
        <w:contextualSpacing/>
        <w:jc w:val="both"/>
        <w:rPr>
          <w:rFonts w:ascii="Arial" w:hAnsi="Arial" w:cs="Arial"/>
        </w:rPr>
      </w:pPr>
      <w:r w:rsidRPr="00370402">
        <w:rPr>
          <w:rFonts w:ascii="Arial" w:hAnsi="Arial" w:cs="Arial"/>
        </w:rPr>
        <w:t>Its innovations (</w:t>
      </w:r>
      <w:proofErr w:type="spellStart"/>
      <w:proofErr w:type="gramStart"/>
      <w:r w:rsidRPr="00370402">
        <w:rPr>
          <w:rFonts w:ascii="Arial" w:hAnsi="Arial" w:cs="Arial"/>
        </w:rPr>
        <w:t>ÿi,t</w:t>
      </w:r>
      <w:proofErr w:type="spellEnd"/>
      <w:proofErr w:type="gramEnd"/>
      <w:r w:rsidRPr="00370402">
        <w:rPr>
          <w:rFonts w:ascii="Arial" w:hAnsi="Arial" w:cs="Arial"/>
        </w:rPr>
        <w:t>) and innovations in other variables (</w:t>
      </w:r>
      <w:proofErr w:type="spellStart"/>
      <w:r w:rsidRPr="00370402">
        <w:rPr>
          <w:rFonts w:ascii="Arial" w:hAnsi="Arial" w:cs="Arial"/>
        </w:rPr>
        <w:t>ÿj,t</w:t>
      </w:r>
      <w:proofErr w:type="spellEnd"/>
      <w:r w:rsidRPr="00370402">
        <w:rPr>
          <w:rFonts w:ascii="Arial" w:hAnsi="Arial" w:cs="Arial"/>
        </w:rPr>
        <w:t xml:space="preserve">) account for a portion of the h-steps-ahead prediction error in </w:t>
      </w:r>
      <w:proofErr w:type="spellStart"/>
      <w:r w:rsidRPr="00370402">
        <w:rPr>
          <w:rFonts w:ascii="Arial" w:hAnsi="Arial" w:cs="Arial"/>
        </w:rPr>
        <w:t>yi,t</w:t>
      </w:r>
      <w:proofErr w:type="spellEnd"/>
      <w:r w:rsidRPr="00370402">
        <w:rPr>
          <w:rFonts w:ascii="Arial" w:hAnsi="Arial" w:cs="Arial"/>
        </w:rPr>
        <w:t xml:space="preserve">, as indicated by Variance Decomposition (VD). This indicates the relative relevance of each innovation in influencing the forecast error of the variables in a VAR or VECM </w:t>
      </w:r>
      <w:r w:rsidRPr="00370402">
        <w:rPr>
          <w:rFonts w:ascii="Arial" w:hAnsi="Arial" w:cs="Arial"/>
        </w:rPr>
        <w:fldChar w:fldCharType="begin" w:fldLock="1"/>
      </w:r>
      <w:r w:rsidR="003E3217">
        <w:rPr>
          <w:rFonts w:ascii="Arial" w:hAnsi="Arial" w:cs="Arial"/>
        </w:rPr>
        <w:instrText>ADDIN CSL_CITATION {"citationItems":[{"id":"ITEM-1","itemData":{"DOI":"10.2478/jcbtp-2020-0007","ISSN":"23369205","abstract":"This research aims to analyse the response of the Bank Indonesia (BI rate) to the Indonesian economic stability. The data analysis is stationarity test, model stability test, lag determination, Structural Vector Autoregression (SVAR), Impulse Response Function (IRF), and Variance Decomposition (VD). The research data is obtained from the publication provided by the Federal Reserve Data (FRED), the Bank Indonesia, and the Central Bureau of Statistics. The data used is since the third quarter of 2005 to the first quarter of 2017. The research results showed that the variable of the federal funds rate (FFR) significantly influences the exchange rate and the Consumer Price Index (CPI), but it does not significantly affect the BI rate, the amount of the money supply (M2), and Gross Domestic Product (GDP). The result of the IRF test showed that the BI rate, the amount of money supply, exchange rate (IDR/USD), GDP, and CPI positively and negatively respond the FFR change. The result of VD test indicated that the variation of the BI rate, the currency exchange rate, and CPI are mostly caused by the FFR variation.","author":[{"dropping-particle":"","family":"Mukhlis","given":"Imam","non-dropping-particle":"","parse-names":false,"suffix":""},{"dropping-particle":"","family":"Hidayah","given":"Isnawati","non-dropping-particle":"","parse-names":false,"suffix":""},{"dropping-particle":"","family":"Retnasih","given":"Nora Ria","non-dropping-particle":"","parse-names":false,"suffix":""}],"container-title":"Journal of Central Banking Theory and Practice","id":"ITEM-1","issue":"1","issued":{"date-parts":[["2020"]]},"page":"111-133","title":"Interest Rate Volatility of the Federal Funds Rate: Response of the Bank Indonesia and its Impact on the Indonesian Economic Stability","type":"article-journal","volume":"9"},"uris":["http://www.mendeley.com/documents/?uuid=b5ef5229-4609-4b08-9323-dfc1746b5c0d"]}],"mendeley":{"formattedCitation":"(Mukhlis et al., 2020)","plainTextFormattedCitation":"(Mukhlis et al., 2020)","previouslyFormattedCitation":"(Mukhlis et al., 2020)"},"properties":{"noteIndex":0},"schema":"https://github.com/citation-style-language/schema/raw/master/csl-citation.json"}</w:instrText>
      </w:r>
      <w:r w:rsidRPr="00370402">
        <w:rPr>
          <w:rFonts w:ascii="Arial" w:hAnsi="Arial" w:cs="Arial"/>
        </w:rPr>
        <w:fldChar w:fldCharType="separate"/>
      </w:r>
      <w:r w:rsidR="006D3F92" w:rsidRPr="006D3F92">
        <w:rPr>
          <w:rFonts w:ascii="Arial" w:hAnsi="Arial" w:cs="Arial"/>
          <w:noProof/>
        </w:rPr>
        <w:t>(Mukhlis et al., 2020)</w:t>
      </w:r>
      <w:r w:rsidRPr="00370402">
        <w:rPr>
          <w:rFonts w:ascii="Arial" w:hAnsi="Arial" w:cs="Arial"/>
        </w:rPr>
        <w:fldChar w:fldCharType="end"/>
      </w:r>
      <w:r w:rsidRPr="00370402">
        <w:rPr>
          <w:rFonts w:ascii="Arial" w:hAnsi="Arial" w:cs="Arial"/>
        </w:rPr>
        <w:t>.</w:t>
      </w:r>
    </w:p>
    <w:p w14:paraId="5A6E3573" w14:textId="3958BD8A" w:rsidR="00F42A94" w:rsidRPr="00370402" w:rsidRDefault="00902823" w:rsidP="00441B6F">
      <w:pPr>
        <w:pStyle w:val="Head1"/>
        <w:spacing w:after="0"/>
        <w:jc w:val="both"/>
        <w:rPr>
          <w:rFonts w:ascii="Arial" w:hAnsi="Arial" w:cs="Arial"/>
        </w:rPr>
      </w:pPr>
      <w:r w:rsidRPr="00370402">
        <w:rPr>
          <w:rFonts w:ascii="Arial" w:hAnsi="Arial" w:cs="Arial"/>
        </w:rPr>
        <w:t xml:space="preserve"> </w:t>
      </w:r>
    </w:p>
    <w:p w14:paraId="687F0EB2" w14:textId="77777777" w:rsidR="00F42A94" w:rsidRDefault="00F42A94" w:rsidP="00441B6F">
      <w:pPr>
        <w:pStyle w:val="Head1"/>
        <w:spacing w:after="0"/>
        <w:jc w:val="both"/>
        <w:rPr>
          <w:rFonts w:ascii="Arial" w:hAnsi="Arial" w:cs="Arial"/>
        </w:rPr>
      </w:pPr>
    </w:p>
    <w:p w14:paraId="6900EB09" w14:textId="0DE26214" w:rsidR="00902823" w:rsidRDefault="00F42A94" w:rsidP="00441B6F">
      <w:pPr>
        <w:pStyle w:val="Head1"/>
        <w:spacing w:after="0"/>
        <w:jc w:val="both"/>
        <w:rPr>
          <w:rFonts w:ascii="Arial" w:hAnsi="Arial" w:cs="Arial"/>
        </w:rPr>
      </w:pPr>
      <w:r>
        <w:rPr>
          <w:rFonts w:ascii="Arial" w:hAnsi="Arial" w:cs="Arial"/>
        </w:rPr>
        <w:t xml:space="preserve">4. </w:t>
      </w:r>
      <w:r w:rsidR="00000F8F">
        <w:rPr>
          <w:rFonts w:ascii="Arial" w:hAnsi="Arial" w:cs="Arial"/>
        </w:rPr>
        <w:t>results and discussion</w:t>
      </w:r>
    </w:p>
    <w:p w14:paraId="6345A2D1" w14:textId="77777777" w:rsidR="00790ADA" w:rsidRPr="00FB3A86" w:rsidRDefault="00790ADA" w:rsidP="00441B6F">
      <w:pPr>
        <w:pStyle w:val="Head1"/>
        <w:spacing w:after="0"/>
        <w:jc w:val="both"/>
        <w:rPr>
          <w:rFonts w:ascii="Arial" w:hAnsi="Arial" w:cs="Arial"/>
        </w:rPr>
      </w:pPr>
    </w:p>
    <w:p w14:paraId="7FE69651" w14:textId="597D423C" w:rsidR="006C43D8" w:rsidRPr="006C43D8" w:rsidRDefault="006C43D8" w:rsidP="006C43D8">
      <w:pPr>
        <w:spacing w:after="160"/>
        <w:rPr>
          <w:rFonts w:ascii="Arial" w:hAnsi="Arial" w:cs="Arial"/>
          <w:b/>
          <w:bCs/>
          <w:sz w:val="22"/>
          <w:szCs w:val="22"/>
        </w:rPr>
      </w:pPr>
      <w:r w:rsidRPr="006C43D8">
        <w:rPr>
          <w:rFonts w:ascii="Arial" w:hAnsi="Arial" w:cs="Arial"/>
          <w:b/>
          <w:bCs/>
          <w:sz w:val="22"/>
          <w:szCs w:val="22"/>
        </w:rPr>
        <w:t xml:space="preserve">4.1 </w:t>
      </w:r>
      <w:bookmarkStart w:id="3" w:name="_GoBack"/>
      <w:r w:rsidRPr="006C43D8">
        <w:rPr>
          <w:rFonts w:ascii="Arial" w:hAnsi="Arial" w:cs="Arial"/>
          <w:b/>
          <w:bCs/>
          <w:sz w:val="22"/>
          <w:szCs w:val="22"/>
        </w:rPr>
        <w:t>RESULT</w:t>
      </w:r>
      <w:bookmarkEnd w:id="3"/>
    </w:p>
    <w:p w14:paraId="4EAF211B" w14:textId="18E69516" w:rsidR="006C43D8" w:rsidRPr="006C43D8" w:rsidRDefault="006C43D8" w:rsidP="006C43D8">
      <w:pPr>
        <w:spacing w:after="160"/>
        <w:rPr>
          <w:rFonts w:ascii="Arial" w:hAnsi="Arial" w:cs="Arial"/>
          <w:b/>
          <w:bCs/>
        </w:rPr>
      </w:pPr>
      <w:r>
        <w:rPr>
          <w:rFonts w:ascii="Arial" w:hAnsi="Arial" w:cs="Arial"/>
          <w:b/>
          <w:bCs/>
        </w:rPr>
        <w:t xml:space="preserve">4.1.1 </w:t>
      </w:r>
      <w:r w:rsidRPr="006C43D8">
        <w:rPr>
          <w:rFonts w:ascii="Arial" w:hAnsi="Arial" w:cs="Arial"/>
          <w:b/>
          <w:bCs/>
        </w:rPr>
        <w:t>Stationarity Test</w:t>
      </w:r>
    </w:p>
    <w:p w14:paraId="2F95E559" w14:textId="77777777" w:rsidR="006C43D8" w:rsidRPr="006C43D8" w:rsidRDefault="006C43D8" w:rsidP="006C43D8">
      <w:pPr>
        <w:pStyle w:val="ListParagraph"/>
        <w:spacing w:after="160" w:line="240" w:lineRule="auto"/>
        <w:ind w:left="360"/>
        <w:jc w:val="center"/>
        <w:rPr>
          <w:rFonts w:ascii="Arial" w:hAnsi="Arial" w:cs="Arial"/>
          <w:b/>
          <w:bCs/>
          <w:sz w:val="20"/>
          <w:szCs w:val="20"/>
        </w:rPr>
      </w:pPr>
      <w:r w:rsidRPr="006C43D8">
        <w:rPr>
          <w:rFonts w:ascii="Arial" w:hAnsi="Arial" w:cs="Arial"/>
          <w:b/>
          <w:bCs/>
          <w:sz w:val="20"/>
          <w:szCs w:val="20"/>
        </w:rPr>
        <w:t>Table 1. Stationarity Test</w:t>
      </w:r>
    </w:p>
    <w:tbl>
      <w:tblPr>
        <w:tblW w:w="3955" w:type="dxa"/>
        <w:jc w:val="center"/>
        <w:tblLook w:val="04A0" w:firstRow="1" w:lastRow="0" w:firstColumn="1" w:lastColumn="0" w:noHBand="0" w:noVBand="1"/>
      </w:tblPr>
      <w:tblGrid>
        <w:gridCol w:w="1560"/>
        <w:gridCol w:w="1275"/>
        <w:gridCol w:w="1120"/>
      </w:tblGrid>
      <w:tr w:rsidR="006C43D8" w:rsidRPr="006C43D8" w14:paraId="6E416B81" w14:textId="77777777" w:rsidTr="00500EFC">
        <w:trPr>
          <w:trHeight w:val="312"/>
          <w:jc w:val="center"/>
        </w:trPr>
        <w:tc>
          <w:tcPr>
            <w:tcW w:w="1560" w:type="dxa"/>
            <w:tcBorders>
              <w:top w:val="single" w:sz="4" w:space="0" w:color="auto"/>
              <w:left w:val="nil"/>
              <w:bottom w:val="nil"/>
              <w:right w:val="nil"/>
            </w:tcBorders>
            <w:noWrap/>
            <w:vAlign w:val="center"/>
            <w:hideMark/>
          </w:tcPr>
          <w:p w14:paraId="248C4753"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Variable</w:t>
            </w:r>
          </w:p>
        </w:tc>
        <w:tc>
          <w:tcPr>
            <w:tcW w:w="1275" w:type="dxa"/>
            <w:tcBorders>
              <w:top w:val="single" w:sz="4" w:space="0" w:color="auto"/>
              <w:left w:val="nil"/>
              <w:bottom w:val="nil"/>
              <w:right w:val="nil"/>
            </w:tcBorders>
            <w:noWrap/>
            <w:vAlign w:val="center"/>
            <w:hideMark/>
          </w:tcPr>
          <w:p w14:paraId="3498F346" w14:textId="13C764B8" w:rsidR="006C43D8" w:rsidRPr="006C43D8" w:rsidRDefault="006C43D8" w:rsidP="00500EFC">
            <w:pPr>
              <w:jc w:val="center"/>
              <w:rPr>
                <w:rFonts w:ascii="Arial" w:hAnsi="Arial" w:cs="Arial"/>
                <w:b/>
                <w:bCs/>
                <w:color w:val="000000"/>
              </w:rPr>
            </w:pPr>
            <w:r w:rsidRPr="006C43D8">
              <w:rPr>
                <w:rFonts w:ascii="Arial" w:hAnsi="Arial" w:cs="Arial"/>
                <w:b/>
                <w:bCs/>
                <w:color w:val="000000"/>
              </w:rPr>
              <w:t>t-</w:t>
            </w:r>
            <w:r w:rsidR="00F16D06">
              <w:t xml:space="preserve"> </w:t>
            </w:r>
            <w:r w:rsidR="00F16D06" w:rsidRPr="00F16D06">
              <w:rPr>
                <w:rFonts w:ascii="Arial" w:hAnsi="Arial" w:cs="Arial"/>
                <w:b/>
                <w:bCs/>
                <w:color w:val="000000"/>
              </w:rPr>
              <w:t>Statistics</w:t>
            </w:r>
          </w:p>
        </w:tc>
        <w:tc>
          <w:tcPr>
            <w:tcW w:w="1120" w:type="dxa"/>
            <w:tcBorders>
              <w:top w:val="single" w:sz="4" w:space="0" w:color="auto"/>
              <w:left w:val="nil"/>
              <w:bottom w:val="nil"/>
              <w:right w:val="nil"/>
            </w:tcBorders>
            <w:noWrap/>
            <w:vAlign w:val="center"/>
            <w:hideMark/>
          </w:tcPr>
          <w:p w14:paraId="6AB9A024"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Prob.*</w:t>
            </w:r>
          </w:p>
        </w:tc>
      </w:tr>
      <w:tr w:rsidR="006C43D8" w:rsidRPr="006C43D8" w14:paraId="01DD837B" w14:textId="77777777" w:rsidTr="00500EFC">
        <w:trPr>
          <w:trHeight w:val="312"/>
          <w:jc w:val="center"/>
        </w:trPr>
        <w:tc>
          <w:tcPr>
            <w:tcW w:w="1560" w:type="dxa"/>
            <w:tcBorders>
              <w:top w:val="single" w:sz="4" w:space="0" w:color="auto"/>
              <w:left w:val="nil"/>
              <w:bottom w:val="nil"/>
              <w:right w:val="nil"/>
            </w:tcBorders>
            <w:noWrap/>
            <w:vAlign w:val="center"/>
            <w:hideMark/>
          </w:tcPr>
          <w:p w14:paraId="5EC61951" w14:textId="77777777" w:rsidR="006C43D8" w:rsidRPr="006C43D8" w:rsidRDefault="006C43D8" w:rsidP="00500EFC">
            <w:pPr>
              <w:rPr>
                <w:rFonts w:ascii="Arial" w:hAnsi="Arial" w:cs="Arial"/>
                <w:color w:val="000000"/>
              </w:rPr>
            </w:pPr>
            <w:r w:rsidRPr="006C43D8">
              <w:rPr>
                <w:rFonts w:ascii="Arial" w:hAnsi="Arial" w:cs="Arial"/>
                <w:color w:val="000000"/>
              </w:rPr>
              <w:t>FFR</w:t>
            </w:r>
          </w:p>
        </w:tc>
        <w:tc>
          <w:tcPr>
            <w:tcW w:w="1275" w:type="dxa"/>
            <w:tcBorders>
              <w:top w:val="single" w:sz="4" w:space="0" w:color="auto"/>
              <w:left w:val="nil"/>
              <w:bottom w:val="nil"/>
              <w:right w:val="nil"/>
            </w:tcBorders>
            <w:vAlign w:val="center"/>
            <w:hideMark/>
          </w:tcPr>
          <w:p w14:paraId="70C6102A" w14:textId="77777777" w:rsidR="006C43D8" w:rsidRPr="006C43D8" w:rsidRDefault="006C43D8" w:rsidP="00500EFC">
            <w:pPr>
              <w:jc w:val="center"/>
              <w:rPr>
                <w:rFonts w:ascii="Arial" w:hAnsi="Arial" w:cs="Arial"/>
                <w:color w:val="000000"/>
              </w:rPr>
            </w:pPr>
            <w:r w:rsidRPr="006C43D8">
              <w:rPr>
                <w:rFonts w:ascii="Arial" w:hAnsi="Arial" w:cs="Arial"/>
                <w:color w:val="000000"/>
              </w:rPr>
              <w:t>-3.50467</w:t>
            </w:r>
          </w:p>
        </w:tc>
        <w:tc>
          <w:tcPr>
            <w:tcW w:w="1120" w:type="dxa"/>
            <w:tcBorders>
              <w:top w:val="single" w:sz="4" w:space="0" w:color="auto"/>
              <w:left w:val="nil"/>
              <w:bottom w:val="nil"/>
              <w:right w:val="nil"/>
            </w:tcBorders>
            <w:vAlign w:val="center"/>
            <w:hideMark/>
          </w:tcPr>
          <w:p w14:paraId="79670FFE" w14:textId="77777777" w:rsidR="006C43D8" w:rsidRPr="006C43D8" w:rsidRDefault="006C43D8" w:rsidP="00500EFC">
            <w:pPr>
              <w:jc w:val="center"/>
              <w:rPr>
                <w:rFonts w:ascii="Arial" w:hAnsi="Arial" w:cs="Arial"/>
                <w:color w:val="000000"/>
              </w:rPr>
            </w:pPr>
            <w:r w:rsidRPr="006C43D8">
              <w:rPr>
                <w:rFonts w:ascii="Arial" w:hAnsi="Arial" w:cs="Arial"/>
                <w:color w:val="000000"/>
              </w:rPr>
              <w:t> 0.0090</w:t>
            </w:r>
          </w:p>
        </w:tc>
      </w:tr>
      <w:tr w:rsidR="006C43D8" w:rsidRPr="006C43D8" w14:paraId="691183CC" w14:textId="77777777" w:rsidTr="00500EFC">
        <w:trPr>
          <w:trHeight w:val="312"/>
          <w:jc w:val="center"/>
        </w:trPr>
        <w:tc>
          <w:tcPr>
            <w:tcW w:w="1560" w:type="dxa"/>
            <w:tcBorders>
              <w:top w:val="nil"/>
              <w:left w:val="nil"/>
              <w:bottom w:val="nil"/>
              <w:right w:val="nil"/>
            </w:tcBorders>
            <w:noWrap/>
            <w:vAlign w:val="center"/>
            <w:hideMark/>
          </w:tcPr>
          <w:p w14:paraId="2A09B112" w14:textId="77777777" w:rsidR="006C43D8" w:rsidRPr="006C43D8" w:rsidRDefault="006C43D8" w:rsidP="00500EFC">
            <w:pPr>
              <w:rPr>
                <w:rFonts w:ascii="Arial" w:hAnsi="Arial" w:cs="Arial"/>
                <w:color w:val="000000"/>
              </w:rPr>
            </w:pPr>
            <w:r w:rsidRPr="006C43D8">
              <w:rPr>
                <w:rFonts w:ascii="Arial" w:hAnsi="Arial" w:cs="Arial"/>
                <w:color w:val="000000"/>
              </w:rPr>
              <w:t>DJI</w:t>
            </w:r>
          </w:p>
        </w:tc>
        <w:tc>
          <w:tcPr>
            <w:tcW w:w="1275" w:type="dxa"/>
            <w:tcBorders>
              <w:top w:val="nil"/>
              <w:left w:val="nil"/>
              <w:bottom w:val="nil"/>
              <w:right w:val="nil"/>
            </w:tcBorders>
            <w:vAlign w:val="center"/>
            <w:hideMark/>
          </w:tcPr>
          <w:p w14:paraId="50DAB989" w14:textId="77777777" w:rsidR="006C43D8" w:rsidRPr="006C43D8" w:rsidRDefault="006C43D8" w:rsidP="00500EFC">
            <w:pPr>
              <w:jc w:val="center"/>
              <w:rPr>
                <w:rFonts w:ascii="Arial" w:hAnsi="Arial" w:cs="Arial"/>
                <w:color w:val="000000"/>
              </w:rPr>
            </w:pPr>
            <w:r w:rsidRPr="006C43D8">
              <w:rPr>
                <w:rFonts w:ascii="Arial" w:hAnsi="Arial" w:cs="Arial"/>
                <w:color w:val="000000"/>
              </w:rPr>
              <w:t>-11.3676</w:t>
            </w:r>
          </w:p>
        </w:tc>
        <w:tc>
          <w:tcPr>
            <w:tcW w:w="1120" w:type="dxa"/>
            <w:tcBorders>
              <w:top w:val="nil"/>
              <w:left w:val="nil"/>
              <w:bottom w:val="nil"/>
              <w:right w:val="nil"/>
            </w:tcBorders>
            <w:vAlign w:val="center"/>
            <w:hideMark/>
          </w:tcPr>
          <w:p w14:paraId="720C9DE0"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1DB19D8E" w14:textId="77777777" w:rsidTr="00500EFC">
        <w:trPr>
          <w:trHeight w:val="312"/>
          <w:jc w:val="center"/>
        </w:trPr>
        <w:tc>
          <w:tcPr>
            <w:tcW w:w="1560" w:type="dxa"/>
            <w:tcBorders>
              <w:top w:val="nil"/>
              <w:left w:val="nil"/>
              <w:bottom w:val="nil"/>
              <w:right w:val="nil"/>
            </w:tcBorders>
            <w:noWrap/>
            <w:vAlign w:val="center"/>
            <w:hideMark/>
          </w:tcPr>
          <w:p w14:paraId="5FFA18D3" w14:textId="77777777" w:rsidR="006C43D8" w:rsidRPr="006C43D8" w:rsidRDefault="006C43D8" w:rsidP="00500EFC">
            <w:pPr>
              <w:rPr>
                <w:rFonts w:ascii="Arial" w:hAnsi="Arial" w:cs="Arial"/>
                <w:color w:val="000000"/>
              </w:rPr>
            </w:pPr>
            <w:r w:rsidRPr="006C43D8">
              <w:rPr>
                <w:rFonts w:ascii="Arial" w:hAnsi="Arial" w:cs="Arial"/>
                <w:color w:val="000000"/>
              </w:rPr>
              <w:t>DJIM</w:t>
            </w:r>
          </w:p>
        </w:tc>
        <w:tc>
          <w:tcPr>
            <w:tcW w:w="1275" w:type="dxa"/>
            <w:tcBorders>
              <w:top w:val="nil"/>
              <w:left w:val="nil"/>
              <w:bottom w:val="nil"/>
              <w:right w:val="nil"/>
            </w:tcBorders>
            <w:vAlign w:val="center"/>
            <w:hideMark/>
          </w:tcPr>
          <w:p w14:paraId="18975030" w14:textId="77777777" w:rsidR="006C43D8" w:rsidRPr="006C43D8" w:rsidRDefault="006C43D8" w:rsidP="00500EFC">
            <w:pPr>
              <w:jc w:val="center"/>
              <w:rPr>
                <w:rFonts w:ascii="Arial" w:hAnsi="Arial" w:cs="Arial"/>
                <w:color w:val="000000"/>
              </w:rPr>
            </w:pPr>
            <w:r w:rsidRPr="006C43D8">
              <w:rPr>
                <w:rFonts w:ascii="Arial" w:hAnsi="Arial" w:cs="Arial"/>
                <w:color w:val="000000"/>
              </w:rPr>
              <w:t>-14.1897</w:t>
            </w:r>
          </w:p>
        </w:tc>
        <w:tc>
          <w:tcPr>
            <w:tcW w:w="1120" w:type="dxa"/>
            <w:tcBorders>
              <w:top w:val="nil"/>
              <w:left w:val="nil"/>
              <w:bottom w:val="nil"/>
              <w:right w:val="nil"/>
            </w:tcBorders>
            <w:vAlign w:val="center"/>
            <w:hideMark/>
          </w:tcPr>
          <w:p w14:paraId="7FEC0CBD"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62BCA5E2" w14:textId="77777777" w:rsidTr="00500EFC">
        <w:trPr>
          <w:trHeight w:val="312"/>
          <w:jc w:val="center"/>
        </w:trPr>
        <w:tc>
          <w:tcPr>
            <w:tcW w:w="1560" w:type="dxa"/>
            <w:tcBorders>
              <w:top w:val="nil"/>
              <w:left w:val="nil"/>
              <w:bottom w:val="nil"/>
              <w:right w:val="nil"/>
            </w:tcBorders>
            <w:noWrap/>
            <w:vAlign w:val="center"/>
            <w:hideMark/>
          </w:tcPr>
          <w:p w14:paraId="41F623D5" w14:textId="77777777" w:rsidR="006C43D8" w:rsidRPr="006C43D8" w:rsidRDefault="006C43D8" w:rsidP="00500EFC">
            <w:pPr>
              <w:rPr>
                <w:rFonts w:ascii="Arial" w:hAnsi="Arial" w:cs="Arial"/>
                <w:color w:val="000000"/>
              </w:rPr>
            </w:pPr>
            <w:r w:rsidRPr="006C43D8">
              <w:rPr>
                <w:rFonts w:ascii="Arial" w:hAnsi="Arial" w:cs="Arial"/>
                <w:color w:val="000000"/>
              </w:rPr>
              <w:t>BI Rate</w:t>
            </w:r>
          </w:p>
        </w:tc>
        <w:tc>
          <w:tcPr>
            <w:tcW w:w="1275" w:type="dxa"/>
            <w:tcBorders>
              <w:top w:val="nil"/>
              <w:left w:val="nil"/>
              <w:bottom w:val="nil"/>
              <w:right w:val="nil"/>
            </w:tcBorders>
            <w:vAlign w:val="center"/>
            <w:hideMark/>
          </w:tcPr>
          <w:p w14:paraId="1AC974A7" w14:textId="77777777" w:rsidR="006C43D8" w:rsidRPr="006C43D8" w:rsidRDefault="006C43D8" w:rsidP="00500EFC">
            <w:pPr>
              <w:jc w:val="center"/>
              <w:rPr>
                <w:rFonts w:ascii="Arial" w:hAnsi="Arial" w:cs="Arial"/>
                <w:color w:val="000000"/>
              </w:rPr>
            </w:pPr>
            <w:r w:rsidRPr="006C43D8">
              <w:rPr>
                <w:rFonts w:ascii="Arial" w:hAnsi="Arial" w:cs="Arial"/>
                <w:color w:val="000000"/>
              </w:rPr>
              <w:t>-7.72387</w:t>
            </w:r>
          </w:p>
        </w:tc>
        <w:tc>
          <w:tcPr>
            <w:tcW w:w="1120" w:type="dxa"/>
            <w:tcBorders>
              <w:top w:val="nil"/>
              <w:left w:val="nil"/>
              <w:bottom w:val="nil"/>
              <w:right w:val="nil"/>
            </w:tcBorders>
            <w:vAlign w:val="center"/>
            <w:hideMark/>
          </w:tcPr>
          <w:p w14:paraId="3D8CEF14"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185B99DC" w14:textId="77777777" w:rsidTr="00500EFC">
        <w:trPr>
          <w:trHeight w:val="312"/>
          <w:jc w:val="center"/>
        </w:trPr>
        <w:tc>
          <w:tcPr>
            <w:tcW w:w="1560" w:type="dxa"/>
            <w:tcBorders>
              <w:top w:val="nil"/>
              <w:left w:val="nil"/>
              <w:bottom w:val="nil"/>
              <w:right w:val="nil"/>
            </w:tcBorders>
            <w:noWrap/>
            <w:vAlign w:val="center"/>
            <w:hideMark/>
          </w:tcPr>
          <w:p w14:paraId="7A34C436" w14:textId="77777777" w:rsidR="006C43D8" w:rsidRPr="006C43D8" w:rsidRDefault="006C43D8" w:rsidP="00500EFC">
            <w:pPr>
              <w:rPr>
                <w:rFonts w:ascii="Arial" w:hAnsi="Arial" w:cs="Arial"/>
                <w:color w:val="000000"/>
              </w:rPr>
            </w:pPr>
            <w:r w:rsidRPr="006C43D8">
              <w:rPr>
                <w:rFonts w:ascii="Arial" w:hAnsi="Arial" w:cs="Arial"/>
                <w:color w:val="000000"/>
              </w:rPr>
              <w:t>Exchange Rate</w:t>
            </w:r>
          </w:p>
        </w:tc>
        <w:tc>
          <w:tcPr>
            <w:tcW w:w="1275" w:type="dxa"/>
            <w:tcBorders>
              <w:top w:val="nil"/>
              <w:left w:val="nil"/>
              <w:bottom w:val="nil"/>
              <w:right w:val="nil"/>
            </w:tcBorders>
            <w:vAlign w:val="center"/>
            <w:hideMark/>
          </w:tcPr>
          <w:p w14:paraId="55584826" w14:textId="77777777" w:rsidR="006C43D8" w:rsidRPr="006C43D8" w:rsidRDefault="006C43D8" w:rsidP="00500EFC">
            <w:pPr>
              <w:jc w:val="center"/>
              <w:rPr>
                <w:rFonts w:ascii="Arial" w:hAnsi="Arial" w:cs="Arial"/>
                <w:color w:val="000000"/>
              </w:rPr>
            </w:pPr>
            <w:r w:rsidRPr="006C43D8">
              <w:rPr>
                <w:rFonts w:ascii="Arial" w:hAnsi="Arial" w:cs="Arial"/>
                <w:color w:val="000000"/>
              </w:rPr>
              <w:t>-13.3623</w:t>
            </w:r>
          </w:p>
        </w:tc>
        <w:tc>
          <w:tcPr>
            <w:tcW w:w="1120" w:type="dxa"/>
            <w:tcBorders>
              <w:top w:val="nil"/>
              <w:left w:val="nil"/>
              <w:bottom w:val="nil"/>
              <w:right w:val="nil"/>
            </w:tcBorders>
            <w:vAlign w:val="center"/>
            <w:hideMark/>
          </w:tcPr>
          <w:p w14:paraId="36D4AF73"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7CFACDFF" w14:textId="77777777" w:rsidTr="00500EFC">
        <w:trPr>
          <w:trHeight w:val="312"/>
          <w:jc w:val="center"/>
        </w:trPr>
        <w:tc>
          <w:tcPr>
            <w:tcW w:w="1560" w:type="dxa"/>
            <w:tcBorders>
              <w:top w:val="nil"/>
              <w:left w:val="nil"/>
              <w:bottom w:val="nil"/>
              <w:right w:val="nil"/>
            </w:tcBorders>
            <w:noWrap/>
            <w:vAlign w:val="center"/>
            <w:hideMark/>
          </w:tcPr>
          <w:p w14:paraId="0D2A408D" w14:textId="77777777" w:rsidR="006C43D8" w:rsidRPr="006C43D8" w:rsidRDefault="006C43D8" w:rsidP="00500EFC">
            <w:pPr>
              <w:rPr>
                <w:rFonts w:ascii="Arial" w:hAnsi="Arial" w:cs="Arial"/>
                <w:color w:val="000000"/>
              </w:rPr>
            </w:pPr>
            <w:r w:rsidRPr="006C43D8">
              <w:rPr>
                <w:rFonts w:ascii="Arial" w:hAnsi="Arial" w:cs="Arial"/>
                <w:color w:val="000000"/>
              </w:rPr>
              <w:t>Inflation</w:t>
            </w:r>
          </w:p>
        </w:tc>
        <w:tc>
          <w:tcPr>
            <w:tcW w:w="1275" w:type="dxa"/>
            <w:tcBorders>
              <w:top w:val="nil"/>
              <w:left w:val="nil"/>
              <w:bottom w:val="nil"/>
              <w:right w:val="nil"/>
            </w:tcBorders>
            <w:vAlign w:val="center"/>
            <w:hideMark/>
          </w:tcPr>
          <w:p w14:paraId="28FB1A78" w14:textId="77777777" w:rsidR="006C43D8" w:rsidRPr="006C43D8" w:rsidRDefault="006C43D8" w:rsidP="00500EFC">
            <w:pPr>
              <w:jc w:val="center"/>
              <w:rPr>
                <w:rFonts w:ascii="Arial" w:hAnsi="Arial" w:cs="Arial"/>
                <w:color w:val="000000"/>
              </w:rPr>
            </w:pPr>
            <w:r w:rsidRPr="006C43D8">
              <w:rPr>
                <w:rFonts w:ascii="Arial" w:hAnsi="Arial" w:cs="Arial"/>
                <w:color w:val="000000"/>
              </w:rPr>
              <w:t>-10.0988</w:t>
            </w:r>
          </w:p>
        </w:tc>
        <w:tc>
          <w:tcPr>
            <w:tcW w:w="1120" w:type="dxa"/>
            <w:tcBorders>
              <w:top w:val="nil"/>
              <w:left w:val="nil"/>
              <w:bottom w:val="nil"/>
              <w:right w:val="nil"/>
            </w:tcBorders>
            <w:vAlign w:val="center"/>
            <w:hideMark/>
          </w:tcPr>
          <w:p w14:paraId="44333EBE"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05ACB384" w14:textId="77777777" w:rsidTr="00500EFC">
        <w:trPr>
          <w:trHeight w:val="312"/>
          <w:jc w:val="center"/>
        </w:trPr>
        <w:tc>
          <w:tcPr>
            <w:tcW w:w="1560" w:type="dxa"/>
            <w:tcBorders>
              <w:top w:val="nil"/>
              <w:left w:val="nil"/>
              <w:bottom w:val="nil"/>
              <w:right w:val="nil"/>
            </w:tcBorders>
            <w:noWrap/>
            <w:vAlign w:val="center"/>
            <w:hideMark/>
          </w:tcPr>
          <w:p w14:paraId="3CBD9AB6" w14:textId="77777777" w:rsidR="006C43D8" w:rsidRPr="006C43D8" w:rsidRDefault="006C43D8" w:rsidP="00500EFC">
            <w:pPr>
              <w:rPr>
                <w:rFonts w:ascii="Arial" w:hAnsi="Arial" w:cs="Arial"/>
                <w:color w:val="000000"/>
              </w:rPr>
            </w:pPr>
            <w:r w:rsidRPr="006C43D8">
              <w:rPr>
                <w:rFonts w:ascii="Arial" w:hAnsi="Arial" w:cs="Arial"/>
                <w:color w:val="000000"/>
              </w:rPr>
              <w:t>IP Growth</w:t>
            </w:r>
          </w:p>
        </w:tc>
        <w:tc>
          <w:tcPr>
            <w:tcW w:w="1275" w:type="dxa"/>
            <w:tcBorders>
              <w:top w:val="nil"/>
              <w:left w:val="nil"/>
              <w:bottom w:val="nil"/>
              <w:right w:val="nil"/>
            </w:tcBorders>
            <w:vAlign w:val="center"/>
            <w:hideMark/>
          </w:tcPr>
          <w:p w14:paraId="50E50152" w14:textId="77777777" w:rsidR="006C43D8" w:rsidRPr="006C43D8" w:rsidRDefault="006C43D8" w:rsidP="00500EFC">
            <w:pPr>
              <w:jc w:val="center"/>
              <w:rPr>
                <w:rFonts w:ascii="Arial" w:hAnsi="Arial" w:cs="Arial"/>
                <w:color w:val="000000"/>
              </w:rPr>
            </w:pPr>
            <w:r w:rsidRPr="006C43D8">
              <w:rPr>
                <w:rFonts w:ascii="Arial" w:hAnsi="Arial" w:cs="Arial"/>
                <w:color w:val="000000"/>
              </w:rPr>
              <w:t>-3.99347</w:t>
            </w:r>
          </w:p>
        </w:tc>
        <w:tc>
          <w:tcPr>
            <w:tcW w:w="1120" w:type="dxa"/>
            <w:tcBorders>
              <w:top w:val="nil"/>
              <w:left w:val="nil"/>
              <w:bottom w:val="nil"/>
              <w:right w:val="nil"/>
            </w:tcBorders>
            <w:vAlign w:val="center"/>
            <w:hideMark/>
          </w:tcPr>
          <w:p w14:paraId="7C709262" w14:textId="77777777" w:rsidR="006C43D8" w:rsidRPr="006C43D8" w:rsidRDefault="006C43D8" w:rsidP="00500EFC">
            <w:pPr>
              <w:jc w:val="center"/>
              <w:rPr>
                <w:rFonts w:ascii="Arial" w:hAnsi="Arial" w:cs="Arial"/>
                <w:color w:val="000000"/>
              </w:rPr>
            </w:pPr>
            <w:r w:rsidRPr="006C43D8">
              <w:rPr>
                <w:rFonts w:ascii="Arial" w:hAnsi="Arial" w:cs="Arial"/>
                <w:color w:val="000000"/>
              </w:rPr>
              <w:t> 0.0019</w:t>
            </w:r>
          </w:p>
        </w:tc>
      </w:tr>
      <w:tr w:rsidR="006C43D8" w:rsidRPr="006C43D8" w14:paraId="085F8717" w14:textId="77777777" w:rsidTr="00500EFC">
        <w:trPr>
          <w:trHeight w:val="312"/>
          <w:jc w:val="center"/>
        </w:trPr>
        <w:tc>
          <w:tcPr>
            <w:tcW w:w="1560" w:type="dxa"/>
            <w:tcBorders>
              <w:top w:val="nil"/>
              <w:left w:val="nil"/>
              <w:bottom w:val="nil"/>
              <w:right w:val="nil"/>
            </w:tcBorders>
            <w:noWrap/>
            <w:vAlign w:val="center"/>
            <w:hideMark/>
          </w:tcPr>
          <w:p w14:paraId="4D6F7072" w14:textId="77777777" w:rsidR="006C43D8" w:rsidRPr="006C43D8" w:rsidRDefault="006C43D8" w:rsidP="00500EFC">
            <w:pPr>
              <w:rPr>
                <w:rFonts w:ascii="Arial" w:hAnsi="Arial" w:cs="Arial"/>
                <w:color w:val="000000"/>
              </w:rPr>
            </w:pPr>
            <w:r w:rsidRPr="006C43D8">
              <w:rPr>
                <w:rFonts w:ascii="Arial" w:hAnsi="Arial" w:cs="Arial"/>
                <w:color w:val="000000"/>
              </w:rPr>
              <w:t>JII</w:t>
            </w:r>
          </w:p>
        </w:tc>
        <w:tc>
          <w:tcPr>
            <w:tcW w:w="1275" w:type="dxa"/>
            <w:tcBorders>
              <w:top w:val="nil"/>
              <w:left w:val="nil"/>
              <w:bottom w:val="nil"/>
              <w:right w:val="nil"/>
            </w:tcBorders>
            <w:vAlign w:val="center"/>
            <w:hideMark/>
          </w:tcPr>
          <w:p w14:paraId="4739A6AC" w14:textId="77777777" w:rsidR="006C43D8" w:rsidRPr="006C43D8" w:rsidRDefault="006C43D8" w:rsidP="00500EFC">
            <w:pPr>
              <w:jc w:val="center"/>
              <w:rPr>
                <w:rFonts w:ascii="Arial" w:hAnsi="Arial" w:cs="Arial"/>
                <w:color w:val="000000"/>
              </w:rPr>
            </w:pPr>
            <w:r w:rsidRPr="006C43D8">
              <w:rPr>
                <w:rFonts w:ascii="Arial" w:hAnsi="Arial" w:cs="Arial"/>
                <w:color w:val="000000"/>
              </w:rPr>
              <w:t>-12.9682</w:t>
            </w:r>
          </w:p>
        </w:tc>
        <w:tc>
          <w:tcPr>
            <w:tcW w:w="1120" w:type="dxa"/>
            <w:tcBorders>
              <w:top w:val="nil"/>
              <w:left w:val="nil"/>
              <w:bottom w:val="nil"/>
              <w:right w:val="nil"/>
            </w:tcBorders>
            <w:vAlign w:val="center"/>
            <w:hideMark/>
          </w:tcPr>
          <w:p w14:paraId="09BBE57C"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r w:rsidR="006C43D8" w:rsidRPr="006C43D8" w14:paraId="13A3B4E3" w14:textId="77777777" w:rsidTr="00500EFC">
        <w:trPr>
          <w:trHeight w:val="312"/>
          <w:jc w:val="center"/>
        </w:trPr>
        <w:tc>
          <w:tcPr>
            <w:tcW w:w="1560" w:type="dxa"/>
            <w:tcBorders>
              <w:top w:val="nil"/>
              <w:left w:val="nil"/>
              <w:bottom w:val="single" w:sz="4" w:space="0" w:color="auto"/>
              <w:right w:val="nil"/>
            </w:tcBorders>
            <w:noWrap/>
            <w:vAlign w:val="center"/>
            <w:hideMark/>
          </w:tcPr>
          <w:p w14:paraId="53CE23F1" w14:textId="77777777" w:rsidR="006C43D8" w:rsidRPr="006C43D8" w:rsidRDefault="006C43D8" w:rsidP="00500EFC">
            <w:pPr>
              <w:rPr>
                <w:rFonts w:ascii="Arial" w:hAnsi="Arial" w:cs="Arial"/>
                <w:color w:val="000000"/>
              </w:rPr>
            </w:pPr>
            <w:r w:rsidRPr="006C43D8">
              <w:rPr>
                <w:rFonts w:ascii="Arial" w:hAnsi="Arial" w:cs="Arial"/>
                <w:color w:val="000000"/>
              </w:rPr>
              <w:t>IDX Composite</w:t>
            </w:r>
          </w:p>
        </w:tc>
        <w:tc>
          <w:tcPr>
            <w:tcW w:w="1275" w:type="dxa"/>
            <w:tcBorders>
              <w:top w:val="nil"/>
              <w:left w:val="nil"/>
              <w:bottom w:val="single" w:sz="4" w:space="0" w:color="auto"/>
              <w:right w:val="nil"/>
            </w:tcBorders>
            <w:vAlign w:val="center"/>
            <w:hideMark/>
          </w:tcPr>
          <w:p w14:paraId="2645C34C" w14:textId="77777777" w:rsidR="006C43D8" w:rsidRPr="006C43D8" w:rsidRDefault="006C43D8" w:rsidP="00500EFC">
            <w:pPr>
              <w:jc w:val="center"/>
              <w:rPr>
                <w:rFonts w:ascii="Arial" w:hAnsi="Arial" w:cs="Arial"/>
                <w:color w:val="000000"/>
              </w:rPr>
            </w:pPr>
            <w:r w:rsidRPr="006C43D8">
              <w:rPr>
                <w:rFonts w:ascii="Arial" w:hAnsi="Arial" w:cs="Arial"/>
                <w:color w:val="000000"/>
              </w:rPr>
              <w:t>-11.8447</w:t>
            </w:r>
          </w:p>
        </w:tc>
        <w:tc>
          <w:tcPr>
            <w:tcW w:w="1120" w:type="dxa"/>
            <w:tcBorders>
              <w:top w:val="nil"/>
              <w:left w:val="nil"/>
              <w:bottom w:val="single" w:sz="4" w:space="0" w:color="auto"/>
              <w:right w:val="nil"/>
            </w:tcBorders>
            <w:vAlign w:val="center"/>
            <w:hideMark/>
          </w:tcPr>
          <w:p w14:paraId="5D61FFEB" w14:textId="77777777" w:rsidR="006C43D8" w:rsidRPr="006C43D8" w:rsidRDefault="006C43D8" w:rsidP="00500EFC">
            <w:pPr>
              <w:jc w:val="center"/>
              <w:rPr>
                <w:rFonts w:ascii="Arial" w:hAnsi="Arial" w:cs="Arial"/>
                <w:color w:val="000000"/>
              </w:rPr>
            </w:pPr>
            <w:r w:rsidRPr="006C43D8">
              <w:rPr>
                <w:rFonts w:ascii="Arial" w:hAnsi="Arial" w:cs="Arial"/>
                <w:color w:val="000000"/>
              </w:rPr>
              <w:t> 0.0000</w:t>
            </w:r>
          </w:p>
        </w:tc>
      </w:tr>
    </w:tbl>
    <w:p w14:paraId="0A5F2C21" w14:textId="77777777" w:rsidR="006C43D8" w:rsidRPr="006C43D8" w:rsidRDefault="006C43D8" w:rsidP="006C43D8">
      <w:pPr>
        <w:ind w:left="2694" w:hanging="568"/>
        <w:rPr>
          <w:rFonts w:ascii="Arial" w:hAnsi="Arial" w:cs="Arial"/>
        </w:rPr>
      </w:pPr>
      <w:r w:rsidRPr="006C43D8">
        <w:rPr>
          <w:rFonts w:ascii="Arial" w:hAnsi="Arial" w:cs="Arial"/>
        </w:rPr>
        <w:t>Source: Author 2024</w:t>
      </w:r>
    </w:p>
    <w:p w14:paraId="002CA24B" w14:textId="0E7B8549" w:rsidR="006C43D8" w:rsidRPr="006C43D8" w:rsidRDefault="006C43D8" w:rsidP="006C43D8">
      <w:pPr>
        <w:jc w:val="both"/>
        <w:rPr>
          <w:rFonts w:ascii="Arial" w:hAnsi="Arial" w:cs="Arial"/>
        </w:rPr>
      </w:pPr>
      <w:r w:rsidRPr="006C43D8">
        <w:rPr>
          <w:rFonts w:ascii="Arial" w:hAnsi="Arial" w:cs="Arial"/>
        </w:rPr>
        <w:t xml:space="preserve">In this study, the results of the stationarity test with the Augmented Dicky Fuller (ADF) model using first </w:t>
      </w:r>
      <w:r w:rsidR="008F78D6">
        <w:rPr>
          <w:rFonts w:ascii="Arial" w:hAnsi="Arial" w:cs="Arial"/>
        </w:rPr>
        <w:t>differenced</w:t>
      </w:r>
      <w:r w:rsidRPr="006C43D8">
        <w:rPr>
          <w:rFonts w:ascii="Arial" w:hAnsi="Arial" w:cs="Arial"/>
        </w:rPr>
        <w:t xml:space="preserve"> data show that all variables in the study, namely</w:t>
      </w:r>
      <w:r w:rsidR="008F78D6">
        <w:rPr>
          <w:rFonts w:ascii="Arial" w:hAnsi="Arial" w:cs="Arial"/>
        </w:rPr>
        <w:t>,</w:t>
      </w:r>
      <w:r w:rsidRPr="006C43D8">
        <w:rPr>
          <w:rFonts w:ascii="Arial" w:hAnsi="Arial" w:cs="Arial"/>
        </w:rPr>
        <w:t xml:space="preserve"> FFR, DJI, DJIM, BI Rate, Exchange Rate, Inflation, IP Growth, JII, and IDX Composite</w:t>
      </w:r>
      <w:r w:rsidR="00C63C25">
        <w:rPr>
          <w:rFonts w:ascii="Arial" w:hAnsi="Arial" w:cs="Arial"/>
        </w:rPr>
        <w:t>,</w:t>
      </w:r>
      <w:r w:rsidRPr="006C43D8">
        <w:rPr>
          <w:rFonts w:ascii="Arial" w:hAnsi="Arial" w:cs="Arial"/>
        </w:rPr>
        <w:t xml:space="preserve"> have a probability value of less than 0.05. This indicates that all variables in the study are free from unit roots and stationary in the first degree.</w:t>
      </w:r>
    </w:p>
    <w:p w14:paraId="43CBD645" w14:textId="77777777" w:rsidR="006C43D8" w:rsidRDefault="006C43D8" w:rsidP="006C43D8">
      <w:pPr>
        <w:spacing w:after="160"/>
        <w:rPr>
          <w:rFonts w:ascii="Arial" w:hAnsi="Arial" w:cs="Arial"/>
          <w:b/>
          <w:bCs/>
        </w:rPr>
      </w:pPr>
    </w:p>
    <w:p w14:paraId="4B5AC27B" w14:textId="5064C6AB" w:rsidR="006C43D8" w:rsidRPr="006C43D8" w:rsidRDefault="006C43D8" w:rsidP="006C43D8">
      <w:pPr>
        <w:spacing w:after="160"/>
        <w:rPr>
          <w:rFonts w:ascii="Arial" w:hAnsi="Arial" w:cs="Arial"/>
          <w:b/>
          <w:bCs/>
        </w:rPr>
      </w:pPr>
      <w:r>
        <w:rPr>
          <w:rFonts w:ascii="Arial" w:hAnsi="Arial" w:cs="Arial"/>
          <w:b/>
          <w:bCs/>
        </w:rPr>
        <w:t xml:space="preserve">4.1.2 </w:t>
      </w:r>
      <w:r w:rsidRPr="006C43D8">
        <w:rPr>
          <w:rFonts w:ascii="Arial" w:hAnsi="Arial" w:cs="Arial"/>
          <w:b/>
          <w:bCs/>
        </w:rPr>
        <w:t>AR Root Stability Test</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7"/>
      </w:tblGrid>
      <w:tr w:rsidR="006C43D8" w:rsidRPr="006C43D8" w14:paraId="52EC53F2" w14:textId="77777777" w:rsidTr="00500EFC">
        <w:tc>
          <w:tcPr>
            <w:tcW w:w="3402" w:type="dxa"/>
          </w:tcPr>
          <w:p w14:paraId="73E3BB1A" w14:textId="77777777" w:rsidR="006C43D8" w:rsidRPr="006C43D8" w:rsidRDefault="006C43D8" w:rsidP="00500EFC">
            <w:pPr>
              <w:spacing w:after="160"/>
              <w:rPr>
                <w:rFonts w:ascii="Arial" w:hAnsi="Arial" w:cs="Arial"/>
                <w:b/>
                <w:bCs/>
                <w:sz w:val="20"/>
                <w:szCs w:val="20"/>
              </w:rPr>
            </w:pPr>
            <w:r w:rsidRPr="006C43D8">
              <w:rPr>
                <w:rFonts w:ascii="Arial" w:hAnsi="Arial" w:cs="Arial"/>
                <w:b/>
                <w:bCs/>
                <w:sz w:val="20"/>
                <w:szCs w:val="20"/>
              </w:rPr>
              <w:lastRenderedPageBreak/>
              <w:t>Table 2. AR Root Stability Test</w:t>
            </w:r>
          </w:p>
          <w:tbl>
            <w:tblPr>
              <w:tblStyle w:val="TableGrid"/>
              <w:tblW w:w="4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1"/>
            </w:tblGrid>
            <w:tr w:rsidR="006C43D8" w:rsidRPr="006C43D8" w14:paraId="2CF855C5" w14:textId="77777777" w:rsidTr="00500EFC">
              <w:tc>
                <w:tcPr>
                  <w:tcW w:w="4211" w:type="dxa"/>
                </w:tcPr>
                <w:tbl>
                  <w:tblPr>
                    <w:tblW w:w="2586" w:type="dxa"/>
                    <w:tblLayout w:type="fixed"/>
                    <w:tblLook w:val="04A0" w:firstRow="1" w:lastRow="0" w:firstColumn="1" w:lastColumn="0" w:noHBand="0" w:noVBand="1"/>
                  </w:tblPr>
                  <w:tblGrid>
                    <w:gridCol w:w="1346"/>
                    <w:gridCol w:w="1240"/>
                  </w:tblGrid>
                  <w:tr w:rsidR="006C43D8" w:rsidRPr="006C43D8" w14:paraId="1459FF07" w14:textId="77777777" w:rsidTr="006C43D8">
                    <w:trPr>
                      <w:trHeight w:val="312"/>
                    </w:trPr>
                    <w:tc>
                      <w:tcPr>
                        <w:tcW w:w="1346" w:type="dxa"/>
                        <w:tcBorders>
                          <w:top w:val="single" w:sz="4" w:space="0" w:color="auto"/>
                          <w:left w:val="nil"/>
                          <w:bottom w:val="nil"/>
                          <w:right w:val="nil"/>
                        </w:tcBorders>
                        <w:vAlign w:val="center"/>
                        <w:hideMark/>
                      </w:tcPr>
                      <w:p w14:paraId="028DDB8C"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     Root</w:t>
                        </w:r>
                      </w:p>
                    </w:tc>
                    <w:tc>
                      <w:tcPr>
                        <w:tcW w:w="1240" w:type="dxa"/>
                        <w:tcBorders>
                          <w:top w:val="single" w:sz="4" w:space="0" w:color="auto"/>
                          <w:left w:val="nil"/>
                          <w:bottom w:val="nil"/>
                          <w:right w:val="nil"/>
                        </w:tcBorders>
                        <w:vAlign w:val="center"/>
                        <w:hideMark/>
                      </w:tcPr>
                      <w:p w14:paraId="172C2A28"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Modulus</w:t>
                        </w:r>
                      </w:p>
                    </w:tc>
                  </w:tr>
                  <w:tr w:rsidR="006C43D8" w:rsidRPr="006C43D8" w14:paraId="5B7999E1" w14:textId="77777777" w:rsidTr="006C43D8">
                    <w:trPr>
                      <w:trHeight w:val="312"/>
                    </w:trPr>
                    <w:tc>
                      <w:tcPr>
                        <w:tcW w:w="1346" w:type="dxa"/>
                        <w:tcBorders>
                          <w:top w:val="single" w:sz="4" w:space="0" w:color="auto"/>
                          <w:left w:val="nil"/>
                          <w:bottom w:val="nil"/>
                          <w:right w:val="nil"/>
                        </w:tcBorders>
                        <w:vAlign w:val="center"/>
                        <w:hideMark/>
                      </w:tcPr>
                      <w:p w14:paraId="5B996664" w14:textId="77777777" w:rsidR="006C43D8" w:rsidRPr="006C43D8" w:rsidRDefault="006C43D8" w:rsidP="00500EFC">
                        <w:pPr>
                          <w:rPr>
                            <w:rFonts w:ascii="Arial" w:hAnsi="Arial" w:cs="Arial"/>
                            <w:color w:val="000000"/>
                          </w:rPr>
                        </w:pPr>
                        <w:r w:rsidRPr="006C43D8">
                          <w:rPr>
                            <w:rFonts w:ascii="Arial" w:hAnsi="Arial" w:cs="Arial"/>
                            <w:color w:val="000000"/>
                          </w:rPr>
                          <w:t> 0.995200 - 0.006660i</w:t>
                        </w:r>
                      </w:p>
                    </w:tc>
                    <w:tc>
                      <w:tcPr>
                        <w:tcW w:w="1240" w:type="dxa"/>
                        <w:tcBorders>
                          <w:top w:val="single" w:sz="4" w:space="0" w:color="auto"/>
                          <w:left w:val="nil"/>
                          <w:bottom w:val="nil"/>
                          <w:right w:val="nil"/>
                        </w:tcBorders>
                        <w:vAlign w:val="center"/>
                        <w:hideMark/>
                      </w:tcPr>
                      <w:p w14:paraId="26F9E2AC" w14:textId="77777777" w:rsidR="006C43D8" w:rsidRPr="006C43D8" w:rsidRDefault="006C43D8" w:rsidP="00500EFC">
                        <w:pPr>
                          <w:jc w:val="center"/>
                          <w:rPr>
                            <w:rFonts w:ascii="Arial" w:hAnsi="Arial" w:cs="Arial"/>
                            <w:color w:val="000000"/>
                          </w:rPr>
                        </w:pPr>
                        <w:r w:rsidRPr="006C43D8">
                          <w:rPr>
                            <w:rFonts w:ascii="Arial" w:hAnsi="Arial" w:cs="Arial"/>
                            <w:color w:val="000000"/>
                          </w:rPr>
                          <w:t> 0.995222</w:t>
                        </w:r>
                      </w:p>
                    </w:tc>
                  </w:tr>
                  <w:tr w:rsidR="006C43D8" w:rsidRPr="006C43D8" w14:paraId="1B740F6D" w14:textId="77777777" w:rsidTr="006C43D8">
                    <w:trPr>
                      <w:trHeight w:val="312"/>
                    </w:trPr>
                    <w:tc>
                      <w:tcPr>
                        <w:tcW w:w="1346" w:type="dxa"/>
                        <w:tcBorders>
                          <w:top w:val="nil"/>
                          <w:left w:val="nil"/>
                          <w:bottom w:val="nil"/>
                          <w:right w:val="nil"/>
                        </w:tcBorders>
                        <w:vAlign w:val="center"/>
                        <w:hideMark/>
                      </w:tcPr>
                      <w:p w14:paraId="63112BD2" w14:textId="77777777" w:rsidR="006C43D8" w:rsidRPr="006C43D8" w:rsidRDefault="006C43D8" w:rsidP="00500EFC">
                        <w:pPr>
                          <w:rPr>
                            <w:rFonts w:ascii="Arial" w:hAnsi="Arial" w:cs="Arial"/>
                            <w:color w:val="000000"/>
                          </w:rPr>
                        </w:pPr>
                        <w:r w:rsidRPr="006C43D8">
                          <w:rPr>
                            <w:rFonts w:ascii="Arial" w:hAnsi="Arial" w:cs="Arial"/>
                            <w:color w:val="000000"/>
                          </w:rPr>
                          <w:t> 0.995200 + 0.006660i</w:t>
                        </w:r>
                      </w:p>
                    </w:tc>
                    <w:tc>
                      <w:tcPr>
                        <w:tcW w:w="1240" w:type="dxa"/>
                        <w:tcBorders>
                          <w:top w:val="nil"/>
                          <w:left w:val="nil"/>
                          <w:bottom w:val="nil"/>
                          <w:right w:val="nil"/>
                        </w:tcBorders>
                        <w:vAlign w:val="center"/>
                        <w:hideMark/>
                      </w:tcPr>
                      <w:p w14:paraId="24CB0463" w14:textId="77777777" w:rsidR="006C43D8" w:rsidRPr="006C43D8" w:rsidRDefault="006C43D8" w:rsidP="00500EFC">
                        <w:pPr>
                          <w:jc w:val="center"/>
                          <w:rPr>
                            <w:rFonts w:ascii="Arial" w:hAnsi="Arial" w:cs="Arial"/>
                            <w:color w:val="000000"/>
                          </w:rPr>
                        </w:pPr>
                        <w:r w:rsidRPr="006C43D8">
                          <w:rPr>
                            <w:rFonts w:ascii="Arial" w:hAnsi="Arial" w:cs="Arial"/>
                            <w:color w:val="000000"/>
                          </w:rPr>
                          <w:t> 0.995222</w:t>
                        </w:r>
                      </w:p>
                    </w:tc>
                  </w:tr>
                  <w:tr w:rsidR="006C43D8" w:rsidRPr="006C43D8" w14:paraId="451FA779" w14:textId="77777777" w:rsidTr="006C43D8">
                    <w:trPr>
                      <w:trHeight w:val="312"/>
                    </w:trPr>
                    <w:tc>
                      <w:tcPr>
                        <w:tcW w:w="1346" w:type="dxa"/>
                        <w:tcBorders>
                          <w:top w:val="nil"/>
                          <w:left w:val="nil"/>
                          <w:bottom w:val="nil"/>
                          <w:right w:val="nil"/>
                        </w:tcBorders>
                        <w:vAlign w:val="center"/>
                        <w:hideMark/>
                      </w:tcPr>
                      <w:p w14:paraId="4E808AAF" w14:textId="77777777" w:rsidR="006C43D8" w:rsidRPr="006C43D8" w:rsidRDefault="006C43D8" w:rsidP="00500EFC">
                        <w:pPr>
                          <w:rPr>
                            <w:rFonts w:ascii="Arial" w:hAnsi="Arial" w:cs="Arial"/>
                            <w:color w:val="000000"/>
                          </w:rPr>
                        </w:pPr>
                        <w:r w:rsidRPr="006C43D8">
                          <w:rPr>
                            <w:rFonts w:ascii="Arial" w:hAnsi="Arial" w:cs="Arial"/>
                            <w:color w:val="000000"/>
                          </w:rPr>
                          <w:t> 0.934485 - 0.054633i</w:t>
                        </w:r>
                      </w:p>
                    </w:tc>
                    <w:tc>
                      <w:tcPr>
                        <w:tcW w:w="1240" w:type="dxa"/>
                        <w:tcBorders>
                          <w:top w:val="nil"/>
                          <w:left w:val="nil"/>
                          <w:bottom w:val="nil"/>
                          <w:right w:val="nil"/>
                        </w:tcBorders>
                        <w:vAlign w:val="center"/>
                        <w:hideMark/>
                      </w:tcPr>
                      <w:p w14:paraId="34553D5B" w14:textId="77777777" w:rsidR="006C43D8" w:rsidRPr="006C43D8" w:rsidRDefault="006C43D8" w:rsidP="00500EFC">
                        <w:pPr>
                          <w:jc w:val="center"/>
                          <w:rPr>
                            <w:rFonts w:ascii="Arial" w:hAnsi="Arial" w:cs="Arial"/>
                            <w:color w:val="000000"/>
                          </w:rPr>
                        </w:pPr>
                        <w:r w:rsidRPr="006C43D8">
                          <w:rPr>
                            <w:rFonts w:ascii="Arial" w:hAnsi="Arial" w:cs="Arial"/>
                            <w:color w:val="000000"/>
                          </w:rPr>
                          <w:t> 0.936081</w:t>
                        </w:r>
                      </w:p>
                    </w:tc>
                  </w:tr>
                  <w:tr w:rsidR="006C43D8" w:rsidRPr="006C43D8" w14:paraId="333BBD5A" w14:textId="77777777" w:rsidTr="006C43D8">
                    <w:trPr>
                      <w:trHeight w:val="312"/>
                    </w:trPr>
                    <w:tc>
                      <w:tcPr>
                        <w:tcW w:w="1346" w:type="dxa"/>
                        <w:tcBorders>
                          <w:top w:val="nil"/>
                          <w:left w:val="nil"/>
                          <w:bottom w:val="nil"/>
                          <w:right w:val="nil"/>
                        </w:tcBorders>
                        <w:vAlign w:val="center"/>
                        <w:hideMark/>
                      </w:tcPr>
                      <w:p w14:paraId="6A689782" w14:textId="77777777" w:rsidR="006C43D8" w:rsidRPr="006C43D8" w:rsidRDefault="006C43D8" w:rsidP="00500EFC">
                        <w:pPr>
                          <w:rPr>
                            <w:rFonts w:ascii="Arial" w:hAnsi="Arial" w:cs="Arial"/>
                            <w:color w:val="000000"/>
                          </w:rPr>
                        </w:pPr>
                        <w:r w:rsidRPr="006C43D8">
                          <w:rPr>
                            <w:rFonts w:ascii="Arial" w:hAnsi="Arial" w:cs="Arial"/>
                            <w:color w:val="000000"/>
                          </w:rPr>
                          <w:t> 0.934485 + 0.054633i</w:t>
                        </w:r>
                      </w:p>
                    </w:tc>
                    <w:tc>
                      <w:tcPr>
                        <w:tcW w:w="1240" w:type="dxa"/>
                        <w:tcBorders>
                          <w:top w:val="nil"/>
                          <w:left w:val="nil"/>
                          <w:bottom w:val="nil"/>
                          <w:right w:val="nil"/>
                        </w:tcBorders>
                        <w:vAlign w:val="center"/>
                        <w:hideMark/>
                      </w:tcPr>
                      <w:p w14:paraId="49894C2A" w14:textId="77777777" w:rsidR="006C43D8" w:rsidRPr="006C43D8" w:rsidRDefault="006C43D8" w:rsidP="00500EFC">
                        <w:pPr>
                          <w:jc w:val="center"/>
                          <w:rPr>
                            <w:rFonts w:ascii="Arial" w:hAnsi="Arial" w:cs="Arial"/>
                            <w:color w:val="000000"/>
                          </w:rPr>
                        </w:pPr>
                        <w:r w:rsidRPr="006C43D8">
                          <w:rPr>
                            <w:rFonts w:ascii="Arial" w:hAnsi="Arial" w:cs="Arial"/>
                            <w:color w:val="000000"/>
                          </w:rPr>
                          <w:t> 0.936081</w:t>
                        </w:r>
                      </w:p>
                    </w:tc>
                  </w:tr>
                  <w:tr w:rsidR="006C43D8" w:rsidRPr="006C43D8" w14:paraId="33E6DEF3" w14:textId="77777777" w:rsidTr="006C43D8">
                    <w:trPr>
                      <w:trHeight w:val="312"/>
                    </w:trPr>
                    <w:tc>
                      <w:tcPr>
                        <w:tcW w:w="1346" w:type="dxa"/>
                        <w:tcBorders>
                          <w:top w:val="nil"/>
                          <w:left w:val="nil"/>
                          <w:bottom w:val="nil"/>
                          <w:right w:val="nil"/>
                        </w:tcBorders>
                        <w:vAlign w:val="center"/>
                        <w:hideMark/>
                      </w:tcPr>
                      <w:p w14:paraId="15DBF439" w14:textId="77777777" w:rsidR="006C43D8" w:rsidRPr="006C43D8" w:rsidRDefault="006C43D8" w:rsidP="00500EFC">
                        <w:pPr>
                          <w:rPr>
                            <w:rFonts w:ascii="Arial" w:hAnsi="Arial" w:cs="Arial"/>
                            <w:color w:val="000000"/>
                          </w:rPr>
                        </w:pPr>
                        <w:r w:rsidRPr="006C43D8">
                          <w:rPr>
                            <w:rFonts w:ascii="Arial" w:hAnsi="Arial" w:cs="Arial"/>
                            <w:color w:val="000000"/>
                          </w:rPr>
                          <w:t> 0.900622 - 0.088797i</w:t>
                        </w:r>
                      </w:p>
                    </w:tc>
                    <w:tc>
                      <w:tcPr>
                        <w:tcW w:w="1240" w:type="dxa"/>
                        <w:tcBorders>
                          <w:top w:val="nil"/>
                          <w:left w:val="nil"/>
                          <w:bottom w:val="nil"/>
                          <w:right w:val="nil"/>
                        </w:tcBorders>
                        <w:vAlign w:val="center"/>
                        <w:hideMark/>
                      </w:tcPr>
                      <w:p w14:paraId="3234EFF9" w14:textId="77777777" w:rsidR="006C43D8" w:rsidRPr="006C43D8" w:rsidRDefault="006C43D8" w:rsidP="00500EFC">
                        <w:pPr>
                          <w:jc w:val="center"/>
                          <w:rPr>
                            <w:rFonts w:ascii="Arial" w:hAnsi="Arial" w:cs="Arial"/>
                            <w:color w:val="000000"/>
                          </w:rPr>
                        </w:pPr>
                        <w:r w:rsidRPr="006C43D8">
                          <w:rPr>
                            <w:rFonts w:ascii="Arial" w:hAnsi="Arial" w:cs="Arial"/>
                            <w:color w:val="000000"/>
                          </w:rPr>
                          <w:t> 0.904989</w:t>
                        </w:r>
                      </w:p>
                    </w:tc>
                  </w:tr>
                  <w:tr w:rsidR="006C43D8" w:rsidRPr="006C43D8" w14:paraId="6D7CABF6" w14:textId="77777777" w:rsidTr="006C43D8">
                    <w:trPr>
                      <w:trHeight w:val="312"/>
                    </w:trPr>
                    <w:tc>
                      <w:tcPr>
                        <w:tcW w:w="1346" w:type="dxa"/>
                        <w:tcBorders>
                          <w:top w:val="nil"/>
                          <w:left w:val="nil"/>
                          <w:bottom w:val="nil"/>
                          <w:right w:val="nil"/>
                        </w:tcBorders>
                        <w:vAlign w:val="center"/>
                        <w:hideMark/>
                      </w:tcPr>
                      <w:p w14:paraId="3B03F2A9" w14:textId="77777777" w:rsidR="006C43D8" w:rsidRPr="006C43D8" w:rsidRDefault="006C43D8" w:rsidP="00500EFC">
                        <w:pPr>
                          <w:rPr>
                            <w:rFonts w:ascii="Arial" w:hAnsi="Arial" w:cs="Arial"/>
                            <w:color w:val="000000"/>
                          </w:rPr>
                        </w:pPr>
                        <w:r w:rsidRPr="006C43D8">
                          <w:rPr>
                            <w:rFonts w:ascii="Arial" w:hAnsi="Arial" w:cs="Arial"/>
                            <w:color w:val="000000"/>
                          </w:rPr>
                          <w:t> 0.900622 + 0.088797i</w:t>
                        </w:r>
                      </w:p>
                    </w:tc>
                    <w:tc>
                      <w:tcPr>
                        <w:tcW w:w="1240" w:type="dxa"/>
                        <w:tcBorders>
                          <w:top w:val="nil"/>
                          <w:left w:val="nil"/>
                          <w:bottom w:val="nil"/>
                          <w:right w:val="nil"/>
                        </w:tcBorders>
                        <w:vAlign w:val="center"/>
                        <w:hideMark/>
                      </w:tcPr>
                      <w:p w14:paraId="218103D4" w14:textId="77777777" w:rsidR="006C43D8" w:rsidRPr="006C43D8" w:rsidRDefault="006C43D8" w:rsidP="00500EFC">
                        <w:pPr>
                          <w:jc w:val="center"/>
                          <w:rPr>
                            <w:rFonts w:ascii="Arial" w:hAnsi="Arial" w:cs="Arial"/>
                            <w:color w:val="000000"/>
                          </w:rPr>
                        </w:pPr>
                        <w:r w:rsidRPr="006C43D8">
                          <w:rPr>
                            <w:rFonts w:ascii="Arial" w:hAnsi="Arial" w:cs="Arial"/>
                            <w:color w:val="000000"/>
                          </w:rPr>
                          <w:t> 0.904989</w:t>
                        </w:r>
                      </w:p>
                    </w:tc>
                  </w:tr>
                  <w:tr w:rsidR="006C43D8" w:rsidRPr="006C43D8" w14:paraId="5BDD45DA" w14:textId="77777777" w:rsidTr="006C43D8">
                    <w:trPr>
                      <w:trHeight w:val="312"/>
                    </w:trPr>
                    <w:tc>
                      <w:tcPr>
                        <w:tcW w:w="1346" w:type="dxa"/>
                        <w:tcBorders>
                          <w:top w:val="nil"/>
                          <w:left w:val="nil"/>
                          <w:bottom w:val="nil"/>
                          <w:right w:val="nil"/>
                        </w:tcBorders>
                        <w:vAlign w:val="center"/>
                        <w:hideMark/>
                      </w:tcPr>
                      <w:p w14:paraId="62DDF54D" w14:textId="77777777" w:rsidR="006C43D8" w:rsidRPr="006C43D8" w:rsidRDefault="006C43D8" w:rsidP="00500EFC">
                        <w:pPr>
                          <w:rPr>
                            <w:rFonts w:ascii="Arial" w:hAnsi="Arial" w:cs="Arial"/>
                            <w:color w:val="000000"/>
                          </w:rPr>
                        </w:pPr>
                        <w:r w:rsidRPr="006C43D8">
                          <w:rPr>
                            <w:rFonts w:ascii="Arial" w:hAnsi="Arial" w:cs="Arial"/>
                            <w:color w:val="000000"/>
                          </w:rPr>
                          <w:t> 0.859014</w:t>
                        </w:r>
                      </w:p>
                    </w:tc>
                    <w:tc>
                      <w:tcPr>
                        <w:tcW w:w="1240" w:type="dxa"/>
                        <w:tcBorders>
                          <w:top w:val="nil"/>
                          <w:left w:val="nil"/>
                          <w:bottom w:val="nil"/>
                          <w:right w:val="nil"/>
                        </w:tcBorders>
                        <w:vAlign w:val="center"/>
                        <w:hideMark/>
                      </w:tcPr>
                      <w:p w14:paraId="78186B67" w14:textId="77777777" w:rsidR="006C43D8" w:rsidRPr="006C43D8" w:rsidRDefault="006C43D8" w:rsidP="00500EFC">
                        <w:pPr>
                          <w:jc w:val="center"/>
                          <w:rPr>
                            <w:rFonts w:ascii="Arial" w:hAnsi="Arial" w:cs="Arial"/>
                            <w:color w:val="000000"/>
                          </w:rPr>
                        </w:pPr>
                        <w:r w:rsidRPr="006C43D8">
                          <w:rPr>
                            <w:rFonts w:ascii="Arial" w:hAnsi="Arial" w:cs="Arial"/>
                            <w:color w:val="000000"/>
                          </w:rPr>
                          <w:t> 0.859014</w:t>
                        </w:r>
                      </w:p>
                    </w:tc>
                  </w:tr>
                  <w:tr w:rsidR="006C43D8" w:rsidRPr="006C43D8" w14:paraId="22A528C4" w14:textId="77777777" w:rsidTr="006C43D8">
                    <w:trPr>
                      <w:trHeight w:val="312"/>
                    </w:trPr>
                    <w:tc>
                      <w:tcPr>
                        <w:tcW w:w="1346" w:type="dxa"/>
                        <w:tcBorders>
                          <w:top w:val="nil"/>
                          <w:left w:val="nil"/>
                          <w:bottom w:val="nil"/>
                          <w:right w:val="nil"/>
                        </w:tcBorders>
                        <w:vAlign w:val="center"/>
                        <w:hideMark/>
                      </w:tcPr>
                      <w:p w14:paraId="52CDAAB7" w14:textId="77777777" w:rsidR="006C43D8" w:rsidRPr="006C43D8" w:rsidRDefault="006C43D8" w:rsidP="00500EFC">
                        <w:pPr>
                          <w:rPr>
                            <w:rFonts w:ascii="Arial" w:hAnsi="Arial" w:cs="Arial"/>
                            <w:color w:val="000000"/>
                          </w:rPr>
                        </w:pPr>
                        <w:r w:rsidRPr="006C43D8">
                          <w:rPr>
                            <w:rFonts w:ascii="Arial" w:hAnsi="Arial" w:cs="Arial"/>
                            <w:color w:val="000000"/>
                          </w:rPr>
                          <w:t> 0.646032</w:t>
                        </w:r>
                      </w:p>
                    </w:tc>
                    <w:tc>
                      <w:tcPr>
                        <w:tcW w:w="1240" w:type="dxa"/>
                        <w:tcBorders>
                          <w:top w:val="nil"/>
                          <w:left w:val="nil"/>
                          <w:bottom w:val="nil"/>
                          <w:right w:val="nil"/>
                        </w:tcBorders>
                        <w:vAlign w:val="center"/>
                        <w:hideMark/>
                      </w:tcPr>
                      <w:p w14:paraId="371B0540" w14:textId="77777777" w:rsidR="006C43D8" w:rsidRPr="006C43D8" w:rsidRDefault="006C43D8" w:rsidP="00500EFC">
                        <w:pPr>
                          <w:jc w:val="center"/>
                          <w:rPr>
                            <w:rFonts w:ascii="Arial" w:hAnsi="Arial" w:cs="Arial"/>
                            <w:color w:val="000000"/>
                          </w:rPr>
                        </w:pPr>
                        <w:r w:rsidRPr="006C43D8">
                          <w:rPr>
                            <w:rFonts w:ascii="Arial" w:hAnsi="Arial" w:cs="Arial"/>
                            <w:color w:val="000000"/>
                          </w:rPr>
                          <w:t> 0.646032</w:t>
                        </w:r>
                      </w:p>
                    </w:tc>
                  </w:tr>
                  <w:tr w:rsidR="006C43D8" w:rsidRPr="006C43D8" w14:paraId="513C9983" w14:textId="77777777" w:rsidTr="006C43D8">
                    <w:trPr>
                      <w:trHeight w:val="312"/>
                    </w:trPr>
                    <w:tc>
                      <w:tcPr>
                        <w:tcW w:w="1346" w:type="dxa"/>
                        <w:tcBorders>
                          <w:top w:val="nil"/>
                          <w:left w:val="nil"/>
                          <w:bottom w:val="nil"/>
                          <w:right w:val="nil"/>
                        </w:tcBorders>
                        <w:vAlign w:val="center"/>
                        <w:hideMark/>
                      </w:tcPr>
                      <w:p w14:paraId="3519A9BE" w14:textId="77777777" w:rsidR="006C43D8" w:rsidRPr="006C43D8" w:rsidRDefault="006C43D8" w:rsidP="00500EFC">
                        <w:pPr>
                          <w:rPr>
                            <w:rFonts w:ascii="Arial" w:hAnsi="Arial" w:cs="Arial"/>
                            <w:color w:val="000000"/>
                          </w:rPr>
                        </w:pPr>
                        <w:r w:rsidRPr="006C43D8">
                          <w:rPr>
                            <w:rFonts w:ascii="Arial" w:hAnsi="Arial" w:cs="Arial"/>
                            <w:color w:val="000000"/>
                          </w:rPr>
                          <w:t> 0.436243 + 0.149029i</w:t>
                        </w:r>
                      </w:p>
                    </w:tc>
                    <w:tc>
                      <w:tcPr>
                        <w:tcW w:w="1240" w:type="dxa"/>
                        <w:tcBorders>
                          <w:top w:val="nil"/>
                          <w:left w:val="nil"/>
                          <w:bottom w:val="nil"/>
                          <w:right w:val="nil"/>
                        </w:tcBorders>
                        <w:vAlign w:val="center"/>
                        <w:hideMark/>
                      </w:tcPr>
                      <w:p w14:paraId="34919CE4" w14:textId="77777777" w:rsidR="006C43D8" w:rsidRPr="006C43D8" w:rsidRDefault="006C43D8" w:rsidP="00500EFC">
                        <w:pPr>
                          <w:jc w:val="center"/>
                          <w:rPr>
                            <w:rFonts w:ascii="Arial" w:hAnsi="Arial" w:cs="Arial"/>
                            <w:color w:val="000000"/>
                          </w:rPr>
                        </w:pPr>
                        <w:r w:rsidRPr="006C43D8">
                          <w:rPr>
                            <w:rFonts w:ascii="Arial" w:hAnsi="Arial" w:cs="Arial"/>
                            <w:color w:val="000000"/>
                          </w:rPr>
                          <w:t> 0.460997</w:t>
                        </w:r>
                      </w:p>
                    </w:tc>
                  </w:tr>
                  <w:tr w:rsidR="006C43D8" w:rsidRPr="006C43D8" w14:paraId="7C367848" w14:textId="77777777" w:rsidTr="006C43D8">
                    <w:trPr>
                      <w:trHeight w:val="312"/>
                    </w:trPr>
                    <w:tc>
                      <w:tcPr>
                        <w:tcW w:w="1346" w:type="dxa"/>
                        <w:tcBorders>
                          <w:top w:val="nil"/>
                          <w:left w:val="nil"/>
                          <w:bottom w:val="nil"/>
                          <w:right w:val="nil"/>
                        </w:tcBorders>
                        <w:vAlign w:val="center"/>
                        <w:hideMark/>
                      </w:tcPr>
                      <w:p w14:paraId="1CDA29C2" w14:textId="77777777" w:rsidR="006C43D8" w:rsidRPr="006C43D8" w:rsidRDefault="006C43D8" w:rsidP="00500EFC">
                        <w:pPr>
                          <w:rPr>
                            <w:rFonts w:ascii="Arial" w:hAnsi="Arial" w:cs="Arial"/>
                            <w:color w:val="000000"/>
                          </w:rPr>
                        </w:pPr>
                        <w:r w:rsidRPr="006C43D8">
                          <w:rPr>
                            <w:rFonts w:ascii="Arial" w:hAnsi="Arial" w:cs="Arial"/>
                            <w:color w:val="000000"/>
                          </w:rPr>
                          <w:t> 0.436243 - 0.149029i</w:t>
                        </w:r>
                      </w:p>
                    </w:tc>
                    <w:tc>
                      <w:tcPr>
                        <w:tcW w:w="1240" w:type="dxa"/>
                        <w:tcBorders>
                          <w:top w:val="nil"/>
                          <w:left w:val="nil"/>
                          <w:bottom w:val="nil"/>
                          <w:right w:val="nil"/>
                        </w:tcBorders>
                        <w:vAlign w:val="center"/>
                        <w:hideMark/>
                      </w:tcPr>
                      <w:p w14:paraId="7880B1EB" w14:textId="77777777" w:rsidR="006C43D8" w:rsidRPr="006C43D8" w:rsidRDefault="006C43D8" w:rsidP="00500EFC">
                        <w:pPr>
                          <w:jc w:val="center"/>
                          <w:rPr>
                            <w:rFonts w:ascii="Arial" w:hAnsi="Arial" w:cs="Arial"/>
                            <w:color w:val="000000"/>
                          </w:rPr>
                        </w:pPr>
                        <w:r w:rsidRPr="006C43D8">
                          <w:rPr>
                            <w:rFonts w:ascii="Arial" w:hAnsi="Arial" w:cs="Arial"/>
                            <w:color w:val="000000"/>
                          </w:rPr>
                          <w:t> 0.460997</w:t>
                        </w:r>
                      </w:p>
                    </w:tc>
                  </w:tr>
                  <w:tr w:rsidR="006C43D8" w:rsidRPr="006C43D8" w14:paraId="555F92FA" w14:textId="77777777" w:rsidTr="006C43D8">
                    <w:trPr>
                      <w:trHeight w:val="312"/>
                    </w:trPr>
                    <w:tc>
                      <w:tcPr>
                        <w:tcW w:w="1346" w:type="dxa"/>
                        <w:tcBorders>
                          <w:top w:val="nil"/>
                          <w:left w:val="nil"/>
                          <w:bottom w:val="nil"/>
                          <w:right w:val="nil"/>
                        </w:tcBorders>
                        <w:vAlign w:val="center"/>
                        <w:hideMark/>
                      </w:tcPr>
                      <w:p w14:paraId="50B1625C" w14:textId="77777777" w:rsidR="006C43D8" w:rsidRPr="006C43D8" w:rsidRDefault="006C43D8" w:rsidP="00500EFC">
                        <w:pPr>
                          <w:rPr>
                            <w:rFonts w:ascii="Arial" w:hAnsi="Arial" w:cs="Arial"/>
                            <w:color w:val="000000"/>
                          </w:rPr>
                        </w:pPr>
                        <w:r w:rsidRPr="006C43D8">
                          <w:rPr>
                            <w:rFonts w:ascii="Arial" w:hAnsi="Arial" w:cs="Arial"/>
                            <w:color w:val="000000"/>
                          </w:rPr>
                          <w:t> 0.422586</w:t>
                        </w:r>
                      </w:p>
                    </w:tc>
                    <w:tc>
                      <w:tcPr>
                        <w:tcW w:w="1240" w:type="dxa"/>
                        <w:tcBorders>
                          <w:top w:val="nil"/>
                          <w:left w:val="nil"/>
                          <w:bottom w:val="nil"/>
                          <w:right w:val="nil"/>
                        </w:tcBorders>
                        <w:vAlign w:val="center"/>
                        <w:hideMark/>
                      </w:tcPr>
                      <w:p w14:paraId="4017352B" w14:textId="77777777" w:rsidR="006C43D8" w:rsidRPr="006C43D8" w:rsidRDefault="006C43D8" w:rsidP="00500EFC">
                        <w:pPr>
                          <w:jc w:val="center"/>
                          <w:rPr>
                            <w:rFonts w:ascii="Arial" w:hAnsi="Arial" w:cs="Arial"/>
                            <w:color w:val="000000"/>
                          </w:rPr>
                        </w:pPr>
                        <w:r w:rsidRPr="006C43D8">
                          <w:rPr>
                            <w:rFonts w:ascii="Arial" w:hAnsi="Arial" w:cs="Arial"/>
                            <w:color w:val="000000"/>
                          </w:rPr>
                          <w:t> 0.422586</w:t>
                        </w:r>
                      </w:p>
                    </w:tc>
                  </w:tr>
                  <w:tr w:rsidR="006C43D8" w:rsidRPr="006C43D8" w14:paraId="12F86B8C" w14:textId="77777777" w:rsidTr="006C43D8">
                    <w:trPr>
                      <w:trHeight w:val="312"/>
                    </w:trPr>
                    <w:tc>
                      <w:tcPr>
                        <w:tcW w:w="1346" w:type="dxa"/>
                        <w:tcBorders>
                          <w:top w:val="nil"/>
                          <w:left w:val="nil"/>
                          <w:bottom w:val="nil"/>
                          <w:right w:val="nil"/>
                        </w:tcBorders>
                        <w:vAlign w:val="center"/>
                        <w:hideMark/>
                      </w:tcPr>
                      <w:p w14:paraId="4E96714A" w14:textId="77777777" w:rsidR="006C43D8" w:rsidRPr="006C43D8" w:rsidRDefault="006C43D8" w:rsidP="00500EFC">
                        <w:pPr>
                          <w:rPr>
                            <w:rFonts w:ascii="Arial" w:hAnsi="Arial" w:cs="Arial"/>
                            <w:color w:val="000000"/>
                          </w:rPr>
                        </w:pPr>
                        <w:r w:rsidRPr="006C43D8">
                          <w:rPr>
                            <w:rFonts w:ascii="Arial" w:hAnsi="Arial" w:cs="Arial"/>
                            <w:color w:val="000000"/>
                          </w:rPr>
                          <w:t> 0.092890 - 0.340761i</w:t>
                        </w:r>
                      </w:p>
                    </w:tc>
                    <w:tc>
                      <w:tcPr>
                        <w:tcW w:w="1240" w:type="dxa"/>
                        <w:tcBorders>
                          <w:top w:val="nil"/>
                          <w:left w:val="nil"/>
                          <w:bottom w:val="nil"/>
                          <w:right w:val="nil"/>
                        </w:tcBorders>
                        <w:vAlign w:val="center"/>
                        <w:hideMark/>
                      </w:tcPr>
                      <w:p w14:paraId="7C84F002" w14:textId="77777777" w:rsidR="006C43D8" w:rsidRPr="006C43D8" w:rsidRDefault="006C43D8" w:rsidP="00500EFC">
                        <w:pPr>
                          <w:jc w:val="center"/>
                          <w:rPr>
                            <w:rFonts w:ascii="Arial" w:hAnsi="Arial" w:cs="Arial"/>
                            <w:color w:val="000000"/>
                          </w:rPr>
                        </w:pPr>
                        <w:r w:rsidRPr="006C43D8">
                          <w:rPr>
                            <w:rFonts w:ascii="Arial" w:hAnsi="Arial" w:cs="Arial"/>
                            <w:color w:val="000000"/>
                          </w:rPr>
                          <w:t> 0.353195</w:t>
                        </w:r>
                      </w:p>
                    </w:tc>
                  </w:tr>
                  <w:tr w:rsidR="006C43D8" w:rsidRPr="006C43D8" w14:paraId="67E95718" w14:textId="77777777" w:rsidTr="006C43D8">
                    <w:trPr>
                      <w:trHeight w:val="312"/>
                    </w:trPr>
                    <w:tc>
                      <w:tcPr>
                        <w:tcW w:w="1346" w:type="dxa"/>
                        <w:tcBorders>
                          <w:top w:val="nil"/>
                          <w:left w:val="nil"/>
                          <w:bottom w:val="nil"/>
                          <w:right w:val="nil"/>
                        </w:tcBorders>
                        <w:vAlign w:val="center"/>
                        <w:hideMark/>
                      </w:tcPr>
                      <w:p w14:paraId="5F42A636" w14:textId="77777777" w:rsidR="006C43D8" w:rsidRPr="006C43D8" w:rsidRDefault="006C43D8" w:rsidP="00500EFC">
                        <w:pPr>
                          <w:rPr>
                            <w:rFonts w:ascii="Arial" w:hAnsi="Arial" w:cs="Arial"/>
                            <w:color w:val="000000"/>
                          </w:rPr>
                        </w:pPr>
                        <w:r w:rsidRPr="006C43D8">
                          <w:rPr>
                            <w:rFonts w:ascii="Arial" w:hAnsi="Arial" w:cs="Arial"/>
                            <w:color w:val="000000"/>
                          </w:rPr>
                          <w:t> 0.092890 + 0.340761i</w:t>
                        </w:r>
                      </w:p>
                    </w:tc>
                    <w:tc>
                      <w:tcPr>
                        <w:tcW w:w="1240" w:type="dxa"/>
                        <w:tcBorders>
                          <w:top w:val="nil"/>
                          <w:left w:val="nil"/>
                          <w:bottom w:val="nil"/>
                          <w:right w:val="nil"/>
                        </w:tcBorders>
                        <w:vAlign w:val="center"/>
                        <w:hideMark/>
                      </w:tcPr>
                      <w:p w14:paraId="1AEF42FB" w14:textId="77777777" w:rsidR="006C43D8" w:rsidRPr="006C43D8" w:rsidRDefault="006C43D8" w:rsidP="00500EFC">
                        <w:pPr>
                          <w:jc w:val="center"/>
                          <w:rPr>
                            <w:rFonts w:ascii="Arial" w:hAnsi="Arial" w:cs="Arial"/>
                            <w:color w:val="000000"/>
                          </w:rPr>
                        </w:pPr>
                        <w:r w:rsidRPr="006C43D8">
                          <w:rPr>
                            <w:rFonts w:ascii="Arial" w:hAnsi="Arial" w:cs="Arial"/>
                            <w:color w:val="000000"/>
                          </w:rPr>
                          <w:t> 0.353195</w:t>
                        </w:r>
                      </w:p>
                    </w:tc>
                  </w:tr>
                  <w:tr w:rsidR="006C43D8" w:rsidRPr="006C43D8" w14:paraId="38D6BAA3" w14:textId="77777777" w:rsidTr="006C43D8">
                    <w:trPr>
                      <w:trHeight w:val="312"/>
                    </w:trPr>
                    <w:tc>
                      <w:tcPr>
                        <w:tcW w:w="1346" w:type="dxa"/>
                        <w:tcBorders>
                          <w:top w:val="nil"/>
                          <w:left w:val="nil"/>
                          <w:bottom w:val="nil"/>
                          <w:right w:val="nil"/>
                        </w:tcBorders>
                        <w:vAlign w:val="center"/>
                        <w:hideMark/>
                      </w:tcPr>
                      <w:p w14:paraId="7DBF3198" w14:textId="77777777" w:rsidR="006C43D8" w:rsidRPr="006C43D8" w:rsidRDefault="006C43D8" w:rsidP="00500EFC">
                        <w:pPr>
                          <w:rPr>
                            <w:rFonts w:ascii="Arial" w:hAnsi="Arial" w:cs="Arial"/>
                            <w:color w:val="000000"/>
                          </w:rPr>
                        </w:pPr>
                        <w:r w:rsidRPr="006C43D8">
                          <w:rPr>
                            <w:rFonts w:ascii="Arial" w:hAnsi="Arial" w:cs="Arial"/>
                            <w:color w:val="000000"/>
                          </w:rPr>
                          <w:t>-0.209123 + 0.112474i</w:t>
                        </w:r>
                      </w:p>
                    </w:tc>
                    <w:tc>
                      <w:tcPr>
                        <w:tcW w:w="1240" w:type="dxa"/>
                        <w:tcBorders>
                          <w:top w:val="nil"/>
                          <w:left w:val="nil"/>
                          <w:bottom w:val="nil"/>
                          <w:right w:val="nil"/>
                        </w:tcBorders>
                        <w:vAlign w:val="center"/>
                        <w:hideMark/>
                      </w:tcPr>
                      <w:p w14:paraId="2ADE9A6B" w14:textId="77777777" w:rsidR="006C43D8" w:rsidRPr="006C43D8" w:rsidRDefault="006C43D8" w:rsidP="00500EFC">
                        <w:pPr>
                          <w:jc w:val="center"/>
                          <w:rPr>
                            <w:rFonts w:ascii="Arial" w:hAnsi="Arial" w:cs="Arial"/>
                            <w:color w:val="000000"/>
                          </w:rPr>
                        </w:pPr>
                        <w:r w:rsidRPr="006C43D8">
                          <w:rPr>
                            <w:rFonts w:ascii="Arial" w:hAnsi="Arial" w:cs="Arial"/>
                            <w:color w:val="000000"/>
                          </w:rPr>
                          <w:t> 0.237451</w:t>
                        </w:r>
                      </w:p>
                    </w:tc>
                  </w:tr>
                  <w:tr w:rsidR="006C43D8" w:rsidRPr="006C43D8" w14:paraId="26D28C98" w14:textId="77777777" w:rsidTr="006C43D8">
                    <w:trPr>
                      <w:trHeight w:val="312"/>
                    </w:trPr>
                    <w:tc>
                      <w:tcPr>
                        <w:tcW w:w="1346" w:type="dxa"/>
                        <w:tcBorders>
                          <w:top w:val="nil"/>
                          <w:left w:val="nil"/>
                          <w:bottom w:val="nil"/>
                          <w:right w:val="nil"/>
                        </w:tcBorders>
                        <w:vAlign w:val="center"/>
                        <w:hideMark/>
                      </w:tcPr>
                      <w:p w14:paraId="20C2C8CC" w14:textId="77777777" w:rsidR="006C43D8" w:rsidRPr="006C43D8" w:rsidRDefault="006C43D8" w:rsidP="00500EFC">
                        <w:pPr>
                          <w:rPr>
                            <w:rFonts w:ascii="Arial" w:hAnsi="Arial" w:cs="Arial"/>
                            <w:color w:val="000000"/>
                          </w:rPr>
                        </w:pPr>
                        <w:r w:rsidRPr="006C43D8">
                          <w:rPr>
                            <w:rFonts w:ascii="Arial" w:hAnsi="Arial" w:cs="Arial"/>
                            <w:color w:val="000000"/>
                          </w:rPr>
                          <w:t>-0.209123 - 0.112474i</w:t>
                        </w:r>
                      </w:p>
                    </w:tc>
                    <w:tc>
                      <w:tcPr>
                        <w:tcW w:w="1240" w:type="dxa"/>
                        <w:tcBorders>
                          <w:top w:val="nil"/>
                          <w:left w:val="nil"/>
                          <w:bottom w:val="nil"/>
                          <w:right w:val="nil"/>
                        </w:tcBorders>
                        <w:vAlign w:val="center"/>
                        <w:hideMark/>
                      </w:tcPr>
                      <w:p w14:paraId="6B9DFBD2" w14:textId="77777777" w:rsidR="006C43D8" w:rsidRPr="006C43D8" w:rsidRDefault="006C43D8" w:rsidP="00500EFC">
                        <w:pPr>
                          <w:jc w:val="center"/>
                          <w:rPr>
                            <w:rFonts w:ascii="Arial" w:hAnsi="Arial" w:cs="Arial"/>
                            <w:color w:val="000000"/>
                          </w:rPr>
                        </w:pPr>
                        <w:r w:rsidRPr="006C43D8">
                          <w:rPr>
                            <w:rFonts w:ascii="Arial" w:hAnsi="Arial" w:cs="Arial"/>
                            <w:color w:val="000000"/>
                          </w:rPr>
                          <w:t> 0.237451</w:t>
                        </w:r>
                      </w:p>
                    </w:tc>
                  </w:tr>
                  <w:tr w:rsidR="006C43D8" w:rsidRPr="006C43D8" w14:paraId="7FFA786A" w14:textId="77777777" w:rsidTr="006C43D8">
                    <w:trPr>
                      <w:trHeight w:val="312"/>
                    </w:trPr>
                    <w:tc>
                      <w:tcPr>
                        <w:tcW w:w="1346" w:type="dxa"/>
                        <w:tcBorders>
                          <w:top w:val="nil"/>
                          <w:left w:val="nil"/>
                          <w:bottom w:val="nil"/>
                          <w:right w:val="nil"/>
                        </w:tcBorders>
                        <w:vAlign w:val="center"/>
                        <w:hideMark/>
                      </w:tcPr>
                      <w:p w14:paraId="76686CDF" w14:textId="77777777" w:rsidR="006C43D8" w:rsidRPr="006C43D8" w:rsidRDefault="006C43D8" w:rsidP="00500EFC">
                        <w:pPr>
                          <w:rPr>
                            <w:rFonts w:ascii="Arial" w:hAnsi="Arial" w:cs="Arial"/>
                            <w:color w:val="000000"/>
                          </w:rPr>
                        </w:pPr>
                        <w:r w:rsidRPr="006C43D8">
                          <w:rPr>
                            <w:rFonts w:ascii="Arial" w:hAnsi="Arial" w:cs="Arial"/>
                            <w:color w:val="000000"/>
                          </w:rPr>
                          <w:t>-0.09095</w:t>
                        </w:r>
                      </w:p>
                    </w:tc>
                    <w:tc>
                      <w:tcPr>
                        <w:tcW w:w="1240" w:type="dxa"/>
                        <w:tcBorders>
                          <w:top w:val="nil"/>
                          <w:left w:val="nil"/>
                          <w:bottom w:val="nil"/>
                          <w:right w:val="nil"/>
                        </w:tcBorders>
                        <w:vAlign w:val="center"/>
                        <w:hideMark/>
                      </w:tcPr>
                      <w:p w14:paraId="1F25960F" w14:textId="77777777" w:rsidR="006C43D8" w:rsidRPr="006C43D8" w:rsidRDefault="006C43D8" w:rsidP="00500EFC">
                        <w:pPr>
                          <w:jc w:val="center"/>
                          <w:rPr>
                            <w:rFonts w:ascii="Arial" w:hAnsi="Arial" w:cs="Arial"/>
                            <w:color w:val="000000"/>
                          </w:rPr>
                        </w:pPr>
                        <w:r w:rsidRPr="006C43D8">
                          <w:rPr>
                            <w:rFonts w:ascii="Arial" w:hAnsi="Arial" w:cs="Arial"/>
                            <w:color w:val="000000"/>
                          </w:rPr>
                          <w:t> 0.090950</w:t>
                        </w:r>
                      </w:p>
                    </w:tc>
                  </w:tr>
                  <w:tr w:rsidR="006C43D8" w:rsidRPr="006C43D8" w14:paraId="7776AC3E" w14:textId="77777777" w:rsidTr="006C43D8">
                    <w:trPr>
                      <w:trHeight w:val="312"/>
                    </w:trPr>
                    <w:tc>
                      <w:tcPr>
                        <w:tcW w:w="1346" w:type="dxa"/>
                        <w:tcBorders>
                          <w:top w:val="nil"/>
                          <w:left w:val="nil"/>
                          <w:bottom w:val="nil"/>
                          <w:right w:val="nil"/>
                        </w:tcBorders>
                        <w:vAlign w:val="center"/>
                        <w:hideMark/>
                      </w:tcPr>
                      <w:p w14:paraId="46EA78D6" w14:textId="77777777" w:rsidR="006C43D8" w:rsidRPr="006C43D8" w:rsidRDefault="006C43D8" w:rsidP="00500EFC">
                        <w:pPr>
                          <w:rPr>
                            <w:rFonts w:ascii="Arial" w:hAnsi="Arial" w:cs="Arial"/>
                            <w:color w:val="000000"/>
                          </w:rPr>
                        </w:pPr>
                        <w:r w:rsidRPr="006C43D8">
                          <w:rPr>
                            <w:rFonts w:ascii="Arial" w:hAnsi="Arial" w:cs="Arial"/>
                            <w:color w:val="000000"/>
                          </w:rPr>
                          <w:t> 0.061813 - 0.052458i</w:t>
                        </w:r>
                      </w:p>
                    </w:tc>
                    <w:tc>
                      <w:tcPr>
                        <w:tcW w:w="1240" w:type="dxa"/>
                        <w:tcBorders>
                          <w:top w:val="nil"/>
                          <w:left w:val="nil"/>
                          <w:bottom w:val="nil"/>
                          <w:right w:val="nil"/>
                        </w:tcBorders>
                        <w:vAlign w:val="center"/>
                        <w:hideMark/>
                      </w:tcPr>
                      <w:p w14:paraId="2C2A8D2C" w14:textId="77777777" w:rsidR="006C43D8" w:rsidRPr="006C43D8" w:rsidRDefault="006C43D8" w:rsidP="00500EFC">
                        <w:pPr>
                          <w:jc w:val="center"/>
                          <w:rPr>
                            <w:rFonts w:ascii="Arial" w:hAnsi="Arial" w:cs="Arial"/>
                            <w:color w:val="000000"/>
                          </w:rPr>
                        </w:pPr>
                        <w:r w:rsidRPr="006C43D8">
                          <w:rPr>
                            <w:rFonts w:ascii="Arial" w:hAnsi="Arial" w:cs="Arial"/>
                            <w:color w:val="000000"/>
                          </w:rPr>
                          <w:t> 0.081072</w:t>
                        </w:r>
                      </w:p>
                    </w:tc>
                  </w:tr>
                  <w:tr w:rsidR="006C43D8" w:rsidRPr="006C43D8" w14:paraId="4F893D72" w14:textId="77777777" w:rsidTr="006C43D8">
                    <w:trPr>
                      <w:trHeight w:val="312"/>
                    </w:trPr>
                    <w:tc>
                      <w:tcPr>
                        <w:tcW w:w="1346" w:type="dxa"/>
                        <w:tcBorders>
                          <w:top w:val="nil"/>
                          <w:left w:val="nil"/>
                          <w:bottom w:val="single" w:sz="4" w:space="0" w:color="auto"/>
                          <w:right w:val="nil"/>
                        </w:tcBorders>
                        <w:vAlign w:val="center"/>
                        <w:hideMark/>
                      </w:tcPr>
                      <w:p w14:paraId="1EBACFDF" w14:textId="77777777" w:rsidR="006C43D8" w:rsidRPr="006C43D8" w:rsidRDefault="006C43D8" w:rsidP="00500EFC">
                        <w:pPr>
                          <w:rPr>
                            <w:rFonts w:ascii="Arial" w:hAnsi="Arial" w:cs="Arial"/>
                            <w:color w:val="000000"/>
                          </w:rPr>
                        </w:pPr>
                        <w:r w:rsidRPr="006C43D8">
                          <w:rPr>
                            <w:rFonts w:ascii="Arial" w:hAnsi="Arial" w:cs="Arial"/>
                            <w:color w:val="000000"/>
                          </w:rPr>
                          <w:t> 0.061813 + 0.052458i</w:t>
                        </w:r>
                      </w:p>
                    </w:tc>
                    <w:tc>
                      <w:tcPr>
                        <w:tcW w:w="1240" w:type="dxa"/>
                        <w:tcBorders>
                          <w:top w:val="nil"/>
                          <w:left w:val="nil"/>
                          <w:bottom w:val="single" w:sz="4" w:space="0" w:color="auto"/>
                          <w:right w:val="nil"/>
                        </w:tcBorders>
                        <w:vAlign w:val="center"/>
                        <w:hideMark/>
                      </w:tcPr>
                      <w:p w14:paraId="7FC54F89" w14:textId="77777777" w:rsidR="006C43D8" w:rsidRPr="006C43D8" w:rsidRDefault="006C43D8" w:rsidP="00500EFC">
                        <w:pPr>
                          <w:jc w:val="center"/>
                          <w:rPr>
                            <w:rFonts w:ascii="Arial" w:hAnsi="Arial" w:cs="Arial"/>
                            <w:color w:val="000000"/>
                          </w:rPr>
                        </w:pPr>
                        <w:r w:rsidRPr="006C43D8">
                          <w:rPr>
                            <w:rFonts w:ascii="Arial" w:hAnsi="Arial" w:cs="Arial"/>
                            <w:color w:val="000000"/>
                          </w:rPr>
                          <w:t> 0.081072</w:t>
                        </w:r>
                      </w:p>
                    </w:tc>
                  </w:tr>
                </w:tbl>
                <w:p w14:paraId="5F070FDC" w14:textId="77777777" w:rsidR="006C43D8" w:rsidRPr="006C43D8" w:rsidRDefault="006C43D8" w:rsidP="00500EFC">
                  <w:pPr>
                    <w:pStyle w:val="ListParagraph"/>
                    <w:spacing w:line="240" w:lineRule="auto"/>
                    <w:ind w:left="0"/>
                    <w:jc w:val="center"/>
                    <w:rPr>
                      <w:rFonts w:ascii="Arial" w:hAnsi="Arial" w:cs="Arial"/>
                      <w:b/>
                      <w:bCs/>
                      <w:sz w:val="20"/>
                      <w:szCs w:val="20"/>
                    </w:rPr>
                  </w:pPr>
                </w:p>
              </w:tc>
            </w:tr>
          </w:tbl>
          <w:p w14:paraId="4DFF4127" w14:textId="77777777" w:rsidR="006C43D8" w:rsidRPr="006C43D8" w:rsidRDefault="006C43D8" w:rsidP="00500EFC">
            <w:pPr>
              <w:spacing w:after="160"/>
              <w:rPr>
                <w:rFonts w:ascii="Arial" w:hAnsi="Arial" w:cs="Arial"/>
                <w:b/>
                <w:bCs/>
                <w:sz w:val="20"/>
                <w:szCs w:val="20"/>
              </w:rPr>
            </w:pPr>
          </w:p>
        </w:tc>
        <w:tc>
          <w:tcPr>
            <w:tcW w:w="5387" w:type="dxa"/>
          </w:tcPr>
          <w:p w14:paraId="54736629" w14:textId="77777777" w:rsidR="006C43D8" w:rsidRPr="006C43D8" w:rsidRDefault="006C43D8" w:rsidP="00500EFC">
            <w:pPr>
              <w:pStyle w:val="ListParagraph"/>
              <w:spacing w:line="240" w:lineRule="auto"/>
              <w:ind w:left="0"/>
              <w:jc w:val="center"/>
              <w:rPr>
                <w:rFonts w:ascii="Arial" w:hAnsi="Arial" w:cs="Arial"/>
                <w:b/>
                <w:bCs/>
                <w:noProof/>
                <w:sz w:val="20"/>
                <w:szCs w:val="20"/>
              </w:rPr>
            </w:pPr>
            <w:r w:rsidRPr="006C43D8">
              <w:rPr>
                <w:rFonts w:ascii="Arial" w:hAnsi="Arial" w:cs="Arial"/>
                <w:b/>
                <w:bCs/>
                <w:noProof/>
                <w:sz w:val="20"/>
                <w:szCs w:val="20"/>
              </w:rPr>
              <w:drawing>
                <wp:inline distT="0" distB="0" distL="0" distR="0" wp14:anchorId="76E833E6" wp14:editId="44967FDA">
                  <wp:extent cx="2362200" cy="2179987"/>
                  <wp:effectExtent l="0" t="0" r="0" b="0"/>
                  <wp:docPr id="883390843" name="Picture 1" descr="A graph with number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90843" name="Picture 1" descr="A graph with numbers and dots&#10;&#10;AI-generated content may be incorrect."/>
                          <pic:cNvPicPr/>
                        </pic:nvPicPr>
                        <pic:blipFill>
                          <a:blip r:embed="rId15"/>
                          <a:stretch>
                            <a:fillRect/>
                          </a:stretch>
                        </pic:blipFill>
                        <pic:spPr>
                          <a:xfrm>
                            <a:off x="0" y="0"/>
                            <a:ext cx="2421996" cy="2235171"/>
                          </a:xfrm>
                          <a:prstGeom prst="rect">
                            <a:avLst/>
                          </a:prstGeom>
                        </pic:spPr>
                      </pic:pic>
                    </a:graphicData>
                  </a:graphic>
                </wp:inline>
              </w:drawing>
            </w:r>
          </w:p>
          <w:p w14:paraId="6A23096F" w14:textId="77777777" w:rsidR="006C43D8" w:rsidRPr="006C43D8" w:rsidRDefault="006C43D8" w:rsidP="00500EFC">
            <w:pPr>
              <w:jc w:val="center"/>
              <w:rPr>
                <w:rFonts w:ascii="Arial" w:hAnsi="Arial" w:cs="Arial"/>
                <w:b/>
                <w:bCs/>
                <w:sz w:val="20"/>
                <w:szCs w:val="20"/>
              </w:rPr>
            </w:pPr>
            <w:r w:rsidRPr="006C43D8">
              <w:rPr>
                <w:rFonts w:ascii="Arial" w:hAnsi="Arial" w:cs="Arial"/>
                <w:b/>
                <w:bCs/>
                <w:sz w:val="20"/>
                <w:szCs w:val="20"/>
              </w:rPr>
              <w:t xml:space="preserve">Figure 4. AR Root Stability Test </w:t>
            </w:r>
          </w:p>
          <w:p w14:paraId="5D2DDFA8" w14:textId="77777777" w:rsidR="006C43D8" w:rsidRPr="006C43D8" w:rsidRDefault="006C43D8" w:rsidP="00500EFC">
            <w:pPr>
              <w:ind w:left="284"/>
              <w:jc w:val="center"/>
              <w:rPr>
                <w:rFonts w:ascii="Arial" w:hAnsi="Arial" w:cs="Arial"/>
                <w:sz w:val="20"/>
                <w:szCs w:val="20"/>
              </w:rPr>
            </w:pPr>
            <w:r w:rsidRPr="006C43D8">
              <w:rPr>
                <w:rFonts w:ascii="Arial" w:hAnsi="Arial" w:cs="Arial"/>
                <w:sz w:val="20"/>
                <w:szCs w:val="20"/>
              </w:rPr>
              <w:t>Source: Author (2024)</w:t>
            </w:r>
          </w:p>
          <w:p w14:paraId="43EA254B" w14:textId="77777777" w:rsidR="006C43D8" w:rsidRPr="006C43D8" w:rsidRDefault="006C43D8" w:rsidP="00500EFC">
            <w:pPr>
              <w:jc w:val="center"/>
              <w:rPr>
                <w:rFonts w:ascii="Arial" w:hAnsi="Arial" w:cs="Arial"/>
                <w:b/>
                <w:bCs/>
                <w:noProof/>
                <w:sz w:val="20"/>
                <w:szCs w:val="20"/>
              </w:rPr>
            </w:pPr>
          </w:p>
          <w:p w14:paraId="08A5925B" w14:textId="77777777" w:rsidR="006C43D8" w:rsidRPr="006C43D8" w:rsidRDefault="006C43D8" w:rsidP="00500EFC">
            <w:pPr>
              <w:rPr>
                <w:rFonts w:ascii="Arial" w:hAnsi="Arial" w:cs="Arial"/>
                <w:b/>
                <w:bCs/>
                <w:sz w:val="20"/>
                <w:szCs w:val="20"/>
              </w:rPr>
            </w:pPr>
          </w:p>
        </w:tc>
      </w:tr>
    </w:tbl>
    <w:p w14:paraId="4F5D4F2B" w14:textId="77777777" w:rsidR="006C43D8" w:rsidRPr="006C43D8" w:rsidRDefault="006C43D8" w:rsidP="006C43D8">
      <w:pPr>
        <w:ind w:left="284"/>
        <w:rPr>
          <w:rFonts w:ascii="Arial" w:hAnsi="Arial" w:cs="Arial"/>
        </w:rPr>
      </w:pPr>
      <w:r w:rsidRPr="006C43D8">
        <w:rPr>
          <w:rFonts w:ascii="Arial" w:hAnsi="Arial" w:cs="Arial"/>
        </w:rPr>
        <w:t>Source: Author (2024)</w:t>
      </w:r>
    </w:p>
    <w:p w14:paraId="675205C2" w14:textId="77777777" w:rsidR="006C43D8" w:rsidRDefault="006C43D8" w:rsidP="006C43D8">
      <w:pPr>
        <w:jc w:val="both"/>
        <w:rPr>
          <w:rFonts w:ascii="Arial" w:hAnsi="Arial" w:cs="Arial"/>
        </w:rPr>
      </w:pPr>
    </w:p>
    <w:p w14:paraId="49B2FFCF" w14:textId="629E7A17" w:rsidR="006C43D8" w:rsidRPr="006C43D8" w:rsidRDefault="006C43D8" w:rsidP="006C43D8">
      <w:pPr>
        <w:jc w:val="both"/>
        <w:rPr>
          <w:rFonts w:ascii="Arial" w:hAnsi="Arial" w:cs="Arial"/>
        </w:rPr>
      </w:pPr>
      <w:r w:rsidRPr="006C43D8">
        <w:rPr>
          <w:rFonts w:ascii="Arial" w:hAnsi="Arial" w:cs="Arial"/>
        </w:rPr>
        <w:t>The AR Root stability test shows that the model in the study is stable. This can be seen from the modulus, which has a value of less than one, and when viewed from the diagram, all plots are spread in a circle. This indicates that the model stability requirements are met, namely</w:t>
      </w:r>
      <w:r w:rsidR="00C63C25">
        <w:rPr>
          <w:rFonts w:ascii="Arial" w:hAnsi="Arial" w:cs="Arial"/>
        </w:rPr>
        <w:t>,</w:t>
      </w:r>
      <w:r w:rsidRPr="006C43D8">
        <w:rPr>
          <w:rFonts w:ascii="Arial" w:hAnsi="Arial" w:cs="Arial"/>
        </w:rPr>
        <w:t xml:space="preserve"> having a modulus value of less than 1, and the plots are spread in a circle.</w:t>
      </w:r>
    </w:p>
    <w:p w14:paraId="75041AB4" w14:textId="77777777" w:rsidR="006C43D8" w:rsidRDefault="006C43D8" w:rsidP="006C43D8">
      <w:pPr>
        <w:pStyle w:val="ListParagraph"/>
        <w:spacing w:after="160" w:line="240" w:lineRule="auto"/>
        <w:ind w:left="0"/>
        <w:rPr>
          <w:rFonts w:ascii="Arial" w:hAnsi="Arial" w:cs="Arial"/>
          <w:b/>
          <w:bCs/>
          <w:sz w:val="20"/>
          <w:szCs w:val="20"/>
        </w:rPr>
      </w:pPr>
    </w:p>
    <w:p w14:paraId="730C8435" w14:textId="423719ED" w:rsidR="006C43D8" w:rsidRPr="006C43D8" w:rsidRDefault="006C43D8" w:rsidP="006C43D8">
      <w:pPr>
        <w:pStyle w:val="ListParagraph"/>
        <w:spacing w:after="160" w:line="240" w:lineRule="auto"/>
        <w:ind w:left="0"/>
        <w:rPr>
          <w:rFonts w:ascii="Arial" w:hAnsi="Arial" w:cs="Arial"/>
          <w:sz w:val="20"/>
          <w:szCs w:val="20"/>
        </w:rPr>
      </w:pPr>
      <w:r>
        <w:rPr>
          <w:rFonts w:ascii="Arial" w:hAnsi="Arial" w:cs="Arial"/>
          <w:b/>
          <w:bCs/>
          <w:sz w:val="20"/>
          <w:szCs w:val="20"/>
        </w:rPr>
        <w:t xml:space="preserve">4.1.3 </w:t>
      </w:r>
      <w:r w:rsidRPr="006C43D8">
        <w:rPr>
          <w:rFonts w:ascii="Arial" w:hAnsi="Arial" w:cs="Arial"/>
          <w:b/>
          <w:bCs/>
          <w:sz w:val="20"/>
          <w:szCs w:val="20"/>
        </w:rPr>
        <w:t>Optimal Lag Test</w:t>
      </w:r>
    </w:p>
    <w:p w14:paraId="4238E78E" w14:textId="77777777" w:rsidR="006C43D8" w:rsidRPr="006C43D8" w:rsidRDefault="006C43D8" w:rsidP="006C43D8">
      <w:pPr>
        <w:pStyle w:val="ListParagraph"/>
        <w:spacing w:line="240" w:lineRule="auto"/>
        <w:ind w:left="360"/>
        <w:jc w:val="center"/>
        <w:rPr>
          <w:rFonts w:ascii="Arial" w:hAnsi="Arial" w:cs="Arial"/>
          <w:b/>
          <w:bCs/>
          <w:sz w:val="20"/>
          <w:szCs w:val="20"/>
        </w:rPr>
      </w:pPr>
      <w:r w:rsidRPr="006C43D8">
        <w:rPr>
          <w:rFonts w:ascii="Arial" w:hAnsi="Arial" w:cs="Arial"/>
          <w:b/>
          <w:bCs/>
          <w:sz w:val="20"/>
          <w:szCs w:val="20"/>
        </w:rPr>
        <w:t>Table 3. Optimal Lag Test</w:t>
      </w:r>
    </w:p>
    <w:tbl>
      <w:tblPr>
        <w:tblW w:w="8599" w:type="dxa"/>
        <w:jc w:val="center"/>
        <w:tblLook w:val="04A0" w:firstRow="1" w:lastRow="0" w:firstColumn="1" w:lastColumn="0" w:noHBand="0" w:noVBand="1"/>
      </w:tblPr>
      <w:tblGrid>
        <w:gridCol w:w="638"/>
        <w:gridCol w:w="1205"/>
        <w:gridCol w:w="1261"/>
        <w:gridCol w:w="1291"/>
        <w:gridCol w:w="1417"/>
        <w:gridCol w:w="1418"/>
        <w:gridCol w:w="1369"/>
      </w:tblGrid>
      <w:tr w:rsidR="006C43D8" w:rsidRPr="006C43D8" w14:paraId="7B539A44" w14:textId="77777777" w:rsidTr="00500EFC">
        <w:trPr>
          <w:trHeight w:val="324"/>
          <w:jc w:val="center"/>
        </w:trPr>
        <w:tc>
          <w:tcPr>
            <w:tcW w:w="638" w:type="dxa"/>
            <w:tcBorders>
              <w:top w:val="single" w:sz="4" w:space="0" w:color="auto"/>
              <w:left w:val="nil"/>
              <w:bottom w:val="single" w:sz="4" w:space="0" w:color="auto"/>
              <w:right w:val="nil"/>
            </w:tcBorders>
            <w:vAlign w:val="center"/>
            <w:hideMark/>
          </w:tcPr>
          <w:p w14:paraId="1C1807A2"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 Lag</w:t>
            </w:r>
          </w:p>
        </w:tc>
        <w:tc>
          <w:tcPr>
            <w:tcW w:w="1205" w:type="dxa"/>
            <w:tcBorders>
              <w:top w:val="single" w:sz="4" w:space="0" w:color="auto"/>
              <w:left w:val="nil"/>
              <w:bottom w:val="single" w:sz="4" w:space="0" w:color="auto"/>
              <w:right w:val="nil"/>
            </w:tcBorders>
            <w:vAlign w:val="center"/>
            <w:hideMark/>
          </w:tcPr>
          <w:p w14:paraId="60E98B8B" w14:textId="77777777" w:rsidR="006C43D8" w:rsidRPr="006C43D8" w:rsidRDefault="006C43D8" w:rsidP="00500EFC">
            <w:pPr>
              <w:jc w:val="center"/>
              <w:rPr>
                <w:rFonts w:ascii="Arial" w:hAnsi="Arial" w:cs="Arial"/>
                <w:b/>
                <w:bCs/>
                <w:color w:val="000000"/>
              </w:rPr>
            </w:pPr>
            <w:proofErr w:type="spellStart"/>
            <w:r w:rsidRPr="006C43D8">
              <w:rPr>
                <w:rFonts w:ascii="Arial" w:hAnsi="Arial" w:cs="Arial"/>
                <w:b/>
                <w:bCs/>
                <w:color w:val="000000"/>
              </w:rPr>
              <w:t>LogL</w:t>
            </w:r>
            <w:proofErr w:type="spellEnd"/>
          </w:p>
        </w:tc>
        <w:tc>
          <w:tcPr>
            <w:tcW w:w="1261" w:type="dxa"/>
            <w:tcBorders>
              <w:top w:val="single" w:sz="4" w:space="0" w:color="auto"/>
              <w:left w:val="nil"/>
              <w:bottom w:val="single" w:sz="4" w:space="0" w:color="auto"/>
              <w:right w:val="nil"/>
            </w:tcBorders>
            <w:vAlign w:val="center"/>
            <w:hideMark/>
          </w:tcPr>
          <w:p w14:paraId="7A9B4E73"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LR</w:t>
            </w:r>
          </w:p>
        </w:tc>
        <w:tc>
          <w:tcPr>
            <w:tcW w:w="1291" w:type="dxa"/>
            <w:tcBorders>
              <w:top w:val="single" w:sz="4" w:space="0" w:color="auto"/>
              <w:left w:val="nil"/>
              <w:bottom w:val="single" w:sz="4" w:space="0" w:color="auto"/>
              <w:right w:val="nil"/>
            </w:tcBorders>
            <w:vAlign w:val="center"/>
            <w:hideMark/>
          </w:tcPr>
          <w:p w14:paraId="331D94C1"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FPE</w:t>
            </w:r>
          </w:p>
        </w:tc>
        <w:tc>
          <w:tcPr>
            <w:tcW w:w="1417" w:type="dxa"/>
            <w:tcBorders>
              <w:top w:val="single" w:sz="4" w:space="0" w:color="auto"/>
              <w:left w:val="nil"/>
              <w:bottom w:val="single" w:sz="4" w:space="0" w:color="auto"/>
              <w:right w:val="nil"/>
            </w:tcBorders>
            <w:vAlign w:val="center"/>
            <w:hideMark/>
          </w:tcPr>
          <w:p w14:paraId="10E07713"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AIC</w:t>
            </w:r>
          </w:p>
        </w:tc>
        <w:tc>
          <w:tcPr>
            <w:tcW w:w="1418" w:type="dxa"/>
            <w:tcBorders>
              <w:top w:val="single" w:sz="4" w:space="0" w:color="auto"/>
              <w:left w:val="nil"/>
              <w:bottom w:val="single" w:sz="4" w:space="0" w:color="auto"/>
              <w:right w:val="nil"/>
            </w:tcBorders>
            <w:vAlign w:val="center"/>
            <w:hideMark/>
          </w:tcPr>
          <w:p w14:paraId="0E44C7E8"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SC</w:t>
            </w:r>
          </w:p>
        </w:tc>
        <w:tc>
          <w:tcPr>
            <w:tcW w:w="1369" w:type="dxa"/>
            <w:tcBorders>
              <w:top w:val="single" w:sz="4" w:space="0" w:color="auto"/>
              <w:left w:val="nil"/>
              <w:bottom w:val="single" w:sz="4" w:space="0" w:color="auto"/>
              <w:right w:val="nil"/>
            </w:tcBorders>
            <w:vAlign w:val="center"/>
            <w:hideMark/>
          </w:tcPr>
          <w:p w14:paraId="7FB5C500" w14:textId="77777777" w:rsidR="006C43D8" w:rsidRPr="006C43D8" w:rsidRDefault="006C43D8" w:rsidP="00500EFC">
            <w:pPr>
              <w:jc w:val="center"/>
              <w:rPr>
                <w:rFonts w:ascii="Arial" w:hAnsi="Arial" w:cs="Arial"/>
                <w:b/>
                <w:bCs/>
                <w:color w:val="000000"/>
              </w:rPr>
            </w:pPr>
            <w:r w:rsidRPr="006C43D8">
              <w:rPr>
                <w:rFonts w:ascii="Arial" w:hAnsi="Arial" w:cs="Arial"/>
                <w:b/>
                <w:bCs/>
                <w:color w:val="000000"/>
              </w:rPr>
              <w:t>HQ</w:t>
            </w:r>
          </w:p>
        </w:tc>
      </w:tr>
      <w:tr w:rsidR="006C43D8" w:rsidRPr="006C43D8" w14:paraId="462E53D2" w14:textId="77777777" w:rsidTr="00500EFC">
        <w:trPr>
          <w:trHeight w:val="324"/>
          <w:jc w:val="center"/>
        </w:trPr>
        <w:tc>
          <w:tcPr>
            <w:tcW w:w="638" w:type="dxa"/>
            <w:tcBorders>
              <w:top w:val="nil"/>
              <w:left w:val="nil"/>
              <w:bottom w:val="nil"/>
              <w:right w:val="nil"/>
            </w:tcBorders>
            <w:vAlign w:val="center"/>
            <w:hideMark/>
          </w:tcPr>
          <w:p w14:paraId="515219EA" w14:textId="77777777" w:rsidR="006C43D8" w:rsidRPr="006C43D8" w:rsidRDefault="006C43D8" w:rsidP="00500EFC">
            <w:pPr>
              <w:jc w:val="center"/>
              <w:rPr>
                <w:rFonts w:ascii="Arial" w:hAnsi="Arial" w:cs="Arial"/>
                <w:color w:val="000000"/>
              </w:rPr>
            </w:pPr>
            <w:r w:rsidRPr="006C43D8">
              <w:rPr>
                <w:rFonts w:ascii="Arial" w:hAnsi="Arial" w:cs="Arial"/>
                <w:color w:val="000000"/>
              </w:rPr>
              <w:t>0</w:t>
            </w:r>
          </w:p>
        </w:tc>
        <w:tc>
          <w:tcPr>
            <w:tcW w:w="1205" w:type="dxa"/>
            <w:tcBorders>
              <w:top w:val="nil"/>
              <w:left w:val="nil"/>
              <w:bottom w:val="nil"/>
              <w:right w:val="nil"/>
            </w:tcBorders>
            <w:vAlign w:val="center"/>
            <w:hideMark/>
          </w:tcPr>
          <w:p w14:paraId="55B8FF8C" w14:textId="77777777" w:rsidR="006C43D8" w:rsidRPr="006C43D8" w:rsidRDefault="006C43D8" w:rsidP="00500EFC">
            <w:pPr>
              <w:jc w:val="center"/>
              <w:rPr>
                <w:rFonts w:ascii="Arial" w:hAnsi="Arial" w:cs="Arial"/>
                <w:color w:val="000000"/>
              </w:rPr>
            </w:pPr>
            <w:r w:rsidRPr="006C43D8">
              <w:rPr>
                <w:rFonts w:ascii="Arial" w:hAnsi="Arial" w:cs="Arial"/>
                <w:color w:val="000000"/>
              </w:rPr>
              <w:t>-373.0541</w:t>
            </w:r>
          </w:p>
        </w:tc>
        <w:tc>
          <w:tcPr>
            <w:tcW w:w="1261" w:type="dxa"/>
            <w:tcBorders>
              <w:top w:val="nil"/>
              <w:left w:val="nil"/>
              <w:bottom w:val="nil"/>
              <w:right w:val="nil"/>
            </w:tcBorders>
            <w:vAlign w:val="center"/>
            <w:hideMark/>
          </w:tcPr>
          <w:p w14:paraId="35307A06" w14:textId="77777777" w:rsidR="006C43D8" w:rsidRPr="006C43D8" w:rsidRDefault="006C43D8" w:rsidP="00500EFC">
            <w:pPr>
              <w:jc w:val="center"/>
              <w:rPr>
                <w:rFonts w:ascii="Arial" w:hAnsi="Arial" w:cs="Arial"/>
                <w:color w:val="000000"/>
              </w:rPr>
            </w:pPr>
            <w:r w:rsidRPr="006C43D8">
              <w:rPr>
                <w:rFonts w:ascii="Arial" w:hAnsi="Arial" w:cs="Arial"/>
                <w:color w:val="000000"/>
              </w:rPr>
              <w:t>NA </w:t>
            </w:r>
          </w:p>
        </w:tc>
        <w:tc>
          <w:tcPr>
            <w:tcW w:w="1291" w:type="dxa"/>
            <w:tcBorders>
              <w:top w:val="nil"/>
              <w:left w:val="nil"/>
              <w:bottom w:val="nil"/>
              <w:right w:val="nil"/>
            </w:tcBorders>
            <w:vAlign w:val="center"/>
            <w:hideMark/>
          </w:tcPr>
          <w:p w14:paraId="1FC5FBB1" w14:textId="77777777" w:rsidR="006C43D8" w:rsidRPr="006C43D8" w:rsidRDefault="006C43D8" w:rsidP="00500EFC">
            <w:pPr>
              <w:jc w:val="center"/>
              <w:rPr>
                <w:rFonts w:ascii="Arial" w:hAnsi="Arial" w:cs="Arial"/>
                <w:color w:val="000000"/>
              </w:rPr>
            </w:pPr>
            <w:r w:rsidRPr="006C43D8">
              <w:rPr>
                <w:rFonts w:ascii="Arial" w:hAnsi="Arial" w:cs="Arial"/>
                <w:color w:val="000000"/>
              </w:rPr>
              <w:t> 1.27e-09</w:t>
            </w:r>
          </w:p>
        </w:tc>
        <w:tc>
          <w:tcPr>
            <w:tcW w:w="1417" w:type="dxa"/>
            <w:tcBorders>
              <w:top w:val="nil"/>
              <w:left w:val="nil"/>
              <w:bottom w:val="nil"/>
              <w:right w:val="nil"/>
            </w:tcBorders>
            <w:vAlign w:val="center"/>
            <w:hideMark/>
          </w:tcPr>
          <w:p w14:paraId="09558208" w14:textId="77777777" w:rsidR="006C43D8" w:rsidRPr="006C43D8" w:rsidRDefault="006C43D8" w:rsidP="00500EFC">
            <w:pPr>
              <w:jc w:val="center"/>
              <w:rPr>
                <w:rFonts w:ascii="Arial" w:hAnsi="Arial" w:cs="Arial"/>
                <w:color w:val="000000"/>
              </w:rPr>
            </w:pPr>
            <w:r w:rsidRPr="006C43D8">
              <w:rPr>
                <w:rFonts w:ascii="Arial" w:hAnsi="Arial" w:cs="Arial"/>
                <w:color w:val="000000"/>
              </w:rPr>
              <w:t> 5.060320</w:t>
            </w:r>
          </w:p>
        </w:tc>
        <w:tc>
          <w:tcPr>
            <w:tcW w:w="1418" w:type="dxa"/>
            <w:tcBorders>
              <w:top w:val="nil"/>
              <w:left w:val="nil"/>
              <w:bottom w:val="nil"/>
              <w:right w:val="nil"/>
            </w:tcBorders>
            <w:vAlign w:val="center"/>
            <w:hideMark/>
          </w:tcPr>
          <w:p w14:paraId="306A2062" w14:textId="77777777" w:rsidR="006C43D8" w:rsidRPr="006C43D8" w:rsidRDefault="006C43D8" w:rsidP="00500EFC">
            <w:pPr>
              <w:jc w:val="center"/>
              <w:rPr>
                <w:rFonts w:ascii="Arial" w:hAnsi="Arial" w:cs="Arial"/>
                <w:color w:val="000000"/>
              </w:rPr>
            </w:pPr>
            <w:r w:rsidRPr="006C43D8">
              <w:rPr>
                <w:rFonts w:ascii="Arial" w:hAnsi="Arial" w:cs="Arial"/>
                <w:color w:val="000000"/>
              </w:rPr>
              <w:t> 5.240158</w:t>
            </w:r>
          </w:p>
        </w:tc>
        <w:tc>
          <w:tcPr>
            <w:tcW w:w="1369" w:type="dxa"/>
            <w:tcBorders>
              <w:top w:val="nil"/>
              <w:left w:val="nil"/>
              <w:bottom w:val="nil"/>
              <w:right w:val="nil"/>
            </w:tcBorders>
            <w:vAlign w:val="center"/>
            <w:hideMark/>
          </w:tcPr>
          <w:p w14:paraId="72692145" w14:textId="77777777" w:rsidR="006C43D8" w:rsidRPr="006C43D8" w:rsidRDefault="006C43D8" w:rsidP="00500EFC">
            <w:pPr>
              <w:jc w:val="center"/>
              <w:rPr>
                <w:rFonts w:ascii="Arial" w:hAnsi="Arial" w:cs="Arial"/>
                <w:color w:val="000000"/>
              </w:rPr>
            </w:pPr>
            <w:r w:rsidRPr="006C43D8">
              <w:rPr>
                <w:rFonts w:ascii="Arial" w:hAnsi="Arial" w:cs="Arial"/>
                <w:color w:val="000000"/>
              </w:rPr>
              <w:t> 5.133379</w:t>
            </w:r>
          </w:p>
        </w:tc>
      </w:tr>
      <w:tr w:rsidR="006C43D8" w:rsidRPr="006C43D8" w14:paraId="0EC5A61B" w14:textId="77777777" w:rsidTr="00500EFC">
        <w:trPr>
          <w:trHeight w:val="324"/>
          <w:jc w:val="center"/>
        </w:trPr>
        <w:tc>
          <w:tcPr>
            <w:tcW w:w="638" w:type="dxa"/>
            <w:tcBorders>
              <w:top w:val="nil"/>
              <w:left w:val="nil"/>
              <w:bottom w:val="nil"/>
              <w:right w:val="nil"/>
            </w:tcBorders>
            <w:vAlign w:val="center"/>
            <w:hideMark/>
          </w:tcPr>
          <w:p w14:paraId="7A526D96" w14:textId="77777777" w:rsidR="006C43D8" w:rsidRPr="006C43D8" w:rsidRDefault="006C43D8" w:rsidP="00500EFC">
            <w:pPr>
              <w:jc w:val="center"/>
              <w:rPr>
                <w:rFonts w:ascii="Arial" w:hAnsi="Arial" w:cs="Arial"/>
                <w:color w:val="000000"/>
              </w:rPr>
            </w:pPr>
            <w:r w:rsidRPr="006C43D8">
              <w:rPr>
                <w:rFonts w:ascii="Arial" w:hAnsi="Arial" w:cs="Arial"/>
                <w:color w:val="000000"/>
              </w:rPr>
              <w:t>1</w:t>
            </w:r>
          </w:p>
        </w:tc>
        <w:tc>
          <w:tcPr>
            <w:tcW w:w="1205" w:type="dxa"/>
            <w:tcBorders>
              <w:top w:val="nil"/>
              <w:left w:val="nil"/>
              <w:bottom w:val="nil"/>
              <w:right w:val="nil"/>
            </w:tcBorders>
            <w:vAlign w:val="center"/>
            <w:hideMark/>
          </w:tcPr>
          <w:p w14:paraId="47430C94" w14:textId="77777777" w:rsidR="006C43D8" w:rsidRPr="006C43D8" w:rsidRDefault="006C43D8" w:rsidP="00500EFC">
            <w:pPr>
              <w:jc w:val="center"/>
              <w:rPr>
                <w:rFonts w:ascii="Arial" w:hAnsi="Arial" w:cs="Arial"/>
                <w:color w:val="000000"/>
              </w:rPr>
            </w:pPr>
            <w:r w:rsidRPr="006C43D8">
              <w:rPr>
                <w:rFonts w:ascii="Arial" w:hAnsi="Arial" w:cs="Arial"/>
                <w:color w:val="000000"/>
              </w:rPr>
              <w:t> 1388.001</w:t>
            </w:r>
          </w:p>
        </w:tc>
        <w:tc>
          <w:tcPr>
            <w:tcW w:w="1261" w:type="dxa"/>
            <w:tcBorders>
              <w:top w:val="nil"/>
              <w:left w:val="nil"/>
              <w:bottom w:val="nil"/>
              <w:right w:val="nil"/>
            </w:tcBorders>
            <w:vAlign w:val="center"/>
            <w:hideMark/>
          </w:tcPr>
          <w:p w14:paraId="7246519E" w14:textId="77777777" w:rsidR="006C43D8" w:rsidRPr="006C43D8" w:rsidRDefault="006C43D8" w:rsidP="00500EFC">
            <w:pPr>
              <w:jc w:val="center"/>
              <w:rPr>
                <w:rFonts w:ascii="Arial" w:hAnsi="Arial" w:cs="Arial"/>
                <w:color w:val="000000"/>
              </w:rPr>
            </w:pPr>
            <w:r w:rsidRPr="006C43D8">
              <w:rPr>
                <w:rFonts w:ascii="Arial" w:hAnsi="Arial" w:cs="Arial"/>
                <w:color w:val="000000"/>
              </w:rPr>
              <w:t> 3288.858</w:t>
            </w:r>
          </w:p>
        </w:tc>
        <w:tc>
          <w:tcPr>
            <w:tcW w:w="1291" w:type="dxa"/>
            <w:tcBorders>
              <w:top w:val="nil"/>
              <w:left w:val="nil"/>
              <w:bottom w:val="nil"/>
              <w:right w:val="nil"/>
            </w:tcBorders>
            <w:vAlign w:val="center"/>
            <w:hideMark/>
          </w:tcPr>
          <w:p w14:paraId="0EB62206" w14:textId="77777777" w:rsidR="006C43D8" w:rsidRPr="006C43D8" w:rsidRDefault="006C43D8" w:rsidP="00500EFC">
            <w:pPr>
              <w:jc w:val="center"/>
              <w:rPr>
                <w:rFonts w:ascii="Arial" w:hAnsi="Arial" w:cs="Arial"/>
                <w:color w:val="000000"/>
              </w:rPr>
            </w:pPr>
            <w:r w:rsidRPr="006C43D8">
              <w:rPr>
                <w:rFonts w:ascii="Arial" w:hAnsi="Arial" w:cs="Arial"/>
                <w:color w:val="000000"/>
              </w:rPr>
              <w:t> 2.77e-19</w:t>
            </w:r>
          </w:p>
        </w:tc>
        <w:tc>
          <w:tcPr>
            <w:tcW w:w="1417" w:type="dxa"/>
            <w:tcBorders>
              <w:top w:val="nil"/>
              <w:left w:val="nil"/>
              <w:bottom w:val="nil"/>
              <w:right w:val="nil"/>
            </w:tcBorders>
            <w:vAlign w:val="center"/>
            <w:hideMark/>
          </w:tcPr>
          <w:p w14:paraId="7C43EAF6" w14:textId="77777777" w:rsidR="006C43D8" w:rsidRPr="006C43D8" w:rsidRDefault="006C43D8" w:rsidP="00500EFC">
            <w:pPr>
              <w:jc w:val="center"/>
              <w:rPr>
                <w:rFonts w:ascii="Arial" w:hAnsi="Arial" w:cs="Arial"/>
                <w:color w:val="000000"/>
              </w:rPr>
            </w:pPr>
            <w:r w:rsidRPr="006C43D8">
              <w:rPr>
                <w:rFonts w:ascii="Arial" w:hAnsi="Arial" w:cs="Arial"/>
                <w:color w:val="000000"/>
              </w:rPr>
              <w:t>-17.19207</w:t>
            </w:r>
          </w:p>
        </w:tc>
        <w:tc>
          <w:tcPr>
            <w:tcW w:w="1418" w:type="dxa"/>
            <w:tcBorders>
              <w:top w:val="nil"/>
              <w:left w:val="nil"/>
              <w:bottom w:val="nil"/>
              <w:right w:val="nil"/>
            </w:tcBorders>
            <w:vAlign w:val="center"/>
            <w:hideMark/>
          </w:tcPr>
          <w:p w14:paraId="5499D4B4" w14:textId="77777777" w:rsidR="006C43D8" w:rsidRPr="006C43D8" w:rsidRDefault="006C43D8" w:rsidP="00500EFC">
            <w:pPr>
              <w:jc w:val="center"/>
              <w:rPr>
                <w:rFonts w:ascii="Arial" w:hAnsi="Arial" w:cs="Arial"/>
                <w:color w:val="000000"/>
              </w:rPr>
            </w:pPr>
            <w:r w:rsidRPr="006C43D8">
              <w:rPr>
                <w:rFonts w:ascii="Arial" w:hAnsi="Arial" w:cs="Arial"/>
                <w:color w:val="000000"/>
              </w:rPr>
              <w:t> -15.39369*</w:t>
            </w:r>
          </w:p>
        </w:tc>
        <w:tc>
          <w:tcPr>
            <w:tcW w:w="1369" w:type="dxa"/>
            <w:tcBorders>
              <w:top w:val="nil"/>
              <w:left w:val="nil"/>
              <w:bottom w:val="nil"/>
              <w:right w:val="nil"/>
            </w:tcBorders>
            <w:vAlign w:val="center"/>
            <w:hideMark/>
          </w:tcPr>
          <w:p w14:paraId="2C81E89D" w14:textId="77777777" w:rsidR="006C43D8" w:rsidRPr="006C43D8" w:rsidRDefault="006C43D8" w:rsidP="00500EFC">
            <w:pPr>
              <w:jc w:val="center"/>
              <w:rPr>
                <w:rFonts w:ascii="Arial" w:hAnsi="Arial" w:cs="Arial"/>
                <w:color w:val="000000"/>
              </w:rPr>
            </w:pPr>
            <w:r w:rsidRPr="006C43D8">
              <w:rPr>
                <w:rFonts w:ascii="Arial" w:hAnsi="Arial" w:cs="Arial"/>
                <w:color w:val="000000"/>
              </w:rPr>
              <w:t> -16.46147*</w:t>
            </w:r>
          </w:p>
        </w:tc>
      </w:tr>
      <w:tr w:rsidR="006C43D8" w:rsidRPr="006C43D8" w14:paraId="4F49C2C7" w14:textId="77777777" w:rsidTr="00500EFC">
        <w:trPr>
          <w:trHeight w:val="324"/>
          <w:jc w:val="center"/>
        </w:trPr>
        <w:tc>
          <w:tcPr>
            <w:tcW w:w="638" w:type="dxa"/>
            <w:tcBorders>
              <w:top w:val="nil"/>
              <w:left w:val="nil"/>
              <w:bottom w:val="nil"/>
              <w:right w:val="nil"/>
            </w:tcBorders>
            <w:vAlign w:val="center"/>
            <w:hideMark/>
          </w:tcPr>
          <w:p w14:paraId="4F820FD5" w14:textId="77777777" w:rsidR="006C43D8" w:rsidRPr="006C43D8" w:rsidRDefault="006C43D8" w:rsidP="00500EFC">
            <w:pPr>
              <w:jc w:val="center"/>
              <w:rPr>
                <w:rFonts w:ascii="Arial" w:hAnsi="Arial" w:cs="Arial"/>
                <w:color w:val="000000"/>
              </w:rPr>
            </w:pPr>
            <w:r w:rsidRPr="006C43D8">
              <w:rPr>
                <w:rFonts w:ascii="Arial" w:hAnsi="Arial" w:cs="Arial"/>
                <w:color w:val="000000"/>
              </w:rPr>
              <w:t>2</w:t>
            </w:r>
          </w:p>
        </w:tc>
        <w:tc>
          <w:tcPr>
            <w:tcW w:w="1205" w:type="dxa"/>
            <w:tcBorders>
              <w:top w:val="nil"/>
              <w:left w:val="nil"/>
              <w:bottom w:val="nil"/>
              <w:right w:val="nil"/>
            </w:tcBorders>
            <w:vAlign w:val="center"/>
            <w:hideMark/>
          </w:tcPr>
          <w:p w14:paraId="4BA636CB" w14:textId="77777777" w:rsidR="006C43D8" w:rsidRPr="006C43D8" w:rsidRDefault="006C43D8" w:rsidP="00500EFC">
            <w:pPr>
              <w:jc w:val="center"/>
              <w:rPr>
                <w:rFonts w:ascii="Arial" w:hAnsi="Arial" w:cs="Arial"/>
                <w:color w:val="000000"/>
              </w:rPr>
            </w:pPr>
            <w:r w:rsidRPr="006C43D8">
              <w:rPr>
                <w:rFonts w:ascii="Arial" w:hAnsi="Arial" w:cs="Arial"/>
                <w:color w:val="000000"/>
              </w:rPr>
              <w:t> 1501.472</w:t>
            </w:r>
          </w:p>
        </w:tc>
        <w:tc>
          <w:tcPr>
            <w:tcW w:w="1261" w:type="dxa"/>
            <w:tcBorders>
              <w:top w:val="nil"/>
              <w:left w:val="nil"/>
              <w:bottom w:val="nil"/>
              <w:right w:val="nil"/>
            </w:tcBorders>
            <w:vAlign w:val="center"/>
            <w:hideMark/>
          </w:tcPr>
          <w:p w14:paraId="4290F079" w14:textId="77777777" w:rsidR="006C43D8" w:rsidRPr="006C43D8" w:rsidRDefault="006C43D8" w:rsidP="00500EFC">
            <w:pPr>
              <w:jc w:val="center"/>
              <w:rPr>
                <w:rFonts w:ascii="Arial" w:hAnsi="Arial" w:cs="Arial"/>
                <w:color w:val="000000"/>
              </w:rPr>
            </w:pPr>
            <w:r w:rsidRPr="006C43D8">
              <w:rPr>
                <w:rFonts w:ascii="Arial" w:hAnsi="Arial" w:cs="Arial"/>
                <w:color w:val="000000"/>
              </w:rPr>
              <w:t>  198.3860*</w:t>
            </w:r>
          </w:p>
        </w:tc>
        <w:tc>
          <w:tcPr>
            <w:tcW w:w="1291" w:type="dxa"/>
            <w:tcBorders>
              <w:top w:val="nil"/>
              <w:left w:val="nil"/>
              <w:bottom w:val="nil"/>
              <w:right w:val="nil"/>
            </w:tcBorders>
            <w:vAlign w:val="center"/>
            <w:hideMark/>
          </w:tcPr>
          <w:p w14:paraId="4D662CEB" w14:textId="77777777" w:rsidR="006C43D8" w:rsidRPr="006C43D8" w:rsidRDefault="006C43D8" w:rsidP="00500EFC">
            <w:pPr>
              <w:jc w:val="center"/>
              <w:rPr>
                <w:rFonts w:ascii="Arial" w:hAnsi="Arial" w:cs="Arial"/>
                <w:color w:val="000000"/>
              </w:rPr>
            </w:pPr>
            <w:r w:rsidRPr="006C43D8">
              <w:rPr>
                <w:rFonts w:ascii="Arial" w:hAnsi="Arial" w:cs="Arial"/>
                <w:color w:val="000000"/>
              </w:rPr>
              <w:t>  1.82e-19*</w:t>
            </w:r>
          </w:p>
        </w:tc>
        <w:tc>
          <w:tcPr>
            <w:tcW w:w="1417" w:type="dxa"/>
            <w:tcBorders>
              <w:top w:val="nil"/>
              <w:left w:val="nil"/>
              <w:bottom w:val="nil"/>
              <w:right w:val="nil"/>
            </w:tcBorders>
            <w:vAlign w:val="center"/>
            <w:hideMark/>
          </w:tcPr>
          <w:p w14:paraId="63D620D7" w14:textId="77777777" w:rsidR="006C43D8" w:rsidRPr="006C43D8" w:rsidRDefault="006C43D8" w:rsidP="00500EFC">
            <w:pPr>
              <w:jc w:val="center"/>
              <w:rPr>
                <w:rFonts w:ascii="Arial" w:hAnsi="Arial" w:cs="Arial"/>
                <w:color w:val="000000"/>
              </w:rPr>
            </w:pPr>
            <w:r w:rsidRPr="006C43D8">
              <w:rPr>
                <w:rFonts w:ascii="Arial" w:hAnsi="Arial" w:cs="Arial"/>
                <w:color w:val="000000"/>
              </w:rPr>
              <w:t> -17.62214*</w:t>
            </w:r>
          </w:p>
        </w:tc>
        <w:tc>
          <w:tcPr>
            <w:tcW w:w="1418" w:type="dxa"/>
            <w:tcBorders>
              <w:top w:val="nil"/>
              <w:left w:val="nil"/>
              <w:bottom w:val="nil"/>
              <w:right w:val="nil"/>
            </w:tcBorders>
            <w:vAlign w:val="center"/>
            <w:hideMark/>
          </w:tcPr>
          <w:p w14:paraId="28B6C068" w14:textId="77777777" w:rsidR="006C43D8" w:rsidRPr="006C43D8" w:rsidRDefault="006C43D8" w:rsidP="00500EFC">
            <w:pPr>
              <w:jc w:val="center"/>
              <w:rPr>
                <w:rFonts w:ascii="Arial" w:hAnsi="Arial" w:cs="Arial"/>
                <w:color w:val="000000"/>
              </w:rPr>
            </w:pPr>
            <w:r w:rsidRPr="006C43D8">
              <w:rPr>
                <w:rFonts w:ascii="Arial" w:hAnsi="Arial" w:cs="Arial"/>
                <w:color w:val="000000"/>
              </w:rPr>
              <w:t>-14.20522</w:t>
            </w:r>
          </w:p>
        </w:tc>
        <w:tc>
          <w:tcPr>
            <w:tcW w:w="1369" w:type="dxa"/>
            <w:tcBorders>
              <w:top w:val="nil"/>
              <w:left w:val="nil"/>
              <w:bottom w:val="nil"/>
              <w:right w:val="nil"/>
            </w:tcBorders>
            <w:vAlign w:val="center"/>
            <w:hideMark/>
          </w:tcPr>
          <w:p w14:paraId="060029A1" w14:textId="77777777" w:rsidR="006C43D8" w:rsidRPr="006C43D8" w:rsidRDefault="006C43D8" w:rsidP="00500EFC">
            <w:pPr>
              <w:jc w:val="center"/>
              <w:rPr>
                <w:rFonts w:ascii="Arial" w:hAnsi="Arial" w:cs="Arial"/>
                <w:color w:val="000000"/>
              </w:rPr>
            </w:pPr>
            <w:r w:rsidRPr="006C43D8">
              <w:rPr>
                <w:rFonts w:ascii="Arial" w:hAnsi="Arial" w:cs="Arial"/>
                <w:color w:val="000000"/>
              </w:rPr>
              <w:t>-16.23401</w:t>
            </w:r>
          </w:p>
        </w:tc>
      </w:tr>
      <w:tr w:rsidR="006C43D8" w:rsidRPr="006C43D8" w14:paraId="2DE11748" w14:textId="77777777" w:rsidTr="00500EFC">
        <w:trPr>
          <w:trHeight w:val="324"/>
          <w:jc w:val="center"/>
        </w:trPr>
        <w:tc>
          <w:tcPr>
            <w:tcW w:w="638" w:type="dxa"/>
            <w:tcBorders>
              <w:top w:val="nil"/>
              <w:left w:val="nil"/>
              <w:bottom w:val="nil"/>
              <w:right w:val="nil"/>
            </w:tcBorders>
            <w:vAlign w:val="center"/>
            <w:hideMark/>
          </w:tcPr>
          <w:p w14:paraId="5BC23C76" w14:textId="77777777" w:rsidR="006C43D8" w:rsidRPr="006C43D8" w:rsidRDefault="006C43D8" w:rsidP="00500EFC">
            <w:pPr>
              <w:jc w:val="center"/>
              <w:rPr>
                <w:rFonts w:ascii="Arial" w:hAnsi="Arial" w:cs="Arial"/>
                <w:color w:val="000000"/>
              </w:rPr>
            </w:pPr>
            <w:r w:rsidRPr="006C43D8">
              <w:rPr>
                <w:rFonts w:ascii="Arial" w:hAnsi="Arial" w:cs="Arial"/>
                <w:color w:val="000000"/>
              </w:rPr>
              <w:t>3</w:t>
            </w:r>
          </w:p>
        </w:tc>
        <w:tc>
          <w:tcPr>
            <w:tcW w:w="1205" w:type="dxa"/>
            <w:tcBorders>
              <w:top w:val="nil"/>
              <w:left w:val="nil"/>
              <w:bottom w:val="nil"/>
              <w:right w:val="nil"/>
            </w:tcBorders>
            <w:vAlign w:val="center"/>
            <w:hideMark/>
          </w:tcPr>
          <w:p w14:paraId="4596517C" w14:textId="77777777" w:rsidR="006C43D8" w:rsidRPr="006C43D8" w:rsidRDefault="006C43D8" w:rsidP="00500EFC">
            <w:pPr>
              <w:jc w:val="center"/>
              <w:rPr>
                <w:rFonts w:ascii="Arial" w:hAnsi="Arial" w:cs="Arial"/>
                <w:color w:val="000000"/>
              </w:rPr>
            </w:pPr>
            <w:r w:rsidRPr="006C43D8">
              <w:rPr>
                <w:rFonts w:ascii="Arial" w:hAnsi="Arial" w:cs="Arial"/>
                <w:color w:val="000000"/>
              </w:rPr>
              <w:t> 1561.203</w:t>
            </w:r>
          </w:p>
        </w:tc>
        <w:tc>
          <w:tcPr>
            <w:tcW w:w="1261" w:type="dxa"/>
            <w:tcBorders>
              <w:top w:val="nil"/>
              <w:left w:val="nil"/>
              <w:bottom w:val="nil"/>
              <w:right w:val="nil"/>
            </w:tcBorders>
            <w:vAlign w:val="center"/>
            <w:hideMark/>
          </w:tcPr>
          <w:p w14:paraId="32C0DAFD" w14:textId="77777777" w:rsidR="006C43D8" w:rsidRPr="006C43D8" w:rsidRDefault="006C43D8" w:rsidP="00500EFC">
            <w:pPr>
              <w:jc w:val="center"/>
              <w:rPr>
                <w:rFonts w:ascii="Arial" w:hAnsi="Arial" w:cs="Arial"/>
                <w:color w:val="000000"/>
              </w:rPr>
            </w:pPr>
            <w:r w:rsidRPr="006C43D8">
              <w:rPr>
                <w:rFonts w:ascii="Arial" w:hAnsi="Arial" w:cs="Arial"/>
                <w:color w:val="000000"/>
              </w:rPr>
              <w:t> 97.31005</w:t>
            </w:r>
          </w:p>
        </w:tc>
        <w:tc>
          <w:tcPr>
            <w:tcW w:w="1291" w:type="dxa"/>
            <w:tcBorders>
              <w:top w:val="nil"/>
              <w:left w:val="nil"/>
              <w:bottom w:val="nil"/>
              <w:right w:val="nil"/>
            </w:tcBorders>
            <w:vAlign w:val="center"/>
            <w:hideMark/>
          </w:tcPr>
          <w:p w14:paraId="2B9DE6B1" w14:textId="77777777" w:rsidR="006C43D8" w:rsidRPr="006C43D8" w:rsidRDefault="006C43D8" w:rsidP="00500EFC">
            <w:pPr>
              <w:jc w:val="center"/>
              <w:rPr>
                <w:rFonts w:ascii="Arial" w:hAnsi="Arial" w:cs="Arial"/>
                <w:color w:val="000000"/>
              </w:rPr>
            </w:pPr>
            <w:r w:rsidRPr="006C43D8">
              <w:rPr>
                <w:rFonts w:ascii="Arial" w:hAnsi="Arial" w:cs="Arial"/>
                <w:color w:val="000000"/>
              </w:rPr>
              <w:t> 2.48e-19</w:t>
            </w:r>
          </w:p>
        </w:tc>
        <w:tc>
          <w:tcPr>
            <w:tcW w:w="1417" w:type="dxa"/>
            <w:tcBorders>
              <w:top w:val="nil"/>
              <w:left w:val="nil"/>
              <w:bottom w:val="nil"/>
              <w:right w:val="nil"/>
            </w:tcBorders>
            <w:vAlign w:val="center"/>
            <w:hideMark/>
          </w:tcPr>
          <w:p w14:paraId="63A7D26A" w14:textId="77777777" w:rsidR="006C43D8" w:rsidRPr="006C43D8" w:rsidRDefault="006C43D8" w:rsidP="00500EFC">
            <w:pPr>
              <w:jc w:val="center"/>
              <w:rPr>
                <w:rFonts w:ascii="Arial" w:hAnsi="Arial" w:cs="Arial"/>
                <w:color w:val="000000"/>
              </w:rPr>
            </w:pPr>
            <w:r w:rsidRPr="006C43D8">
              <w:rPr>
                <w:rFonts w:ascii="Arial" w:hAnsi="Arial" w:cs="Arial"/>
                <w:color w:val="000000"/>
              </w:rPr>
              <w:t>-17.34043</w:t>
            </w:r>
          </w:p>
        </w:tc>
        <w:tc>
          <w:tcPr>
            <w:tcW w:w="1418" w:type="dxa"/>
            <w:tcBorders>
              <w:top w:val="nil"/>
              <w:left w:val="nil"/>
              <w:bottom w:val="nil"/>
              <w:right w:val="nil"/>
            </w:tcBorders>
            <w:vAlign w:val="center"/>
            <w:hideMark/>
          </w:tcPr>
          <w:p w14:paraId="38401C9A" w14:textId="77777777" w:rsidR="006C43D8" w:rsidRPr="006C43D8" w:rsidRDefault="006C43D8" w:rsidP="00500EFC">
            <w:pPr>
              <w:jc w:val="center"/>
              <w:rPr>
                <w:rFonts w:ascii="Arial" w:hAnsi="Arial" w:cs="Arial"/>
                <w:color w:val="000000"/>
              </w:rPr>
            </w:pPr>
            <w:r w:rsidRPr="006C43D8">
              <w:rPr>
                <w:rFonts w:ascii="Arial" w:hAnsi="Arial" w:cs="Arial"/>
                <w:color w:val="000000"/>
              </w:rPr>
              <w:t>-12.30497</w:t>
            </w:r>
          </w:p>
        </w:tc>
        <w:tc>
          <w:tcPr>
            <w:tcW w:w="1369" w:type="dxa"/>
            <w:tcBorders>
              <w:top w:val="nil"/>
              <w:left w:val="nil"/>
              <w:bottom w:val="nil"/>
              <w:right w:val="nil"/>
            </w:tcBorders>
            <w:vAlign w:val="center"/>
            <w:hideMark/>
          </w:tcPr>
          <w:p w14:paraId="0E960F99" w14:textId="77777777" w:rsidR="006C43D8" w:rsidRPr="006C43D8" w:rsidRDefault="006C43D8" w:rsidP="00500EFC">
            <w:pPr>
              <w:jc w:val="center"/>
              <w:rPr>
                <w:rFonts w:ascii="Arial" w:hAnsi="Arial" w:cs="Arial"/>
                <w:color w:val="000000"/>
              </w:rPr>
            </w:pPr>
            <w:r w:rsidRPr="006C43D8">
              <w:rPr>
                <w:rFonts w:ascii="Arial" w:hAnsi="Arial" w:cs="Arial"/>
                <w:color w:val="000000"/>
              </w:rPr>
              <w:t>-15.29477</w:t>
            </w:r>
          </w:p>
        </w:tc>
      </w:tr>
      <w:tr w:rsidR="006C43D8" w:rsidRPr="006C43D8" w14:paraId="1356A32B" w14:textId="77777777" w:rsidTr="00500EFC">
        <w:trPr>
          <w:trHeight w:val="324"/>
          <w:jc w:val="center"/>
        </w:trPr>
        <w:tc>
          <w:tcPr>
            <w:tcW w:w="638" w:type="dxa"/>
            <w:tcBorders>
              <w:top w:val="nil"/>
              <w:left w:val="nil"/>
              <w:bottom w:val="nil"/>
              <w:right w:val="nil"/>
            </w:tcBorders>
            <w:vAlign w:val="center"/>
            <w:hideMark/>
          </w:tcPr>
          <w:p w14:paraId="2F46EF90" w14:textId="77777777" w:rsidR="006C43D8" w:rsidRPr="006C43D8" w:rsidRDefault="006C43D8" w:rsidP="00500EFC">
            <w:pPr>
              <w:jc w:val="center"/>
              <w:rPr>
                <w:rFonts w:ascii="Arial" w:hAnsi="Arial" w:cs="Arial"/>
                <w:color w:val="000000"/>
              </w:rPr>
            </w:pPr>
            <w:r w:rsidRPr="006C43D8">
              <w:rPr>
                <w:rFonts w:ascii="Arial" w:hAnsi="Arial" w:cs="Arial"/>
                <w:color w:val="000000"/>
              </w:rPr>
              <w:lastRenderedPageBreak/>
              <w:t>4</w:t>
            </w:r>
          </w:p>
        </w:tc>
        <w:tc>
          <w:tcPr>
            <w:tcW w:w="1205" w:type="dxa"/>
            <w:tcBorders>
              <w:top w:val="nil"/>
              <w:left w:val="nil"/>
              <w:bottom w:val="nil"/>
              <w:right w:val="nil"/>
            </w:tcBorders>
            <w:vAlign w:val="center"/>
            <w:hideMark/>
          </w:tcPr>
          <w:p w14:paraId="4F6128F3" w14:textId="77777777" w:rsidR="006C43D8" w:rsidRPr="006C43D8" w:rsidRDefault="006C43D8" w:rsidP="00500EFC">
            <w:pPr>
              <w:jc w:val="center"/>
              <w:rPr>
                <w:rFonts w:ascii="Arial" w:hAnsi="Arial" w:cs="Arial"/>
                <w:color w:val="000000"/>
              </w:rPr>
            </w:pPr>
            <w:r w:rsidRPr="006C43D8">
              <w:rPr>
                <w:rFonts w:ascii="Arial" w:hAnsi="Arial" w:cs="Arial"/>
                <w:color w:val="000000"/>
              </w:rPr>
              <w:t> 1609.789</w:t>
            </w:r>
          </w:p>
        </w:tc>
        <w:tc>
          <w:tcPr>
            <w:tcW w:w="1261" w:type="dxa"/>
            <w:tcBorders>
              <w:top w:val="nil"/>
              <w:left w:val="nil"/>
              <w:bottom w:val="nil"/>
              <w:right w:val="nil"/>
            </w:tcBorders>
            <w:vAlign w:val="center"/>
            <w:hideMark/>
          </w:tcPr>
          <w:p w14:paraId="5D6CD09C" w14:textId="77777777" w:rsidR="006C43D8" w:rsidRPr="006C43D8" w:rsidRDefault="006C43D8" w:rsidP="00500EFC">
            <w:pPr>
              <w:jc w:val="center"/>
              <w:rPr>
                <w:rFonts w:ascii="Arial" w:hAnsi="Arial" w:cs="Arial"/>
                <w:color w:val="000000"/>
              </w:rPr>
            </w:pPr>
            <w:r w:rsidRPr="006C43D8">
              <w:rPr>
                <w:rFonts w:ascii="Arial" w:hAnsi="Arial" w:cs="Arial"/>
                <w:color w:val="000000"/>
              </w:rPr>
              <w:t> 73.36285</w:t>
            </w:r>
          </w:p>
        </w:tc>
        <w:tc>
          <w:tcPr>
            <w:tcW w:w="1291" w:type="dxa"/>
            <w:tcBorders>
              <w:top w:val="nil"/>
              <w:left w:val="nil"/>
              <w:bottom w:val="nil"/>
              <w:right w:val="nil"/>
            </w:tcBorders>
            <w:vAlign w:val="center"/>
            <w:hideMark/>
          </w:tcPr>
          <w:p w14:paraId="328BE4D0" w14:textId="77777777" w:rsidR="006C43D8" w:rsidRPr="006C43D8" w:rsidRDefault="006C43D8" w:rsidP="00500EFC">
            <w:pPr>
              <w:jc w:val="center"/>
              <w:rPr>
                <w:rFonts w:ascii="Arial" w:hAnsi="Arial" w:cs="Arial"/>
                <w:color w:val="000000"/>
              </w:rPr>
            </w:pPr>
            <w:r w:rsidRPr="006C43D8">
              <w:rPr>
                <w:rFonts w:ascii="Arial" w:hAnsi="Arial" w:cs="Arial"/>
                <w:color w:val="000000"/>
              </w:rPr>
              <w:t> 4.01e-19</w:t>
            </w:r>
          </w:p>
        </w:tc>
        <w:tc>
          <w:tcPr>
            <w:tcW w:w="1417" w:type="dxa"/>
            <w:tcBorders>
              <w:top w:val="nil"/>
              <w:left w:val="nil"/>
              <w:bottom w:val="nil"/>
              <w:right w:val="nil"/>
            </w:tcBorders>
            <w:vAlign w:val="center"/>
            <w:hideMark/>
          </w:tcPr>
          <w:p w14:paraId="3BD5C7DE" w14:textId="77777777" w:rsidR="006C43D8" w:rsidRPr="006C43D8" w:rsidRDefault="006C43D8" w:rsidP="00500EFC">
            <w:pPr>
              <w:jc w:val="center"/>
              <w:rPr>
                <w:rFonts w:ascii="Arial" w:hAnsi="Arial" w:cs="Arial"/>
                <w:color w:val="000000"/>
              </w:rPr>
            </w:pPr>
            <w:r w:rsidRPr="006C43D8">
              <w:rPr>
                <w:rFonts w:ascii="Arial" w:hAnsi="Arial" w:cs="Arial"/>
                <w:color w:val="000000"/>
              </w:rPr>
              <w:t>-16.91112</w:t>
            </w:r>
          </w:p>
        </w:tc>
        <w:tc>
          <w:tcPr>
            <w:tcW w:w="1418" w:type="dxa"/>
            <w:tcBorders>
              <w:top w:val="nil"/>
              <w:left w:val="nil"/>
              <w:bottom w:val="nil"/>
              <w:right w:val="nil"/>
            </w:tcBorders>
            <w:vAlign w:val="center"/>
            <w:hideMark/>
          </w:tcPr>
          <w:p w14:paraId="1361745B" w14:textId="77777777" w:rsidR="006C43D8" w:rsidRPr="006C43D8" w:rsidRDefault="006C43D8" w:rsidP="00500EFC">
            <w:pPr>
              <w:jc w:val="center"/>
              <w:rPr>
                <w:rFonts w:ascii="Arial" w:hAnsi="Arial" w:cs="Arial"/>
                <w:color w:val="000000"/>
              </w:rPr>
            </w:pPr>
            <w:r w:rsidRPr="006C43D8">
              <w:rPr>
                <w:rFonts w:ascii="Arial" w:hAnsi="Arial" w:cs="Arial"/>
                <w:color w:val="000000"/>
              </w:rPr>
              <w:t>-10.25712</w:t>
            </w:r>
          </w:p>
        </w:tc>
        <w:tc>
          <w:tcPr>
            <w:tcW w:w="1369" w:type="dxa"/>
            <w:tcBorders>
              <w:top w:val="nil"/>
              <w:left w:val="nil"/>
              <w:bottom w:val="nil"/>
              <w:right w:val="nil"/>
            </w:tcBorders>
            <w:vAlign w:val="center"/>
            <w:hideMark/>
          </w:tcPr>
          <w:p w14:paraId="1CB97F55" w14:textId="77777777" w:rsidR="006C43D8" w:rsidRPr="006C43D8" w:rsidRDefault="006C43D8" w:rsidP="00500EFC">
            <w:pPr>
              <w:jc w:val="center"/>
              <w:rPr>
                <w:rFonts w:ascii="Arial" w:hAnsi="Arial" w:cs="Arial"/>
                <w:color w:val="000000"/>
              </w:rPr>
            </w:pPr>
            <w:r w:rsidRPr="006C43D8">
              <w:rPr>
                <w:rFonts w:ascii="Arial" w:hAnsi="Arial" w:cs="Arial"/>
                <w:color w:val="000000"/>
              </w:rPr>
              <w:t>-14.20792</w:t>
            </w:r>
          </w:p>
        </w:tc>
      </w:tr>
      <w:tr w:rsidR="006C43D8" w:rsidRPr="006C43D8" w14:paraId="7806A012" w14:textId="77777777" w:rsidTr="00500EFC">
        <w:trPr>
          <w:trHeight w:val="324"/>
          <w:jc w:val="center"/>
        </w:trPr>
        <w:tc>
          <w:tcPr>
            <w:tcW w:w="638" w:type="dxa"/>
            <w:tcBorders>
              <w:top w:val="nil"/>
              <w:left w:val="nil"/>
              <w:bottom w:val="single" w:sz="4" w:space="0" w:color="auto"/>
              <w:right w:val="nil"/>
            </w:tcBorders>
            <w:vAlign w:val="center"/>
            <w:hideMark/>
          </w:tcPr>
          <w:p w14:paraId="7DBE6070" w14:textId="77777777" w:rsidR="006C43D8" w:rsidRPr="006C43D8" w:rsidRDefault="006C43D8" w:rsidP="00500EFC">
            <w:pPr>
              <w:jc w:val="center"/>
              <w:rPr>
                <w:rFonts w:ascii="Arial" w:hAnsi="Arial" w:cs="Arial"/>
                <w:color w:val="000000"/>
              </w:rPr>
            </w:pPr>
            <w:r w:rsidRPr="006C43D8">
              <w:rPr>
                <w:rFonts w:ascii="Arial" w:hAnsi="Arial" w:cs="Arial"/>
                <w:color w:val="000000"/>
              </w:rPr>
              <w:t>5</w:t>
            </w:r>
          </w:p>
        </w:tc>
        <w:tc>
          <w:tcPr>
            <w:tcW w:w="1205" w:type="dxa"/>
            <w:tcBorders>
              <w:top w:val="nil"/>
              <w:left w:val="nil"/>
              <w:bottom w:val="single" w:sz="4" w:space="0" w:color="auto"/>
              <w:right w:val="nil"/>
            </w:tcBorders>
            <w:vAlign w:val="center"/>
            <w:hideMark/>
          </w:tcPr>
          <w:p w14:paraId="0B86B542" w14:textId="77777777" w:rsidR="006C43D8" w:rsidRPr="006C43D8" w:rsidRDefault="006C43D8" w:rsidP="00500EFC">
            <w:pPr>
              <w:jc w:val="center"/>
              <w:rPr>
                <w:rFonts w:ascii="Arial" w:hAnsi="Arial" w:cs="Arial"/>
                <w:color w:val="000000"/>
              </w:rPr>
            </w:pPr>
            <w:r w:rsidRPr="006C43D8">
              <w:rPr>
                <w:rFonts w:ascii="Arial" w:hAnsi="Arial" w:cs="Arial"/>
                <w:color w:val="000000"/>
              </w:rPr>
              <w:t> 1673.797</w:t>
            </w:r>
          </w:p>
        </w:tc>
        <w:tc>
          <w:tcPr>
            <w:tcW w:w="1261" w:type="dxa"/>
            <w:tcBorders>
              <w:top w:val="nil"/>
              <w:left w:val="nil"/>
              <w:bottom w:val="single" w:sz="4" w:space="0" w:color="auto"/>
              <w:right w:val="nil"/>
            </w:tcBorders>
            <w:vAlign w:val="center"/>
            <w:hideMark/>
          </w:tcPr>
          <w:p w14:paraId="49E44F29" w14:textId="77777777" w:rsidR="006C43D8" w:rsidRPr="006C43D8" w:rsidRDefault="006C43D8" w:rsidP="00500EFC">
            <w:pPr>
              <w:jc w:val="center"/>
              <w:rPr>
                <w:rFonts w:ascii="Arial" w:hAnsi="Arial" w:cs="Arial"/>
                <w:color w:val="000000"/>
              </w:rPr>
            </w:pPr>
            <w:r w:rsidRPr="006C43D8">
              <w:rPr>
                <w:rFonts w:ascii="Arial" w:hAnsi="Arial" w:cs="Arial"/>
                <w:color w:val="000000"/>
              </w:rPr>
              <w:t> 89.01687</w:t>
            </w:r>
          </w:p>
        </w:tc>
        <w:tc>
          <w:tcPr>
            <w:tcW w:w="1291" w:type="dxa"/>
            <w:tcBorders>
              <w:top w:val="nil"/>
              <w:left w:val="nil"/>
              <w:bottom w:val="single" w:sz="4" w:space="0" w:color="auto"/>
              <w:right w:val="nil"/>
            </w:tcBorders>
            <w:vAlign w:val="center"/>
            <w:hideMark/>
          </w:tcPr>
          <w:p w14:paraId="56BDBBD9" w14:textId="77777777" w:rsidR="006C43D8" w:rsidRPr="006C43D8" w:rsidRDefault="006C43D8" w:rsidP="00500EFC">
            <w:pPr>
              <w:jc w:val="center"/>
              <w:rPr>
                <w:rFonts w:ascii="Arial" w:hAnsi="Arial" w:cs="Arial"/>
                <w:color w:val="000000"/>
              </w:rPr>
            </w:pPr>
            <w:r w:rsidRPr="006C43D8">
              <w:rPr>
                <w:rFonts w:ascii="Arial" w:hAnsi="Arial" w:cs="Arial"/>
                <w:color w:val="000000"/>
              </w:rPr>
              <w:t> 5.48e-19</w:t>
            </w:r>
          </w:p>
        </w:tc>
        <w:tc>
          <w:tcPr>
            <w:tcW w:w="1417" w:type="dxa"/>
            <w:tcBorders>
              <w:top w:val="nil"/>
              <w:left w:val="nil"/>
              <w:bottom w:val="single" w:sz="4" w:space="0" w:color="auto"/>
              <w:right w:val="nil"/>
            </w:tcBorders>
            <w:vAlign w:val="center"/>
            <w:hideMark/>
          </w:tcPr>
          <w:p w14:paraId="47DC5982" w14:textId="77777777" w:rsidR="006C43D8" w:rsidRPr="006C43D8" w:rsidRDefault="006C43D8" w:rsidP="00500EFC">
            <w:pPr>
              <w:jc w:val="center"/>
              <w:rPr>
                <w:rFonts w:ascii="Arial" w:hAnsi="Arial" w:cs="Arial"/>
                <w:color w:val="000000"/>
              </w:rPr>
            </w:pPr>
            <w:r w:rsidRPr="006C43D8">
              <w:rPr>
                <w:rFonts w:ascii="Arial" w:hAnsi="Arial" w:cs="Arial"/>
                <w:color w:val="000000"/>
              </w:rPr>
              <w:t>-16.68605</w:t>
            </w:r>
          </w:p>
        </w:tc>
        <w:tc>
          <w:tcPr>
            <w:tcW w:w="1418" w:type="dxa"/>
            <w:tcBorders>
              <w:top w:val="nil"/>
              <w:left w:val="nil"/>
              <w:bottom w:val="single" w:sz="4" w:space="0" w:color="auto"/>
              <w:right w:val="nil"/>
            </w:tcBorders>
            <w:vAlign w:val="center"/>
            <w:hideMark/>
          </w:tcPr>
          <w:p w14:paraId="6B62BCB8" w14:textId="77777777" w:rsidR="006C43D8" w:rsidRPr="006C43D8" w:rsidRDefault="006C43D8" w:rsidP="00500EFC">
            <w:pPr>
              <w:jc w:val="center"/>
              <w:rPr>
                <w:rFonts w:ascii="Arial" w:hAnsi="Arial" w:cs="Arial"/>
                <w:color w:val="000000"/>
              </w:rPr>
            </w:pPr>
            <w:r w:rsidRPr="006C43D8">
              <w:rPr>
                <w:rFonts w:ascii="Arial" w:hAnsi="Arial" w:cs="Arial"/>
                <w:color w:val="000000"/>
              </w:rPr>
              <w:t>-8.413509</w:t>
            </w:r>
          </w:p>
        </w:tc>
        <w:tc>
          <w:tcPr>
            <w:tcW w:w="1369" w:type="dxa"/>
            <w:tcBorders>
              <w:top w:val="nil"/>
              <w:left w:val="nil"/>
              <w:bottom w:val="single" w:sz="4" w:space="0" w:color="auto"/>
              <w:right w:val="nil"/>
            </w:tcBorders>
            <w:vAlign w:val="center"/>
            <w:hideMark/>
          </w:tcPr>
          <w:p w14:paraId="45EEDFA5" w14:textId="77777777" w:rsidR="006C43D8" w:rsidRPr="006C43D8" w:rsidRDefault="006C43D8" w:rsidP="00500EFC">
            <w:pPr>
              <w:jc w:val="center"/>
              <w:rPr>
                <w:rFonts w:ascii="Arial" w:hAnsi="Arial" w:cs="Arial"/>
                <w:color w:val="000000"/>
              </w:rPr>
            </w:pPr>
            <w:r w:rsidRPr="006C43D8">
              <w:rPr>
                <w:rFonts w:ascii="Arial" w:hAnsi="Arial" w:cs="Arial"/>
                <w:color w:val="000000"/>
              </w:rPr>
              <w:t>-13.32531</w:t>
            </w:r>
          </w:p>
        </w:tc>
      </w:tr>
    </w:tbl>
    <w:p w14:paraId="3137B84B" w14:textId="77777777" w:rsidR="006C43D8" w:rsidRPr="006C43D8" w:rsidRDefault="006C43D8" w:rsidP="006C43D8">
      <w:pPr>
        <w:rPr>
          <w:rFonts w:ascii="Arial" w:hAnsi="Arial" w:cs="Arial"/>
          <w:i/>
          <w:iCs/>
        </w:rPr>
      </w:pPr>
      <w:r w:rsidRPr="006C43D8">
        <w:rPr>
          <w:rFonts w:ascii="Arial" w:hAnsi="Arial" w:cs="Arial"/>
          <w:i/>
          <w:iCs/>
        </w:rPr>
        <w:t>Source: Author 2024</w:t>
      </w:r>
    </w:p>
    <w:p w14:paraId="1768C935" w14:textId="77777777" w:rsidR="006C43D8" w:rsidRDefault="006C43D8" w:rsidP="006C43D8">
      <w:pPr>
        <w:jc w:val="both"/>
        <w:rPr>
          <w:rFonts w:ascii="Arial" w:hAnsi="Arial" w:cs="Arial"/>
        </w:rPr>
      </w:pPr>
    </w:p>
    <w:p w14:paraId="41A5E27F" w14:textId="215765B1" w:rsidR="006C43D8" w:rsidRPr="006C43D8" w:rsidRDefault="006C43D8" w:rsidP="006C43D8">
      <w:pPr>
        <w:jc w:val="both"/>
        <w:rPr>
          <w:rFonts w:ascii="Arial" w:hAnsi="Arial" w:cs="Arial"/>
        </w:rPr>
      </w:pPr>
      <w:r w:rsidRPr="006C43D8">
        <w:rPr>
          <w:rFonts w:ascii="Arial" w:hAnsi="Arial" w:cs="Arial"/>
        </w:rPr>
        <w:t xml:space="preserve">The results of the optimal lag test in this study indicate that the optimal and most recommended lag is lag 2. </w:t>
      </w:r>
      <w:r w:rsidR="008F78D6">
        <w:rPr>
          <w:rFonts w:ascii="Arial" w:hAnsi="Arial" w:cs="Arial"/>
        </w:rPr>
        <w:t>At</w:t>
      </w:r>
      <w:r w:rsidRPr="006C43D8">
        <w:rPr>
          <w:rFonts w:ascii="Arial" w:hAnsi="Arial" w:cs="Arial"/>
        </w:rPr>
        <w:t xml:space="preserve"> lag 2, the LR, FPE, and AIC values ​​have the smallest values. Based on </w:t>
      </w:r>
      <w:proofErr w:type="spellStart"/>
      <w:r w:rsidRPr="006C43D8">
        <w:rPr>
          <w:rFonts w:ascii="Arial" w:hAnsi="Arial" w:cs="Arial"/>
        </w:rPr>
        <w:t>Bozdogan's</w:t>
      </w:r>
      <w:proofErr w:type="spellEnd"/>
      <w:r w:rsidRPr="006C43D8">
        <w:rPr>
          <w:rFonts w:ascii="Arial" w:hAnsi="Arial" w:cs="Arial"/>
        </w:rPr>
        <w:t xml:space="preserve"> opinion </w:t>
      </w:r>
      <w:r w:rsidRPr="006C43D8">
        <w:rPr>
          <w:rFonts w:ascii="Arial" w:hAnsi="Arial" w:cs="Arial"/>
        </w:rPr>
        <w:fldChar w:fldCharType="begin" w:fldLock="1"/>
      </w:r>
      <w:r w:rsidRPr="006C43D8">
        <w:rPr>
          <w:rFonts w:ascii="Arial" w:hAnsi="Arial" w:cs="Arial"/>
        </w:rPr>
        <w:instrText>ADDIN CSL_CITATION {"citationItems":[{"id":"ITEM-1","itemData":{"DOI":"10.1007/BF02294361","ISSN":"00333123","abstract":"During the last fifteen years, Akaike's entropy-based Information Criterion (AIC) has had a fundamental impact in statistical model evaluation problems. This paper studies the general theory of the AIC procedure and provides its analytical extensions in two ways without violating Akaike's main principles. These extensions make AIC asymptotically consistent and penalize overparameterization more stringently to pick only the simplest of the \"true\" models. These selection criteria are called CAIC and CAICF. Asymptotic properties of AIC and its extensions are investigated, and empirical performances of these criteria are studied in choosing the correct degree of a polynomial model in two different Monte Carlo experiments under different conditions. © 1987 The Psychometric Society.","author":[{"dropping-particle":"","family":"Bozdogan","given":"Hamparsum","non-dropping-particle":"","parse-names":false,"suffix":""}],"container-title":"Psychometrika","id":"ITEM-1","issue":"3","issued":{"date-parts":[["1987"]]},"page":"345-370","title":"Model selection and Akaike's Information Criterion (AIC): The general theory and its analytical extensions","type":"article-journal","volume":"52"},"suppress-author":1,"uris":["http://www.mendeley.com/documents/?uuid=9a4c115e-ac29-417b-9751-c2d9b1ed23c2","http://www.mendeley.com/documents/?uuid=ca317a9c-2458-4561-b4ce-fe3c04588c8e"]}],"mendeley":{"formattedCitation":"(1987)","plainTextFormattedCitation":"(1987)","previouslyFormattedCitation":"(1987)"},"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(1987)</w:t>
      </w:r>
      <w:r w:rsidRPr="006C43D8">
        <w:rPr>
          <w:rFonts w:ascii="Arial" w:hAnsi="Arial" w:cs="Arial"/>
        </w:rPr>
        <w:fldChar w:fldCharType="end"/>
      </w:r>
      <w:r w:rsidRPr="006C43D8">
        <w:rPr>
          <w:rFonts w:ascii="Arial" w:hAnsi="Arial" w:cs="Arial"/>
        </w:rPr>
        <w:t>The model with the smallest complexity is the best or optimal model.</w:t>
      </w:r>
    </w:p>
    <w:p w14:paraId="5B514EC3" w14:textId="77777777" w:rsidR="006C43D8" w:rsidRDefault="006C43D8" w:rsidP="006C43D8">
      <w:pPr>
        <w:pStyle w:val="ListParagraph"/>
        <w:spacing w:after="160" w:line="240" w:lineRule="auto"/>
        <w:ind w:left="0"/>
        <w:rPr>
          <w:rFonts w:ascii="Arial" w:hAnsi="Arial" w:cs="Arial"/>
          <w:b/>
          <w:bCs/>
          <w:sz w:val="20"/>
          <w:szCs w:val="20"/>
        </w:rPr>
      </w:pPr>
    </w:p>
    <w:p w14:paraId="13EF0665" w14:textId="1A9A7D1D" w:rsidR="006C43D8" w:rsidRPr="006C43D8" w:rsidRDefault="006C43D8" w:rsidP="006C43D8">
      <w:pPr>
        <w:pStyle w:val="ListParagraph"/>
        <w:spacing w:after="160" w:line="240" w:lineRule="auto"/>
        <w:ind w:left="0"/>
        <w:rPr>
          <w:rFonts w:ascii="Arial" w:hAnsi="Arial" w:cs="Arial"/>
          <w:b/>
          <w:bCs/>
          <w:sz w:val="20"/>
          <w:szCs w:val="20"/>
        </w:rPr>
      </w:pPr>
      <w:r>
        <w:rPr>
          <w:rFonts w:ascii="Arial" w:hAnsi="Arial" w:cs="Arial"/>
          <w:b/>
          <w:bCs/>
          <w:sz w:val="20"/>
          <w:szCs w:val="20"/>
        </w:rPr>
        <w:t xml:space="preserve">4.1.4 </w:t>
      </w:r>
      <w:r w:rsidRPr="006C43D8">
        <w:rPr>
          <w:rFonts w:ascii="Arial" w:hAnsi="Arial" w:cs="Arial"/>
          <w:b/>
          <w:bCs/>
          <w:sz w:val="20"/>
          <w:szCs w:val="20"/>
        </w:rPr>
        <w:t>SVAR Test</w:t>
      </w:r>
    </w:p>
    <w:p w14:paraId="53D50584" w14:textId="22E283AF" w:rsidR="006C43D8" w:rsidRDefault="006C43D8" w:rsidP="006C43D8">
      <w:pPr>
        <w:jc w:val="both"/>
        <w:rPr>
          <w:rFonts w:ascii="Arial" w:hAnsi="Arial" w:cs="Arial"/>
        </w:rPr>
      </w:pPr>
      <w:r w:rsidRPr="006C43D8">
        <w:rPr>
          <w:rFonts w:ascii="Arial" w:hAnsi="Arial" w:cs="Arial"/>
        </w:rPr>
        <w:t xml:space="preserve">In the SVAR model, influence restrictions are carried out based on theory, where it is assumed that fluctuations that occur in Indonesia's endogenous variables (BI Rate, Exchange Rate, Inflation, IP Growth, JII, and IDX Composite) will not affect the United States' exogenous variables (FFR, DJI, </w:t>
      </w:r>
      <w:r w:rsidR="008F78D6">
        <w:rPr>
          <w:rFonts w:ascii="Arial" w:hAnsi="Arial" w:cs="Arial"/>
        </w:rPr>
        <w:t xml:space="preserve">and </w:t>
      </w:r>
      <w:r w:rsidRPr="006C43D8">
        <w:rPr>
          <w:rFonts w:ascii="Arial" w:hAnsi="Arial" w:cs="Arial"/>
        </w:rPr>
        <w:t xml:space="preserve">DJIM). The results of the SVAR test are described through the following model equation: </w:t>
      </w:r>
      <w:r w:rsidR="00F16D06" w:rsidRPr="00F16D06">
        <w:rPr>
          <w:rFonts w:ascii="Arial" w:hAnsi="Arial" w:cs="Arial"/>
        </w:rPr>
        <w:t>The SVAR model test is carried out to see the influence of one variable on another variable.</w:t>
      </w:r>
    </w:p>
    <w:p w14:paraId="76C8D862" w14:textId="77777777" w:rsidR="00D54945" w:rsidRPr="006C43D8" w:rsidRDefault="00D54945" w:rsidP="006C43D8">
      <w:pPr>
        <w:jc w:val="both"/>
        <w:rPr>
          <w:rFonts w:ascii="Arial" w:hAnsi="Arial" w:cs="Arial"/>
        </w:rPr>
      </w:pPr>
    </w:p>
    <w:p w14:paraId="2E4174F7" w14:textId="77777777" w:rsidR="006C43D8" w:rsidRPr="007B4B0D" w:rsidRDefault="006C43D8" w:rsidP="006C43D8">
      <w:pPr>
        <w:pStyle w:val="ListParagraph"/>
        <w:numPr>
          <w:ilvl w:val="0"/>
          <w:numId w:val="32"/>
        </w:numPr>
        <w:spacing w:after="160" w:line="240" w:lineRule="auto"/>
        <w:ind w:left="360"/>
        <w:jc w:val="both"/>
        <w:rPr>
          <w:rFonts w:ascii="Arial" w:hAnsi="Arial" w:cs="Arial"/>
          <w:sz w:val="20"/>
          <w:szCs w:val="20"/>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FFR</w:t>
      </w:r>
      <w:r w:rsidRPr="007B4B0D">
        <w:rPr>
          <w:rFonts w:ascii="Arial" w:hAnsi="Arial" w:cs="Arial"/>
          <w:sz w:val="20"/>
          <w:szCs w:val="20"/>
        </w:rPr>
        <w:t xml:space="preserve"> = </w:t>
      </w:r>
      <w:hyperlink r:id="rId16" w:history="1">
        <w:r w:rsidRPr="007B4B0D">
          <w:rPr>
            <w:rStyle w:val="Hyperlink"/>
            <w:rFonts w:ascii="Arial" w:hAnsi="Arial" w:cs="Arial"/>
            <w:color w:val="auto"/>
            <w:sz w:val="20"/>
            <w:szCs w:val="20"/>
            <w:u w:val="none"/>
          </w:rPr>
          <w:t>44.64@</w:t>
        </w:r>
        <w:r w:rsidRPr="007B4B0D">
          <w:rPr>
            <w:rStyle w:val="Hyperlink"/>
            <w:rFonts w:ascii="Arial" w:hAnsi="Arial" w:cs="Arial"/>
            <w:color w:val="auto"/>
            <w:sz w:val="20"/>
            <w:szCs w:val="20"/>
            <w:u w:val="none"/>
            <w:vertAlign w:val="superscript"/>
          </w:rPr>
          <w:t>u</w:t>
        </w:r>
        <w:r w:rsidRPr="007B4B0D">
          <w:rPr>
            <w:rStyle w:val="Hyperlink"/>
            <w:rFonts w:ascii="Arial" w:hAnsi="Arial" w:cs="Arial"/>
            <w:color w:val="auto"/>
            <w:sz w:val="20"/>
            <w:szCs w:val="20"/>
            <w:u w:val="none"/>
            <w:vertAlign w:val="subscript"/>
          </w:rPr>
          <w:t>FFR</w:t>
        </w:r>
      </w:hyperlink>
    </w:p>
    <w:p w14:paraId="203103AB"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13668C18"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FFR variable is only influenced by the variable itself positively and significantly by 44.64. It is said to be significant because it has a probability value of less than 0.05.</w:t>
      </w:r>
    </w:p>
    <w:p w14:paraId="60192772" w14:textId="77777777" w:rsidR="006C43D8" w:rsidRPr="007B4B0D" w:rsidRDefault="006C43D8" w:rsidP="006C43D8">
      <w:pPr>
        <w:pStyle w:val="ListParagraph"/>
        <w:spacing w:after="160" w:line="240" w:lineRule="auto"/>
        <w:ind w:left="360"/>
        <w:jc w:val="both"/>
        <w:rPr>
          <w:rFonts w:ascii="Arial" w:hAnsi="Arial" w:cs="Arial"/>
          <w:sz w:val="20"/>
          <w:szCs w:val="20"/>
          <w:vertAlign w:val="subscript"/>
        </w:rPr>
      </w:pPr>
    </w:p>
    <w:p w14:paraId="400B1921" w14:textId="77777777" w:rsidR="006C43D8" w:rsidRPr="007B4B0D" w:rsidRDefault="006C43D8" w:rsidP="006C43D8">
      <w:pPr>
        <w:pStyle w:val="ListParagraph"/>
        <w:numPr>
          <w:ilvl w:val="0"/>
          <w:numId w:val="32"/>
        </w:numPr>
        <w:spacing w:after="160" w:line="240" w:lineRule="auto"/>
        <w:ind w:left="360"/>
        <w:jc w:val="both"/>
        <w:rPr>
          <w:rStyle w:val="Hyperlink"/>
          <w:rFonts w:ascii="Arial" w:hAnsi="Arial" w:cs="Arial"/>
          <w:color w:val="auto"/>
          <w:sz w:val="20"/>
          <w:szCs w:val="20"/>
          <w:u w:val="none"/>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DJI</w:t>
      </w:r>
      <w:r w:rsidRPr="007B4B0D">
        <w:rPr>
          <w:rFonts w:ascii="Arial" w:hAnsi="Arial" w:cs="Arial"/>
          <w:sz w:val="20"/>
          <w:szCs w:val="20"/>
        </w:rPr>
        <w:t xml:space="preserve"> = 1.32@</w:t>
      </w:r>
      <w:r w:rsidRPr="007B4B0D">
        <w:rPr>
          <w:rFonts w:ascii="Arial" w:hAnsi="Arial" w:cs="Arial"/>
          <w:sz w:val="20"/>
          <w:szCs w:val="20"/>
          <w:vertAlign w:val="superscript"/>
        </w:rPr>
        <w:t>e</w:t>
      </w:r>
      <w:r w:rsidRPr="007B4B0D">
        <w:rPr>
          <w:rFonts w:ascii="Arial" w:hAnsi="Arial" w:cs="Arial"/>
          <w:sz w:val="20"/>
          <w:szCs w:val="20"/>
          <w:vertAlign w:val="subscript"/>
        </w:rPr>
        <w:t xml:space="preserve">FFR </w:t>
      </w:r>
      <w:r w:rsidRPr="007B4B0D">
        <w:rPr>
          <w:rFonts w:ascii="Arial" w:hAnsi="Arial" w:cs="Arial"/>
          <w:sz w:val="20"/>
          <w:szCs w:val="20"/>
        </w:rPr>
        <w:t xml:space="preserve">+ </w:t>
      </w:r>
      <w:hyperlink r:id="rId17" w:history="1">
        <w:r w:rsidRPr="007B4B0D">
          <w:rPr>
            <w:rStyle w:val="Hyperlink"/>
            <w:rFonts w:ascii="Arial" w:hAnsi="Arial" w:cs="Arial"/>
            <w:color w:val="auto"/>
            <w:sz w:val="20"/>
            <w:szCs w:val="20"/>
            <w:u w:val="none"/>
          </w:rPr>
          <w:t>2.45@</w:t>
        </w:r>
        <w:r w:rsidRPr="007B4B0D">
          <w:rPr>
            <w:rStyle w:val="Hyperlink"/>
            <w:rFonts w:ascii="Arial" w:hAnsi="Arial" w:cs="Arial"/>
            <w:color w:val="auto"/>
            <w:sz w:val="20"/>
            <w:szCs w:val="20"/>
            <w:u w:val="none"/>
            <w:vertAlign w:val="superscript"/>
          </w:rPr>
          <w:t>u</w:t>
        </w:r>
        <w:r w:rsidRPr="007B4B0D">
          <w:rPr>
            <w:rStyle w:val="Hyperlink"/>
            <w:rFonts w:ascii="Arial" w:hAnsi="Arial" w:cs="Arial"/>
            <w:color w:val="auto"/>
            <w:sz w:val="20"/>
            <w:szCs w:val="20"/>
            <w:u w:val="none"/>
            <w:vertAlign w:val="subscript"/>
          </w:rPr>
          <w:t>DJI</w:t>
        </w:r>
      </w:hyperlink>
    </w:p>
    <w:p w14:paraId="04CFE33B"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364CF28D"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DJI variable is significantly influenced by the FFR variable positively by 1.32 and the variable itself positively by 2.45. It is said to be significant because it has a probability value of less than 0.05.</w:t>
      </w:r>
    </w:p>
    <w:p w14:paraId="4101D3D4"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7E28463A" w14:textId="77777777" w:rsidR="006C43D8" w:rsidRPr="007B4B0D" w:rsidRDefault="006C43D8" w:rsidP="006C43D8">
      <w:pPr>
        <w:pStyle w:val="ListParagraph"/>
        <w:numPr>
          <w:ilvl w:val="0"/>
          <w:numId w:val="32"/>
        </w:numPr>
        <w:spacing w:after="160" w:line="240" w:lineRule="auto"/>
        <w:ind w:left="360"/>
        <w:jc w:val="both"/>
        <w:rPr>
          <w:rStyle w:val="Hyperlink"/>
          <w:rFonts w:ascii="Arial" w:hAnsi="Arial" w:cs="Arial"/>
          <w:color w:val="auto"/>
          <w:sz w:val="20"/>
          <w:szCs w:val="20"/>
          <w:u w:val="none"/>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DJIM</w:t>
      </w:r>
      <w:r w:rsidRPr="007B4B0D">
        <w:rPr>
          <w:rFonts w:ascii="Arial" w:hAnsi="Arial" w:cs="Arial"/>
          <w:sz w:val="20"/>
          <w:szCs w:val="20"/>
        </w:rPr>
        <w:t xml:space="preserve"> = 1.64@</w:t>
      </w:r>
      <w:r w:rsidRPr="007B4B0D">
        <w:rPr>
          <w:rFonts w:ascii="Arial" w:hAnsi="Arial" w:cs="Arial"/>
          <w:sz w:val="20"/>
          <w:szCs w:val="20"/>
          <w:vertAlign w:val="superscript"/>
        </w:rPr>
        <w:t>e</w:t>
      </w:r>
      <w:r w:rsidRPr="007B4B0D">
        <w:rPr>
          <w:rFonts w:ascii="Arial" w:hAnsi="Arial" w:cs="Arial"/>
          <w:sz w:val="20"/>
          <w:szCs w:val="20"/>
          <w:vertAlign w:val="subscript"/>
        </w:rPr>
        <w:t xml:space="preserve">FFR </w:t>
      </w:r>
      <w:r w:rsidRPr="007B4B0D">
        <w:rPr>
          <w:rFonts w:ascii="Arial" w:hAnsi="Arial" w:cs="Arial"/>
          <w:sz w:val="20"/>
          <w:szCs w:val="20"/>
        </w:rPr>
        <w:t>+ 0.37@</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xml:space="preserve">+ </w:t>
      </w:r>
      <w:hyperlink r:id="rId18" w:history="1">
        <w:r w:rsidRPr="007B4B0D">
          <w:rPr>
            <w:rStyle w:val="Hyperlink"/>
            <w:rFonts w:ascii="Arial" w:hAnsi="Arial" w:cs="Arial"/>
            <w:color w:val="auto"/>
            <w:sz w:val="20"/>
            <w:szCs w:val="20"/>
            <w:u w:val="none"/>
          </w:rPr>
          <w:t>4.35@</w:t>
        </w:r>
        <w:r w:rsidRPr="007B4B0D">
          <w:rPr>
            <w:rStyle w:val="Hyperlink"/>
            <w:rFonts w:ascii="Arial" w:hAnsi="Arial" w:cs="Arial"/>
            <w:color w:val="auto"/>
            <w:sz w:val="20"/>
            <w:szCs w:val="20"/>
            <w:u w:val="none"/>
            <w:vertAlign w:val="superscript"/>
          </w:rPr>
          <w:t>u</w:t>
        </w:r>
        <w:r w:rsidRPr="007B4B0D">
          <w:rPr>
            <w:rStyle w:val="Hyperlink"/>
            <w:rFonts w:ascii="Arial" w:hAnsi="Arial" w:cs="Arial"/>
            <w:color w:val="auto"/>
            <w:sz w:val="20"/>
            <w:szCs w:val="20"/>
            <w:u w:val="none"/>
            <w:vertAlign w:val="subscript"/>
          </w:rPr>
          <w:t>DJIM</w:t>
        </w:r>
      </w:hyperlink>
    </w:p>
    <w:p w14:paraId="6A1B1395"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2BCB265A" w14:textId="41328F40"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 xml:space="preserve">Based on the equation model above, as is well known, the DJIM variable is significantly influenced by the FFR variable positively by 1.64, </w:t>
      </w:r>
      <w:r w:rsidR="00C63C25">
        <w:rPr>
          <w:rFonts w:ascii="Arial" w:hAnsi="Arial" w:cs="Arial"/>
          <w:sz w:val="20"/>
          <w:szCs w:val="20"/>
        </w:rPr>
        <w:t xml:space="preserve">the </w:t>
      </w:r>
      <w:r w:rsidRPr="007B4B0D">
        <w:rPr>
          <w:rFonts w:ascii="Arial" w:hAnsi="Arial" w:cs="Arial"/>
          <w:sz w:val="20"/>
          <w:szCs w:val="20"/>
        </w:rPr>
        <w:t>DJI positively by 0.37, and the variable itself positively by 4.35. It is said to be significant because it has a probability value of less than 0.05.</w:t>
      </w:r>
    </w:p>
    <w:p w14:paraId="2B8B21C3"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139B123B" w14:textId="77777777" w:rsidR="006C43D8" w:rsidRPr="007B4B0D" w:rsidRDefault="006C43D8" w:rsidP="006C43D8">
      <w:pPr>
        <w:pStyle w:val="ListParagraph"/>
        <w:numPr>
          <w:ilvl w:val="0"/>
          <w:numId w:val="32"/>
        </w:numPr>
        <w:spacing w:after="160" w:line="240" w:lineRule="auto"/>
        <w:ind w:left="360"/>
        <w:jc w:val="both"/>
        <w:rPr>
          <w:rFonts w:ascii="Arial" w:hAnsi="Arial" w:cs="Arial"/>
          <w:sz w:val="20"/>
          <w:szCs w:val="20"/>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BI RATE</w:t>
      </w:r>
      <w:r w:rsidRPr="007B4B0D">
        <w:rPr>
          <w:rFonts w:ascii="Arial" w:hAnsi="Arial" w:cs="Arial"/>
          <w:sz w:val="20"/>
          <w:szCs w:val="20"/>
        </w:rPr>
        <w:t xml:space="preserve"> = -3.12@</w:t>
      </w:r>
      <w:r w:rsidRPr="007B4B0D">
        <w:rPr>
          <w:rFonts w:ascii="Arial" w:hAnsi="Arial" w:cs="Arial"/>
          <w:sz w:val="20"/>
          <w:szCs w:val="20"/>
          <w:vertAlign w:val="superscript"/>
        </w:rPr>
        <w:t>e</w:t>
      </w:r>
      <w:r w:rsidRPr="007B4B0D">
        <w:rPr>
          <w:rFonts w:ascii="Arial" w:hAnsi="Arial" w:cs="Arial"/>
          <w:sz w:val="20"/>
          <w:szCs w:val="20"/>
          <w:vertAlign w:val="subscript"/>
        </w:rPr>
        <w:t xml:space="preserve">FFR </w:t>
      </w:r>
      <w:r w:rsidRPr="007B4B0D">
        <w:rPr>
          <w:rFonts w:ascii="Arial" w:hAnsi="Arial" w:cs="Arial"/>
          <w:sz w:val="20"/>
          <w:szCs w:val="20"/>
        </w:rPr>
        <w:t>+ 2.14@</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+ 3.45@</w:t>
      </w:r>
      <w:r w:rsidRPr="007B4B0D">
        <w:rPr>
          <w:rFonts w:ascii="Arial" w:hAnsi="Arial" w:cs="Arial"/>
          <w:sz w:val="20"/>
          <w:szCs w:val="20"/>
          <w:vertAlign w:val="superscript"/>
        </w:rPr>
        <w:t>e</w:t>
      </w:r>
      <w:r w:rsidRPr="007B4B0D">
        <w:rPr>
          <w:rFonts w:ascii="Arial" w:hAnsi="Arial" w:cs="Arial"/>
          <w:sz w:val="20"/>
          <w:szCs w:val="20"/>
          <w:vertAlign w:val="subscript"/>
        </w:rPr>
        <w:t xml:space="preserve">DJIM </w:t>
      </w:r>
      <w:r w:rsidRPr="007B4B0D">
        <w:rPr>
          <w:rFonts w:ascii="Arial" w:hAnsi="Arial" w:cs="Arial"/>
          <w:sz w:val="20"/>
          <w:szCs w:val="20"/>
        </w:rPr>
        <w:t>+ 12.08@</w:t>
      </w:r>
      <w:r w:rsidRPr="007B4B0D">
        <w:rPr>
          <w:rFonts w:ascii="Arial" w:hAnsi="Arial" w:cs="Arial"/>
          <w:sz w:val="20"/>
          <w:szCs w:val="20"/>
          <w:vertAlign w:val="superscript"/>
        </w:rPr>
        <w:t>u</w:t>
      </w:r>
      <w:r w:rsidRPr="007B4B0D">
        <w:rPr>
          <w:rFonts w:ascii="Arial" w:hAnsi="Arial" w:cs="Arial"/>
          <w:sz w:val="20"/>
          <w:szCs w:val="20"/>
          <w:vertAlign w:val="subscript"/>
        </w:rPr>
        <w:t>BI RATE</w:t>
      </w:r>
    </w:p>
    <w:p w14:paraId="3F17137C" w14:textId="77777777" w:rsidR="006C43D8" w:rsidRPr="007B4B0D" w:rsidRDefault="006C43D8" w:rsidP="006C43D8">
      <w:pPr>
        <w:pStyle w:val="ListParagraph"/>
        <w:spacing w:after="160" w:line="240" w:lineRule="auto"/>
        <w:ind w:left="360"/>
        <w:jc w:val="both"/>
        <w:rPr>
          <w:rFonts w:ascii="Arial" w:hAnsi="Arial" w:cs="Arial"/>
          <w:sz w:val="20"/>
          <w:szCs w:val="20"/>
          <w:vertAlign w:val="subscript"/>
        </w:rPr>
      </w:pPr>
    </w:p>
    <w:p w14:paraId="735362C5"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BI Rate variable is significantly influenced by the FFR variable negatively by -3.12, DJI positively by 2.14, the DJIM variable positively by 3.45, and the variable itself positively by 12.08. It is said to be significant because it has a probability value of less than 0.05.</w:t>
      </w:r>
    </w:p>
    <w:p w14:paraId="610120E4" w14:textId="77777777" w:rsidR="006C43D8" w:rsidRPr="007B4B0D" w:rsidRDefault="006C43D8" w:rsidP="006C43D8">
      <w:pPr>
        <w:pStyle w:val="ListParagraph"/>
        <w:spacing w:line="240" w:lineRule="auto"/>
        <w:ind w:left="360" w:firstLine="720"/>
        <w:rPr>
          <w:rFonts w:ascii="Arial" w:hAnsi="Arial" w:cs="Arial"/>
          <w:sz w:val="20"/>
          <w:szCs w:val="20"/>
        </w:rPr>
      </w:pPr>
    </w:p>
    <w:p w14:paraId="0357B874" w14:textId="35564474" w:rsidR="006C43D8" w:rsidRPr="007B4B0D" w:rsidRDefault="006C43D8" w:rsidP="006C43D8">
      <w:pPr>
        <w:pStyle w:val="ListParagraph"/>
        <w:numPr>
          <w:ilvl w:val="0"/>
          <w:numId w:val="32"/>
        </w:numPr>
        <w:spacing w:after="160" w:line="240" w:lineRule="auto"/>
        <w:ind w:left="360"/>
        <w:jc w:val="both"/>
        <w:rPr>
          <w:rFonts w:ascii="Arial" w:hAnsi="Arial" w:cs="Arial"/>
          <w:sz w:val="20"/>
          <w:szCs w:val="20"/>
          <w:vertAlign w:val="subscript"/>
        </w:rPr>
      </w:pPr>
      <w:r w:rsidRPr="007B4B0D">
        <w:rPr>
          <w:rFonts w:ascii="Arial" w:hAnsi="Arial" w:cs="Arial"/>
          <w:sz w:val="20"/>
          <w:szCs w:val="20"/>
        </w:rPr>
        <w:t>@</w:t>
      </w:r>
      <w:r w:rsidRPr="007B4B0D">
        <w:rPr>
          <w:rFonts w:ascii="Arial" w:hAnsi="Arial" w:cs="Arial"/>
          <w:sz w:val="20"/>
          <w:szCs w:val="20"/>
          <w:vertAlign w:val="superscript"/>
        </w:rPr>
        <w:t>e</w:t>
      </w:r>
      <w:r w:rsidR="00310E8E">
        <w:rPr>
          <w:rFonts w:ascii="Arial" w:hAnsi="Arial" w:cs="Arial"/>
          <w:sz w:val="20"/>
          <w:szCs w:val="20"/>
          <w:vertAlign w:val="subscript"/>
        </w:rPr>
        <w:t xml:space="preserve">EXCHANGE RATE </w:t>
      </w:r>
      <w:proofErr w:type="gramStart"/>
      <w:r w:rsidRPr="007B4B0D">
        <w:rPr>
          <w:rFonts w:ascii="Arial" w:hAnsi="Arial" w:cs="Arial"/>
          <w:sz w:val="20"/>
          <w:szCs w:val="20"/>
        </w:rPr>
        <w:t>=  0.70</w:t>
      </w:r>
      <w:proofErr w:type="gramEnd"/>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 xml:space="preserve">FFR </w:t>
      </w:r>
      <w:r w:rsidRPr="007B4B0D">
        <w:rPr>
          <w:rFonts w:ascii="Arial" w:hAnsi="Arial" w:cs="Arial"/>
          <w:sz w:val="20"/>
          <w:szCs w:val="20"/>
        </w:rPr>
        <w:t>- 0.11@</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+ 0.25@</w:t>
      </w:r>
      <w:r w:rsidRPr="007B4B0D">
        <w:rPr>
          <w:rFonts w:ascii="Arial" w:hAnsi="Arial" w:cs="Arial"/>
          <w:sz w:val="20"/>
          <w:szCs w:val="20"/>
          <w:vertAlign w:val="superscript"/>
        </w:rPr>
        <w:t>e</w:t>
      </w:r>
      <w:r w:rsidRPr="007B4B0D">
        <w:rPr>
          <w:rFonts w:ascii="Arial" w:hAnsi="Arial" w:cs="Arial"/>
          <w:sz w:val="20"/>
          <w:szCs w:val="20"/>
          <w:vertAlign w:val="subscript"/>
        </w:rPr>
        <w:t xml:space="preserve">DJIM </w:t>
      </w:r>
      <w:r w:rsidRPr="007B4B0D">
        <w:rPr>
          <w:rFonts w:ascii="Arial" w:hAnsi="Arial" w:cs="Arial"/>
          <w:sz w:val="20"/>
          <w:szCs w:val="20"/>
        </w:rPr>
        <w:t>+ 0.21@</w:t>
      </w:r>
      <w:r w:rsidRPr="007B4B0D">
        <w:rPr>
          <w:rFonts w:ascii="Arial" w:hAnsi="Arial" w:cs="Arial"/>
          <w:sz w:val="20"/>
          <w:szCs w:val="20"/>
          <w:vertAlign w:val="superscript"/>
        </w:rPr>
        <w:t>e</w:t>
      </w:r>
      <w:r w:rsidRPr="007B4B0D">
        <w:rPr>
          <w:rFonts w:ascii="Arial" w:hAnsi="Arial" w:cs="Arial"/>
          <w:sz w:val="20"/>
          <w:szCs w:val="20"/>
          <w:vertAlign w:val="subscript"/>
        </w:rPr>
        <w:t xml:space="preserve">BI RATE </w:t>
      </w:r>
      <w:r w:rsidRPr="007B4B0D">
        <w:rPr>
          <w:rFonts w:ascii="Arial" w:hAnsi="Arial" w:cs="Arial"/>
          <w:sz w:val="20"/>
          <w:szCs w:val="20"/>
        </w:rPr>
        <w:t>- 0.78@</w:t>
      </w:r>
      <w:r w:rsidRPr="007B4B0D">
        <w:rPr>
          <w:rFonts w:ascii="Arial" w:hAnsi="Arial" w:cs="Arial"/>
          <w:sz w:val="20"/>
          <w:szCs w:val="20"/>
          <w:vertAlign w:val="superscript"/>
        </w:rPr>
        <w:t>u</w:t>
      </w:r>
      <w:r w:rsidR="00310E8E">
        <w:rPr>
          <w:rFonts w:ascii="Arial" w:hAnsi="Arial" w:cs="Arial"/>
          <w:sz w:val="20"/>
          <w:szCs w:val="20"/>
          <w:vertAlign w:val="subscript"/>
        </w:rPr>
        <w:t>EXCHANGE RATE</w:t>
      </w:r>
    </w:p>
    <w:p w14:paraId="574BE3A6" w14:textId="77777777" w:rsidR="006C43D8" w:rsidRPr="007B4B0D" w:rsidRDefault="006C43D8" w:rsidP="006C43D8">
      <w:pPr>
        <w:pStyle w:val="ListParagraph"/>
        <w:spacing w:after="160" w:line="240" w:lineRule="auto"/>
        <w:ind w:left="360"/>
        <w:jc w:val="both"/>
        <w:rPr>
          <w:rFonts w:ascii="Arial" w:hAnsi="Arial" w:cs="Arial"/>
          <w:sz w:val="20"/>
          <w:szCs w:val="20"/>
          <w:vertAlign w:val="subscript"/>
        </w:rPr>
      </w:pPr>
    </w:p>
    <w:p w14:paraId="15694946" w14:textId="06CD6DE8"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 xml:space="preserve">Based on the equation model above, as is well known, the Exchange Rate variable is significantly influenced by the FFR variable positively by 0.70, </w:t>
      </w:r>
      <w:r w:rsidR="00C63C25">
        <w:rPr>
          <w:rFonts w:ascii="Arial" w:hAnsi="Arial" w:cs="Arial"/>
          <w:sz w:val="20"/>
          <w:szCs w:val="20"/>
        </w:rPr>
        <w:t xml:space="preserve">the </w:t>
      </w:r>
      <w:r w:rsidRPr="007B4B0D">
        <w:rPr>
          <w:rFonts w:ascii="Arial" w:hAnsi="Arial" w:cs="Arial"/>
          <w:sz w:val="20"/>
          <w:szCs w:val="20"/>
        </w:rPr>
        <w:t xml:space="preserve">DJI </w:t>
      </w:r>
      <w:r w:rsidR="00C63C25">
        <w:rPr>
          <w:rFonts w:ascii="Arial" w:hAnsi="Arial" w:cs="Arial"/>
          <w:sz w:val="20"/>
          <w:szCs w:val="20"/>
        </w:rPr>
        <w:t xml:space="preserve">variable </w:t>
      </w:r>
      <w:r w:rsidRPr="007B4B0D">
        <w:rPr>
          <w:rFonts w:ascii="Arial" w:hAnsi="Arial" w:cs="Arial"/>
          <w:sz w:val="20"/>
          <w:szCs w:val="20"/>
        </w:rPr>
        <w:t xml:space="preserve">negatively by -0.11, </w:t>
      </w:r>
      <w:r w:rsidR="00C63C25">
        <w:rPr>
          <w:rFonts w:ascii="Arial" w:hAnsi="Arial" w:cs="Arial"/>
          <w:sz w:val="20"/>
          <w:szCs w:val="20"/>
        </w:rPr>
        <w:t xml:space="preserve">the </w:t>
      </w:r>
      <w:r w:rsidRPr="007B4B0D">
        <w:rPr>
          <w:rFonts w:ascii="Arial" w:hAnsi="Arial" w:cs="Arial"/>
          <w:sz w:val="20"/>
          <w:szCs w:val="20"/>
        </w:rPr>
        <w:t xml:space="preserve">DJIM variable positively by 0.25, </w:t>
      </w:r>
      <w:r w:rsidR="00C63C25">
        <w:rPr>
          <w:rFonts w:ascii="Arial" w:hAnsi="Arial" w:cs="Arial"/>
          <w:sz w:val="20"/>
          <w:szCs w:val="20"/>
        </w:rPr>
        <w:t xml:space="preserve">the </w:t>
      </w:r>
      <w:r w:rsidRPr="007B4B0D">
        <w:rPr>
          <w:rFonts w:ascii="Arial" w:hAnsi="Arial" w:cs="Arial"/>
          <w:sz w:val="20"/>
          <w:szCs w:val="20"/>
        </w:rPr>
        <w:t>BI Rate variable positively by 0.21, and the variable itself negatively by -0.78. It is said to be significant because it has a probability value of less than 0.05.</w:t>
      </w:r>
    </w:p>
    <w:p w14:paraId="032CC079" w14:textId="77777777" w:rsidR="006C43D8" w:rsidRPr="007B4B0D" w:rsidRDefault="006C43D8" w:rsidP="006C43D8">
      <w:pPr>
        <w:pStyle w:val="ListParagraph"/>
        <w:spacing w:line="240" w:lineRule="auto"/>
        <w:ind w:left="360" w:firstLine="720"/>
        <w:rPr>
          <w:rFonts w:ascii="Arial" w:hAnsi="Arial" w:cs="Arial"/>
          <w:sz w:val="20"/>
          <w:szCs w:val="20"/>
        </w:rPr>
      </w:pPr>
    </w:p>
    <w:p w14:paraId="66E0A4B7" w14:textId="1112DEC2" w:rsidR="006C43D8" w:rsidRPr="00BA59B6" w:rsidRDefault="006C43D8" w:rsidP="006C43D8">
      <w:pPr>
        <w:pStyle w:val="ListParagraph"/>
        <w:numPr>
          <w:ilvl w:val="0"/>
          <w:numId w:val="32"/>
        </w:numPr>
        <w:spacing w:after="160" w:line="240" w:lineRule="auto"/>
        <w:ind w:left="360"/>
        <w:jc w:val="both"/>
        <w:rPr>
          <w:rFonts w:ascii="Arial" w:hAnsi="Arial" w:cs="Arial"/>
          <w:sz w:val="20"/>
          <w:szCs w:val="20"/>
          <w:vertAlign w:val="subscript"/>
        </w:rPr>
      </w:pPr>
      <w:r w:rsidRPr="007B4B0D">
        <w:rPr>
          <w:rFonts w:ascii="Arial" w:hAnsi="Arial" w:cs="Arial"/>
          <w:sz w:val="20"/>
          <w:szCs w:val="20"/>
        </w:rPr>
        <w:lastRenderedPageBreak/>
        <w:t>@</w:t>
      </w:r>
      <w:r w:rsidRPr="007B4B0D">
        <w:rPr>
          <w:rFonts w:ascii="Arial" w:hAnsi="Arial" w:cs="Arial"/>
          <w:sz w:val="20"/>
          <w:szCs w:val="20"/>
          <w:vertAlign w:val="superscript"/>
        </w:rPr>
        <w:t>e</w:t>
      </w:r>
      <w:r w:rsidRPr="007B4B0D">
        <w:rPr>
          <w:rFonts w:ascii="Arial" w:hAnsi="Arial" w:cs="Arial"/>
          <w:sz w:val="20"/>
          <w:szCs w:val="20"/>
          <w:vertAlign w:val="subscript"/>
        </w:rPr>
        <w:t>INF</w:t>
      </w:r>
      <w:r w:rsidR="00BA59B6">
        <w:rPr>
          <w:rFonts w:ascii="Arial" w:hAnsi="Arial" w:cs="Arial"/>
          <w:sz w:val="20"/>
          <w:szCs w:val="20"/>
          <w:vertAlign w:val="subscript"/>
        </w:rPr>
        <w:t>LATION</w:t>
      </w:r>
      <w:r w:rsidRPr="007B4B0D">
        <w:rPr>
          <w:rFonts w:ascii="Arial" w:hAnsi="Arial" w:cs="Arial"/>
          <w:sz w:val="20"/>
          <w:szCs w:val="20"/>
        </w:rPr>
        <w:t xml:space="preserve"> = -3.93@</w:t>
      </w:r>
      <w:r w:rsidRPr="007B4B0D">
        <w:rPr>
          <w:rFonts w:ascii="Arial" w:hAnsi="Arial" w:cs="Arial"/>
          <w:sz w:val="20"/>
          <w:szCs w:val="20"/>
          <w:vertAlign w:val="superscript"/>
        </w:rPr>
        <w:t>e</w:t>
      </w:r>
      <w:r w:rsidRPr="007B4B0D">
        <w:rPr>
          <w:rFonts w:ascii="Arial" w:hAnsi="Arial" w:cs="Arial"/>
          <w:sz w:val="20"/>
          <w:szCs w:val="20"/>
          <w:vertAlign w:val="subscript"/>
        </w:rPr>
        <w:t>FFR</w:t>
      </w:r>
      <w:r w:rsidRPr="007B4B0D">
        <w:rPr>
          <w:rFonts w:ascii="Arial" w:hAnsi="Arial" w:cs="Arial"/>
          <w:sz w:val="20"/>
          <w:szCs w:val="20"/>
        </w:rPr>
        <w:t> + 1.94@</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+ 3.54@</w:t>
      </w:r>
      <w:r w:rsidRPr="007B4B0D">
        <w:rPr>
          <w:rFonts w:ascii="Arial" w:hAnsi="Arial" w:cs="Arial"/>
          <w:sz w:val="20"/>
          <w:szCs w:val="20"/>
          <w:vertAlign w:val="superscript"/>
        </w:rPr>
        <w:t>e</w:t>
      </w:r>
      <w:r w:rsidRPr="007B4B0D">
        <w:rPr>
          <w:rFonts w:ascii="Arial" w:hAnsi="Arial" w:cs="Arial"/>
          <w:sz w:val="20"/>
          <w:szCs w:val="20"/>
          <w:vertAlign w:val="subscript"/>
        </w:rPr>
        <w:t xml:space="preserve">DJIM </w:t>
      </w:r>
      <w:r w:rsidRPr="007B4B0D">
        <w:rPr>
          <w:rFonts w:ascii="Arial" w:hAnsi="Arial" w:cs="Arial"/>
          <w:sz w:val="20"/>
          <w:szCs w:val="20"/>
        </w:rPr>
        <w:t>- 0.48@</w:t>
      </w:r>
      <w:r w:rsidRPr="007B4B0D">
        <w:rPr>
          <w:rFonts w:ascii="Arial" w:hAnsi="Arial" w:cs="Arial"/>
          <w:sz w:val="20"/>
          <w:szCs w:val="20"/>
          <w:vertAlign w:val="superscript"/>
        </w:rPr>
        <w:t>e</w:t>
      </w:r>
      <w:r w:rsidRPr="007B4B0D">
        <w:rPr>
          <w:rFonts w:ascii="Arial" w:hAnsi="Arial" w:cs="Arial"/>
          <w:sz w:val="20"/>
          <w:szCs w:val="20"/>
          <w:vertAlign w:val="subscript"/>
        </w:rPr>
        <w:t>BI RATE</w:t>
      </w:r>
      <w:r w:rsidRPr="007B4B0D">
        <w:rPr>
          <w:rFonts w:ascii="Arial" w:hAnsi="Arial" w:cs="Arial"/>
          <w:sz w:val="20"/>
          <w:szCs w:val="20"/>
        </w:rPr>
        <w:t> + 2.31@</w:t>
      </w:r>
      <w:r w:rsidRPr="007B4B0D">
        <w:rPr>
          <w:rFonts w:ascii="Arial" w:hAnsi="Arial" w:cs="Arial"/>
          <w:sz w:val="20"/>
          <w:szCs w:val="20"/>
          <w:vertAlign w:val="superscript"/>
        </w:rPr>
        <w:t>e</w:t>
      </w:r>
      <w:r w:rsidR="00BA59B6" w:rsidRPr="00BA59B6">
        <w:rPr>
          <w:rFonts w:ascii="Arial" w:hAnsi="Arial" w:cs="Arial"/>
          <w:sz w:val="20"/>
          <w:szCs w:val="20"/>
          <w:vertAlign w:val="subscript"/>
        </w:rPr>
        <w:t xml:space="preserve"> </w:t>
      </w:r>
      <w:r w:rsidR="00BA59B6">
        <w:rPr>
          <w:rFonts w:ascii="Arial" w:hAnsi="Arial" w:cs="Arial"/>
          <w:sz w:val="20"/>
          <w:szCs w:val="20"/>
          <w:vertAlign w:val="subscript"/>
        </w:rPr>
        <w:t>EXCHANGE RATE</w:t>
      </w:r>
      <w:r w:rsidRPr="007B4B0D">
        <w:rPr>
          <w:rFonts w:ascii="Arial" w:hAnsi="Arial" w:cs="Arial"/>
          <w:sz w:val="20"/>
          <w:szCs w:val="20"/>
          <w:vertAlign w:val="subscript"/>
        </w:rPr>
        <w:t xml:space="preserve"> </w:t>
      </w:r>
      <w:r w:rsidRPr="00BA59B6">
        <w:rPr>
          <w:rFonts w:ascii="Arial" w:hAnsi="Arial" w:cs="Arial"/>
          <w:sz w:val="20"/>
          <w:szCs w:val="20"/>
          <w:vertAlign w:val="subscript"/>
        </w:rPr>
        <w:t xml:space="preserve">- </w:t>
      </w:r>
      <w:hyperlink r:id="rId19" w:history="1">
        <w:r w:rsidR="00BA59B6" w:rsidRPr="00BA59B6">
          <w:rPr>
            <w:rStyle w:val="Hyperlink"/>
            <w:rFonts w:ascii="Arial" w:hAnsi="Arial" w:cs="Arial"/>
            <w:color w:val="auto"/>
            <w:sz w:val="20"/>
            <w:szCs w:val="20"/>
            <w:u w:val="none"/>
          </w:rPr>
          <w:t>8.90@</w:t>
        </w:r>
        <w:r w:rsidR="00BA59B6" w:rsidRPr="00BA59B6">
          <w:rPr>
            <w:rStyle w:val="Hyperlink"/>
            <w:rFonts w:ascii="Arial" w:hAnsi="Arial" w:cs="Arial"/>
            <w:color w:val="auto"/>
            <w:sz w:val="20"/>
            <w:szCs w:val="20"/>
            <w:u w:val="none"/>
            <w:vertAlign w:val="superscript"/>
          </w:rPr>
          <w:t>u</w:t>
        </w:r>
        <w:r w:rsidR="00BA59B6" w:rsidRPr="00BA59B6">
          <w:rPr>
            <w:rStyle w:val="Hyperlink"/>
            <w:rFonts w:ascii="Arial" w:hAnsi="Arial" w:cs="Arial"/>
            <w:color w:val="auto"/>
            <w:sz w:val="20"/>
            <w:szCs w:val="20"/>
            <w:u w:val="none"/>
            <w:vertAlign w:val="subscript"/>
          </w:rPr>
          <w:t>INFLATION</w:t>
        </w:r>
      </w:hyperlink>
    </w:p>
    <w:p w14:paraId="22B453F0" w14:textId="77777777" w:rsidR="00BA59B6" w:rsidRPr="007B4B0D" w:rsidRDefault="00BA59B6" w:rsidP="00BA59B6">
      <w:pPr>
        <w:pStyle w:val="ListParagraph"/>
        <w:spacing w:after="160" w:line="240" w:lineRule="auto"/>
        <w:ind w:left="360"/>
        <w:jc w:val="both"/>
        <w:rPr>
          <w:rStyle w:val="Hyperlink"/>
          <w:rFonts w:ascii="Arial" w:hAnsi="Arial" w:cs="Arial"/>
          <w:color w:val="auto"/>
          <w:sz w:val="20"/>
          <w:szCs w:val="20"/>
          <w:u w:val="none"/>
          <w:vertAlign w:val="subscript"/>
        </w:rPr>
      </w:pPr>
    </w:p>
    <w:p w14:paraId="531BFA9D" w14:textId="43CBBDA4"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 xml:space="preserve">Based on the equation model above, as is well known, the Inflation variable is significantly influenced by the FFR variable negatively by -3.93, </w:t>
      </w:r>
      <w:r w:rsidR="00C63C25">
        <w:rPr>
          <w:rFonts w:ascii="Arial" w:hAnsi="Arial" w:cs="Arial"/>
          <w:sz w:val="20"/>
          <w:szCs w:val="20"/>
        </w:rPr>
        <w:t xml:space="preserve">the </w:t>
      </w:r>
      <w:r w:rsidRPr="007B4B0D">
        <w:rPr>
          <w:rFonts w:ascii="Arial" w:hAnsi="Arial" w:cs="Arial"/>
          <w:sz w:val="20"/>
          <w:szCs w:val="20"/>
        </w:rPr>
        <w:t xml:space="preserve">DJI positively by 1.94, </w:t>
      </w:r>
      <w:r w:rsidR="00C63C25">
        <w:rPr>
          <w:rFonts w:ascii="Arial" w:hAnsi="Arial" w:cs="Arial"/>
          <w:sz w:val="20"/>
          <w:szCs w:val="20"/>
        </w:rPr>
        <w:t xml:space="preserve">the </w:t>
      </w:r>
      <w:r w:rsidRPr="007B4B0D">
        <w:rPr>
          <w:rFonts w:ascii="Arial" w:hAnsi="Arial" w:cs="Arial"/>
          <w:sz w:val="20"/>
          <w:szCs w:val="20"/>
        </w:rPr>
        <w:t xml:space="preserve">DJIM variable positively by 3.54, </w:t>
      </w:r>
      <w:r w:rsidR="00C63C25">
        <w:rPr>
          <w:rFonts w:ascii="Arial" w:hAnsi="Arial" w:cs="Arial"/>
          <w:sz w:val="20"/>
          <w:szCs w:val="20"/>
        </w:rPr>
        <w:t xml:space="preserve">the </w:t>
      </w:r>
      <w:r w:rsidRPr="007B4B0D">
        <w:rPr>
          <w:rFonts w:ascii="Arial" w:hAnsi="Arial" w:cs="Arial"/>
          <w:sz w:val="20"/>
          <w:szCs w:val="20"/>
        </w:rPr>
        <w:t xml:space="preserve">BI Rate variable negatively by -0.48, </w:t>
      </w:r>
      <w:r w:rsidR="00C63C25">
        <w:rPr>
          <w:rFonts w:ascii="Arial" w:hAnsi="Arial" w:cs="Arial"/>
          <w:sz w:val="20"/>
          <w:szCs w:val="20"/>
        </w:rPr>
        <w:t xml:space="preserve">the </w:t>
      </w:r>
      <w:r w:rsidRPr="007B4B0D">
        <w:rPr>
          <w:rFonts w:ascii="Arial" w:hAnsi="Arial" w:cs="Arial"/>
          <w:sz w:val="20"/>
          <w:szCs w:val="20"/>
        </w:rPr>
        <w:t>exchange rate variable positively by 2.31, and the variable itself negatively by -8.90. It is said to be significant because it has a probability value of less than 0.05.</w:t>
      </w:r>
    </w:p>
    <w:p w14:paraId="736A4CB9"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500E406E" w14:textId="3E8D2B65" w:rsidR="006C43D8" w:rsidRPr="007B4B0D" w:rsidRDefault="006C43D8" w:rsidP="006C43D8">
      <w:pPr>
        <w:pStyle w:val="ListParagraph"/>
        <w:numPr>
          <w:ilvl w:val="0"/>
          <w:numId w:val="32"/>
        </w:numPr>
        <w:spacing w:after="160" w:line="240" w:lineRule="auto"/>
        <w:ind w:left="360"/>
        <w:jc w:val="both"/>
        <w:rPr>
          <w:rFonts w:ascii="Arial" w:hAnsi="Arial" w:cs="Arial"/>
          <w:sz w:val="20"/>
          <w:szCs w:val="20"/>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IP GROWTH</w:t>
      </w:r>
      <w:r w:rsidRPr="007B4B0D">
        <w:rPr>
          <w:rFonts w:ascii="Arial" w:hAnsi="Arial" w:cs="Arial"/>
          <w:sz w:val="20"/>
          <w:szCs w:val="20"/>
        </w:rPr>
        <w:t xml:space="preserve"> </w:t>
      </w:r>
      <w:proofErr w:type="gramStart"/>
      <w:r w:rsidRPr="007B4B0D">
        <w:rPr>
          <w:rFonts w:ascii="Arial" w:hAnsi="Arial" w:cs="Arial"/>
          <w:sz w:val="20"/>
          <w:szCs w:val="20"/>
        </w:rPr>
        <w:t>=  52.37</w:t>
      </w:r>
      <w:proofErr w:type="gramEnd"/>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FFR</w:t>
      </w:r>
      <w:r w:rsidRPr="007B4B0D">
        <w:rPr>
          <w:rFonts w:ascii="Arial" w:hAnsi="Arial" w:cs="Arial"/>
          <w:sz w:val="20"/>
          <w:szCs w:val="20"/>
        </w:rPr>
        <w:t> - 16.62@</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5.31@</w:t>
      </w:r>
      <w:r w:rsidRPr="007B4B0D">
        <w:rPr>
          <w:rFonts w:ascii="Arial" w:hAnsi="Arial" w:cs="Arial"/>
          <w:sz w:val="20"/>
          <w:szCs w:val="20"/>
          <w:vertAlign w:val="superscript"/>
        </w:rPr>
        <w:t>e</w:t>
      </w:r>
      <w:r w:rsidRPr="007B4B0D">
        <w:rPr>
          <w:rFonts w:ascii="Arial" w:hAnsi="Arial" w:cs="Arial"/>
          <w:sz w:val="20"/>
          <w:szCs w:val="20"/>
          <w:vertAlign w:val="subscript"/>
        </w:rPr>
        <w:t xml:space="preserve">DJIM </w:t>
      </w:r>
      <w:r w:rsidRPr="007B4B0D">
        <w:rPr>
          <w:rFonts w:ascii="Arial" w:hAnsi="Arial" w:cs="Arial"/>
          <w:sz w:val="20"/>
          <w:szCs w:val="20"/>
        </w:rPr>
        <w:t>+ 4.18@</w:t>
      </w:r>
      <w:r w:rsidRPr="007B4B0D">
        <w:rPr>
          <w:rFonts w:ascii="Arial" w:hAnsi="Arial" w:cs="Arial"/>
          <w:sz w:val="20"/>
          <w:szCs w:val="20"/>
          <w:vertAlign w:val="superscript"/>
        </w:rPr>
        <w:t>e</w:t>
      </w:r>
      <w:r w:rsidRPr="007B4B0D">
        <w:rPr>
          <w:rFonts w:ascii="Arial" w:hAnsi="Arial" w:cs="Arial"/>
          <w:sz w:val="20"/>
          <w:szCs w:val="20"/>
          <w:vertAlign w:val="subscript"/>
        </w:rPr>
        <w:t>BI RATE</w:t>
      </w:r>
      <w:r w:rsidRPr="007B4B0D">
        <w:rPr>
          <w:rFonts w:ascii="Arial" w:hAnsi="Arial" w:cs="Arial"/>
          <w:sz w:val="20"/>
          <w:szCs w:val="20"/>
        </w:rPr>
        <w:t> </w:t>
      </w:r>
      <w:r w:rsidRPr="007B4B0D">
        <w:rPr>
          <w:rFonts w:ascii="Arial" w:hAnsi="Arial" w:cs="Arial"/>
          <w:b/>
          <w:bCs/>
          <w:sz w:val="20"/>
          <w:szCs w:val="20"/>
        </w:rPr>
        <w:t>+ 1.25@</w:t>
      </w:r>
      <w:r w:rsidRPr="007B4B0D">
        <w:rPr>
          <w:rFonts w:ascii="Arial" w:hAnsi="Arial" w:cs="Arial"/>
          <w:b/>
          <w:bCs/>
          <w:sz w:val="20"/>
          <w:szCs w:val="20"/>
          <w:vertAlign w:val="superscript"/>
        </w:rPr>
        <w:t>e</w:t>
      </w:r>
      <w:r w:rsidR="00BA59B6">
        <w:rPr>
          <w:rFonts w:ascii="Arial" w:hAnsi="Arial" w:cs="Arial"/>
          <w:sz w:val="20"/>
          <w:szCs w:val="20"/>
          <w:vertAlign w:val="subscript"/>
        </w:rPr>
        <w:t>EXCHANGE RATE</w:t>
      </w:r>
      <w:r w:rsidRPr="007B4B0D">
        <w:rPr>
          <w:rFonts w:ascii="Arial" w:hAnsi="Arial" w:cs="Arial"/>
          <w:sz w:val="20"/>
          <w:szCs w:val="20"/>
          <w:vertAlign w:val="subscript"/>
        </w:rPr>
        <w:t xml:space="preserve"> </w:t>
      </w:r>
      <w:r w:rsidRPr="007B4B0D">
        <w:rPr>
          <w:rFonts w:ascii="Arial" w:hAnsi="Arial" w:cs="Arial"/>
          <w:sz w:val="20"/>
          <w:szCs w:val="20"/>
        </w:rPr>
        <w:t> + 9.03@</w:t>
      </w:r>
      <w:r w:rsidRPr="007B4B0D">
        <w:rPr>
          <w:rFonts w:ascii="Arial" w:hAnsi="Arial" w:cs="Arial"/>
          <w:sz w:val="20"/>
          <w:szCs w:val="20"/>
          <w:vertAlign w:val="superscript"/>
        </w:rPr>
        <w:t>e</w:t>
      </w:r>
      <w:r w:rsidRPr="007B4B0D">
        <w:rPr>
          <w:rFonts w:ascii="Arial" w:hAnsi="Arial" w:cs="Arial"/>
          <w:sz w:val="20"/>
          <w:szCs w:val="20"/>
          <w:vertAlign w:val="subscript"/>
        </w:rPr>
        <w:t>INFLA</w:t>
      </w:r>
      <w:r w:rsidR="00BA59B6">
        <w:rPr>
          <w:rFonts w:ascii="Arial" w:hAnsi="Arial" w:cs="Arial"/>
          <w:sz w:val="20"/>
          <w:szCs w:val="20"/>
          <w:vertAlign w:val="subscript"/>
        </w:rPr>
        <w:t>TION</w:t>
      </w:r>
      <w:r w:rsidRPr="007B4B0D">
        <w:rPr>
          <w:rFonts w:ascii="Arial" w:hAnsi="Arial" w:cs="Arial"/>
          <w:sz w:val="20"/>
          <w:szCs w:val="20"/>
          <w:vertAlign w:val="subscript"/>
        </w:rPr>
        <w:t xml:space="preserve"> </w:t>
      </w:r>
      <w:r w:rsidRPr="007B4B0D">
        <w:rPr>
          <w:rFonts w:ascii="Arial" w:hAnsi="Arial" w:cs="Arial"/>
          <w:sz w:val="20"/>
          <w:szCs w:val="20"/>
        </w:rPr>
        <w:t>+  96.21@</w:t>
      </w:r>
      <w:r w:rsidRPr="007B4B0D">
        <w:rPr>
          <w:rFonts w:ascii="Arial" w:hAnsi="Arial" w:cs="Arial"/>
          <w:sz w:val="20"/>
          <w:szCs w:val="20"/>
          <w:vertAlign w:val="superscript"/>
        </w:rPr>
        <w:t>u</w:t>
      </w:r>
      <w:r w:rsidRPr="007B4B0D">
        <w:rPr>
          <w:rFonts w:ascii="Arial" w:hAnsi="Arial" w:cs="Arial"/>
          <w:sz w:val="20"/>
          <w:szCs w:val="20"/>
          <w:vertAlign w:val="subscript"/>
        </w:rPr>
        <w:t>IP GROWTH</w:t>
      </w:r>
    </w:p>
    <w:p w14:paraId="4DCA931A" w14:textId="77777777" w:rsidR="006C43D8" w:rsidRPr="007B4B0D" w:rsidRDefault="006C43D8" w:rsidP="006C43D8">
      <w:pPr>
        <w:pStyle w:val="ListParagraph"/>
        <w:spacing w:after="160" w:line="240" w:lineRule="auto"/>
        <w:ind w:left="360"/>
        <w:jc w:val="both"/>
        <w:rPr>
          <w:rFonts w:ascii="Arial" w:hAnsi="Arial" w:cs="Arial"/>
          <w:sz w:val="20"/>
          <w:szCs w:val="20"/>
          <w:vertAlign w:val="subscript"/>
        </w:rPr>
      </w:pPr>
    </w:p>
    <w:p w14:paraId="6F7A2FCC" w14:textId="09A7F93B"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 xml:space="preserve">Based on the equation model above, </w:t>
      </w:r>
      <w:r w:rsidR="00C63C25">
        <w:rPr>
          <w:rFonts w:ascii="Arial" w:hAnsi="Arial" w:cs="Arial"/>
          <w:sz w:val="20"/>
          <w:szCs w:val="20"/>
        </w:rPr>
        <w:t>as</w:t>
      </w:r>
      <w:r w:rsidRPr="007B4B0D">
        <w:rPr>
          <w:rFonts w:ascii="Arial" w:hAnsi="Arial" w:cs="Arial"/>
          <w:sz w:val="20"/>
          <w:szCs w:val="20"/>
        </w:rPr>
        <w:t xml:space="preserve"> is well known, the IP Growth variable is significantly influenced by the FFR variable positively by 52.37, the DJI negatively by -16.62, the DJIM variable positively by 5.31, the BI Rate variable positively by 4.18, the inflation variable positively by 9.03</w:t>
      </w:r>
      <w:r w:rsidR="00C63C25">
        <w:rPr>
          <w:rFonts w:ascii="Arial" w:hAnsi="Arial" w:cs="Arial"/>
          <w:sz w:val="20"/>
          <w:szCs w:val="20"/>
        </w:rPr>
        <w:t>,</w:t>
      </w:r>
      <w:r w:rsidRPr="007B4B0D">
        <w:rPr>
          <w:rFonts w:ascii="Arial" w:hAnsi="Arial" w:cs="Arial"/>
          <w:sz w:val="20"/>
          <w:szCs w:val="20"/>
        </w:rPr>
        <w:t xml:space="preserve"> and the variable itself positively by 96.21. It is said to be significant because it has a probability value of less than 0.05. From the equation model, it is known that the exchange rate does not affect the IP Growth variable because it has a probability value of more than 0.05, which is 0.08.</w:t>
      </w:r>
    </w:p>
    <w:p w14:paraId="3D889FC4"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3D660961" w14:textId="2CA4A189" w:rsidR="006C43D8" w:rsidRPr="007B4B0D" w:rsidRDefault="006C43D8" w:rsidP="006C43D8">
      <w:pPr>
        <w:pStyle w:val="ListParagraph"/>
        <w:numPr>
          <w:ilvl w:val="0"/>
          <w:numId w:val="32"/>
        </w:numPr>
        <w:spacing w:after="160" w:line="240" w:lineRule="auto"/>
        <w:ind w:left="360"/>
        <w:jc w:val="both"/>
        <w:rPr>
          <w:rStyle w:val="Hyperlink"/>
          <w:rFonts w:ascii="Arial" w:hAnsi="Arial" w:cs="Arial"/>
          <w:color w:val="auto"/>
          <w:sz w:val="20"/>
          <w:szCs w:val="20"/>
          <w:u w:val="none"/>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JII</w:t>
      </w:r>
      <w:r w:rsidRPr="007B4B0D">
        <w:rPr>
          <w:rFonts w:ascii="Arial" w:hAnsi="Arial" w:cs="Arial"/>
          <w:sz w:val="20"/>
          <w:szCs w:val="20"/>
        </w:rPr>
        <w:t xml:space="preserve"> = 0.16@</w:t>
      </w:r>
      <w:r w:rsidRPr="007B4B0D">
        <w:rPr>
          <w:rFonts w:ascii="Arial" w:hAnsi="Arial" w:cs="Arial"/>
          <w:sz w:val="20"/>
          <w:szCs w:val="20"/>
          <w:vertAlign w:val="superscript"/>
        </w:rPr>
        <w:t>e</w:t>
      </w:r>
      <w:r w:rsidRPr="007B4B0D">
        <w:rPr>
          <w:rFonts w:ascii="Arial" w:hAnsi="Arial" w:cs="Arial"/>
          <w:sz w:val="20"/>
          <w:szCs w:val="20"/>
          <w:vertAlign w:val="subscript"/>
        </w:rPr>
        <w:t>FFR</w:t>
      </w:r>
      <w:r w:rsidRPr="007B4B0D">
        <w:rPr>
          <w:rFonts w:ascii="Arial" w:hAnsi="Arial" w:cs="Arial"/>
          <w:sz w:val="20"/>
          <w:szCs w:val="20"/>
        </w:rPr>
        <w:t> - 0.51@</w:t>
      </w:r>
      <w:r w:rsidRPr="007B4B0D">
        <w:rPr>
          <w:rFonts w:ascii="Arial" w:hAnsi="Arial" w:cs="Arial"/>
          <w:sz w:val="20"/>
          <w:szCs w:val="20"/>
          <w:vertAlign w:val="superscript"/>
        </w:rPr>
        <w:t>e</w:t>
      </w:r>
      <w:r w:rsidRPr="007B4B0D">
        <w:rPr>
          <w:rFonts w:ascii="Arial" w:hAnsi="Arial" w:cs="Arial"/>
          <w:sz w:val="20"/>
          <w:szCs w:val="20"/>
          <w:vertAlign w:val="subscript"/>
        </w:rPr>
        <w:t xml:space="preserve">DJI </w:t>
      </w:r>
      <w:r w:rsidRPr="007B4B0D">
        <w:rPr>
          <w:rFonts w:ascii="Arial" w:hAnsi="Arial" w:cs="Arial"/>
          <w:sz w:val="20"/>
          <w:szCs w:val="20"/>
        </w:rPr>
        <w:t>+ 0.24@</w:t>
      </w:r>
      <w:r w:rsidRPr="007B4B0D">
        <w:rPr>
          <w:rFonts w:ascii="Arial" w:hAnsi="Arial" w:cs="Arial"/>
          <w:sz w:val="20"/>
          <w:szCs w:val="20"/>
          <w:vertAlign w:val="superscript"/>
        </w:rPr>
        <w:t>e</w:t>
      </w:r>
      <w:r w:rsidRPr="007B4B0D">
        <w:rPr>
          <w:rFonts w:ascii="Arial" w:hAnsi="Arial" w:cs="Arial"/>
          <w:sz w:val="20"/>
          <w:szCs w:val="20"/>
          <w:vertAlign w:val="subscript"/>
        </w:rPr>
        <w:t xml:space="preserve">DJIM </w:t>
      </w:r>
      <w:r w:rsidRPr="007B4B0D">
        <w:rPr>
          <w:rFonts w:ascii="Arial" w:hAnsi="Arial" w:cs="Arial"/>
          <w:sz w:val="20"/>
          <w:szCs w:val="20"/>
        </w:rPr>
        <w:t>+ 0.05@</w:t>
      </w:r>
      <w:r w:rsidRPr="007B4B0D">
        <w:rPr>
          <w:rFonts w:ascii="Arial" w:hAnsi="Arial" w:cs="Arial"/>
          <w:sz w:val="20"/>
          <w:szCs w:val="20"/>
          <w:vertAlign w:val="superscript"/>
        </w:rPr>
        <w:t>e</w:t>
      </w:r>
      <w:r w:rsidRPr="007B4B0D">
        <w:rPr>
          <w:rFonts w:ascii="Arial" w:hAnsi="Arial" w:cs="Arial"/>
          <w:sz w:val="20"/>
          <w:szCs w:val="20"/>
          <w:vertAlign w:val="subscript"/>
        </w:rPr>
        <w:t>BI RATE</w:t>
      </w:r>
      <w:r w:rsidRPr="007B4B0D">
        <w:rPr>
          <w:rFonts w:ascii="Arial" w:hAnsi="Arial" w:cs="Arial"/>
          <w:sz w:val="20"/>
          <w:szCs w:val="20"/>
        </w:rPr>
        <w:t> + 0.06@</w:t>
      </w:r>
      <w:r w:rsidRPr="007B4B0D">
        <w:rPr>
          <w:rFonts w:ascii="Arial" w:hAnsi="Arial" w:cs="Arial"/>
          <w:sz w:val="20"/>
          <w:szCs w:val="20"/>
          <w:vertAlign w:val="superscript"/>
        </w:rPr>
        <w:t>e</w:t>
      </w:r>
      <w:r w:rsidR="00BA59B6">
        <w:rPr>
          <w:rFonts w:ascii="Arial" w:hAnsi="Arial" w:cs="Arial"/>
          <w:sz w:val="20"/>
          <w:szCs w:val="20"/>
          <w:vertAlign w:val="subscript"/>
        </w:rPr>
        <w:t xml:space="preserve">EXCHANGE </w:t>
      </w:r>
      <w:proofErr w:type="gramStart"/>
      <w:r w:rsidR="00BA59B6">
        <w:rPr>
          <w:rFonts w:ascii="Arial" w:hAnsi="Arial" w:cs="Arial"/>
          <w:sz w:val="20"/>
          <w:szCs w:val="20"/>
          <w:vertAlign w:val="subscript"/>
        </w:rPr>
        <w:t>RATE</w:t>
      </w:r>
      <w:r w:rsidRPr="007B4B0D">
        <w:rPr>
          <w:rFonts w:ascii="Arial" w:hAnsi="Arial" w:cs="Arial"/>
          <w:sz w:val="20"/>
          <w:szCs w:val="20"/>
          <w:vertAlign w:val="subscript"/>
        </w:rPr>
        <w:t xml:space="preserve"> </w:t>
      </w:r>
      <w:r w:rsidRPr="007B4B0D">
        <w:rPr>
          <w:rFonts w:ascii="Arial" w:hAnsi="Arial" w:cs="Arial"/>
          <w:sz w:val="20"/>
          <w:szCs w:val="20"/>
        </w:rPr>
        <w:t> </w:t>
      </w:r>
      <w:r w:rsidRPr="007B4B0D">
        <w:rPr>
          <w:rFonts w:ascii="Arial" w:hAnsi="Arial" w:cs="Arial"/>
          <w:b/>
          <w:bCs/>
          <w:sz w:val="20"/>
          <w:szCs w:val="20"/>
        </w:rPr>
        <w:t>+</w:t>
      </w:r>
      <w:proofErr w:type="gramEnd"/>
      <w:r w:rsidRPr="007B4B0D">
        <w:rPr>
          <w:rFonts w:ascii="Arial" w:hAnsi="Arial" w:cs="Arial"/>
          <w:b/>
          <w:bCs/>
          <w:sz w:val="20"/>
          <w:szCs w:val="20"/>
        </w:rPr>
        <w:t xml:space="preserve"> 0.01@</w:t>
      </w:r>
      <w:r w:rsidRPr="007B4B0D">
        <w:rPr>
          <w:rFonts w:ascii="Arial" w:hAnsi="Arial" w:cs="Arial"/>
          <w:b/>
          <w:bCs/>
          <w:sz w:val="20"/>
          <w:szCs w:val="20"/>
          <w:vertAlign w:val="superscript"/>
        </w:rPr>
        <w:t>e</w:t>
      </w:r>
      <w:r w:rsidRPr="007B4B0D">
        <w:rPr>
          <w:rFonts w:ascii="Arial" w:hAnsi="Arial" w:cs="Arial"/>
          <w:b/>
          <w:bCs/>
          <w:sz w:val="20"/>
          <w:szCs w:val="20"/>
          <w:vertAlign w:val="subscript"/>
        </w:rPr>
        <w:t>INFLA</w:t>
      </w:r>
      <w:r w:rsidR="00BA59B6">
        <w:rPr>
          <w:rFonts w:ascii="Arial" w:hAnsi="Arial" w:cs="Arial"/>
          <w:b/>
          <w:bCs/>
          <w:sz w:val="20"/>
          <w:szCs w:val="20"/>
          <w:vertAlign w:val="subscript"/>
        </w:rPr>
        <w:t>TION</w:t>
      </w:r>
      <w:r w:rsidRPr="007B4B0D">
        <w:rPr>
          <w:rFonts w:ascii="Arial" w:hAnsi="Arial" w:cs="Arial"/>
          <w:sz w:val="20"/>
          <w:szCs w:val="20"/>
          <w:vertAlign w:val="subscript"/>
        </w:rPr>
        <w:t xml:space="preserve"> </w:t>
      </w:r>
      <w:r w:rsidRPr="007B4B0D">
        <w:rPr>
          <w:rFonts w:ascii="Arial" w:hAnsi="Arial" w:cs="Arial"/>
          <w:sz w:val="20"/>
          <w:szCs w:val="20"/>
        </w:rPr>
        <w:t>+  0.12@</w:t>
      </w:r>
      <w:r w:rsidRPr="007B4B0D">
        <w:rPr>
          <w:rFonts w:ascii="Arial" w:hAnsi="Arial" w:cs="Arial"/>
          <w:sz w:val="20"/>
          <w:szCs w:val="20"/>
          <w:vertAlign w:val="superscript"/>
        </w:rPr>
        <w:t>e</w:t>
      </w:r>
      <w:r w:rsidRPr="007B4B0D">
        <w:rPr>
          <w:rFonts w:ascii="Arial" w:hAnsi="Arial" w:cs="Arial"/>
          <w:sz w:val="20"/>
          <w:szCs w:val="20"/>
          <w:vertAlign w:val="subscript"/>
        </w:rPr>
        <w:t xml:space="preserve">IP GROWTH </w:t>
      </w:r>
      <w:r w:rsidRPr="007B4B0D">
        <w:rPr>
          <w:rFonts w:ascii="Arial" w:hAnsi="Arial" w:cs="Arial"/>
          <w:sz w:val="20"/>
          <w:szCs w:val="20"/>
        </w:rPr>
        <w:t xml:space="preserve">- </w:t>
      </w:r>
      <w:hyperlink r:id="rId20" w:history="1">
        <w:r w:rsidRPr="007B4B0D">
          <w:rPr>
            <w:rStyle w:val="Hyperlink"/>
            <w:rFonts w:ascii="Arial" w:hAnsi="Arial" w:cs="Arial"/>
            <w:color w:val="auto"/>
            <w:sz w:val="20"/>
            <w:szCs w:val="20"/>
            <w:u w:val="none"/>
          </w:rPr>
          <w:t>3.11@</w:t>
        </w:r>
        <w:r w:rsidRPr="007B4B0D">
          <w:rPr>
            <w:rStyle w:val="Hyperlink"/>
            <w:rFonts w:ascii="Arial" w:hAnsi="Arial" w:cs="Arial"/>
            <w:color w:val="auto"/>
            <w:sz w:val="20"/>
            <w:szCs w:val="20"/>
            <w:u w:val="none"/>
            <w:vertAlign w:val="superscript"/>
          </w:rPr>
          <w:t>u</w:t>
        </w:r>
        <w:r w:rsidRPr="007B4B0D">
          <w:rPr>
            <w:rStyle w:val="Hyperlink"/>
            <w:rFonts w:ascii="Arial" w:hAnsi="Arial" w:cs="Arial"/>
            <w:color w:val="auto"/>
            <w:sz w:val="20"/>
            <w:szCs w:val="20"/>
            <w:u w:val="none"/>
            <w:vertAlign w:val="subscript"/>
          </w:rPr>
          <w:t>JII</w:t>
        </w:r>
      </w:hyperlink>
    </w:p>
    <w:p w14:paraId="0E82ACA7" w14:textId="77777777" w:rsidR="006C43D8" w:rsidRPr="007B4B0D" w:rsidRDefault="006C43D8" w:rsidP="006C43D8">
      <w:pPr>
        <w:pStyle w:val="ListParagraph"/>
        <w:spacing w:line="240" w:lineRule="auto"/>
        <w:ind w:left="360" w:firstLine="720"/>
        <w:rPr>
          <w:rFonts w:ascii="Arial" w:hAnsi="Arial" w:cs="Arial"/>
          <w:sz w:val="20"/>
          <w:szCs w:val="20"/>
        </w:rPr>
      </w:pPr>
    </w:p>
    <w:p w14:paraId="4626310C" w14:textId="4066DE3D"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 xml:space="preserve">Based on the equation model above, </w:t>
      </w:r>
      <w:r w:rsidR="00C63C25">
        <w:rPr>
          <w:rFonts w:ascii="Arial" w:hAnsi="Arial" w:cs="Arial"/>
          <w:sz w:val="20"/>
          <w:szCs w:val="20"/>
        </w:rPr>
        <w:t>as</w:t>
      </w:r>
      <w:r w:rsidRPr="007B4B0D">
        <w:rPr>
          <w:rFonts w:ascii="Arial" w:hAnsi="Arial" w:cs="Arial"/>
          <w:sz w:val="20"/>
          <w:szCs w:val="20"/>
        </w:rPr>
        <w:t xml:space="preserve"> is well known, the JII variable is significantly influenced by the FFR variable positively by 0.16, </w:t>
      </w:r>
      <w:r w:rsidR="00C63C25">
        <w:rPr>
          <w:rFonts w:ascii="Arial" w:hAnsi="Arial" w:cs="Arial"/>
          <w:sz w:val="20"/>
          <w:szCs w:val="20"/>
        </w:rPr>
        <w:t xml:space="preserve">the </w:t>
      </w:r>
      <w:r w:rsidRPr="007B4B0D">
        <w:rPr>
          <w:rFonts w:ascii="Arial" w:hAnsi="Arial" w:cs="Arial"/>
          <w:sz w:val="20"/>
          <w:szCs w:val="20"/>
        </w:rPr>
        <w:t xml:space="preserve">DJI </w:t>
      </w:r>
      <w:r w:rsidR="00C63C25">
        <w:rPr>
          <w:rFonts w:ascii="Arial" w:hAnsi="Arial" w:cs="Arial"/>
          <w:sz w:val="20"/>
          <w:szCs w:val="20"/>
        </w:rPr>
        <w:t xml:space="preserve">variable </w:t>
      </w:r>
      <w:r w:rsidRPr="007B4B0D">
        <w:rPr>
          <w:rFonts w:ascii="Arial" w:hAnsi="Arial" w:cs="Arial"/>
          <w:sz w:val="20"/>
          <w:szCs w:val="20"/>
        </w:rPr>
        <w:t xml:space="preserve">negatively by -0.51, </w:t>
      </w:r>
      <w:r w:rsidR="00C63C25">
        <w:rPr>
          <w:rFonts w:ascii="Arial" w:hAnsi="Arial" w:cs="Arial"/>
          <w:sz w:val="20"/>
          <w:szCs w:val="20"/>
        </w:rPr>
        <w:t xml:space="preserve">the </w:t>
      </w:r>
      <w:r w:rsidRPr="007B4B0D">
        <w:rPr>
          <w:rFonts w:ascii="Arial" w:hAnsi="Arial" w:cs="Arial"/>
          <w:sz w:val="20"/>
          <w:szCs w:val="20"/>
        </w:rPr>
        <w:t xml:space="preserve">DJIM variable positively by 0.24, </w:t>
      </w:r>
      <w:r w:rsidR="00C63C25">
        <w:rPr>
          <w:rFonts w:ascii="Arial" w:hAnsi="Arial" w:cs="Arial"/>
          <w:sz w:val="20"/>
          <w:szCs w:val="20"/>
        </w:rPr>
        <w:t xml:space="preserve">the </w:t>
      </w:r>
      <w:r w:rsidRPr="007B4B0D">
        <w:rPr>
          <w:rFonts w:ascii="Arial" w:hAnsi="Arial" w:cs="Arial"/>
          <w:sz w:val="20"/>
          <w:szCs w:val="20"/>
        </w:rPr>
        <w:t xml:space="preserve">BI Rate variable positively by 0.05, </w:t>
      </w:r>
      <w:r w:rsidR="00C63C25">
        <w:rPr>
          <w:rFonts w:ascii="Arial" w:hAnsi="Arial" w:cs="Arial"/>
          <w:sz w:val="20"/>
          <w:szCs w:val="20"/>
        </w:rPr>
        <w:t xml:space="preserve">the </w:t>
      </w:r>
      <w:r w:rsidRPr="007B4B0D">
        <w:rPr>
          <w:rFonts w:ascii="Arial" w:hAnsi="Arial" w:cs="Arial"/>
          <w:sz w:val="20"/>
          <w:szCs w:val="20"/>
        </w:rPr>
        <w:t xml:space="preserve">exchange rate variable positively by 0.06, </w:t>
      </w:r>
      <w:r w:rsidR="00C63C25">
        <w:rPr>
          <w:rFonts w:ascii="Arial" w:hAnsi="Arial" w:cs="Arial"/>
          <w:sz w:val="20"/>
          <w:szCs w:val="20"/>
        </w:rPr>
        <w:t xml:space="preserve">the </w:t>
      </w:r>
      <w:r w:rsidRPr="007B4B0D">
        <w:rPr>
          <w:rFonts w:ascii="Arial" w:hAnsi="Arial" w:cs="Arial"/>
          <w:sz w:val="20"/>
          <w:szCs w:val="20"/>
        </w:rPr>
        <w:t>IP Growth variable by 0.12 and the variable itself negatively by -3.11. It is said to be significant because it has a probability value of less than 0.05. From the equation model, it is known that inflation does not affect the JII variable because it has a probability value of more than 0.05, which is 0.17.</w:t>
      </w:r>
    </w:p>
    <w:p w14:paraId="423483E8" w14:textId="77777777" w:rsidR="006C43D8" w:rsidRPr="007B4B0D" w:rsidRDefault="006C43D8" w:rsidP="006C43D8">
      <w:pPr>
        <w:pStyle w:val="ListParagraph"/>
        <w:spacing w:after="160" w:line="240" w:lineRule="auto"/>
        <w:ind w:left="360"/>
        <w:jc w:val="both"/>
        <w:rPr>
          <w:rFonts w:ascii="Arial" w:hAnsi="Arial" w:cs="Arial"/>
          <w:sz w:val="20"/>
          <w:szCs w:val="20"/>
        </w:rPr>
      </w:pPr>
    </w:p>
    <w:p w14:paraId="73B5405B" w14:textId="4347C42D" w:rsidR="006C43D8" w:rsidRPr="007B4B0D" w:rsidRDefault="006C43D8" w:rsidP="006C43D8">
      <w:pPr>
        <w:pStyle w:val="ListParagraph"/>
        <w:numPr>
          <w:ilvl w:val="0"/>
          <w:numId w:val="32"/>
        </w:numPr>
        <w:spacing w:after="160" w:line="240" w:lineRule="auto"/>
        <w:ind w:left="360"/>
        <w:jc w:val="both"/>
        <w:rPr>
          <w:rFonts w:ascii="Arial" w:hAnsi="Arial" w:cs="Arial"/>
          <w:sz w:val="20"/>
          <w:szCs w:val="20"/>
          <w:vertAlign w:val="subscript"/>
        </w:rPr>
      </w:pPr>
      <w:r w:rsidRPr="007B4B0D">
        <w:rPr>
          <w:rFonts w:ascii="Arial" w:hAnsi="Arial" w:cs="Arial"/>
          <w:sz w:val="20"/>
          <w:szCs w:val="20"/>
        </w:rPr>
        <w:t>@</w:t>
      </w:r>
      <w:r w:rsidRPr="007B4B0D">
        <w:rPr>
          <w:rFonts w:ascii="Arial" w:hAnsi="Arial" w:cs="Arial"/>
          <w:sz w:val="20"/>
          <w:szCs w:val="20"/>
          <w:vertAlign w:val="superscript"/>
        </w:rPr>
        <w:t>e</w:t>
      </w:r>
      <w:r w:rsidRPr="007B4B0D">
        <w:rPr>
          <w:rFonts w:ascii="Arial" w:hAnsi="Arial" w:cs="Arial"/>
          <w:sz w:val="20"/>
          <w:szCs w:val="20"/>
          <w:vertAlign w:val="subscript"/>
        </w:rPr>
        <w:t>IDX COMPOSITE</w:t>
      </w:r>
      <w:r w:rsidRPr="007B4B0D">
        <w:rPr>
          <w:rFonts w:ascii="Arial" w:hAnsi="Arial" w:cs="Arial"/>
          <w:sz w:val="20"/>
          <w:szCs w:val="20"/>
        </w:rPr>
        <w:t xml:space="preserve"> = 0.67@</w:t>
      </w:r>
      <w:r w:rsidRPr="007B4B0D">
        <w:rPr>
          <w:rFonts w:ascii="Arial" w:hAnsi="Arial" w:cs="Arial"/>
          <w:sz w:val="20"/>
          <w:szCs w:val="20"/>
          <w:vertAlign w:val="superscript"/>
        </w:rPr>
        <w:t>e</w:t>
      </w:r>
      <w:r w:rsidRPr="007B4B0D">
        <w:rPr>
          <w:rFonts w:ascii="Arial" w:hAnsi="Arial" w:cs="Arial"/>
          <w:sz w:val="20"/>
          <w:szCs w:val="20"/>
          <w:vertAlign w:val="subscript"/>
        </w:rPr>
        <w:t>FFR</w:t>
      </w:r>
      <w:r w:rsidRPr="007B4B0D">
        <w:rPr>
          <w:rFonts w:ascii="Arial" w:hAnsi="Arial" w:cs="Arial"/>
          <w:sz w:val="20"/>
          <w:szCs w:val="20"/>
        </w:rPr>
        <w:t xml:space="preserve"> - </w:t>
      </w:r>
      <w:hyperlink r:id="rId21" w:history="1">
        <w:r w:rsidRPr="007B4B0D">
          <w:rPr>
            <w:rStyle w:val="Hyperlink"/>
            <w:rFonts w:ascii="Arial" w:hAnsi="Arial" w:cs="Arial"/>
            <w:color w:val="auto"/>
            <w:sz w:val="20"/>
            <w:szCs w:val="20"/>
            <w:u w:val="none"/>
          </w:rPr>
          <w:t>0.21@</w:t>
        </w:r>
        <w:r w:rsidRPr="007B4B0D">
          <w:rPr>
            <w:rStyle w:val="Hyperlink"/>
            <w:rFonts w:ascii="Arial" w:hAnsi="Arial" w:cs="Arial"/>
            <w:color w:val="auto"/>
            <w:sz w:val="20"/>
            <w:szCs w:val="20"/>
            <w:u w:val="none"/>
            <w:vertAlign w:val="superscript"/>
          </w:rPr>
          <w:t>e</w:t>
        </w:r>
        <w:r w:rsidRPr="007B4B0D">
          <w:rPr>
            <w:rStyle w:val="Hyperlink"/>
            <w:rFonts w:ascii="Arial" w:hAnsi="Arial" w:cs="Arial"/>
            <w:color w:val="auto"/>
            <w:sz w:val="20"/>
            <w:szCs w:val="20"/>
            <w:u w:val="none"/>
            <w:vertAlign w:val="subscript"/>
          </w:rPr>
          <w:t>DJI</w:t>
        </w:r>
      </w:hyperlink>
      <w:r w:rsidRPr="007B4B0D">
        <w:rPr>
          <w:rFonts w:ascii="Arial" w:hAnsi="Arial" w:cs="Arial"/>
          <w:sz w:val="20"/>
          <w:szCs w:val="20"/>
          <w:vertAlign w:val="subscript"/>
        </w:rPr>
        <w:t xml:space="preserve"> </w:t>
      </w:r>
      <w:r w:rsidRPr="007B4B0D">
        <w:rPr>
          <w:rFonts w:ascii="Arial" w:hAnsi="Arial" w:cs="Arial"/>
          <w:sz w:val="20"/>
          <w:szCs w:val="20"/>
        </w:rPr>
        <w:t>+ 0.12@</w:t>
      </w:r>
      <w:r w:rsidRPr="007B4B0D">
        <w:rPr>
          <w:rFonts w:ascii="Arial" w:hAnsi="Arial" w:cs="Arial"/>
          <w:sz w:val="20"/>
          <w:szCs w:val="20"/>
          <w:vertAlign w:val="superscript"/>
        </w:rPr>
        <w:t>e</w:t>
      </w:r>
      <w:r w:rsidRPr="007B4B0D">
        <w:rPr>
          <w:rFonts w:ascii="Arial" w:hAnsi="Arial" w:cs="Arial"/>
          <w:sz w:val="20"/>
          <w:szCs w:val="20"/>
          <w:vertAlign w:val="subscript"/>
        </w:rPr>
        <w:t>DJIM</w:t>
      </w:r>
      <w:r w:rsidRPr="007B4B0D">
        <w:rPr>
          <w:rFonts w:ascii="Arial" w:hAnsi="Arial" w:cs="Arial"/>
          <w:sz w:val="20"/>
          <w:szCs w:val="20"/>
        </w:rPr>
        <w:t xml:space="preserve"> - 0.06@</w:t>
      </w:r>
      <w:r w:rsidRPr="007B4B0D">
        <w:rPr>
          <w:rFonts w:ascii="Arial" w:hAnsi="Arial" w:cs="Arial"/>
          <w:sz w:val="20"/>
          <w:szCs w:val="20"/>
          <w:vertAlign w:val="superscript"/>
        </w:rPr>
        <w:t>e</w:t>
      </w:r>
      <w:r w:rsidRPr="007B4B0D">
        <w:rPr>
          <w:rFonts w:ascii="Arial" w:hAnsi="Arial" w:cs="Arial"/>
          <w:sz w:val="20"/>
          <w:szCs w:val="20"/>
          <w:vertAlign w:val="subscript"/>
        </w:rPr>
        <w:t>BI RATE</w:t>
      </w:r>
      <w:r w:rsidRPr="007B4B0D">
        <w:rPr>
          <w:rFonts w:ascii="Arial" w:hAnsi="Arial" w:cs="Arial"/>
          <w:sz w:val="20"/>
          <w:szCs w:val="20"/>
        </w:rPr>
        <w:t> + 0.05@</w:t>
      </w:r>
      <w:r w:rsidRPr="007B4B0D">
        <w:rPr>
          <w:rFonts w:ascii="Arial" w:hAnsi="Arial" w:cs="Arial"/>
          <w:sz w:val="20"/>
          <w:szCs w:val="20"/>
          <w:vertAlign w:val="superscript"/>
        </w:rPr>
        <w:t>e</w:t>
      </w:r>
      <w:r w:rsidR="00BA59B6">
        <w:rPr>
          <w:rFonts w:ascii="Arial" w:hAnsi="Arial" w:cs="Arial"/>
          <w:sz w:val="20"/>
          <w:szCs w:val="20"/>
          <w:vertAlign w:val="subscript"/>
        </w:rPr>
        <w:t xml:space="preserve">EXCHANGE </w:t>
      </w:r>
      <w:proofErr w:type="gramStart"/>
      <w:r w:rsidR="00BA59B6">
        <w:rPr>
          <w:rFonts w:ascii="Arial" w:hAnsi="Arial" w:cs="Arial"/>
          <w:sz w:val="20"/>
          <w:szCs w:val="20"/>
          <w:vertAlign w:val="subscript"/>
        </w:rPr>
        <w:t>RATE</w:t>
      </w:r>
      <w:r w:rsidRPr="007B4B0D">
        <w:rPr>
          <w:rFonts w:ascii="Arial" w:hAnsi="Arial" w:cs="Arial"/>
          <w:sz w:val="20"/>
          <w:szCs w:val="20"/>
          <w:vertAlign w:val="subscript"/>
        </w:rPr>
        <w:t xml:space="preserve"> </w:t>
      </w:r>
      <w:r w:rsidRPr="007B4B0D">
        <w:rPr>
          <w:rFonts w:ascii="Arial" w:hAnsi="Arial" w:cs="Arial"/>
          <w:sz w:val="20"/>
          <w:szCs w:val="20"/>
        </w:rPr>
        <w:t> +</w:t>
      </w:r>
      <w:proofErr w:type="gramEnd"/>
      <w:r w:rsidRPr="007B4B0D">
        <w:rPr>
          <w:rFonts w:ascii="Arial" w:hAnsi="Arial" w:cs="Arial"/>
          <w:sz w:val="20"/>
          <w:szCs w:val="20"/>
        </w:rPr>
        <w:t xml:space="preserve"> 0.03@</w:t>
      </w:r>
      <w:r w:rsidRPr="007B4B0D">
        <w:rPr>
          <w:rFonts w:ascii="Arial" w:hAnsi="Arial" w:cs="Arial"/>
          <w:sz w:val="20"/>
          <w:szCs w:val="20"/>
          <w:vertAlign w:val="superscript"/>
        </w:rPr>
        <w:t>e</w:t>
      </w:r>
      <w:r w:rsidRPr="007B4B0D">
        <w:rPr>
          <w:rFonts w:ascii="Arial" w:hAnsi="Arial" w:cs="Arial"/>
          <w:sz w:val="20"/>
          <w:szCs w:val="20"/>
          <w:vertAlign w:val="subscript"/>
        </w:rPr>
        <w:t>INFLA</w:t>
      </w:r>
      <w:r w:rsidR="00BA59B6">
        <w:rPr>
          <w:rFonts w:ascii="Arial" w:hAnsi="Arial" w:cs="Arial"/>
          <w:sz w:val="20"/>
          <w:szCs w:val="20"/>
          <w:vertAlign w:val="subscript"/>
        </w:rPr>
        <w:t>TION</w:t>
      </w:r>
      <w:r w:rsidRPr="007B4B0D">
        <w:rPr>
          <w:rFonts w:ascii="Arial" w:hAnsi="Arial" w:cs="Arial"/>
          <w:sz w:val="20"/>
          <w:szCs w:val="20"/>
          <w:vertAlign w:val="subscript"/>
        </w:rPr>
        <w:t xml:space="preserve"> </w:t>
      </w:r>
      <w:r w:rsidRPr="007B4B0D">
        <w:rPr>
          <w:rFonts w:ascii="Arial" w:hAnsi="Arial" w:cs="Arial"/>
          <w:sz w:val="20"/>
          <w:szCs w:val="20"/>
        </w:rPr>
        <w:t>+ 0.086@</w:t>
      </w:r>
      <w:r w:rsidRPr="007B4B0D">
        <w:rPr>
          <w:rFonts w:ascii="Arial" w:hAnsi="Arial" w:cs="Arial"/>
          <w:sz w:val="20"/>
          <w:szCs w:val="20"/>
          <w:vertAlign w:val="superscript"/>
        </w:rPr>
        <w:t>e</w:t>
      </w:r>
      <w:r w:rsidRPr="007B4B0D">
        <w:rPr>
          <w:rFonts w:ascii="Arial" w:hAnsi="Arial" w:cs="Arial"/>
          <w:sz w:val="20"/>
          <w:szCs w:val="20"/>
          <w:vertAlign w:val="subscript"/>
        </w:rPr>
        <w:t xml:space="preserve">IP GROWTH </w:t>
      </w:r>
      <w:r w:rsidRPr="007B4B0D">
        <w:rPr>
          <w:rFonts w:ascii="Arial" w:hAnsi="Arial" w:cs="Arial"/>
          <w:sz w:val="20"/>
          <w:szCs w:val="20"/>
        </w:rPr>
        <w:t>- 0.05@</w:t>
      </w:r>
      <w:r w:rsidRPr="007B4B0D">
        <w:rPr>
          <w:rFonts w:ascii="Arial" w:hAnsi="Arial" w:cs="Arial"/>
          <w:sz w:val="20"/>
          <w:szCs w:val="20"/>
          <w:vertAlign w:val="superscript"/>
        </w:rPr>
        <w:t>e</w:t>
      </w:r>
      <w:r w:rsidRPr="007B4B0D">
        <w:rPr>
          <w:rFonts w:ascii="Arial" w:hAnsi="Arial" w:cs="Arial"/>
          <w:sz w:val="20"/>
          <w:szCs w:val="20"/>
          <w:vertAlign w:val="subscript"/>
        </w:rPr>
        <w:t xml:space="preserve">JII </w:t>
      </w:r>
      <w:r w:rsidRPr="007B4B0D">
        <w:rPr>
          <w:rFonts w:ascii="Arial" w:hAnsi="Arial" w:cs="Arial"/>
          <w:sz w:val="20"/>
          <w:szCs w:val="20"/>
        </w:rPr>
        <w:t>+</w:t>
      </w:r>
      <w:r w:rsidRPr="007B4B0D">
        <w:rPr>
          <w:rFonts w:ascii="Arial" w:hAnsi="Arial" w:cs="Arial"/>
          <w:sz w:val="20"/>
          <w:szCs w:val="20"/>
          <w:vertAlign w:val="subscript"/>
        </w:rPr>
        <w:t xml:space="preserve"> </w:t>
      </w:r>
      <w:r w:rsidRPr="007B4B0D">
        <w:rPr>
          <w:rFonts w:ascii="Arial" w:hAnsi="Arial" w:cs="Arial"/>
          <w:sz w:val="20"/>
          <w:szCs w:val="20"/>
        </w:rPr>
        <w:t>1.17@</w:t>
      </w:r>
      <w:r w:rsidRPr="007B4B0D">
        <w:rPr>
          <w:rFonts w:ascii="Arial" w:hAnsi="Arial" w:cs="Arial"/>
          <w:sz w:val="20"/>
          <w:szCs w:val="20"/>
          <w:vertAlign w:val="superscript"/>
        </w:rPr>
        <w:t>u</w:t>
      </w:r>
      <w:r w:rsidRPr="007B4B0D">
        <w:rPr>
          <w:rFonts w:ascii="Arial" w:hAnsi="Arial" w:cs="Arial"/>
          <w:sz w:val="20"/>
          <w:szCs w:val="20"/>
          <w:vertAlign w:val="subscript"/>
        </w:rPr>
        <w:t>IDX COMPOSITE</w:t>
      </w:r>
    </w:p>
    <w:p w14:paraId="0B72E48A" w14:textId="77777777" w:rsidR="006C43D8" w:rsidRPr="007B4B0D" w:rsidRDefault="006C43D8" w:rsidP="006C43D8">
      <w:pPr>
        <w:pStyle w:val="ListParagraph"/>
        <w:spacing w:after="160" w:line="240" w:lineRule="auto"/>
        <w:ind w:left="360"/>
        <w:jc w:val="both"/>
        <w:rPr>
          <w:rFonts w:ascii="Arial" w:hAnsi="Arial" w:cs="Arial"/>
          <w:sz w:val="20"/>
          <w:szCs w:val="20"/>
          <w:vertAlign w:val="subscript"/>
        </w:rPr>
      </w:pPr>
    </w:p>
    <w:p w14:paraId="51B630D0" w14:textId="77777777" w:rsidR="006C43D8" w:rsidRPr="007B4B0D" w:rsidRDefault="006C43D8" w:rsidP="006C43D8">
      <w:pPr>
        <w:pStyle w:val="ListParagraph"/>
        <w:spacing w:after="160" w:line="240" w:lineRule="auto"/>
        <w:ind w:left="360"/>
        <w:jc w:val="both"/>
        <w:rPr>
          <w:rFonts w:ascii="Arial" w:hAnsi="Arial" w:cs="Arial"/>
          <w:sz w:val="20"/>
          <w:szCs w:val="20"/>
        </w:rPr>
      </w:pPr>
      <w:r w:rsidRPr="007B4B0D">
        <w:rPr>
          <w:rFonts w:ascii="Arial" w:hAnsi="Arial" w:cs="Arial"/>
          <w:sz w:val="20"/>
          <w:szCs w:val="20"/>
        </w:rPr>
        <w:t>Based on the equation model above, As is well known, the IDX Composite variable is significantly influenced by the FFR variable positively by 0.67, DJI negatively by -0.21, DJIM variable positively by 0.12, BI Rate variable negatively by -0.06, exchange rate variable positively by 0.05, inflation variable positively by 0.03, IP Growth variable positively by 0.08, JII variable negatively by -0.05 and the variable itself positively by 1.17. It is said to be significant because it has a probability value of less than 0.05.</w:t>
      </w:r>
    </w:p>
    <w:p w14:paraId="557B7B9F" w14:textId="632E00B5" w:rsidR="006C43D8" w:rsidRPr="006C43D8" w:rsidRDefault="007B4B0D" w:rsidP="006C43D8">
      <w:pPr>
        <w:spacing w:after="160"/>
        <w:rPr>
          <w:rFonts w:ascii="Arial" w:hAnsi="Arial" w:cs="Arial"/>
          <w:b/>
          <w:bCs/>
        </w:rPr>
      </w:pPr>
      <w:r>
        <w:rPr>
          <w:rFonts w:ascii="Arial" w:hAnsi="Arial" w:cs="Arial"/>
          <w:b/>
          <w:bCs/>
        </w:rPr>
        <w:t xml:space="preserve">4.1.5 </w:t>
      </w:r>
      <w:r w:rsidR="006C43D8" w:rsidRPr="006C43D8">
        <w:rPr>
          <w:rFonts w:ascii="Arial" w:hAnsi="Arial" w:cs="Arial"/>
          <w:b/>
          <w:bCs/>
        </w:rPr>
        <w:t>IRF Test</w:t>
      </w:r>
    </w:p>
    <w:p w14:paraId="7D42575A" w14:textId="77777777" w:rsidR="006C43D8" w:rsidRPr="006C43D8" w:rsidRDefault="006C43D8" w:rsidP="006C43D8">
      <w:pPr>
        <w:pStyle w:val="ListParagraph"/>
        <w:spacing w:line="240" w:lineRule="auto"/>
        <w:ind w:left="360"/>
        <w:jc w:val="center"/>
        <w:rPr>
          <w:rFonts w:ascii="Arial" w:hAnsi="Arial" w:cs="Arial"/>
          <w:b/>
          <w:bCs/>
          <w:sz w:val="20"/>
          <w:szCs w:val="20"/>
        </w:rPr>
      </w:pPr>
      <w:r w:rsidRPr="006C43D8">
        <w:rPr>
          <w:rFonts w:ascii="Arial" w:hAnsi="Arial" w:cs="Arial"/>
          <w:b/>
          <w:bCs/>
          <w:noProof/>
          <w:sz w:val="20"/>
          <w:szCs w:val="20"/>
        </w:rPr>
        <w:lastRenderedPageBreak/>
        <w:drawing>
          <wp:inline distT="0" distB="0" distL="0" distR="0" wp14:anchorId="5DF7EAFF" wp14:editId="11D2FDBC">
            <wp:extent cx="3827847" cy="4191000"/>
            <wp:effectExtent l="0" t="0" r="1270" b="0"/>
            <wp:docPr id="130791162" name="Picture 1" descr="A graph of different types of grap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1162" name="Picture 1" descr="A graph of different types of graphs&#10;&#10;AI-generated content may be incorrect."/>
                    <pic:cNvPicPr/>
                  </pic:nvPicPr>
                  <pic:blipFill>
                    <a:blip r:embed="rId22"/>
                    <a:stretch>
                      <a:fillRect/>
                    </a:stretch>
                  </pic:blipFill>
                  <pic:spPr>
                    <a:xfrm>
                      <a:off x="0" y="0"/>
                      <a:ext cx="3868186" cy="4235166"/>
                    </a:xfrm>
                    <a:prstGeom prst="rect">
                      <a:avLst/>
                    </a:prstGeom>
                  </pic:spPr>
                </pic:pic>
              </a:graphicData>
            </a:graphic>
          </wp:inline>
        </w:drawing>
      </w:r>
    </w:p>
    <w:p w14:paraId="751E1AAB" w14:textId="77777777" w:rsidR="006C43D8" w:rsidRPr="006C43D8" w:rsidRDefault="006C43D8" w:rsidP="006C43D8">
      <w:pPr>
        <w:pStyle w:val="ListParagraph"/>
        <w:spacing w:line="240" w:lineRule="auto"/>
        <w:ind w:left="360"/>
        <w:jc w:val="center"/>
        <w:rPr>
          <w:rFonts w:ascii="Arial" w:hAnsi="Arial" w:cs="Arial"/>
          <w:b/>
          <w:bCs/>
          <w:sz w:val="20"/>
          <w:szCs w:val="20"/>
        </w:rPr>
      </w:pPr>
      <w:r w:rsidRPr="006C43D8">
        <w:rPr>
          <w:rFonts w:ascii="Arial" w:hAnsi="Arial" w:cs="Arial"/>
          <w:b/>
          <w:bCs/>
          <w:sz w:val="20"/>
          <w:szCs w:val="20"/>
        </w:rPr>
        <w:t>Figure 5. IRF test</w:t>
      </w:r>
    </w:p>
    <w:p w14:paraId="1EF1FF72" w14:textId="77777777" w:rsidR="006C43D8" w:rsidRPr="006C43D8" w:rsidRDefault="006C43D8" w:rsidP="006C43D8">
      <w:pPr>
        <w:pStyle w:val="ListParagraph"/>
        <w:spacing w:line="240" w:lineRule="auto"/>
        <w:ind w:left="360"/>
        <w:jc w:val="center"/>
        <w:rPr>
          <w:rFonts w:ascii="Arial" w:hAnsi="Arial" w:cs="Arial"/>
          <w:sz w:val="20"/>
          <w:szCs w:val="20"/>
        </w:rPr>
      </w:pPr>
      <w:r w:rsidRPr="006C43D8">
        <w:rPr>
          <w:rFonts w:ascii="Arial" w:hAnsi="Arial" w:cs="Arial"/>
          <w:sz w:val="20"/>
          <w:szCs w:val="20"/>
        </w:rPr>
        <w:t>Source: Author (2024)</w:t>
      </w:r>
    </w:p>
    <w:p w14:paraId="44E16C7D" w14:textId="77777777" w:rsidR="006C43D8" w:rsidRPr="006C43D8" w:rsidRDefault="006C43D8" w:rsidP="006C43D8">
      <w:pPr>
        <w:jc w:val="both"/>
        <w:rPr>
          <w:rFonts w:ascii="Arial" w:hAnsi="Arial" w:cs="Arial"/>
        </w:rPr>
      </w:pPr>
      <w:r w:rsidRPr="006C43D8">
        <w:rPr>
          <w:rFonts w:ascii="Arial" w:hAnsi="Arial" w:cs="Arial"/>
        </w:rPr>
        <w:t>The IRF test was conducted to see the response of the BI Rate, Exchange Rate, Inflation, IP Growth, JII, and IDX Composite variables due to shocks caused by the FFR, DJI, and DJIM variables.</w:t>
      </w:r>
    </w:p>
    <w:p w14:paraId="78A39CEA" w14:textId="77777777" w:rsidR="007B4B0D" w:rsidRDefault="007B4B0D" w:rsidP="007B4B0D">
      <w:pPr>
        <w:jc w:val="both"/>
        <w:rPr>
          <w:rFonts w:ascii="Arial" w:hAnsi="Arial" w:cs="Arial"/>
        </w:rPr>
      </w:pPr>
    </w:p>
    <w:p w14:paraId="170BDA78" w14:textId="27015196" w:rsidR="006C43D8" w:rsidRPr="006C43D8" w:rsidRDefault="006C43D8" w:rsidP="007B4B0D">
      <w:pPr>
        <w:jc w:val="both"/>
        <w:rPr>
          <w:rFonts w:ascii="Arial" w:hAnsi="Arial" w:cs="Arial"/>
        </w:rPr>
      </w:pPr>
      <w:r w:rsidRPr="006C43D8">
        <w:rPr>
          <w:rFonts w:ascii="Arial" w:hAnsi="Arial" w:cs="Arial"/>
        </w:rPr>
        <w:t>Based on the IRF test, the BI Rate responded positively to the shock caused by DJIM by 0.02 points in the first period. Then it increased to 0.03 points in the fourth period. It continued to decline, and there was a negative response change in the seventh period until the end of the research method reached -0.3 points. As with DJIM, in the first period, the BI Rate responded positively to the shock caused by DJI. Where the response was 0.02 points. Which then increased to 0.03 points in the second and third periods. And continued to decline until the end of the research period, reaching -0.04 points. In contrast to the response to DJIM and DJI, the BI Rate responded negatively to the shock caused by FFR from the beginning to the end of the research period. At the beginning of the period, the BI Rate responded by -0.07 points and fluctuated at -0.07 - 0.11 points. At the end of the research period, the magnitude of the BI Rate response returned to -0.07 points.</w:t>
      </w:r>
    </w:p>
    <w:p w14:paraId="39E7ADE2" w14:textId="77777777" w:rsidR="007B4B0D" w:rsidRDefault="007B4B0D" w:rsidP="006C43D8">
      <w:pPr>
        <w:jc w:val="both"/>
        <w:rPr>
          <w:rFonts w:ascii="Arial" w:hAnsi="Arial" w:cs="Arial"/>
        </w:rPr>
      </w:pPr>
    </w:p>
    <w:p w14:paraId="3CC8E604" w14:textId="430FBF63" w:rsidR="006C43D8" w:rsidRPr="006C43D8" w:rsidRDefault="006C43D8" w:rsidP="006C43D8">
      <w:pPr>
        <w:jc w:val="both"/>
        <w:rPr>
          <w:rFonts w:ascii="Arial" w:hAnsi="Arial" w:cs="Arial"/>
        </w:rPr>
      </w:pPr>
      <w:r w:rsidRPr="006C43D8">
        <w:rPr>
          <w:rFonts w:ascii="Arial" w:hAnsi="Arial" w:cs="Arial"/>
        </w:rPr>
        <w:t>The next variable is the exchange rate. Where from this IRF test</w:t>
      </w:r>
      <w:r w:rsidR="008F78D6">
        <w:rPr>
          <w:rFonts w:ascii="Arial" w:hAnsi="Arial" w:cs="Arial"/>
        </w:rPr>
        <w:t>,</w:t>
      </w:r>
      <w:r w:rsidRPr="006C43D8">
        <w:rPr>
          <w:rFonts w:ascii="Arial" w:hAnsi="Arial" w:cs="Arial"/>
        </w:rPr>
        <w:t xml:space="preserve"> it is known that the exchange rate response due to shocks caused by the FFR, DJI, and DJIM is relatively small. </w:t>
      </w:r>
      <w:r w:rsidR="00C63C25">
        <w:rPr>
          <w:rFonts w:ascii="Arial" w:hAnsi="Arial" w:cs="Arial"/>
        </w:rPr>
        <w:t>In</w:t>
      </w:r>
      <w:r w:rsidRPr="006C43D8">
        <w:rPr>
          <w:rFonts w:ascii="Arial" w:hAnsi="Arial" w:cs="Arial"/>
        </w:rPr>
        <w:t xml:space="preserve"> the FFR variable at the beginning of the period</w:t>
      </w:r>
      <w:r w:rsidR="008F78D6">
        <w:rPr>
          <w:rFonts w:ascii="Arial" w:hAnsi="Arial" w:cs="Arial"/>
        </w:rPr>
        <w:t>,</w:t>
      </w:r>
      <w:r w:rsidRPr="006C43D8">
        <w:rPr>
          <w:rFonts w:ascii="Arial" w:hAnsi="Arial" w:cs="Arial"/>
        </w:rPr>
        <w:t xml:space="preserve"> the exchange rate responded positively by only 0.004 points. Then it fluctuated until</w:t>
      </w:r>
      <w:r w:rsidR="008F78D6">
        <w:rPr>
          <w:rFonts w:ascii="Arial" w:hAnsi="Arial" w:cs="Arial"/>
        </w:rPr>
        <w:t>,</w:t>
      </w:r>
      <w:r w:rsidRPr="006C43D8">
        <w:rPr>
          <w:rFonts w:ascii="Arial" w:hAnsi="Arial" w:cs="Arial"/>
        </w:rPr>
        <w:t xml:space="preserve"> at the end of the research period</w:t>
      </w:r>
      <w:r w:rsidR="00C63C25">
        <w:rPr>
          <w:rFonts w:ascii="Arial" w:hAnsi="Arial" w:cs="Arial"/>
        </w:rPr>
        <w:t>,</w:t>
      </w:r>
      <w:r w:rsidRPr="006C43D8">
        <w:rPr>
          <w:rFonts w:ascii="Arial" w:hAnsi="Arial" w:cs="Arial"/>
        </w:rPr>
        <w:t xml:space="preserve"> it reached 0.008 points. Not much different from the exchange rate response due to the FFR variable shock, the exchange rate also responded positively to the DJI shock by 0.007 points in the early </w:t>
      </w:r>
      <w:r w:rsidRPr="006C43D8">
        <w:rPr>
          <w:rFonts w:ascii="Arial" w:hAnsi="Arial" w:cs="Arial"/>
        </w:rPr>
        <w:lastRenderedPageBreak/>
        <w:t xml:space="preserve">period of the study. Then it fluctuated in the next period and again reached 0.007 points at the end of the research period. Slightly different from the exchange rate response to the FFR and DJI, the exchange rate responded negatively at the beginning </w:t>
      </w:r>
      <w:r w:rsidR="00C63C25">
        <w:rPr>
          <w:rFonts w:ascii="Arial" w:hAnsi="Arial" w:cs="Arial"/>
        </w:rPr>
        <w:t>of</w:t>
      </w:r>
      <w:r w:rsidRPr="006C43D8">
        <w:rPr>
          <w:rFonts w:ascii="Arial" w:hAnsi="Arial" w:cs="Arial"/>
        </w:rPr>
        <w:t xml:space="preserve"> the third period of the study, then changed its response to negative in the fourth year to the end of the research period. Where in the first period the response was only 0.0004 points, and -0.003 points at the end of the research period.</w:t>
      </w:r>
    </w:p>
    <w:p w14:paraId="4FD17980" w14:textId="77777777" w:rsidR="007B4B0D" w:rsidRDefault="007B4B0D" w:rsidP="006C43D8">
      <w:pPr>
        <w:jc w:val="both"/>
        <w:rPr>
          <w:rFonts w:ascii="Arial" w:hAnsi="Arial" w:cs="Arial"/>
        </w:rPr>
      </w:pPr>
    </w:p>
    <w:p w14:paraId="022CF8AE" w14:textId="04C99290" w:rsidR="006C43D8" w:rsidRPr="006C43D8" w:rsidRDefault="006C43D8" w:rsidP="006C43D8">
      <w:pPr>
        <w:jc w:val="both"/>
        <w:rPr>
          <w:rFonts w:ascii="Arial" w:hAnsi="Arial" w:cs="Arial"/>
        </w:rPr>
      </w:pPr>
      <w:r w:rsidRPr="006C43D8">
        <w:rPr>
          <w:rFonts w:ascii="Arial" w:hAnsi="Arial" w:cs="Arial"/>
        </w:rPr>
        <w:t xml:space="preserve">Next is the inflation variable. The inflation variable tends to respond negatively to shocks caused by the FFR, DJI, and DJIM variables. </w:t>
      </w:r>
      <w:r w:rsidR="00C63C25">
        <w:rPr>
          <w:rFonts w:ascii="Arial" w:hAnsi="Arial" w:cs="Arial"/>
        </w:rPr>
        <w:t>In</w:t>
      </w:r>
      <w:r w:rsidRPr="006C43D8">
        <w:rPr>
          <w:rFonts w:ascii="Arial" w:hAnsi="Arial" w:cs="Arial"/>
        </w:rPr>
        <w:t xml:space="preserve"> the FFR and DJI variables, the inflation response always reaches a negative number from the beginning to the end of the study period. In the FFR variable, inflation responded by -0.03 points at the beginning of the period. Then it decreased to reach -0.05 points in the fourth period. And reached -0.04 points at the end of the study period. Similar to the FFR variable, inflation responded negatively by -0.01 points at the beginning of the study period and continued to decline to reach -0.04 points at the end of the study. Slightly different from the response caused by the FFR and DJI variables. </w:t>
      </w:r>
      <w:r w:rsidR="00C63C25">
        <w:rPr>
          <w:rFonts w:ascii="Arial" w:hAnsi="Arial" w:cs="Arial"/>
        </w:rPr>
        <w:t>In</w:t>
      </w:r>
      <w:r w:rsidRPr="006C43D8">
        <w:rPr>
          <w:rFonts w:ascii="Arial" w:hAnsi="Arial" w:cs="Arial"/>
        </w:rPr>
        <w:t xml:space="preserve"> the DJIM variable, the exchange rate responded positively at 0.19 points until the fourth period at 0.03 points. Then</w:t>
      </w:r>
      <w:r w:rsidR="00C63C25">
        <w:rPr>
          <w:rFonts w:ascii="Arial" w:hAnsi="Arial" w:cs="Arial"/>
        </w:rPr>
        <w:t>,</w:t>
      </w:r>
      <w:r w:rsidRPr="006C43D8">
        <w:rPr>
          <w:rFonts w:ascii="Arial" w:hAnsi="Arial" w:cs="Arial"/>
        </w:rPr>
        <w:t xml:space="preserve"> from the fifth period to the end of the period, the inflation response to the DJIM shock changed to negative to reach -0.08 points at the end of the study period.</w:t>
      </w:r>
    </w:p>
    <w:p w14:paraId="36DCAA06" w14:textId="77777777" w:rsidR="007B4B0D" w:rsidRDefault="007B4B0D" w:rsidP="006C43D8">
      <w:pPr>
        <w:jc w:val="both"/>
        <w:rPr>
          <w:rFonts w:ascii="Arial" w:hAnsi="Arial" w:cs="Arial"/>
        </w:rPr>
      </w:pPr>
    </w:p>
    <w:p w14:paraId="124CDACB" w14:textId="1B834BE9" w:rsidR="006C43D8" w:rsidRPr="006C43D8" w:rsidRDefault="006C43D8" w:rsidP="006C43D8">
      <w:pPr>
        <w:jc w:val="both"/>
        <w:rPr>
          <w:rFonts w:ascii="Arial" w:hAnsi="Arial" w:cs="Arial"/>
        </w:rPr>
      </w:pPr>
      <w:r w:rsidRPr="006C43D8">
        <w:rPr>
          <w:rFonts w:ascii="Arial" w:hAnsi="Arial" w:cs="Arial"/>
        </w:rPr>
        <w:t>The next variable is IP Growth. The IP Growth variable responded negatively to shocks caused by the FFR variable only at the beginning of the study period</w:t>
      </w:r>
      <w:r w:rsidR="00C63C25">
        <w:rPr>
          <w:rFonts w:ascii="Arial" w:hAnsi="Arial" w:cs="Arial"/>
        </w:rPr>
        <w:t>,</w:t>
      </w:r>
      <w:r w:rsidRPr="006C43D8">
        <w:rPr>
          <w:rFonts w:ascii="Arial" w:hAnsi="Arial" w:cs="Arial"/>
        </w:rPr>
        <w:t xml:space="preserve"> with a figure of -1.86 points. Then the response changed to positive from the second period to the end of the study period. </w:t>
      </w:r>
      <w:r w:rsidR="00C63C25">
        <w:rPr>
          <w:rFonts w:ascii="Arial" w:hAnsi="Arial" w:cs="Arial"/>
        </w:rPr>
        <w:t>In</w:t>
      </w:r>
      <w:r w:rsidRPr="006C43D8">
        <w:rPr>
          <w:rFonts w:ascii="Arial" w:hAnsi="Arial" w:cs="Arial"/>
        </w:rPr>
        <w:t xml:space="preserve"> the second period</w:t>
      </w:r>
      <w:r w:rsidR="00C63C25">
        <w:rPr>
          <w:rFonts w:ascii="Arial" w:hAnsi="Arial" w:cs="Arial"/>
        </w:rPr>
        <w:t>,</w:t>
      </w:r>
      <w:r w:rsidRPr="006C43D8">
        <w:rPr>
          <w:rFonts w:ascii="Arial" w:hAnsi="Arial" w:cs="Arial"/>
        </w:rPr>
        <w:t xml:space="preserve"> it reached a figure of 0.3 points</w:t>
      </w:r>
      <w:r w:rsidR="00C63C25">
        <w:rPr>
          <w:rFonts w:ascii="Arial" w:hAnsi="Arial" w:cs="Arial"/>
        </w:rPr>
        <w:t>,</w:t>
      </w:r>
      <w:r w:rsidRPr="006C43D8">
        <w:rPr>
          <w:rFonts w:ascii="Arial" w:hAnsi="Arial" w:cs="Arial"/>
        </w:rPr>
        <w:t xml:space="preserve"> and reached a figure of 0.6 points at the end of the study period. In the DJI variable, IP Growth responded positively to shocks from the beginning to the end of the study period. </w:t>
      </w:r>
      <w:r w:rsidR="00C63C25">
        <w:rPr>
          <w:rFonts w:ascii="Arial" w:hAnsi="Arial" w:cs="Arial"/>
        </w:rPr>
        <w:t>At</w:t>
      </w:r>
      <w:r w:rsidRPr="006C43D8">
        <w:rPr>
          <w:rFonts w:ascii="Arial" w:hAnsi="Arial" w:cs="Arial"/>
        </w:rPr>
        <w:t xml:space="preserve"> the beginning of the period</w:t>
      </w:r>
      <w:r w:rsidR="00C63C25">
        <w:rPr>
          <w:rFonts w:ascii="Arial" w:hAnsi="Arial" w:cs="Arial"/>
        </w:rPr>
        <w:t>,</w:t>
      </w:r>
      <w:r w:rsidRPr="006C43D8">
        <w:rPr>
          <w:rFonts w:ascii="Arial" w:hAnsi="Arial" w:cs="Arial"/>
        </w:rPr>
        <w:t xml:space="preserve"> the magnitude of the response was 0.3 points, then fluctuated and reached a figure of 0.08 at the end of the study period. Unlike FFR and DJI, IP Growth responded negatively to shocks caused by the DJIM variable from the beginning to the end of the study period. </w:t>
      </w:r>
      <w:r w:rsidR="00C63C25">
        <w:rPr>
          <w:rFonts w:ascii="Arial" w:hAnsi="Arial" w:cs="Arial"/>
        </w:rPr>
        <w:t>In</w:t>
      </w:r>
      <w:r w:rsidRPr="006C43D8">
        <w:rPr>
          <w:rFonts w:ascii="Arial" w:hAnsi="Arial" w:cs="Arial"/>
        </w:rPr>
        <w:t xml:space="preserve"> the early period</w:t>
      </w:r>
      <w:r w:rsidR="00C63C25">
        <w:rPr>
          <w:rFonts w:ascii="Arial" w:hAnsi="Arial" w:cs="Arial"/>
        </w:rPr>
        <w:t>,</w:t>
      </w:r>
      <w:r w:rsidRPr="006C43D8">
        <w:rPr>
          <w:rFonts w:ascii="Arial" w:hAnsi="Arial" w:cs="Arial"/>
        </w:rPr>
        <w:t xml:space="preserve"> the magnitude of the response was -0.6 points and reached a figure of -0.8 points at the end of the study period.</w:t>
      </w:r>
    </w:p>
    <w:p w14:paraId="30CBAE1D" w14:textId="77777777" w:rsidR="007B4B0D" w:rsidRDefault="007B4B0D" w:rsidP="006C43D8">
      <w:pPr>
        <w:jc w:val="both"/>
        <w:rPr>
          <w:rFonts w:ascii="Arial" w:hAnsi="Arial" w:cs="Arial"/>
        </w:rPr>
      </w:pPr>
    </w:p>
    <w:p w14:paraId="29725E57" w14:textId="5DB5F68A" w:rsidR="006C43D8" w:rsidRPr="006C43D8" w:rsidRDefault="006C43D8" w:rsidP="006C43D8">
      <w:pPr>
        <w:jc w:val="both"/>
        <w:rPr>
          <w:rFonts w:ascii="Arial" w:hAnsi="Arial" w:cs="Arial"/>
        </w:rPr>
      </w:pPr>
      <w:r w:rsidRPr="006C43D8">
        <w:rPr>
          <w:rFonts w:ascii="Arial" w:hAnsi="Arial" w:cs="Arial"/>
        </w:rPr>
        <w:t xml:space="preserve">Then there is the response of the JII variable due to the shocks caused by the FFR, DJI, and DJIM variables. JII responded positively to the shocks caused by the FFR at the beginning of the research period by 0.006 points. Then it continued to decline until it reached 0.0004 in the eighth period, and changed its response to negative in the next period. Until it reached a figure of -0.0005 points at the end of the research period. In the DJI variable, the JII variable responded positively from the beginning to the end of the research period. </w:t>
      </w:r>
      <w:r w:rsidR="00C63C25">
        <w:rPr>
          <w:rFonts w:ascii="Arial" w:hAnsi="Arial" w:cs="Arial"/>
        </w:rPr>
        <w:t>At</w:t>
      </w:r>
      <w:r w:rsidRPr="006C43D8">
        <w:rPr>
          <w:rFonts w:ascii="Arial" w:hAnsi="Arial" w:cs="Arial"/>
        </w:rPr>
        <w:t xml:space="preserve"> the beginning of the period</w:t>
      </w:r>
      <w:r w:rsidR="00C63C25">
        <w:rPr>
          <w:rFonts w:ascii="Arial" w:hAnsi="Arial" w:cs="Arial"/>
        </w:rPr>
        <w:t>,</w:t>
      </w:r>
      <w:r w:rsidRPr="006C43D8">
        <w:rPr>
          <w:rFonts w:ascii="Arial" w:hAnsi="Arial" w:cs="Arial"/>
        </w:rPr>
        <w:t xml:space="preserve"> the response magnitude was 0.01 points and reached 0.006 at the end of the research period. Similar to the IP Growth variable, the JII variable responded negatively to the shocks caused by DJIM from the beginning to the end of the research period. </w:t>
      </w:r>
      <w:r w:rsidR="00C63C25">
        <w:rPr>
          <w:rFonts w:ascii="Arial" w:hAnsi="Arial" w:cs="Arial"/>
        </w:rPr>
        <w:t>The</w:t>
      </w:r>
      <w:r w:rsidRPr="006C43D8">
        <w:rPr>
          <w:rFonts w:ascii="Arial" w:hAnsi="Arial" w:cs="Arial"/>
        </w:rPr>
        <w:t xml:space="preserve"> magnitude of the response caused by DJIM at the beginning of the period was -0.02 points and reached -0.01 at the end of the research period.</w:t>
      </w:r>
    </w:p>
    <w:p w14:paraId="40B0CD28" w14:textId="77777777" w:rsidR="007B4B0D" w:rsidRDefault="007B4B0D" w:rsidP="006C43D8">
      <w:pPr>
        <w:jc w:val="both"/>
        <w:rPr>
          <w:rFonts w:ascii="Arial" w:hAnsi="Arial" w:cs="Arial"/>
        </w:rPr>
      </w:pPr>
    </w:p>
    <w:p w14:paraId="2399E9C0" w14:textId="7337B390" w:rsidR="006C43D8" w:rsidRPr="006C43D8" w:rsidRDefault="006C43D8" w:rsidP="006C43D8">
      <w:pPr>
        <w:jc w:val="both"/>
        <w:rPr>
          <w:rFonts w:ascii="Arial" w:hAnsi="Arial" w:cs="Arial"/>
        </w:rPr>
      </w:pPr>
      <w:r w:rsidRPr="006C43D8">
        <w:rPr>
          <w:rFonts w:ascii="Arial" w:hAnsi="Arial" w:cs="Arial"/>
        </w:rPr>
        <w:t xml:space="preserve">The last variable is the IDX Composite. The response of the IDX Composite variable due to shocks caused by FFR, DJI, and DJIM is not much different from the response of the IP Growth and JII variables. </w:t>
      </w:r>
      <w:r w:rsidR="00C63C25">
        <w:rPr>
          <w:rFonts w:ascii="Arial" w:hAnsi="Arial" w:cs="Arial"/>
        </w:rPr>
        <w:t>The</w:t>
      </w:r>
      <w:r w:rsidRPr="006C43D8">
        <w:rPr>
          <w:rFonts w:ascii="Arial" w:hAnsi="Arial" w:cs="Arial"/>
        </w:rPr>
        <w:t xml:space="preserve"> IDX Composite variable responds positively to shocks from the FFR variable from the beginning to the end of the study period. </w:t>
      </w:r>
      <w:r w:rsidR="00C63C25">
        <w:rPr>
          <w:rFonts w:ascii="Arial" w:hAnsi="Arial" w:cs="Arial"/>
        </w:rPr>
        <w:t>At</w:t>
      </w:r>
      <w:r w:rsidRPr="006C43D8">
        <w:rPr>
          <w:rFonts w:ascii="Arial" w:hAnsi="Arial" w:cs="Arial"/>
        </w:rPr>
        <w:t xml:space="preserve"> the beginning of the period, the IDX Composite response was 0.009 points. And reached a figure of 0.008 points at the end of the study period. Similar to the FFR variable, the IDX Composite response due to shocks from the DJI variable was also positive from the beginning to the end of the study period. </w:t>
      </w:r>
      <w:r w:rsidR="00C63C25">
        <w:rPr>
          <w:rFonts w:ascii="Arial" w:hAnsi="Arial" w:cs="Arial"/>
        </w:rPr>
        <w:t>At</w:t>
      </w:r>
      <w:r w:rsidRPr="006C43D8">
        <w:rPr>
          <w:rFonts w:ascii="Arial" w:hAnsi="Arial" w:cs="Arial"/>
        </w:rPr>
        <w:t xml:space="preserve"> the beginning of the period</w:t>
      </w:r>
      <w:r w:rsidR="00C63C25">
        <w:rPr>
          <w:rFonts w:ascii="Arial" w:hAnsi="Arial" w:cs="Arial"/>
        </w:rPr>
        <w:t>,</w:t>
      </w:r>
      <w:r w:rsidRPr="006C43D8">
        <w:rPr>
          <w:rFonts w:ascii="Arial" w:hAnsi="Arial" w:cs="Arial"/>
        </w:rPr>
        <w:t xml:space="preserve"> the IDX Composite response was 0.007 points and continued to decline until it reached 0.001 points at the end of the study period. In contrast to </w:t>
      </w:r>
      <w:r w:rsidRPr="006C43D8">
        <w:rPr>
          <w:rFonts w:ascii="Arial" w:hAnsi="Arial" w:cs="Arial"/>
        </w:rPr>
        <w:lastRenderedPageBreak/>
        <w:t xml:space="preserve">the response to FFR and DJI shocks, the IDX Composite responded negatively to shocks caused by the DJIM variable from the beginning to the end of the study period. </w:t>
      </w:r>
      <w:r w:rsidR="00C63C25">
        <w:rPr>
          <w:rFonts w:ascii="Arial" w:hAnsi="Arial" w:cs="Arial"/>
        </w:rPr>
        <w:t>At</w:t>
      </w:r>
      <w:r w:rsidRPr="006C43D8">
        <w:rPr>
          <w:rFonts w:ascii="Arial" w:hAnsi="Arial" w:cs="Arial"/>
        </w:rPr>
        <w:t xml:space="preserve"> the beginning of the period</w:t>
      </w:r>
      <w:r w:rsidR="00C63C25">
        <w:rPr>
          <w:rFonts w:ascii="Arial" w:hAnsi="Arial" w:cs="Arial"/>
        </w:rPr>
        <w:t>,</w:t>
      </w:r>
      <w:r w:rsidRPr="006C43D8">
        <w:rPr>
          <w:rFonts w:ascii="Arial" w:hAnsi="Arial" w:cs="Arial"/>
        </w:rPr>
        <w:t xml:space="preserve"> the IDX Composite response was -0.02 points and reached -0.009 at the end of the study period.</w:t>
      </w:r>
    </w:p>
    <w:p w14:paraId="4C503C22" w14:textId="77777777" w:rsidR="007B4B0D" w:rsidRDefault="007B4B0D" w:rsidP="006C43D8">
      <w:pPr>
        <w:pStyle w:val="ListParagraph"/>
        <w:spacing w:after="160" w:line="240" w:lineRule="auto"/>
        <w:ind w:left="0"/>
        <w:rPr>
          <w:rFonts w:ascii="Arial" w:hAnsi="Arial" w:cs="Arial"/>
          <w:b/>
          <w:bCs/>
          <w:sz w:val="20"/>
          <w:szCs w:val="20"/>
        </w:rPr>
      </w:pPr>
    </w:p>
    <w:p w14:paraId="62A942CA" w14:textId="6798F916" w:rsidR="006C43D8" w:rsidRPr="006C43D8" w:rsidRDefault="007B4B0D" w:rsidP="006C43D8">
      <w:pPr>
        <w:pStyle w:val="ListParagraph"/>
        <w:spacing w:after="160" w:line="240" w:lineRule="auto"/>
        <w:ind w:left="0"/>
        <w:rPr>
          <w:rFonts w:ascii="Arial" w:hAnsi="Arial" w:cs="Arial"/>
          <w:b/>
          <w:bCs/>
          <w:sz w:val="20"/>
          <w:szCs w:val="20"/>
        </w:rPr>
      </w:pPr>
      <w:r>
        <w:rPr>
          <w:rFonts w:ascii="Arial" w:hAnsi="Arial" w:cs="Arial"/>
          <w:b/>
          <w:bCs/>
          <w:sz w:val="20"/>
          <w:szCs w:val="20"/>
        </w:rPr>
        <w:t xml:space="preserve">4.1.6 </w:t>
      </w:r>
      <w:r w:rsidR="006C43D8" w:rsidRPr="006C43D8">
        <w:rPr>
          <w:rFonts w:ascii="Arial" w:hAnsi="Arial" w:cs="Arial"/>
          <w:b/>
          <w:bCs/>
          <w:sz w:val="20"/>
          <w:szCs w:val="20"/>
        </w:rPr>
        <w:t xml:space="preserve">VD Test </w:t>
      </w:r>
    </w:p>
    <w:p w14:paraId="127429A2" w14:textId="77777777" w:rsidR="006C43D8" w:rsidRPr="006C43D8" w:rsidRDefault="006C43D8" w:rsidP="006C43D8">
      <w:pPr>
        <w:pStyle w:val="ListParagraph"/>
        <w:spacing w:line="240" w:lineRule="auto"/>
        <w:ind w:left="0"/>
        <w:jc w:val="center"/>
        <w:rPr>
          <w:rFonts w:ascii="Arial" w:hAnsi="Arial" w:cs="Arial"/>
          <w:b/>
          <w:bCs/>
          <w:sz w:val="20"/>
          <w:szCs w:val="20"/>
        </w:rPr>
      </w:pPr>
      <w:r w:rsidRPr="006C43D8">
        <w:rPr>
          <w:rFonts w:ascii="Arial" w:hAnsi="Arial" w:cs="Arial"/>
          <w:b/>
          <w:bCs/>
          <w:noProof/>
          <w:sz w:val="20"/>
          <w:szCs w:val="20"/>
        </w:rPr>
        <w:drawing>
          <wp:inline distT="0" distB="0" distL="0" distR="0" wp14:anchorId="7B234E0F" wp14:editId="439DA515">
            <wp:extent cx="3467100" cy="4414039"/>
            <wp:effectExtent l="0" t="0" r="0" b="5715"/>
            <wp:docPr id="1626331326" name="Picture 1" descr="A group of colorfu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31326" name="Picture 1" descr="A group of colorful bars&#10;&#10;AI-generated content may be incorrect."/>
                    <pic:cNvPicPr/>
                  </pic:nvPicPr>
                  <pic:blipFill>
                    <a:blip r:embed="rId23"/>
                    <a:stretch>
                      <a:fillRect/>
                    </a:stretch>
                  </pic:blipFill>
                  <pic:spPr>
                    <a:xfrm>
                      <a:off x="0" y="0"/>
                      <a:ext cx="3483339" cy="4434713"/>
                    </a:xfrm>
                    <a:prstGeom prst="rect">
                      <a:avLst/>
                    </a:prstGeom>
                  </pic:spPr>
                </pic:pic>
              </a:graphicData>
            </a:graphic>
          </wp:inline>
        </w:drawing>
      </w:r>
    </w:p>
    <w:p w14:paraId="0D6DF50F" w14:textId="77777777" w:rsidR="006C43D8" w:rsidRPr="006C43D8" w:rsidRDefault="006C43D8" w:rsidP="006C43D8">
      <w:pPr>
        <w:pStyle w:val="ListParagraph"/>
        <w:spacing w:line="240" w:lineRule="auto"/>
        <w:ind w:left="0"/>
        <w:jc w:val="center"/>
        <w:rPr>
          <w:rFonts w:ascii="Arial" w:hAnsi="Arial" w:cs="Arial"/>
          <w:b/>
          <w:bCs/>
          <w:sz w:val="20"/>
          <w:szCs w:val="20"/>
        </w:rPr>
      </w:pPr>
      <w:r w:rsidRPr="006C43D8">
        <w:rPr>
          <w:rFonts w:ascii="Arial" w:hAnsi="Arial" w:cs="Arial"/>
          <w:b/>
          <w:bCs/>
          <w:sz w:val="20"/>
          <w:szCs w:val="20"/>
        </w:rPr>
        <w:t>Figure 6. VD Test</w:t>
      </w:r>
    </w:p>
    <w:p w14:paraId="4E5F05AF" w14:textId="263A5359" w:rsidR="006C43D8" w:rsidRPr="006C43D8" w:rsidRDefault="006C43D8" w:rsidP="006C43D8">
      <w:pPr>
        <w:pStyle w:val="ListParagraph"/>
        <w:spacing w:line="240" w:lineRule="auto"/>
        <w:ind w:left="0"/>
        <w:jc w:val="center"/>
        <w:rPr>
          <w:rFonts w:ascii="Arial" w:hAnsi="Arial" w:cs="Arial"/>
          <w:sz w:val="20"/>
          <w:szCs w:val="20"/>
        </w:rPr>
      </w:pPr>
      <w:r w:rsidRPr="006C43D8">
        <w:rPr>
          <w:rFonts w:ascii="Arial" w:hAnsi="Arial" w:cs="Arial"/>
          <w:sz w:val="20"/>
          <w:szCs w:val="20"/>
        </w:rPr>
        <w:t>Source: Author (2024)</w:t>
      </w:r>
    </w:p>
    <w:p w14:paraId="58FB77D6" w14:textId="769F9327" w:rsidR="007B4B0D" w:rsidRDefault="006C43D8" w:rsidP="006C43D8">
      <w:pPr>
        <w:jc w:val="both"/>
        <w:rPr>
          <w:rFonts w:ascii="Arial" w:hAnsi="Arial" w:cs="Arial"/>
        </w:rPr>
      </w:pPr>
      <w:r w:rsidRPr="006C43D8">
        <w:rPr>
          <w:rFonts w:ascii="Arial" w:hAnsi="Arial" w:cs="Arial"/>
        </w:rPr>
        <w:t xml:space="preserve">In this study, a VD test was also conducted to see the magnitude of the influence </w:t>
      </w:r>
      <w:r w:rsidR="00C63C25">
        <w:rPr>
          <w:rFonts w:ascii="Arial" w:hAnsi="Arial" w:cs="Arial"/>
        </w:rPr>
        <w:t>of</w:t>
      </w:r>
      <w:r w:rsidRPr="006C43D8">
        <w:rPr>
          <w:rFonts w:ascii="Arial" w:hAnsi="Arial" w:cs="Arial"/>
        </w:rPr>
        <w:t xml:space="preserve"> variables on other variables. From this VD test, the results showed that at the beginning of the research period, the BI Rate was predominantly influenced by the inflation variable by 32.5 percent, then the variable itself by 27.7 percent, 21.6 percent influenced by the FFR variable, and 9 percent influenced by the exchange rate variable, the rest were influenced by other variables with not too large an influence. In the middle of the research period, the BI Rate variable was predominantly influenced by the variable itself by 37.8 percent</w:t>
      </w:r>
      <w:r w:rsidR="00C63C25">
        <w:rPr>
          <w:rFonts w:ascii="Arial" w:hAnsi="Arial" w:cs="Arial"/>
        </w:rPr>
        <w:t>,</w:t>
      </w:r>
      <w:r w:rsidRPr="006C43D8">
        <w:rPr>
          <w:rFonts w:ascii="Arial" w:hAnsi="Arial" w:cs="Arial"/>
        </w:rPr>
        <w:t xml:space="preserve"> which was offset by an increase in the influence of the FFR variable to 25 percent</w:t>
      </w:r>
      <w:r w:rsidR="00C63C25">
        <w:rPr>
          <w:rFonts w:ascii="Arial" w:hAnsi="Arial" w:cs="Arial"/>
        </w:rPr>
        <w:t>,</w:t>
      </w:r>
      <w:r w:rsidRPr="006C43D8">
        <w:rPr>
          <w:rFonts w:ascii="Arial" w:hAnsi="Arial" w:cs="Arial"/>
        </w:rPr>
        <w:t xml:space="preserve"> and the exchange rate rose to 12.3 percent to become the third variable contributing the largest influence on the BI Rate variable. At the end of the period, other variables continued to experience a decrease in influence, and the BI Rate variable was predominantly influenced by itself by 52.2 percent, and the FFR variable became the variable with the second largest influence after the variable itself by 18.9 percent, 13.6 percent influenced by the exchange rate, 8.3 percent by inflation, and the rest were influenced by other variables.</w:t>
      </w:r>
    </w:p>
    <w:p w14:paraId="2E7B130B" w14:textId="3657D627" w:rsidR="006C43D8" w:rsidRPr="006C43D8" w:rsidRDefault="006C43D8" w:rsidP="006C43D8">
      <w:pPr>
        <w:jc w:val="both"/>
        <w:rPr>
          <w:rFonts w:ascii="Arial" w:hAnsi="Arial" w:cs="Arial"/>
        </w:rPr>
      </w:pPr>
      <w:r w:rsidRPr="006C43D8">
        <w:rPr>
          <w:rFonts w:ascii="Arial" w:hAnsi="Arial" w:cs="Arial"/>
        </w:rPr>
        <w:lastRenderedPageBreak/>
        <w:t>The second variable is the exchange rate variable. The VD test shows that the exchange rate variable is dominated by the variable itself by 37.4 percent at the beginning of the study period, then 32.2 percent is influenced by JII</w:t>
      </w:r>
      <w:r w:rsidR="00C63C25">
        <w:rPr>
          <w:rFonts w:ascii="Arial" w:hAnsi="Arial" w:cs="Arial"/>
        </w:rPr>
        <w:t>,</w:t>
      </w:r>
      <w:r w:rsidRPr="006C43D8">
        <w:rPr>
          <w:rFonts w:ascii="Arial" w:hAnsi="Arial" w:cs="Arial"/>
        </w:rPr>
        <w:t xml:space="preserve"> 11.1 percent is influenced by DJI, and the rest is influenced by other variables. In the middle of the period, the exchange rate and JII variables experienced a decrease in influence to 35.2 percent and 21.7 percent. This condition is accompanied by an increase in the influence of the DJI, FFR, and inflation variables by 16.4, 11.9, and 7.9 percent. Despite the decrease in influence, the exchange rate variable is still dominated by the variable itself by 27.7 percent. Then the second largest influence </w:t>
      </w:r>
      <w:r w:rsidR="00C63C25">
        <w:rPr>
          <w:rFonts w:ascii="Arial" w:hAnsi="Arial" w:cs="Arial"/>
        </w:rPr>
        <w:t xml:space="preserve">is </w:t>
      </w:r>
      <w:r w:rsidRPr="006C43D8">
        <w:rPr>
          <w:rFonts w:ascii="Arial" w:hAnsi="Arial" w:cs="Arial"/>
        </w:rPr>
        <w:t>by DJI by 22.6 percent</w:t>
      </w:r>
      <w:r w:rsidR="00C63C25">
        <w:rPr>
          <w:rFonts w:ascii="Arial" w:hAnsi="Arial" w:cs="Arial"/>
        </w:rPr>
        <w:t>,</w:t>
      </w:r>
      <w:r w:rsidRPr="006C43D8">
        <w:rPr>
          <w:rFonts w:ascii="Arial" w:hAnsi="Arial" w:cs="Arial"/>
        </w:rPr>
        <w:t xml:space="preserve"> and then the third largest influence is from the FFR variable with a value of 21.1 percent. The variable contributing the next largest influence is JII with a value of 13.6 percent, and the rest is influenced by other variables.</w:t>
      </w:r>
    </w:p>
    <w:p w14:paraId="261BF0F9" w14:textId="77777777" w:rsidR="007B4B0D" w:rsidRDefault="007B4B0D" w:rsidP="006C43D8">
      <w:pPr>
        <w:jc w:val="both"/>
        <w:rPr>
          <w:rFonts w:ascii="Arial" w:hAnsi="Arial" w:cs="Arial"/>
        </w:rPr>
      </w:pPr>
    </w:p>
    <w:p w14:paraId="42966749" w14:textId="5614DEFE" w:rsidR="006C43D8" w:rsidRPr="006C43D8" w:rsidRDefault="006C43D8" w:rsidP="006C43D8">
      <w:pPr>
        <w:jc w:val="both"/>
        <w:rPr>
          <w:rFonts w:ascii="Arial" w:hAnsi="Arial" w:cs="Arial"/>
        </w:rPr>
      </w:pPr>
      <w:r w:rsidRPr="006C43D8">
        <w:rPr>
          <w:rFonts w:ascii="Arial" w:hAnsi="Arial" w:cs="Arial"/>
        </w:rPr>
        <w:t xml:space="preserve">Next is the inflation variable. From the results of the VD test, it is known that the inflation variable is predominantly influenced by the BI Rate variable. </w:t>
      </w:r>
      <w:r w:rsidR="00C63C25">
        <w:rPr>
          <w:rFonts w:ascii="Arial" w:hAnsi="Arial" w:cs="Arial"/>
        </w:rPr>
        <w:t>At</w:t>
      </w:r>
      <w:r w:rsidRPr="006C43D8">
        <w:rPr>
          <w:rFonts w:ascii="Arial" w:hAnsi="Arial" w:cs="Arial"/>
        </w:rPr>
        <w:t xml:space="preserve"> the beginning of the period</w:t>
      </w:r>
      <w:r w:rsidR="00C63C25">
        <w:rPr>
          <w:rFonts w:ascii="Arial" w:hAnsi="Arial" w:cs="Arial"/>
        </w:rPr>
        <w:t>,</w:t>
      </w:r>
      <w:r w:rsidRPr="006C43D8">
        <w:rPr>
          <w:rFonts w:ascii="Arial" w:hAnsi="Arial" w:cs="Arial"/>
        </w:rPr>
        <w:t xml:space="preserve"> the BI Rate has an effect of 28.9 percent. In addition to being influenced by interest rates, the inflation variable is also influenced by the variable itself by 26.6 percent, the DJIM variable by 15.4 percent, the JII variable by 10.5 percent, and the rest is influenced by other variables. In the middle to the end of the period, the influence of the BI Rate continued to increase and was greater than the variable itself and other variables in the study. </w:t>
      </w:r>
      <w:r w:rsidR="00C63C25">
        <w:rPr>
          <w:rFonts w:ascii="Arial" w:hAnsi="Arial" w:cs="Arial"/>
        </w:rPr>
        <w:t>In</w:t>
      </w:r>
      <w:r w:rsidRPr="006C43D8">
        <w:rPr>
          <w:rFonts w:ascii="Arial" w:hAnsi="Arial" w:cs="Arial"/>
        </w:rPr>
        <w:t xml:space="preserve"> the fifth year</w:t>
      </w:r>
      <w:r w:rsidR="00C63C25">
        <w:rPr>
          <w:rFonts w:ascii="Arial" w:hAnsi="Arial" w:cs="Arial"/>
        </w:rPr>
        <w:t>,</w:t>
      </w:r>
      <w:r w:rsidRPr="006C43D8">
        <w:rPr>
          <w:rFonts w:ascii="Arial" w:hAnsi="Arial" w:cs="Arial"/>
        </w:rPr>
        <w:t xml:space="preserve"> the influence of the BI Rate reached 49.5 percent, and at the end of the period</w:t>
      </w:r>
      <w:r w:rsidR="00C63C25">
        <w:rPr>
          <w:rFonts w:ascii="Arial" w:hAnsi="Arial" w:cs="Arial"/>
        </w:rPr>
        <w:t>,</w:t>
      </w:r>
      <w:r w:rsidRPr="006C43D8">
        <w:rPr>
          <w:rFonts w:ascii="Arial" w:hAnsi="Arial" w:cs="Arial"/>
        </w:rPr>
        <w:t xml:space="preserve"> it reached 54.4 percent.</w:t>
      </w:r>
    </w:p>
    <w:p w14:paraId="3F6E06CE" w14:textId="77777777" w:rsidR="007B4B0D" w:rsidRDefault="007B4B0D" w:rsidP="006C43D8">
      <w:pPr>
        <w:jc w:val="both"/>
        <w:rPr>
          <w:rFonts w:ascii="Arial" w:hAnsi="Arial" w:cs="Arial"/>
        </w:rPr>
      </w:pPr>
    </w:p>
    <w:p w14:paraId="1F0530A4" w14:textId="7B95EE9A" w:rsidR="006C43D8" w:rsidRPr="006C43D8" w:rsidRDefault="006C43D8" w:rsidP="006C43D8">
      <w:pPr>
        <w:jc w:val="both"/>
        <w:rPr>
          <w:rFonts w:ascii="Arial" w:hAnsi="Arial" w:cs="Arial"/>
        </w:rPr>
      </w:pPr>
      <w:r w:rsidRPr="006C43D8">
        <w:rPr>
          <w:rFonts w:ascii="Arial" w:hAnsi="Arial" w:cs="Arial"/>
        </w:rPr>
        <w:t xml:space="preserve">The next variable is IP Growth. From the beginning to the end of the research period, IP Growth was predominantly influenced by the variable itself. </w:t>
      </w:r>
      <w:r w:rsidR="00C63C25">
        <w:rPr>
          <w:rFonts w:ascii="Arial" w:hAnsi="Arial" w:cs="Arial"/>
        </w:rPr>
        <w:t>At</w:t>
      </w:r>
      <w:r w:rsidRPr="006C43D8">
        <w:rPr>
          <w:rFonts w:ascii="Arial" w:hAnsi="Arial" w:cs="Arial"/>
        </w:rPr>
        <w:t xml:space="preserve"> the beginning of the research period</w:t>
      </w:r>
      <w:r w:rsidR="00C63C25">
        <w:rPr>
          <w:rFonts w:ascii="Arial" w:hAnsi="Arial" w:cs="Arial"/>
        </w:rPr>
        <w:t>,</w:t>
      </w:r>
      <w:r w:rsidRPr="006C43D8">
        <w:rPr>
          <w:rFonts w:ascii="Arial" w:hAnsi="Arial" w:cs="Arial"/>
        </w:rPr>
        <w:t xml:space="preserve"> its influence reached 71.7 percent. However, in the next period, the influence of the IP Growth variable continued to decline. Where in the fifth year its influence became 56.6 percent, and reached 49.2 percent in the last period. This condition was followed by an increase in the influence of the DJIM variable</w:t>
      </w:r>
      <w:r w:rsidR="00C63C25">
        <w:rPr>
          <w:rFonts w:ascii="Arial" w:hAnsi="Arial" w:cs="Arial"/>
        </w:rPr>
        <w:t>,</w:t>
      </w:r>
      <w:r w:rsidRPr="006C43D8">
        <w:rPr>
          <w:rFonts w:ascii="Arial" w:hAnsi="Arial" w:cs="Arial"/>
        </w:rPr>
        <w:t xml:space="preserve"> which contributed the second largest influence after the variable itself of 19.5 percent.</w:t>
      </w:r>
    </w:p>
    <w:p w14:paraId="27B015CC" w14:textId="77777777" w:rsidR="007B4B0D" w:rsidRDefault="007B4B0D" w:rsidP="006C43D8">
      <w:pPr>
        <w:jc w:val="both"/>
        <w:rPr>
          <w:rFonts w:ascii="Arial" w:hAnsi="Arial" w:cs="Arial"/>
        </w:rPr>
      </w:pPr>
    </w:p>
    <w:p w14:paraId="2527C43E" w14:textId="509C12F6" w:rsidR="006C43D8" w:rsidRPr="006C43D8" w:rsidRDefault="006C43D8" w:rsidP="006C43D8">
      <w:pPr>
        <w:jc w:val="both"/>
        <w:rPr>
          <w:rFonts w:ascii="Arial" w:hAnsi="Arial" w:cs="Arial"/>
        </w:rPr>
      </w:pPr>
      <w:r w:rsidRPr="006C43D8">
        <w:rPr>
          <w:rFonts w:ascii="Arial" w:hAnsi="Arial" w:cs="Arial"/>
        </w:rPr>
        <w:t>In the JII variable, at the beginning of the period, the largest influence was dominated by the DJIM variable with an influence of 38.4 percent</w:t>
      </w:r>
      <w:r w:rsidR="00C63C25">
        <w:rPr>
          <w:rFonts w:ascii="Arial" w:hAnsi="Arial" w:cs="Arial"/>
        </w:rPr>
        <w:t>.</w:t>
      </w:r>
      <w:r w:rsidRPr="006C43D8">
        <w:rPr>
          <w:rFonts w:ascii="Arial" w:hAnsi="Arial" w:cs="Arial"/>
        </w:rPr>
        <w:t xml:space="preserve"> JII was also influenced by the variable itself by 16 percent, the exchange rate variable by 14.3 percent, and the rest was influenced by other variables. In the following periods, the influence of the DJIM variable was getting bigger. </w:t>
      </w:r>
      <w:r w:rsidR="00C63C25">
        <w:rPr>
          <w:rFonts w:ascii="Arial" w:hAnsi="Arial" w:cs="Arial"/>
        </w:rPr>
        <w:t>In</w:t>
      </w:r>
      <w:r w:rsidRPr="006C43D8">
        <w:rPr>
          <w:rFonts w:ascii="Arial" w:hAnsi="Arial" w:cs="Arial"/>
        </w:rPr>
        <w:t xml:space="preserve"> the fifth year</w:t>
      </w:r>
      <w:r w:rsidR="00C63C25">
        <w:rPr>
          <w:rFonts w:ascii="Arial" w:hAnsi="Arial" w:cs="Arial"/>
        </w:rPr>
        <w:t>,</w:t>
      </w:r>
      <w:r w:rsidRPr="006C43D8">
        <w:rPr>
          <w:rFonts w:ascii="Arial" w:hAnsi="Arial" w:cs="Arial"/>
        </w:rPr>
        <w:t xml:space="preserve"> its influence increased to 53.3 percent and reached 60.1 percent at the end of the research period. And 10.2 percent was influenced by the DJI variable</w:t>
      </w:r>
      <w:r w:rsidR="00C63C25">
        <w:rPr>
          <w:rFonts w:ascii="Arial" w:hAnsi="Arial" w:cs="Arial"/>
        </w:rPr>
        <w:t>,</w:t>
      </w:r>
      <w:r w:rsidRPr="006C43D8">
        <w:rPr>
          <w:rFonts w:ascii="Arial" w:hAnsi="Arial" w:cs="Arial"/>
        </w:rPr>
        <w:t xml:space="preserve"> which made it the second variable with the largest influence on the JII variable.</w:t>
      </w:r>
    </w:p>
    <w:p w14:paraId="205D7D73" w14:textId="77777777" w:rsidR="007B4B0D" w:rsidRDefault="007B4B0D" w:rsidP="006C43D8">
      <w:pPr>
        <w:jc w:val="both"/>
        <w:rPr>
          <w:rFonts w:ascii="Arial" w:hAnsi="Arial" w:cs="Arial"/>
        </w:rPr>
      </w:pPr>
    </w:p>
    <w:p w14:paraId="01A04F00" w14:textId="1DCEC186" w:rsidR="006C43D8" w:rsidRPr="006C43D8" w:rsidRDefault="006C43D8" w:rsidP="006C43D8">
      <w:pPr>
        <w:jc w:val="both"/>
        <w:rPr>
          <w:rFonts w:ascii="Arial" w:hAnsi="Arial" w:cs="Arial"/>
        </w:rPr>
      </w:pPr>
      <w:r w:rsidRPr="006C43D8">
        <w:rPr>
          <w:rFonts w:ascii="Arial" w:hAnsi="Arial" w:cs="Arial"/>
        </w:rPr>
        <w:t xml:space="preserve">The last variable is the IDX Composite variable. In the IDX Composite variable, the largest influence is dominated by the DJIM variable and the exchange rate. </w:t>
      </w:r>
      <w:r w:rsidR="00C63C25">
        <w:rPr>
          <w:rFonts w:ascii="Arial" w:hAnsi="Arial" w:cs="Arial"/>
        </w:rPr>
        <w:t>At</w:t>
      </w:r>
      <w:r w:rsidRPr="006C43D8">
        <w:rPr>
          <w:rFonts w:ascii="Arial" w:hAnsi="Arial" w:cs="Arial"/>
        </w:rPr>
        <w:t xml:space="preserve"> the beginning of the research period</w:t>
      </w:r>
      <w:r w:rsidR="00C63C25">
        <w:rPr>
          <w:rFonts w:ascii="Arial" w:hAnsi="Arial" w:cs="Arial"/>
        </w:rPr>
        <w:t>,</w:t>
      </w:r>
      <w:r w:rsidRPr="006C43D8">
        <w:rPr>
          <w:rFonts w:ascii="Arial" w:hAnsi="Arial" w:cs="Arial"/>
        </w:rPr>
        <w:t xml:space="preserve"> DJIM contributed an influence of 32 percent and the exchange rate of 24.8 percent. In addition, at the beginning of the research period, the BI Rate also contributed an influence of 18.6 percent to the IDX Composite variable. However, in the middle to the end of the period, the influence of the exchange rate and BI Rate decreased. This condition is followed by an increase in the influence of the DJIM variable</w:t>
      </w:r>
      <w:r w:rsidR="00C63C25">
        <w:rPr>
          <w:rFonts w:ascii="Arial" w:hAnsi="Arial" w:cs="Arial"/>
        </w:rPr>
        <w:t>,</w:t>
      </w:r>
      <w:r w:rsidRPr="006C43D8">
        <w:rPr>
          <w:rFonts w:ascii="Arial" w:hAnsi="Arial" w:cs="Arial"/>
        </w:rPr>
        <w:t xml:space="preserve"> which is increasingly dominant. </w:t>
      </w:r>
      <w:r w:rsidR="00C63C25">
        <w:rPr>
          <w:rFonts w:ascii="Arial" w:hAnsi="Arial" w:cs="Arial"/>
        </w:rPr>
        <w:t>In</w:t>
      </w:r>
      <w:r w:rsidRPr="006C43D8">
        <w:rPr>
          <w:rFonts w:ascii="Arial" w:hAnsi="Arial" w:cs="Arial"/>
        </w:rPr>
        <w:t xml:space="preserve"> the fifth year</w:t>
      </w:r>
      <w:r w:rsidR="00C63C25">
        <w:rPr>
          <w:rFonts w:ascii="Arial" w:hAnsi="Arial" w:cs="Arial"/>
        </w:rPr>
        <w:t>,</w:t>
      </w:r>
      <w:r w:rsidRPr="006C43D8">
        <w:rPr>
          <w:rFonts w:ascii="Arial" w:hAnsi="Arial" w:cs="Arial"/>
        </w:rPr>
        <w:t xml:space="preserve"> its influence reached 42.6 percent.</w:t>
      </w:r>
    </w:p>
    <w:p w14:paraId="7E03699F" w14:textId="77777777" w:rsidR="006C43D8" w:rsidRPr="006C43D8" w:rsidRDefault="006C43D8" w:rsidP="006C43D8">
      <w:pPr>
        <w:pBdr>
          <w:top w:val="nil"/>
          <w:left w:val="nil"/>
          <w:bottom w:val="nil"/>
          <w:right w:val="nil"/>
          <w:between w:val="nil"/>
        </w:pBdr>
        <w:tabs>
          <w:tab w:val="left" w:pos="1600"/>
        </w:tabs>
        <w:contextualSpacing/>
        <w:jc w:val="both"/>
        <w:rPr>
          <w:rFonts w:ascii="Arial" w:eastAsia="Palatino Linotype" w:hAnsi="Arial" w:cs="Arial"/>
          <w:b/>
          <w:bCs/>
          <w:color w:val="000000"/>
        </w:rPr>
      </w:pPr>
    </w:p>
    <w:p w14:paraId="63F7E28F" w14:textId="78764AF4" w:rsidR="006C43D8" w:rsidRDefault="007B4B0D" w:rsidP="007B4B0D">
      <w:pPr>
        <w:pStyle w:val="Heading1"/>
        <w:numPr>
          <w:ilvl w:val="1"/>
          <w:numId w:val="33"/>
        </w:numPr>
        <w:spacing w:before="0" w:after="0"/>
        <w:contextualSpacing/>
        <w:rPr>
          <w:rFonts w:cs="Arial"/>
          <w:bCs/>
          <w:color w:val="000000" w:themeColor="text1"/>
          <w:sz w:val="20"/>
        </w:rPr>
      </w:pPr>
      <w:r w:rsidRPr="006C43D8">
        <w:rPr>
          <w:rFonts w:cs="Arial"/>
          <w:bCs/>
          <w:color w:val="000000" w:themeColor="text1"/>
          <w:sz w:val="20"/>
        </w:rPr>
        <w:t>DISCUSSION</w:t>
      </w:r>
    </w:p>
    <w:p w14:paraId="55A27A09" w14:textId="77777777" w:rsidR="007D22F2" w:rsidRPr="007D22F2" w:rsidRDefault="007D22F2" w:rsidP="007D22F2"/>
    <w:p w14:paraId="02CB3EA1" w14:textId="11CAB8A0" w:rsidR="007D22F2" w:rsidRPr="007D22F2" w:rsidRDefault="007D22F2" w:rsidP="007D22F2">
      <w:pPr>
        <w:jc w:val="both"/>
      </w:pPr>
      <w:r w:rsidRPr="007D22F2">
        <w:t xml:space="preserve">Based on the research findings above, this discussion aims to explain and provide a deeper understanding of the dynamics and relationships between US variables and the Indonesian economy and stock market. This discussion is also structured to directly answer the previously formulated research questions, thus providing a comprehensive understanding of </w:t>
      </w:r>
      <w:r w:rsidRPr="007D22F2">
        <w:lastRenderedPageBreak/>
        <w:t>the impact of US monetary policy, conventional stocks, and Islamic stocks on the Indonesian economy and stock market.</w:t>
      </w:r>
    </w:p>
    <w:p w14:paraId="37BB7F9C" w14:textId="77777777" w:rsidR="006C43D8" w:rsidRPr="006C43D8" w:rsidRDefault="006C43D8" w:rsidP="006C43D8">
      <w:pPr>
        <w:rPr>
          <w:rFonts w:ascii="Arial" w:hAnsi="Arial" w:cs="Arial"/>
        </w:rPr>
      </w:pPr>
    </w:p>
    <w:p w14:paraId="2F1B6096" w14:textId="4136E67F" w:rsidR="006C43D8" w:rsidRPr="006C43D8" w:rsidRDefault="007B4B0D" w:rsidP="006C43D8">
      <w:pPr>
        <w:jc w:val="both"/>
        <w:rPr>
          <w:rFonts w:ascii="Arial" w:hAnsi="Arial" w:cs="Arial"/>
          <w:b/>
          <w:bCs/>
        </w:rPr>
      </w:pPr>
      <w:r>
        <w:rPr>
          <w:rFonts w:ascii="Arial" w:hAnsi="Arial" w:cs="Arial"/>
          <w:b/>
          <w:bCs/>
        </w:rPr>
        <w:t xml:space="preserve">4.2.1 </w:t>
      </w:r>
      <w:r w:rsidR="006C43D8" w:rsidRPr="006C43D8">
        <w:rPr>
          <w:rFonts w:ascii="Arial" w:hAnsi="Arial" w:cs="Arial"/>
          <w:b/>
          <w:bCs/>
        </w:rPr>
        <w:t>The Influence of Changes in the Direction of US Monetary Policy on the Indonesian Economy</w:t>
      </w:r>
    </w:p>
    <w:p w14:paraId="485516F6" w14:textId="6938128B" w:rsidR="006C43D8" w:rsidRPr="006C43D8" w:rsidRDefault="006C43D8" w:rsidP="006C43D8">
      <w:pPr>
        <w:jc w:val="both"/>
        <w:rPr>
          <w:rFonts w:ascii="Arial" w:hAnsi="Arial" w:cs="Arial"/>
        </w:rPr>
      </w:pPr>
      <w:r w:rsidRPr="006C43D8">
        <w:rPr>
          <w:rFonts w:ascii="Arial" w:hAnsi="Arial" w:cs="Arial"/>
        </w:rPr>
        <w:t>In recent decades, the world's central banks have tightened policy by aggressively raising interest rates, including the Fed</w:t>
      </w:r>
      <w:r w:rsidR="00C63C25">
        <w:rPr>
          <w:rFonts w:ascii="Arial" w:hAnsi="Arial" w:cs="Arial"/>
        </w:rPr>
        <w:t>,</w:t>
      </w:r>
      <w:r w:rsidRPr="006C43D8">
        <w:rPr>
          <w:rFonts w:ascii="Arial" w:hAnsi="Arial" w:cs="Arial"/>
        </w:rPr>
        <w:t xml:space="preserve"> which increased the benchmark interest rate, </w:t>
      </w:r>
      <w:r w:rsidR="00D86414">
        <w:rPr>
          <w:rFonts w:ascii="Arial" w:hAnsi="Arial" w:cs="Arial"/>
        </w:rPr>
        <w:t xml:space="preserve">the </w:t>
      </w:r>
      <w:r w:rsidRPr="006C43D8">
        <w:rPr>
          <w:rFonts w:ascii="Arial" w:hAnsi="Arial" w:cs="Arial"/>
        </w:rPr>
        <w:t xml:space="preserve">Federal Funds Rate (FFR) </w:t>
      </w:r>
      <w:r w:rsidRPr="006C43D8">
        <w:rPr>
          <w:rFonts w:ascii="Arial" w:hAnsi="Arial" w:cs="Arial"/>
        </w:rPr>
        <w:fldChar w:fldCharType="begin" w:fldLock="1"/>
      </w:r>
      <w:r w:rsidR="003E3217">
        <w:rPr>
          <w:rFonts w:ascii="Arial" w:hAnsi="Arial" w:cs="Arial"/>
        </w:rPr>
        <w:instrText>ADDIN CSL_CITATION {"citationItems":[{"id":"ITEM-1","itemData":{"URL":"https://www.imf.org/en/Blogs/Articles/2023/10/10/higher-for-longer-interest-rate-environment-is-squeezing-more-borrowers","accessed":{"date-parts":[["2024","9","22"]]},"author":[{"dropping-particle":"","family":"Adrian","given":"Tobias","non-dropping-particle":"","parse-names":false,"suffix":""}],"container-title":"IMF Blog","id":"ITEM-1","issued":{"date-parts":[["2023"]]},"title":"Higher-for-Longer Interest Rate Environment is Squeezing More Borrowers","type":"webpage"},"uris":["http://www.mendeley.com/documents/?uuid=4a0e0063-3374-49ac-ba1c-ac1cc5879f12"]}],"mendeley":{"formattedCitation":"(Adrian, 2023)","plainTextFormattedCitation":"(Adrian, 2023)","previouslyFormattedCitation":"(Adrian, 2023)"},"properties":{"noteIndex":0},"schema":"https://github.com/citation-style-language/schema/raw/master/csl-citation.json"}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(Adrian, 2023)</w:t>
      </w:r>
      <w:r w:rsidRPr="006C43D8">
        <w:rPr>
          <w:rFonts w:ascii="Arial" w:hAnsi="Arial" w:cs="Arial"/>
        </w:rPr>
        <w:fldChar w:fldCharType="end"/>
      </w:r>
      <w:r w:rsidRPr="006C43D8">
        <w:rPr>
          <w:rFonts w:ascii="Arial" w:hAnsi="Arial" w:cs="Arial"/>
        </w:rPr>
        <w:t xml:space="preserve">. According to Liu, </w:t>
      </w:r>
      <w:r w:rsidRPr="006C43D8">
        <w:rPr>
          <w:rFonts w:ascii="Arial" w:hAnsi="Arial" w:cs="Arial"/>
        </w:rPr>
        <w:fldChar w:fldCharType="begin" w:fldLock="1"/>
      </w:r>
      <w:r w:rsidRPr="006C43D8">
        <w:rPr>
          <w:rFonts w:ascii="Arial" w:hAnsi="Arial" w:cs="Arial"/>
        </w:rPr>
        <w:instrText>ADDIN CSL_CITATION {"citationItems":[{"id":"ITEM-1","itemData":{"DOI":"10.54097/gqe7gc61","abstract":"The international situation is tense, and the international economic situation is in a state of instability. Political factors similar to the Russian-Ukrainian war and the Palestinian-Israeli conflict continue to affect international economic trade deeply. As the country with the highest global GDP, the United States, its economic policy has a pivotal impact on the global economy. Because of the instability of the external environment and violent internal conflicts, coupled with the local economic situation being in a downward phase, the United States has adopted a more extreme monetary policy of interest rate hikes to absorb the dollar capital from all over the world back to the United States. This article is based on the U.S. interest rate hike for the U.S. itself, developed capitalist countries, the Chinese region, and the Asian economic backwardness of the country's impact, as well as some of the countries for the U.S. interest rate hike policy to take measures, and combined with the U.S. interest rate hike in the past the purpose and impact of the U.S. to analyze the United States of America's further economic decision-making trends and the future trend of the international economic and political trends, and to explore the China and other countries to better cope with the method. The study finds that the Fed's big move to carry out the interest rate hike this time is related to the unemployment problem within the United States, the racial problem and cultural conflict, as well as the leftover problems after the end of the epidemic, and uses this as a lead to try to adjust the economic situation of the whole world. Through the tidal wave of the dollar, hostile countries are weakened, paving the way for future wars or better control of the entire international situation.","author":[{"dropping-particle":"","family":"Liu","given":"Xi","non-dropping-particle":"","parse-names":false,"suffix":""}],"container-title":"Highlights in Business, Economics and Management","id":"ITEM-1","issued":{"date-parts":[["2024"]]},"page":"287-294","title":"The Global Impact of and Response to the Fed's Interest Rate Hike","type":"article-journal","volume":"28"},"suppress-author":1,"uris":["http://www.mendeley.com/documents/?uuid=19a1d3d5-323d-41e8-8c48-9640891ee968"]}],"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The United States implemented the policy of increasing interest rates to attract capital into the country. As the center of the global economy, the shift in monetary policy's trajectory brought about by the FFR interest rate increase certainly does not only affect the economic conditions and capital flows of the United States. According to Mukhlis et al., </w:t>
      </w:r>
      <w:r w:rsidRPr="006C43D8">
        <w:rPr>
          <w:rFonts w:ascii="Arial" w:hAnsi="Arial" w:cs="Arial"/>
        </w:rPr>
        <w:fldChar w:fldCharType="begin" w:fldLock="1"/>
      </w:r>
      <w:r w:rsidRPr="006C43D8">
        <w:rPr>
          <w:rFonts w:ascii="Arial" w:hAnsi="Arial" w:cs="Arial"/>
        </w:rPr>
        <w:instrText>ADDIN CSL_CITATION {"citationItems":[{"id":"ITEM-1","itemData":{"DOI":"10.2478/jcbtp-2020-0007","ISSN":"23369205","abstract":"This research aims to analyse the response of the Bank Indonesia (BI rate) to the Indonesian economic stability. The data analysis is stationarity test, model stability test, lag determination, Structural Vector Autoregression (SVAR), Impulse Response Function (IRF), and Variance Decomposition (VD). The research data is obtained from the publication provided by the Federal Reserve Data (FRED), the Bank Indonesia, and the Central Bureau of Statistics. The data used is since the third quarter of 2005 to the first quarter of 2017. The research results showed that the variable of the federal funds rate (FFR) significantly influences the exchange rate and the Consumer Price Index (CPI), but it does not significantly affect the BI rate, the amount of the money supply (M2), and Gross Domestic Product (GDP). The result of the IRF test showed that the BI rate, the amount of money supply, exchange rate (IDR/USD), GDP, and CPI positively and negatively respond the FFR change. The result of VD test indicated that the variation of the BI rate, the currency exchange rate, and CPI are mostly caused by the FFR variation.","author":[{"dropping-particle":"","family":"Mukhlis","given":"Imam","non-dropping-particle":"","parse-names":false,"suffix":""},{"dropping-particle":"","family":"Hidayah","given":"Isnawati","non-dropping-particle":"","parse-names":false,"suffix":""},{"dropping-particle":"","family":"Retnasih","given":"Nora Ria","non-dropping-particle":"","parse-names":false,"suffix":""}],"container-title":"Journal of Central Banking Theory and Practice","id":"ITEM-1","issue":"1","issued":{"date-parts":[["2020"]]},"page":"111-133","title":"Interest Rate Volatility of the Federal Funds Rate: Response of the Bank Indonesia and its Impact on the Indonesian Economic Stability","type":"article-journal","volume":"9"},"suppress-author":1,"uris":["http://www.mendeley.com/documents/?uuid=b5ef5229-4609-4b08-9323-dfc1746b5c0d"]}],"mendeley":{"formattedCitation":"(2020)","plainTextFormattedCitation":"(2020)","previouslyFormattedCitation":"(2020)"},"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(2020)</w:t>
      </w:r>
      <w:r w:rsidRPr="006C43D8">
        <w:rPr>
          <w:rFonts w:ascii="Arial" w:hAnsi="Arial" w:cs="Arial"/>
        </w:rPr>
        <w:fldChar w:fldCharType="end"/>
      </w:r>
      <w:r w:rsidRPr="006C43D8">
        <w:rPr>
          <w:rFonts w:ascii="Arial" w:hAnsi="Arial" w:cs="Arial"/>
        </w:rPr>
        <w:t xml:space="preserve">The FFR interest rate policy implemented by </w:t>
      </w:r>
      <w:r w:rsidR="00C63C25">
        <w:rPr>
          <w:rFonts w:ascii="Arial" w:hAnsi="Arial" w:cs="Arial"/>
        </w:rPr>
        <w:t>the</w:t>
      </w:r>
      <w:r w:rsidRPr="006C43D8">
        <w:rPr>
          <w:rFonts w:ascii="Arial" w:hAnsi="Arial" w:cs="Arial"/>
        </w:rPr>
        <w:t xml:space="preserve"> Fed is also a reference for global monetary decision-making. The Fed's policy of continuing to raise the FFR in the long term</w:t>
      </w:r>
      <w:r w:rsidR="00C63C25">
        <w:rPr>
          <w:rFonts w:ascii="Arial" w:hAnsi="Arial" w:cs="Arial"/>
        </w:rPr>
        <w:t>,</w:t>
      </w:r>
      <w:r w:rsidRPr="006C43D8">
        <w:rPr>
          <w:rFonts w:ascii="Arial" w:hAnsi="Arial" w:cs="Arial"/>
        </w:rPr>
        <w:t xml:space="preserve"> or what is often known as the Higher for Longer phenomenon</w:t>
      </w:r>
      <w:r w:rsidR="00C63C25">
        <w:rPr>
          <w:rFonts w:ascii="Arial" w:hAnsi="Arial" w:cs="Arial"/>
        </w:rPr>
        <w:t>,</w:t>
      </w:r>
      <w:r w:rsidRPr="006C43D8">
        <w:rPr>
          <w:rFonts w:ascii="Arial" w:hAnsi="Arial" w:cs="Arial"/>
        </w:rPr>
        <w:t xml:space="preserve"> certainly has a significant chain effect on global economic stability, including the economic stability of countries with small open economic systems such as Indonesia</w:t>
      </w:r>
      <w:r w:rsidR="00C63C25">
        <w:rPr>
          <w:rFonts w:ascii="Arial" w:hAnsi="Arial" w:cs="Arial"/>
        </w:rPr>
        <w:t xml:space="preserve"> </w:t>
      </w:r>
      <w:r w:rsidRPr="006C43D8">
        <w:rPr>
          <w:rFonts w:ascii="Arial" w:hAnsi="Arial" w:cs="Arial"/>
        </w:rPr>
        <w:fldChar w:fldCharType="begin" w:fldLock="1"/>
      </w:r>
      <w:r w:rsidR="003E3217">
        <w:rPr>
          <w:rFonts w:ascii="Arial" w:hAnsi="Arial" w:cs="Arial"/>
        </w:rPr>
        <w:instrText>ADDIN CSL_CITATION {"citationItems":[{"id":"ITEM-1","itemData":{"DOI":"10.54097/gqe7gc61","abstract":"The international situation is tense, and the international economic situation is in a state of instability. Political factors similar to the Russian-Ukrainian war and the Palestinian-Israeli conflict continue to affect international economic trade deeply. As the country with the highest global GDP, the United States, its economic policy has a pivotal impact on the global economy. Because of the instability of the external environment and violent internal conflicts, coupled with the local economic situation being in a downward phase, the United States has adopted a more extreme monetary policy of interest rate hikes to absorb the dollar capital from all over the world back to the United States. This article is based on the U.S. interest rate hike for the U.S. itself, developed capitalist countries, the Chinese region, and the Asian economic backwardness of the country's impact, as well as some of the countries for the U.S. interest rate hike policy to take measures, and combined with the U.S. interest rate hike in the past the purpose and impact of the U.S. to analyze the United States of America's further economic decision-making trends and the future trend of the international economic and political trends, and to explore the China and other countries to better cope with the method. The study finds that the Fed's big move to carry out the interest rate hike this time is related to the unemployment problem within the United States, the racial problem and cultural conflict, as well as the leftover problems after the end of the epidemic, and uses this as a lead to try to adjust the economic situation of the whole world. Through the tidal wave of the dollar, hostile countries are weakened, paving the way for future wars or better control of the entire international situation.","author":[{"dropping-particle":"","family":"Liu","given":"Xi","non-dropping-particle":"","parse-names":false,"suffix":""}],"container-title":"Highlights in Business, Economics and Management","id":"ITEM-1","issued":{"date-parts":[["2024"]]},"page":"287-294","title":"The Global Impact of and Response to the Fed's Interest Rate Hike","type":"article-journal","volume":"28"},"uris":["http://www.mendeley.com/documents/?uuid=19a1d3d5-323d-41e8-8c48-9640891ee968"]}],"mendeley":{"formattedCitation":"(Liu, 2024)","plainTextFormattedCitation":"(Liu, 2024)","previouslyFormattedCitation":"(Liu, 2024)"},"properties":{"noteIndex":0},"schema":"https://github.com/citation-style-language/schema/raw/master/csl-citation.json"}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(Liu, 2024)</w:t>
      </w:r>
      <w:r w:rsidRPr="006C43D8">
        <w:rPr>
          <w:rFonts w:ascii="Arial" w:hAnsi="Arial" w:cs="Arial"/>
        </w:rPr>
        <w:fldChar w:fldCharType="end"/>
      </w:r>
      <w:r w:rsidRPr="006C43D8">
        <w:rPr>
          <w:rFonts w:ascii="Arial" w:hAnsi="Arial" w:cs="Arial"/>
        </w:rPr>
        <w:t xml:space="preserve">. </w:t>
      </w:r>
    </w:p>
    <w:p w14:paraId="43B2B1A4" w14:textId="77777777" w:rsidR="007B4B0D" w:rsidRDefault="007B4B0D" w:rsidP="006C43D8">
      <w:pPr>
        <w:jc w:val="both"/>
        <w:rPr>
          <w:rFonts w:ascii="Arial" w:hAnsi="Arial" w:cs="Arial"/>
        </w:rPr>
      </w:pPr>
    </w:p>
    <w:p w14:paraId="035EA540" w14:textId="73EDD790" w:rsidR="006C43D8" w:rsidRPr="006C43D8" w:rsidRDefault="006C43D8" w:rsidP="006C43D8">
      <w:pPr>
        <w:jc w:val="both"/>
        <w:rPr>
          <w:rFonts w:ascii="Arial" w:hAnsi="Arial" w:cs="Arial"/>
        </w:rPr>
      </w:pPr>
      <w:r w:rsidRPr="006C43D8">
        <w:rPr>
          <w:rFonts w:ascii="Arial" w:hAnsi="Arial" w:cs="Arial"/>
        </w:rPr>
        <w:t>According to the open economy benchmark model, the home country's monetary policy</w:t>
      </w:r>
      <w:r w:rsidR="00C63C25">
        <w:rPr>
          <w:rFonts w:ascii="Arial" w:hAnsi="Arial" w:cs="Arial"/>
        </w:rPr>
        <w:t>,</w:t>
      </w:r>
      <w:r w:rsidRPr="006C43D8">
        <w:rPr>
          <w:rFonts w:ascii="Arial" w:hAnsi="Arial" w:cs="Arial"/>
        </w:rPr>
        <w:t xml:space="preserve"> in this case, the United States</w:t>
      </w:r>
      <w:r w:rsidR="00C63C25">
        <w:rPr>
          <w:rFonts w:ascii="Arial" w:hAnsi="Arial" w:cs="Arial"/>
        </w:rPr>
        <w:t>,</w:t>
      </w:r>
      <w:r w:rsidRPr="006C43D8">
        <w:rPr>
          <w:rFonts w:ascii="Arial" w:hAnsi="Arial" w:cs="Arial"/>
        </w:rPr>
        <w:t xml:space="preserve"> influences the foreign economy in three ways. The first is through the exchange rate channel, domestic demand, and the financial channel through the country's monetary policy </w:t>
      </w:r>
      <w:r w:rsidRPr="006C43D8">
        <w:rPr>
          <w:rFonts w:ascii="Arial" w:hAnsi="Arial" w:cs="Arial"/>
        </w:rPr>
        <w:fldChar w:fldCharType="begin" w:fldLock="1"/>
      </w:r>
      <w:r w:rsidR="003E3217">
        <w:rPr>
          <w:rFonts w:ascii="Arial" w:hAnsi="Arial" w:cs="Arial"/>
        </w:rPr>
        <w:instrText>ADDIN CSL_CITATION {"citationItems":[{"id":"ITEM-1","itemData":{"URL":"https://www.federalreserve.gov/econres/notes/feds-notes/international-spillovers-of-tighter-monetary-policy-20221222.html","accessed":{"date-parts":[["2024","9","22"]]},"author":[{"dropping-particle":"","family":"Caldara","given":"Dario","non-dropping-particle":"","parse-names":false,"suffix":""},{"dropping-particle":"","family":"Ferrante","given":"Francesco","non-dropping-particle":"","parse-names":false,"suffix":""},{"dropping-particle":"","family":"Queralto","given":"Albert","non-dropping-particle":"","parse-names":false,"suffix":""}],"container-title":"Board of Governors of the Federal Reserve System","id":"ITEM-1","issued":{"date-parts":[["2022"]]},"title":"International Spillovers of Tighter Monetary Policy","type":"webpage"},"uris":["http://www.mendeley.com/documents/?uuid=f73f2d74-308e-43a2-ab56-55585014e707"]}],"mendeley":{"formattedCitation":"(Caldara et al., 2022)","plainTextFormattedCitation":"(Caldara et al., 2022)","previouslyFormattedCitation":"(Caldara et al., 2022)"},"properties":{"noteIndex":0},"schema":"https://github.com/citation-style-language/schema/raw/master/csl-citation.json"}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(Caldara et al., 2022)</w:t>
      </w:r>
      <w:r w:rsidRPr="006C43D8">
        <w:rPr>
          <w:rFonts w:ascii="Arial" w:hAnsi="Arial" w:cs="Arial"/>
        </w:rPr>
        <w:fldChar w:fldCharType="end"/>
      </w:r>
      <w:r w:rsidRPr="006C43D8">
        <w:rPr>
          <w:rFonts w:ascii="Arial" w:hAnsi="Arial" w:cs="Arial"/>
        </w:rPr>
        <w:t xml:space="preserve">. </w:t>
      </w:r>
      <w:proofErr w:type="spellStart"/>
      <w:r w:rsidRPr="006C43D8">
        <w:rPr>
          <w:rFonts w:ascii="Arial" w:hAnsi="Arial" w:cs="Arial"/>
        </w:rPr>
        <w:t>Teapon</w:t>
      </w:r>
      <w:proofErr w:type="spellEnd"/>
      <w:r w:rsidRPr="006C43D8">
        <w:rPr>
          <w:rFonts w:ascii="Arial" w:hAnsi="Arial" w:cs="Arial"/>
        </w:rPr>
        <w:t xml:space="preserve"> &amp; Mustafa, </w:t>
      </w:r>
      <w:r w:rsidRPr="006C43D8">
        <w:rPr>
          <w:rFonts w:ascii="Arial" w:hAnsi="Arial" w:cs="Arial"/>
        </w:rPr>
        <w:fldChar w:fldCharType="begin" w:fldLock="1"/>
      </w:r>
      <w:r w:rsidRPr="006C43D8">
        <w:rPr>
          <w:rFonts w:ascii="Arial" w:hAnsi="Arial" w:cs="Arial"/>
        </w:rPr>
        <w:instrText>ADDIN CSL_CITATION {"citationItems":[{"id":"ITEM-1","itemData":{"abstract":"The purpose of this paper is to find out how much the shock of monetary policy transmission affects macroeconomic variables in Indonesia and vice versa by using Structural Vector Autoregression (SVAR) model. The results showed that the transmission of monetary policy in Indonesia only gives a weak influence toward inflation, but it greatly stimulates economic growth. However, the shock of macroeconomic variables influences the transmission of monetary policy in Indonesia significantly.","author":[{"dropping-particle":"","family":"Teapon","given":"Rizal Rahman H.","non-dropping-particle":"","parse-names":false,"suffix":""},{"dropping-particle":"","family":"Mustafa","given":"Rachman Dano","non-dropping-particle":"","parse-names":false,"suffix":""}],"container-title":"Jurnal Economia","id":"ITEM-1","issue":"2","issued":{"date-parts":[["2018"]]},"page":"177-196","title":"KEJUTAN TRANSMISI KEBIJAKAN MONETER DAN VARIABEL MAKRO EKONOMI DI INDONESIA: SUATU PENDEKATAN STRUCTURAL VECTOR AUTOREGRESSION Rizal Rahman H. Teapon &amp; Rachman Dano Mustafa","type":"article-journal","volume":"Vol. 14"},"suppress-author":1,"uris":["http://www.mendeley.com/documents/?uuid=0d83f6b4-2f38-45cb-ba6c-de267b027fdb"]}],"mendeley":{"formattedCitation":"(2018)","plainTextFormattedCitation":"(2018)","previouslyFormattedCitation":"(2018)"},"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(2018)</w:t>
      </w:r>
      <w:r w:rsidRPr="006C43D8">
        <w:rPr>
          <w:rFonts w:ascii="Arial" w:hAnsi="Arial" w:cs="Arial"/>
        </w:rPr>
        <w:fldChar w:fldCharType="end"/>
      </w:r>
      <w:r w:rsidR="00C63C25">
        <w:rPr>
          <w:rFonts w:ascii="Arial" w:hAnsi="Arial" w:cs="Arial"/>
        </w:rPr>
        <w:t xml:space="preserve"> His</w:t>
      </w:r>
      <w:r w:rsidRPr="006C43D8">
        <w:rPr>
          <w:rFonts w:ascii="Arial" w:hAnsi="Arial" w:cs="Arial"/>
        </w:rPr>
        <w:t xml:space="preserve"> research also mentioned that monetary policy is transmitted through seven channels, namely the channels of direct money, interest rates, currency rates, asset prices, credit, financial balances, and expectations. Thus, the policy of increasing the FFR interest rate aggressively certainly affects the direction of Indonesia's benchmark interest rate policy (BI Rate). Bank Indonesia (BI)</w:t>
      </w:r>
      <w:r w:rsidR="00C63C25">
        <w:rPr>
          <w:rFonts w:ascii="Arial" w:hAnsi="Arial" w:cs="Arial"/>
        </w:rPr>
        <w:t>,</w:t>
      </w:r>
      <w:r w:rsidRPr="006C43D8">
        <w:rPr>
          <w:rFonts w:ascii="Arial" w:hAnsi="Arial" w:cs="Arial"/>
        </w:rPr>
        <w:t xml:space="preserve"> as Indonesia's central bank</w:t>
      </w:r>
      <w:r w:rsidR="00C63C25">
        <w:rPr>
          <w:rFonts w:ascii="Arial" w:hAnsi="Arial" w:cs="Arial"/>
        </w:rPr>
        <w:t>,</w:t>
      </w:r>
      <w:r w:rsidRPr="006C43D8">
        <w:rPr>
          <w:rFonts w:ascii="Arial" w:hAnsi="Arial" w:cs="Arial"/>
        </w:rPr>
        <w:t xml:space="preserve"> must certainly respond to The Fed's policy to maintain the stability of the money market and domestic capital flows by raising its benchmark interest rate (BI Rate) and enacting a contractionary monetary policy.</w:t>
      </w:r>
    </w:p>
    <w:p w14:paraId="17ACA67F" w14:textId="77777777" w:rsidR="007B4B0D" w:rsidRDefault="007B4B0D" w:rsidP="006C43D8">
      <w:pPr>
        <w:jc w:val="both"/>
        <w:rPr>
          <w:rFonts w:ascii="Arial" w:hAnsi="Arial" w:cs="Arial"/>
        </w:rPr>
      </w:pPr>
    </w:p>
    <w:p w14:paraId="60F63F78" w14:textId="7D0F5EE7" w:rsidR="006C43D8" w:rsidRPr="006C43D8" w:rsidRDefault="006C43D8" w:rsidP="006C43D8">
      <w:pPr>
        <w:jc w:val="both"/>
        <w:rPr>
          <w:rFonts w:ascii="Arial" w:hAnsi="Arial" w:cs="Arial"/>
        </w:rPr>
      </w:pPr>
      <w:r w:rsidRPr="006C43D8">
        <w:rPr>
          <w:rFonts w:ascii="Arial" w:hAnsi="Arial" w:cs="Arial"/>
        </w:rPr>
        <w:t xml:space="preserve">On the other hand, quoted from the official Instagram page of Bank Indonesia </w:t>
      </w:r>
      <w:r w:rsidRPr="006C43D8">
        <w:rPr>
          <w:rFonts w:ascii="Arial" w:hAnsi="Arial" w:cs="Arial"/>
        </w:rPr>
        <w:fldChar w:fldCharType="begin" w:fldLock="1"/>
      </w:r>
      <w:r w:rsidRPr="006C43D8">
        <w:rPr>
          <w:rFonts w:ascii="Arial" w:hAnsi="Arial" w:cs="Arial"/>
        </w:rPr>
        <w:instrText>ADDIN CSL_CITATION {"citationItems":[{"id":"ITEM-1","itemData":{"URL":"https://www.instagram.com/p/C6Nvc0LOxIt/?igsh=MTBhcjdtYzUxNXNoYw==","accessed":{"date-parts":[["2024","9","20"]]},"author":[{"dropping-particle":"","family":"(BI)","given":"Bank Indonesia","non-dropping-particle":"","parse-names":false,"suffix":""}],"id":"ITEM-1","issued":{"date-parts":[["2024"]]},"title":"Kebijakan Moneter AS Pengaruhi Nilai Tukar Rupiah?","type":"webpage"},"suppress-author":1,"uris":["http://www.mendeley.com/documents/?uuid=030587a2-dd41-4051-ba40-91ad16ea1272"]}],"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The policy of increasing the benchmark interest rate also caused the US Treasury yield to continue to increase and the US dollar to strengthen, which affected the Indonesian rupiah exchange rate. The strengthening of the US dollar certainly had an impact on the depreciation of the rupiah exchange rate </w:t>
      </w:r>
      <w:r w:rsidRPr="006C43D8">
        <w:rPr>
          <w:rFonts w:ascii="Arial" w:hAnsi="Arial" w:cs="Arial"/>
        </w:rPr>
        <w:fldChar w:fldCharType="begin" w:fldLock="1"/>
      </w:r>
      <w:r w:rsidR="003E3217">
        <w:rPr>
          <w:rFonts w:ascii="Arial" w:hAnsi="Arial" w:cs="Arial"/>
        </w:rPr>
        <w:instrText>ADDIN CSL_CITATION {"citationItems":[{"id":"ITEM-1","itemData":{"URL":"https://feb.ugm.ac.id/en/news/2494-unhealthy-economic-structure-causes-rupiah-depreciation","author":[{"dropping-particle":"","family":"Agung","given":"","non-dropping-particle":"","parse-names":false,"suffix":""}],"container-title":"FEB UGM","id":"ITEM-1","issued":{"date-parts":[["2018","10","19"]]},"title":"\"Unhealthy\" Economic Structure Causes Rupiah Depreciation","type":"webpage"},"uris":["http://www.mendeley.com/documents/?uuid=fc6cd689-88b6-4959-9f61-78a39571b632"]}],"mendeley":{"formattedCitation":"(Agung, 2018)","plainTextFormattedCitation":"(Agung, 2018)","previouslyFormattedCitation":"(Agung, 2018)"},"properties":{"noteIndex":0},"schema":"https://github.com/citation-style-language/schema/raw/master/csl-citation.json"}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(Agung, 2018)</w:t>
      </w:r>
      <w:r w:rsidRPr="006C43D8">
        <w:rPr>
          <w:rFonts w:ascii="Arial" w:hAnsi="Arial" w:cs="Arial"/>
        </w:rPr>
        <w:fldChar w:fldCharType="end"/>
      </w:r>
      <w:r w:rsidRPr="006C43D8">
        <w:rPr>
          <w:rFonts w:ascii="Arial" w:hAnsi="Arial" w:cs="Arial"/>
        </w:rPr>
        <w:t>. To control this condition, the government</w:t>
      </w:r>
      <w:r w:rsidR="00C63C25">
        <w:rPr>
          <w:rFonts w:ascii="Arial" w:hAnsi="Arial" w:cs="Arial"/>
        </w:rPr>
        <w:t>,</w:t>
      </w:r>
      <w:r w:rsidRPr="006C43D8">
        <w:rPr>
          <w:rFonts w:ascii="Arial" w:hAnsi="Arial" w:cs="Arial"/>
        </w:rPr>
        <w:t xml:space="preserve"> through the policy of increasing the benchmark interest rate by Bank Indonesia</w:t>
      </w:r>
      <w:r w:rsidR="00C63C25">
        <w:rPr>
          <w:rFonts w:ascii="Arial" w:hAnsi="Arial" w:cs="Arial"/>
        </w:rPr>
        <w:t>,</w:t>
      </w:r>
      <w:r w:rsidRPr="006C43D8">
        <w:rPr>
          <w:rFonts w:ascii="Arial" w:hAnsi="Arial" w:cs="Arial"/>
        </w:rPr>
        <w:t xml:space="preserve"> aims to increase the stability of the rupiah exchange rate. Increasing the interest rate structure in the rupiah money market is done to maintain the attraction of foreign capital to domestic financial assets and suppress the amount of money in circulation</w:t>
      </w:r>
      <w:r w:rsidR="00C63C25">
        <w:rPr>
          <w:rFonts w:ascii="Arial" w:hAnsi="Arial" w:cs="Arial"/>
        </w:rPr>
        <w:t>,</w:t>
      </w:r>
      <w:r w:rsidRPr="006C43D8">
        <w:rPr>
          <w:rFonts w:ascii="Arial" w:hAnsi="Arial" w:cs="Arial"/>
        </w:rPr>
        <w:t xml:space="preserve"> so that it will strengthen and increase the stability of the rupiah exchange rate.</w:t>
      </w:r>
    </w:p>
    <w:p w14:paraId="44103ED8" w14:textId="77777777" w:rsidR="007B4B0D" w:rsidRDefault="007B4B0D" w:rsidP="006C43D8">
      <w:pPr>
        <w:jc w:val="both"/>
        <w:rPr>
          <w:rFonts w:ascii="Arial" w:hAnsi="Arial" w:cs="Arial"/>
        </w:rPr>
      </w:pPr>
    </w:p>
    <w:p w14:paraId="61EDD9C6" w14:textId="0499B558" w:rsidR="006C43D8" w:rsidRPr="006C43D8" w:rsidRDefault="006C43D8" w:rsidP="006C43D8">
      <w:pPr>
        <w:jc w:val="both"/>
        <w:rPr>
          <w:rFonts w:ascii="Arial" w:hAnsi="Arial" w:cs="Arial"/>
        </w:rPr>
      </w:pPr>
      <w:r w:rsidRPr="006C43D8">
        <w:rPr>
          <w:rFonts w:ascii="Arial" w:hAnsi="Arial" w:cs="Arial"/>
        </w:rPr>
        <w:t>The community's ability and purchasing power declined as a result of the exchange rate depreciation brought on by the policy of raising the benchmark interest rate. Indirectly and in the long term, this change in policy direction will also affect the domestic Production Index (IP Growth). This contractionary monetary policy</w:t>
      </w:r>
      <w:r w:rsidR="00C63C25">
        <w:rPr>
          <w:rFonts w:ascii="Arial" w:hAnsi="Arial" w:cs="Arial"/>
        </w:rPr>
        <w:t>,</w:t>
      </w:r>
      <w:r w:rsidRPr="006C43D8">
        <w:rPr>
          <w:rFonts w:ascii="Arial" w:hAnsi="Arial" w:cs="Arial"/>
        </w:rPr>
        <w:t xml:space="preserve"> in the long term</w:t>
      </w:r>
      <w:r w:rsidR="00C63C25">
        <w:rPr>
          <w:rFonts w:ascii="Arial" w:hAnsi="Arial" w:cs="Arial"/>
        </w:rPr>
        <w:t>,</w:t>
      </w:r>
      <w:r w:rsidRPr="006C43D8">
        <w:rPr>
          <w:rFonts w:ascii="Arial" w:hAnsi="Arial" w:cs="Arial"/>
        </w:rPr>
        <w:t xml:space="preserve"> will be able to increase unemployment. This is caused by high interest rates</w:t>
      </w:r>
      <w:r w:rsidR="00C63C25">
        <w:rPr>
          <w:rFonts w:ascii="Arial" w:hAnsi="Arial" w:cs="Arial"/>
        </w:rPr>
        <w:t>,</w:t>
      </w:r>
      <w:r w:rsidRPr="006C43D8">
        <w:rPr>
          <w:rFonts w:ascii="Arial" w:hAnsi="Arial" w:cs="Arial"/>
        </w:rPr>
        <w:t xml:space="preserve"> which also cause high capital and loan costs </w:t>
      </w:r>
      <w:r w:rsidRPr="006C43D8">
        <w:rPr>
          <w:rFonts w:ascii="Arial" w:hAnsi="Arial" w:cs="Arial"/>
        </w:rPr>
        <w:fldChar w:fldCharType="begin" w:fldLock="1"/>
      </w:r>
      <w:r w:rsidR="003E3217">
        <w:rPr>
          <w:rFonts w:ascii="Arial" w:hAnsi="Arial" w:cs="Arial"/>
        </w:rPr>
        <w:instrText>ADDIN CSL_CITATION {"citationItems":[{"id":"ITEM-1","itemData":{"URL":"https://corporatefinanceinstitute.com/resources/economics/contractionary-monetary-policy/","author":[{"dropping-particle":"","family":"CFI","given":"","non-dropping-particle":"","parse-names":false,"suffix":""}],"id":"ITEM-1","issued":{"date-parts":[["2024"]]},"title":"Contactionary Monetary Policy","type":"webpage"},"uris":["http://www.mendeley.com/documents/?uuid=bf3d58af-6cca-4742-8885-eba0e56b2ce9"]}],"mendeley":{"formattedCitation":"(CFI, 2024)","plainTextFormattedCitation":"(CFI, 2024)","previouslyFormattedCitation":"(CFI, 2024)"},"properties":{"noteIndex":0},"schema":"https://github.com/citation-style-language/schema/raw/master/csl-citation.json"}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(CFI, 2024)</w:t>
      </w:r>
      <w:r w:rsidRPr="006C43D8">
        <w:rPr>
          <w:rFonts w:ascii="Arial" w:hAnsi="Arial" w:cs="Arial"/>
        </w:rPr>
        <w:fldChar w:fldCharType="end"/>
      </w:r>
      <w:r w:rsidRPr="006C43D8">
        <w:rPr>
          <w:rFonts w:ascii="Arial" w:hAnsi="Arial" w:cs="Arial"/>
        </w:rPr>
        <w:t>. The high cost of capital and loans will increase the operational costs of production</w:t>
      </w:r>
      <w:r w:rsidR="00C63C25">
        <w:rPr>
          <w:rFonts w:ascii="Arial" w:hAnsi="Arial" w:cs="Arial"/>
        </w:rPr>
        <w:t>,</w:t>
      </w:r>
      <w:r w:rsidRPr="006C43D8">
        <w:rPr>
          <w:rFonts w:ascii="Arial" w:hAnsi="Arial" w:cs="Arial"/>
        </w:rPr>
        <w:t xml:space="preserve"> which will have an impact on high output prices</w:t>
      </w:r>
      <w:r w:rsidR="00C63C25">
        <w:rPr>
          <w:rFonts w:ascii="Arial" w:hAnsi="Arial" w:cs="Arial"/>
        </w:rPr>
        <w:t>,</w:t>
      </w:r>
      <w:r w:rsidRPr="006C43D8">
        <w:rPr>
          <w:rFonts w:ascii="Arial" w:hAnsi="Arial" w:cs="Arial"/>
        </w:rPr>
        <w:t xml:space="preserve"> which</w:t>
      </w:r>
      <w:r w:rsidR="00C63C25">
        <w:rPr>
          <w:rFonts w:ascii="Arial" w:hAnsi="Arial" w:cs="Arial"/>
        </w:rPr>
        <w:t>,</w:t>
      </w:r>
      <w:r w:rsidRPr="006C43D8">
        <w:rPr>
          <w:rFonts w:ascii="Arial" w:hAnsi="Arial" w:cs="Arial"/>
        </w:rPr>
        <w:t xml:space="preserve"> if it occurs in the long term</w:t>
      </w:r>
      <w:r w:rsidR="00C63C25">
        <w:rPr>
          <w:rFonts w:ascii="Arial" w:hAnsi="Arial" w:cs="Arial"/>
        </w:rPr>
        <w:t>,</w:t>
      </w:r>
      <w:r w:rsidRPr="006C43D8">
        <w:rPr>
          <w:rFonts w:ascii="Arial" w:hAnsi="Arial" w:cs="Arial"/>
        </w:rPr>
        <w:t xml:space="preserve"> will reduce Indonesia's overall production index because of the reduction in buying power and the degree of consumption and supply of goods in the market.</w:t>
      </w:r>
    </w:p>
    <w:p w14:paraId="2F4F8929" w14:textId="77777777" w:rsidR="007B4B0D" w:rsidRDefault="007B4B0D" w:rsidP="006C43D8">
      <w:pPr>
        <w:jc w:val="both"/>
        <w:rPr>
          <w:rFonts w:ascii="Arial" w:hAnsi="Arial" w:cs="Arial"/>
        </w:rPr>
      </w:pPr>
    </w:p>
    <w:p w14:paraId="7CC87271" w14:textId="79630D59" w:rsidR="006C43D8" w:rsidRPr="006C43D8" w:rsidRDefault="006C43D8" w:rsidP="006C43D8">
      <w:pPr>
        <w:jc w:val="both"/>
        <w:rPr>
          <w:rFonts w:ascii="Arial" w:hAnsi="Arial" w:cs="Arial"/>
        </w:rPr>
      </w:pPr>
      <w:r w:rsidRPr="006C43D8">
        <w:rPr>
          <w:rFonts w:ascii="Arial" w:hAnsi="Arial" w:cs="Arial"/>
        </w:rPr>
        <w:t>This decline in the Production Index in the long term will also cause economic imbalance and volatility in global financial markets</w:t>
      </w:r>
      <w:r w:rsidR="00C63C25">
        <w:rPr>
          <w:rFonts w:ascii="Arial" w:hAnsi="Arial" w:cs="Arial"/>
        </w:rPr>
        <w:t>,</w:t>
      </w:r>
      <w:r w:rsidRPr="006C43D8">
        <w:rPr>
          <w:rFonts w:ascii="Arial" w:hAnsi="Arial" w:cs="Arial"/>
        </w:rPr>
        <w:t xml:space="preserve"> it will cause the rate of inflation to rise and a </w:t>
      </w:r>
      <w:r w:rsidRPr="006C43D8">
        <w:rPr>
          <w:rFonts w:ascii="Arial" w:hAnsi="Arial" w:cs="Arial"/>
        </w:rPr>
        <w:lastRenderedPageBreak/>
        <w:t xml:space="preserve">slowdown in global economic growth </w:t>
      </w:r>
      <w:r w:rsidRPr="006C43D8">
        <w:rPr>
          <w:rFonts w:ascii="Arial" w:hAnsi="Arial" w:cs="Arial"/>
        </w:rPr>
        <w:fldChar w:fldCharType="begin" w:fldLock="1"/>
      </w:r>
      <w:r w:rsidR="003E3217">
        <w:rPr>
          <w:rFonts w:ascii="Arial" w:hAnsi="Arial" w:cs="Arial"/>
        </w:rPr>
        <w:instrText>ADDIN CSL_CITATION {"citationItems":[{"id":"ITEM-1","itemData":{"URL":"https://ekonomi.bisnis.com/read/20240424/9/1760107/terungkap-alasan-bi-naikkan-suku-bunga-acuan-jadi-625","author":[{"dropping-particle":"","family":"Elena","given":"Maria","non-dropping-particle":"","parse-names":false,"suffix":""}],"id":"ITEM-1","issued":{"date-parts":[["2024"]]},"title":"Terungkap! Alasan BI Naikkan Suku Bunga Acuan jadi 6,25%","type":"webpage"},"uris":["http://www.mendeley.com/documents/?uuid=e7385c69-261a-48f3-82f8-3ffc8d72316b"]}],"mendeley":{"formattedCitation":"(Elena, 2024)","plainTextFormattedCitation":"(Elena, 2024)","previouslyFormattedCitation":"(Elena, 2024)"},"properties":{"noteIndex":0},"schema":"https://github.com/citation-style-language/schema/raw/master/csl-citation.json"}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(Elena, 2024)</w:t>
      </w:r>
      <w:r w:rsidRPr="006C43D8">
        <w:rPr>
          <w:rFonts w:ascii="Arial" w:hAnsi="Arial" w:cs="Arial"/>
        </w:rPr>
        <w:fldChar w:fldCharType="end"/>
      </w:r>
      <w:r w:rsidRPr="006C43D8">
        <w:rPr>
          <w:rFonts w:ascii="Arial" w:hAnsi="Arial" w:cs="Arial"/>
        </w:rPr>
        <w:t xml:space="preserve">. According to Liu </w:t>
      </w:r>
      <w:r w:rsidRPr="006C43D8">
        <w:rPr>
          <w:rFonts w:ascii="Arial" w:hAnsi="Arial" w:cs="Arial"/>
        </w:rPr>
        <w:fldChar w:fldCharType="begin" w:fldLock="1"/>
      </w:r>
      <w:r w:rsidRPr="006C43D8">
        <w:rPr>
          <w:rFonts w:ascii="Arial" w:hAnsi="Arial" w:cs="Arial"/>
        </w:rPr>
        <w:instrText>ADDIN CSL_CITATION {"citationItems":[{"id":"ITEM-1","itemData":{"DOI":"10.54097/gqe7gc61","abstract":"The international situation is tense, and the international economic situation is in a state of instability. Political factors similar to the Russian-Ukrainian war and the Palestinian-Israeli conflict continue to affect international economic trade deeply. As the country with the highest global GDP, the United States, its economic policy has a pivotal impact on the global economy. Because of the instability of the external environment and violent internal conflicts, coupled with the local economic situation being in a downward phase, the United States has adopted a more extreme monetary policy of interest rate hikes to absorb the dollar capital from all over the world back to the United States. This article is based on the U.S. interest rate hike for the U.S. itself, developed capitalist countries, the Chinese region, and the Asian economic backwardness of the country's impact, as well as some of the countries for the U.S. interest rate hike policy to take measures, and combined with the U.S. interest rate hike in the past the purpose and impact of the U.S. to analyze the United States of America's further economic decision-making trends and the future trend of the international economic and political trends, and to explore the China and other countries to better cope with the method. The study finds that the Fed's big move to carry out the interest rate hike this time is related to the unemployment problem within the United States, the racial problem and cultural conflict, as well as the leftover problems after the end of the epidemic, and uses this as a lead to try to adjust the economic situation of the whole world. Through the tidal wave of the dollar, hostile countries are weakened, paving the way for future wars or better control of the entire international situation.","author":[{"dropping-particle":"","family":"Liu","given":"Xi","non-dropping-particle":"","parse-names":false,"suffix":""}],"container-title":"Highlights in Business, Economics and Management","id":"ITEM-1","issued":{"date-parts":[["2024"]]},"page":"287-294","title":"The Global Impact of and Response to the Fed's Interest Rate Hike","type":"article-journal","volume":"28"},"suppress-author":1,"uris":["http://www.mendeley.com/documents/?uuid=19a1d3d5-323d-41e8-8c48-9640891ee968"]}],"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 a depreciation of the exchange rate due to </w:t>
      </w:r>
      <w:r w:rsidR="00C63C25">
        <w:rPr>
          <w:rFonts w:ascii="Arial" w:hAnsi="Arial" w:cs="Arial"/>
        </w:rPr>
        <w:t xml:space="preserve">an </w:t>
      </w:r>
      <w:r w:rsidRPr="006C43D8">
        <w:rPr>
          <w:rFonts w:ascii="Arial" w:hAnsi="Arial" w:cs="Arial"/>
        </w:rPr>
        <w:t>imbalance can raise the price of domestically imported goods, which will undoubtedly raise the price of goods on the market. An increase in the domestic inflation rate will result from long-term conditions remaining unchanged. The increase in interest rates in the long term also encourages an increase in capital costs</w:t>
      </w:r>
      <w:r w:rsidR="00C63C25">
        <w:rPr>
          <w:rFonts w:ascii="Arial" w:hAnsi="Arial" w:cs="Arial"/>
        </w:rPr>
        <w:t>,</w:t>
      </w:r>
      <w:r w:rsidRPr="006C43D8">
        <w:rPr>
          <w:rFonts w:ascii="Arial" w:hAnsi="Arial" w:cs="Arial"/>
        </w:rPr>
        <w:t xml:space="preserve"> which will be one of the factors causing price increases or inflation. Meanwhile, when interest rates are low, households and companies will get lower borrowing costs, but saving becomes less profitable because the interest earned is also low. This condition encourages increased consumption and public spending. Therefore, the Governor of BI </w:t>
      </w:r>
      <w:r w:rsidRPr="006C43D8">
        <w:rPr>
          <w:rFonts w:ascii="Arial" w:hAnsi="Arial" w:cs="Arial"/>
        </w:rPr>
        <w:fldChar w:fldCharType="begin" w:fldLock="1"/>
      </w:r>
      <w:r w:rsidRPr="006C43D8">
        <w:rPr>
          <w:rFonts w:ascii="Arial" w:hAnsi="Arial" w:cs="Arial"/>
        </w:rPr>
        <w:instrText>ADDIN CSL_CITATION {"citationItems":[{"id":"ITEM-1","itemData":{"URL":"https://setkab.go.id/en/bi-governor-indonesia-manages-to-maintain-low-inflation-rate/","accessed":{"date-parts":[["2024","9","26"]]},"author":[{"dropping-particle":"","family":"Translation","given":"Office of Assistant to Deputy Cabinet Secretary for State Documents &amp;","non-dropping-particle":"","parse-names":false,"suffix":""}],"id":"ITEM-1","issued":{"date-parts":[["2024"]]},"title":"BI Governor: Indonesia Manages to Maintain Low Inflation Rate","type":"webpage"},"suppress-author":1,"uris":["http://www.mendeley.com/documents/?uuid=5346e289-9bce-45c4-990e-4a49721b3a71"]}],"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 </w:t>
      </w:r>
      <w:r w:rsidR="00C63C25">
        <w:rPr>
          <w:rFonts w:ascii="Arial" w:hAnsi="Arial" w:cs="Arial"/>
        </w:rPr>
        <w:t>stated</w:t>
      </w:r>
      <w:r w:rsidRPr="006C43D8">
        <w:rPr>
          <w:rFonts w:ascii="Arial" w:hAnsi="Arial" w:cs="Arial"/>
        </w:rPr>
        <w:t xml:space="preserve"> that the policy of increasing interest rates within reasonable limits and on a certain scale is expected to maintain economic stability and regulate both the rupiah exchange rate and the rate of inflation.</w:t>
      </w:r>
    </w:p>
    <w:p w14:paraId="2EF0DCE6" w14:textId="77777777" w:rsidR="007B4B0D" w:rsidRDefault="007B4B0D" w:rsidP="006C43D8">
      <w:pPr>
        <w:jc w:val="both"/>
        <w:rPr>
          <w:rFonts w:ascii="Arial" w:hAnsi="Arial" w:cs="Arial"/>
          <w:b/>
          <w:bCs/>
        </w:rPr>
      </w:pPr>
    </w:p>
    <w:p w14:paraId="30DB605F" w14:textId="1F27EC6A" w:rsidR="006C43D8" w:rsidRPr="006C43D8" w:rsidRDefault="007B4B0D" w:rsidP="006C43D8">
      <w:pPr>
        <w:jc w:val="both"/>
        <w:rPr>
          <w:rFonts w:ascii="Arial" w:hAnsi="Arial" w:cs="Arial"/>
          <w:b/>
          <w:bCs/>
        </w:rPr>
      </w:pPr>
      <w:r>
        <w:rPr>
          <w:rFonts w:ascii="Arial" w:hAnsi="Arial" w:cs="Arial"/>
          <w:b/>
          <w:bCs/>
        </w:rPr>
        <w:t xml:space="preserve">4.2.2 </w:t>
      </w:r>
      <w:r w:rsidR="006C43D8" w:rsidRPr="006C43D8">
        <w:rPr>
          <w:rFonts w:ascii="Arial" w:hAnsi="Arial" w:cs="Arial"/>
          <w:b/>
          <w:bCs/>
        </w:rPr>
        <w:t xml:space="preserve">The Influence of United States Conventional Stocks on Indonesian Conventional Stocks </w:t>
      </w:r>
    </w:p>
    <w:p w14:paraId="6B0CF826" w14:textId="35FEEA76" w:rsidR="006C43D8" w:rsidRPr="006C43D8" w:rsidRDefault="006C43D8" w:rsidP="006C43D8">
      <w:pPr>
        <w:jc w:val="both"/>
        <w:rPr>
          <w:rFonts w:ascii="Arial" w:hAnsi="Arial" w:cs="Arial"/>
        </w:rPr>
      </w:pPr>
      <w:r w:rsidRPr="006C43D8">
        <w:rPr>
          <w:rFonts w:ascii="Arial" w:hAnsi="Arial" w:cs="Arial"/>
        </w:rPr>
        <w:t xml:space="preserve">Financial performance and economic stability play a crucial role in the stock market structure of a company. In his research, </w:t>
      </w:r>
      <w:proofErr w:type="spellStart"/>
      <w:r w:rsidRPr="006C43D8">
        <w:rPr>
          <w:rFonts w:ascii="Arial" w:hAnsi="Arial" w:cs="Arial"/>
        </w:rPr>
        <w:t>Rante</w:t>
      </w:r>
      <w:proofErr w:type="spellEnd"/>
      <w:r w:rsidRPr="006C43D8">
        <w:rPr>
          <w:rFonts w:ascii="Arial" w:hAnsi="Arial" w:cs="Arial"/>
        </w:rPr>
        <w:t xml:space="preserve"> &amp; </w:t>
      </w:r>
      <w:proofErr w:type="spellStart"/>
      <w:r w:rsidRPr="006C43D8">
        <w:rPr>
          <w:rFonts w:ascii="Arial" w:hAnsi="Arial" w:cs="Arial"/>
        </w:rPr>
        <w:t>Hasanudin</w:t>
      </w:r>
      <w:proofErr w:type="spellEnd"/>
      <w:r w:rsidRPr="006C43D8">
        <w:rPr>
          <w:rFonts w:ascii="Arial" w:hAnsi="Arial" w:cs="Arial"/>
        </w:rPr>
        <w:t xml:space="preserve">, </w:t>
      </w:r>
      <w:r w:rsidRPr="006C43D8">
        <w:rPr>
          <w:rFonts w:ascii="Arial" w:hAnsi="Arial" w:cs="Arial"/>
        </w:rPr>
        <w:fldChar w:fldCharType="begin" w:fldLock="1"/>
      </w:r>
      <w:r w:rsidRPr="006C43D8">
        <w:rPr>
          <w:rFonts w:ascii="Arial" w:hAnsi="Arial" w:cs="Arial"/>
        </w:rPr>
        <w:instrText>ADDIN CSL_CITATION {"citationItems":[{"id":"ITEM-1","itemData":{"abstract":"Researchers took the title The Effect of STI Index, N225 Index, DJI Index on IHSG with IDX30 Index as an Intervening Variable on the Indonesia Stock Exchange for the 2012-2023 Period. The number of samples is based on the number of companies listed in each index. The analysis method used is quantitative using SEM. The results showed 1) STI has a positive and significant effect on IHSG; 2) N225 has a negative and insignificant effect on IHSG; 3) DJI has a positive and significant influence on IHSG; 4) STI has a positive but not significant effect on IDX30; 5) N225 has a positive but not significant effect on IDX30; 6) DJI has a positive but not significant effect on IDX30; 7) STI has an positive and insignificant effect on IHSG through IDX30; 8) N225 has an negative and insignificant effect on IHSG through IDX30; 9) DJI has an positive and insignificant effect on IHSG through IDX30; 10) IDX30 has a positive and significant effect on IHSG.","author":[{"dropping-particle":"","family":"Rante","given":"Andi","non-dropping-particle":"","parse-names":false,"suffix":""},{"dropping-particle":"","family":"Hasanudin","given":"","non-dropping-particle":"","parse-names":false,"suffix":""}],"container-title":"International Journal Economics Development Research","id":"ITEM-1","issue":"2","issued":{"date-parts":[["2024"]]},"page":"1085-1094","title":"The Impact of STI , N225 , and DJI Indices on IHSG with IDX30 Index as the Mediating Variable : A Study of the Indonesia Stock Exchange from 2012 to 2023","type":"article-journal","volume":"5"},"suppress-author":1,"uris":["http://www.mendeley.com/documents/?uuid=91e187eb-a710-44f0-a032-b824026d9133"]}],"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 </w:t>
      </w:r>
      <w:r w:rsidR="00C63C25">
        <w:rPr>
          <w:rFonts w:ascii="Arial" w:hAnsi="Arial" w:cs="Arial"/>
        </w:rPr>
        <w:t>Mentioned</w:t>
      </w:r>
      <w:r w:rsidRPr="006C43D8">
        <w:rPr>
          <w:rFonts w:ascii="Arial" w:hAnsi="Arial" w:cs="Arial"/>
        </w:rPr>
        <w:t xml:space="preserve"> that key economic indicators such as Gross Domestic Product (GDP), inflation, interest rates, and exchange rates are the main variables that affect the stock market. Therefore, economic instability increases volatility in the stock market. This instability is also caused by changes in policy.</w:t>
      </w:r>
    </w:p>
    <w:p w14:paraId="469618A5" w14:textId="77777777" w:rsidR="007B4B0D" w:rsidRDefault="007B4B0D" w:rsidP="006C43D8">
      <w:pPr>
        <w:jc w:val="both"/>
        <w:rPr>
          <w:rFonts w:ascii="Arial" w:hAnsi="Arial" w:cs="Arial"/>
        </w:rPr>
      </w:pPr>
    </w:p>
    <w:p w14:paraId="6B98A943" w14:textId="0F90C455" w:rsidR="006C43D8" w:rsidRPr="006C43D8" w:rsidRDefault="006C43D8" w:rsidP="006C43D8">
      <w:pPr>
        <w:jc w:val="both"/>
        <w:rPr>
          <w:rFonts w:ascii="Arial" w:hAnsi="Arial" w:cs="Arial"/>
        </w:rPr>
      </w:pPr>
      <w:r w:rsidRPr="006C43D8">
        <w:rPr>
          <w:rFonts w:ascii="Arial" w:hAnsi="Arial" w:cs="Arial"/>
        </w:rPr>
        <w:t xml:space="preserve">The existence of the FFR interest rate hike policy or the so-called </w:t>
      </w:r>
      <w:proofErr w:type="spellStart"/>
      <w:r w:rsidRPr="006C43D8">
        <w:rPr>
          <w:rFonts w:ascii="Arial" w:hAnsi="Arial" w:cs="Arial"/>
        </w:rPr>
        <w:t>Hingher</w:t>
      </w:r>
      <w:proofErr w:type="spellEnd"/>
      <w:r w:rsidRPr="006C43D8">
        <w:rPr>
          <w:rFonts w:ascii="Arial" w:hAnsi="Arial" w:cs="Arial"/>
        </w:rPr>
        <w:t xml:space="preserve"> For Longer phenomenon in the long term will greatly affect investment figures in the stock market, both conventional stock markets and Sharia stock markets. According to the European Investment Bank, </w:t>
      </w:r>
      <w:r w:rsidRPr="006C43D8">
        <w:rPr>
          <w:rFonts w:ascii="Arial" w:hAnsi="Arial" w:cs="Arial"/>
        </w:rPr>
        <w:fldChar w:fldCharType="begin" w:fldLock="1"/>
      </w:r>
      <w:r w:rsidRPr="006C43D8">
        <w:rPr>
          <w:rFonts w:ascii="Arial" w:hAnsi="Arial" w:cs="Arial"/>
        </w:rPr>
        <w:instrText>ADDIN CSL_CITATION {"citationItems":[{"id":"ITEM-1","itemData":{"ISBN":"9789286157554","author":[{"dropping-particle":"","family":"Bank","given":"European Investment","non-dropping-particle":"","parse-names":false,"suffix":""}],"id":"ITEM-1","issue":"April","issued":{"date-parts":[["2024"]]},"title":"The Effect of Uncertainty on Investment","type":"book"},"suppress-author":1,"uris":["http://www.mendeley.com/documents/?uuid=6d2996ad-7c17-46d6-ad15-6b22094225ef"]}],"mendeley":{"formattedCitation":"(2024)","plainTextFormattedCitation":"(2024)","previouslyFormattedCitation":"(2024)"},"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(2024)</w:t>
      </w:r>
      <w:r w:rsidRPr="006C43D8">
        <w:rPr>
          <w:rFonts w:ascii="Arial" w:hAnsi="Arial" w:cs="Arial"/>
        </w:rPr>
        <w:fldChar w:fldCharType="end"/>
      </w:r>
      <w:r w:rsidRPr="006C43D8">
        <w:rPr>
          <w:rFonts w:ascii="Arial" w:hAnsi="Arial" w:cs="Arial"/>
        </w:rPr>
        <w:t xml:space="preserve">Increased market volatility causes a reduction in investment figures in companies. In their research, Marcella </w:t>
      </w:r>
      <w:proofErr w:type="spellStart"/>
      <w:r w:rsidRPr="006C43D8">
        <w:rPr>
          <w:rFonts w:ascii="Arial" w:hAnsi="Arial" w:cs="Arial"/>
        </w:rPr>
        <w:t>Roring</w:t>
      </w:r>
      <w:proofErr w:type="spellEnd"/>
      <w:r w:rsidRPr="006C43D8">
        <w:rPr>
          <w:rFonts w:ascii="Arial" w:hAnsi="Arial" w:cs="Arial"/>
        </w:rPr>
        <w:t xml:space="preserve"> &amp; Rita Juliana, </w:t>
      </w:r>
      <w:r w:rsidRPr="006C43D8">
        <w:rPr>
          <w:rFonts w:ascii="Arial" w:hAnsi="Arial" w:cs="Arial"/>
        </w:rPr>
        <w:fldChar w:fldCharType="begin" w:fldLock="1"/>
      </w:r>
      <w:r w:rsidRPr="006C43D8">
        <w:rPr>
          <w:rFonts w:ascii="Arial" w:hAnsi="Arial" w:cs="Arial"/>
        </w:rPr>
        <w:instrText>ADDIN CSL_CITATION {"citationItems":[{"id":"ITEM-1","itemData":{"DOI":"10.24912/ja.v26i2.905","ISSN":"1410-3591","abstract":"This study aims to show the effect of uncertainty on firms’ corporate investment and cash holding in five ASEAN countries, namely Malaysia, Indonesia, Singapore, Thailand, and Vietnam. The study was conducted using data from non-financial public listed firms in these five ASEAN countries during the 2006 to 2020 period. The uncertainty volatility is measured using the standard deviation of the economic policy uncertainty index. The results of this study find that uncertainty volatility increases corporate investment and decreases corporate cash holding. This result indicates that high uncertainty economic condition cause firms to invest to reduce information asymmetry by giving signals to external investors through investment, and as result, it reduces the corporate cash holdings. Moreover, we also find that uncertainty volatility is more economically significant than Economic Policy Uncertainty it self. It is possible that uncertainty volatility can better capture the real uncertain condition in the economy.","author":[{"dropping-particle":"","family":"Marcella Roring","given":"","non-dropping-particle":"","parse-names":false,"suffix":""},{"dropping-particle":"","family":"Rita Juliana","given":"","non-dropping-particle":"","parse-names":false,"suffix":""}],"container-title":"Jurnal Akuntansi","id":"ITEM-1","issue":"2","issued":{"date-parts":[["2022"]]},"page":"176-191","title":"Uncertainty Volatility, Investment, And Cash Holding In ASEAN Countries","type":"article-journal","volume":"26"},"suppress-author":1,"uris":["http://www.mendeley.com/documents/?uuid=6fd0e145-eeb3-435d-a681-69117a0c99a4"]}],"mendeley":{"formattedCitation":"(2022)","plainTextFormattedCitation":"(2022)","previouslyFormattedCitation":"(2022)"},"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(2022)</w:t>
      </w:r>
      <w:r w:rsidRPr="006C43D8">
        <w:rPr>
          <w:rFonts w:ascii="Arial" w:hAnsi="Arial" w:cs="Arial"/>
        </w:rPr>
        <w:fldChar w:fldCharType="end"/>
      </w:r>
      <w:r w:rsidRPr="006C43D8">
        <w:rPr>
          <w:rFonts w:ascii="Arial" w:hAnsi="Arial" w:cs="Arial"/>
        </w:rPr>
        <w:t>, also mentioned that market volatility is a major obstacle to the level of corporate investment. Economic stability is one of the indicators used as a consideration by investors.</w:t>
      </w:r>
    </w:p>
    <w:p w14:paraId="7D94F453" w14:textId="77777777" w:rsidR="007B4B0D" w:rsidRDefault="007B4B0D" w:rsidP="006C43D8">
      <w:pPr>
        <w:jc w:val="both"/>
        <w:rPr>
          <w:rFonts w:ascii="Arial" w:hAnsi="Arial" w:cs="Arial"/>
        </w:rPr>
      </w:pPr>
    </w:p>
    <w:p w14:paraId="5AA25910" w14:textId="1B59BA64" w:rsidR="006C43D8" w:rsidRPr="006C43D8" w:rsidRDefault="006C43D8" w:rsidP="006C43D8">
      <w:pPr>
        <w:jc w:val="both"/>
        <w:rPr>
          <w:rFonts w:ascii="Arial" w:hAnsi="Arial" w:cs="Arial"/>
        </w:rPr>
      </w:pPr>
      <w:r w:rsidRPr="006C43D8">
        <w:rPr>
          <w:rFonts w:ascii="Arial" w:hAnsi="Arial" w:cs="Arial"/>
        </w:rPr>
        <w:t xml:space="preserve">The existence of an interest rate increase policy can encourage investors to be more interested in investing their assets in banking products and other investment instruments that have more potential and provide greater profits or returns. </w:t>
      </w:r>
      <w:r w:rsidRPr="006C43D8">
        <w:rPr>
          <w:rFonts w:ascii="Arial" w:hAnsi="Arial" w:cs="Arial"/>
        </w:rPr>
        <w:fldChar w:fldCharType="begin" w:fldLock="1"/>
      </w:r>
      <w:r w:rsidR="003E3217">
        <w:rPr>
          <w:rFonts w:ascii="Arial" w:hAnsi="Arial" w:cs="Arial"/>
        </w:rPr>
        <w:instrText>ADDIN CSL_CITATION {"citationItems":[{"id":"ITEM-1","itemData":{"DOI":"10.54097/gqe7gc61","abstract":"The international situation is tense, and the international economic situation is in a state of instability. Political factors similar to the Russian-Ukrainian war and the Palestinian-Israeli conflict continue to affect international economic trade deeply. As the country with the highest global GDP, the United States, its economic policy has a pivotal impact on the global economy. Because of the instability of the external environment and violent internal conflicts, coupled with the local economic situation being in a downward phase, the United States has adopted a more extreme monetary policy of interest rate hikes to absorb the dollar capital from all over the world back to the United States. This article is based on the U.S. interest rate hike for the U.S. itself, developed capitalist countries, the Chinese region, and the Asian economic backwardness of the country's impact, as well as some of the countries for the U.S. interest rate hike policy to take measures, and combined with the U.S. interest rate hike in the past the purpose and impact of the U.S. to analyze the United States of America's further economic decision-making trends and the future trend of the international economic and political trends, and to explore the China and other countries to better cope with the method. The study finds that the Fed's big move to carry out the interest rate hike this time is related to the unemployment problem within the United States, the racial problem and cultural conflict, as well as the leftover problems after the end of the epidemic, and uses this as a lead to try to adjust the economic situation of the whole world. Through the tidal wave of the dollar, hostile countries are weakened, paving the way for future wars or better control of the entire international situation.","author":[{"dropping-particle":"","family":"Liu","given":"Xi","non-dropping-particle":"","parse-names":false,"suffix":""}],"container-title":"Highlights in Business, Economics and Management","id":"ITEM-1","issued":{"date-parts":[["2024"]]},"page":"287-294","title":"The Global Impact of and Response to the Fed's Interest Rate Hike","type":"article-journal","volume":"28"},"uris":["http://www.mendeley.com/documents/?uuid=19a1d3d5-323d-41e8-8c48-9640891ee968"]}],"mendeley":{"formattedCitation":"(Liu, 2024)","plainTextFormattedCitation":"(Liu, 2024)","previouslyFormattedCitation":"(Liu, 2024)"},"properties":{"noteIndex":0},"schema":"https://github.com/citation-style-language/schema/raw/master/csl-citation.json"}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(Liu, 2024)</w:t>
      </w:r>
      <w:r w:rsidRPr="006C43D8">
        <w:rPr>
          <w:rFonts w:ascii="Arial" w:hAnsi="Arial" w:cs="Arial"/>
        </w:rPr>
        <w:fldChar w:fldCharType="end"/>
      </w:r>
      <w:r w:rsidRPr="006C43D8">
        <w:rPr>
          <w:rFonts w:ascii="Arial" w:hAnsi="Arial" w:cs="Arial"/>
        </w:rPr>
        <w:t>. The continued strengthening of the dollar exchange rate and the simultaneous depreciation of the rupiah exchange rate will also increase the risk of capital withdrawals from within the country to the United States.</w:t>
      </w:r>
    </w:p>
    <w:p w14:paraId="441FA975" w14:textId="77777777" w:rsidR="007B4B0D" w:rsidRDefault="007B4B0D" w:rsidP="006C43D8">
      <w:pPr>
        <w:jc w:val="both"/>
        <w:rPr>
          <w:rFonts w:ascii="Arial" w:hAnsi="Arial" w:cs="Arial"/>
        </w:rPr>
      </w:pPr>
    </w:p>
    <w:p w14:paraId="213FA00B" w14:textId="5CFD19F7" w:rsidR="006C43D8" w:rsidRPr="006C43D8" w:rsidRDefault="006C43D8" w:rsidP="006C43D8">
      <w:pPr>
        <w:jc w:val="both"/>
        <w:rPr>
          <w:rFonts w:ascii="Arial" w:hAnsi="Arial" w:cs="Arial"/>
        </w:rPr>
      </w:pPr>
      <w:r w:rsidRPr="006C43D8">
        <w:rPr>
          <w:rFonts w:ascii="Arial" w:hAnsi="Arial" w:cs="Arial"/>
        </w:rPr>
        <w:t>As a country with a small open economic system, the Indonesian stock market index is certainly very dependent on stock indexes in developed countries such as the United States. As the largest developed country in the world, the United States</w:t>
      </w:r>
      <w:r w:rsidR="00C63C25">
        <w:rPr>
          <w:rFonts w:ascii="Arial" w:hAnsi="Arial" w:cs="Arial"/>
        </w:rPr>
        <w:t>,</w:t>
      </w:r>
      <w:r w:rsidRPr="006C43D8">
        <w:rPr>
          <w:rFonts w:ascii="Arial" w:hAnsi="Arial" w:cs="Arial"/>
        </w:rPr>
        <w:t xml:space="preserve"> with its Dow Jones Industrial Average (DJI)</w:t>
      </w:r>
      <w:r w:rsidR="00C63C25">
        <w:rPr>
          <w:rFonts w:ascii="Arial" w:hAnsi="Arial" w:cs="Arial"/>
        </w:rPr>
        <w:t>,</w:t>
      </w:r>
      <w:r w:rsidRPr="006C43D8">
        <w:rPr>
          <w:rFonts w:ascii="Arial" w:hAnsi="Arial" w:cs="Arial"/>
        </w:rPr>
        <w:t xml:space="preserve"> is a reference in the global stock market, including Indonesia </w:t>
      </w:r>
      <w:bookmarkStart w:id="4" w:name="_Hlk192799013"/>
      <w:r w:rsidRPr="006C43D8">
        <w:rPr>
          <w:rFonts w:ascii="Arial" w:hAnsi="Arial" w:cs="Arial"/>
        </w:rPr>
        <w:fldChar w:fldCharType="begin" w:fldLock="1"/>
      </w:r>
      <w:r w:rsidR="003E3217">
        <w:rPr>
          <w:rFonts w:ascii="Arial" w:hAnsi="Arial" w:cs="Arial"/>
        </w:rPr>
        <w:instrText>ADDIN CSL_CITATION {"citationItems":[{"id":"ITEM-1","itemData":{"abstract":"Researchers took the title The Effect of STI Index, N225 Index, DJI Index on IHSG with IDX30 Index as an Intervening Variable on the Indonesia Stock Exchange for the 2012-2023 Period. The number of samples is based on the number of companies listed in each index. The analysis method used is quantitative using SEM. The results showed 1) STI has a positive and significant effect on IHSG; 2) N225 has a negative and insignificant effect on IHSG; 3) DJI has a positive and significant influence on IHSG; 4) STI has a positive but not significant effect on IDX30; 5) N225 has a positive but not significant effect on IDX30; 6) DJI has a positive but not significant effect on IDX30; 7) STI has an positive and insignificant effect on IHSG through IDX30; 8) N225 has an negative and insignificant effect on IHSG through IDX30; 9) DJI has an positive and insignificant effect on IHSG through IDX30; 10) IDX30 has a positive and significant effect on IHSG.","author":[{"dropping-particle":"","family":"Rante","given":"Andi","non-dropping-particle":"","parse-names":false,"suffix":""},{"dropping-particle":"","family":"Hasanudin","given":"","non-dropping-particle":"","parse-names":false,"suffix":""}],"container-title":"International Journal Economics Development Research","id":"ITEM-1","issue":"2","issued":{"date-parts":[["2024"]]},"page":"1085-1094","title":"The Impact of STI , N225 , and DJI Indices on IHSG with IDX30 Index as the Mediating Variable : A Study of the Indonesia Stock Exchange from 2012 to 2023","type":"article-journal","volume":"5"},"uris":["http://www.mendeley.com/documents/?uuid=91e187eb-a710-44f0-a032-b824026d9133"]}],"mendeley":{"formattedCitation":"(Rante &amp; Hasanudin, 2024)","plainTextFormattedCitation":"(Rante &amp; Hasanudin, 2024)","previouslyFormattedCitation":"(Rante &amp; Hasanudin, 2024)"},"properties":{"noteIndex":0},"schema":"https://github.com/citation-style-language/schema/raw/master/csl-citation.json"}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(Rante &amp; Hasanudin, 2024)</w:t>
      </w:r>
      <w:r w:rsidRPr="006C43D8">
        <w:rPr>
          <w:rFonts w:ascii="Arial" w:hAnsi="Arial" w:cs="Arial"/>
        </w:rPr>
        <w:fldChar w:fldCharType="end"/>
      </w:r>
      <w:bookmarkEnd w:id="4"/>
      <w:r w:rsidRPr="006C43D8">
        <w:rPr>
          <w:rFonts w:ascii="Arial" w:hAnsi="Arial" w:cs="Arial"/>
        </w:rPr>
        <w:t>. This is because multinational companies listed on the DJI also operate in Indonesia</w:t>
      </w:r>
      <w:r w:rsidR="00C63C25">
        <w:rPr>
          <w:rFonts w:ascii="Arial" w:hAnsi="Arial" w:cs="Arial"/>
        </w:rPr>
        <w:t>,</w:t>
      </w:r>
      <w:r w:rsidRPr="006C43D8">
        <w:rPr>
          <w:rFonts w:ascii="Arial" w:hAnsi="Arial" w:cs="Arial"/>
        </w:rPr>
        <w:t xml:space="preserve"> so DJI fluctuations affect the conventional Indonesian stock market as reflected through the IDX Composite. This is also reinforced by the results of the VD test</w:t>
      </w:r>
      <w:r w:rsidR="00C63C25">
        <w:rPr>
          <w:rFonts w:ascii="Arial" w:hAnsi="Arial" w:cs="Arial"/>
        </w:rPr>
        <w:t>,</w:t>
      </w:r>
      <w:r w:rsidRPr="006C43D8">
        <w:rPr>
          <w:rFonts w:ascii="Arial" w:hAnsi="Arial" w:cs="Arial"/>
        </w:rPr>
        <w:t xml:space="preserve"> which shows that the United States stock index variable is the largest contributor to the fluctuation of the Indonesian stock index.</w:t>
      </w:r>
    </w:p>
    <w:p w14:paraId="15FBCF6A" w14:textId="77777777" w:rsidR="007B4B0D" w:rsidRDefault="007B4B0D" w:rsidP="006C43D8">
      <w:pPr>
        <w:jc w:val="both"/>
        <w:rPr>
          <w:rFonts w:ascii="Arial" w:hAnsi="Arial" w:cs="Arial"/>
        </w:rPr>
      </w:pPr>
    </w:p>
    <w:p w14:paraId="20EB88AF" w14:textId="430E52A2" w:rsidR="006C43D8" w:rsidRPr="006C43D8" w:rsidRDefault="006C43D8" w:rsidP="006C43D8">
      <w:pPr>
        <w:jc w:val="both"/>
        <w:rPr>
          <w:rFonts w:ascii="Arial" w:hAnsi="Arial" w:cs="Arial"/>
        </w:rPr>
      </w:pPr>
      <w:r w:rsidRPr="006C43D8">
        <w:rPr>
          <w:rFonts w:ascii="Arial" w:hAnsi="Arial" w:cs="Arial"/>
        </w:rPr>
        <w:t xml:space="preserve">It is known from this study's test results and the above comments that the US stock index significantly influences the Indonesian stock index over the long run. According to </w:t>
      </w:r>
      <w:proofErr w:type="spellStart"/>
      <w:r w:rsidRPr="006C43D8">
        <w:rPr>
          <w:rFonts w:ascii="Arial" w:hAnsi="Arial" w:cs="Arial"/>
        </w:rPr>
        <w:t>Natsir</w:t>
      </w:r>
      <w:proofErr w:type="spellEnd"/>
      <w:r w:rsidRPr="006C43D8">
        <w:rPr>
          <w:rFonts w:ascii="Arial" w:hAnsi="Arial" w:cs="Arial"/>
        </w:rPr>
        <w:t xml:space="preserve"> et al. </w:t>
      </w:r>
      <w:r w:rsidRPr="006C43D8">
        <w:rPr>
          <w:rFonts w:ascii="Arial" w:hAnsi="Arial" w:cs="Arial"/>
        </w:rPr>
        <w:fldChar w:fldCharType="begin" w:fldLock="1"/>
      </w:r>
      <w:r w:rsidRPr="006C43D8">
        <w:rPr>
          <w:rFonts w:ascii="Arial" w:hAnsi="Arial" w:cs="Arial"/>
        </w:rPr>
        <w:instrText>ADDIN CSL_CITATION {"citationItems":[{"id":"ITEM-1","itemData":{"DOI":"10.24912/jmieb.v3i2.3398","ISSN":"2579-6224","abstract":"Penelitian ini bertujuan untuk menginvestigasi hubungan kausalitas antara IHSG, nilai tukar rupiah/US$ dan Indeks Global yang diwakili oleh Indeks Dow Jones Industrial Average. Penelitian mengambil sampel nilai-nilai variabel yang diteliti dengan periode data bulanan dalam periode Juli 2005-Desember 2018. Alat analisis menggunakan uji Engle-Granger untuk menginvestigasi hubungan kausalitas. Hasil Uji kausalitas Granger memperlihatkan terdapat hubungan dua arah atau saling mempengaruhi antara IHSG dengan nilai rupiah/US$. Selain itu ditemukan pula bahwa pergerakan Indeks Dow Jones Industrial secara signifikan mempengaruhi kepada pergerakan IHSG dan nilai tukar rupiah/US$, tetapi sebaliknya pergerakan yang terjadi pada IHSG dan nilai tukar tidak mampu mempengaruhi gerakan indeks Dow Jones Industrial. Hasil Uji kointegrasi Johansen memperlihatkan bahwa semua variabel penelitian mempunyai hubungan keseimbangan jangka panjang yang signifikan.","author":[{"dropping-particle":"","family":"Natsir","given":"Khairina","non-dropping-particle":"","parse-names":false,"suffix":""},{"dropping-particle":"","family":"Yusbardini","given":"","non-dropping-particle":"","parse-names":false,"suffix":""},{"dropping-particle":"","family":"Bangun","given":"Nurainun","non-dropping-particle":"","parse-names":false,"suffix":""}],"container-title":"Jurnal Muara Ilmu Ekonomi dan Bisnis","id":"ITEM-1","issue":"2","issued":{"date-parts":[["2019"]]},"page":"229-239","title":"Analisis Kausalitas Antara Ihsg, Indeks Dow Jones Industrial Average Dan Nilai Tukar Rupiah/Us$","type":"article-journal","volume":"3"},"suppress-author":1,"uris":["http://www.mendeley.com/documents/?uuid=0816c54a-7b27-4938-816c-ca6a08830bfb"]}],"mendeley":{"formattedCitation":"(2019)","plainTextFormattedCitation":"(2019)","previouslyFormattedCitation":"(2019)"},"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(2019)</w:t>
      </w:r>
      <w:r w:rsidRPr="006C43D8">
        <w:rPr>
          <w:rFonts w:ascii="Arial" w:hAnsi="Arial" w:cs="Arial"/>
        </w:rPr>
        <w:fldChar w:fldCharType="end"/>
      </w:r>
      <w:r w:rsidR="00C63C25">
        <w:rPr>
          <w:rFonts w:ascii="Arial" w:hAnsi="Arial" w:cs="Arial"/>
        </w:rPr>
        <w:t>,</w:t>
      </w:r>
      <w:r w:rsidRPr="006C43D8">
        <w:rPr>
          <w:rFonts w:ascii="Arial" w:hAnsi="Arial" w:cs="Arial"/>
        </w:rPr>
        <w:t xml:space="preserve"> research, there is a significant long-term association between IDX Composite and DJI, which supports this conclusion. The findings of the IRF test indicate that the IDX Composite variable's response in the short term to the shock of the DJI variable shows a very small number. This happens because</w:t>
      </w:r>
      <w:r w:rsidR="00C63C25">
        <w:rPr>
          <w:rFonts w:ascii="Arial" w:hAnsi="Arial" w:cs="Arial"/>
        </w:rPr>
        <w:t>,</w:t>
      </w:r>
      <w:r w:rsidRPr="006C43D8">
        <w:rPr>
          <w:rFonts w:ascii="Arial" w:hAnsi="Arial" w:cs="Arial"/>
        </w:rPr>
        <w:t xml:space="preserve"> in the short term</w:t>
      </w:r>
      <w:r w:rsidR="00C63C25">
        <w:rPr>
          <w:rFonts w:ascii="Arial" w:hAnsi="Arial" w:cs="Arial"/>
        </w:rPr>
        <w:t>,</w:t>
      </w:r>
      <w:r w:rsidRPr="006C43D8">
        <w:rPr>
          <w:rFonts w:ascii="Arial" w:hAnsi="Arial" w:cs="Arial"/>
        </w:rPr>
        <w:t xml:space="preserve"> Indonesian investors pay more attention to the fundamental analysis of the company and the political and macroeconomic </w:t>
      </w:r>
      <w:r w:rsidRPr="006C43D8">
        <w:rPr>
          <w:rFonts w:ascii="Arial" w:hAnsi="Arial" w:cs="Arial"/>
        </w:rPr>
        <w:lastRenderedPageBreak/>
        <w:t>conditions in the country. Therefore, companies and policymakers must maintain the stability of their performance to maintain the capital structure in Indonesia.</w:t>
      </w:r>
    </w:p>
    <w:p w14:paraId="7244AB44" w14:textId="77777777" w:rsidR="007B4B0D" w:rsidRDefault="007B4B0D" w:rsidP="006C43D8">
      <w:pPr>
        <w:jc w:val="both"/>
        <w:rPr>
          <w:rFonts w:ascii="Arial" w:hAnsi="Arial" w:cs="Arial"/>
          <w:b/>
          <w:bCs/>
        </w:rPr>
      </w:pPr>
    </w:p>
    <w:p w14:paraId="06E76E61" w14:textId="4F1FDF53" w:rsidR="006C43D8" w:rsidRPr="006C43D8" w:rsidRDefault="007B4B0D" w:rsidP="006C43D8">
      <w:pPr>
        <w:jc w:val="both"/>
        <w:rPr>
          <w:rFonts w:ascii="Arial" w:hAnsi="Arial" w:cs="Arial"/>
          <w:b/>
          <w:bCs/>
        </w:rPr>
      </w:pPr>
      <w:r>
        <w:rPr>
          <w:rFonts w:ascii="Arial" w:hAnsi="Arial" w:cs="Arial"/>
          <w:b/>
          <w:bCs/>
        </w:rPr>
        <w:t xml:space="preserve">4.2.3 </w:t>
      </w:r>
      <w:r w:rsidR="006C43D8" w:rsidRPr="006C43D8">
        <w:rPr>
          <w:rFonts w:ascii="Arial" w:hAnsi="Arial" w:cs="Arial"/>
          <w:b/>
          <w:bCs/>
        </w:rPr>
        <w:t>The Influence of United States Sharia Stocks on Indonesian Sharia Stocks</w:t>
      </w:r>
    </w:p>
    <w:p w14:paraId="778239AE" w14:textId="14F4C57F" w:rsidR="006C43D8" w:rsidRPr="006C43D8" w:rsidRDefault="006C43D8" w:rsidP="006C43D8">
      <w:pPr>
        <w:jc w:val="both"/>
        <w:rPr>
          <w:rFonts w:ascii="Arial" w:hAnsi="Arial" w:cs="Arial"/>
        </w:rPr>
      </w:pPr>
      <w:r w:rsidRPr="006C43D8">
        <w:rPr>
          <w:rFonts w:ascii="Arial" w:hAnsi="Arial" w:cs="Arial"/>
        </w:rPr>
        <w:t xml:space="preserve">The Sharia stock market is all activities in the stock market </w:t>
      </w:r>
      <w:r w:rsidR="00C63C25">
        <w:rPr>
          <w:rFonts w:ascii="Arial" w:hAnsi="Arial" w:cs="Arial"/>
        </w:rPr>
        <w:t>that,</w:t>
      </w:r>
      <w:r w:rsidRPr="006C43D8">
        <w:rPr>
          <w:rFonts w:ascii="Arial" w:hAnsi="Arial" w:cs="Arial"/>
        </w:rPr>
        <w:t xml:space="preserve"> in its implementation</w:t>
      </w:r>
      <w:r w:rsidR="00C63C25">
        <w:rPr>
          <w:rFonts w:ascii="Arial" w:hAnsi="Arial" w:cs="Arial"/>
        </w:rPr>
        <w:t>,</w:t>
      </w:r>
      <w:r w:rsidRPr="006C43D8">
        <w:rPr>
          <w:rFonts w:ascii="Arial" w:hAnsi="Arial" w:cs="Arial"/>
        </w:rPr>
        <w:t xml:space="preserve"> pay attention to Sharia principles </w:t>
      </w:r>
      <w:r w:rsidRPr="006C43D8">
        <w:rPr>
          <w:rFonts w:ascii="Arial" w:hAnsi="Arial" w:cs="Arial"/>
        </w:rPr>
        <w:fldChar w:fldCharType="begin" w:fldLock="1"/>
      </w:r>
      <w:r w:rsidR="003E3217">
        <w:rPr>
          <w:rFonts w:ascii="Arial" w:hAnsi="Arial" w:cs="Arial"/>
        </w:rPr>
        <w:instrText>ADDIN CSL_CITATION {"citationItems":[{"id":"ITEM-1","itemData":{"URL":"https://idxislamic.idx.co.id/edukasi-pasar-modal-syariah/pasar-modal-syariah/","accessed":{"date-parts":[["2024","11","20"]]},"author":[{"dropping-particle":"","family":"IDX","given":"","non-dropping-particle":"","parse-names":false,"suffix":""}],"container-title":"IDX Islamic","id":"ITEM-1","issued":{"date-parts":[["2024"]]},"title":"Pasar Modal Syariah","type":"webpage"},"uris":["http://www.mendeley.com/documents/?uuid=12f736f7-92e2-4a5c-a1af-aab80ec964e3"]}],"mendeley":{"formattedCitation":"(IDX, 2024)","plainTextFormattedCitation":"(IDX, 2024)","previouslyFormattedCitation":"(IDX, 2024)"},"properties":{"noteIndex":0},"schema":"https://github.com/citation-style-language/schema/raw/master/csl-citation.json"}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(IDX, 2024)</w:t>
      </w:r>
      <w:r w:rsidRPr="006C43D8">
        <w:rPr>
          <w:rFonts w:ascii="Arial" w:hAnsi="Arial" w:cs="Arial"/>
        </w:rPr>
        <w:fldChar w:fldCharType="end"/>
      </w:r>
      <w:r w:rsidRPr="006C43D8">
        <w:rPr>
          <w:rFonts w:ascii="Arial" w:hAnsi="Arial" w:cs="Arial"/>
        </w:rPr>
        <w:t xml:space="preserve">. The Financial Services Authority (OJK) and DSN-MUI oversee the Indonesian Sharia stock market. Given that the majority of the population is Muslim, the Indonesian Sharia stock market is expanding annually. The rise in Sharia stock issuers listed on the Indonesia Stock Exchange (IDX) further supports this. The sharia capital market is also expanding significantly in terms of capital capacity and transaction side </w:t>
      </w:r>
      <w:r w:rsidRPr="006C43D8">
        <w:rPr>
          <w:rFonts w:ascii="Arial" w:hAnsi="Arial" w:cs="Arial"/>
        </w:rPr>
        <w:fldChar w:fldCharType="begin" w:fldLock="1"/>
      </w:r>
      <w:r w:rsidR="003E3217">
        <w:rPr>
          <w:rFonts w:ascii="Arial" w:hAnsi="Arial" w:cs="Arial"/>
        </w:rPr>
        <w:instrText>ADDIN CSL_CITATION {"citationItems":[{"id":"ITEM-1","itemData":{"DOI":"10.20473/vol10iss20232pp188-202","ISBN":"2220801101","ISSN":"2407-1935","abstract":"ABSTRACT The research aims to determine the impact of the Dow Jones Islamic Market (DJIM), Interest Rates, Rupiah Exchange Rate, and Inflation on the Indonesian Sharia Stock Index (ISSI). This research is a quantitative research with data processing using Eviews 10 software. Data collection uses secondary data of the time series type and the method of analysis used is multiple linear regression. Before data analysis was carried out, the researcher conducted a classic assumption test to ensure that the model met the assumptions of the OLS method. The data is taken from the monthly closing price or value of each variable from 2018-2022 (60 months). The results of the study show that simultaneously the Indonesian Sharia Stock Index is influenced by the Dow Jones Islamic Market, Interest Rates, the rupiah exchange rate, and inflation. The amount of influence caused by the independent variable is 75.4% on the dependent variable. While partially the Dow Jones Islamic Market, interest rates and inflation have a significant positive effect, while the rupiah exchange rate has a significant negative effect on the Indonesian sharia stock index. The influence exerted by the dow jones Islamic market, interest rates, rupiah exchange rate and inflation on the Indonesian Islamic stock index gives an illustration to investors that the fluctuations in the price of Islamic stock indexes can be influenced by foreign indices, the national economy and the global economy. Keywords: Dow jones Islamic market, interest rates, rupiah exchange rates, inflation, Indonesian sharia stock index ABSTRAK Penelitian bertujuan mengetahui pengaruh Dow Jones Islamic Market (DJIM), Suku Bunga, Kurs Rupiah, dan Inflasi terhadap Indeks Saham Syariah Indonesia (ISSI). Penelitian ini merupakan penelitian kuantitatif dengan pengolahan data menggunakan software Eviews 10. Pengumpulan data menggunakan data sekunder tipe time series serta metode analisis yang dipakai adalah regresi linear berganda. Sebelum analisis data dilakukan, peneliti melakukan uji asumsi klasik untuk memastikan model telah memenuhi asumsi metode OLS. Data diambil dari harga atau nilai penutupan bulanan masing-masing variabel dari tahun 2018-2022 (60 bulan). Hasil penelitian menunjukkan bahwa secara simultan Indeks Saham Syariah Indonesia dipengaruhi oleh Dow Jones Islamic Market, Suku Bunga, kurs rupiah, dan inflasi. Besaran pengaruh yang disebabkan variabel independen sebesar 75.4% terhadap variabel dependen. Sedangkan secara…","author":[{"dropping-particle":"","family":"Amal","given":"Muhammad Ahsanul","non-dropping-particle":"","parse-names":false,"suffix":""},{"dropping-particle":"","family":"Musthofa","given":"Muhammad Wakhid","non-dropping-particle":"","parse-names":false,"suffix":""}],"container-title":"Jurnal Ekonomi Syariah Teori dan Terapan","id":"ITEM-1","issue":"2","issued":{"date-parts":[["2023"]]},"page":"188-202","title":"The Impact of the Dow Jones Islamic Market, Interest Rate, Rupiah Exchange Rate, and Inflation on the Indonesian Sharia Stock Index during 2018-2022 Period","type":"article-journal","volume":"10"},"uris":["http://www.mendeley.com/documents/?uuid=12b426d6-564c-462d-bdc3-10a97bf9ff63"]}],"mendeley":{"formattedCitation":"(Amal &amp; Musthofa, 2023)","plainTextFormattedCitation":"(Amal &amp; Musthofa, 2023)","previouslyFormattedCitation":"(Amal &amp; Musthofa, 2023)"},"properties":{"noteIndex":0},"schema":"https://github.com/citation-style-language/schema/raw/master/csl-citation.json"}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(Amal &amp; Musthofa, 2023)</w:t>
      </w:r>
      <w:r w:rsidRPr="006C43D8">
        <w:rPr>
          <w:rFonts w:ascii="Arial" w:hAnsi="Arial" w:cs="Arial"/>
        </w:rPr>
        <w:fldChar w:fldCharType="end"/>
      </w:r>
      <w:r w:rsidRPr="006C43D8">
        <w:rPr>
          <w:rFonts w:ascii="Arial" w:hAnsi="Arial" w:cs="Arial"/>
        </w:rPr>
        <w:t>. This demonstrates how eager investors are to put their money into the Sharia stock market.</w:t>
      </w:r>
    </w:p>
    <w:p w14:paraId="01511DBE" w14:textId="77777777" w:rsidR="007B4B0D" w:rsidRDefault="007B4B0D" w:rsidP="006C43D8">
      <w:pPr>
        <w:jc w:val="both"/>
        <w:rPr>
          <w:rFonts w:ascii="Arial" w:hAnsi="Arial" w:cs="Arial"/>
        </w:rPr>
      </w:pPr>
    </w:p>
    <w:p w14:paraId="59EBBC20" w14:textId="0EE84417" w:rsidR="006C43D8" w:rsidRPr="006C43D8" w:rsidRDefault="006C43D8" w:rsidP="006C43D8">
      <w:pPr>
        <w:jc w:val="both"/>
        <w:rPr>
          <w:rFonts w:ascii="Arial" w:hAnsi="Arial" w:cs="Arial"/>
        </w:rPr>
      </w:pPr>
      <w:r w:rsidRPr="006C43D8">
        <w:rPr>
          <w:rFonts w:ascii="Arial" w:hAnsi="Arial" w:cs="Arial"/>
        </w:rPr>
        <w:t xml:space="preserve">Sharia stock market </w:t>
      </w:r>
      <w:r w:rsidR="00073932">
        <w:rPr>
          <w:rFonts w:ascii="Arial" w:hAnsi="Arial" w:cs="Arial"/>
        </w:rPr>
        <w:t xml:space="preserve">training programs conducted by regulators </w:t>
      </w:r>
      <w:r w:rsidRPr="006C43D8">
        <w:rPr>
          <w:rFonts w:ascii="Arial" w:hAnsi="Arial" w:cs="Arial"/>
        </w:rPr>
        <w:t xml:space="preserve">and equity companies </w:t>
      </w:r>
      <w:r w:rsidR="00C63C25">
        <w:rPr>
          <w:rFonts w:ascii="Arial" w:hAnsi="Arial" w:cs="Arial"/>
        </w:rPr>
        <w:t>play</w:t>
      </w:r>
      <w:r w:rsidRPr="006C43D8">
        <w:rPr>
          <w:rFonts w:ascii="Arial" w:hAnsi="Arial" w:cs="Arial"/>
        </w:rPr>
        <w:t xml:space="preserve"> a crucial role in increasing investor interest in investing their capital in the Sharia stock market </w:t>
      </w:r>
      <w:r w:rsidRPr="006C43D8">
        <w:rPr>
          <w:rFonts w:ascii="Arial" w:hAnsi="Arial" w:cs="Arial"/>
        </w:rPr>
        <w:fldChar w:fldCharType="begin" w:fldLock="1"/>
      </w:r>
      <w:r w:rsidR="003E3217">
        <w:rPr>
          <w:rFonts w:ascii="Arial" w:hAnsi="Arial" w:cs="Arial"/>
        </w:rPr>
        <w:instrText>ADDIN CSL_CITATION {"citationItems":[{"id":"ITEM-1","itemData":{"DOI":"10.15408/aiq.v13i2.22585","ISSN":"2087-135X","abstract":"The purpose of this research is to know the effect of the DJIMWI, Forex, Foreign Investment, Domestic Investment on the Indonesian Sharia Stock Index (ISSI) with the intervening of JCI in the research period. Through regression analysis, this study concludes that the DJIWMI and the foreign exchange variables have significant positive effect on the JCI. However, the JCI is not significantly affected by the foreign investment but is influenced by domestic investment. Furthermore, it shows that DJIMWI and domestic investment have a significant positive effect on ISSI. The pathway analysis shows that there is a significant effect between the JCI variables on the ISSI. DJIMWI through the JCI has a significant influence on ISSI. Meanwhile, the foreign exchange variable through the JCI has a significant influence on the ISSI variable. On the other hand, the variable of foreign investment through the JCI has no significant effect on ISSI; however, domestic investment through the JCI has a significant influence on ISSI. The limitations of the study are factors outside the research model, which are 25.88% and 53.47% of the dependent variable of JCI and ISSI.","author":[{"dropping-particle":"","family":"Halim","given":"Sofyan","non-dropping-particle":"","parse-names":false,"suffix":""}],"container-title":"Al-Iqtishad: Jurnal of Islamic Economics","id":"ITEM-1","issue":"2","issued":{"date-parts":[["2021"]]},"page":"369-410","title":"The Effect of Dow Jones Islamic Market World Index, Foreign Exchange, Foreign Investment and Domestic Investment with the Intervening Composite Stock Price Index on the Indonesian Sharia Stock Index","type":"article-journal","volume":"13"},"uris":["http://www.mendeley.com/documents/?uuid=9bb5a757-86b1-4b01-8d02-60e0756592f8"]}],"mendeley":{"formattedCitation":"(Halim, 2021)","plainTextFormattedCitation":"(Halim, 2021)","previouslyFormattedCitation":"(Halim, 2021)"},"properties":{"noteIndex":0},"schema":"https://github.com/citation-style-language/schema/raw/master/csl-citation.json"}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(Halim, 2021)</w:t>
      </w:r>
      <w:r w:rsidRPr="006C43D8">
        <w:rPr>
          <w:rFonts w:ascii="Arial" w:hAnsi="Arial" w:cs="Arial"/>
        </w:rPr>
        <w:fldChar w:fldCharType="end"/>
      </w:r>
      <w:r w:rsidRPr="006C43D8">
        <w:rPr>
          <w:rFonts w:ascii="Arial" w:hAnsi="Arial" w:cs="Arial"/>
        </w:rPr>
        <w:t xml:space="preserve">. Furthermore, the development of the Indonesian Islamic stock index, known as the Jakarta Islamic Index (JII), is significantly influenced by the fluctuations of the worldwide Islamic stock index. The Dow Jones Islamic Market (DJIM) or the United States Islamic Stock Index is one of the reference stock indexes that influences the global securities portfolio, including Indonesia </w:t>
      </w:r>
      <w:r w:rsidRPr="006C43D8">
        <w:rPr>
          <w:rFonts w:ascii="Arial" w:hAnsi="Arial" w:cs="Arial"/>
        </w:rPr>
        <w:fldChar w:fldCharType="begin" w:fldLock="1"/>
      </w:r>
      <w:r w:rsidR="003E3217">
        <w:rPr>
          <w:rFonts w:ascii="Arial" w:hAnsi="Arial" w:cs="Arial"/>
        </w:rPr>
        <w:instrText>ADDIN CSL_CITATION {"citationItems":[{"id":"ITEM-1","itemData":{"DOI":"10.15408/aiq.v13i2.22585","ISSN":"2087-135X","abstract":"The purpose of this research is to know the effect of the DJIMWI, Forex, Foreign Investment, Domestic Investment on the Indonesian Sharia Stock Index (ISSI) with the intervening of JCI in the research period. Through regression analysis, this study concludes that the DJIWMI and the foreign exchange variables have significant positive effect on the JCI. However, the JCI is not significantly affected by the foreign investment but is influenced by domestic investment. Furthermore, it shows that DJIMWI and domestic investment have a significant positive effect on ISSI. The pathway analysis shows that there is a significant effect between the JCI variables on the ISSI. DJIMWI through the JCI has a significant influence on ISSI. Meanwhile, the foreign exchange variable through the JCI has a significant influence on the ISSI variable. On the other hand, the variable of foreign investment through the JCI has no significant effect on ISSI; however, domestic investment through the JCI has a significant influence on ISSI. The limitations of the study are factors outside the research model, which are 25.88% and 53.47% of the dependent variable of JCI and ISSI.","author":[{"dropping-particle":"","family":"Halim","given":"Sofyan","non-dropping-particle":"","parse-names":false,"suffix":""}],"container-title":"Al-Iqtishad: Jurnal of Islamic Economics","id":"ITEM-1","issue":"2","issued":{"date-parts":[["2021"]]},"page":"369-410","title":"The Effect of Dow Jones Islamic Market World Index, Foreign Exchange, Foreign Investment and Domestic Investment with the Intervening Composite Stock Price Index on the Indonesian Sharia Stock Index","type":"article-journal","volume":"13"},"uris":["http://www.mendeley.com/documents/?uuid=9bb5a757-86b1-4b01-8d02-60e0756592f8"]}],"mendeley":{"formattedCitation":"(Halim, 2021)","plainTextFormattedCitation":"(Halim, 2021)","previouslyFormattedCitation":"(Halim, 2021)"},"properties":{"noteIndex":0},"schema":"https://github.com/citation-style-language/schema/raw/master/csl-citation.json"}</w:instrText>
      </w:r>
      <w:r w:rsidRPr="006C43D8">
        <w:rPr>
          <w:rFonts w:ascii="Arial" w:hAnsi="Arial" w:cs="Arial"/>
        </w:rPr>
        <w:fldChar w:fldCharType="separate"/>
      </w:r>
      <w:r w:rsidR="006D3F92" w:rsidRPr="006D3F92">
        <w:rPr>
          <w:rFonts w:ascii="Arial" w:hAnsi="Arial" w:cs="Arial"/>
          <w:noProof/>
        </w:rPr>
        <w:t>(Halim, 2021)</w:t>
      </w:r>
      <w:r w:rsidRPr="006C43D8">
        <w:rPr>
          <w:rFonts w:ascii="Arial" w:hAnsi="Arial" w:cs="Arial"/>
        </w:rPr>
        <w:fldChar w:fldCharType="end"/>
      </w:r>
      <w:r w:rsidRPr="006C43D8">
        <w:rPr>
          <w:rFonts w:ascii="Arial" w:hAnsi="Arial" w:cs="Arial"/>
        </w:rPr>
        <w:t>.</w:t>
      </w:r>
    </w:p>
    <w:p w14:paraId="0AC55DCB" w14:textId="77777777" w:rsidR="007B4B0D" w:rsidRDefault="007B4B0D" w:rsidP="006C43D8">
      <w:pPr>
        <w:jc w:val="both"/>
        <w:rPr>
          <w:rFonts w:ascii="Arial" w:hAnsi="Arial" w:cs="Arial"/>
        </w:rPr>
      </w:pPr>
    </w:p>
    <w:p w14:paraId="439CF177" w14:textId="38C8CF4C" w:rsidR="006C43D8" w:rsidRPr="006C43D8" w:rsidRDefault="006C43D8" w:rsidP="006C43D8">
      <w:pPr>
        <w:jc w:val="both"/>
        <w:rPr>
          <w:rFonts w:ascii="Arial" w:hAnsi="Arial" w:cs="Arial"/>
        </w:rPr>
      </w:pPr>
      <w:r w:rsidRPr="006C43D8">
        <w:rPr>
          <w:rFonts w:ascii="Arial" w:hAnsi="Arial" w:cs="Arial"/>
        </w:rPr>
        <w:t xml:space="preserve">According to the study's test results, there is a considerable correlation between the Indonesian Sharia stock index and the US Sharia stock index. In this instance, DJIM has long-term effects on JII. The VD test results, which indicate that DJIM is the main cause of JII variations, corroborate this. Halim's research, </w:t>
      </w:r>
      <w:r w:rsidRPr="006C43D8">
        <w:rPr>
          <w:rFonts w:ascii="Arial" w:hAnsi="Arial" w:cs="Arial"/>
        </w:rPr>
        <w:fldChar w:fldCharType="begin" w:fldLock="1"/>
      </w:r>
      <w:r w:rsidRPr="006C43D8">
        <w:rPr>
          <w:rFonts w:ascii="Arial" w:hAnsi="Arial" w:cs="Arial"/>
        </w:rPr>
        <w:instrText>ADDIN CSL_CITATION {"citationItems":[{"id":"ITEM-1","itemData":{"DOI":"10.15408/aiq.v13i2.22585","ISSN":"2087-135X","abstract":"The purpose of this research is to know the effect of the DJIMWI, Forex, Foreign Investment, Domestic Investment on the Indonesian Sharia Stock Index (ISSI) with the intervening of JCI in the research period. Through regression analysis, this study concludes that the DJIWMI and the foreign exchange variables have significant positive effect on the JCI. However, the JCI is not significantly affected by the foreign investment but is influenced by domestic investment. Furthermore, it shows that DJIMWI and domestic investment have a significant positive effect on ISSI. The pathway analysis shows that there is a significant effect between the JCI variables on the ISSI. DJIMWI through the JCI has a significant influence on ISSI. Meanwhile, the foreign exchange variable through the JCI has a significant influence on the ISSI variable. On the other hand, the variable of foreign investment through the JCI has no significant effect on ISSI; however, domestic investment through the JCI has a significant influence on ISSI. The limitations of the study are factors outside the research model, which are 25.88% and 53.47% of the dependent variable of JCI and ISSI.","author":[{"dropping-particle":"","family":"Halim","given":"Sofyan","non-dropping-particle":"","parse-names":false,"suffix":""}],"container-title":"Al-Iqtishad: Jurnal of Islamic Economics","id":"ITEM-1","issue":"2","issued":{"date-parts":[["2021"]]},"page":"369-410","title":"The Effect of Dow Jones Islamic Market World Index, Foreign Exchange, Foreign Investment and Domestic Investment with the Intervening Composite Stock Price Index on the Indonesian Sharia Stock Index","type":"article-journal","volume":"13"},"suppress-author":1,"uris":["http://www.mendeley.com/documents/?uuid=9bb5a757-86b1-4b01-8d02-60e0756592f8"]}],"mendeley":{"formattedCitation":"(2021)","plainTextFormattedCitation":"(2021)","previouslyFormattedCitation":"(2021)"},"properties":{"noteIndex":0},"schema":"https://github.com/citation-style-language/schema/raw/master/csl-citation.json"}</w:instrText>
      </w:r>
      <w:r w:rsidRPr="006C43D8">
        <w:rPr>
          <w:rFonts w:ascii="Arial" w:hAnsi="Arial" w:cs="Arial"/>
        </w:rPr>
        <w:fldChar w:fldCharType="separate"/>
      </w:r>
      <w:r w:rsidRPr="006C43D8">
        <w:rPr>
          <w:rFonts w:ascii="Arial" w:hAnsi="Arial" w:cs="Arial"/>
          <w:noProof/>
        </w:rPr>
        <w:t>(2021)</w:t>
      </w:r>
      <w:r w:rsidRPr="006C43D8">
        <w:rPr>
          <w:rFonts w:ascii="Arial" w:hAnsi="Arial" w:cs="Arial"/>
        </w:rPr>
        <w:fldChar w:fldCharType="end"/>
      </w:r>
      <w:r w:rsidRPr="006C43D8">
        <w:rPr>
          <w:rFonts w:ascii="Arial" w:hAnsi="Arial" w:cs="Arial"/>
        </w:rPr>
        <w:t>, which claims that the DJIM variable has a considerable impact on the JII variable, further supports these findings.</w:t>
      </w:r>
    </w:p>
    <w:p w14:paraId="75DE18A5" w14:textId="77777777" w:rsidR="00790ADA" w:rsidRDefault="00790ADA" w:rsidP="00441B6F">
      <w:pPr>
        <w:pStyle w:val="Body"/>
        <w:spacing w:after="0"/>
        <w:rPr>
          <w:rFonts w:ascii="Arial" w:hAnsi="Arial" w:cs="Arial"/>
        </w:rPr>
      </w:pPr>
    </w:p>
    <w:p w14:paraId="5A85FD5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55EB6B" w14:textId="77777777" w:rsidR="00790ADA" w:rsidRPr="00FB3A86" w:rsidRDefault="00790ADA" w:rsidP="00441B6F">
      <w:pPr>
        <w:pStyle w:val="ConcHead"/>
        <w:spacing w:after="0"/>
        <w:jc w:val="both"/>
        <w:rPr>
          <w:rFonts w:ascii="Arial" w:hAnsi="Arial" w:cs="Arial"/>
        </w:rPr>
      </w:pPr>
    </w:p>
    <w:p w14:paraId="5E7C2432" w14:textId="578A420C" w:rsidR="007B4B0D" w:rsidRDefault="007B4B0D" w:rsidP="007B4B0D">
      <w:pPr>
        <w:jc w:val="both"/>
        <w:rPr>
          <w:rFonts w:ascii="Arial" w:hAnsi="Arial" w:cs="Arial"/>
        </w:rPr>
      </w:pPr>
      <w:r w:rsidRPr="007B4B0D">
        <w:rPr>
          <w:rFonts w:ascii="Arial" w:hAnsi="Arial" w:cs="Arial"/>
        </w:rPr>
        <w:t xml:space="preserve">From the results of the research and discussion above, it was found that: First, changes in the direction of monetary policy of the United States as a country that dominates the world economy certainly have a significant impact on the stability of the Indonesian economy as a country with a small open economy in the long term. Bank Indonesia, which responded to the interest rate hike policy implemented by the Fed, had a chain effect on the stability of the Indonesian economy. Second, the DJI, which is the reference for the global stock index, has a significant long-term influence on the conventional Indonesian stock index, namely the IDX Composite. This condition is caused by an increase in market volatility caused by global economic instability due to changes in policy direction. </w:t>
      </w:r>
      <w:proofErr w:type="gramStart"/>
      <w:r w:rsidRPr="007B4B0D">
        <w:rPr>
          <w:rFonts w:ascii="Arial" w:hAnsi="Arial" w:cs="Arial"/>
        </w:rPr>
        <w:t>So</w:t>
      </w:r>
      <w:proofErr w:type="gramEnd"/>
      <w:r w:rsidRPr="007B4B0D">
        <w:rPr>
          <w:rFonts w:ascii="Arial" w:hAnsi="Arial" w:cs="Arial"/>
        </w:rPr>
        <w:t xml:space="preserve"> it affects the condition of the global stock market</w:t>
      </w:r>
      <w:r w:rsidR="00C63C25">
        <w:rPr>
          <w:rFonts w:ascii="Arial" w:hAnsi="Arial" w:cs="Arial"/>
        </w:rPr>
        <w:t>,</w:t>
      </w:r>
      <w:r w:rsidRPr="007B4B0D">
        <w:rPr>
          <w:rFonts w:ascii="Arial" w:hAnsi="Arial" w:cs="Arial"/>
        </w:rPr>
        <w:t xml:space="preserve"> which</w:t>
      </w:r>
      <w:r w:rsidR="00C63C25">
        <w:rPr>
          <w:rFonts w:ascii="Arial" w:hAnsi="Arial" w:cs="Arial"/>
        </w:rPr>
        <w:t>,</w:t>
      </w:r>
      <w:r w:rsidRPr="007B4B0D">
        <w:rPr>
          <w:rFonts w:ascii="Arial" w:hAnsi="Arial" w:cs="Arial"/>
        </w:rPr>
        <w:t xml:space="preserve"> of course</w:t>
      </w:r>
      <w:r w:rsidR="00C63C25">
        <w:rPr>
          <w:rFonts w:ascii="Arial" w:hAnsi="Arial" w:cs="Arial"/>
        </w:rPr>
        <w:t>,</w:t>
      </w:r>
      <w:r w:rsidRPr="007B4B0D">
        <w:rPr>
          <w:rFonts w:ascii="Arial" w:hAnsi="Arial" w:cs="Arial"/>
        </w:rPr>
        <w:t xml:space="preserve"> also affects the conventional Indonesian stock index. Third, not only the DJI, but capital market volatility also certainly has an impact on the United States Sharia stock index, namely the DJIM. </w:t>
      </w:r>
      <w:r w:rsidR="00C63C25">
        <w:rPr>
          <w:rFonts w:ascii="Arial" w:hAnsi="Arial" w:cs="Arial"/>
        </w:rPr>
        <w:t>The</w:t>
      </w:r>
      <w:r w:rsidRPr="007B4B0D">
        <w:rPr>
          <w:rFonts w:ascii="Arial" w:hAnsi="Arial" w:cs="Arial"/>
        </w:rPr>
        <w:t xml:space="preserve"> results of the study also show that fluctuations in the DJIM as a global sharia stock index have a significant long-term effect on the Indonesian sharia stock index, namely the JII. </w:t>
      </w:r>
    </w:p>
    <w:p w14:paraId="3684DF60" w14:textId="77777777" w:rsidR="00D93165" w:rsidRDefault="00D93165" w:rsidP="007B4B0D">
      <w:pPr>
        <w:jc w:val="both"/>
        <w:rPr>
          <w:rFonts w:ascii="Arial" w:hAnsi="Arial" w:cs="Arial"/>
        </w:rPr>
      </w:pPr>
    </w:p>
    <w:p w14:paraId="023A927D" w14:textId="2FE826ED" w:rsidR="00D93165" w:rsidRDefault="00073932" w:rsidP="007B4B0D">
      <w:pPr>
        <w:jc w:val="both"/>
        <w:rPr>
          <w:rFonts w:ascii="Arial" w:hAnsi="Arial" w:cs="Arial"/>
        </w:rPr>
      </w:pPr>
      <w:r w:rsidRPr="00073932">
        <w:rPr>
          <w:rFonts w:ascii="Arial" w:hAnsi="Arial" w:cs="Arial"/>
        </w:rPr>
        <w:t>The findings of this study provide both academic and practical contributions. Academically, this article analyzes the response of conventional and Islamic stock markets in Indonesia to post-US monetary policy shocks within an integrated SVAR framework. This is further explained at the end of the Introduction.</w:t>
      </w:r>
      <w:r>
        <w:rPr>
          <w:rFonts w:ascii="Arial" w:hAnsi="Arial" w:cs="Arial"/>
        </w:rPr>
        <w:t xml:space="preserve"> </w:t>
      </w:r>
      <w:r w:rsidR="004D6B12">
        <w:rPr>
          <w:rFonts w:ascii="Arial" w:hAnsi="Arial" w:cs="Arial"/>
        </w:rPr>
        <w:t>Practically, t</w:t>
      </w:r>
      <w:r w:rsidR="00D93165" w:rsidRPr="00D93165">
        <w:rPr>
          <w:rFonts w:ascii="Arial" w:hAnsi="Arial" w:cs="Arial"/>
        </w:rPr>
        <w:t>he findings of this study are expected to provide a basis for policymakers to analyze the dynamics of international monetary policy and develop adaptive strategies amidst uncertain economic conditions. Furthermore, this research is also expected to provide a basis for stock market players in making investment decisions amidst the complexity and uncertainty of the global market.</w:t>
      </w:r>
    </w:p>
    <w:p w14:paraId="3B750485" w14:textId="77777777" w:rsidR="00D93165" w:rsidRDefault="00D93165" w:rsidP="007B4B0D">
      <w:pPr>
        <w:jc w:val="both"/>
        <w:rPr>
          <w:rFonts w:ascii="Arial" w:hAnsi="Arial" w:cs="Arial"/>
        </w:rPr>
      </w:pPr>
    </w:p>
    <w:p w14:paraId="435BEA26" w14:textId="6745B09A" w:rsidR="00D93165" w:rsidRDefault="00D93165" w:rsidP="007B4B0D">
      <w:pPr>
        <w:jc w:val="both"/>
        <w:rPr>
          <w:rFonts w:ascii="Arial" w:hAnsi="Arial" w:cs="Arial"/>
        </w:rPr>
      </w:pPr>
      <w:r w:rsidRPr="00D93165">
        <w:rPr>
          <w:rFonts w:ascii="Arial" w:hAnsi="Arial" w:cs="Arial"/>
        </w:rPr>
        <w:lastRenderedPageBreak/>
        <w:t>While presenting a comprehensive analysis, this study still has limitations in the research period covered. Therefore, further research is recommended to expand the observation period and consider additional variables to provide a broader perspective on the dynamics of global monetary policy and its impact on the domestic economy.</w:t>
      </w:r>
    </w:p>
    <w:p w14:paraId="2654EAF3" w14:textId="77777777" w:rsidR="00D93165" w:rsidRDefault="00D93165" w:rsidP="007B4B0D">
      <w:pPr>
        <w:jc w:val="both"/>
        <w:rPr>
          <w:rFonts w:ascii="Arial" w:hAnsi="Arial" w:cs="Arial"/>
        </w:rPr>
      </w:pPr>
    </w:p>
    <w:p w14:paraId="48E46657" w14:textId="77777777" w:rsidR="0087155E" w:rsidRPr="004A7BC4" w:rsidRDefault="0087155E" w:rsidP="008F78D6">
      <w:pPr>
        <w:jc w:val="both"/>
        <w:rPr>
          <w:b/>
          <w:highlight w:val="yellow"/>
        </w:rPr>
      </w:pPr>
      <w:r w:rsidRPr="004A7BC4">
        <w:rPr>
          <w:b/>
          <w:highlight w:val="yellow"/>
        </w:rPr>
        <w:t>Disclaimer (Artificial intelligence)</w:t>
      </w:r>
    </w:p>
    <w:p w14:paraId="06A10A63" w14:textId="006E681A" w:rsidR="0087155E" w:rsidRPr="008F78D6" w:rsidRDefault="0087155E" w:rsidP="008F78D6">
      <w:pPr>
        <w:jc w:val="both"/>
        <w:rPr>
          <w:highlight w:val="yellow"/>
        </w:rPr>
      </w:pPr>
      <w:r w:rsidRPr="008F78D6">
        <w:rPr>
          <w:highlight w:val="yellow"/>
        </w:rPr>
        <w:t>Author(s) hereby declare that generative AI technologies have been used during the writing or editing of manuscripts. This explanation will include the name, version, model, and source of the generative AI technology and as well as all input prompts provided to the generative AI technology</w:t>
      </w:r>
    </w:p>
    <w:p w14:paraId="6B183687" w14:textId="77777777" w:rsidR="0087155E" w:rsidRPr="008F78D6" w:rsidRDefault="0087155E" w:rsidP="008F78D6">
      <w:pPr>
        <w:jc w:val="both"/>
        <w:rPr>
          <w:highlight w:val="yellow"/>
        </w:rPr>
      </w:pPr>
      <w:r w:rsidRPr="008F78D6">
        <w:rPr>
          <w:highlight w:val="yellow"/>
        </w:rPr>
        <w:t>Details of the AI usage are given below:</w:t>
      </w:r>
    </w:p>
    <w:p w14:paraId="2F156325" w14:textId="3B9D5DC3" w:rsidR="008F78D6" w:rsidRPr="008F78D6" w:rsidRDefault="0087155E" w:rsidP="008F78D6">
      <w:pPr>
        <w:jc w:val="both"/>
        <w:rPr>
          <w:highlight w:val="yellow"/>
        </w:rPr>
      </w:pPr>
      <w:r w:rsidRPr="008F78D6">
        <w:rPr>
          <w:highlight w:val="yellow"/>
        </w:rPr>
        <w:t>1.</w:t>
      </w:r>
      <w:r w:rsidR="008F78D6" w:rsidRPr="008F78D6">
        <w:rPr>
          <w:highlight w:val="yellow"/>
        </w:rPr>
        <w:t xml:space="preserve"> </w:t>
      </w:r>
      <w:proofErr w:type="spellStart"/>
      <w:r w:rsidR="008F78D6" w:rsidRPr="008F78D6">
        <w:rPr>
          <w:highlight w:val="yellow"/>
        </w:rPr>
        <w:t>Scispace</w:t>
      </w:r>
      <w:proofErr w:type="spellEnd"/>
      <w:r w:rsidR="008F78D6" w:rsidRPr="008F78D6">
        <w:rPr>
          <w:highlight w:val="yellow"/>
        </w:rPr>
        <w:t xml:space="preserve"> AI</w:t>
      </w:r>
    </w:p>
    <w:p w14:paraId="62895E9A" w14:textId="39326890" w:rsidR="008F78D6" w:rsidRPr="008F78D6" w:rsidRDefault="008F78D6" w:rsidP="008F78D6">
      <w:pPr>
        <w:jc w:val="both"/>
        <w:rPr>
          <w:highlight w:val="yellow"/>
        </w:rPr>
      </w:pPr>
      <w:r w:rsidRPr="008F78D6">
        <w:rPr>
          <w:highlight w:val="yellow"/>
        </w:rPr>
        <w:t xml:space="preserve">Used to assist with literature searches and enrich perspectives in the literature review section. This technology was </w:t>
      </w:r>
      <w:r w:rsidR="00803335">
        <w:rPr>
          <w:highlight w:val="yellow"/>
        </w:rPr>
        <w:t>used to identify relevant research and understand the flow of prior</w:t>
      </w:r>
      <w:r w:rsidRPr="008F78D6">
        <w:rPr>
          <w:highlight w:val="yellow"/>
        </w:rPr>
        <w:t xml:space="preserve"> research findings.</w:t>
      </w:r>
    </w:p>
    <w:p w14:paraId="2B8A438F" w14:textId="77777777" w:rsidR="008F78D6" w:rsidRPr="008F78D6" w:rsidRDefault="0087155E" w:rsidP="008F78D6">
      <w:pPr>
        <w:jc w:val="both"/>
        <w:rPr>
          <w:highlight w:val="yellow"/>
        </w:rPr>
      </w:pPr>
      <w:r w:rsidRPr="008F78D6">
        <w:rPr>
          <w:highlight w:val="yellow"/>
        </w:rPr>
        <w:t>2.</w:t>
      </w:r>
      <w:r w:rsidR="008F78D6" w:rsidRPr="008F78D6">
        <w:rPr>
          <w:highlight w:val="yellow"/>
        </w:rPr>
        <w:t xml:space="preserve"> ChatGPT (OpenAI Model, GPT-5 / GPT-5.1)</w:t>
      </w:r>
    </w:p>
    <w:p w14:paraId="22E54D91" w14:textId="50DC407B" w:rsidR="0087155E" w:rsidRPr="008F78D6" w:rsidRDefault="008F78D6" w:rsidP="008F78D6">
      <w:pPr>
        <w:jc w:val="both"/>
        <w:rPr>
          <w:highlight w:val="yellow"/>
        </w:rPr>
      </w:pPr>
      <w:r w:rsidRPr="008F78D6">
        <w:rPr>
          <w:highlight w:val="yellow"/>
        </w:rPr>
        <w:t>Used to assist in the search for recommendations for literature relevant to the research. All content and AI-generated recommendations have been thoroughly reviewed and adjusted by the author.</w:t>
      </w:r>
    </w:p>
    <w:p w14:paraId="56E0D3DC" w14:textId="77777777" w:rsidR="008F78D6" w:rsidRPr="008F78D6" w:rsidRDefault="0087155E" w:rsidP="008F78D6">
      <w:pPr>
        <w:jc w:val="both"/>
        <w:rPr>
          <w:highlight w:val="yellow"/>
        </w:rPr>
      </w:pPr>
      <w:r w:rsidRPr="008F78D6">
        <w:rPr>
          <w:highlight w:val="yellow"/>
        </w:rPr>
        <w:t>3.</w:t>
      </w:r>
      <w:r w:rsidR="008F78D6" w:rsidRPr="008F78D6">
        <w:rPr>
          <w:highlight w:val="yellow"/>
        </w:rPr>
        <w:t xml:space="preserve"> Grammarly (AI-powered writing assistant)</w:t>
      </w:r>
    </w:p>
    <w:p w14:paraId="51DD7A8F" w14:textId="75A515A9" w:rsidR="0087155E" w:rsidRPr="008F78D6" w:rsidRDefault="008F78D6" w:rsidP="008F78D6">
      <w:pPr>
        <w:jc w:val="both"/>
      </w:pPr>
      <w:r w:rsidRPr="008F78D6">
        <w:rPr>
          <w:highlight w:val="yellow"/>
        </w:rPr>
        <w:t>Used to check grammar, spelling, punctuation, and make recommendations for improving writing style. This tool functions solely as a language polishing tool without producing substantive content.</w:t>
      </w:r>
    </w:p>
    <w:p w14:paraId="37585E6B" w14:textId="77777777" w:rsidR="00860000" w:rsidRDefault="00860000" w:rsidP="00441B6F">
      <w:pPr>
        <w:pStyle w:val="ReferHead"/>
        <w:spacing w:after="0"/>
        <w:jc w:val="both"/>
        <w:rPr>
          <w:rFonts w:ascii="Arial" w:hAnsi="Arial" w:cs="Arial"/>
        </w:rPr>
      </w:pPr>
    </w:p>
    <w:p w14:paraId="6368A238" w14:textId="1585C58E" w:rsidR="006D3F92" w:rsidRDefault="00B01FCD" w:rsidP="004C1A00">
      <w:pPr>
        <w:pStyle w:val="ReferHead"/>
        <w:spacing w:after="0"/>
        <w:jc w:val="both"/>
        <w:rPr>
          <w:rFonts w:ascii="Arial" w:hAnsi="Arial" w:cs="Arial"/>
        </w:rPr>
      </w:pPr>
      <w:r w:rsidRPr="00FB3A86">
        <w:rPr>
          <w:rFonts w:ascii="Arial" w:hAnsi="Arial" w:cs="Arial"/>
        </w:rPr>
        <w:t>References</w:t>
      </w:r>
    </w:p>
    <w:p w14:paraId="59A355D9" w14:textId="77777777" w:rsidR="006D3F92" w:rsidRDefault="006D3F92" w:rsidP="004C1A00">
      <w:pPr>
        <w:pStyle w:val="ReferHead"/>
        <w:spacing w:after="0"/>
        <w:jc w:val="both"/>
        <w:rPr>
          <w:rFonts w:ascii="Arial" w:hAnsi="Arial" w:cs="Arial"/>
        </w:rPr>
      </w:pPr>
    </w:p>
    <w:p w14:paraId="4C9B2583" w14:textId="525AF7C7" w:rsidR="003E3217" w:rsidRPr="003E3217" w:rsidRDefault="006D3F92" w:rsidP="003E3217">
      <w:pPr>
        <w:widowControl w:val="0"/>
        <w:autoSpaceDE w:val="0"/>
        <w:autoSpaceDN w:val="0"/>
        <w:adjustRightInd w:val="0"/>
        <w:ind w:left="480" w:hanging="480"/>
        <w:jc w:val="both"/>
        <w:rPr>
          <w:rFonts w:ascii="Arial" w:hAnsi="Arial" w:cs="Arial"/>
          <w:noProof/>
        </w:rPr>
      </w:pPr>
      <w:r w:rsidRPr="006D3F92">
        <w:rPr>
          <w:rFonts w:ascii="Arial" w:hAnsi="Arial" w:cs="Arial"/>
          <w:b/>
          <w:bCs/>
          <w:lang w:val="en-ID"/>
        </w:rPr>
        <w:fldChar w:fldCharType="begin" w:fldLock="1"/>
      </w:r>
      <w:r w:rsidRPr="006D3F92">
        <w:rPr>
          <w:rFonts w:ascii="Arial" w:hAnsi="Arial" w:cs="Arial"/>
          <w:b/>
          <w:bCs/>
          <w:lang w:val="en-ID"/>
        </w:rPr>
        <w:instrText xml:space="preserve">ADDIN Mendeley Bibliography CSL_BIBLIOGRAPHY </w:instrText>
      </w:r>
      <w:r w:rsidRPr="006D3F92">
        <w:rPr>
          <w:rFonts w:ascii="Arial" w:hAnsi="Arial" w:cs="Arial"/>
          <w:b/>
          <w:bCs/>
          <w:lang w:val="en-ID"/>
        </w:rPr>
        <w:fldChar w:fldCharType="separate"/>
      </w:r>
      <w:r w:rsidR="003E3217" w:rsidRPr="003E3217">
        <w:rPr>
          <w:rFonts w:ascii="Arial" w:hAnsi="Arial" w:cs="Arial"/>
          <w:noProof/>
        </w:rPr>
        <w:t xml:space="preserve">(BI), B. I. (2024). </w:t>
      </w:r>
      <w:r w:rsidR="003E3217" w:rsidRPr="003E3217">
        <w:rPr>
          <w:rFonts w:ascii="Arial" w:hAnsi="Arial" w:cs="Arial"/>
          <w:i/>
          <w:iCs/>
          <w:noProof/>
        </w:rPr>
        <w:t>Kebijakan Moneter AS Pengaruhi Nilai Tukar Rupiah?</w:t>
      </w:r>
      <w:r w:rsidR="003E3217" w:rsidRPr="003E3217">
        <w:rPr>
          <w:rFonts w:ascii="Arial" w:hAnsi="Arial" w:cs="Arial"/>
          <w:noProof/>
        </w:rPr>
        <w:t xml:space="preserve"> https://www.instagram.com/p/C6Nvc0LOxIt/?igsh=MTBhcjdtYzUxNXNoYw==</w:t>
      </w:r>
    </w:p>
    <w:p w14:paraId="76FAF09F"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Adrian, T. (2023). </w:t>
      </w:r>
      <w:r w:rsidRPr="003E3217">
        <w:rPr>
          <w:rFonts w:ascii="Arial" w:hAnsi="Arial" w:cs="Arial"/>
          <w:i/>
          <w:iCs/>
          <w:noProof/>
        </w:rPr>
        <w:t>Higher-for-Longer Interest Rate Environment is Squeezing More Borrowers</w:t>
      </w:r>
      <w:r w:rsidRPr="003E3217">
        <w:rPr>
          <w:rFonts w:ascii="Arial" w:hAnsi="Arial" w:cs="Arial"/>
          <w:noProof/>
        </w:rPr>
        <w:t>. IMF Blog. https://www.imf.org/en/Blogs/Articles/2023/10/10/higher-for-longer-interest-rate-environment-is-squeezing-more-borrowers</w:t>
      </w:r>
    </w:p>
    <w:p w14:paraId="13EE0265"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Agung. (2018, October 19). </w:t>
      </w:r>
      <w:r w:rsidRPr="003E3217">
        <w:rPr>
          <w:rFonts w:ascii="Arial" w:hAnsi="Arial" w:cs="Arial"/>
          <w:i/>
          <w:iCs/>
          <w:noProof/>
        </w:rPr>
        <w:t>“Unhealthy” Economic Structure Causes Rupiah Depreciation</w:t>
      </w:r>
      <w:r w:rsidRPr="003E3217">
        <w:rPr>
          <w:rFonts w:ascii="Arial" w:hAnsi="Arial" w:cs="Arial"/>
          <w:noProof/>
        </w:rPr>
        <w:t>. FEB UGM. https://feb.ugm.ac.id/en/news/2494-unhealthy-economic-structure-causes-rupiah-depreciation</w:t>
      </w:r>
    </w:p>
    <w:p w14:paraId="2CDE8F45"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Amal, M. A., &amp; Musthofa, M. W. (2023). The Impact of the Dow Jones Islamic Market, Interest Rate, Rupiah Exchange Rate, and Inflation on the Indonesian Sharia Stock Index during 2018-2022 Period. </w:t>
      </w:r>
      <w:r w:rsidRPr="003E3217">
        <w:rPr>
          <w:rFonts w:ascii="Arial" w:hAnsi="Arial" w:cs="Arial"/>
          <w:i/>
          <w:iCs/>
          <w:noProof/>
        </w:rPr>
        <w:t>Jurnal Ekonomi Syariah Teori Dan Terapan</w:t>
      </w:r>
      <w:r w:rsidRPr="003E3217">
        <w:rPr>
          <w:rFonts w:ascii="Arial" w:hAnsi="Arial" w:cs="Arial"/>
          <w:noProof/>
        </w:rPr>
        <w:t xml:space="preserve">, </w:t>
      </w:r>
      <w:r w:rsidRPr="003E3217">
        <w:rPr>
          <w:rFonts w:ascii="Arial" w:hAnsi="Arial" w:cs="Arial"/>
          <w:i/>
          <w:iCs/>
          <w:noProof/>
        </w:rPr>
        <w:t>10</w:t>
      </w:r>
      <w:r w:rsidRPr="003E3217">
        <w:rPr>
          <w:rFonts w:ascii="Arial" w:hAnsi="Arial" w:cs="Arial"/>
          <w:noProof/>
        </w:rPr>
        <w:t>(2), 188–202. https://doi.org/10.20473/vol10iss20232pp188-202</w:t>
      </w:r>
    </w:p>
    <w:p w14:paraId="712B14D8"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Bank, E. I. (2024). </w:t>
      </w:r>
      <w:r w:rsidRPr="003E3217">
        <w:rPr>
          <w:rFonts w:ascii="Arial" w:hAnsi="Arial" w:cs="Arial"/>
          <w:i/>
          <w:iCs/>
          <w:noProof/>
        </w:rPr>
        <w:t>The Effect of Uncertainty on Investment</w:t>
      </w:r>
      <w:r w:rsidRPr="003E3217">
        <w:rPr>
          <w:rFonts w:ascii="Arial" w:hAnsi="Arial" w:cs="Arial"/>
          <w:noProof/>
        </w:rPr>
        <w:t xml:space="preserve"> (Issue April).</w:t>
      </w:r>
    </w:p>
    <w:p w14:paraId="1CCB86F3"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Box, &amp; E.P., G. (2016). </w:t>
      </w:r>
      <w:r w:rsidRPr="003E3217">
        <w:rPr>
          <w:rFonts w:ascii="Arial" w:hAnsi="Arial" w:cs="Arial"/>
          <w:i/>
          <w:iCs/>
          <w:noProof/>
        </w:rPr>
        <w:t>Time Series Analysis-Forecasting &amp; Control</w:t>
      </w:r>
      <w:r w:rsidRPr="003E3217">
        <w:rPr>
          <w:rFonts w:ascii="Arial" w:hAnsi="Arial" w:cs="Arial"/>
          <w:noProof/>
        </w:rPr>
        <w:t xml:space="preserve"> (Kelima). New Jersey : John Wiley &amp; Sons, Inc.</w:t>
      </w:r>
    </w:p>
    <w:p w14:paraId="4704E215"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Bozdogan, H. (1987). Model selection and Akaike’s Information Criterion (AIC): The general theory and its analytical extensions. </w:t>
      </w:r>
      <w:r w:rsidRPr="003E3217">
        <w:rPr>
          <w:rFonts w:ascii="Arial" w:hAnsi="Arial" w:cs="Arial"/>
          <w:i/>
          <w:iCs/>
          <w:noProof/>
        </w:rPr>
        <w:t>Psychometrika</w:t>
      </w:r>
      <w:r w:rsidRPr="003E3217">
        <w:rPr>
          <w:rFonts w:ascii="Arial" w:hAnsi="Arial" w:cs="Arial"/>
          <w:noProof/>
        </w:rPr>
        <w:t xml:space="preserve">, </w:t>
      </w:r>
      <w:r w:rsidRPr="003E3217">
        <w:rPr>
          <w:rFonts w:ascii="Arial" w:hAnsi="Arial" w:cs="Arial"/>
          <w:i/>
          <w:iCs/>
          <w:noProof/>
        </w:rPr>
        <w:t>52</w:t>
      </w:r>
      <w:r w:rsidRPr="003E3217">
        <w:rPr>
          <w:rFonts w:ascii="Arial" w:hAnsi="Arial" w:cs="Arial"/>
          <w:noProof/>
        </w:rPr>
        <w:t>(3), 345–370. https://doi.org/10.1007/BF02294361</w:t>
      </w:r>
    </w:p>
    <w:p w14:paraId="21621640"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Caldara, D., Ferrante, F., &amp; Queralto, A. (2022). </w:t>
      </w:r>
      <w:r w:rsidRPr="003E3217">
        <w:rPr>
          <w:rFonts w:ascii="Arial" w:hAnsi="Arial" w:cs="Arial"/>
          <w:i/>
          <w:iCs/>
          <w:noProof/>
        </w:rPr>
        <w:t>International Spillovers of Tighter Monetary Policy</w:t>
      </w:r>
      <w:r w:rsidRPr="003E3217">
        <w:rPr>
          <w:rFonts w:ascii="Arial" w:hAnsi="Arial" w:cs="Arial"/>
          <w:noProof/>
        </w:rPr>
        <w:t>. Board of Governors of the Federal Reserve System. https://www.federalreserve.gov/econres/notes/feds-notes/international-spillovers-of-tighter-monetary-policy-20221222.html</w:t>
      </w:r>
    </w:p>
    <w:p w14:paraId="4AFC47D4" w14:textId="36E713BB"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CFI. (2024). </w:t>
      </w:r>
      <w:r w:rsidR="00D86414">
        <w:rPr>
          <w:rFonts w:ascii="Arial" w:hAnsi="Arial" w:cs="Arial"/>
          <w:i/>
          <w:iCs/>
          <w:noProof/>
        </w:rPr>
        <w:t>Contagionary</w:t>
      </w:r>
      <w:r w:rsidRPr="003E3217">
        <w:rPr>
          <w:rFonts w:ascii="Arial" w:hAnsi="Arial" w:cs="Arial"/>
          <w:i/>
          <w:iCs/>
          <w:noProof/>
        </w:rPr>
        <w:t xml:space="preserve"> Monetary Policy</w:t>
      </w:r>
      <w:r w:rsidRPr="003E3217">
        <w:rPr>
          <w:rFonts w:ascii="Arial" w:hAnsi="Arial" w:cs="Arial"/>
          <w:noProof/>
        </w:rPr>
        <w:t>. https://corporatefinanceinstitute.com/resources/economics/contractionary-monetary-policy/</w:t>
      </w:r>
    </w:p>
    <w:p w14:paraId="4B5C5ACB"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Clarida, R. H. (2023). US Monetary Policy and the Return to Price Stability. </w:t>
      </w:r>
      <w:r w:rsidRPr="003E3217">
        <w:rPr>
          <w:rFonts w:ascii="Arial" w:hAnsi="Arial" w:cs="Arial"/>
          <w:i/>
          <w:iCs/>
          <w:noProof/>
        </w:rPr>
        <w:t>SSRN Electronic Journal</w:t>
      </w:r>
      <w:r w:rsidRPr="003E3217">
        <w:rPr>
          <w:rFonts w:ascii="Arial" w:hAnsi="Arial" w:cs="Arial"/>
          <w:noProof/>
        </w:rPr>
        <w:t>, 1–16. https://doi.org/10.2139/ssrn.4533233</w:t>
      </w:r>
    </w:p>
    <w:p w14:paraId="3114023A"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lastRenderedPageBreak/>
        <w:t xml:space="preserve">Collins, J., &amp; Broten, N. (2017). The role of monetary policy. </w:t>
      </w:r>
      <w:r w:rsidRPr="003E3217">
        <w:rPr>
          <w:rFonts w:ascii="Arial" w:hAnsi="Arial" w:cs="Arial"/>
          <w:i/>
          <w:iCs/>
          <w:noProof/>
        </w:rPr>
        <w:t>The Role of Monetary Policy</w:t>
      </w:r>
      <w:r w:rsidRPr="003E3217">
        <w:rPr>
          <w:rFonts w:ascii="Arial" w:hAnsi="Arial" w:cs="Arial"/>
          <w:noProof/>
        </w:rPr>
        <w:t xml:space="preserve">, </w:t>
      </w:r>
      <w:r w:rsidRPr="003E3217">
        <w:rPr>
          <w:rFonts w:ascii="Arial" w:hAnsi="Arial" w:cs="Arial"/>
          <w:i/>
          <w:iCs/>
          <w:noProof/>
        </w:rPr>
        <w:t>March</w:t>
      </w:r>
      <w:r w:rsidRPr="003E3217">
        <w:rPr>
          <w:rFonts w:ascii="Arial" w:hAnsi="Arial" w:cs="Arial"/>
          <w:noProof/>
        </w:rPr>
        <w:t>, 1–93. https://doi.org/10.4324/9781912281091</w:t>
      </w:r>
    </w:p>
    <w:p w14:paraId="67A634CC"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Damajanti, A., &amp; Rosyati, Y. (2018). The Effect Of Global Stock Price Index and Rupiah Exchange Rate on Indonesian Composite Stock Price Index (CSPI) in Indonesian Stock Exchange (IDX). </w:t>
      </w:r>
      <w:r w:rsidRPr="003E3217">
        <w:rPr>
          <w:rFonts w:ascii="Arial" w:hAnsi="Arial" w:cs="Arial"/>
          <w:i/>
          <w:iCs/>
          <w:noProof/>
        </w:rPr>
        <w:t>Economics &amp; Business Solutions Journal</w:t>
      </w:r>
      <w:r w:rsidRPr="003E3217">
        <w:rPr>
          <w:rFonts w:ascii="Arial" w:hAnsi="Arial" w:cs="Arial"/>
          <w:noProof/>
        </w:rPr>
        <w:t xml:space="preserve">, </w:t>
      </w:r>
      <w:r w:rsidRPr="003E3217">
        <w:rPr>
          <w:rFonts w:ascii="Arial" w:hAnsi="Arial" w:cs="Arial"/>
          <w:i/>
          <w:iCs/>
          <w:noProof/>
        </w:rPr>
        <w:t>2</w:t>
      </w:r>
      <w:r w:rsidRPr="003E3217">
        <w:rPr>
          <w:rFonts w:ascii="Arial" w:hAnsi="Arial" w:cs="Arial"/>
          <w:noProof/>
        </w:rPr>
        <w:t>(2), 49–58. http://investing.com</w:t>
      </w:r>
    </w:p>
    <w:p w14:paraId="6E446C1E"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Doh, T., &amp; Yang, C. (2024). Shocks, Frictions, and Policy Regimes: Understanding Inflation after the COVID-19 Pandemic. </w:t>
      </w:r>
      <w:r w:rsidRPr="003E3217">
        <w:rPr>
          <w:rFonts w:ascii="Arial" w:hAnsi="Arial" w:cs="Arial"/>
          <w:i/>
          <w:iCs/>
          <w:noProof/>
        </w:rPr>
        <w:t>SSRN Electronic Journal</w:t>
      </w:r>
      <w:r w:rsidRPr="003E3217">
        <w:rPr>
          <w:rFonts w:ascii="Arial" w:hAnsi="Arial" w:cs="Arial"/>
          <w:noProof/>
        </w:rPr>
        <w:t xml:space="preserve">, </w:t>
      </w:r>
      <w:r w:rsidRPr="003E3217">
        <w:rPr>
          <w:rFonts w:ascii="Arial" w:hAnsi="Arial" w:cs="Arial"/>
          <w:i/>
          <w:iCs/>
          <w:noProof/>
        </w:rPr>
        <w:t>December</w:t>
      </w:r>
      <w:r w:rsidRPr="003E3217">
        <w:rPr>
          <w:rFonts w:ascii="Arial" w:hAnsi="Arial" w:cs="Arial"/>
          <w:noProof/>
        </w:rPr>
        <w:t>. https://doi.org/10.2139/ssrn.4682305</w:t>
      </w:r>
    </w:p>
    <w:p w14:paraId="51F4BE52"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Elena, M. (2024). </w:t>
      </w:r>
      <w:r w:rsidRPr="003E3217">
        <w:rPr>
          <w:rFonts w:ascii="Arial" w:hAnsi="Arial" w:cs="Arial"/>
          <w:i/>
          <w:iCs/>
          <w:noProof/>
        </w:rPr>
        <w:t>Terungkap! Alasan BI Naikkan Suku Bunga Acuan jadi 6,25%</w:t>
      </w:r>
      <w:r w:rsidRPr="003E3217">
        <w:rPr>
          <w:rFonts w:ascii="Arial" w:hAnsi="Arial" w:cs="Arial"/>
          <w:noProof/>
        </w:rPr>
        <w:t>. https://ekonomi.bisnis.com/read/20240424/9/1760107/terungkap-alasan-bi-naikkan-suku-bunga-acuan-jadi-625</w:t>
      </w:r>
    </w:p>
    <w:p w14:paraId="353640B5"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Elfahmi, R. (2020). The Effect of Foreign Buy and the Dow Jones Index on Stocks Prices of Animal Feed Industry at Kompas 100. </w:t>
      </w:r>
      <w:r w:rsidRPr="003E3217">
        <w:rPr>
          <w:rFonts w:ascii="Arial" w:hAnsi="Arial" w:cs="Arial"/>
          <w:i/>
          <w:iCs/>
          <w:noProof/>
        </w:rPr>
        <w:t>Journal of Research in Business, Economics, and Education</w:t>
      </w:r>
      <w:r w:rsidRPr="003E3217">
        <w:rPr>
          <w:rFonts w:ascii="Arial" w:hAnsi="Arial" w:cs="Arial"/>
          <w:noProof/>
        </w:rPr>
        <w:t xml:space="preserve">, </w:t>
      </w:r>
      <w:r w:rsidRPr="003E3217">
        <w:rPr>
          <w:rFonts w:ascii="Arial" w:hAnsi="Arial" w:cs="Arial"/>
          <w:i/>
          <w:iCs/>
          <w:noProof/>
        </w:rPr>
        <w:t>2</w:t>
      </w:r>
      <w:r w:rsidRPr="003E3217">
        <w:rPr>
          <w:rFonts w:ascii="Arial" w:hAnsi="Arial" w:cs="Arial"/>
          <w:noProof/>
        </w:rPr>
        <w:t>(6), 1442–1455.</w:t>
      </w:r>
    </w:p>
    <w:p w14:paraId="7D5D2F53"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Gursoy, S. (2021). The Effect of The Monetary Policy Uncertainty of US and Japan on Bitcoin Price. </w:t>
      </w:r>
      <w:r w:rsidRPr="003E3217">
        <w:rPr>
          <w:rFonts w:ascii="Arial" w:hAnsi="Arial" w:cs="Arial"/>
          <w:i/>
          <w:iCs/>
          <w:noProof/>
        </w:rPr>
        <w:t>Yalova Üniversitesi Sosyal Bilimler Dergisi</w:t>
      </w:r>
      <w:r w:rsidRPr="003E3217">
        <w:rPr>
          <w:rFonts w:ascii="Arial" w:hAnsi="Arial" w:cs="Arial"/>
          <w:noProof/>
        </w:rPr>
        <w:t xml:space="preserve">, </w:t>
      </w:r>
      <w:r w:rsidRPr="003E3217">
        <w:rPr>
          <w:rFonts w:ascii="Arial" w:hAnsi="Arial" w:cs="Arial"/>
          <w:i/>
          <w:iCs/>
          <w:noProof/>
        </w:rPr>
        <w:t>11</w:t>
      </w:r>
      <w:r w:rsidRPr="003E3217">
        <w:rPr>
          <w:rFonts w:ascii="Arial" w:hAnsi="Arial" w:cs="Arial"/>
          <w:noProof/>
        </w:rPr>
        <w:t>(1), 7–16.</w:t>
      </w:r>
    </w:p>
    <w:p w14:paraId="7AED7F9B"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Ha, J., &amp; So, I. (2023). Which Monetary Shocks Matter in Small Open Economies? Evidence from Canada. </w:t>
      </w:r>
      <w:r w:rsidRPr="003E3217">
        <w:rPr>
          <w:rFonts w:ascii="Arial" w:hAnsi="Arial" w:cs="Arial"/>
          <w:i/>
          <w:iCs/>
          <w:noProof/>
        </w:rPr>
        <w:t>International Journal of Central Banking</w:t>
      </w:r>
      <w:r w:rsidRPr="003E3217">
        <w:rPr>
          <w:rFonts w:ascii="Arial" w:hAnsi="Arial" w:cs="Arial"/>
          <w:noProof/>
        </w:rPr>
        <w:t xml:space="preserve">, </w:t>
      </w:r>
      <w:r w:rsidRPr="003E3217">
        <w:rPr>
          <w:rFonts w:ascii="Arial" w:hAnsi="Arial" w:cs="Arial"/>
          <w:i/>
          <w:iCs/>
          <w:noProof/>
        </w:rPr>
        <w:t>19</w:t>
      </w:r>
      <w:r w:rsidRPr="003E3217">
        <w:rPr>
          <w:rFonts w:ascii="Arial" w:hAnsi="Arial" w:cs="Arial"/>
          <w:noProof/>
        </w:rPr>
        <w:t>(2), 389–472. https://doi.org/10.2139/ssrn.3560692</w:t>
      </w:r>
    </w:p>
    <w:p w14:paraId="04455247"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Halim, S. (2021). The Effect of Dow Jones Islamic Market World Index, Foreign Exchange, Foreign Investment and Domestic Investment with the Intervening Composite Stock Price Index on the Indonesian Sharia Stock Index. </w:t>
      </w:r>
      <w:r w:rsidRPr="003E3217">
        <w:rPr>
          <w:rFonts w:ascii="Arial" w:hAnsi="Arial" w:cs="Arial"/>
          <w:i/>
          <w:iCs/>
          <w:noProof/>
        </w:rPr>
        <w:t>Al-Iqtishad: Jurnal of Islamic Economics</w:t>
      </w:r>
      <w:r w:rsidRPr="003E3217">
        <w:rPr>
          <w:rFonts w:ascii="Arial" w:hAnsi="Arial" w:cs="Arial"/>
          <w:noProof/>
        </w:rPr>
        <w:t xml:space="preserve">, </w:t>
      </w:r>
      <w:r w:rsidRPr="003E3217">
        <w:rPr>
          <w:rFonts w:ascii="Arial" w:hAnsi="Arial" w:cs="Arial"/>
          <w:i/>
          <w:iCs/>
          <w:noProof/>
        </w:rPr>
        <w:t>13</w:t>
      </w:r>
      <w:r w:rsidRPr="003E3217">
        <w:rPr>
          <w:rFonts w:ascii="Arial" w:hAnsi="Arial" w:cs="Arial"/>
          <w:noProof/>
        </w:rPr>
        <w:t>(2), 369–410. https://doi.org/10.15408/aiq.v13i2.22585</w:t>
      </w:r>
    </w:p>
    <w:p w14:paraId="72720FBC"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IDX. (2024). </w:t>
      </w:r>
      <w:r w:rsidRPr="003E3217">
        <w:rPr>
          <w:rFonts w:ascii="Arial" w:hAnsi="Arial" w:cs="Arial"/>
          <w:i/>
          <w:iCs/>
          <w:noProof/>
        </w:rPr>
        <w:t>Pasar Modal Syariah</w:t>
      </w:r>
      <w:r w:rsidRPr="003E3217">
        <w:rPr>
          <w:rFonts w:ascii="Arial" w:hAnsi="Arial" w:cs="Arial"/>
          <w:noProof/>
        </w:rPr>
        <w:t>. IDX Islamic. https://idxislamic.idx.co.id/edukasi-pasar-modal-syariah/pasar-modal-syariah/</w:t>
      </w:r>
    </w:p>
    <w:p w14:paraId="1CD28401"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IDX. (2025). </w:t>
      </w:r>
      <w:r w:rsidRPr="003E3217">
        <w:rPr>
          <w:rFonts w:ascii="Arial" w:hAnsi="Arial" w:cs="Arial"/>
          <w:i/>
          <w:iCs/>
          <w:noProof/>
        </w:rPr>
        <w:t>IDX Syariah</w:t>
      </w:r>
      <w:r w:rsidRPr="003E3217">
        <w:rPr>
          <w:rFonts w:ascii="Arial" w:hAnsi="Arial" w:cs="Arial"/>
          <w:noProof/>
        </w:rPr>
        <w:t>. Indonesia Stock Exchange. https://www.idx.co.id/id/idx-syariah/produk-syariah/</w:t>
      </w:r>
    </w:p>
    <w:p w14:paraId="531ED2A2"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IndoPremier. (2024). </w:t>
      </w:r>
      <w:r w:rsidRPr="003E3217">
        <w:rPr>
          <w:rFonts w:ascii="Arial" w:hAnsi="Arial" w:cs="Arial"/>
          <w:i/>
          <w:iCs/>
          <w:noProof/>
        </w:rPr>
        <w:t>Saham Syariah di BEI Capai 68% Dari Total Listing per 9 September 2024</w:t>
      </w:r>
      <w:r w:rsidRPr="003E3217">
        <w:rPr>
          <w:rFonts w:ascii="Arial" w:hAnsi="Arial" w:cs="Arial"/>
          <w:noProof/>
        </w:rPr>
        <w:t>. IPOTNEWS. https://www.indopremier.com/ipotnews/newsDetail.php?jdl=Saham_Syariah_di_BEI_Capai_68__Dari_Total_Listing_per_9_September_2024&amp;news_id=186581&amp;group_news=IPOTNEWS&amp;news_date=&amp;taging_subtype=MARKETOVERVIEW&amp;name=&amp;search=y_general&amp;q=saham syariah&amp;halaman=1#:~:</w:t>
      </w:r>
    </w:p>
    <w:p w14:paraId="60837A80"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Kashyap, A. K., &amp; Siegert, C. (2020). Financial stability considerations and monetary policy. </w:t>
      </w:r>
      <w:r w:rsidRPr="003E3217">
        <w:rPr>
          <w:rFonts w:ascii="Arial" w:hAnsi="Arial" w:cs="Arial"/>
          <w:i/>
          <w:iCs/>
          <w:noProof/>
        </w:rPr>
        <w:t>International Journal of Central Banking</w:t>
      </w:r>
      <w:r w:rsidRPr="003E3217">
        <w:rPr>
          <w:rFonts w:ascii="Arial" w:hAnsi="Arial" w:cs="Arial"/>
          <w:noProof/>
        </w:rPr>
        <w:t xml:space="preserve">, </w:t>
      </w:r>
      <w:r w:rsidRPr="003E3217">
        <w:rPr>
          <w:rFonts w:ascii="Arial" w:hAnsi="Arial" w:cs="Arial"/>
          <w:i/>
          <w:iCs/>
          <w:noProof/>
        </w:rPr>
        <w:t>16</w:t>
      </w:r>
      <w:r w:rsidRPr="003E3217">
        <w:rPr>
          <w:rFonts w:ascii="Arial" w:hAnsi="Arial" w:cs="Arial"/>
          <w:noProof/>
        </w:rPr>
        <w:t>(1), 231–266.</w:t>
      </w:r>
    </w:p>
    <w:p w14:paraId="2EFF5EB0"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Konczal, M. (2023). </w:t>
      </w:r>
      <w:r w:rsidRPr="003E3217">
        <w:rPr>
          <w:rFonts w:ascii="Arial" w:hAnsi="Arial" w:cs="Arial"/>
          <w:i/>
          <w:iCs/>
          <w:noProof/>
        </w:rPr>
        <w:t>Inflation in 2023: Causes, Progress, and Solutions</w:t>
      </w:r>
      <w:r w:rsidRPr="003E3217">
        <w:rPr>
          <w:rFonts w:ascii="Arial" w:hAnsi="Arial" w:cs="Arial"/>
          <w:noProof/>
        </w:rPr>
        <w:t>. 1–8. https://rooseveltinstitute.org/wp-content/uploads/2023/03/RI_MikeKonczal_HouseTestimony_202303.pdf</w:t>
      </w:r>
    </w:p>
    <w:p w14:paraId="15E045C8"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Liu, X. (2024). The Global Impact of and Response to the Fed’s Interest Rate Hike. </w:t>
      </w:r>
      <w:r w:rsidRPr="003E3217">
        <w:rPr>
          <w:rFonts w:ascii="Arial" w:hAnsi="Arial" w:cs="Arial"/>
          <w:i/>
          <w:iCs/>
          <w:noProof/>
        </w:rPr>
        <w:t>Highlights in Business, Economics and Management</w:t>
      </w:r>
      <w:r w:rsidRPr="003E3217">
        <w:rPr>
          <w:rFonts w:ascii="Arial" w:hAnsi="Arial" w:cs="Arial"/>
          <w:noProof/>
        </w:rPr>
        <w:t xml:space="preserve">, </w:t>
      </w:r>
      <w:r w:rsidRPr="003E3217">
        <w:rPr>
          <w:rFonts w:ascii="Arial" w:hAnsi="Arial" w:cs="Arial"/>
          <w:i/>
          <w:iCs/>
          <w:noProof/>
        </w:rPr>
        <w:t>28</w:t>
      </w:r>
      <w:r w:rsidRPr="003E3217">
        <w:rPr>
          <w:rFonts w:ascii="Arial" w:hAnsi="Arial" w:cs="Arial"/>
          <w:noProof/>
        </w:rPr>
        <w:t>, 287–294. https://doi.org/10.54097/gqe7gc61</w:t>
      </w:r>
    </w:p>
    <w:p w14:paraId="57E1B3D7"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Machtra, C., Majid, M. S. A., &amp; Dawood, T. C. (2023). Does Foreign Interest Rate Determine Islamic Stock Prices? </w:t>
      </w:r>
      <w:r w:rsidRPr="003E3217">
        <w:rPr>
          <w:rFonts w:ascii="Arial" w:hAnsi="Arial" w:cs="Arial"/>
          <w:i/>
          <w:iCs/>
          <w:noProof/>
        </w:rPr>
        <w:t>Amwaluna: Jurnal Ekonomi Dan Keuangan Syariah</w:t>
      </w:r>
      <w:r w:rsidRPr="003E3217">
        <w:rPr>
          <w:rFonts w:ascii="Arial" w:hAnsi="Arial" w:cs="Arial"/>
          <w:noProof/>
        </w:rPr>
        <w:t xml:space="preserve">, </w:t>
      </w:r>
      <w:r w:rsidRPr="003E3217">
        <w:rPr>
          <w:rFonts w:ascii="Arial" w:hAnsi="Arial" w:cs="Arial"/>
          <w:i/>
          <w:iCs/>
          <w:noProof/>
        </w:rPr>
        <w:t>7</w:t>
      </w:r>
      <w:r w:rsidRPr="003E3217">
        <w:rPr>
          <w:rFonts w:ascii="Arial" w:hAnsi="Arial" w:cs="Arial"/>
          <w:noProof/>
        </w:rPr>
        <w:t>(1), 1–10. https://doi.org/10.29313/amwaluna.v7i1.7001</w:t>
      </w:r>
    </w:p>
    <w:p w14:paraId="08BD2310"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Maglearning. (2020). </w:t>
      </w:r>
      <w:r w:rsidRPr="003E3217">
        <w:rPr>
          <w:rFonts w:ascii="Arial" w:hAnsi="Arial" w:cs="Arial"/>
          <w:i/>
          <w:iCs/>
          <w:noProof/>
        </w:rPr>
        <w:t>UNIT ROOT TEST DI EVIEWS (AUGMENTED DICKEY-FULLER TEST)</w:t>
      </w:r>
      <w:r w:rsidRPr="003E3217">
        <w:rPr>
          <w:rFonts w:ascii="Arial" w:hAnsi="Arial" w:cs="Arial"/>
          <w:noProof/>
        </w:rPr>
        <w:t>. https://maglearning.id/2020/05/11/unit-root-test-di-eviews-augmented-dickey-fuller-test/</w:t>
      </w:r>
    </w:p>
    <w:p w14:paraId="5AF6DC20"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Mankiw, N. G. (2007). </w:t>
      </w:r>
      <w:r w:rsidRPr="003E3217">
        <w:rPr>
          <w:rFonts w:ascii="Arial" w:hAnsi="Arial" w:cs="Arial"/>
          <w:i/>
          <w:iCs/>
          <w:noProof/>
        </w:rPr>
        <w:t>Teori Makro Ekonomi</w:t>
      </w:r>
      <w:r w:rsidRPr="003E3217">
        <w:rPr>
          <w:rFonts w:ascii="Arial" w:hAnsi="Arial" w:cs="Arial"/>
          <w:noProof/>
        </w:rPr>
        <w:t xml:space="preserve"> (Keempat). Terjemahan, Erlangga.</w:t>
      </w:r>
    </w:p>
    <w:p w14:paraId="4B67A41F"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Mankiw, N. G. (2009). </w:t>
      </w:r>
      <w:r w:rsidRPr="003E3217">
        <w:rPr>
          <w:rFonts w:ascii="Arial" w:hAnsi="Arial" w:cs="Arial"/>
          <w:i/>
          <w:iCs/>
          <w:noProof/>
        </w:rPr>
        <w:t>Macroeconomics</w:t>
      </w:r>
      <w:r w:rsidRPr="003E3217">
        <w:rPr>
          <w:rFonts w:ascii="Arial" w:hAnsi="Arial" w:cs="Arial"/>
          <w:noProof/>
        </w:rPr>
        <w:t xml:space="preserve"> (Ketujuh). Worth Publishher.</w:t>
      </w:r>
    </w:p>
    <w:p w14:paraId="621013B3"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Marcella Roring, &amp; Rita Juliana. (2022). Uncertainty Volatility, Investment, And Cash Holding In ASEAN Countries. </w:t>
      </w:r>
      <w:r w:rsidRPr="003E3217">
        <w:rPr>
          <w:rFonts w:ascii="Arial" w:hAnsi="Arial" w:cs="Arial"/>
          <w:i/>
          <w:iCs/>
          <w:noProof/>
        </w:rPr>
        <w:t>Jurnal Akuntansi</w:t>
      </w:r>
      <w:r w:rsidRPr="003E3217">
        <w:rPr>
          <w:rFonts w:ascii="Arial" w:hAnsi="Arial" w:cs="Arial"/>
          <w:noProof/>
        </w:rPr>
        <w:t xml:space="preserve">, </w:t>
      </w:r>
      <w:r w:rsidRPr="003E3217">
        <w:rPr>
          <w:rFonts w:ascii="Arial" w:hAnsi="Arial" w:cs="Arial"/>
          <w:i/>
          <w:iCs/>
          <w:noProof/>
        </w:rPr>
        <w:t>26</w:t>
      </w:r>
      <w:r w:rsidRPr="003E3217">
        <w:rPr>
          <w:rFonts w:ascii="Arial" w:hAnsi="Arial" w:cs="Arial"/>
          <w:noProof/>
        </w:rPr>
        <w:t>(2), 176–191. https://doi.org/10.24912/ja.v26i2.905</w:t>
      </w:r>
    </w:p>
    <w:p w14:paraId="1DD09D16"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lastRenderedPageBreak/>
        <w:t xml:space="preserve">Mohsen, A. S., Hoang, D. F. A., &amp; Tariq, A. F. (2022). Effect of Interest Rates on Economic Growth in Bangladesh. </w:t>
      </w:r>
      <w:r w:rsidRPr="003E3217">
        <w:rPr>
          <w:rFonts w:ascii="Arial" w:hAnsi="Arial" w:cs="Arial"/>
          <w:i/>
          <w:iCs/>
          <w:noProof/>
        </w:rPr>
        <w:t>Journal of Economics</w:t>
      </w:r>
      <w:r w:rsidRPr="003E3217">
        <w:rPr>
          <w:rFonts w:ascii="Arial" w:hAnsi="Arial" w:cs="Arial"/>
          <w:noProof/>
        </w:rPr>
        <w:t xml:space="preserve">, </w:t>
      </w:r>
      <w:r w:rsidRPr="003E3217">
        <w:rPr>
          <w:rFonts w:ascii="Arial" w:hAnsi="Arial" w:cs="Arial"/>
          <w:i/>
          <w:iCs/>
          <w:noProof/>
        </w:rPr>
        <w:t>6</w:t>
      </w:r>
      <w:r w:rsidRPr="003E3217">
        <w:rPr>
          <w:rFonts w:ascii="Arial" w:hAnsi="Arial" w:cs="Arial"/>
          <w:noProof/>
        </w:rPr>
        <w:t>(1), 36–44. https://doi.org/10.53819/81018102t5086</w:t>
      </w:r>
    </w:p>
    <w:p w14:paraId="67270D69"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Mukhlis, I., Hidayah, I., &amp; Retnasih, N. R. (2020). Interest Rate Volatility of the Federal Funds Rate: Response of the Bank Indonesia and its Impact on the Indonesian Economic Stability. </w:t>
      </w:r>
      <w:r w:rsidRPr="003E3217">
        <w:rPr>
          <w:rFonts w:ascii="Arial" w:hAnsi="Arial" w:cs="Arial"/>
          <w:i/>
          <w:iCs/>
          <w:noProof/>
        </w:rPr>
        <w:t>Journal of Central Banking Theory and Practice</w:t>
      </w:r>
      <w:r w:rsidRPr="003E3217">
        <w:rPr>
          <w:rFonts w:ascii="Arial" w:hAnsi="Arial" w:cs="Arial"/>
          <w:noProof/>
        </w:rPr>
        <w:t xml:space="preserve">, </w:t>
      </w:r>
      <w:r w:rsidRPr="003E3217">
        <w:rPr>
          <w:rFonts w:ascii="Arial" w:hAnsi="Arial" w:cs="Arial"/>
          <w:i/>
          <w:iCs/>
          <w:noProof/>
        </w:rPr>
        <w:t>9</w:t>
      </w:r>
      <w:r w:rsidRPr="003E3217">
        <w:rPr>
          <w:rFonts w:ascii="Arial" w:hAnsi="Arial" w:cs="Arial"/>
          <w:noProof/>
        </w:rPr>
        <w:t>(1), 111–133. https://doi.org/10.2478/jcbtp-2020-0007</w:t>
      </w:r>
    </w:p>
    <w:p w14:paraId="603A6CBA"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Natsir, K., Yusbardini, &amp; Bangun, N. (2019). Analisis Kausalitas Antara Ihsg, Indeks Dow Jones Industrial Average Dan Nilai Tukar Rupiah/Us$. </w:t>
      </w:r>
      <w:r w:rsidRPr="003E3217">
        <w:rPr>
          <w:rFonts w:ascii="Arial" w:hAnsi="Arial" w:cs="Arial"/>
          <w:i/>
          <w:iCs/>
          <w:noProof/>
        </w:rPr>
        <w:t>Jurnal Muara Ilmu Ekonomi Dan Bisnis</w:t>
      </w:r>
      <w:r w:rsidRPr="003E3217">
        <w:rPr>
          <w:rFonts w:ascii="Arial" w:hAnsi="Arial" w:cs="Arial"/>
          <w:noProof/>
        </w:rPr>
        <w:t xml:space="preserve">, </w:t>
      </w:r>
      <w:r w:rsidRPr="003E3217">
        <w:rPr>
          <w:rFonts w:ascii="Arial" w:hAnsi="Arial" w:cs="Arial"/>
          <w:i/>
          <w:iCs/>
          <w:noProof/>
        </w:rPr>
        <w:t>3</w:t>
      </w:r>
      <w:r w:rsidRPr="003E3217">
        <w:rPr>
          <w:rFonts w:ascii="Arial" w:hAnsi="Arial" w:cs="Arial"/>
          <w:noProof/>
        </w:rPr>
        <w:t>(2), 229–239. https://doi.org/10.24912/jmieb.v3i2.3398</w:t>
      </w:r>
    </w:p>
    <w:p w14:paraId="3C6A17E0"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Nezky, &amp; Mita. (2013). Pengaruh Krisis Ekonomi Amerika Serikat terhadap Bursa Saham dan Perdagangan Indonesia. </w:t>
      </w:r>
      <w:r w:rsidRPr="003E3217">
        <w:rPr>
          <w:rFonts w:ascii="Arial" w:hAnsi="Arial" w:cs="Arial"/>
          <w:i/>
          <w:iCs/>
          <w:noProof/>
        </w:rPr>
        <w:t>Buletin Ekonomi Moneter Dan Perbankan</w:t>
      </w:r>
      <w:r w:rsidRPr="003E3217">
        <w:rPr>
          <w:rFonts w:ascii="Arial" w:hAnsi="Arial" w:cs="Arial"/>
          <w:noProof/>
        </w:rPr>
        <w:t>.</w:t>
      </w:r>
    </w:p>
    <w:p w14:paraId="4D22D353"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Peterson, C. (n.d.). </w:t>
      </w:r>
      <w:r w:rsidRPr="003E3217">
        <w:rPr>
          <w:rFonts w:ascii="Arial" w:hAnsi="Arial" w:cs="Arial"/>
          <w:i/>
          <w:iCs/>
          <w:noProof/>
        </w:rPr>
        <w:t>Memahami Fungsi Respon Impuls dalam Analisis Regresi</w:t>
      </w:r>
      <w:r w:rsidRPr="003E3217">
        <w:rPr>
          <w:rFonts w:ascii="Arial" w:hAnsi="Arial" w:cs="Arial"/>
          <w:noProof/>
        </w:rPr>
        <w:t>. https://shallbd.com/id/memahami-fungsi-respon-impuls-dalam-analisis-regresi/</w:t>
      </w:r>
    </w:p>
    <w:p w14:paraId="4C120705"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Putri, N. A., Anggraen, L., &amp; Pasaribu, S. H. (2017). Analysis of Federal Fund Rate and Bi Rate Announcement to Abnormal Return in Indonesia Stock Market. </w:t>
      </w:r>
      <w:r w:rsidRPr="003E3217">
        <w:rPr>
          <w:rFonts w:ascii="Arial" w:hAnsi="Arial" w:cs="Arial"/>
          <w:i/>
          <w:iCs/>
          <w:noProof/>
        </w:rPr>
        <w:t>International Journal of Business and Management Review</w:t>
      </w:r>
      <w:r w:rsidRPr="003E3217">
        <w:rPr>
          <w:rFonts w:ascii="Arial" w:hAnsi="Arial" w:cs="Arial"/>
          <w:noProof/>
        </w:rPr>
        <w:t xml:space="preserve">, </w:t>
      </w:r>
      <w:r w:rsidRPr="003E3217">
        <w:rPr>
          <w:rFonts w:ascii="Arial" w:hAnsi="Arial" w:cs="Arial"/>
          <w:i/>
          <w:iCs/>
          <w:noProof/>
        </w:rPr>
        <w:t>5</w:t>
      </w:r>
      <w:r w:rsidRPr="003E3217">
        <w:rPr>
          <w:rFonts w:ascii="Arial" w:hAnsi="Arial" w:cs="Arial"/>
          <w:noProof/>
        </w:rPr>
        <w:t>(9), 65–77. www.eajournals.org</w:t>
      </w:r>
    </w:p>
    <w:p w14:paraId="6AA42BEC"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Rante, A., &amp; Hasanudin. (2024). The Impact of STI , N225 , and DJI Indices on IHSG with IDX30 Index as the Mediating Variable : A Study of the Indonesia Stock Exchange from 2012 to 2023. </w:t>
      </w:r>
      <w:r w:rsidRPr="003E3217">
        <w:rPr>
          <w:rFonts w:ascii="Arial" w:hAnsi="Arial" w:cs="Arial"/>
          <w:i/>
          <w:iCs/>
          <w:noProof/>
        </w:rPr>
        <w:t>International Journal Economics Development Research</w:t>
      </w:r>
      <w:r w:rsidRPr="003E3217">
        <w:rPr>
          <w:rFonts w:ascii="Arial" w:hAnsi="Arial" w:cs="Arial"/>
          <w:noProof/>
        </w:rPr>
        <w:t xml:space="preserve">, </w:t>
      </w:r>
      <w:r w:rsidRPr="003E3217">
        <w:rPr>
          <w:rFonts w:ascii="Arial" w:hAnsi="Arial" w:cs="Arial"/>
          <w:i/>
          <w:iCs/>
          <w:noProof/>
        </w:rPr>
        <w:t>5</w:t>
      </w:r>
      <w:r w:rsidRPr="003E3217">
        <w:rPr>
          <w:rFonts w:ascii="Arial" w:hAnsi="Arial" w:cs="Arial"/>
          <w:noProof/>
        </w:rPr>
        <w:t>(2), 1085–1094.</w:t>
      </w:r>
    </w:p>
    <w:p w14:paraId="3735E629"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Ridho, W. F. (2023). Federal Funds Rate Spillover Effect On Emerging Market Banking Liquidity And Capital – Evidence From Indonesia. </w:t>
      </w:r>
      <w:r w:rsidRPr="003E3217">
        <w:rPr>
          <w:rFonts w:ascii="Arial" w:hAnsi="Arial" w:cs="Arial"/>
          <w:i/>
          <w:iCs/>
          <w:noProof/>
        </w:rPr>
        <w:t>Business Management Analysis Journal (BMAJ)</w:t>
      </w:r>
      <w:r w:rsidRPr="003E3217">
        <w:rPr>
          <w:rFonts w:ascii="Arial" w:hAnsi="Arial" w:cs="Arial"/>
          <w:noProof/>
        </w:rPr>
        <w:t xml:space="preserve">, </w:t>
      </w:r>
      <w:r w:rsidRPr="003E3217">
        <w:rPr>
          <w:rFonts w:ascii="Arial" w:hAnsi="Arial" w:cs="Arial"/>
          <w:i/>
          <w:iCs/>
          <w:noProof/>
        </w:rPr>
        <w:t>6</w:t>
      </w:r>
      <w:r w:rsidRPr="003E3217">
        <w:rPr>
          <w:rFonts w:ascii="Arial" w:hAnsi="Arial" w:cs="Arial"/>
          <w:noProof/>
        </w:rPr>
        <w:t>(2), 169–184. https://doi.org/10.24176/bmaj.v6i2.10162</w:t>
      </w:r>
    </w:p>
    <w:p w14:paraId="29CB7C2D"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Ruchba, S. M., &amp; Hadiyan, F. (2019). Analysis on Unemployment and Inflation in Indonesia for The Periode of 1980 -2016 using Philipps Curve Approach. </w:t>
      </w:r>
      <w:r w:rsidRPr="003E3217">
        <w:rPr>
          <w:rFonts w:ascii="Arial" w:hAnsi="Arial" w:cs="Arial"/>
          <w:i/>
          <w:iCs/>
          <w:noProof/>
        </w:rPr>
        <w:t>Proceeding of The 3rd International Conference on Accounting, Business &amp; Economics</w:t>
      </w:r>
      <w:r w:rsidRPr="003E3217">
        <w:rPr>
          <w:rFonts w:ascii="Arial" w:hAnsi="Arial" w:cs="Arial"/>
          <w:noProof/>
        </w:rPr>
        <w:t>, 111–122.</w:t>
      </w:r>
    </w:p>
    <w:p w14:paraId="7E67968C"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Sanica, I. G., Nurcita, I. K., Mastra, I. M., &amp; Sukarnasih, D. M. (2018). Effectiveness and Forecasting of Interest Rate Reversal BI 7-Day Repo Rate in Indonesia: Lower Bound on Monetary Policy? </w:t>
      </w:r>
      <w:r w:rsidRPr="003E3217">
        <w:rPr>
          <w:rFonts w:ascii="Arial" w:hAnsi="Arial" w:cs="Arial"/>
          <w:i/>
          <w:iCs/>
          <w:noProof/>
        </w:rPr>
        <w:t>Mediterranean Journal of Social Sciences</w:t>
      </w:r>
      <w:r w:rsidRPr="003E3217">
        <w:rPr>
          <w:rFonts w:ascii="Arial" w:hAnsi="Arial" w:cs="Arial"/>
          <w:noProof/>
        </w:rPr>
        <w:t xml:space="preserve">, </w:t>
      </w:r>
      <w:r w:rsidRPr="003E3217">
        <w:rPr>
          <w:rFonts w:ascii="Arial" w:hAnsi="Arial" w:cs="Arial"/>
          <w:i/>
          <w:iCs/>
          <w:noProof/>
        </w:rPr>
        <w:t>9</w:t>
      </w:r>
      <w:r w:rsidRPr="003E3217">
        <w:rPr>
          <w:rFonts w:ascii="Arial" w:hAnsi="Arial" w:cs="Arial"/>
          <w:noProof/>
        </w:rPr>
        <w:t>(1), 171–180. https://doi.org/10.2478/mjss-2018-0016</w:t>
      </w:r>
    </w:p>
    <w:p w14:paraId="67076EA5"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Şeyranlıoğlu, O., Çilek, A., Erdoğan, B., Gürsoy, S., Erguney, E. B., &amp; Doğan, M. (2025). Do Geopolitical Risks Affect Monetary Policies? Evidence from Türkiye with the TVP-VAR. </w:t>
      </w:r>
      <w:r w:rsidRPr="003E3217">
        <w:rPr>
          <w:rFonts w:ascii="Arial" w:hAnsi="Arial" w:cs="Arial"/>
          <w:i/>
          <w:iCs/>
          <w:noProof/>
        </w:rPr>
        <w:t>International Journal of Social, Political and Financial Researches</w:t>
      </w:r>
      <w:r w:rsidRPr="003E3217">
        <w:rPr>
          <w:rFonts w:ascii="Arial" w:hAnsi="Arial" w:cs="Arial"/>
          <w:noProof/>
        </w:rPr>
        <w:t xml:space="preserve">, </w:t>
      </w:r>
      <w:r w:rsidRPr="003E3217">
        <w:rPr>
          <w:rFonts w:ascii="Arial" w:hAnsi="Arial" w:cs="Arial"/>
          <w:i/>
          <w:iCs/>
          <w:noProof/>
        </w:rPr>
        <w:t>5</w:t>
      </w:r>
      <w:r w:rsidRPr="003E3217">
        <w:rPr>
          <w:rFonts w:ascii="Arial" w:hAnsi="Arial" w:cs="Arial"/>
          <w:noProof/>
        </w:rPr>
        <w:t>(1), 20–35. https://doi.org/10.70101/ussmad.1604848</w:t>
      </w:r>
    </w:p>
    <w:p w14:paraId="232C9E76"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Suwondo, J. P., Siswati, A., &amp; Samsya Ayatillah, M. (2023). </w:t>
      </w:r>
      <w:r w:rsidRPr="003E3217">
        <w:rPr>
          <w:rFonts w:ascii="Arial" w:hAnsi="Arial" w:cs="Arial"/>
          <w:i/>
          <w:iCs/>
          <w:noProof/>
        </w:rPr>
        <w:t>Suwondo, The Soar Of Fed Rates On Indonesia’s BI 7 Days Reverse Repo Rate</w:t>
      </w:r>
      <w:r w:rsidRPr="003E3217">
        <w:rPr>
          <w:rFonts w:ascii="Arial" w:hAnsi="Arial" w:cs="Arial"/>
          <w:noProof/>
        </w:rPr>
        <w:t xml:space="preserve">. </w:t>
      </w:r>
      <w:r w:rsidRPr="003E3217">
        <w:rPr>
          <w:rFonts w:ascii="Arial" w:hAnsi="Arial" w:cs="Arial"/>
          <w:i/>
          <w:iCs/>
          <w:noProof/>
        </w:rPr>
        <w:t>XX</w:t>
      </w:r>
      <w:r w:rsidRPr="003E3217">
        <w:rPr>
          <w:rFonts w:ascii="Arial" w:hAnsi="Arial" w:cs="Arial"/>
          <w:noProof/>
        </w:rPr>
        <w:t>(Suwondo), 102–112.</w:t>
      </w:r>
    </w:p>
    <w:p w14:paraId="01C7EBA3"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Teapon, R. R. H., &amp; Mustafa, R. D. (2018). KEJUTAN TRANSMISI KEBIJAKAN MONETER DAN VARIABEL MAKRO EKONOMI DI INDONESIA: SUATU PENDEKATAN STRUCTURAL VECTOR AUTOREGRESSION Rizal Rahman H. Teapon &amp; Rachman Dano Mustafa. </w:t>
      </w:r>
      <w:r w:rsidRPr="003E3217">
        <w:rPr>
          <w:rFonts w:ascii="Arial" w:hAnsi="Arial" w:cs="Arial"/>
          <w:i/>
          <w:iCs/>
          <w:noProof/>
        </w:rPr>
        <w:t>Jurnal Economia</w:t>
      </w:r>
      <w:r w:rsidRPr="003E3217">
        <w:rPr>
          <w:rFonts w:ascii="Arial" w:hAnsi="Arial" w:cs="Arial"/>
          <w:noProof/>
        </w:rPr>
        <w:t xml:space="preserve">, </w:t>
      </w:r>
      <w:r w:rsidRPr="003E3217">
        <w:rPr>
          <w:rFonts w:ascii="Arial" w:hAnsi="Arial" w:cs="Arial"/>
          <w:i/>
          <w:iCs/>
          <w:noProof/>
        </w:rPr>
        <w:t>Vol. 14</w:t>
      </w:r>
      <w:r w:rsidRPr="003E3217">
        <w:rPr>
          <w:rFonts w:ascii="Arial" w:hAnsi="Arial" w:cs="Arial"/>
          <w:noProof/>
        </w:rPr>
        <w:t>(2), 177–196.</w:t>
      </w:r>
    </w:p>
    <w:p w14:paraId="6DA78CBA"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Tian, M. (2024). </w:t>
      </w:r>
      <w:r w:rsidRPr="003E3217">
        <w:rPr>
          <w:rFonts w:ascii="Arial" w:hAnsi="Arial" w:cs="Arial"/>
          <w:i/>
          <w:iCs/>
          <w:noProof/>
        </w:rPr>
        <w:t>Impact of the Federal Reserve Interest Rate Hikes on the U . S . Dollar Exchange Rate</w:t>
      </w:r>
      <w:r w:rsidRPr="003E3217">
        <w:rPr>
          <w:rFonts w:ascii="Arial" w:hAnsi="Arial" w:cs="Arial"/>
          <w:noProof/>
        </w:rPr>
        <w:t xml:space="preserve">. </w:t>
      </w:r>
      <w:r w:rsidRPr="003E3217">
        <w:rPr>
          <w:rFonts w:ascii="Arial" w:hAnsi="Arial" w:cs="Arial"/>
          <w:i/>
          <w:iCs/>
          <w:noProof/>
        </w:rPr>
        <w:t>0</w:t>
      </w:r>
      <w:r w:rsidRPr="003E3217">
        <w:rPr>
          <w:rFonts w:ascii="Arial" w:hAnsi="Arial" w:cs="Arial"/>
          <w:noProof/>
        </w:rPr>
        <w:t>(July 2023), 67–72. https://doi.org/10.54254/2754-1169/78/20241636</w:t>
      </w:r>
    </w:p>
    <w:p w14:paraId="4FCEA479"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Translation, O. of A. to D. C. S. for S. D. &amp;. (2024). </w:t>
      </w:r>
      <w:r w:rsidRPr="003E3217">
        <w:rPr>
          <w:rFonts w:ascii="Arial" w:hAnsi="Arial" w:cs="Arial"/>
          <w:i/>
          <w:iCs/>
          <w:noProof/>
        </w:rPr>
        <w:t>BI Governor: Indonesia Manages to Maintain Low Inflation Rate</w:t>
      </w:r>
      <w:r w:rsidRPr="003E3217">
        <w:rPr>
          <w:rFonts w:ascii="Arial" w:hAnsi="Arial" w:cs="Arial"/>
          <w:noProof/>
        </w:rPr>
        <w:t>. https://setkab.go.id/en/bi-governor-indonesia-manages-to-maintain-low-inflation-rate/</w:t>
      </w:r>
    </w:p>
    <w:p w14:paraId="45888BE6"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Venter, Z. (2020). The Interaction Between Conventional Monetary Policy and Financial Stability: Chile, Colombia, Japan, Portugal and the UK. In </w:t>
      </w:r>
      <w:r w:rsidRPr="003E3217">
        <w:rPr>
          <w:rFonts w:ascii="Arial" w:hAnsi="Arial" w:cs="Arial"/>
          <w:i/>
          <w:iCs/>
          <w:noProof/>
        </w:rPr>
        <w:t>Comparative Economic Studies</w:t>
      </w:r>
      <w:r w:rsidRPr="003E3217">
        <w:rPr>
          <w:rFonts w:ascii="Arial" w:hAnsi="Arial" w:cs="Arial"/>
          <w:noProof/>
        </w:rPr>
        <w:t xml:space="preserve"> (Vol. 62, Issue 3). Palgrave Macmillan UK. https://doi.org/10.1057/s41294-020-00129-w</w:t>
      </w:r>
    </w:p>
    <w:p w14:paraId="226BDD82"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Vidakovic, N. (2002). </w:t>
      </w:r>
      <w:r w:rsidRPr="003E3217">
        <w:rPr>
          <w:rFonts w:ascii="Arial" w:hAnsi="Arial" w:cs="Arial"/>
          <w:i/>
          <w:iCs/>
          <w:noProof/>
        </w:rPr>
        <w:t>Application of the Mundell-Fleming Model on a Small Open Economy</w:t>
      </w:r>
      <w:r w:rsidRPr="003E3217">
        <w:rPr>
          <w:rFonts w:ascii="Arial" w:hAnsi="Arial" w:cs="Arial"/>
          <w:noProof/>
        </w:rPr>
        <w:t xml:space="preserve">. </w:t>
      </w:r>
      <w:r w:rsidRPr="003E3217">
        <w:rPr>
          <w:rFonts w:ascii="Arial" w:hAnsi="Arial" w:cs="Arial"/>
          <w:i/>
          <w:iCs/>
          <w:noProof/>
        </w:rPr>
        <w:t>11(3)</w:t>
      </w:r>
      <w:r w:rsidRPr="003E3217">
        <w:rPr>
          <w:rFonts w:ascii="Arial" w:hAnsi="Arial" w:cs="Arial"/>
          <w:noProof/>
        </w:rPr>
        <w:t>, 392–423.</w:t>
      </w:r>
    </w:p>
    <w:p w14:paraId="1F1D8DBC" w14:textId="77777777" w:rsidR="003E3217"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Wuhan, Suyuan, L., &amp; Khurshid, A. (2015). The effect of interest rate on investment; </w:t>
      </w:r>
      <w:r w:rsidRPr="003E3217">
        <w:rPr>
          <w:rFonts w:ascii="Arial" w:hAnsi="Arial" w:cs="Arial"/>
          <w:noProof/>
        </w:rPr>
        <w:lastRenderedPageBreak/>
        <w:t xml:space="preserve">empirical evidence of Jiangsu Province, China. </w:t>
      </w:r>
      <w:r w:rsidRPr="003E3217">
        <w:rPr>
          <w:rFonts w:ascii="Arial" w:hAnsi="Arial" w:cs="Arial"/>
          <w:i/>
          <w:iCs/>
          <w:noProof/>
        </w:rPr>
        <w:t>Journal of International Studies</w:t>
      </w:r>
      <w:r w:rsidRPr="003E3217">
        <w:rPr>
          <w:rFonts w:ascii="Arial" w:hAnsi="Arial" w:cs="Arial"/>
          <w:noProof/>
        </w:rPr>
        <w:t xml:space="preserve">, </w:t>
      </w:r>
      <w:r w:rsidRPr="003E3217">
        <w:rPr>
          <w:rFonts w:ascii="Arial" w:hAnsi="Arial" w:cs="Arial"/>
          <w:i/>
          <w:iCs/>
          <w:noProof/>
        </w:rPr>
        <w:t>8</w:t>
      </w:r>
      <w:r w:rsidRPr="003E3217">
        <w:rPr>
          <w:rFonts w:ascii="Arial" w:hAnsi="Arial" w:cs="Arial"/>
          <w:noProof/>
        </w:rPr>
        <w:t>(1), 81–90. https://doi.org/10.14254/2071-8330.2015/8-1/7</w:t>
      </w:r>
    </w:p>
    <w:p w14:paraId="5E919353" w14:textId="1E089466" w:rsidR="006D3F92" w:rsidRPr="003E3217" w:rsidRDefault="003E3217" w:rsidP="003E3217">
      <w:pPr>
        <w:widowControl w:val="0"/>
        <w:autoSpaceDE w:val="0"/>
        <w:autoSpaceDN w:val="0"/>
        <w:adjustRightInd w:val="0"/>
        <w:ind w:left="480" w:hanging="480"/>
        <w:jc w:val="both"/>
        <w:rPr>
          <w:rFonts w:ascii="Arial" w:hAnsi="Arial" w:cs="Arial"/>
          <w:noProof/>
        </w:rPr>
      </w:pPr>
      <w:r w:rsidRPr="003E3217">
        <w:rPr>
          <w:rFonts w:ascii="Arial" w:hAnsi="Arial" w:cs="Arial"/>
          <w:noProof/>
        </w:rPr>
        <w:t xml:space="preserve">Yusuf, M., Ichsan, R. N., &amp; Suparmin, S. (2021). Influence Of BI Rate, FED Rate, And Inflation On Composite Stock Price Index (JCI). </w:t>
      </w:r>
      <w:r w:rsidRPr="003E3217">
        <w:rPr>
          <w:rFonts w:ascii="Arial" w:hAnsi="Arial" w:cs="Arial"/>
          <w:i/>
          <w:iCs/>
          <w:noProof/>
        </w:rPr>
        <w:t>Journal of Management and Business Innovations</w:t>
      </w:r>
      <w:r w:rsidRPr="003E3217">
        <w:rPr>
          <w:rFonts w:ascii="Arial" w:hAnsi="Arial" w:cs="Arial"/>
          <w:noProof/>
        </w:rPr>
        <w:t xml:space="preserve">, </w:t>
      </w:r>
      <w:r w:rsidRPr="003E3217">
        <w:rPr>
          <w:rFonts w:ascii="Arial" w:hAnsi="Arial" w:cs="Arial"/>
          <w:i/>
          <w:iCs/>
          <w:noProof/>
        </w:rPr>
        <w:t>3</w:t>
      </w:r>
      <w:r w:rsidRPr="003E3217">
        <w:rPr>
          <w:rFonts w:ascii="Arial" w:hAnsi="Arial" w:cs="Arial"/>
          <w:noProof/>
        </w:rPr>
        <w:t>(01), 9. https://doi.org/10.30829/jombi.v3i01.9459</w:t>
      </w:r>
    </w:p>
    <w:p w14:paraId="29DE041B" w14:textId="44ED0ACD" w:rsidR="006D3F92" w:rsidRPr="006D3F92" w:rsidRDefault="006D3F92" w:rsidP="003E3217">
      <w:pPr>
        <w:autoSpaceDE w:val="0"/>
        <w:autoSpaceDN w:val="0"/>
        <w:adjustRightInd w:val="0"/>
        <w:ind w:right="14"/>
        <w:contextualSpacing/>
        <w:jc w:val="both"/>
        <w:rPr>
          <w:rFonts w:ascii="Arial" w:hAnsi="Arial" w:cs="Arial"/>
          <w:b/>
          <w:bCs/>
          <w:lang w:val="en-ID"/>
        </w:rPr>
      </w:pPr>
      <w:r w:rsidRPr="003E3217">
        <w:rPr>
          <w:rFonts w:ascii="Arial" w:hAnsi="Arial" w:cs="Arial"/>
          <w:b/>
          <w:bCs/>
          <w:noProof/>
          <w:lang w:val="en-ID"/>
        </w:rPr>
        <w:t>{Bibl</w:t>
      </w:r>
      <w:r w:rsidRPr="006D3F92">
        <w:rPr>
          <w:rFonts w:ascii="Arial" w:hAnsi="Arial" w:cs="Arial"/>
          <w:b/>
          <w:bCs/>
          <w:lang w:val="en-ID"/>
        </w:rPr>
        <w:fldChar w:fldCharType="end"/>
      </w:r>
      <w:proofErr w:type="spellStart"/>
      <w:r w:rsidR="003E3217">
        <w:rPr>
          <w:rFonts w:ascii="Arial" w:hAnsi="Arial" w:cs="Arial"/>
          <w:b/>
          <w:bCs/>
          <w:lang w:val="en-ID"/>
        </w:rPr>
        <w:t>i</w:t>
      </w:r>
      <w:bookmarkEnd w:id="0"/>
      <w:proofErr w:type="spellEnd"/>
    </w:p>
    <w:sectPr w:rsidR="006D3F92" w:rsidRPr="006D3F92" w:rsidSect="00BA59B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8DAFD" w14:textId="77777777" w:rsidR="00F443CF" w:rsidRDefault="00F443CF" w:rsidP="00C37E61">
      <w:r>
        <w:separator/>
      </w:r>
    </w:p>
  </w:endnote>
  <w:endnote w:type="continuationSeparator" w:id="0">
    <w:p w14:paraId="51060E89" w14:textId="77777777" w:rsidR="00F443CF" w:rsidRDefault="00F443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B763" w14:textId="77777777" w:rsidR="009E048A" w:rsidRDefault="009E048A">
    <w:pPr>
      <w:pStyle w:val="Footer"/>
      <w:rPr>
        <w:rFonts w:ascii="Arial" w:hAnsi="Arial" w:cs="Arial"/>
        <w:sz w:val="16"/>
      </w:rPr>
    </w:pPr>
  </w:p>
  <w:p w14:paraId="12C1407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D2AD23" w14:textId="77777777" w:rsidR="009E048A" w:rsidRDefault="009E048A">
    <w:pPr>
      <w:pStyle w:val="Footer"/>
      <w:rPr>
        <w:rFonts w:ascii="Arial" w:hAnsi="Arial" w:cs="Arial"/>
        <w:sz w:val="16"/>
      </w:rPr>
    </w:pPr>
  </w:p>
  <w:p w14:paraId="1F48C90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75B63" w14:textId="77777777" w:rsidR="00F443CF" w:rsidRDefault="00F443CF" w:rsidP="00C37E61">
      <w:r>
        <w:separator/>
      </w:r>
    </w:p>
  </w:footnote>
  <w:footnote w:type="continuationSeparator" w:id="0">
    <w:p w14:paraId="1DF4D052" w14:textId="77777777" w:rsidR="00F443CF" w:rsidRDefault="00F443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E1229" w14:textId="0CDF88EF" w:rsidR="00BA21B4" w:rsidRDefault="00F443CF">
    <w:pPr>
      <w:pStyle w:val="Header"/>
    </w:pPr>
    <w:r>
      <w:rPr>
        <w:noProof/>
      </w:rPr>
      <w:pict w14:anchorId="1F975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32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7781" w14:textId="61E167A4" w:rsidR="00BA21B4" w:rsidRDefault="00F443CF">
    <w:pPr>
      <w:pStyle w:val="Header"/>
    </w:pPr>
    <w:r>
      <w:rPr>
        <w:noProof/>
      </w:rPr>
      <w:pict w14:anchorId="1ADB1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32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2FE03" w14:textId="60B8CA50" w:rsidR="00296529" w:rsidRPr="00296529" w:rsidRDefault="00F443CF" w:rsidP="00296529">
    <w:pPr>
      <w:ind w:left="2160"/>
      <w:jc w:val="center"/>
      <w:rPr>
        <w:rFonts w:ascii="Times New Roman" w:eastAsia="Calibri" w:hAnsi="Times New Roman"/>
        <w:i/>
        <w:sz w:val="18"/>
        <w:szCs w:val="22"/>
      </w:rPr>
    </w:pPr>
    <w:r>
      <w:rPr>
        <w:noProof/>
      </w:rPr>
      <w:pict w14:anchorId="5B40D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032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078D9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D06F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4B418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1CCBD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C549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AD34F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A0A8C"/>
    <w:multiLevelType w:val="hybridMultilevel"/>
    <w:tmpl w:val="276A8DE8"/>
    <w:lvl w:ilvl="0" w:tplc="8F8C6CC4">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5D5881A0"/>
    <w:lvl w:ilvl="0">
      <w:start w:val="1"/>
      <w:numFmt w:val="decimal"/>
      <w:suff w:val="space"/>
      <w:lvlText w:val="%1."/>
      <w:lvlJc w:val="left"/>
      <w:pPr>
        <w:ind w:left="3261" w:firstLine="0"/>
      </w:pPr>
      <w:rPr>
        <w:b/>
        <w:bCs/>
        <w:sz w:val="24"/>
        <w:szCs w:val="24"/>
      </w:rPr>
    </w:lvl>
    <w:lvl w:ilvl="1">
      <w:start w:val="1"/>
      <w:numFmt w:val="decimal"/>
      <w:suff w:val="space"/>
      <w:lvlText w:val="%1.%2."/>
      <w:lvlJc w:val="left"/>
      <w:pPr>
        <w:ind w:left="22" w:firstLine="0"/>
      </w:pPr>
    </w:lvl>
    <w:lvl w:ilvl="2">
      <w:start w:val="1"/>
      <w:numFmt w:val="decimal"/>
      <w:suff w:val="space"/>
      <w:lvlText w:val="%1.%2.%3."/>
      <w:lvlJc w:val="left"/>
      <w:pPr>
        <w:ind w:left="22" w:firstLine="0"/>
      </w:pPr>
    </w:lvl>
    <w:lvl w:ilvl="3">
      <w:start w:val="1"/>
      <w:numFmt w:val="decimal"/>
      <w:suff w:val="space"/>
      <w:lvlText w:val="%1.%2.%3.%4."/>
      <w:lvlJc w:val="left"/>
      <w:pPr>
        <w:ind w:left="22" w:firstLine="0"/>
      </w:pPr>
    </w:lvl>
    <w:lvl w:ilvl="4">
      <w:start w:val="1"/>
      <w:numFmt w:val="decimal"/>
      <w:suff w:val="space"/>
      <w:lvlText w:val="%1.%2.%3.%4.%5."/>
      <w:lvlJc w:val="left"/>
      <w:pPr>
        <w:ind w:left="22" w:firstLine="0"/>
      </w:pPr>
    </w:lvl>
    <w:lvl w:ilvl="5">
      <w:start w:val="1"/>
      <w:numFmt w:val="decimal"/>
      <w:suff w:val="space"/>
      <w:lvlText w:val="%1.%2.%3.%4.%5.%6."/>
      <w:lvlJc w:val="left"/>
      <w:pPr>
        <w:ind w:left="22" w:firstLine="0"/>
      </w:pPr>
    </w:lvl>
    <w:lvl w:ilvl="6">
      <w:start w:val="1"/>
      <w:numFmt w:val="decimal"/>
      <w:suff w:val="space"/>
      <w:lvlText w:val="%1.%2.%3.%4.%5.%6.%7."/>
      <w:lvlJc w:val="left"/>
      <w:pPr>
        <w:ind w:left="22" w:firstLine="0"/>
      </w:pPr>
    </w:lvl>
    <w:lvl w:ilvl="7">
      <w:start w:val="1"/>
      <w:numFmt w:val="decimal"/>
      <w:suff w:val="space"/>
      <w:lvlText w:val="%1.%2.%3.%4.%5.%6.%7.%8."/>
      <w:lvlJc w:val="left"/>
      <w:pPr>
        <w:ind w:left="22" w:firstLine="0"/>
      </w:pPr>
    </w:lvl>
    <w:lvl w:ilvl="8">
      <w:start w:val="1"/>
      <w:numFmt w:val="decimal"/>
      <w:suff w:val="space"/>
      <w:lvlText w:val="%1..%3.%4.%5.%6.%7.%8.%9."/>
      <w:lvlJc w:val="left"/>
      <w:pPr>
        <w:ind w:left="22" w:firstLine="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374CF5"/>
    <w:multiLevelType w:val="multilevel"/>
    <w:tmpl w:val="520028D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18"/>
  </w:num>
  <w:num w:numId="32">
    <w:abstractNumId w:val="1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F01"/>
    <w:rsid w:val="00030174"/>
    <w:rsid w:val="00036B54"/>
    <w:rsid w:val="0004579C"/>
    <w:rsid w:val="00054086"/>
    <w:rsid w:val="0005627B"/>
    <w:rsid w:val="00073932"/>
    <w:rsid w:val="000A47F1"/>
    <w:rsid w:val="000A47FA"/>
    <w:rsid w:val="000A65D3"/>
    <w:rsid w:val="000B1E33"/>
    <w:rsid w:val="000C3F82"/>
    <w:rsid w:val="000C5DDC"/>
    <w:rsid w:val="000D4332"/>
    <w:rsid w:val="000D689F"/>
    <w:rsid w:val="000E7B7B"/>
    <w:rsid w:val="000E7D62"/>
    <w:rsid w:val="00103357"/>
    <w:rsid w:val="00123C9F"/>
    <w:rsid w:val="00126190"/>
    <w:rsid w:val="00130F17"/>
    <w:rsid w:val="001320BF"/>
    <w:rsid w:val="001416D8"/>
    <w:rsid w:val="00163BC4"/>
    <w:rsid w:val="00191062"/>
    <w:rsid w:val="00192B72"/>
    <w:rsid w:val="001A29D8"/>
    <w:rsid w:val="001A5CAA"/>
    <w:rsid w:val="001A76AC"/>
    <w:rsid w:val="001B0427"/>
    <w:rsid w:val="001B62C3"/>
    <w:rsid w:val="001D3A51"/>
    <w:rsid w:val="001E10D2"/>
    <w:rsid w:val="001E25B4"/>
    <w:rsid w:val="001E44FE"/>
    <w:rsid w:val="00200595"/>
    <w:rsid w:val="00204835"/>
    <w:rsid w:val="00223520"/>
    <w:rsid w:val="00231920"/>
    <w:rsid w:val="0023195C"/>
    <w:rsid w:val="0024282C"/>
    <w:rsid w:val="002460DC"/>
    <w:rsid w:val="00250985"/>
    <w:rsid w:val="002556F6"/>
    <w:rsid w:val="00283105"/>
    <w:rsid w:val="00284C4C"/>
    <w:rsid w:val="00287E68"/>
    <w:rsid w:val="00296529"/>
    <w:rsid w:val="002B27FB"/>
    <w:rsid w:val="002B59E1"/>
    <w:rsid w:val="002B685A"/>
    <w:rsid w:val="002C57D2"/>
    <w:rsid w:val="002E0D56"/>
    <w:rsid w:val="00310E8E"/>
    <w:rsid w:val="00315186"/>
    <w:rsid w:val="0033343E"/>
    <w:rsid w:val="00350811"/>
    <w:rsid w:val="003512C2"/>
    <w:rsid w:val="00351490"/>
    <w:rsid w:val="00370402"/>
    <w:rsid w:val="00371FB6"/>
    <w:rsid w:val="003763C1"/>
    <w:rsid w:val="00376BBE"/>
    <w:rsid w:val="0039224F"/>
    <w:rsid w:val="003A43A4"/>
    <w:rsid w:val="003A7E18"/>
    <w:rsid w:val="003C4C86"/>
    <w:rsid w:val="003C6258"/>
    <w:rsid w:val="003D0A91"/>
    <w:rsid w:val="003E2904"/>
    <w:rsid w:val="003E3217"/>
    <w:rsid w:val="00401927"/>
    <w:rsid w:val="0041027F"/>
    <w:rsid w:val="00412475"/>
    <w:rsid w:val="00423789"/>
    <w:rsid w:val="00440F43"/>
    <w:rsid w:val="00441B6F"/>
    <w:rsid w:val="00445250"/>
    <w:rsid w:val="00446221"/>
    <w:rsid w:val="00450E62"/>
    <w:rsid w:val="004539DB"/>
    <w:rsid w:val="00466D55"/>
    <w:rsid w:val="00471A80"/>
    <w:rsid w:val="004A7BC4"/>
    <w:rsid w:val="004C1A00"/>
    <w:rsid w:val="004D305E"/>
    <w:rsid w:val="004D4277"/>
    <w:rsid w:val="004D6B12"/>
    <w:rsid w:val="00502516"/>
    <w:rsid w:val="00505F06"/>
    <w:rsid w:val="00506828"/>
    <w:rsid w:val="00514DB0"/>
    <w:rsid w:val="00522A7C"/>
    <w:rsid w:val="0052491F"/>
    <w:rsid w:val="0053056E"/>
    <w:rsid w:val="00536C44"/>
    <w:rsid w:val="00554FDA"/>
    <w:rsid w:val="00563779"/>
    <w:rsid w:val="005C784C"/>
    <w:rsid w:val="005D17F6"/>
    <w:rsid w:val="005E5539"/>
    <w:rsid w:val="00602BF5"/>
    <w:rsid w:val="00617FDD"/>
    <w:rsid w:val="00633614"/>
    <w:rsid w:val="00633F68"/>
    <w:rsid w:val="00636EB2"/>
    <w:rsid w:val="006375B8"/>
    <w:rsid w:val="00643B6A"/>
    <w:rsid w:val="0066510A"/>
    <w:rsid w:val="00673F9F"/>
    <w:rsid w:val="00686953"/>
    <w:rsid w:val="00687DEA"/>
    <w:rsid w:val="00687E67"/>
    <w:rsid w:val="006967F7"/>
    <w:rsid w:val="006A250C"/>
    <w:rsid w:val="006B21D3"/>
    <w:rsid w:val="006B57D0"/>
    <w:rsid w:val="006C0CB7"/>
    <w:rsid w:val="006C43D8"/>
    <w:rsid w:val="006D30FF"/>
    <w:rsid w:val="006D3F92"/>
    <w:rsid w:val="006D5977"/>
    <w:rsid w:val="006D6940"/>
    <w:rsid w:val="006F11EC"/>
    <w:rsid w:val="0070082C"/>
    <w:rsid w:val="007369E6"/>
    <w:rsid w:val="00745E42"/>
    <w:rsid w:val="00746E59"/>
    <w:rsid w:val="00754C9A"/>
    <w:rsid w:val="0075599A"/>
    <w:rsid w:val="00761D52"/>
    <w:rsid w:val="0077749E"/>
    <w:rsid w:val="00790ADA"/>
    <w:rsid w:val="007B4B0D"/>
    <w:rsid w:val="007D2288"/>
    <w:rsid w:val="007D22F2"/>
    <w:rsid w:val="007E088F"/>
    <w:rsid w:val="007F7B32"/>
    <w:rsid w:val="00802759"/>
    <w:rsid w:val="00803335"/>
    <w:rsid w:val="00804BC2"/>
    <w:rsid w:val="0081431A"/>
    <w:rsid w:val="0083216F"/>
    <w:rsid w:val="0084361A"/>
    <w:rsid w:val="00860000"/>
    <w:rsid w:val="00863BD3"/>
    <w:rsid w:val="008641ED"/>
    <w:rsid w:val="00866D66"/>
    <w:rsid w:val="008671C6"/>
    <w:rsid w:val="0087155E"/>
    <w:rsid w:val="00875803"/>
    <w:rsid w:val="00883E4A"/>
    <w:rsid w:val="008B459E"/>
    <w:rsid w:val="008E13AE"/>
    <w:rsid w:val="008E1506"/>
    <w:rsid w:val="008E710C"/>
    <w:rsid w:val="008F69D6"/>
    <w:rsid w:val="008F78D6"/>
    <w:rsid w:val="00902823"/>
    <w:rsid w:val="00915CA6"/>
    <w:rsid w:val="00927834"/>
    <w:rsid w:val="009500A6"/>
    <w:rsid w:val="00957C18"/>
    <w:rsid w:val="009659BA"/>
    <w:rsid w:val="00973897"/>
    <w:rsid w:val="00983040"/>
    <w:rsid w:val="009B3FB9"/>
    <w:rsid w:val="009C2465"/>
    <w:rsid w:val="009C3FEE"/>
    <w:rsid w:val="009D2116"/>
    <w:rsid w:val="009D35A0"/>
    <w:rsid w:val="009D7EB7"/>
    <w:rsid w:val="009E048A"/>
    <w:rsid w:val="009E08E9"/>
    <w:rsid w:val="009E3DB9"/>
    <w:rsid w:val="009E6E35"/>
    <w:rsid w:val="009F0EDA"/>
    <w:rsid w:val="00A03B96"/>
    <w:rsid w:val="00A05B19"/>
    <w:rsid w:val="00A1134E"/>
    <w:rsid w:val="00A24E7E"/>
    <w:rsid w:val="00A258C3"/>
    <w:rsid w:val="00A26576"/>
    <w:rsid w:val="00A347C0"/>
    <w:rsid w:val="00A366A3"/>
    <w:rsid w:val="00A51431"/>
    <w:rsid w:val="00A539AD"/>
    <w:rsid w:val="00A94063"/>
    <w:rsid w:val="00AA6219"/>
    <w:rsid w:val="00AA74E0"/>
    <w:rsid w:val="00AB65DB"/>
    <w:rsid w:val="00AB703F"/>
    <w:rsid w:val="00AC6BB8"/>
    <w:rsid w:val="00AD0C3E"/>
    <w:rsid w:val="00AE008F"/>
    <w:rsid w:val="00B00ECD"/>
    <w:rsid w:val="00B01FCD"/>
    <w:rsid w:val="00B1776C"/>
    <w:rsid w:val="00B52583"/>
    <w:rsid w:val="00B52896"/>
    <w:rsid w:val="00B95236"/>
    <w:rsid w:val="00B96BD9"/>
    <w:rsid w:val="00BA1B01"/>
    <w:rsid w:val="00BA21B4"/>
    <w:rsid w:val="00BA2641"/>
    <w:rsid w:val="00BA59B6"/>
    <w:rsid w:val="00BB37AA"/>
    <w:rsid w:val="00BC53A0"/>
    <w:rsid w:val="00BE62AD"/>
    <w:rsid w:val="00BF121F"/>
    <w:rsid w:val="00BF1F80"/>
    <w:rsid w:val="00C166EF"/>
    <w:rsid w:val="00C17EB0"/>
    <w:rsid w:val="00C27F5F"/>
    <w:rsid w:val="00C30A0F"/>
    <w:rsid w:val="00C30F7E"/>
    <w:rsid w:val="00C35A4A"/>
    <w:rsid w:val="00C37E61"/>
    <w:rsid w:val="00C41081"/>
    <w:rsid w:val="00C4509F"/>
    <w:rsid w:val="00C63C25"/>
    <w:rsid w:val="00C70F1B"/>
    <w:rsid w:val="00C71A47"/>
    <w:rsid w:val="00C7464C"/>
    <w:rsid w:val="00C85588"/>
    <w:rsid w:val="00CD6755"/>
    <w:rsid w:val="00CD6856"/>
    <w:rsid w:val="00CE0089"/>
    <w:rsid w:val="00CE793C"/>
    <w:rsid w:val="00CF193C"/>
    <w:rsid w:val="00D173F1"/>
    <w:rsid w:val="00D25540"/>
    <w:rsid w:val="00D54945"/>
    <w:rsid w:val="00D63AF7"/>
    <w:rsid w:val="00D63D1D"/>
    <w:rsid w:val="00D74CB0"/>
    <w:rsid w:val="00D8295D"/>
    <w:rsid w:val="00D86414"/>
    <w:rsid w:val="00D93165"/>
    <w:rsid w:val="00DB5DD4"/>
    <w:rsid w:val="00DC2A65"/>
    <w:rsid w:val="00DE15F0"/>
    <w:rsid w:val="00DE5663"/>
    <w:rsid w:val="00DE78AA"/>
    <w:rsid w:val="00E053D0"/>
    <w:rsid w:val="00E15994"/>
    <w:rsid w:val="00E26D45"/>
    <w:rsid w:val="00E3114E"/>
    <w:rsid w:val="00E31A70"/>
    <w:rsid w:val="00E35B02"/>
    <w:rsid w:val="00E66496"/>
    <w:rsid w:val="00E66835"/>
    <w:rsid w:val="00E66B35"/>
    <w:rsid w:val="00E66E10"/>
    <w:rsid w:val="00E74029"/>
    <w:rsid w:val="00E769F6"/>
    <w:rsid w:val="00E8407C"/>
    <w:rsid w:val="00E84F3C"/>
    <w:rsid w:val="00EA012C"/>
    <w:rsid w:val="00EC6A55"/>
    <w:rsid w:val="00ED0288"/>
    <w:rsid w:val="00EE52CB"/>
    <w:rsid w:val="00EF581D"/>
    <w:rsid w:val="00EF702A"/>
    <w:rsid w:val="00EF7FD8"/>
    <w:rsid w:val="00F06F59"/>
    <w:rsid w:val="00F16D06"/>
    <w:rsid w:val="00F17988"/>
    <w:rsid w:val="00F30D5D"/>
    <w:rsid w:val="00F31E05"/>
    <w:rsid w:val="00F42A94"/>
    <w:rsid w:val="00F443CF"/>
    <w:rsid w:val="00F469F0"/>
    <w:rsid w:val="00F53273"/>
    <w:rsid w:val="00F755E4"/>
    <w:rsid w:val="00F77D02"/>
    <w:rsid w:val="00FB3A86"/>
    <w:rsid w:val="00FD36C8"/>
    <w:rsid w:val="00FD4E06"/>
    <w:rsid w:val="00FE0D2F"/>
    <w:rsid w:val="00FF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A21EB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0E8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42A94"/>
    <w:pPr>
      <w:spacing w:before="100" w:beforeAutospacing="1" w:after="100" w:afterAutospacing="1"/>
    </w:pPr>
    <w:rPr>
      <w:rFonts w:ascii="Times New Roman" w:hAnsi="Times New Roman"/>
      <w:sz w:val="24"/>
      <w:szCs w:val="24"/>
      <w:lang w:val="en-ID"/>
    </w:rPr>
  </w:style>
  <w:style w:type="paragraph" w:styleId="ListParagraph">
    <w:name w:val="List Paragraph"/>
    <w:aliases w:val="awal,List Paragraph2,HEADING 1,List Paragraph1,skripsi,Body Text Char1,Char Char2,spasi 2 taiiii,Body of text,Heading 10,kepala,Light Grid - Accent 31,List Paragraph untuk Tabel,List Paragraph untuk tabel,Box,Bulet1,coba1,List Paragraph11"/>
    <w:basedOn w:val="Normal"/>
    <w:link w:val="ListParagraphChar"/>
    <w:uiPriority w:val="34"/>
    <w:qFormat/>
    <w:rsid w:val="006C43D8"/>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wal Char,List Paragraph2 Char,HEADING 1 Char,List Paragraph1 Char,skripsi Char,Body Text Char1 Char,Char Char2 Char,spasi 2 taiiii Char,Body of text Char,Heading 10 Char,kepala Char,Light Grid - Accent 31 Char,Box Char,Bulet1 Char"/>
    <w:link w:val="ListParagraph"/>
    <w:uiPriority w:val="34"/>
    <w:qFormat/>
    <w:locked/>
    <w:rsid w:val="006C43D8"/>
    <w:rPr>
      <w:rFonts w:asciiTheme="minorHAnsi" w:eastAsiaTheme="minorHAnsi" w:hAnsiTheme="minorHAnsi" w:cstheme="minorBidi"/>
      <w:sz w:val="22"/>
      <w:szCs w:val="22"/>
    </w:rPr>
  </w:style>
  <w:style w:type="character" w:customStyle="1" w:styleId="FooterChar">
    <w:name w:val="Footer Char"/>
    <w:basedOn w:val="DefaultParagraphFont"/>
    <w:link w:val="Footer"/>
    <w:rsid w:val="003D0A9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mailto:4.35@uDJIM" TargetMode="External"/><Relationship Id="rId3" Type="http://schemas.openxmlformats.org/officeDocument/2006/relationships/styles" Target="styles.xml"/><Relationship Id="rId21" Type="http://schemas.openxmlformats.org/officeDocument/2006/relationships/hyperlink" Target="mailto:0.21@eDJI"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2.45@uDJ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44.64@uFFR" TargetMode="External"/><Relationship Id="rId20" Type="http://schemas.openxmlformats.org/officeDocument/2006/relationships/hyperlink" Target="mailto:3.11@uJ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6.png"/><Relationship Id="rId10" Type="http://schemas.openxmlformats.org/officeDocument/2006/relationships/header" Target="header3.xml"/><Relationship Id="rId19" Type="http://schemas.openxmlformats.org/officeDocument/2006/relationships/hyperlink" Target="mailto:8.90@uINFLATION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720F-609E-42E4-9018-5A75C5FB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326</TotalTime>
  <Pages>22</Pages>
  <Words>25579</Words>
  <Characters>145804</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171041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29</cp:revision>
  <cp:lastPrinted>1999-07-06T11:00:00Z</cp:lastPrinted>
  <dcterms:created xsi:type="dcterms:W3CDTF">2025-11-07T12:33:00Z</dcterms:created>
  <dcterms:modified xsi:type="dcterms:W3CDTF">2025-11-27T05:07:00Z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27c20d3f-b498-44d1-ab7f-ef9aa90d1fbe</vt:lpwstr>
  </property>
  <property fmtid="{D5CDD505-2E9C-101B-9397-08002B2CF9AE}" pid="3" name="Mendeley Document_1">
    <vt:lpwstr>True</vt:lpwstr>
  </property>
  <property fmtid="{D5CDD505-2E9C-101B-9397-08002B2CF9AE}" pid="4" name="Mendeley Unique User Id_1">
    <vt:lpwstr>ba4e5954-a092-3c00-96bb-0a0ad9a02f22</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